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framePr w:w="2546" w:h="1389" w:hRule="exact" w:hSpace="181" w:vSpace="181" w:wrap="around" w:vAnchor="margin" w:hAnchor="margin" w:x="6522" w:y="398" w:anchorLock="1"/>
        <w:spacing w:line="240" w:lineRule="auto"/>
        <w:rPr>
          <w:color w:val="auto"/>
        </w:rPr>
      </w:pPr>
      <w:r>
        <w:rPr>
          <w:color w:val="auto"/>
        </w:rPr>
        <w:drawing>
          <wp:inline distT="0" distB="0" distL="0" distR="0">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8750" cy="723900"/>
                    </a:xfrm>
                    <a:prstGeom prst="rect">
                      <a:avLst/>
                    </a:prstGeom>
                    <a:noFill/>
                    <a:ln>
                      <a:noFill/>
                    </a:ln>
                  </pic:spPr>
                </pic:pic>
              </a:graphicData>
            </a:graphic>
          </wp:inline>
        </w:drawing>
      </w:r>
    </w:p>
    <w:p>
      <w:pPr>
        <w:pStyle w:val="42"/>
        <w:framePr w:w="9639" w:h="624" w:hRule="exact" w:hSpace="181" w:vSpace="181" w:wrap="around" w:vAnchor="page" w:hAnchor="page" w:x="1419" w:y="2286" w:anchorLock="1"/>
        <w:spacing w:line="240" w:lineRule="auto"/>
        <w:rPr>
          <w:rFonts w:ascii="Times New Roman"/>
          <w:color w:val="auto"/>
        </w:rPr>
      </w:pPr>
      <w:r>
        <w:rPr>
          <w:rFonts w:hint="eastAsia" w:ascii="Times New Roman"/>
          <w:color w:val="auto"/>
        </w:rPr>
        <w:t>中华人民共和国国家标准</w:t>
      </w:r>
    </w:p>
    <w:p>
      <w:pPr>
        <w:pStyle w:val="22"/>
        <w:framePr w:w="9140" w:h="1242" w:hRule="exact" w:hSpace="284" w:wrap="around" w:vAnchor="page" w:hAnchor="page" w:x="1645" w:y="2910" w:anchorLock="1"/>
        <w:spacing w:line="240" w:lineRule="auto"/>
        <w:rPr>
          <w:rFonts w:hAnsi="黑体"/>
          <w:color w:val="auto"/>
          <w:sz w:val="24"/>
          <w:szCs w:val="24"/>
        </w:rPr>
      </w:pPr>
      <w:r>
        <w:rPr>
          <w:rFonts w:hAnsi="黑体"/>
          <w:color w:val="auto"/>
          <w:sz w:val="24"/>
          <w:szCs w:val="24"/>
        </w:rPr>
        <w:t xml:space="preserve">GB/T </w:t>
      </w:r>
      <w:r>
        <w:rPr>
          <w:rFonts w:hint="eastAsia" w:hAnsi="黑体"/>
          <w:color w:val="auto"/>
          <w:sz w:val="24"/>
          <w:szCs w:val="24"/>
        </w:rPr>
        <w:t>34213</w:t>
      </w:r>
      <w:r>
        <w:rPr>
          <w:rFonts w:hAnsi="黑体"/>
          <w:color w:val="auto"/>
          <w:sz w:val="24"/>
          <w:szCs w:val="24"/>
        </w:rPr>
        <w:t>—XXXX</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1"/>
              <w:framePr w:w="9140" w:h="1242" w:hRule="exact" w:hSpace="284" w:wrap="around" w:vAnchor="page" w:hAnchor="page" w:x="1645" w:y="2910" w:anchorLock="1"/>
              <w:spacing w:line="240" w:lineRule="auto"/>
              <w:rPr>
                <w:rFonts w:ascii="Times New Roman" w:eastAsia="黑体"/>
                <w:color w:val="auto"/>
              </w:rPr>
            </w:pPr>
            <w:r>
              <w:rPr>
                <w:rFonts w:ascii="黑体" w:hAnsi="黑体" w:eastAsia="黑体"/>
                <w:color w:val="auto"/>
              </w:rPr>
              <mc:AlternateContent>
                <mc:Choice Requires="wps">
                  <w:drawing>
                    <wp:anchor distT="0" distB="0" distL="114300" distR="114300" simplePos="0" relativeHeight="25164288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7360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mDyy9YAAAAI&#10;AQAADwAAAAAAAAABACAAAAAiAAAAZHJzL2Rvd25yZXYueG1sUEsBAhQAFAAAAAgAh07iQFOC9Wge&#10;AgAAMQQAAA4AAAAAAAAAAQAgAAAAJQEAAGRycy9lMm9Eb2MueG1sUEsFBgAAAAAGAAYAWQEAALUF&#10;AAAAAA==&#10;">
                      <v:fill on="t" focussize="0,0"/>
                      <v:stroke on="f"/>
                      <v:imagedata o:title=""/>
                      <o:lock v:ext="edit" aspectratio="f"/>
                      <v:textbox>
                        <w:txbxContent>
                          <w:p>
                            <w:pPr>
                              <w:jc w:val="center"/>
                            </w:pPr>
                          </w:p>
                        </w:txbxContent>
                      </v:textbox>
                    </v:rect>
                  </w:pict>
                </mc:Fallback>
              </mc:AlternateContent>
            </w:r>
            <w:r>
              <w:rPr>
                <w:rFonts w:hint="eastAsia" w:ascii="黑体" w:hAnsi="黑体" w:eastAsia="黑体"/>
                <w:color w:val="auto"/>
              </w:rPr>
              <w:t>代替</w:t>
            </w:r>
            <w:r>
              <w:rPr>
                <w:rFonts w:ascii="黑体" w:hAnsi="黑体" w:eastAsia="黑体"/>
                <w:color w:val="auto"/>
              </w:rPr>
              <w:t xml:space="preserve">GB/T </w:t>
            </w:r>
            <w:r>
              <w:rPr>
                <w:rFonts w:hint="eastAsia" w:ascii="黑体" w:hAnsi="黑体" w:eastAsia="黑体"/>
                <w:color w:val="auto"/>
              </w:rPr>
              <w:t>34213</w:t>
            </w:r>
            <w:r>
              <w:rPr>
                <w:rFonts w:ascii="黑体" w:hAnsi="黑体" w:eastAsia="黑体"/>
                <w:color w:val="auto"/>
              </w:rPr>
              <w:t>-20</w:t>
            </w:r>
            <w:r>
              <w:rPr>
                <w:rFonts w:hint="eastAsia" w:ascii="黑体" w:hAnsi="黑体" w:eastAsia="黑体"/>
                <w:color w:val="auto"/>
              </w:rPr>
              <w:t>17</w:t>
            </w:r>
          </w:p>
        </w:tc>
      </w:tr>
    </w:tbl>
    <w:p>
      <w:pPr>
        <w:pStyle w:val="22"/>
        <w:framePr w:w="9140" w:h="1242" w:hRule="exact" w:hSpace="284" w:wrap="around" w:vAnchor="page" w:hAnchor="page" w:x="1645" w:y="2910" w:anchorLock="1"/>
        <w:spacing w:line="240" w:lineRule="auto"/>
        <w:rPr>
          <w:rFonts w:ascii="Times New Roman" w:eastAsia="宋体"/>
          <w:color w:val="auto"/>
        </w:rPr>
      </w:pPr>
    </w:p>
    <w:p>
      <w:pPr>
        <w:pStyle w:val="22"/>
        <w:framePr w:w="9140" w:h="1242" w:hRule="exact" w:hSpace="284" w:wrap="around" w:vAnchor="page" w:hAnchor="page" w:x="1645" w:y="2910" w:anchorLock="1"/>
        <w:spacing w:line="240" w:lineRule="auto"/>
        <w:rPr>
          <w:rFonts w:ascii="Times New Roman" w:eastAsia="宋体"/>
          <w:color w:val="auto"/>
        </w:rPr>
      </w:pPr>
    </w:p>
    <w:p>
      <w:pPr>
        <w:pStyle w:val="33"/>
        <w:framePr w:w="9639" w:h="6917" w:hRule="exact" w:wrap="around" w:vAnchor="page" w:hAnchor="page" w:xAlign="center" w:y="6408" w:anchorLock="1"/>
        <w:spacing w:line="240" w:lineRule="auto"/>
        <w:rPr>
          <w:rFonts w:hAnsi="黑体"/>
          <w:color w:val="auto"/>
        </w:rPr>
      </w:pPr>
      <w:r>
        <w:rPr>
          <w:rFonts w:hint="eastAsia" w:hAnsi="黑体"/>
          <w:color w:val="auto"/>
        </w:rPr>
        <w:t>蓝宝石单晶用高纯氧化铝</w:t>
      </w:r>
    </w:p>
    <w:p>
      <w:pPr>
        <w:pStyle w:val="32"/>
        <w:framePr w:w="9639" w:h="6917" w:hRule="exact" w:wrap="around" w:vAnchor="page" w:hAnchor="page" w:xAlign="center" w:y="6408" w:anchorLock="1"/>
        <w:tabs>
          <w:tab w:val="center" w:pos="4885"/>
          <w:tab w:val="left" w:pos="8297"/>
        </w:tabs>
        <w:spacing w:line="240" w:lineRule="auto"/>
        <w:jc w:val="left"/>
        <w:rPr>
          <w:rFonts w:eastAsia="宋体"/>
          <w:color w:val="auto"/>
        </w:rPr>
      </w:pPr>
      <w:r>
        <w:rPr>
          <w:rFonts w:hint="eastAsia" w:ascii="黑体" w:hAnsi="黑体"/>
          <w:color w:val="auto"/>
        </w:rPr>
        <w:tab/>
      </w:r>
      <w:r>
        <w:rPr>
          <w:rFonts w:hint="eastAsia" w:ascii="黑体" w:hAnsi="黑体"/>
          <w:color w:val="auto"/>
        </w:rPr>
        <w:t>High purity alumina for sapphire single crystal</w:t>
      </w:r>
      <w:r>
        <w:rPr>
          <w:rFonts w:hint="eastAsia" w:eastAsia="宋体"/>
          <w:color w:val="auto"/>
        </w:rPr>
        <w:tab/>
      </w:r>
    </w:p>
    <w:p>
      <w:pPr>
        <w:pStyle w:val="31"/>
        <w:framePr w:w="9639" w:h="6917" w:hRule="exact" w:wrap="around" w:vAnchor="page" w:hAnchor="page" w:xAlign="center" w:y="6408" w:anchorLock="1"/>
        <w:spacing w:line="240" w:lineRule="auto"/>
        <w:rPr>
          <w:rFonts w:ascii="Times New Roman"/>
          <w:color w:val="auto"/>
        </w:rPr>
      </w:pPr>
      <w:r>
        <w:rPr>
          <w:rFonts w:hint="eastAsia" w:ascii="Times New Roman"/>
          <w:color w:val="auto"/>
        </w:rPr>
        <w:t>（</w:t>
      </w:r>
      <w:r>
        <w:rPr>
          <w:rFonts w:hint="eastAsia" w:ascii="Times New Roman"/>
          <w:color w:val="auto"/>
          <w:lang w:eastAsia="zh-CN"/>
        </w:rPr>
        <w:t>送审</w:t>
      </w:r>
      <w:r>
        <w:rPr>
          <w:rFonts w:hint="eastAsia" w:ascii="Times New Roman"/>
          <w:color w:val="auto"/>
        </w:rPr>
        <w:t>稿）</w:t>
      </w:r>
      <w:bookmarkStart w:id="5" w:name="_GoBack"/>
      <w:bookmarkEnd w:id="5"/>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0"/>
              <w:framePr w:w="9639" w:h="6917" w:hRule="exact" w:wrap="around" w:vAnchor="page" w:hAnchor="page" w:xAlign="center" w:y="6408" w:anchorLock="1"/>
              <w:rPr>
                <w:rFonts w:ascii="Times New Roman"/>
                <w:color w:val="auto"/>
              </w:rPr>
            </w:pPr>
            <w:r>
              <w:rPr>
                <w:rFonts w:ascii="Times New Roman"/>
                <w:color w:val="auto"/>
              </w:rP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6950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JrpLVAAAACgEA&#10;AA8AAAAAAAAAAQAgAAAAIgAAAGRycy9kb3ducmV2LnhtbFBLAQIUABQAAAAIAIdO4kA9djfGHQIA&#10;ADEEAAAOAAAAAAAAAAEAIAAAACQBAABkcnMvZTJvRG9jLnhtbFBLBQYAAAAABgAGAFkBAACzBQAA&#10;AAA=&#10;">
                      <v:fill on="t" focussize="0,0"/>
                      <v:stroke on="f"/>
                      <v:imagedata o:title=""/>
                      <o:lock v:ext="edit" aspectratio="f"/>
                      <v:textbox>
                        <w:txbxContent>
                          <w:p>
                            <w:pPr>
                              <w:jc w:val="center"/>
                            </w:pPr>
                          </w:p>
                        </w:txbxContent>
                      </v:textbox>
                      <w10:anchorlock/>
                    </v:rect>
                  </w:pict>
                </mc:Fallback>
              </mc:AlternateContent>
            </w:r>
            <w:r>
              <w:rPr>
                <w:rFonts w:ascii="Times New Roman"/>
                <w:color w:val="auto"/>
              </w:rPr>
              <mc:AlternateContent>
                <mc:Choice Requires="wps">
                  <w:drawing>
                    <wp:anchor distT="0" distB="0" distL="114300" distR="114300" simplePos="0" relativeHeight="251644928"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7155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4Yvl1gAAAAkB&#10;AAAPAAAAAAAAAAEAIAAAACIAAABkcnMvZG93bnJldi54bWxQSwECFAAUAAAACACHTuJATQDUVR0C&#10;AAAxBAAADgAAAAAAAAABACAAAAAlAQAAZHJzL2Uyb0RvYy54bWxQSwUGAAAAAAYABgBZAQAAtAUA&#10;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9"/>
              <w:framePr w:w="9639" w:h="6917" w:hRule="exact" w:wrap="around" w:vAnchor="page" w:hAnchor="page" w:xAlign="center" w:y="6408" w:anchorLock="1"/>
              <w:spacing w:line="240" w:lineRule="auto"/>
              <w:rPr>
                <w:rFonts w:ascii="Times New Roman"/>
                <w:color w:val="auto"/>
              </w:rPr>
            </w:pPr>
            <w:r>
              <w:rPr>
                <w:rFonts w:hint="eastAsia" w:ascii="Times New Roman"/>
                <w:color w:val="auto"/>
              </w:rPr>
              <w:t>（在提交反馈意见时，请将您知道的相关专利连同支持性文件一并附上。）</w:t>
            </w:r>
          </w:p>
        </w:tc>
      </w:tr>
    </w:tbl>
    <w:p>
      <w:pPr>
        <w:pStyle w:val="36"/>
        <w:framePr w:w="3997" w:h="471" w:hRule="exact" w:vSpace="181" w:wrap="around" w:vAnchor="page" w:hAnchor="page" w:x="7064" w:y="14279" w:anchorLock="1"/>
        <w:rPr>
          <w:rFonts w:ascii="黑体" w:hAnsi="黑体"/>
          <w:color w:val="auto"/>
        </w:rPr>
      </w:pPr>
      <w:r>
        <w:rPr>
          <w:rFonts w:ascii="黑体" w:hAnsi="黑体"/>
          <w:color w:val="auto"/>
        </w:rPr>
        <w:fldChar w:fldCharType="begin">
          <w:ffData>
            <w:name w:val="SY"/>
            <w:enabled/>
            <w:calcOnExit w:val="0"/>
            <w:entryMacro w:val="ShowHelp9"/>
            <w:textInput>
              <w:default w:val="XXXX"/>
              <w:maxLength w:val="4"/>
            </w:textInput>
          </w:ffData>
        </w:fldChar>
      </w:r>
      <w:bookmarkStart w:id="0" w:name="SY"/>
      <w:r>
        <w:rPr>
          <w:rFonts w:ascii="黑体" w:hAnsi="黑体"/>
          <w:color w:val="auto"/>
        </w:rPr>
        <w:instrText xml:space="preserve"> FORMTEXT </w:instrText>
      </w:r>
      <w:r>
        <w:rPr>
          <w:rFonts w:ascii="黑体" w:hAnsi="黑体"/>
          <w:color w:val="auto"/>
        </w:rPr>
        <w:fldChar w:fldCharType="separate"/>
      </w:r>
      <w:r>
        <w:rPr>
          <w:rFonts w:ascii="黑体" w:hAnsi="黑体"/>
          <w:color w:val="auto"/>
        </w:rPr>
        <w:t>XXXX</w:t>
      </w:r>
      <w:r>
        <w:rPr>
          <w:rFonts w:ascii="黑体" w:hAnsi="黑体"/>
          <w:color w:val="auto"/>
        </w:rPr>
        <w:fldChar w:fldCharType="end"/>
      </w:r>
      <w:bookmarkEnd w:id="0"/>
      <w:r>
        <w:rPr>
          <w:rFonts w:ascii="黑体" w:hAnsi="黑体"/>
          <w:color w:val="auto"/>
        </w:rPr>
        <w:t>-</w:t>
      </w:r>
      <w:r>
        <w:rPr>
          <w:rFonts w:ascii="黑体" w:hAnsi="黑体"/>
          <w:color w:val="auto"/>
        </w:rPr>
        <w:fldChar w:fldCharType="begin">
          <w:ffData>
            <w:name w:val="SM"/>
            <w:enabled/>
            <w:calcOnExit w:val="0"/>
            <w:entryMacro w:val="ShowHelp9"/>
            <w:textInput>
              <w:default w:val="XX"/>
              <w:maxLength w:val="2"/>
            </w:textInput>
          </w:ffData>
        </w:fldChar>
      </w:r>
      <w:bookmarkStart w:id="1" w:name="SM"/>
      <w:r>
        <w:rPr>
          <w:rFonts w:ascii="黑体" w:hAnsi="黑体"/>
          <w:color w:val="auto"/>
        </w:rPr>
        <w:instrText xml:space="preserve"> FORMTEXT </w:instrText>
      </w:r>
      <w:r>
        <w:rPr>
          <w:rFonts w:ascii="黑体" w:hAnsi="黑体"/>
          <w:color w:val="auto"/>
        </w:rPr>
        <w:fldChar w:fldCharType="separate"/>
      </w:r>
      <w:r>
        <w:rPr>
          <w:rFonts w:ascii="黑体" w:hAnsi="黑体"/>
          <w:color w:val="auto"/>
        </w:rPr>
        <w:t>XX</w:t>
      </w:r>
      <w:r>
        <w:rPr>
          <w:rFonts w:ascii="黑体" w:hAnsi="黑体"/>
          <w:color w:val="auto"/>
        </w:rPr>
        <w:fldChar w:fldCharType="end"/>
      </w:r>
      <w:bookmarkEnd w:id="1"/>
      <w:r>
        <w:rPr>
          <w:rFonts w:ascii="黑体" w:hAnsi="黑体"/>
          <w:color w:val="auto"/>
        </w:rPr>
        <w:t>-</w:t>
      </w:r>
      <w:r>
        <w:rPr>
          <w:rFonts w:ascii="黑体" w:hAnsi="黑体"/>
          <w:color w:val="auto"/>
        </w:rPr>
        <w:fldChar w:fldCharType="begin">
          <w:ffData>
            <w:name w:val="SD"/>
            <w:enabled/>
            <w:calcOnExit w:val="0"/>
            <w:entryMacro w:val="ShowHelp9"/>
            <w:textInput>
              <w:default w:val="XX"/>
              <w:maxLength w:val="2"/>
            </w:textInput>
          </w:ffData>
        </w:fldChar>
      </w:r>
      <w:bookmarkStart w:id="2" w:name="SD"/>
      <w:r>
        <w:rPr>
          <w:rFonts w:ascii="黑体" w:hAnsi="黑体"/>
          <w:color w:val="auto"/>
        </w:rPr>
        <w:instrText xml:space="preserve"> FORMTEXT </w:instrText>
      </w:r>
      <w:r>
        <w:rPr>
          <w:rFonts w:ascii="黑体" w:hAnsi="黑体"/>
          <w:color w:val="auto"/>
        </w:rPr>
        <w:fldChar w:fldCharType="separate"/>
      </w:r>
      <w:r>
        <w:rPr>
          <w:rFonts w:ascii="黑体" w:hAnsi="黑体"/>
          <w:color w:val="auto"/>
        </w:rPr>
        <w:t>XX</w:t>
      </w:r>
      <w:r>
        <w:rPr>
          <w:rFonts w:ascii="黑体" w:hAnsi="黑体"/>
          <w:color w:val="auto"/>
        </w:rPr>
        <w:fldChar w:fldCharType="end"/>
      </w:r>
      <w:bookmarkEnd w:id="2"/>
      <w:r>
        <w:rPr>
          <w:rFonts w:hint="eastAsia" w:ascii="黑体" w:hAnsi="黑体"/>
          <w:color w:val="auto"/>
        </w:rPr>
        <w:t>实施</w:t>
      </w:r>
    </w:p>
    <w:p>
      <w:pPr>
        <w:pStyle w:val="36"/>
        <w:framePr w:w="3997" w:h="471" w:hRule="exact" w:vSpace="181" w:wrap="around" w:vAnchor="page" w:hAnchor="page" w:x="7064" w:y="14279" w:anchorLock="1"/>
        <w:rPr>
          <w:rFonts w:eastAsia="宋体"/>
          <w:color w:val="auto"/>
        </w:rPr>
      </w:pPr>
      <w:r>
        <w:rPr>
          <w:rFonts w:eastAsia="宋体"/>
          <w:color w:val="auto"/>
        </w:rPr>
        <w:drawing>
          <wp:anchor distT="0" distB="0" distL="114300" distR="114300" simplePos="0" relativeHeight="251665408" behindDoc="0" locked="0" layoutInCell="1" allowOverlap="1">
            <wp:simplePos x="0" y="0"/>
            <wp:positionH relativeFrom="margin">
              <wp:posOffset>4500880</wp:posOffset>
            </wp:positionH>
            <wp:positionV relativeFrom="paragraph">
              <wp:posOffset>8590280</wp:posOffset>
            </wp:positionV>
            <wp:extent cx="3895725" cy="93599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95725" cy="936082"/>
                    </a:xfrm>
                    <a:prstGeom prst="rect">
                      <a:avLst/>
                    </a:prstGeom>
                    <a:noFill/>
                    <a:ln>
                      <a:noFill/>
                    </a:ln>
                  </pic:spPr>
                </pic:pic>
              </a:graphicData>
            </a:graphic>
          </wp:anchor>
        </w:drawing>
      </w:r>
      <w:r>
        <w:rPr>
          <w:rFonts w:eastAsia="宋体"/>
          <w:color w:val="auto"/>
          <w:sz w:val="24"/>
          <w:szCs w:val="24"/>
        </w:rPr>
        <w:fldChar w:fldCharType="begin">
          <w:ffData>
            <w:name w:val="SY"/>
            <w:enabled/>
            <w:calcOnExit w:val="0"/>
            <w:entryMacro w:val="ShowHelp9"/>
            <w:textInput>
              <w:default w:val="XXXX"/>
              <w:maxLength w:val="4"/>
            </w:textInput>
          </w:ffData>
        </w:fldChar>
      </w:r>
      <w:r>
        <w:rPr>
          <w:rFonts w:eastAsia="宋体"/>
          <w:color w:val="auto"/>
          <w:sz w:val="24"/>
          <w:szCs w:val="24"/>
        </w:rPr>
        <w:instrText xml:space="preserve"> FORMTEXT </w:instrText>
      </w:r>
      <w:r>
        <w:rPr>
          <w:rFonts w:eastAsia="宋体"/>
          <w:color w:val="auto"/>
          <w:sz w:val="24"/>
          <w:szCs w:val="24"/>
        </w:rPr>
        <w:fldChar w:fldCharType="separate"/>
      </w:r>
      <w:r>
        <w:rPr>
          <w:rFonts w:eastAsia="宋体"/>
          <w:color w:val="auto"/>
          <w:sz w:val="24"/>
          <w:szCs w:val="24"/>
        </w:rPr>
        <w:t>XXXX</w:t>
      </w:r>
      <w:r>
        <w:rPr>
          <w:rFonts w:eastAsia="宋体"/>
          <w:color w:val="auto"/>
          <w:sz w:val="24"/>
          <w:szCs w:val="24"/>
        </w:rPr>
        <w:fldChar w:fldCharType="end"/>
      </w:r>
      <w:r>
        <w:rPr>
          <w:rFonts w:eastAsia="宋体"/>
          <w:color w:val="auto"/>
          <w:sz w:val="24"/>
          <w:szCs w:val="24"/>
        </w:rPr>
        <w:t xml:space="preserve"> - </w:t>
      </w:r>
      <w:r>
        <w:rPr>
          <w:rFonts w:eastAsia="宋体"/>
          <w:color w:val="auto"/>
          <w:sz w:val="24"/>
          <w:szCs w:val="24"/>
        </w:rPr>
        <w:fldChar w:fldCharType="begin">
          <w:ffData>
            <w:name w:val="SM"/>
            <w:enabled/>
            <w:calcOnExit w:val="0"/>
            <w:entryMacro w:val="ShowHelp9"/>
            <w:textInput>
              <w:default w:val="XX"/>
              <w:maxLength w:val="2"/>
            </w:textInput>
          </w:ffData>
        </w:fldChar>
      </w:r>
      <w:r>
        <w:rPr>
          <w:rFonts w:eastAsia="宋体"/>
          <w:color w:val="auto"/>
          <w:sz w:val="24"/>
          <w:szCs w:val="24"/>
        </w:rPr>
        <w:instrText xml:space="preserve"> FORMTEXT </w:instrText>
      </w:r>
      <w:r>
        <w:rPr>
          <w:rFonts w:eastAsia="宋体"/>
          <w:color w:val="auto"/>
          <w:sz w:val="24"/>
          <w:szCs w:val="24"/>
        </w:rPr>
        <w:fldChar w:fldCharType="separate"/>
      </w:r>
      <w:r>
        <w:rPr>
          <w:rFonts w:eastAsia="宋体"/>
          <w:color w:val="auto"/>
          <w:sz w:val="24"/>
          <w:szCs w:val="24"/>
        </w:rPr>
        <w:t>XX</w:t>
      </w:r>
      <w:r>
        <w:rPr>
          <w:rFonts w:eastAsia="宋体"/>
          <w:color w:val="auto"/>
          <w:sz w:val="24"/>
          <w:szCs w:val="24"/>
        </w:rPr>
        <w:fldChar w:fldCharType="end"/>
      </w:r>
      <w:r>
        <w:rPr>
          <w:rFonts w:eastAsia="宋体"/>
          <w:color w:val="auto"/>
          <w:sz w:val="24"/>
          <w:szCs w:val="24"/>
        </w:rPr>
        <w:t xml:space="preserve"> - </w:t>
      </w:r>
      <w:r>
        <w:rPr>
          <w:rFonts w:eastAsia="宋体"/>
          <w:color w:val="auto"/>
          <w:sz w:val="24"/>
          <w:szCs w:val="24"/>
        </w:rPr>
        <w:fldChar w:fldCharType="begin">
          <w:ffData>
            <w:name w:val="SD"/>
            <w:enabled/>
            <w:calcOnExit w:val="0"/>
            <w:entryMacro w:val="ShowHelp9"/>
            <w:textInput>
              <w:default w:val="XX"/>
              <w:maxLength w:val="2"/>
            </w:textInput>
          </w:ffData>
        </w:fldChar>
      </w:r>
      <w:r>
        <w:rPr>
          <w:rFonts w:eastAsia="宋体"/>
          <w:color w:val="auto"/>
          <w:sz w:val="24"/>
          <w:szCs w:val="24"/>
        </w:rPr>
        <w:instrText xml:space="preserve"> FORMTEXT </w:instrText>
      </w:r>
      <w:r>
        <w:rPr>
          <w:rFonts w:eastAsia="宋体"/>
          <w:color w:val="auto"/>
          <w:sz w:val="24"/>
          <w:szCs w:val="24"/>
        </w:rPr>
        <w:fldChar w:fldCharType="separate"/>
      </w:r>
      <w:r>
        <w:rPr>
          <w:rFonts w:eastAsia="宋体"/>
          <w:color w:val="auto"/>
          <w:sz w:val="24"/>
          <w:szCs w:val="24"/>
        </w:rPr>
        <w:t>XX</w:t>
      </w:r>
      <w:r>
        <w:rPr>
          <w:rFonts w:eastAsia="宋体"/>
          <w:color w:val="auto"/>
          <w:sz w:val="24"/>
          <w:szCs w:val="24"/>
        </w:rPr>
        <w:fldChar w:fldCharType="end"/>
      </w:r>
      <w:r>
        <w:rPr>
          <w:rFonts w:hint="eastAsia" w:eastAsia="宋体"/>
          <w:color w:val="auto"/>
        </w:rPr>
        <w:t>实施</w:t>
      </w:r>
    </w:p>
    <w:p>
      <w:pPr>
        <w:pStyle w:val="36"/>
        <w:framePr w:w="4665" w:h="506" w:hRule="exact" w:hSpace="125" w:wrap="around" w:vAnchor="page" w:hAnchor="page" w:x="1354" w:y="14197"/>
        <w:jc w:val="left"/>
        <w:rPr>
          <w:rFonts w:ascii="黑体" w:hAnsi="黑体"/>
          <w:color w:val="auto"/>
        </w:rPr>
      </w:pPr>
      <w:r>
        <w:rPr>
          <w:rFonts w:ascii="黑体" w:hAnsi="黑体"/>
          <w:color w:val="auto"/>
          <w:szCs w:val="28"/>
        </w:rPr>
        <w:fldChar w:fldCharType="begin">
          <w:ffData>
            <w:name w:val="SY"/>
            <w:enabled/>
            <w:calcOnExit w:val="0"/>
            <w:entryMacro w:val="ShowHelp9"/>
            <w:textInput>
              <w:default w:val="XXXX"/>
              <w:maxLength w:val="4"/>
            </w:textInput>
          </w:ffData>
        </w:fldChar>
      </w:r>
      <w:r>
        <w:rPr>
          <w:rFonts w:ascii="黑体" w:hAnsi="黑体"/>
          <w:color w:val="auto"/>
          <w:szCs w:val="28"/>
        </w:rPr>
        <w:instrText xml:space="preserve"> FORMTEXT </w:instrText>
      </w:r>
      <w:r>
        <w:rPr>
          <w:rFonts w:ascii="黑体" w:hAnsi="黑体"/>
          <w:color w:val="auto"/>
          <w:szCs w:val="28"/>
        </w:rPr>
        <w:fldChar w:fldCharType="separate"/>
      </w:r>
      <w:r>
        <w:rPr>
          <w:rFonts w:ascii="黑体" w:hAnsi="黑体"/>
          <w:color w:val="auto"/>
          <w:szCs w:val="28"/>
        </w:rPr>
        <w:t>XXXX</w:t>
      </w:r>
      <w:r>
        <w:rPr>
          <w:rFonts w:ascii="黑体" w:hAnsi="黑体"/>
          <w:color w:val="auto"/>
          <w:szCs w:val="28"/>
        </w:rPr>
        <w:fldChar w:fldCharType="end"/>
      </w:r>
      <w:r>
        <w:rPr>
          <w:rFonts w:ascii="黑体" w:hAnsi="黑体"/>
          <w:color w:val="auto"/>
          <w:szCs w:val="28"/>
        </w:rPr>
        <w:t>-</w:t>
      </w:r>
      <w:r>
        <w:rPr>
          <w:rFonts w:ascii="黑体" w:hAnsi="黑体"/>
          <w:color w:val="auto"/>
          <w:szCs w:val="28"/>
        </w:rPr>
        <w:fldChar w:fldCharType="begin">
          <w:ffData>
            <w:name w:val="SM"/>
            <w:enabled/>
            <w:calcOnExit w:val="0"/>
            <w:entryMacro w:val="ShowHelp9"/>
            <w:textInput>
              <w:default w:val="XX"/>
              <w:maxLength w:val="2"/>
            </w:textInput>
          </w:ffData>
        </w:fldChar>
      </w:r>
      <w:r>
        <w:rPr>
          <w:rFonts w:ascii="黑体" w:hAnsi="黑体"/>
          <w:color w:val="auto"/>
          <w:szCs w:val="28"/>
        </w:rPr>
        <w:instrText xml:space="preserve"> FORMTEXT </w:instrText>
      </w:r>
      <w:r>
        <w:rPr>
          <w:rFonts w:ascii="黑体" w:hAnsi="黑体"/>
          <w:color w:val="auto"/>
          <w:szCs w:val="28"/>
        </w:rPr>
        <w:fldChar w:fldCharType="separate"/>
      </w:r>
      <w:r>
        <w:rPr>
          <w:rFonts w:ascii="黑体" w:hAnsi="黑体"/>
          <w:color w:val="auto"/>
          <w:szCs w:val="28"/>
        </w:rPr>
        <w:t>XX</w:t>
      </w:r>
      <w:r>
        <w:rPr>
          <w:rFonts w:ascii="黑体" w:hAnsi="黑体"/>
          <w:color w:val="auto"/>
          <w:szCs w:val="28"/>
        </w:rPr>
        <w:fldChar w:fldCharType="end"/>
      </w:r>
      <w:r>
        <w:rPr>
          <w:rFonts w:ascii="黑体" w:hAnsi="黑体"/>
          <w:color w:val="auto"/>
          <w:szCs w:val="28"/>
        </w:rPr>
        <w:t>-</w:t>
      </w:r>
      <w:r>
        <w:rPr>
          <w:rFonts w:ascii="黑体" w:hAnsi="黑体"/>
          <w:color w:val="auto"/>
          <w:szCs w:val="28"/>
        </w:rPr>
        <w:fldChar w:fldCharType="begin">
          <w:ffData>
            <w:name w:val="SD"/>
            <w:enabled/>
            <w:calcOnExit w:val="0"/>
            <w:entryMacro w:val="ShowHelp9"/>
            <w:textInput>
              <w:default w:val="XX"/>
              <w:maxLength w:val="2"/>
            </w:textInput>
          </w:ffData>
        </w:fldChar>
      </w:r>
      <w:r>
        <w:rPr>
          <w:rFonts w:ascii="黑体" w:hAnsi="黑体"/>
          <w:color w:val="auto"/>
          <w:szCs w:val="28"/>
        </w:rPr>
        <w:instrText xml:space="preserve"> FORMTEXT </w:instrText>
      </w:r>
      <w:r>
        <w:rPr>
          <w:rFonts w:ascii="黑体" w:hAnsi="黑体"/>
          <w:color w:val="auto"/>
          <w:szCs w:val="28"/>
        </w:rPr>
        <w:fldChar w:fldCharType="separate"/>
      </w:r>
      <w:r>
        <w:rPr>
          <w:rFonts w:ascii="黑体" w:hAnsi="黑体"/>
          <w:color w:val="auto"/>
          <w:szCs w:val="28"/>
        </w:rPr>
        <w:t>XX</w:t>
      </w:r>
      <w:r>
        <w:rPr>
          <w:rFonts w:ascii="黑体" w:hAnsi="黑体"/>
          <w:color w:val="auto"/>
          <w:szCs w:val="28"/>
        </w:rPr>
        <w:fldChar w:fldCharType="end"/>
      </w:r>
      <w:r>
        <w:rPr>
          <w:rFonts w:hint="eastAsia" w:ascii="黑体" w:hAnsi="黑体"/>
          <w:color w:val="auto"/>
        </w:rPr>
        <w:t>发布</w:t>
      </w:r>
    </w:p>
    <w:p>
      <w:pPr>
        <w:pStyle w:val="38"/>
        <w:rPr>
          <w:color w:val="auto"/>
        </w:rPr>
      </w:pPr>
      <w:r>
        <w:rPr>
          <w:rFonts w:ascii="Times New Roman"/>
          <w:color w:val="auto"/>
        </w:rPr>
        <w:t>ICS</w:t>
      </w:r>
      <w:r>
        <w:rPr>
          <w:color w:val="auto"/>
        </w:rPr>
        <w:t>  77.120.10</w:t>
      </w:r>
    </w:p>
    <w:p>
      <w:pPr>
        <w:pStyle w:val="38"/>
        <w:rPr>
          <w:color w:val="auto"/>
        </w:rPr>
      </w:pPr>
      <w:r>
        <w:rPr>
          <w:rFonts w:hint="eastAsia" w:ascii="Times New Roman"/>
          <w:color w:val="auto"/>
        </w:rPr>
        <w:t xml:space="preserve">CCS </w:t>
      </w:r>
      <w:r>
        <w:rPr>
          <w:color w:val="auto"/>
        </w:rPr>
        <w:t>H 61</w:t>
      </w:r>
    </w:p>
    <w:p>
      <w:pPr>
        <w:pStyle w:val="21"/>
        <w:rPr>
          <w:rFonts w:ascii="Times New Roman" w:hAnsi="Times New Roman" w:eastAsia="宋体"/>
          <w:color w:val="auto"/>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r>
        <w:rPr>
          <w:rFonts w:ascii="Times New Roman" w:hAnsi="Times New Roman" w:eastAsia="宋体"/>
          <w:color w:val="auto"/>
        </w:rPr>
        <w:drawing>
          <wp:anchor distT="0" distB="0" distL="114300" distR="114300" simplePos="0" relativeHeight="251662336" behindDoc="0" locked="0" layoutInCell="1" allowOverlap="1">
            <wp:simplePos x="0" y="0"/>
            <wp:positionH relativeFrom="margin">
              <wp:posOffset>1353820</wp:posOffset>
            </wp:positionH>
            <wp:positionV relativeFrom="paragraph">
              <wp:posOffset>8783320</wp:posOffset>
            </wp:positionV>
            <wp:extent cx="3296285" cy="791845"/>
            <wp:effectExtent l="0" t="0" r="0" b="825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96285" cy="791845"/>
                    </a:xfrm>
                    <a:prstGeom prst="rect">
                      <a:avLst/>
                    </a:prstGeom>
                    <a:noFill/>
                    <a:ln>
                      <a:noFill/>
                    </a:ln>
                  </pic:spPr>
                </pic:pic>
              </a:graphicData>
            </a:graphic>
          </wp:anchor>
        </w:drawing>
      </w:r>
      <w:r>
        <w:rPr>
          <w:rFonts w:ascii="Times New Roman" w:hAnsi="Times New Roman" w:eastAsia="宋体"/>
          <w:color w:val="auto"/>
        </w:rPr>
        <mc:AlternateContent>
          <mc:Choice Requires="wps">
            <w:drawing>
              <wp:anchor distT="0" distB="0" distL="114300" distR="114300" simplePos="0" relativeHeight="251669504" behindDoc="0" locked="0" layoutInCell="1" allowOverlap="1">
                <wp:simplePos x="0" y="0"/>
                <wp:positionH relativeFrom="column">
                  <wp:posOffset>-24130</wp:posOffset>
                </wp:positionH>
                <wp:positionV relativeFrom="paragraph">
                  <wp:posOffset>8726170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9pt;margin-top:687.1pt;height:0pt;width:481.9pt;z-index:251669504;mso-width-relative:page;mso-height-relative:page;" filled="f" stroked="t" coordsize="21600,21600" o:gfxdata="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XkQF1wAAAAwB&#10;AAAPAAAAAAAAAAEAIAAAACIAAABkcnMvZG93bnJldi54bWxQSwECFAAUAAAACACHTuJAkBCRG+MB&#10;AACqAwAADgAAAAAAAAABACAAAAAmAQAAZHJzL2Uyb0RvYy54bWxQSwUGAAAAAAYABgBZAQAAewUA&#10;AAAA&#10;">
                <v:fill on="f" focussize="0,0"/>
                <v:stroke color="#000000" joinstyle="round"/>
                <v:imagedata o:title=""/>
                <o:lock v:ext="edit" aspectratio="f"/>
              </v:line>
            </w:pict>
          </mc:Fallback>
        </mc:AlternateContent>
      </w:r>
      <w:r>
        <w:rPr>
          <w:rFonts w:ascii="Times New Roman" w:hAnsi="Times New Roman" w:eastAsia="宋体"/>
          <w:color w:val="auto"/>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2260600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178pt;height:0pt;width:481.9pt;mso-position-horizontal:center;mso-position-horizontal-relative:margin;z-index:251673600;mso-width-relative:page;mso-height-relative:page;" filled="f" stroked="t" coordsize="21600,21600" o:gfxdata="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6veqdUAAAAIAQAA&#10;DwAAAAAAAAABACAAAAAiAAAAZHJzL2Rvd25yZXYueG1sUEsBAhQAFAAAAAgAh07iQOokenXjAQAA&#10;qgMAAA4AAAAAAAAAAQAgAAAAJAEAAGRycy9lMm9Eb2MueG1sUEsFBgAAAAAGAAYAWQEAAHkFAAAA&#10;AA==&#10;">
                <v:fill on="f" focussize="0,0"/>
                <v:stroke color="#000000" joinstyle="round"/>
                <v:imagedata o:title=""/>
                <o:lock v:ext="edit" aspectratio="f"/>
              </v:line>
            </w:pict>
          </mc:Fallback>
        </mc:AlternateContent>
      </w:r>
    </w:p>
    <w:p>
      <w:pPr>
        <w:pStyle w:val="44"/>
        <w:rPr>
          <w:rFonts w:hAnsi="黑体"/>
          <w:color w:val="auto"/>
        </w:rPr>
      </w:pPr>
      <w:r>
        <w:rPr>
          <w:rFonts w:hint="eastAsia" w:hAnsi="黑体"/>
          <w:color w:val="auto"/>
        </w:rPr>
        <w:t>前</w:t>
      </w:r>
      <w:bookmarkStart w:id="3" w:name="BKQY"/>
      <w:r>
        <w:rPr>
          <w:rFonts w:hAnsi="黑体"/>
          <w:color w:val="auto"/>
        </w:rPr>
        <w:t>  </w:t>
      </w:r>
      <w:r>
        <w:rPr>
          <w:rFonts w:hint="eastAsia" w:hAnsi="黑体"/>
          <w:color w:val="auto"/>
        </w:rPr>
        <w:t>言</w:t>
      </w:r>
      <w:bookmarkEnd w:id="3"/>
    </w:p>
    <w:p>
      <w:pPr>
        <w:pStyle w:val="21"/>
        <w:rPr>
          <w:rFonts w:hAnsi="宋体" w:eastAsia="宋体"/>
          <w:color w:val="auto"/>
          <w:szCs w:val="21"/>
        </w:rPr>
      </w:pPr>
      <w:r>
        <w:rPr>
          <w:rFonts w:hint="eastAsia" w:hAnsi="宋体"/>
          <w:color w:val="auto"/>
          <w:szCs w:val="21"/>
        </w:rPr>
        <w:t>本文件按照GB/T 1.1—2020《标准化工作导则  第1部分：标准化文件的结构和起草规则》的规定起草。</w:t>
      </w:r>
    </w:p>
    <w:p>
      <w:pPr>
        <w:pStyle w:val="21"/>
        <w:rPr>
          <w:rFonts w:hAnsi="宋体" w:eastAsia="宋体"/>
          <w:color w:val="auto"/>
          <w:szCs w:val="21"/>
        </w:rPr>
      </w:pPr>
      <w:r>
        <w:rPr>
          <w:rFonts w:hAnsi="宋体" w:eastAsia="宋体"/>
          <w:color w:val="auto"/>
          <w:szCs w:val="21"/>
        </w:rPr>
        <w:t>本</w:t>
      </w:r>
      <w:r>
        <w:rPr>
          <w:rFonts w:hint="eastAsia" w:hAnsi="宋体" w:eastAsia="宋体"/>
          <w:color w:val="auto"/>
          <w:szCs w:val="21"/>
        </w:rPr>
        <w:t>文件代替GB/T 34213</w:t>
      </w:r>
      <w:r>
        <w:rPr>
          <w:rFonts w:hint="eastAsia" w:hAnsi="宋体"/>
          <w:color w:val="auto"/>
          <w:szCs w:val="21"/>
        </w:rPr>
        <w:t>—</w:t>
      </w:r>
      <w:r>
        <w:rPr>
          <w:rFonts w:hint="eastAsia" w:hAnsi="宋体" w:eastAsia="宋体"/>
          <w:color w:val="auto"/>
          <w:szCs w:val="21"/>
        </w:rPr>
        <w:t>2017《蓝宝石衬底用高纯氧化铝》，与GB/T 34213</w:t>
      </w:r>
      <w:r>
        <w:rPr>
          <w:rFonts w:hint="eastAsia" w:hAnsi="宋体"/>
          <w:color w:val="auto"/>
          <w:szCs w:val="21"/>
        </w:rPr>
        <w:t>—</w:t>
      </w:r>
      <w:r>
        <w:rPr>
          <w:rFonts w:hint="eastAsia" w:hAnsi="宋体" w:eastAsia="宋体"/>
          <w:color w:val="auto"/>
          <w:szCs w:val="21"/>
        </w:rPr>
        <w:t>2017相比，除结构调整和编辑性改动外，主要技术变化如下：</w:t>
      </w:r>
    </w:p>
    <w:p>
      <w:pPr>
        <w:pStyle w:val="47"/>
        <w:numPr>
          <w:ilvl w:val="0"/>
          <w:numId w:val="4"/>
        </w:numPr>
        <w:ind w:firstLineChars="0"/>
        <w:rPr>
          <w:rFonts w:ascii="宋体" w:hAnsi="宋体"/>
          <w:color w:val="auto"/>
        </w:rPr>
      </w:pPr>
      <w:r>
        <w:rPr>
          <w:rFonts w:hint="eastAsia" w:ascii="宋体" w:hAnsi="宋体"/>
          <w:color w:val="auto"/>
        </w:rPr>
        <w:t>更改了标准的适用范围（见第1章，2</w:t>
      </w:r>
      <w:r>
        <w:rPr>
          <w:rFonts w:ascii="宋体" w:hAnsi="宋体"/>
          <w:color w:val="auto"/>
        </w:rPr>
        <w:t>017</w:t>
      </w:r>
      <w:r>
        <w:rPr>
          <w:rFonts w:hint="eastAsia" w:ascii="宋体" w:hAnsi="宋体"/>
          <w:color w:val="auto"/>
        </w:rPr>
        <w:t>年版的第1章）；</w:t>
      </w:r>
    </w:p>
    <w:p>
      <w:pPr>
        <w:pStyle w:val="47"/>
        <w:numPr>
          <w:ilvl w:val="0"/>
          <w:numId w:val="4"/>
        </w:numPr>
        <w:ind w:firstLineChars="0"/>
        <w:rPr>
          <w:rFonts w:ascii="宋体" w:hAnsi="宋体"/>
          <w:color w:val="auto"/>
        </w:rPr>
      </w:pPr>
      <w:r>
        <w:rPr>
          <w:rFonts w:hint="eastAsia" w:ascii="宋体" w:hAnsi="宋体"/>
          <w:color w:val="auto"/>
        </w:rPr>
        <w:t>删除了真密度和产品主要生产方式（见2</w:t>
      </w:r>
      <w:r>
        <w:rPr>
          <w:rFonts w:ascii="宋体" w:hAnsi="宋体"/>
          <w:color w:val="auto"/>
        </w:rPr>
        <w:t>017</w:t>
      </w:r>
      <w:r>
        <w:rPr>
          <w:rFonts w:hint="eastAsia" w:ascii="宋体" w:hAnsi="宋体"/>
          <w:color w:val="auto"/>
        </w:rPr>
        <w:t>年版的4</w:t>
      </w:r>
      <w:r>
        <w:rPr>
          <w:rFonts w:ascii="宋体" w:hAnsi="宋体"/>
          <w:color w:val="auto"/>
        </w:rPr>
        <w:t>.1</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增加了堆积密度、体积密度和规格的要求（见4.1）；</w:t>
      </w:r>
    </w:p>
    <w:p>
      <w:pPr>
        <w:pStyle w:val="47"/>
        <w:numPr>
          <w:ilvl w:val="0"/>
          <w:numId w:val="4"/>
        </w:numPr>
        <w:ind w:firstLineChars="0"/>
        <w:rPr>
          <w:rFonts w:ascii="宋体" w:hAnsi="宋体"/>
          <w:color w:val="auto"/>
        </w:rPr>
      </w:pPr>
      <w:r>
        <w:rPr>
          <w:rFonts w:hint="eastAsia" w:ascii="宋体" w:hAnsi="宋体"/>
          <w:color w:val="auto"/>
        </w:rPr>
        <w:t>更改了化学成分的要求（见4</w:t>
      </w:r>
      <w:r>
        <w:rPr>
          <w:rFonts w:ascii="宋体" w:hAnsi="宋体"/>
          <w:color w:val="auto"/>
        </w:rPr>
        <w:t>.2</w:t>
      </w:r>
      <w:r>
        <w:rPr>
          <w:rFonts w:hint="eastAsia" w:ascii="宋体" w:hAnsi="宋体"/>
          <w:color w:val="auto"/>
        </w:rPr>
        <w:t>，2</w:t>
      </w:r>
      <w:r>
        <w:rPr>
          <w:rFonts w:ascii="宋体" w:hAnsi="宋体"/>
          <w:color w:val="auto"/>
        </w:rPr>
        <w:t>017</w:t>
      </w:r>
      <w:r>
        <w:rPr>
          <w:rFonts w:hint="eastAsia" w:ascii="宋体" w:hAnsi="宋体"/>
          <w:color w:val="auto"/>
        </w:rPr>
        <w:t>年版的4</w:t>
      </w:r>
      <w:r>
        <w:rPr>
          <w:rFonts w:ascii="宋体" w:hAnsi="宋体"/>
          <w:color w:val="auto"/>
        </w:rPr>
        <w:t>.2</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增加了牌号的产品要求（见4</w:t>
      </w:r>
      <w:r>
        <w:rPr>
          <w:rFonts w:ascii="宋体" w:hAnsi="宋体"/>
          <w:color w:val="auto"/>
        </w:rPr>
        <w:t>.2</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更改了外观的要求（见4</w:t>
      </w:r>
      <w:r>
        <w:rPr>
          <w:rFonts w:ascii="宋体" w:hAnsi="宋体"/>
          <w:color w:val="auto"/>
        </w:rPr>
        <w:t>.3</w:t>
      </w:r>
      <w:r>
        <w:rPr>
          <w:rFonts w:hint="eastAsia" w:ascii="宋体" w:hAnsi="宋体"/>
          <w:color w:val="auto"/>
        </w:rPr>
        <w:t>，2</w:t>
      </w:r>
      <w:r>
        <w:rPr>
          <w:rFonts w:ascii="宋体" w:hAnsi="宋体"/>
          <w:color w:val="auto"/>
        </w:rPr>
        <w:t>017</w:t>
      </w:r>
      <w:r>
        <w:rPr>
          <w:rFonts w:hint="eastAsia" w:ascii="宋体" w:hAnsi="宋体"/>
          <w:color w:val="auto"/>
        </w:rPr>
        <w:t>年版的4</w:t>
      </w:r>
      <w:r>
        <w:rPr>
          <w:rFonts w:ascii="宋体" w:hAnsi="宋体"/>
          <w:color w:val="auto"/>
        </w:rPr>
        <w:t>.3</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更改了试验方法（见第5章，2</w:t>
      </w:r>
      <w:r>
        <w:rPr>
          <w:rFonts w:ascii="宋体" w:hAnsi="宋体"/>
          <w:color w:val="auto"/>
        </w:rPr>
        <w:t>017</w:t>
      </w:r>
      <w:r>
        <w:rPr>
          <w:rFonts w:hint="eastAsia" w:ascii="宋体" w:hAnsi="宋体"/>
          <w:color w:val="auto"/>
        </w:rPr>
        <w:t>年版的第5章）；</w:t>
      </w:r>
    </w:p>
    <w:p>
      <w:pPr>
        <w:pStyle w:val="47"/>
        <w:numPr>
          <w:ilvl w:val="0"/>
          <w:numId w:val="4"/>
        </w:numPr>
        <w:ind w:firstLineChars="0"/>
        <w:rPr>
          <w:rFonts w:ascii="宋体" w:hAnsi="宋体"/>
          <w:color w:val="auto"/>
        </w:rPr>
      </w:pPr>
      <w:r>
        <w:rPr>
          <w:rFonts w:hint="eastAsia" w:ascii="宋体" w:hAnsi="宋体"/>
          <w:color w:val="auto"/>
        </w:rPr>
        <w:t>更改了取样的要求（见6.4，2</w:t>
      </w:r>
      <w:r>
        <w:rPr>
          <w:rFonts w:ascii="宋体" w:hAnsi="宋体"/>
          <w:color w:val="auto"/>
        </w:rPr>
        <w:t>017</w:t>
      </w:r>
      <w:r>
        <w:rPr>
          <w:rFonts w:hint="eastAsia" w:ascii="宋体" w:hAnsi="宋体"/>
          <w:color w:val="auto"/>
        </w:rPr>
        <w:t>年版的6</w:t>
      </w:r>
      <w:r>
        <w:rPr>
          <w:rFonts w:ascii="宋体" w:hAnsi="宋体"/>
          <w:color w:val="auto"/>
        </w:rPr>
        <w:t>.4</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增加了产品包装的要求（见</w:t>
      </w:r>
      <w:r>
        <w:rPr>
          <w:rFonts w:ascii="宋体" w:hAnsi="宋体"/>
          <w:color w:val="auto"/>
        </w:rPr>
        <w:t>7.2</w:t>
      </w:r>
      <w:r>
        <w:rPr>
          <w:rFonts w:hint="eastAsia" w:ascii="宋体" w:hAnsi="宋体"/>
          <w:color w:val="auto"/>
        </w:rPr>
        <w:t>，2</w:t>
      </w:r>
      <w:r>
        <w:rPr>
          <w:rFonts w:ascii="宋体" w:hAnsi="宋体"/>
          <w:color w:val="auto"/>
        </w:rPr>
        <w:t>017</w:t>
      </w:r>
      <w:r>
        <w:rPr>
          <w:rFonts w:hint="eastAsia" w:ascii="宋体" w:hAnsi="宋体"/>
          <w:color w:val="auto"/>
        </w:rPr>
        <w:t>年版的</w:t>
      </w:r>
      <w:r>
        <w:rPr>
          <w:rFonts w:ascii="宋体" w:hAnsi="宋体"/>
          <w:color w:val="auto"/>
        </w:rPr>
        <w:t>7.2</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更改了标志及随行文件内容（见第7章，2</w:t>
      </w:r>
      <w:r>
        <w:rPr>
          <w:rFonts w:ascii="宋体" w:hAnsi="宋体"/>
          <w:color w:val="auto"/>
        </w:rPr>
        <w:t>017</w:t>
      </w:r>
      <w:r>
        <w:rPr>
          <w:rFonts w:hint="eastAsia" w:ascii="宋体" w:hAnsi="宋体"/>
          <w:color w:val="auto"/>
        </w:rPr>
        <w:t>年版的第7章）。</w:t>
      </w:r>
    </w:p>
    <w:p>
      <w:pPr>
        <w:ind w:firstLine="420" w:firstLineChars="200"/>
        <w:rPr>
          <w:rFonts w:ascii="宋体" w:hAnsi="宋体"/>
          <w:i/>
          <w:iCs/>
          <w:color w:val="auto"/>
          <w:szCs w:val="21"/>
        </w:rPr>
      </w:pPr>
      <w:r>
        <w:rPr>
          <w:rFonts w:hint="eastAsia" w:ascii="宋体" w:hAnsi="宋体"/>
          <w:i/>
          <w:iCs/>
          <w:color w:val="auto"/>
          <w:szCs w:val="21"/>
        </w:rPr>
        <w:t>请注意本文件的某些内容可能涉及专利。本文件的发布机构不承担识别专利的责任。</w:t>
      </w:r>
    </w:p>
    <w:p>
      <w:pPr>
        <w:ind w:firstLine="420" w:firstLineChars="200"/>
        <w:rPr>
          <w:rFonts w:ascii="宋体" w:hAnsi="宋体"/>
          <w:color w:val="auto"/>
          <w:szCs w:val="21"/>
        </w:rPr>
      </w:pPr>
      <w:r>
        <w:rPr>
          <w:rFonts w:hint="eastAsia" w:ascii="宋体" w:hAnsi="宋体"/>
          <w:color w:val="auto"/>
          <w:szCs w:val="21"/>
        </w:rPr>
        <w:t>本文件由全国半导体设备和材料标准化技术委员会（SAC/TC203）与全国半导体设备和材料标准化技术委员会材料分技术委员会（SAC/TC203/SC2）共同提出并归口。</w:t>
      </w:r>
    </w:p>
    <w:p>
      <w:pPr>
        <w:pStyle w:val="21"/>
        <w:rPr>
          <w:rFonts w:hint="eastAsia" w:hAnsi="宋体" w:eastAsiaTheme="minorEastAsia"/>
          <w:color w:val="auto"/>
          <w:lang w:val="en-US" w:eastAsia="zh-CN"/>
        </w:rPr>
      </w:pPr>
      <w:r>
        <w:rPr>
          <w:rFonts w:hAnsi="宋体" w:eastAsia="宋体"/>
          <w:color w:val="auto"/>
        </w:rPr>
        <w:t>本</w:t>
      </w:r>
      <w:r>
        <w:rPr>
          <w:rFonts w:hint="eastAsia" w:hAnsi="宋体" w:eastAsia="宋体"/>
          <w:color w:val="auto"/>
        </w:rPr>
        <w:t>文件</w:t>
      </w:r>
      <w:r>
        <w:rPr>
          <w:rFonts w:hAnsi="宋体" w:eastAsia="宋体"/>
          <w:color w:val="auto"/>
        </w:rPr>
        <w:t>起草单位：</w:t>
      </w:r>
      <w:r>
        <w:rPr>
          <w:rFonts w:hint="eastAsia"/>
          <w:color w:val="auto"/>
        </w:rPr>
        <w:t>山东恒晶新材料有限公司</w:t>
      </w:r>
      <w:r>
        <w:rPr>
          <w:rFonts w:hint="eastAsia"/>
          <w:color w:val="auto"/>
          <w:lang w:eastAsia="zh-CN"/>
        </w:rPr>
        <w:t>、苏州恒嘉晶体材料有限公司、四川鑫通新材料有限责任公司、</w:t>
      </w:r>
      <w:r>
        <w:rPr>
          <w:rFonts w:hint="eastAsia"/>
          <w:sz w:val="24"/>
          <w:szCs w:val="24"/>
          <w:lang w:eastAsia="zh-CN"/>
        </w:rPr>
        <w:t>青海圣诺光电科技有限公司</w:t>
      </w:r>
    </w:p>
    <w:p>
      <w:pPr>
        <w:pStyle w:val="28"/>
        <w:ind w:firstLine="420"/>
        <w:jc w:val="left"/>
        <w:rPr>
          <w:rFonts w:ascii="宋体" w:hAnsi="宋体"/>
          <w:color w:val="auto"/>
        </w:rPr>
      </w:pPr>
      <w:r>
        <w:rPr>
          <w:rFonts w:ascii="宋体" w:hAnsi="宋体"/>
          <w:color w:val="auto"/>
        </w:rPr>
        <w:t>本</w:t>
      </w:r>
      <w:r>
        <w:rPr>
          <w:rFonts w:hint="eastAsia" w:ascii="宋体" w:hAnsi="宋体"/>
          <w:color w:val="auto"/>
        </w:rPr>
        <w:t>文件</w:t>
      </w:r>
      <w:r>
        <w:rPr>
          <w:rFonts w:ascii="宋体" w:hAnsi="宋体"/>
          <w:color w:val="auto"/>
        </w:rPr>
        <w:t>主要起草人：</w:t>
      </w:r>
      <w:r>
        <w:rPr>
          <w:rFonts w:hint="eastAsia" w:ascii="宋体" w:hAnsi="宋体"/>
          <w:color w:val="auto"/>
        </w:rPr>
        <w:t>……</w:t>
      </w:r>
    </w:p>
    <w:p>
      <w:pPr>
        <w:pStyle w:val="28"/>
        <w:ind w:firstLine="420"/>
        <w:jc w:val="left"/>
        <w:rPr>
          <w:rFonts w:ascii="宋体" w:hAnsi="宋体"/>
          <w:color w:val="auto"/>
        </w:rPr>
      </w:pPr>
      <w:r>
        <w:rPr>
          <w:rFonts w:hint="eastAsia" w:ascii="宋体" w:hAnsi="宋体"/>
          <w:color w:val="auto"/>
        </w:rPr>
        <w:t>本文件及其所代替文件的历次版本发布情况为：</w:t>
      </w:r>
    </w:p>
    <w:p>
      <w:pPr>
        <w:ind w:left="865" w:leftChars="210" w:hanging="424" w:hangingChars="202"/>
        <w:rPr>
          <w:rFonts w:ascii="宋体" w:hAnsi="宋体"/>
          <w:color w:val="auto"/>
          <w:szCs w:val="21"/>
        </w:rPr>
      </w:pPr>
      <w:r>
        <w:rPr>
          <w:rFonts w:hint="eastAsia" w:ascii="宋体" w:hAnsi="宋体"/>
          <w:color w:val="auto"/>
          <w:szCs w:val="21"/>
        </w:rPr>
        <w:t>——20</w:t>
      </w:r>
      <w:r>
        <w:rPr>
          <w:rFonts w:ascii="宋体" w:hAnsi="宋体"/>
          <w:color w:val="auto"/>
          <w:szCs w:val="21"/>
        </w:rPr>
        <w:t>17</w:t>
      </w:r>
      <w:r>
        <w:rPr>
          <w:rFonts w:hint="eastAsia" w:ascii="宋体" w:hAnsi="宋体"/>
          <w:color w:val="auto"/>
          <w:szCs w:val="21"/>
        </w:rPr>
        <w:t>年首次发布为GB/T 34213</w:t>
      </w:r>
      <w:r>
        <w:rPr>
          <w:rFonts w:hint="eastAsia" w:hAnsi="宋体"/>
          <w:color w:val="auto"/>
          <w:szCs w:val="21"/>
        </w:rPr>
        <w:t>—</w:t>
      </w:r>
      <w:r>
        <w:rPr>
          <w:rFonts w:hint="eastAsia" w:ascii="宋体" w:hAnsi="宋体"/>
          <w:color w:val="auto"/>
          <w:szCs w:val="21"/>
        </w:rPr>
        <w:t>20</w:t>
      </w:r>
      <w:r>
        <w:rPr>
          <w:rFonts w:ascii="宋体" w:hAnsi="宋体"/>
          <w:color w:val="auto"/>
          <w:szCs w:val="21"/>
        </w:rPr>
        <w:t>17</w:t>
      </w:r>
      <w:r>
        <w:rPr>
          <w:rFonts w:hint="eastAsia" w:ascii="宋体" w:hAnsi="宋体"/>
          <w:color w:val="auto"/>
          <w:szCs w:val="21"/>
        </w:rPr>
        <w:t>；</w:t>
      </w:r>
    </w:p>
    <w:p>
      <w:pPr>
        <w:pStyle w:val="21"/>
        <w:rPr>
          <w:rFonts w:ascii="Times New Roman" w:hAnsi="Times New Roman" w:eastAsia="宋体"/>
          <w:color w:val="auto"/>
        </w:rPr>
      </w:pPr>
      <w:r>
        <w:rPr>
          <w:rFonts w:hint="eastAsia" w:hAnsi="宋体"/>
          <w:color w:val="auto"/>
          <w:szCs w:val="21"/>
        </w:rPr>
        <w:t>——本次为第一次修订。</w:t>
      </w:r>
    </w:p>
    <w:p>
      <w:pPr>
        <w:pStyle w:val="21"/>
        <w:rPr>
          <w:rFonts w:ascii="Times New Roman" w:hAnsi="Times New Roman" w:eastAsia="宋体"/>
          <w:color w:val="auto"/>
        </w:rPr>
        <w:sectPr>
          <w:headerReference r:id="rId6" w:type="default"/>
          <w:footerReference r:id="rId7" w:type="default"/>
          <w:pgSz w:w="11906" w:h="16838"/>
          <w:pgMar w:top="567" w:right="1134" w:bottom="1134" w:left="1417" w:header="1418" w:footer="1134" w:gutter="0"/>
          <w:pgNumType w:fmt="upperRoman" w:start="1"/>
          <w:cols w:space="720" w:num="1"/>
          <w:formProt w:val="0"/>
          <w:docGrid w:type="lines" w:linePitch="312" w:charSpace="0"/>
        </w:sectPr>
      </w:pPr>
    </w:p>
    <w:p>
      <w:pPr>
        <w:pStyle w:val="33"/>
        <w:spacing w:line="240" w:lineRule="auto"/>
        <w:rPr>
          <w:rFonts w:hAnsi="黑体"/>
          <w:color w:val="auto"/>
          <w:sz w:val="32"/>
          <w:szCs w:val="32"/>
        </w:rPr>
      </w:pPr>
      <w:r>
        <w:rPr>
          <w:rFonts w:hint="eastAsia" w:hAnsi="黑体"/>
          <w:color w:val="auto"/>
          <w:sz w:val="32"/>
          <w:szCs w:val="32"/>
        </w:rPr>
        <w:t>蓝宝石单晶用高纯氧化铝</w:t>
      </w:r>
    </w:p>
    <w:p>
      <w:pPr>
        <w:pStyle w:val="39"/>
        <w:numPr>
          <w:ilvl w:val="0"/>
          <w:numId w:val="3"/>
        </w:numPr>
        <w:rPr>
          <w:rFonts w:hAnsi="黑体" w:cs="宋体"/>
          <w:color w:val="auto"/>
        </w:rPr>
      </w:pPr>
      <w:r>
        <w:rPr>
          <w:rFonts w:hint="eastAsia" w:hAnsi="黑体" w:cs="宋体"/>
          <w:color w:val="auto"/>
        </w:rPr>
        <w:t>范围</w:t>
      </w:r>
    </w:p>
    <w:p>
      <w:pPr>
        <w:pStyle w:val="64"/>
        <w:rPr>
          <w:rFonts w:cs="宋体"/>
          <w:color w:val="auto"/>
        </w:rPr>
      </w:pPr>
      <w:r>
        <w:rPr>
          <w:rFonts w:hint="eastAsia" w:cs="宋体"/>
          <w:color w:val="auto"/>
        </w:rPr>
        <w:t>本文件规定了蓝宝石单晶用高纯氧化铝的技术要求、试验方法、检验规则、标志、包装、运输、贮存、随行文件和订货单内容。</w:t>
      </w:r>
    </w:p>
    <w:p>
      <w:pPr>
        <w:pStyle w:val="64"/>
        <w:rPr>
          <w:rFonts w:cs="宋体"/>
          <w:color w:val="auto"/>
        </w:rPr>
      </w:pPr>
      <w:r>
        <w:rPr>
          <w:rFonts w:hint="eastAsia" w:cs="宋体"/>
          <w:color w:val="auto"/>
        </w:rPr>
        <w:t>本文件适用于蓝宝石单晶用高纯氧化铝（以下简称高纯氧化铝），其他用途的高纯氧化铝可参照本文件执行。</w:t>
      </w:r>
    </w:p>
    <w:p>
      <w:pPr>
        <w:pStyle w:val="39"/>
        <w:numPr>
          <w:ilvl w:val="0"/>
          <w:numId w:val="3"/>
        </w:numPr>
        <w:rPr>
          <w:rFonts w:hAnsi="黑体" w:cs="宋体"/>
          <w:color w:val="auto"/>
        </w:rPr>
      </w:pPr>
      <w:r>
        <w:rPr>
          <w:rFonts w:hint="eastAsia" w:hAnsi="黑体" w:cs="宋体"/>
          <w:color w:val="auto"/>
        </w:rPr>
        <w:t>规范性引用文件</w:t>
      </w:r>
    </w:p>
    <w:p>
      <w:pPr>
        <w:pStyle w:val="65"/>
        <w:rPr>
          <w:rFonts w:hAnsi="宋体" w:cs="宋体"/>
          <w:color w:val="auto"/>
        </w:rPr>
      </w:pPr>
      <w:r>
        <w:rPr>
          <w:rFonts w:hint="eastAsia" w:hAnsi="宋体" w:cs="宋体"/>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5"/>
        <w:rPr>
          <w:rFonts w:hint="eastAsia" w:hAnsi="宋体" w:cs="宋体"/>
          <w:color w:val="auto"/>
        </w:rPr>
      </w:pPr>
      <w:r>
        <w:rPr>
          <w:rFonts w:hint="eastAsia" w:hAnsi="宋体" w:cs="宋体"/>
          <w:color w:val="auto"/>
        </w:rPr>
        <w:t>GB/T 14264  半导体材料术语</w:t>
      </w:r>
    </w:p>
    <w:p>
      <w:pPr>
        <w:ind w:firstLine="420" w:firstLineChars="20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GB/T 16418  颗粒系统术语</w:t>
      </w:r>
    </w:p>
    <w:p>
      <w:pPr>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0"/>
        </w:rPr>
        <w:t xml:space="preserve">GB/T 23771 </w:t>
      </w:r>
      <w:r>
        <w:rPr>
          <w:rFonts w:cs="宋体" w:asciiTheme="minorEastAsia" w:hAnsiTheme="minorEastAsia" w:eastAsiaTheme="minorEastAsia"/>
          <w:color w:val="auto"/>
          <w:kern w:val="0"/>
          <w:szCs w:val="20"/>
        </w:rPr>
        <w:t xml:space="preserve"> </w:t>
      </w:r>
      <w:r>
        <w:rPr>
          <w:rFonts w:hint="eastAsia" w:cs="宋体" w:asciiTheme="minorEastAsia" w:hAnsiTheme="minorEastAsia" w:eastAsiaTheme="minorEastAsia"/>
          <w:color w:val="auto"/>
          <w:kern w:val="0"/>
          <w:szCs w:val="20"/>
        </w:rPr>
        <w:t xml:space="preserve">无机化工产品中堆积密度的测定  </w:t>
      </w:r>
      <w:r>
        <w:rPr>
          <w:rFonts w:hint="eastAsia" w:cs="宋体" w:asciiTheme="minorEastAsia" w:hAnsiTheme="minorEastAsia" w:eastAsiaTheme="minorEastAsia"/>
          <w:color w:val="auto"/>
          <w:szCs w:val="21"/>
        </w:rPr>
        <w:t>堆积密度的测定</w:t>
      </w:r>
    </w:p>
    <w:p>
      <w:pPr>
        <w:widowControl/>
        <w:spacing w:line="223" w:lineRule="atLeast"/>
        <w:ind w:firstLine="420" w:firstLineChars="200"/>
        <w:jc w:val="left"/>
        <w:rPr>
          <w:rFonts w:ascii="宋体" w:hAnsi="宋体" w:cs="宋体"/>
          <w:color w:val="auto"/>
          <w:kern w:val="0"/>
          <w:szCs w:val="20"/>
        </w:rPr>
      </w:pPr>
      <w:r>
        <w:rPr>
          <w:rFonts w:hint="eastAsia" w:ascii="宋体" w:hAnsi="宋体" w:cs="宋体"/>
          <w:color w:val="auto"/>
          <w:kern w:val="0"/>
          <w:szCs w:val="20"/>
        </w:rPr>
        <w:t>GB/T 2997  致密定型耐火制品体积密度、显气孔率和真气孔率试验方法</w:t>
      </w:r>
    </w:p>
    <w:p>
      <w:pPr>
        <w:pStyle w:val="21"/>
      </w:pPr>
      <w:r>
        <w:rPr>
          <w:rFonts w:hint="eastAsia" w:cs="宋体" w:asciiTheme="minorEastAsia" w:hAnsiTheme="minorEastAsia" w:eastAsiaTheme="minorEastAsia"/>
          <w:color w:val="auto"/>
          <w:szCs w:val="21"/>
          <w:lang w:val="en-US" w:eastAsia="zh-CN"/>
        </w:rPr>
        <w:t>GB/T 33236</w:t>
      </w:r>
      <w:r>
        <w:t xml:space="preserve"> </w:t>
      </w:r>
      <w:r>
        <w:rPr>
          <w:rFonts w:hint="eastAsia"/>
        </w:rPr>
        <w:t>多晶</w:t>
      </w:r>
      <w:r>
        <w:t>硅</w:t>
      </w:r>
      <w:r>
        <w:rPr>
          <w:rFonts w:hint="eastAsia"/>
        </w:rPr>
        <w:t xml:space="preserve"> 痕量元素化学分析 辉光放电质谱法</w:t>
      </w:r>
    </w:p>
    <w:p>
      <w:pPr>
        <w:ind w:firstLine="420" w:firstLineChars="200"/>
        <w:rPr>
          <w:rFonts w:hint="eastAsia" w:ascii="宋体" w:hAnsi="宋体" w:eastAsia="宋体" w:cs="宋体"/>
          <w:color w:val="auto"/>
          <w:szCs w:val="21"/>
          <w:lang w:eastAsia="zh-CN"/>
        </w:rPr>
      </w:pPr>
      <w:r>
        <w:rPr>
          <w:rFonts w:hint="eastAsia" w:cs="宋体" w:asciiTheme="minorEastAsia" w:hAnsiTheme="minorEastAsia" w:eastAsiaTheme="minorEastAsia"/>
          <w:color w:val="auto"/>
          <w:szCs w:val="21"/>
        </w:rPr>
        <w:t>GB/T 37248  高纯氧化</w:t>
      </w:r>
      <w:r>
        <w:rPr>
          <w:rFonts w:hint="eastAsia" w:ascii="宋体" w:hAnsi="宋体" w:cs="宋体"/>
          <w:color w:val="auto"/>
          <w:szCs w:val="21"/>
        </w:rPr>
        <w:t xml:space="preserve">铝痕量金属元素的测定 </w:t>
      </w:r>
      <w:r>
        <w:rPr>
          <w:rFonts w:ascii="宋体" w:hAnsi="宋体" w:cs="宋体"/>
          <w:color w:val="auto"/>
          <w:szCs w:val="21"/>
        </w:rPr>
        <w:t xml:space="preserve"> </w:t>
      </w:r>
      <w:r>
        <w:rPr>
          <w:rFonts w:hint="eastAsia" w:ascii="宋体" w:hAnsi="宋体" w:cs="宋体"/>
          <w:color w:val="auto"/>
          <w:szCs w:val="21"/>
        </w:rPr>
        <w:t>电感耦合等离子体发射光谱法</w:t>
      </w:r>
    </w:p>
    <w:p>
      <w:pPr>
        <w:pStyle w:val="65"/>
        <w:rPr>
          <w:rFonts w:hAnsi="宋体" w:cs="宋体"/>
          <w:color w:val="auto"/>
        </w:rPr>
      </w:pPr>
      <w:r>
        <w:rPr>
          <w:rFonts w:hint="eastAsia" w:hAnsi="宋体" w:cs="宋体"/>
          <w:color w:val="auto"/>
        </w:rPr>
        <w:t>GB/T 6609.22  氧化铝化学分析方法和物理性能测定方法 取样</w:t>
      </w:r>
    </w:p>
    <w:p>
      <w:pPr>
        <w:pStyle w:val="65"/>
        <w:rPr>
          <w:rFonts w:cs="宋体" w:asciiTheme="minorEastAsia" w:hAnsiTheme="minorEastAsia" w:eastAsiaTheme="minorEastAsia"/>
          <w:color w:val="auto"/>
        </w:rPr>
      </w:pPr>
    </w:p>
    <w:p>
      <w:pPr>
        <w:pStyle w:val="39"/>
        <w:numPr>
          <w:ilvl w:val="0"/>
          <w:numId w:val="3"/>
        </w:numPr>
        <w:rPr>
          <w:rFonts w:hAnsi="黑体" w:cs="宋体"/>
          <w:color w:val="auto"/>
        </w:rPr>
      </w:pPr>
      <w:r>
        <w:rPr>
          <w:rFonts w:hint="eastAsia" w:hAnsi="黑体" w:cs="宋体"/>
          <w:color w:val="auto"/>
        </w:rPr>
        <w:t>术语和定义</w:t>
      </w:r>
    </w:p>
    <w:p>
      <w:pPr>
        <w:pStyle w:val="39"/>
        <w:ind w:left="420" w:leftChars="200" w:firstLine="0"/>
        <w:rPr>
          <w:rFonts w:hint="eastAsia" w:ascii="宋体" w:hAnsi="宋体" w:eastAsia="宋体" w:cs="宋体"/>
          <w:color w:val="auto"/>
        </w:rPr>
      </w:pPr>
      <w:r>
        <w:rPr>
          <w:rFonts w:hint="eastAsia" w:ascii="宋体" w:hAnsi="宋体" w:eastAsia="宋体" w:cs="宋体"/>
          <w:color w:val="auto"/>
        </w:rPr>
        <w:t>GB/T 14264和GB/T 16418界定的术语和定义适用于本文件。</w:t>
      </w:r>
    </w:p>
    <w:p>
      <w:pPr>
        <w:pStyle w:val="39"/>
        <w:numPr>
          <w:ilvl w:val="0"/>
          <w:numId w:val="3"/>
        </w:numPr>
        <w:rPr>
          <w:rFonts w:hAnsi="黑体" w:cs="宋体"/>
          <w:color w:val="auto"/>
        </w:rPr>
      </w:pPr>
      <w:bookmarkStart w:id="4" w:name="DW"/>
      <w:bookmarkEnd w:id="4"/>
      <w:r>
        <w:rPr>
          <w:rFonts w:hint="eastAsia" w:hAnsi="黑体" w:cs="宋体"/>
          <w:color w:val="auto"/>
        </w:rPr>
        <w:t>技术要求</w:t>
      </w:r>
    </w:p>
    <w:p>
      <w:pPr>
        <w:spacing w:before="156" w:beforeLines="50" w:after="156" w:afterLines="50"/>
        <w:jc w:val="left"/>
        <w:rPr>
          <w:rFonts w:hint="eastAsia" w:ascii="宋体" w:hAnsi="宋体" w:eastAsia="黑体" w:cs="宋体"/>
          <w:color w:val="auto"/>
          <w:szCs w:val="21"/>
          <w:lang w:eastAsia="zh-CN"/>
        </w:rPr>
      </w:pPr>
      <w:r>
        <w:rPr>
          <w:rFonts w:ascii="黑体" w:hAnsi="黑体" w:eastAsia="黑体" w:cs="宋体"/>
          <w:color w:val="auto"/>
          <w:szCs w:val="21"/>
        </w:rPr>
        <w:t>4.1</w:t>
      </w:r>
      <w:r>
        <w:rPr>
          <w:rFonts w:ascii="黑体" w:hAnsi="黑体" w:eastAsia="黑体" w:cs="宋体"/>
          <w:color w:val="auto"/>
          <w:kern w:val="0"/>
          <w:szCs w:val="20"/>
        </w:rPr>
        <w:t xml:space="preserve">  </w:t>
      </w:r>
      <w:r>
        <w:rPr>
          <w:rFonts w:hint="eastAsia" w:ascii="黑体" w:hAnsi="黑体" w:eastAsia="黑体" w:cs="宋体"/>
          <w:color w:val="auto"/>
          <w:kern w:val="0"/>
          <w:szCs w:val="20"/>
        </w:rPr>
        <w:t>密度及</w:t>
      </w:r>
      <w:r>
        <w:rPr>
          <w:rFonts w:hint="eastAsia" w:ascii="黑体" w:hAnsi="黑体" w:eastAsia="黑体" w:cs="宋体"/>
          <w:color w:val="auto"/>
          <w:kern w:val="0"/>
          <w:szCs w:val="20"/>
          <w:lang w:eastAsia="zh-CN"/>
        </w:rPr>
        <w:t>尺寸</w:t>
      </w:r>
    </w:p>
    <w:p>
      <w:pPr>
        <w:ind w:firstLine="420" w:firstLineChars="200"/>
        <w:jc w:val="left"/>
        <w:rPr>
          <w:rFonts w:ascii="宋体" w:hAnsi="宋体" w:cs="宋体"/>
          <w:color w:val="auto"/>
          <w:szCs w:val="21"/>
        </w:rPr>
      </w:pPr>
      <w:r>
        <w:rPr>
          <w:rFonts w:hint="eastAsia" w:ascii="宋体" w:hAnsi="宋体" w:cs="宋体"/>
          <w:color w:val="auto"/>
          <w:szCs w:val="21"/>
        </w:rPr>
        <w:t>高纯氧化铝的密度及</w:t>
      </w:r>
      <w:r>
        <w:rPr>
          <w:rFonts w:hint="eastAsia" w:ascii="宋体" w:hAnsi="宋体" w:cs="宋体"/>
          <w:color w:val="auto"/>
          <w:szCs w:val="21"/>
          <w:lang w:eastAsia="zh-CN"/>
        </w:rPr>
        <w:t>尺寸</w:t>
      </w:r>
      <w:r>
        <w:rPr>
          <w:rFonts w:hint="eastAsia" w:ascii="宋体" w:hAnsi="宋体" w:cs="宋体"/>
          <w:color w:val="auto"/>
          <w:szCs w:val="21"/>
        </w:rPr>
        <w:t>应符合表1的规定。</w:t>
      </w:r>
    </w:p>
    <w:p>
      <w:pPr>
        <w:spacing w:before="156" w:beforeLines="50" w:after="156" w:afterLines="50"/>
        <w:jc w:val="center"/>
        <w:rPr>
          <w:rFonts w:hint="eastAsia" w:ascii="宋体" w:hAnsi="宋体" w:eastAsia="黑体" w:cs="宋体"/>
          <w:color w:val="auto"/>
          <w:szCs w:val="21"/>
          <w:lang w:eastAsia="zh-CN"/>
        </w:rPr>
      </w:pPr>
      <w:r>
        <w:rPr>
          <w:rFonts w:hint="eastAsia" w:ascii="黑体" w:hAnsi="黑体" w:eastAsia="黑体" w:cs="宋体"/>
          <w:color w:val="auto"/>
          <w:szCs w:val="21"/>
        </w:rPr>
        <w:t>表1密度</w:t>
      </w:r>
      <w:r>
        <w:rPr>
          <w:rFonts w:hint="eastAsia" w:ascii="黑体" w:hAnsi="黑体" w:eastAsia="黑体" w:cs="宋体"/>
          <w:color w:val="auto"/>
          <w:szCs w:val="21"/>
          <w:lang w:eastAsia="zh-CN"/>
        </w:rPr>
        <w:t>及尺寸</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2165"/>
        <w:gridCol w:w="263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产品种类</w:t>
            </w:r>
          </w:p>
        </w:tc>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堆积密度</w:t>
            </w:r>
          </w:p>
          <w:p>
            <w:pPr>
              <w:jc w:val="center"/>
              <w:rPr>
                <w:rFonts w:hint="eastAsia" w:ascii="宋体" w:hAnsi="宋体" w:cs="宋体"/>
                <w:color w:val="auto"/>
                <w:sz w:val="18"/>
                <w:szCs w:val="18"/>
              </w:rPr>
            </w:pPr>
            <w:r>
              <w:rPr>
                <w:rFonts w:hint="eastAsia" w:ascii="宋体" w:hAnsi="宋体" w:cs="宋体"/>
                <w:color w:val="auto"/>
                <w:sz w:val="18"/>
                <w:szCs w:val="18"/>
              </w:rPr>
              <w:t>g</w:t>
            </w:r>
            <w:r>
              <w:rPr>
                <w:rFonts w:ascii="宋体" w:hAnsi="宋体" w:cs="宋体"/>
                <w:color w:val="auto"/>
                <w:sz w:val="18"/>
                <w:szCs w:val="18"/>
              </w:rPr>
              <w:t>/cm</w:t>
            </w:r>
            <w:r>
              <w:rPr>
                <w:rFonts w:ascii="宋体" w:hAnsi="宋体" w:cs="宋体"/>
                <w:color w:val="auto"/>
                <w:sz w:val="18"/>
                <w:szCs w:val="18"/>
                <w:vertAlign w:val="superscript"/>
              </w:rPr>
              <w:t>3</w:t>
            </w:r>
          </w:p>
        </w:tc>
        <w:tc>
          <w:tcPr>
            <w:tcW w:w="1376" w:type="pct"/>
            <w:vAlign w:val="center"/>
          </w:tcPr>
          <w:p>
            <w:pPr>
              <w:jc w:val="center"/>
              <w:rPr>
                <w:rFonts w:ascii="宋体" w:hAnsi="宋体" w:cs="宋体"/>
                <w:color w:val="auto"/>
                <w:sz w:val="18"/>
                <w:szCs w:val="18"/>
              </w:rPr>
            </w:pPr>
            <w:r>
              <w:rPr>
                <w:rFonts w:hint="eastAsia" w:ascii="宋体" w:hAnsi="宋体" w:cs="宋体"/>
                <w:color w:val="auto"/>
                <w:sz w:val="18"/>
                <w:szCs w:val="18"/>
              </w:rPr>
              <w:t>体积密度</w:t>
            </w:r>
          </w:p>
          <w:p>
            <w:pPr>
              <w:jc w:val="center"/>
              <w:rPr>
                <w:rFonts w:hint="eastAsia" w:ascii="宋体" w:hAnsi="宋体" w:cs="宋体"/>
                <w:color w:val="auto"/>
                <w:sz w:val="18"/>
                <w:szCs w:val="18"/>
              </w:rPr>
            </w:pPr>
            <w:r>
              <w:rPr>
                <w:rFonts w:hint="eastAsia" w:ascii="宋体" w:hAnsi="宋体" w:cs="宋体"/>
                <w:color w:val="auto"/>
                <w:sz w:val="18"/>
                <w:szCs w:val="18"/>
              </w:rPr>
              <w:t>g</w:t>
            </w:r>
            <w:r>
              <w:rPr>
                <w:rFonts w:ascii="宋体" w:hAnsi="宋体" w:cs="宋体"/>
                <w:color w:val="auto"/>
                <w:sz w:val="18"/>
                <w:szCs w:val="18"/>
              </w:rPr>
              <w:t>/cm</w:t>
            </w:r>
            <w:r>
              <w:rPr>
                <w:rFonts w:ascii="宋体" w:hAnsi="宋体" w:cs="宋体"/>
                <w:color w:val="auto"/>
                <w:sz w:val="18"/>
                <w:szCs w:val="18"/>
                <w:vertAlign w:val="superscript"/>
              </w:rPr>
              <w:t>3</w:t>
            </w:r>
          </w:p>
        </w:tc>
        <w:tc>
          <w:tcPr>
            <w:tcW w:w="1361" w:type="pct"/>
            <w:vAlign w:val="center"/>
          </w:tcPr>
          <w:p>
            <w:pPr>
              <w:jc w:val="center"/>
              <w:rPr>
                <w:rFonts w:ascii="宋体" w:hAnsi="宋体" w:cs="宋体"/>
                <w:color w:val="auto"/>
                <w:sz w:val="18"/>
                <w:szCs w:val="18"/>
              </w:rPr>
            </w:pPr>
            <w:r>
              <w:rPr>
                <w:rFonts w:hint="eastAsia" w:ascii="宋体" w:hAnsi="宋体" w:cs="宋体"/>
                <w:color w:val="auto"/>
                <w:sz w:val="18"/>
                <w:szCs w:val="18"/>
                <w:lang w:eastAsia="zh-CN"/>
              </w:rPr>
              <w:t>尺寸</w:t>
            </w:r>
          </w:p>
          <w:p>
            <w:pPr>
              <w:jc w:val="center"/>
              <w:rPr>
                <w:rFonts w:ascii="宋体" w:hAnsi="宋体" w:cs="宋体"/>
                <w:color w:val="auto"/>
                <w:sz w:val="18"/>
                <w:szCs w:val="18"/>
              </w:rPr>
            </w:pPr>
            <w:r>
              <w:rPr>
                <w:rFonts w:hint="eastAsia" w:ascii="宋体" w:hAnsi="宋体" w:cs="宋体"/>
                <w:color w:val="auto"/>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多晶-碎晶</w:t>
            </w:r>
          </w:p>
        </w:tc>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1.7～1.9</w:t>
            </w:r>
          </w:p>
        </w:tc>
        <w:tc>
          <w:tcPr>
            <w:tcW w:w="1376" w:type="pct"/>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1361" w:type="pct"/>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多晶-块晶</w:t>
            </w:r>
          </w:p>
        </w:tc>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1376" w:type="pct"/>
            <w:vAlign w:val="center"/>
          </w:tcPr>
          <w:p>
            <w:pPr>
              <w:jc w:val="center"/>
              <w:rPr>
                <w:rFonts w:ascii="宋体" w:hAnsi="宋体" w:cs="宋体"/>
                <w:color w:val="auto"/>
                <w:sz w:val="18"/>
                <w:szCs w:val="18"/>
              </w:rPr>
            </w:pPr>
            <w:r>
              <w:rPr>
                <w:rFonts w:hint="eastAsia" w:ascii="宋体" w:hAnsi="宋体" w:cs="宋体"/>
                <w:color w:val="auto"/>
                <w:sz w:val="18"/>
                <w:szCs w:val="18"/>
              </w:rPr>
              <w:t>2.0～2.2</w:t>
            </w:r>
          </w:p>
        </w:tc>
        <w:tc>
          <w:tcPr>
            <w:tcW w:w="1361" w:type="pct"/>
            <w:vAlign w:val="center"/>
          </w:tcPr>
          <w:p>
            <w:pPr>
              <w:jc w:val="center"/>
              <w:rPr>
                <w:rFonts w:hint="eastAsia" w:ascii="宋体" w:hAnsi="宋体" w:eastAsia="宋体" w:cs="宋体"/>
                <w:strike w:val="0"/>
                <w:color w:val="auto"/>
                <w:sz w:val="18"/>
                <w:szCs w:val="18"/>
                <w:lang w:eastAsia="zh-CN"/>
              </w:rPr>
            </w:pPr>
            <w:r>
              <w:rPr>
                <w:rFonts w:hint="eastAsia" w:ascii="宋体" w:hAnsi="宋体" w:cs="宋体"/>
                <w:strike w:val="0"/>
                <w:dstrike w:val="0"/>
                <w:color w:val="auto"/>
                <w:sz w:val="18"/>
                <w:szCs w:val="18"/>
                <w:lang w:val="en-US" w:eastAsia="zh-CN"/>
              </w:rPr>
              <w:t>3</w:t>
            </w:r>
            <w:r>
              <w:rPr>
                <w:rFonts w:hint="eastAsia" w:ascii="宋体" w:hAnsi="宋体" w:cs="宋体"/>
                <w:strike w:val="0"/>
                <w:dstrike w:val="0"/>
                <w:color w:val="auto"/>
                <w:sz w:val="18"/>
                <w:szCs w:val="18"/>
              </w:rPr>
              <w:t>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粉料-</w:t>
            </w:r>
            <w:r>
              <w:rPr>
                <w:rFonts w:hint="eastAsia" w:ascii="宋体" w:hAnsi="宋体" w:cs="宋体"/>
                <w:color w:val="auto"/>
                <w:sz w:val="18"/>
                <w:szCs w:val="18"/>
                <w:lang w:eastAsia="zh-CN"/>
              </w:rPr>
              <w:t>圆</w:t>
            </w:r>
            <w:r>
              <w:rPr>
                <w:rFonts w:hint="eastAsia" w:ascii="宋体" w:hAnsi="宋体" w:cs="宋体"/>
                <w:color w:val="auto"/>
                <w:sz w:val="18"/>
                <w:szCs w:val="18"/>
              </w:rPr>
              <w:t>饼料</w:t>
            </w:r>
          </w:p>
        </w:tc>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1376" w:type="pct"/>
            <w:vAlign w:val="center"/>
          </w:tcPr>
          <w:p>
            <w:pPr>
              <w:jc w:val="center"/>
              <w:rPr>
                <w:rFonts w:ascii="宋体" w:hAnsi="宋体" w:cs="宋体"/>
                <w:color w:val="auto"/>
                <w:sz w:val="18"/>
                <w:szCs w:val="18"/>
              </w:rPr>
            </w:pPr>
            <w:r>
              <w:rPr>
                <w:rFonts w:hint="eastAsia" w:ascii="宋体" w:hAnsi="宋体" w:cs="宋体"/>
                <w:color w:val="auto"/>
                <w:sz w:val="18"/>
                <w:szCs w:val="18"/>
              </w:rPr>
              <w:t>3.0～3.8</w:t>
            </w:r>
          </w:p>
        </w:tc>
        <w:tc>
          <w:tcPr>
            <w:tcW w:w="1361" w:type="pct"/>
            <w:vAlign w:val="center"/>
          </w:tcPr>
          <w:p>
            <w:pPr>
              <w:jc w:val="center"/>
              <w:rPr>
                <w:rFonts w:hint="eastAsia" w:ascii="宋体" w:hAnsi="宋体" w:eastAsia="宋体" w:cs="宋体"/>
                <w:strike w:val="0"/>
                <w:color w:val="auto"/>
                <w:sz w:val="18"/>
                <w:szCs w:val="18"/>
                <w:lang w:eastAsia="zh-CN"/>
              </w:rPr>
            </w:pPr>
            <w:r>
              <w:rPr>
                <w:rFonts w:hint="eastAsia" w:ascii="宋体" w:hAnsi="宋体" w:cs="宋体"/>
                <w:strike w:val="0"/>
                <w:dstrike w:val="0"/>
                <w:color w:val="auto"/>
                <w:sz w:val="18"/>
                <w:szCs w:val="18"/>
              </w:rPr>
              <w:t>Ф</w:t>
            </w:r>
            <w:r>
              <w:rPr>
                <w:rFonts w:hint="eastAsia" w:ascii="宋体" w:hAnsi="宋体" w:cs="宋体"/>
                <w:strike w:val="0"/>
                <w:dstrike w:val="0"/>
                <w:color w:val="auto"/>
                <w:sz w:val="18"/>
                <w:szCs w:val="18"/>
                <w:lang w:val="en-US" w:eastAsia="zh-CN"/>
              </w:rPr>
              <w:t>48</w:t>
            </w:r>
            <w:r>
              <w:rPr>
                <w:rFonts w:hint="eastAsia" w:ascii="宋体" w:hAnsi="宋体" w:cs="宋体"/>
                <w:strike w:val="0"/>
                <w:dstrike w:val="0"/>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粉料-</w:t>
            </w:r>
            <w:r>
              <w:rPr>
                <w:rFonts w:hint="eastAsia" w:ascii="宋体" w:hAnsi="宋体" w:cs="宋体"/>
                <w:color w:val="auto"/>
                <w:sz w:val="18"/>
                <w:szCs w:val="18"/>
                <w:lang w:eastAsia="zh-CN"/>
              </w:rPr>
              <w:t>方</w:t>
            </w:r>
            <w:r>
              <w:rPr>
                <w:rFonts w:hint="eastAsia" w:ascii="宋体" w:hAnsi="宋体" w:cs="宋体"/>
                <w:color w:val="auto"/>
                <w:sz w:val="18"/>
                <w:szCs w:val="18"/>
              </w:rPr>
              <w:t>饼料</w:t>
            </w:r>
          </w:p>
        </w:tc>
        <w:tc>
          <w:tcPr>
            <w:tcW w:w="1131" w:type="pct"/>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w:t>
            </w:r>
          </w:p>
        </w:tc>
        <w:tc>
          <w:tcPr>
            <w:tcW w:w="1376" w:type="pct"/>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3.0～3.8</w:t>
            </w:r>
          </w:p>
        </w:tc>
        <w:tc>
          <w:tcPr>
            <w:tcW w:w="1361" w:type="pct"/>
            <w:vAlign w:val="center"/>
          </w:tcPr>
          <w:p>
            <w:pPr>
              <w:jc w:val="center"/>
              <w:rPr>
                <w:rFonts w:hint="default" w:ascii="宋体" w:hAnsi="宋体" w:eastAsia="宋体" w:cs="宋体"/>
                <w:strike w:val="0"/>
                <w:dstrike w:val="0"/>
                <w:color w:val="auto"/>
                <w:sz w:val="18"/>
                <w:szCs w:val="18"/>
                <w:lang w:val="en-US" w:eastAsia="zh-CN"/>
              </w:rPr>
            </w:pPr>
            <w:r>
              <w:rPr>
                <w:rFonts w:hint="eastAsia" w:ascii="宋体" w:hAnsi="宋体" w:cs="宋体"/>
                <w:strike w:val="0"/>
                <w:dstrike w:val="0"/>
                <w:color w:val="auto"/>
                <w:sz w:val="18"/>
                <w:szCs w:val="18"/>
                <w:lang w:eastAsia="zh-CN"/>
              </w:rPr>
              <w:t>边长</w:t>
            </w:r>
            <w:r>
              <w:rPr>
                <w:rFonts w:hint="eastAsia" w:ascii="宋体" w:hAnsi="宋体" w:cs="宋体"/>
                <w:strike w:val="0"/>
                <w:dstrike w:val="0"/>
                <w:color w:val="auto"/>
                <w:sz w:val="18"/>
                <w:szCs w:val="18"/>
                <w:lang w:val="en-US" w:eastAsia="zh-CN"/>
              </w:rPr>
              <w:t>a50</w:t>
            </w:r>
            <w:r>
              <w:rPr>
                <w:rFonts w:hint="eastAsia" w:ascii="宋体" w:hAnsi="宋体" w:cs="宋体"/>
                <w:strike w:val="0"/>
                <w:dstrike w:val="0"/>
                <w:color w:val="auto"/>
                <w:sz w:val="18"/>
                <w:szCs w:val="18"/>
              </w:rPr>
              <w:t>±2</w:t>
            </w:r>
          </w:p>
        </w:tc>
      </w:tr>
    </w:tbl>
    <w:p>
      <w:pPr>
        <w:spacing w:before="156" w:beforeLines="50" w:after="156" w:afterLines="50"/>
        <w:rPr>
          <w:rFonts w:hint="eastAsia" w:ascii="黑体" w:hAnsi="黑体" w:eastAsia="黑体" w:cs="宋体"/>
          <w:color w:val="auto"/>
          <w:kern w:val="0"/>
          <w:szCs w:val="20"/>
        </w:rPr>
      </w:pPr>
    </w:p>
    <w:p>
      <w:pPr>
        <w:spacing w:before="156" w:beforeLines="50" w:after="156" w:afterLines="50"/>
        <w:rPr>
          <w:rFonts w:ascii="黑体" w:hAnsi="黑体" w:eastAsia="黑体" w:cs="宋体"/>
          <w:color w:val="auto"/>
          <w:kern w:val="0"/>
          <w:szCs w:val="20"/>
        </w:rPr>
      </w:pPr>
      <w:r>
        <w:rPr>
          <w:rFonts w:hint="eastAsia" w:ascii="黑体" w:hAnsi="黑体" w:eastAsia="黑体" w:cs="宋体"/>
          <w:color w:val="auto"/>
          <w:kern w:val="0"/>
          <w:szCs w:val="20"/>
        </w:rPr>
        <w:t>4.2</w:t>
      </w:r>
      <w:r>
        <w:rPr>
          <w:rFonts w:ascii="黑体" w:hAnsi="黑体" w:eastAsia="黑体" w:cs="宋体"/>
          <w:color w:val="auto"/>
          <w:kern w:val="0"/>
          <w:szCs w:val="20"/>
        </w:rPr>
        <w:t xml:space="preserve">  </w:t>
      </w:r>
      <w:r>
        <w:rPr>
          <w:rFonts w:hint="eastAsia" w:ascii="黑体" w:hAnsi="黑体" w:eastAsia="黑体" w:cs="宋体"/>
          <w:color w:val="auto"/>
          <w:kern w:val="0"/>
          <w:szCs w:val="20"/>
        </w:rPr>
        <w:t>化学成分</w:t>
      </w:r>
    </w:p>
    <w:p>
      <w:pPr>
        <w:ind w:firstLine="420" w:firstLineChars="200"/>
        <w:rPr>
          <w:rFonts w:ascii="黑体" w:hAnsi="黑体" w:eastAsia="黑体" w:cs="宋体"/>
          <w:color w:val="auto"/>
          <w:kern w:val="0"/>
          <w:szCs w:val="20"/>
        </w:rPr>
      </w:pPr>
      <w:r>
        <w:rPr>
          <w:rFonts w:hint="eastAsia" w:ascii="宋体" w:hAnsi="宋体" w:cs="宋体"/>
          <w:color w:val="auto"/>
          <w:szCs w:val="21"/>
        </w:rPr>
        <w:t>高纯氧化铝的化学成分应符合表2的规定。</w:t>
      </w:r>
    </w:p>
    <w:p>
      <w:pPr>
        <w:spacing w:before="156" w:beforeLines="50" w:after="156" w:afterLines="50"/>
        <w:jc w:val="center"/>
        <w:rPr>
          <w:rFonts w:ascii="黑体" w:hAnsi="黑体" w:eastAsia="黑体" w:cs="宋体"/>
          <w:color w:val="auto"/>
          <w:kern w:val="0"/>
          <w:szCs w:val="20"/>
        </w:rPr>
      </w:pPr>
      <w:r>
        <w:rPr>
          <w:rFonts w:hint="eastAsia" w:ascii="黑体" w:hAnsi="黑体" w:eastAsia="黑体" w:cs="宋体"/>
          <w:color w:val="auto"/>
          <w:kern w:val="0"/>
          <w:szCs w:val="20"/>
        </w:rPr>
        <w:t>表2  化学成分</w:t>
      </w:r>
    </w:p>
    <w:tbl>
      <w:tblPr>
        <w:tblStyle w:val="1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392"/>
        <w:gridCol w:w="1630"/>
        <w:gridCol w:w="1671"/>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14" w:type="dxa"/>
            <w:gridSpan w:val="3"/>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牌号</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highlight w:val="yellow"/>
              </w:rPr>
            </w:pPr>
            <w:r>
              <w:rPr>
                <w:rFonts w:hint="eastAsia" w:ascii="黑体" w:hAnsi="黑体" w:eastAsia="黑体" w:cs="宋体"/>
                <w:color w:val="auto"/>
                <w:kern w:val="0"/>
                <w:szCs w:val="20"/>
                <w:lang w:val="en-US" w:eastAsia="zh-CN"/>
              </w:rPr>
              <w:t>A-P-999 999</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highlight w:val="yellow"/>
              </w:rPr>
            </w:pPr>
            <w:r>
              <w:rPr>
                <w:rFonts w:hint="eastAsia" w:ascii="黑体" w:hAnsi="黑体" w:eastAsia="黑体" w:cs="宋体"/>
                <w:color w:val="auto"/>
                <w:kern w:val="0"/>
                <w:szCs w:val="20"/>
                <w:lang w:val="en-US" w:eastAsia="zh-CN"/>
              </w:rPr>
              <w:t>A-P-99 999</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highlight w:val="yellow"/>
              </w:rPr>
            </w:pPr>
            <w:r>
              <w:rPr>
                <w:rFonts w:hint="eastAsia" w:ascii="黑体" w:hAnsi="黑体" w:eastAsia="黑体" w:cs="宋体"/>
                <w:color w:val="auto"/>
                <w:kern w:val="0"/>
                <w:szCs w:val="20"/>
                <w:lang w:val="en-US" w:eastAsia="zh-CN"/>
              </w:rPr>
              <w:t>A-P-99 995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restart"/>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化学成分</w:t>
            </w:r>
          </w:p>
          <w:p>
            <w:pPr>
              <w:adjustRightInd w:val="0"/>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（质量分数）</w:t>
            </w:r>
          </w:p>
        </w:tc>
        <w:tc>
          <w:tcPr>
            <w:tcW w:w="3022" w:type="dxa"/>
            <w:gridSpan w:val="2"/>
            <w:vAlign w:val="center"/>
          </w:tcPr>
          <w:p>
            <w:pPr>
              <w:adjustRightInd w:val="0"/>
              <w:snapToGrid w:val="0"/>
              <w:jc w:val="center"/>
              <w:rPr>
                <w:rFonts w:cs="Arial"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Al</w:t>
            </w:r>
            <w:r>
              <w:rPr>
                <w:rFonts w:hint="eastAsia" w:asciiTheme="minorEastAsia" w:hAnsiTheme="minorEastAsia" w:eastAsiaTheme="minorEastAsia"/>
                <w:color w:val="auto"/>
                <w:sz w:val="18"/>
                <w:szCs w:val="18"/>
                <w:vertAlign w:val="subscript"/>
              </w:rPr>
              <w:t>2</w:t>
            </w:r>
            <w:r>
              <w:rPr>
                <w:rFonts w:hint="eastAsia" w:asciiTheme="minorEastAsia" w:hAnsiTheme="minorEastAsia" w:eastAsiaTheme="minorEastAsia"/>
                <w:color w:val="auto"/>
                <w:sz w:val="18"/>
                <w:szCs w:val="18"/>
              </w:rPr>
              <w:t>O</w:t>
            </w:r>
            <w:r>
              <w:rPr>
                <w:rFonts w:hint="eastAsia" w:asciiTheme="minorEastAsia" w:hAnsiTheme="minorEastAsia" w:eastAsiaTheme="minorEastAsia"/>
                <w:color w:val="auto"/>
                <w:sz w:val="18"/>
                <w:szCs w:val="18"/>
                <w:vertAlign w:val="subscript"/>
              </w:rPr>
              <w:t>3</w:t>
            </w:r>
            <w:r>
              <w:rPr>
                <w:rFonts w:hint="eastAsia" w:asciiTheme="minorEastAsia" w:hAnsiTheme="minorEastAsia" w:eastAsiaTheme="minorEastAsia"/>
                <w:color w:val="auto"/>
                <w:sz w:val="18"/>
                <w:szCs w:val="18"/>
              </w:rPr>
              <w:t>含量</w:t>
            </w:r>
            <w:r>
              <w:rPr>
                <w:rFonts w:hint="eastAsia" w:cs="宋体" w:asciiTheme="minorEastAsia" w:hAnsiTheme="minorEastAsia" w:eastAsiaTheme="minorEastAsia"/>
                <w:color w:val="auto"/>
                <w:kern w:val="0"/>
                <w:sz w:val="18"/>
                <w:szCs w:val="18"/>
                <w:vertAlign w:val="superscript"/>
              </w:rPr>
              <w:t>a</w:t>
            </w:r>
            <w:r>
              <w:rPr>
                <w:rFonts w:hint="eastAsia" w:asciiTheme="minorEastAsia" w:hAnsiTheme="minorEastAsia" w:eastAsiaTheme="minorEastAsia"/>
                <w:color w:val="auto"/>
                <w:sz w:val="18"/>
                <w:szCs w:val="18"/>
              </w:rPr>
              <w:t>，</w:t>
            </w:r>
            <w:r>
              <w:rPr>
                <w:rFonts w:cs="Arial" w:asciiTheme="minorEastAsia" w:hAnsiTheme="minorEastAsia" w:eastAsiaTheme="minorEastAsia"/>
                <w:color w:val="auto"/>
                <w:sz w:val="18"/>
                <w:szCs w:val="18"/>
              </w:rPr>
              <w:t>≥</w:t>
            </w:r>
          </w:p>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sz w:val="18"/>
                <w:szCs w:val="18"/>
              </w:rPr>
              <w:t>%</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99.9999</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99.999</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restart"/>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杂质含量，≤</w:t>
            </w:r>
          </w:p>
          <w:p>
            <w:pPr>
              <w:adjustRightInd w:val="0"/>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vertAlign w:val="superscript"/>
              </w:rPr>
              <w:t>-</w:t>
            </w:r>
            <w:r>
              <w:rPr>
                <w:rFonts w:asciiTheme="minorEastAsia" w:hAnsiTheme="minorEastAsia" w:eastAsiaTheme="minorEastAsia"/>
                <w:color w:val="auto"/>
                <w:sz w:val="18"/>
                <w:szCs w:val="18"/>
                <w:vertAlign w:val="superscript"/>
              </w:rPr>
              <w:t>4</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mg/kg</w:t>
            </w:r>
            <w:r>
              <w:rPr>
                <w:rFonts w:hint="eastAsia" w:asciiTheme="minorEastAsia" w:hAnsiTheme="minorEastAsia" w:eastAsiaTheme="minorEastAsia"/>
                <w:color w:val="auto"/>
                <w:sz w:val="18"/>
                <w:szCs w:val="18"/>
              </w:rPr>
              <w:t>）</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Ti</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eastAsia="zh-CN"/>
              </w:rPr>
              <w:t>＜</w:t>
            </w:r>
            <w:r>
              <w:rPr>
                <w:rFonts w:hint="eastAsia" w:asciiTheme="minorEastAsia" w:hAnsiTheme="minorEastAsia" w:eastAsiaTheme="minorEastAsia"/>
                <w:color w:val="auto"/>
                <w:sz w:val="18"/>
                <w:szCs w:val="18"/>
              </w:rPr>
              <w:t>0.05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0.5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Cr</w:t>
            </w:r>
          </w:p>
        </w:tc>
        <w:tc>
          <w:tcPr>
            <w:tcW w:w="1671" w:type="dxa"/>
            <w:vAlign w:val="center"/>
          </w:tcPr>
          <w:p>
            <w:pPr>
              <w:adjustRightInd w:val="0"/>
              <w:snapToGrid w:val="0"/>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lang w:val="en-US" w:eastAsia="zh-CN"/>
              </w:rPr>
              <w:t>0.5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0.5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Si</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lang w:eastAsia="zh-CN"/>
              </w:rPr>
            </w:pPr>
            <w:r>
              <w:rPr>
                <w:rFonts w:hint="eastAsia" w:cs="宋体" w:asciiTheme="minorEastAsia" w:hAnsiTheme="minorEastAsia" w:eastAsiaTheme="minorEastAsia"/>
                <w:color w:val="auto"/>
                <w:kern w:val="0"/>
                <w:sz w:val="18"/>
                <w:szCs w:val="18"/>
                <w:lang w:eastAsia="zh-CN"/>
              </w:rPr>
              <w:t>＜</w:t>
            </w:r>
            <w:r>
              <w:rPr>
                <w:rFonts w:hint="eastAsia"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lang w:val="en-US" w:eastAsia="zh-CN"/>
              </w:rPr>
              <w:t>1</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3</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Fe</w:t>
            </w:r>
          </w:p>
        </w:tc>
        <w:tc>
          <w:tcPr>
            <w:tcW w:w="1671" w:type="dxa"/>
            <w:vAlign w:val="center"/>
          </w:tcPr>
          <w:p>
            <w:pPr>
              <w:adjustRightInd w:val="0"/>
              <w:snapToGrid w:val="0"/>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lang w:val="en-US" w:eastAsia="zh-CN"/>
              </w:rPr>
              <w:t>1</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Na</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lang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w:t>
            </w:r>
            <w:r>
              <w:rPr>
                <w:rFonts w:hint="eastAsia" w:cs="宋体" w:asciiTheme="minorEastAsia" w:hAnsiTheme="minorEastAsia" w:eastAsiaTheme="minorEastAsia"/>
                <w:color w:val="auto"/>
                <w:kern w:val="0"/>
                <w:sz w:val="18"/>
                <w:szCs w:val="18"/>
                <w:lang w:val="en-US" w:eastAsia="zh-CN"/>
              </w:rPr>
              <w:t>1</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3</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Ca</w:t>
            </w:r>
          </w:p>
        </w:tc>
        <w:tc>
          <w:tcPr>
            <w:tcW w:w="1671" w:type="dxa"/>
            <w:vAlign w:val="center"/>
          </w:tcPr>
          <w:p>
            <w:pPr>
              <w:adjustRightInd w:val="0"/>
              <w:snapToGrid w:val="0"/>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lang w:val="en-US" w:eastAsia="zh-CN"/>
              </w:rPr>
              <w:t>0.5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Mg</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Mn</w:t>
            </w:r>
          </w:p>
        </w:tc>
        <w:tc>
          <w:tcPr>
            <w:tcW w:w="1671" w:type="dxa"/>
            <w:vAlign w:val="center"/>
          </w:tcPr>
          <w:p>
            <w:pPr>
              <w:adjustRightInd w:val="0"/>
              <w:snapToGrid w:val="0"/>
              <w:jc w:val="center"/>
              <w:rPr>
                <w:rFonts w:hint="default" w:cs="宋体" w:asciiTheme="minorEastAsia" w:hAnsiTheme="minorEastAsia" w:eastAsiaTheme="minorEastAsia"/>
                <w:color w:val="FF0000"/>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lang w:val="en-US" w:eastAsia="zh-CN"/>
              </w:rPr>
              <w:t>0.05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Ga</w:t>
            </w:r>
          </w:p>
        </w:tc>
        <w:tc>
          <w:tcPr>
            <w:tcW w:w="1671" w:type="dxa"/>
            <w:vAlign w:val="center"/>
          </w:tcPr>
          <w:p>
            <w:pPr>
              <w:adjustRightInd w:val="0"/>
              <w:snapToGrid w:val="0"/>
              <w:jc w:val="center"/>
              <w:rPr>
                <w:rFonts w:hint="default" w:cs="宋体" w:asciiTheme="minorEastAsia" w:hAnsiTheme="minorEastAsia" w:eastAsiaTheme="minorEastAsia"/>
                <w:color w:val="FF0000"/>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lang w:val="en-US" w:eastAsia="zh-CN"/>
              </w:rPr>
              <w:t>0.1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Theme="minorEastAsia" w:hAnsiTheme="minorEastAsia" w:eastAsiaTheme="minorEastAsia"/>
                <w:color w:val="auto"/>
                <w:sz w:val="18"/>
                <w:szCs w:val="18"/>
              </w:rPr>
            </w:pPr>
            <w:r>
              <w:rPr>
                <w:rFonts w:hint="eastAsia" w:ascii="宋体" w:hAnsi="宋体"/>
                <w:color w:val="auto"/>
                <w:sz w:val="18"/>
                <w:szCs w:val="18"/>
              </w:rPr>
              <w:t>K</w:t>
            </w:r>
          </w:p>
        </w:tc>
        <w:tc>
          <w:tcPr>
            <w:tcW w:w="1671" w:type="dxa"/>
            <w:vAlign w:val="center"/>
          </w:tcPr>
          <w:p>
            <w:pPr>
              <w:adjustRightInd w:val="0"/>
              <w:snapToGrid w:val="0"/>
              <w:jc w:val="center"/>
              <w:rPr>
                <w:rFonts w:hint="default" w:cs="宋体" w:asciiTheme="minorEastAsia" w:hAnsiTheme="minorEastAsia" w:eastAsiaTheme="minorEastAsia"/>
                <w:color w:val="FF0000"/>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lang w:val="en-US" w:eastAsia="zh-CN"/>
              </w:rPr>
              <w:t>0.5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Zr</w:t>
            </w:r>
          </w:p>
        </w:tc>
        <w:tc>
          <w:tcPr>
            <w:tcW w:w="1671" w:type="dxa"/>
            <w:vAlign w:val="center"/>
          </w:tcPr>
          <w:p>
            <w:pPr>
              <w:adjustRightInd w:val="0"/>
              <w:snapToGrid w:val="0"/>
              <w:jc w:val="center"/>
              <w:rPr>
                <w:rFonts w:hint="default" w:cs="宋体" w:asciiTheme="minorEastAsia" w:hAnsiTheme="minorEastAsia" w:eastAsiaTheme="minorEastAsia"/>
                <w:color w:val="FF0000"/>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lang w:val="en-US" w:eastAsia="zh-CN"/>
              </w:rPr>
              <w:t>0.1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Cu</w:t>
            </w:r>
          </w:p>
        </w:tc>
        <w:tc>
          <w:tcPr>
            <w:tcW w:w="1671" w:type="dxa"/>
            <w:vAlign w:val="center"/>
          </w:tcPr>
          <w:p>
            <w:pPr>
              <w:adjustRightInd w:val="0"/>
              <w:snapToGrid w:val="0"/>
              <w:jc w:val="center"/>
              <w:rPr>
                <w:rFonts w:hint="default" w:cs="宋体" w:asciiTheme="minorEastAsia" w:hAnsiTheme="minorEastAsia" w:eastAsiaTheme="minorEastAsia"/>
                <w:color w:val="FF0000"/>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lang w:val="en-US" w:eastAsia="zh-CN"/>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P</w:t>
            </w:r>
          </w:p>
        </w:tc>
        <w:tc>
          <w:tcPr>
            <w:tcW w:w="1671" w:type="dxa"/>
            <w:vAlign w:val="center"/>
          </w:tcPr>
          <w:p>
            <w:pPr>
              <w:adjustRightInd w:val="0"/>
              <w:snapToGrid w:val="0"/>
              <w:jc w:val="center"/>
              <w:rPr>
                <w:rFonts w:hint="default" w:cs="宋体" w:asciiTheme="minorEastAsia" w:hAnsiTheme="minorEastAsia" w:eastAsiaTheme="minorEastAsia"/>
                <w:color w:val="FF0000"/>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lang w:val="en-US" w:eastAsia="zh-CN"/>
              </w:rPr>
              <w:t>0.1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B</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.05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V</w:t>
            </w:r>
          </w:p>
        </w:tc>
        <w:tc>
          <w:tcPr>
            <w:tcW w:w="1671" w:type="dxa"/>
            <w:vAlign w:val="center"/>
          </w:tcPr>
          <w:p>
            <w:pPr>
              <w:adjustRightInd w:val="0"/>
              <w:snapToGrid w:val="0"/>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w:t>
            </w:r>
            <w:r>
              <w:rPr>
                <w:rFonts w:hint="eastAsia" w:cs="宋体" w:asciiTheme="minorEastAsia" w:hAnsiTheme="minorEastAsia" w:eastAsiaTheme="minorEastAsia"/>
                <w:color w:val="auto"/>
                <w:kern w:val="0"/>
                <w:sz w:val="18"/>
                <w:szCs w:val="18"/>
                <w:lang w:val="en-US" w:eastAsia="zh-CN"/>
              </w:rPr>
              <w:t>05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Li</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lang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w:t>
            </w:r>
            <w:r>
              <w:rPr>
                <w:rFonts w:hint="eastAsia" w:cs="宋体" w:asciiTheme="minorEastAsia" w:hAnsiTheme="minorEastAsia" w:eastAsiaTheme="minorEastAsia"/>
                <w:color w:val="auto"/>
                <w:kern w:val="0"/>
                <w:sz w:val="18"/>
                <w:szCs w:val="18"/>
                <w:lang w:val="en-US" w:eastAsia="zh-CN"/>
              </w:rPr>
              <w:t>05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w:t>
            </w:r>
            <w:r>
              <w:rPr>
                <w:rFonts w:hint="eastAsia" w:cs="宋体" w:asciiTheme="minorEastAsia" w:hAnsiTheme="minorEastAsia" w:eastAsiaTheme="minorEastAsia"/>
                <w:color w:val="auto"/>
                <w:kern w:val="0"/>
                <w:sz w:val="18"/>
                <w:szCs w:val="18"/>
                <w:lang w:val="en-US" w:eastAsia="zh-CN"/>
              </w:rPr>
              <w:t>05</w:t>
            </w:r>
          </w:p>
        </w:tc>
        <w:tc>
          <w:tcPr>
            <w:tcW w:w="1630" w:type="dxa"/>
            <w:vAlign w:val="center"/>
          </w:tcPr>
          <w:p>
            <w:pPr>
              <w:adjustRightInd w:val="0"/>
              <w:snapToGrid w:val="0"/>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Co</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lang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w:t>
            </w:r>
            <w:r>
              <w:rPr>
                <w:rFonts w:hint="eastAsia" w:cs="宋体" w:asciiTheme="minorEastAsia" w:hAnsiTheme="minorEastAsia" w:eastAsiaTheme="minorEastAsia"/>
                <w:color w:val="auto"/>
                <w:kern w:val="0"/>
                <w:sz w:val="18"/>
                <w:szCs w:val="18"/>
                <w:lang w:val="en-US" w:eastAsia="zh-CN"/>
              </w:rPr>
              <w:t>05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w:t>
            </w:r>
            <w:r>
              <w:rPr>
                <w:rFonts w:hint="eastAsia" w:cs="宋体" w:asciiTheme="minorEastAsia" w:hAnsiTheme="minorEastAsia" w:eastAsiaTheme="minorEastAsia"/>
                <w:color w:val="auto"/>
                <w:kern w:val="0"/>
                <w:sz w:val="18"/>
                <w:szCs w:val="18"/>
                <w:lang w:val="en-US" w:eastAsia="zh-CN"/>
              </w:rPr>
              <w:t>05</w:t>
            </w:r>
          </w:p>
        </w:tc>
        <w:tc>
          <w:tcPr>
            <w:tcW w:w="1630" w:type="dxa"/>
            <w:vAlign w:val="center"/>
          </w:tcPr>
          <w:p>
            <w:pPr>
              <w:adjustRightInd w:val="0"/>
              <w:snapToGrid w:val="0"/>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Ni</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lang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w:t>
            </w:r>
            <w:r>
              <w:rPr>
                <w:rFonts w:hint="eastAsia" w:cs="宋体" w:asciiTheme="minorEastAsia" w:hAnsiTheme="minorEastAsia" w:eastAsiaTheme="minorEastAsia"/>
                <w:color w:val="auto"/>
                <w:kern w:val="0"/>
                <w:sz w:val="18"/>
                <w:szCs w:val="18"/>
                <w:lang w:val="en-US" w:eastAsia="zh-CN"/>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w:t>
            </w:r>
            <w:r>
              <w:rPr>
                <w:rFonts w:hint="eastAsia" w:cs="宋体" w:asciiTheme="minorEastAsia" w:hAnsiTheme="minorEastAsia" w:eastAsiaTheme="minorEastAsia"/>
                <w:color w:val="auto"/>
                <w:kern w:val="0"/>
                <w:sz w:val="18"/>
                <w:szCs w:val="18"/>
                <w:lang w:val="en-US" w:eastAsia="zh-CN"/>
              </w:rPr>
              <w:t>5</w:t>
            </w:r>
          </w:p>
        </w:tc>
        <w:tc>
          <w:tcPr>
            <w:tcW w:w="1630" w:type="dxa"/>
            <w:vAlign w:val="center"/>
          </w:tcPr>
          <w:p>
            <w:pPr>
              <w:adjustRightInd w:val="0"/>
              <w:snapToGrid w:val="0"/>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S</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eastAsia="zh-CN"/>
              </w:rPr>
              <w:t>＜</w:t>
            </w: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w:t>
            </w:r>
            <w:r>
              <w:rPr>
                <w:rFonts w:hint="eastAsia" w:cs="宋体" w:asciiTheme="minorEastAsia" w:hAnsiTheme="minorEastAsia" w:eastAsiaTheme="minorEastAsia"/>
                <w:color w:val="auto"/>
                <w:kern w:val="0"/>
                <w:sz w:val="18"/>
                <w:szCs w:val="18"/>
                <w:lang w:val="en-US" w:eastAsia="zh-CN"/>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hint="eastAsia" w:cs="宋体" w:asciiTheme="minorEastAsia" w:hAnsiTheme="minorEastAsia" w:eastAsiaTheme="minorEastAsia"/>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rPr>
                <w:rFonts w:hint="eastAsia" w:ascii="宋体" w:hAnsi="宋体"/>
                <w:color w:val="auto"/>
                <w:sz w:val="18"/>
                <w:szCs w:val="18"/>
              </w:rPr>
            </w:pPr>
          </w:p>
        </w:tc>
        <w:tc>
          <w:tcPr>
            <w:tcW w:w="3022" w:type="dxa"/>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杂质含量总和</w:t>
            </w:r>
            <w:r>
              <w:rPr>
                <w:rFonts w:hint="eastAsia" w:cs="宋体" w:asciiTheme="minorEastAsia" w:hAnsiTheme="minorEastAsia" w:eastAsiaTheme="minorEastAsia"/>
                <w:color w:val="auto"/>
                <w:kern w:val="0"/>
                <w:sz w:val="18"/>
                <w:szCs w:val="18"/>
                <w:vertAlign w:val="superscript"/>
              </w:rPr>
              <w:t>b</w:t>
            </w:r>
            <w:r>
              <w:rPr>
                <w:rFonts w:hint="eastAsia" w:asciiTheme="minorEastAsia" w:hAnsiTheme="minorEastAsia" w:eastAsiaTheme="minorEastAsia"/>
                <w:color w:val="auto"/>
                <w:sz w:val="18"/>
                <w:szCs w:val="18"/>
              </w:rPr>
              <w:t>，≤</w:t>
            </w:r>
          </w:p>
          <w:p>
            <w:pPr>
              <w:adjustRightInd w:val="0"/>
              <w:snapToGrid w:val="0"/>
              <w:jc w:val="center"/>
              <w:rPr>
                <w:rFonts w:hint="eastAsia" w:ascii="宋体" w:hAnsi="宋体"/>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vertAlign w:val="superscript"/>
              </w:rPr>
              <w:t>-</w:t>
            </w:r>
            <w:r>
              <w:rPr>
                <w:rFonts w:asciiTheme="minorEastAsia" w:hAnsiTheme="minorEastAsia" w:eastAsiaTheme="minorEastAsia"/>
                <w:color w:val="auto"/>
                <w:sz w:val="18"/>
                <w:szCs w:val="18"/>
                <w:vertAlign w:val="superscript"/>
              </w:rPr>
              <w:t>4</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mg/kg</w:t>
            </w:r>
            <w:r>
              <w:rPr>
                <w:rFonts w:hint="eastAsia" w:asciiTheme="minorEastAsia" w:hAnsiTheme="minorEastAsia" w:eastAsiaTheme="minorEastAsia"/>
                <w:color w:val="auto"/>
                <w:sz w:val="18"/>
                <w:szCs w:val="18"/>
              </w:rPr>
              <w:t>）</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r>
              <w:rPr>
                <w:rFonts w:cs="宋体" w:asciiTheme="minorEastAsia" w:hAnsiTheme="minorEastAsia" w:eastAsiaTheme="minorEastAsia"/>
                <w:color w:val="auto"/>
                <w:kern w:val="0"/>
                <w:sz w:val="18"/>
                <w:szCs w:val="18"/>
              </w:rPr>
              <w:t>0</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5" w:type="dxa"/>
            <w:gridSpan w:val="6"/>
            <w:vAlign w:val="center"/>
          </w:tcPr>
          <w:p>
            <w:pPr>
              <w:adjustRightInd w:val="0"/>
              <w:snapToGrid w:val="0"/>
              <w:ind w:left="780" w:leftChars="200" w:hanging="360" w:hangingChars="200"/>
              <w:jc w:val="left"/>
              <w:rPr>
                <w:rFonts w:hint="eastAsia" w:cs="宋体" w:asciiTheme="minorEastAsia" w:hAnsiTheme="minorEastAsia" w:eastAsiaTheme="minorEastAsia"/>
                <w:color w:val="auto"/>
                <w:kern w:val="0"/>
                <w:sz w:val="18"/>
                <w:szCs w:val="18"/>
              </w:rPr>
            </w:pPr>
            <w:r>
              <w:rPr>
                <w:rFonts w:hint="eastAsia" w:ascii="黑体" w:hAnsi="黑体" w:eastAsia="黑体" w:cs="宋体"/>
                <w:color w:val="auto"/>
                <w:kern w:val="0"/>
                <w:sz w:val="18"/>
                <w:szCs w:val="18"/>
                <w:vertAlign w:val="superscript"/>
              </w:rPr>
              <w:t>a</w:t>
            </w:r>
            <w:r>
              <w:rPr>
                <w:rFonts w:hint="eastAsia" w:cs="宋体" w:asciiTheme="minorEastAsia" w:hAnsiTheme="minorEastAsia" w:eastAsiaTheme="minorEastAsia"/>
                <w:color w:val="auto"/>
                <w:kern w:val="0"/>
                <w:sz w:val="18"/>
                <w:szCs w:val="18"/>
              </w:rPr>
              <w:t xml:space="preserve">  </w:t>
            </w:r>
            <w:r>
              <w:rPr>
                <w:rFonts w:hint="eastAsia" w:asciiTheme="minorEastAsia" w:hAnsiTheme="minorEastAsia" w:eastAsiaTheme="minorEastAsia"/>
                <w:color w:val="auto"/>
                <w:sz w:val="18"/>
                <w:szCs w:val="18"/>
              </w:rPr>
              <w:t>Al</w:t>
            </w:r>
            <w:r>
              <w:rPr>
                <w:rFonts w:hint="eastAsia" w:asciiTheme="minorEastAsia" w:hAnsiTheme="minorEastAsia" w:eastAsiaTheme="minorEastAsia"/>
                <w:color w:val="auto"/>
                <w:sz w:val="18"/>
                <w:szCs w:val="18"/>
                <w:vertAlign w:val="subscript"/>
              </w:rPr>
              <w:t>2</w:t>
            </w:r>
            <w:r>
              <w:rPr>
                <w:rFonts w:hint="eastAsia" w:asciiTheme="minorEastAsia" w:hAnsiTheme="minorEastAsia" w:eastAsiaTheme="minorEastAsia"/>
                <w:color w:val="auto"/>
                <w:sz w:val="18"/>
                <w:szCs w:val="18"/>
              </w:rPr>
              <w:t>O</w:t>
            </w:r>
            <w:r>
              <w:rPr>
                <w:rFonts w:hint="eastAsia" w:asciiTheme="minorEastAsia" w:hAnsiTheme="minorEastAsia" w:eastAsiaTheme="minorEastAsia"/>
                <w:color w:val="auto"/>
                <w:sz w:val="18"/>
                <w:szCs w:val="18"/>
                <w:vertAlign w:val="subscript"/>
              </w:rPr>
              <w:t>3</w:t>
            </w:r>
            <w:r>
              <w:rPr>
                <w:rFonts w:hint="eastAsia" w:cs="宋体" w:asciiTheme="minorEastAsia" w:hAnsiTheme="minorEastAsia" w:eastAsiaTheme="minorEastAsia"/>
                <w:color w:val="auto"/>
                <w:kern w:val="0"/>
                <w:sz w:val="18"/>
                <w:szCs w:val="18"/>
              </w:rPr>
              <w:t>含量为100%减去杂质含量总和的余量。</w:t>
            </w:r>
          </w:p>
          <w:p>
            <w:pPr>
              <w:adjustRightInd w:val="0"/>
              <w:snapToGrid w:val="0"/>
              <w:ind w:left="780" w:leftChars="200" w:hanging="360" w:hangingChars="200"/>
              <w:jc w:val="left"/>
              <w:rPr>
                <w:rFonts w:hint="eastAsia" w:cs="宋体" w:asciiTheme="minorEastAsia" w:hAnsiTheme="minorEastAsia" w:eastAsiaTheme="minorEastAsia"/>
                <w:color w:val="auto"/>
                <w:kern w:val="0"/>
                <w:sz w:val="18"/>
                <w:szCs w:val="18"/>
              </w:rPr>
            </w:pPr>
            <w:r>
              <w:rPr>
                <w:rFonts w:hint="eastAsia" w:ascii="黑体" w:hAnsi="黑体" w:eastAsia="黑体" w:cs="宋体"/>
                <w:color w:val="auto"/>
                <w:kern w:val="0"/>
                <w:sz w:val="18"/>
                <w:szCs w:val="18"/>
                <w:vertAlign w:val="superscript"/>
              </w:rPr>
              <w:t>b</w:t>
            </w:r>
            <w:r>
              <w:rPr>
                <w:rFonts w:hint="eastAsia" w:cs="宋体" w:asciiTheme="minorEastAsia" w:hAnsiTheme="minorEastAsia" w:eastAsiaTheme="minorEastAsia"/>
                <w:color w:val="auto"/>
                <w:kern w:val="0"/>
                <w:sz w:val="18"/>
                <w:szCs w:val="18"/>
              </w:rPr>
              <w:t xml:space="preserve">  杂质含量总和为所测杂质元素的实测值之和，包含但不仅限于表中所列杂质元素。用户要求提供上表中以外的其他杂质元素检测数据时，可由供需双方协商解决。</w:t>
            </w:r>
          </w:p>
          <w:p>
            <w:pPr>
              <w:adjustRightInd w:val="0"/>
              <w:snapToGrid w:val="0"/>
              <w:ind w:left="780" w:leftChars="200" w:hanging="360" w:hangingChars="200"/>
              <w:jc w:val="left"/>
              <w:rPr>
                <w:rFonts w:hint="eastAsia" w:cs="宋体" w:asciiTheme="minorEastAsia" w:hAnsiTheme="minorEastAsia" w:eastAsiaTheme="minorEastAsia"/>
                <w:color w:val="auto"/>
                <w:kern w:val="0"/>
                <w:sz w:val="18"/>
                <w:szCs w:val="18"/>
              </w:rPr>
            </w:pPr>
          </w:p>
        </w:tc>
      </w:tr>
    </w:tbl>
    <w:p>
      <w:pPr>
        <w:spacing w:before="156" w:beforeLines="50" w:after="156" w:afterLines="50"/>
        <w:jc w:val="left"/>
        <w:rPr>
          <w:rFonts w:ascii="黑体" w:hAnsi="黑体" w:eastAsia="黑体" w:cs="宋体"/>
          <w:color w:val="auto"/>
          <w:kern w:val="0"/>
          <w:szCs w:val="20"/>
        </w:rPr>
      </w:pPr>
      <w:r>
        <w:rPr>
          <w:rFonts w:hint="eastAsia" w:ascii="黑体" w:hAnsi="黑体" w:eastAsia="黑体" w:cs="宋体"/>
          <w:color w:val="auto"/>
          <w:kern w:val="0"/>
          <w:szCs w:val="20"/>
        </w:rPr>
        <w:t>4.3</w:t>
      </w:r>
      <w:r>
        <w:rPr>
          <w:rFonts w:ascii="黑体" w:hAnsi="黑体" w:eastAsia="黑体" w:cs="宋体"/>
          <w:color w:val="auto"/>
          <w:kern w:val="0"/>
          <w:szCs w:val="20"/>
        </w:rPr>
        <w:t xml:space="preserve">  </w:t>
      </w:r>
      <w:r>
        <w:rPr>
          <w:rFonts w:hint="eastAsia" w:ascii="黑体" w:hAnsi="黑体" w:eastAsia="黑体" w:cs="宋体"/>
          <w:color w:val="auto"/>
          <w:kern w:val="0"/>
          <w:szCs w:val="20"/>
        </w:rPr>
        <w:t>外观</w:t>
      </w:r>
    </w:p>
    <w:p>
      <w:pPr>
        <w:ind w:firstLine="420" w:firstLineChars="200"/>
        <w:jc w:val="left"/>
        <w:rPr>
          <w:rFonts w:ascii="宋体" w:hAnsi="宋体" w:cs="宋体"/>
          <w:color w:val="auto"/>
          <w:szCs w:val="21"/>
        </w:rPr>
      </w:pPr>
      <w:r>
        <w:rPr>
          <w:rFonts w:hint="eastAsia" w:ascii="宋体" w:hAnsi="宋体" w:cs="宋体"/>
          <w:color w:val="auto"/>
          <w:szCs w:val="21"/>
        </w:rPr>
        <w:t>高纯氧化铝的外观颜色为白色、透明或半透明，无色差</w:t>
      </w:r>
      <w:r>
        <w:rPr>
          <w:rFonts w:hint="eastAsia" w:ascii="宋体" w:hAnsi="宋体" w:cs="宋体"/>
          <w:color w:val="auto"/>
          <w:szCs w:val="21"/>
          <w:lang w:eastAsia="zh-CN"/>
        </w:rPr>
        <w:t>、无</w:t>
      </w:r>
      <w:r>
        <w:rPr>
          <w:rFonts w:hint="eastAsia" w:ascii="宋体" w:hAnsi="宋体" w:cs="宋体"/>
          <w:color w:val="auto"/>
          <w:szCs w:val="21"/>
        </w:rPr>
        <w:t>可见异物。</w:t>
      </w:r>
    </w:p>
    <w:p>
      <w:pPr>
        <w:spacing w:before="156" w:beforeLines="50" w:after="156" w:afterLines="50"/>
        <w:jc w:val="left"/>
        <w:rPr>
          <w:rFonts w:ascii="宋体" w:hAnsi="宋体" w:cs="宋体"/>
          <w:color w:val="auto"/>
          <w:szCs w:val="21"/>
        </w:rPr>
      </w:pPr>
      <w:r>
        <w:rPr>
          <w:rFonts w:hint="eastAsia" w:ascii="黑体" w:hAnsi="黑体" w:eastAsia="黑体" w:cs="宋体"/>
          <w:color w:val="auto"/>
          <w:kern w:val="0"/>
          <w:szCs w:val="20"/>
        </w:rPr>
        <w:t>4.4</w:t>
      </w:r>
      <w:r>
        <w:rPr>
          <w:rFonts w:ascii="黑体" w:hAnsi="黑体" w:eastAsia="黑体" w:cs="宋体"/>
          <w:color w:val="auto"/>
          <w:kern w:val="0"/>
          <w:szCs w:val="20"/>
        </w:rPr>
        <w:t xml:space="preserve">  </w:t>
      </w:r>
      <w:r>
        <w:rPr>
          <w:rFonts w:hint="eastAsia" w:ascii="黑体" w:hAnsi="黑体" w:eastAsia="黑体" w:cs="宋体"/>
          <w:color w:val="auto"/>
          <w:kern w:val="0"/>
          <w:szCs w:val="20"/>
        </w:rPr>
        <w:t>其他</w:t>
      </w:r>
    </w:p>
    <w:p>
      <w:pPr>
        <w:ind w:firstLine="420" w:firstLineChars="200"/>
        <w:jc w:val="left"/>
        <w:rPr>
          <w:rFonts w:hint="eastAsia" w:ascii="宋体" w:hAnsi="宋体" w:cs="宋体"/>
          <w:color w:val="auto"/>
          <w:szCs w:val="21"/>
        </w:rPr>
      </w:pPr>
      <w:r>
        <w:rPr>
          <w:rFonts w:hint="eastAsia" w:ascii="宋体" w:hAnsi="宋体" w:cs="宋体"/>
          <w:color w:val="auto"/>
          <w:szCs w:val="21"/>
        </w:rPr>
        <w:t>需方对高纯氧化铝有特殊要求时，由供需双方协商确定。</w:t>
      </w:r>
    </w:p>
    <w:p>
      <w:pPr>
        <w:pStyle w:val="39"/>
        <w:numPr>
          <w:ilvl w:val="0"/>
          <w:numId w:val="3"/>
        </w:numPr>
        <w:rPr>
          <w:rFonts w:hAnsi="黑体" w:cs="宋体"/>
          <w:color w:val="auto"/>
        </w:rPr>
      </w:pPr>
      <w:r>
        <w:rPr>
          <w:rFonts w:hint="eastAsia" w:hAnsi="黑体" w:cs="宋体"/>
          <w:color w:val="auto"/>
        </w:rPr>
        <w:t xml:space="preserve">试验方法 </w:t>
      </w:r>
    </w:p>
    <w:p>
      <w:pPr>
        <w:pStyle w:val="47"/>
        <w:widowControl/>
        <w:numPr>
          <w:ilvl w:val="1"/>
          <w:numId w:val="3"/>
        </w:numPr>
        <w:spacing w:line="223" w:lineRule="atLeast"/>
        <w:ind w:firstLineChars="0"/>
        <w:jc w:val="left"/>
        <w:rPr>
          <w:color w:val="auto"/>
        </w:rPr>
      </w:pPr>
      <w:r>
        <w:rPr>
          <w:rFonts w:hint="eastAsia"/>
          <w:color w:val="auto"/>
        </w:rPr>
        <w:t>高纯氧化铝的堆积密度按</w:t>
      </w:r>
      <w:r>
        <w:rPr>
          <w:rFonts w:hint="eastAsia" w:ascii="宋体" w:hAnsi="宋体"/>
          <w:color w:val="auto"/>
          <w:szCs w:val="20"/>
        </w:rPr>
        <w:t>GB/T 23771规</w:t>
      </w:r>
      <w:r>
        <w:rPr>
          <w:rFonts w:hint="eastAsia"/>
          <w:color w:val="auto"/>
          <w:szCs w:val="20"/>
        </w:rPr>
        <w:t>定</w:t>
      </w:r>
      <w:r>
        <w:rPr>
          <w:rFonts w:hint="eastAsia"/>
          <w:color w:val="auto"/>
        </w:rPr>
        <w:t>的方法测定。</w:t>
      </w:r>
    </w:p>
    <w:p>
      <w:pPr>
        <w:pStyle w:val="47"/>
        <w:widowControl/>
        <w:numPr>
          <w:ilvl w:val="1"/>
          <w:numId w:val="3"/>
        </w:numPr>
        <w:spacing w:line="223" w:lineRule="atLeast"/>
        <w:ind w:firstLineChars="0"/>
        <w:jc w:val="left"/>
        <w:rPr>
          <w:rFonts w:ascii="宋体" w:hAnsi="宋体" w:cs="宋体"/>
          <w:color w:val="auto"/>
          <w:szCs w:val="21"/>
        </w:rPr>
      </w:pPr>
      <w:r>
        <w:rPr>
          <w:rFonts w:hint="eastAsia" w:ascii="宋体" w:hAnsi="宋体" w:cs="宋体"/>
          <w:color w:val="auto"/>
          <w:szCs w:val="21"/>
        </w:rPr>
        <w:t>高纯氧化铝的体积密度按</w:t>
      </w:r>
      <w:r>
        <w:rPr>
          <w:rFonts w:hint="eastAsia" w:asciiTheme="minorEastAsia" w:hAnsiTheme="minorEastAsia" w:eastAsiaTheme="minorEastAsia" w:cstheme="minorEastAsia"/>
          <w:color w:val="auto"/>
          <w:szCs w:val="21"/>
        </w:rPr>
        <w:t>GB/T 2997规定的方法测定。</w:t>
      </w:r>
    </w:p>
    <w:p>
      <w:pPr>
        <w:pStyle w:val="47"/>
        <w:widowControl/>
        <w:numPr>
          <w:ilvl w:val="1"/>
          <w:numId w:val="3"/>
        </w:numPr>
        <w:spacing w:line="223" w:lineRule="atLeast"/>
        <w:ind w:firstLineChars="0"/>
        <w:jc w:val="left"/>
        <w:rPr>
          <w:rFonts w:ascii="宋体" w:hAnsi="宋体" w:cs="宋体"/>
          <w:color w:val="auto"/>
          <w:szCs w:val="21"/>
        </w:rPr>
      </w:pPr>
      <w:r>
        <w:rPr>
          <w:rFonts w:hint="eastAsia" w:ascii="宋体" w:hAnsi="宋体" w:cs="宋体"/>
          <w:color w:val="auto"/>
          <w:szCs w:val="21"/>
        </w:rPr>
        <w:t>高纯氧</w:t>
      </w:r>
      <w:r>
        <w:rPr>
          <w:rFonts w:hint="eastAsia" w:ascii="宋体" w:hAnsi="宋体" w:cs="宋体"/>
          <w:color w:val="auto"/>
          <w:szCs w:val="21"/>
          <w:lang w:eastAsia="zh-CN"/>
        </w:rPr>
        <w:t>化</w:t>
      </w:r>
      <w:r>
        <w:rPr>
          <w:rFonts w:hint="eastAsia" w:ascii="宋体" w:hAnsi="宋体" w:cs="宋体"/>
          <w:color w:val="auto"/>
          <w:szCs w:val="21"/>
        </w:rPr>
        <w:t>铝的化学成分按</w:t>
      </w:r>
      <w:r>
        <w:rPr>
          <w:rFonts w:hint="eastAsia" w:ascii="宋体" w:hAnsi="宋体" w:cs="宋体"/>
          <w:color w:val="auto"/>
          <w:szCs w:val="21"/>
          <w:lang w:val="en-US" w:eastAsia="zh-CN"/>
        </w:rPr>
        <w:t>GB/T37248测定或</w:t>
      </w:r>
      <w:r>
        <w:rPr>
          <w:rFonts w:hint="eastAsia" w:ascii="宋体" w:hAnsi="宋体" w:cs="宋体"/>
          <w:strike w:val="0"/>
          <w:dstrike w:val="0"/>
          <w:color w:val="auto"/>
          <w:szCs w:val="21"/>
          <w:lang w:val="en-US" w:eastAsia="zh-CN"/>
        </w:rPr>
        <w:t>GB/T33236</w:t>
      </w:r>
      <w:r>
        <w:rPr>
          <w:rFonts w:hint="eastAsia" w:ascii="宋体" w:hAnsi="宋体" w:cs="宋体"/>
          <w:color w:val="auto"/>
          <w:szCs w:val="21"/>
        </w:rPr>
        <w:t>进行测定。</w:t>
      </w:r>
    </w:p>
    <w:p>
      <w:pPr>
        <w:pStyle w:val="47"/>
        <w:widowControl/>
        <w:numPr>
          <w:ilvl w:val="1"/>
          <w:numId w:val="3"/>
        </w:numPr>
        <w:spacing w:line="223" w:lineRule="atLeast"/>
        <w:ind w:firstLineChars="0"/>
        <w:jc w:val="left"/>
        <w:rPr>
          <w:rFonts w:ascii="宋体" w:hAnsi="宋体" w:cs="宋体"/>
          <w:color w:val="auto"/>
          <w:szCs w:val="21"/>
        </w:rPr>
      </w:pPr>
      <w:r>
        <w:rPr>
          <w:rFonts w:hint="eastAsia" w:ascii="宋体" w:hAnsi="宋体" w:cs="宋体"/>
          <w:color w:val="auto"/>
          <w:szCs w:val="21"/>
        </w:rPr>
        <w:t>高纯氧化铝的外观检验，取200</w:t>
      </w:r>
      <w:r>
        <w:rPr>
          <w:rFonts w:hint="eastAsia" w:ascii="宋体" w:hAnsi="宋体" w:cs="宋体"/>
          <w:color w:val="auto"/>
          <w:szCs w:val="21"/>
          <w:lang w:val="en-US" w:eastAsia="zh-CN"/>
        </w:rPr>
        <w:t xml:space="preserve"> </w:t>
      </w:r>
      <w:r>
        <w:rPr>
          <w:rFonts w:hint="eastAsia" w:ascii="宋体" w:hAnsi="宋体" w:cs="宋体"/>
          <w:color w:val="auto"/>
          <w:szCs w:val="21"/>
        </w:rPr>
        <w:t>g产品放在有光纸上，在6</w:t>
      </w:r>
      <w:r>
        <w:rPr>
          <w:rFonts w:hint="eastAsia" w:ascii="宋体" w:hAnsi="宋体" w:cs="宋体"/>
          <w:color w:val="auto"/>
          <w:szCs w:val="21"/>
          <w:lang w:val="en-US" w:eastAsia="zh-CN"/>
        </w:rPr>
        <w:t xml:space="preserve"> </w:t>
      </w:r>
      <w:r>
        <w:rPr>
          <w:rFonts w:hint="eastAsia" w:ascii="宋体" w:hAnsi="宋体" w:cs="宋体"/>
          <w:color w:val="auto"/>
          <w:szCs w:val="21"/>
        </w:rPr>
        <w:t>500</w:t>
      </w:r>
      <w:r>
        <w:rPr>
          <w:rFonts w:hint="eastAsia" w:ascii="宋体" w:hAnsi="宋体" w:cs="宋体"/>
          <w:color w:val="auto"/>
          <w:szCs w:val="21"/>
          <w:lang w:val="en-US" w:eastAsia="zh-CN"/>
        </w:rPr>
        <w:t xml:space="preserve"> </w:t>
      </w:r>
      <w:r>
        <w:rPr>
          <w:rFonts w:hint="eastAsia" w:ascii="宋体" w:hAnsi="宋体" w:cs="宋体"/>
          <w:color w:val="auto"/>
          <w:szCs w:val="21"/>
        </w:rPr>
        <w:t>K色温的日光灯下，肉眼观察。</w:t>
      </w:r>
    </w:p>
    <w:p>
      <w:pPr>
        <w:pStyle w:val="39"/>
        <w:numPr>
          <w:ilvl w:val="0"/>
          <w:numId w:val="3"/>
        </w:numPr>
        <w:rPr>
          <w:rFonts w:hAnsi="黑体" w:cs="宋体"/>
          <w:color w:val="auto"/>
        </w:rPr>
      </w:pPr>
      <w:r>
        <w:rPr>
          <w:rFonts w:hint="eastAsia" w:hAnsi="黑体" w:cs="宋体"/>
          <w:color w:val="auto"/>
        </w:rPr>
        <w:t>检验规则</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6.1</w:t>
      </w:r>
      <w:r>
        <w:rPr>
          <w:rFonts w:ascii="黑体" w:hAnsi="黑体" w:eastAsia="黑体" w:cs="宋体"/>
          <w:color w:val="auto"/>
          <w:szCs w:val="21"/>
        </w:rPr>
        <w:t xml:space="preserve">  </w:t>
      </w:r>
      <w:r>
        <w:rPr>
          <w:rFonts w:hint="eastAsia" w:ascii="黑体" w:hAnsi="黑体" w:eastAsia="黑体" w:cs="宋体"/>
          <w:color w:val="auto"/>
          <w:szCs w:val="21"/>
        </w:rPr>
        <w:t>检查和验收</w:t>
      </w:r>
    </w:p>
    <w:p>
      <w:pPr>
        <w:rPr>
          <w:rFonts w:ascii="宋体" w:hAnsi="宋体" w:cs="宋体"/>
          <w:color w:val="auto"/>
          <w:szCs w:val="21"/>
        </w:rPr>
      </w:pPr>
      <w:r>
        <w:rPr>
          <w:rFonts w:hint="eastAsia" w:ascii="黑体" w:hAnsi="黑体" w:eastAsia="黑体" w:cs="宋体"/>
          <w:color w:val="auto"/>
          <w:szCs w:val="21"/>
        </w:rPr>
        <w:t>6.1.1</w:t>
      </w:r>
      <w:r>
        <w:rPr>
          <w:rFonts w:ascii="黑体" w:hAnsi="黑体" w:eastAsia="黑体" w:cs="宋体"/>
          <w:color w:val="auto"/>
          <w:szCs w:val="21"/>
        </w:rPr>
        <w:t xml:space="preserve">  </w:t>
      </w:r>
      <w:r>
        <w:rPr>
          <w:rFonts w:hint="eastAsia" w:ascii="宋体" w:hAnsi="宋体" w:cs="宋体"/>
          <w:color w:val="auto"/>
          <w:szCs w:val="21"/>
        </w:rPr>
        <w:t>产品由供方或第三方进行检验，保证产品质量符合本文件的规定。</w:t>
      </w:r>
    </w:p>
    <w:p>
      <w:pPr>
        <w:rPr>
          <w:rFonts w:ascii="宋体" w:hAnsi="宋体" w:cs="宋体"/>
          <w:color w:val="auto"/>
          <w:kern w:val="0"/>
          <w:szCs w:val="21"/>
        </w:rPr>
      </w:pPr>
      <w:r>
        <w:rPr>
          <w:rFonts w:hint="eastAsia" w:ascii="黑体" w:hAnsi="黑体" w:eastAsia="黑体" w:cs="宋体"/>
          <w:color w:val="auto"/>
          <w:szCs w:val="21"/>
        </w:rPr>
        <w:t xml:space="preserve">6.1.2 </w:t>
      </w:r>
      <w:r>
        <w:rPr>
          <w:rFonts w:hint="eastAsia" w:ascii="宋体" w:hAnsi="宋体" w:cs="宋体"/>
          <w:color w:val="auto"/>
          <w:kern w:val="0"/>
          <w:szCs w:val="21"/>
        </w:rPr>
        <w:t xml:space="preserve"> 需方可对收到的产品按本文件的规定进行检验。若检验结果与本文件或订货单的规定不符时，应在收到产品之日起</w:t>
      </w:r>
      <w:r>
        <w:rPr>
          <w:rFonts w:hint="eastAsia" w:ascii="宋体" w:hAnsi="宋体" w:cs="宋体"/>
          <w:color w:val="auto"/>
          <w:kern w:val="0"/>
          <w:szCs w:val="21"/>
          <w:lang w:val="en-US" w:eastAsia="zh-CN"/>
        </w:rPr>
        <w:t>3</w:t>
      </w:r>
      <w:r>
        <w:rPr>
          <w:rFonts w:hint="eastAsia" w:ascii="宋体" w:hAnsi="宋体" w:cs="宋体"/>
          <w:color w:val="auto"/>
          <w:kern w:val="0"/>
          <w:szCs w:val="21"/>
        </w:rPr>
        <w:t>0日内向供方提出，由供需双方协商解决。</w:t>
      </w:r>
      <w:r>
        <w:rPr>
          <w:rFonts w:hint="eastAsia"/>
          <w:color w:val="auto"/>
        </w:rPr>
        <w:t>如需仲裁，应由供需双方协商确定</w:t>
      </w:r>
      <w:r>
        <w:rPr>
          <w:rFonts w:hint="eastAsia" w:ascii="宋体" w:hAnsi="宋体" w:cs="宋体"/>
          <w:color w:val="auto"/>
          <w:szCs w:val="21"/>
        </w:rPr>
        <w:t>。</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6.2</w:t>
      </w:r>
      <w:r>
        <w:rPr>
          <w:rFonts w:ascii="黑体" w:hAnsi="黑体" w:eastAsia="黑体" w:cs="宋体"/>
          <w:color w:val="auto"/>
          <w:szCs w:val="21"/>
        </w:rPr>
        <w:t xml:space="preserve">  </w:t>
      </w:r>
      <w:r>
        <w:rPr>
          <w:rFonts w:hint="eastAsia" w:ascii="黑体" w:hAnsi="黑体" w:eastAsia="黑体" w:cs="宋体"/>
          <w:color w:val="auto"/>
          <w:szCs w:val="21"/>
        </w:rPr>
        <w:t>组批</w:t>
      </w:r>
    </w:p>
    <w:p>
      <w:pPr>
        <w:ind w:firstLine="420" w:firstLineChars="200"/>
        <w:rPr>
          <w:rFonts w:ascii="宋体" w:hAnsi="宋体" w:cs="宋体"/>
          <w:color w:val="auto"/>
          <w:kern w:val="0"/>
          <w:szCs w:val="21"/>
        </w:rPr>
      </w:pPr>
      <w:r>
        <w:rPr>
          <w:rFonts w:hint="eastAsia" w:ascii="宋体" w:hAnsi="宋体" w:cs="宋体"/>
          <w:color w:val="auto"/>
          <w:kern w:val="0"/>
          <w:szCs w:val="21"/>
        </w:rPr>
        <w:t>产品应成批提交验收。每批应由以同批原料、按</w:t>
      </w:r>
      <w:r>
        <w:rPr>
          <w:rFonts w:hint="eastAsia" w:ascii="宋体" w:hAnsi="宋体" w:cs="宋体"/>
          <w:color w:val="auto"/>
          <w:kern w:val="0"/>
          <w:szCs w:val="21"/>
          <w:lang w:eastAsia="zh-CN"/>
        </w:rPr>
        <w:t>相同</w:t>
      </w:r>
      <w:r>
        <w:rPr>
          <w:rFonts w:hint="eastAsia" w:ascii="宋体" w:hAnsi="宋体" w:cs="宋体"/>
          <w:color w:val="auto"/>
          <w:kern w:val="0"/>
          <w:szCs w:val="21"/>
        </w:rPr>
        <w:t>工艺条件生产，并可追溯生产条件的同一牌号、同一种类的高纯氧化铝组成。</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6.3</w:t>
      </w:r>
      <w:r>
        <w:rPr>
          <w:rFonts w:ascii="黑体" w:hAnsi="黑体" w:eastAsia="黑体" w:cs="宋体"/>
          <w:color w:val="auto"/>
          <w:szCs w:val="21"/>
        </w:rPr>
        <w:t xml:space="preserve">  </w:t>
      </w:r>
      <w:r>
        <w:rPr>
          <w:rFonts w:hint="eastAsia" w:ascii="黑体" w:hAnsi="黑体" w:eastAsia="黑体" w:cs="宋体"/>
          <w:color w:val="auto"/>
          <w:szCs w:val="21"/>
        </w:rPr>
        <w:t>检验项目</w:t>
      </w:r>
    </w:p>
    <w:p>
      <w:pPr>
        <w:widowControl/>
        <w:numPr>
          <w:ilvl w:val="2"/>
          <w:numId w:val="0"/>
        </w:numPr>
        <w:tabs>
          <w:tab w:val="left" w:pos="363"/>
        </w:tabs>
        <w:ind w:firstLine="420" w:firstLineChars="200"/>
        <w:outlineLvl w:val="2"/>
        <w:rPr>
          <w:rFonts w:ascii="宋体" w:hAnsi="宋体" w:cs="宋体"/>
          <w:color w:val="auto"/>
          <w:kern w:val="0"/>
          <w:szCs w:val="21"/>
        </w:rPr>
      </w:pPr>
      <w:r>
        <w:rPr>
          <w:rFonts w:hint="eastAsia" w:ascii="宋体" w:hAnsi="宋体" w:cs="宋体"/>
          <w:color w:val="auto"/>
          <w:kern w:val="0"/>
          <w:szCs w:val="21"/>
        </w:rPr>
        <w:t>每批产品应对</w:t>
      </w:r>
      <w:r>
        <w:rPr>
          <w:rFonts w:hint="eastAsia" w:ascii="宋体" w:hAnsi="宋体" w:cs="宋体"/>
          <w:color w:val="auto"/>
          <w:kern w:val="0"/>
          <w:szCs w:val="21"/>
          <w:lang w:eastAsia="zh-CN"/>
        </w:rPr>
        <w:t>尺寸、</w:t>
      </w:r>
      <w:r>
        <w:rPr>
          <w:rFonts w:hint="eastAsia" w:ascii="宋体" w:hAnsi="宋体" w:cs="宋体"/>
          <w:color w:val="auto"/>
          <w:szCs w:val="21"/>
        </w:rPr>
        <w:t>密度</w:t>
      </w:r>
      <w:r>
        <w:rPr>
          <w:rFonts w:hint="eastAsia" w:ascii="宋体" w:hAnsi="宋体" w:cs="宋体"/>
          <w:color w:val="auto"/>
          <w:kern w:val="0"/>
          <w:szCs w:val="21"/>
        </w:rPr>
        <w:t>、化学成分、外观进行检验。需方有其他要求时，应由供需双方协商并在订货单中注明。</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6.4</w:t>
      </w:r>
      <w:r>
        <w:rPr>
          <w:rFonts w:ascii="黑体" w:hAnsi="黑体" w:eastAsia="黑体" w:cs="宋体"/>
          <w:color w:val="auto"/>
          <w:szCs w:val="21"/>
        </w:rPr>
        <w:t xml:space="preserve">  </w:t>
      </w:r>
      <w:r>
        <w:rPr>
          <w:rFonts w:hint="eastAsia" w:ascii="黑体" w:hAnsi="黑体" w:eastAsia="黑体" w:cs="宋体"/>
          <w:color w:val="auto"/>
          <w:szCs w:val="21"/>
        </w:rPr>
        <w:t>取样</w:t>
      </w:r>
    </w:p>
    <w:p>
      <w:pPr>
        <w:spacing w:before="156" w:beforeLines="50" w:after="156" w:afterLines="50"/>
        <w:rPr>
          <w:rFonts w:ascii="黑体" w:hAnsi="黑体" w:eastAsia="黑体" w:cs="宋体"/>
          <w:color w:val="auto"/>
          <w:szCs w:val="21"/>
          <w:highlight w:val="none"/>
        </w:rPr>
      </w:pPr>
      <w:r>
        <w:rPr>
          <w:rFonts w:hint="eastAsia" w:ascii="黑体" w:hAnsi="黑体" w:eastAsia="黑体" w:cs="宋体"/>
          <w:color w:val="auto"/>
          <w:szCs w:val="21"/>
          <w:highlight w:val="none"/>
        </w:rPr>
        <w:t>6.4.1</w:t>
      </w:r>
      <w:r>
        <w:rPr>
          <w:rFonts w:ascii="黑体" w:hAnsi="黑体" w:eastAsia="黑体" w:cs="宋体"/>
          <w:color w:val="auto"/>
          <w:szCs w:val="21"/>
          <w:highlight w:val="none"/>
        </w:rPr>
        <w:t xml:space="preserve"> </w:t>
      </w:r>
      <w:r>
        <w:rPr>
          <w:rFonts w:hint="eastAsia" w:ascii="黑体" w:hAnsi="黑体" w:eastAsia="黑体" w:cs="宋体"/>
          <w:color w:val="FF0000"/>
          <w:szCs w:val="21"/>
          <w:highlight w:val="none"/>
          <w:lang w:val="en-US" w:eastAsia="zh-CN"/>
        </w:rPr>
        <w:t xml:space="preserve"> </w:t>
      </w:r>
      <w:r>
        <w:rPr>
          <w:rFonts w:hint="eastAsia" w:ascii="宋体" w:hAnsi="宋体" w:cs="宋体"/>
          <w:color w:val="auto"/>
          <w:szCs w:val="21"/>
          <w:highlight w:val="none"/>
        </w:rPr>
        <w:t>取样</w:t>
      </w:r>
      <w:r>
        <w:rPr>
          <w:rFonts w:hint="eastAsia" w:ascii="宋体" w:hAnsi="宋体" w:cs="宋体"/>
          <w:color w:val="auto"/>
          <w:szCs w:val="21"/>
          <w:highlight w:val="none"/>
          <w:lang w:eastAsia="zh-CN"/>
        </w:rPr>
        <w:t>按照</w:t>
      </w:r>
      <w:r>
        <w:rPr>
          <w:rFonts w:hint="eastAsia" w:hAnsi="宋体" w:cs="宋体"/>
          <w:color w:val="auto"/>
        </w:rPr>
        <w:t>GB/T 6609.22</w:t>
      </w:r>
      <w:r>
        <w:rPr>
          <w:rFonts w:hint="eastAsia" w:hAnsi="宋体" w:cs="宋体"/>
          <w:color w:val="auto"/>
          <w:lang w:eastAsia="zh-CN"/>
        </w:rPr>
        <w:t>进行</w:t>
      </w:r>
      <w:r>
        <w:rPr>
          <w:rFonts w:hint="eastAsia" w:ascii="宋体" w:hAnsi="宋体" w:cs="宋体"/>
          <w:color w:val="auto"/>
          <w:szCs w:val="21"/>
          <w:highlight w:val="none"/>
        </w:rPr>
        <w:t>。</w:t>
      </w:r>
    </w:p>
    <w:p>
      <w:pPr>
        <w:rPr>
          <w:rFonts w:hint="eastAsia" w:ascii="宋体" w:hAnsi="宋体" w:cs="宋体"/>
          <w:color w:val="auto"/>
          <w:szCs w:val="21"/>
          <w:highlight w:val="none"/>
          <w:lang w:eastAsia="zh-CN"/>
        </w:rPr>
      </w:pPr>
      <w:r>
        <w:rPr>
          <w:rFonts w:hint="eastAsia" w:ascii="黑体" w:hAnsi="黑体" w:eastAsia="黑体" w:cs="宋体"/>
          <w:color w:val="auto"/>
          <w:szCs w:val="21"/>
          <w:highlight w:val="none"/>
        </w:rPr>
        <w:t>6.4.</w:t>
      </w:r>
      <w:r>
        <w:rPr>
          <w:rFonts w:hint="eastAsia" w:ascii="黑体" w:hAnsi="黑体" w:eastAsia="黑体" w:cs="宋体"/>
          <w:color w:val="auto"/>
          <w:szCs w:val="21"/>
          <w:highlight w:val="none"/>
          <w:lang w:val="en-US" w:eastAsia="zh-CN"/>
        </w:rPr>
        <w:t>2</w:t>
      </w:r>
      <w:r>
        <w:rPr>
          <w:rFonts w:ascii="黑体" w:hAnsi="黑体" w:eastAsia="黑体" w:cs="宋体"/>
          <w:color w:val="auto"/>
          <w:szCs w:val="21"/>
          <w:highlight w:val="none"/>
        </w:rPr>
        <w:t xml:space="preserve">  </w:t>
      </w:r>
      <w:r>
        <w:rPr>
          <w:rFonts w:hint="eastAsia" w:ascii="宋体" w:hAnsi="宋体" w:cs="宋体"/>
          <w:color w:val="auto"/>
          <w:szCs w:val="21"/>
          <w:highlight w:val="none"/>
          <w:lang w:eastAsia="zh-CN"/>
        </w:rPr>
        <w:t>同批次产品抽取一个样品进行检验。</w:t>
      </w:r>
    </w:p>
    <w:p>
      <w:pPr>
        <w:rPr>
          <w:rFonts w:ascii="黑体" w:hAnsi="黑体" w:eastAsia="黑体" w:cs="宋体"/>
          <w:color w:val="auto"/>
          <w:szCs w:val="21"/>
        </w:rPr>
      </w:pPr>
      <w:r>
        <w:rPr>
          <w:rFonts w:hint="eastAsia" w:ascii="黑体" w:hAnsi="黑体" w:eastAsia="黑体" w:cs="宋体"/>
          <w:color w:val="auto"/>
          <w:szCs w:val="21"/>
        </w:rPr>
        <w:t>6.5</w:t>
      </w:r>
      <w:r>
        <w:rPr>
          <w:rFonts w:ascii="黑体" w:hAnsi="黑体" w:eastAsia="黑体" w:cs="宋体"/>
          <w:color w:val="auto"/>
          <w:szCs w:val="21"/>
        </w:rPr>
        <w:t xml:space="preserve">  </w:t>
      </w:r>
      <w:r>
        <w:rPr>
          <w:rFonts w:hint="eastAsia" w:ascii="黑体" w:hAnsi="黑体" w:eastAsia="黑体" w:cs="宋体"/>
          <w:color w:val="auto"/>
          <w:szCs w:val="21"/>
        </w:rPr>
        <w:t>检验结果的判定</w:t>
      </w:r>
    </w:p>
    <w:p>
      <w:pPr>
        <w:rPr>
          <w:rFonts w:ascii="宋体" w:hAnsi="宋体" w:cs="宋体"/>
          <w:color w:val="auto"/>
          <w:kern w:val="0"/>
          <w:szCs w:val="21"/>
        </w:rPr>
      </w:pPr>
      <w:r>
        <w:rPr>
          <w:rFonts w:hint="eastAsia" w:ascii="黑体" w:hAnsi="黑体" w:eastAsia="黑体" w:cs="宋体"/>
          <w:color w:val="auto"/>
          <w:szCs w:val="21"/>
        </w:rPr>
        <w:t>6.5.1</w:t>
      </w:r>
      <w:r>
        <w:rPr>
          <w:rFonts w:ascii="宋体" w:hAnsi="宋体" w:cs="宋体"/>
          <w:color w:val="auto"/>
          <w:kern w:val="0"/>
          <w:szCs w:val="21"/>
        </w:rPr>
        <w:t xml:space="preserve">  </w:t>
      </w:r>
      <w:r>
        <w:rPr>
          <w:rFonts w:hint="eastAsia" w:ascii="宋体" w:hAnsi="宋体" w:cs="宋体"/>
          <w:color w:val="auto"/>
          <w:kern w:val="0"/>
          <w:szCs w:val="21"/>
          <w:lang w:eastAsia="zh-CN"/>
        </w:rPr>
        <w:t>体积密度、堆积</w:t>
      </w:r>
      <w:r>
        <w:rPr>
          <w:rFonts w:hint="eastAsia" w:ascii="宋体" w:hAnsi="宋体" w:cs="宋体"/>
          <w:color w:val="auto"/>
          <w:szCs w:val="21"/>
        </w:rPr>
        <w:t>密度</w:t>
      </w:r>
      <w:r>
        <w:rPr>
          <w:rFonts w:hint="eastAsia" w:ascii="宋体" w:hAnsi="宋体" w:cs="宋体"/>
          <w:color w:val="auto"/>
          <w:kern w:val="0"/>
          <w:szCs w:val="21"/>
        </w:rPr>
        <w:t>的检验结果不合格时，判该批产品不合格。</w:t>
      </w:r>
    </w:p>
    <w:p>
      <w:pPr>
        <w:rPr>
          <w:rFonts w:hint="eastAsia" w:ascii="宋体" w:hAnsi="宋体" w:cs="宋体"/>
          <w:strike w:val="0"/>
          <w:dstrike w:val="0"/>
          <w:color w:val="auto"/>
          <w:kern w:val="0"/>
          <w:szCs w:val="21"/>
        </w:rPr>
      </w:pPr>
      <w:r>
        <w:rPr>
          <w:rFonts w:hint="eastAsia" w:ascii="黑体" w:hAnsi="黑体" w:eastAsia="黑体" w:cs="宋体"/>
          <w:color w:val="auto"/>
          <w:szCs w:val="21"/>
        </w:rPr>
        <w:t>6.5.2</w:t>
      </w:r>
      <w:r>
        <w:rPr>
          <w:rFonts w:ascii="宋体" w:hAnsi="宋体" w:cs="宋体"/>
          <w:color w:val="auto"/>
          <w:kern w:val="0"/>
          <w:szCs w:val="21"/>
        </w:rPr>
        <w:t xml:space="preserve">  </w:t>
      </w:r>
      <w:r>
        <w:rPr>
          <w:rFonts w:hint="eastAsia" w:ascii="宋体" w:hAnsi="宋体" w:cs="宋体"/>
          <w:color w:val="auto"/>
          <w:kern w:val="0"/>
          <w:szCs w:val="21"/>
        </w:rPr>
        <w:t>化学成分的检验结果不合格时，</w:t>
      </w:r>
      <w:r>
        <w:rPr>
          <w:rFonts w:hint="eastAsia" w:ascii="宋体" w:hAnsi="宋体" w:cs="宋体"/>
          <w:strike w:val="0"/>
          <w:dstrike w:val="0"/>
          <w:color w:val="auto"/>
          <w:kern w:val="0"/>
          <w:szCs w:val="21"/>
        </w:rPr>
        <w:t>判该批产品不合格。</w:t>
      </w:r>
    </w:p>
    <w:p>
      <w:pPr>
        <w:rPr>
          <w:rFonts w:ascii="宋体" w:hAnsi="宋体" w:cs="宋体"/>
          <w:color w:val="auto"/>
          <w:kern w:val="0"/>
          <w:szCs w:val="21"/>
        </w:rPr>
      </w:pPr>
      <w:r>
        <w:rPr>
          <w:rFonts w:hint="eastAsia" w:ascii="黑体" w:hAnsi="黑体" w:eastAsia="黑体" w:cs="宋体"/>
          <w:color w:val="auto"/>
          <w:szCs w:val="21"/>
        </w:rPr>
        <w:t>6.5.3</w:t>
      </w:r>
      <w:r>
        <w:rPr>
          <w:rFonts w:ascii="黑体" w:hAnsi="黑体" w:eastAsia="黑体" w:cs="宋体"/>
          <w:color w:val="auto"/>
          <w:szCs w:val="21"/>
        </w:rPr>
        <w:t xml:space="preserve"> </w:t>
      </w:r>
      <w:r>
        <w:rPr>
          <w:rFonts w:ascii="宋体" w:hAnsi="宋体" w:cs="宋体"/>
          <w:color w:val="auto"/>
          <w:kern w:val="0"/>
          <w:szCs w:val="21"/>
        </w:rPr>
        <w:t xml:space="preserve"> </w:t>
      </w:r>
      <w:r>
        <w:rPr>
          <w:rFonts w:hint="eastAsia" w:ascii="宋体" w:hAnsi="宋体" w:cs="宋体"/>
          <w:color w:val="auto"/>
          <w:kern w:val="0"/>
          <w:szCs w:val="21"/>
        </w:rPr>
        <w:t>外观的检验结果不合格时，判该批产品不合格。</w:t>
      </w:r>
    </w:p>
    <w:p>
      <w:pPr>
        <w:pStyle w:val="39"/>
        <w:numPr>
          <w:ilvl w:val="0"/>
          <w:numId w:val="3"/>
        </w:numPr>
        <w:rPr>
          <w:rFonts w:hAnsi="黑体" w:cs="宋体"/>
          <w:color w:val="auto"/>
        </w:rPr>
      </w:pPr>
      <w:r>
        <w:rPr>
          <w:rFonts w:hint="eastAsia" w:hAnsi="黑体" w:cs="宋体"/>
          <w:color w:val="auto"/>
        </w:rPr>
        <w:t>标志、包装、运输、贮存及随行文件</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7.1</w:t>
      </w:r>
      <w:r>
        <w:rPr>
          <w:rFonts w:ascii="黑体" w:hAnsi="黑体" w:eastAsia="黑体" w:cs="宋体"/>
          <w:color w:val="auto"/>
          <w:szCs w:val="21"/>
        </w:rPr>
        <w:t xml:space="preserve">  </w:t>
      </w:r>
      <w:r>
        <w:rPr>
          <w:rFonts w:hint="eastAsia" w:ascii="黑体" w:hAnsi="黑体" w:eastAsia="黑体" w:cs="宋体"/>
          <w:color w:val="auto"/>
          <w:szCs w:val="21"/>
        </w:rPr>
        <w:t>标志</w:t>
      </w:r>
    </w:p>
    <w:p>
      <w:pPr>
        <w:ind w:firstLine="420" w:firstLineChars="200"/>
        <w:rPr>
          <w:rFonts w:ascii="宋体" w:hAnsi="宋体" w:cs="宋体"/>
          <w:color w:val="auto"/>
          <w:kern w:val="0"/>
          <w:szCs w:val="21"/>
        </w:rPr>
      </w:pPr>
      <w:r>
        <w:rPr>
          <w:rFonts w:hint="eastAsia" w:ascii="宋体" w:hAnsi="宋体" w:cs="宋体"/>
          <w:color w:val="auto"/>
          <w:kern w:val="0"/>
          <w:szCs w:val="21"/>
        </w:rPr>
        <w:t>包装箱外应注明</w:t>
      </w:r>
      <w:r>
        <w:rPr>
          <w:rFonts w:hint="eastAsia" w:ascii="宋体" w:hAnsi="宋体" w:cs="宋体"/>
          <w:color w:val="auto"/>
          <w:kern w:val="0"/>
          <w:szCs w:val="21"/>
          <w:lang w:eastAsia="zh-CN"/>
        </w:rPr>
        <w:t>（包括但不限于）</w:t>
      </w:r>
      <w:r>
        <w:rPr>
          <w:rFonts w:hint="eastAsia" w:ascii="宋体" w:hAnsi="宋体" w:cs="宋体"/>
          <w:color w:val="auto"/>
          <w:kern w:val="0"/>
          <w:szCs w:val="21"/>
        </w:rPr>
        <w:t>以下内容：</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供方名称；</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产品名称；</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批号、净重；</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出厂日期；</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R</w:t>
      </w:r>
      <w:r>
        <w:rPr>
          <w:rFonts w:hint="eastAsia" w:ascii="宋体" w:hAnsi="宋体" w:cs="宋体"/>
          <w:color w:val="auto"/>
          <w:kern w:val="0"/>
          <w:szCs w:val="21"/>
          <w:lang w:val="en-US" w:eastAsia="zh-CN"/>
        </w:rPr>
        <w:t xml:space="preserve">oHS </w:t>
      </w:r>
      <w:r>
        <w:rPr>
          <w:rFonts w:hint="eastAsia" w:ascii="宋体" w:hAnsi="宋体" w:cs="宋体"/>
          <w:color w:val="auto"/>
          <w:kern w:val="0"/>
          <w:szCs w:val="21"/>
        </w:rPr>
        <w:t>2.0标签；</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“小心轻放”“防潮”、“易碎”“向上”字样或</w:t>
      </w:r>
      <w:r>
        <w:rPr>
          <w:rFonts w:hint="eastAsia" w:ascii="宋体" w:hAnsi="宋体" w:cs="宋体"/>
          <w:color w:val="auto"/>
          <w:kern w:val="0"/>
          <w:szCs w:val="21"/>
          <w:lang w:eastAsia="zh-CN"/>
        </w:rPr>
        <w:t>标</w:t>
      </w:r>
      <w:r>
        <w:rPr>
          <w:rFonts w:hint="eastAsia" w:ascii="宋体" w:hAnsi="宋体" w:cs="宋体"/>
          <w:color w:val="auto"/>
          <w:kern w:val="0"/>
          <w:szCs w:val="21"/>
        </w:rPr>
        <w:t>志。</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7.2</w:t>
      </w:r>
      <w:r>
        <w:rPr>
          <w:rFonts w:ascii="黑体" w:hAnsi="黑体" w:eastAsia="黑体" w:cs="宋体"/>
          <w:color w:val="auto"/>
          <w:szCs w:val="21"/>
        </w:rPr>
        <w:t xml:space="preserve">  </w:t>
      </w:r>
      <w:r>
        <w:rPr>
          <w:rFonts w:hint="eastAsia" w:ascii="黑体" w:hAnsi="黑体" w:eastAsia="黑体" w:cs="宋体"/>
          <w:color w:val="auto"/>
          <w:szCs w:val="21"/>
        </w:rPr>
        <w:t>包装</w:t>
      </w:r>
    </w:p>
    <w:p>
      <w:pPr>
        <w:rPr>
          <w:rFonts w:ascii="宋体" w:hAnsi="宋体" w:cs="宋体"/>
          <w:color w:val="auto"/>
          <w:kern w:val="0"/>
          <w:szCs w:val="21"/>
        </w:rPr>
      </w:pPr>
      <w:r>
        <w:rPr>
          <w:rFonts w:hint="eastAsia" w:ascii="黑体" w:hAnsi="黑体" w:eastAsia="黑体" w:cs="宋体"/>
          <w:color w:val="auto"/>
          <w:szCs w:val="21"/>
        </w:rPr>
        <w:t>7.2.1</w:t>
      </w:r>
      <w:r>
        <w:rPr>
          <w:rFonts w:ascii="黑体" w:hAnsi="黑体" w:eastAsia="黑体" w:cs="宋体"/>
          <w:color w:val="auto"/>
          <w:szCs w:val="21"/>
        </w:rPr>
        <w:t xml:space="preserve">  </w:t>
      </w:r>
      <w:r>
        <w:rPr>
          <w:rFonts w:hint="eastAsia" w:ascii="宋体" w:hAnsi="宋体" w:cs="宋体"/>
          <w:color w:val="auto"/>
          <w:kern w:val="0"/>
          <w:szCs w:val="21"/>
        </w:rPr>
        <w:t>产品采</w:t>
      </w:r>
      <w:r>
        <w:rPr>
          <w:rFonts w:hint="eastAsia" w:ascii="宋体" w:hAnsi="宋体" w:cs="宋体"/>
          <w:color w:val="auto"/>
          <w:kern w:val="0"/>
          <w:szCs w:val="21"/>
          <w:lang w:eastAsia="zh-CN"/>
        </w:rPr>
        <w:t>用</w:t>
      </w:r>
      <w:r>
        <w:rPr>
          <w:rFonts w:hint="eastAsia" w:ascii="宋体" w:hAnsi="宋体" w:cs="宋体"/>
          <w:color w:val="auto"/>
          <w:kern w:val="0"/>
          <w:szCs w:val="21"/>
        </w:rPr>
        <w:t>双层塑料袋密封包装，置于合适的包装箱内，用发泡袋等缓冲物填紧，以防窜动。</w:t>
      </w:r>
    </w:p>
    <w:p>
      <w:pPr>
        <w:rPr>
          <w:rFonts w:ascii="宋体" w:hAnsi="宋体" w:cs="宋体"/>
          <w:color w:val="auto"/>
          <w:kern w:val="0"/>
          <w:szCs w:val="21"/>
        </w:rPr>
      </w:pPr>
      <w:r>
        <w:rPr>
          <w:rFonts w:hint="eastAsia" w:ascii="宋体" w:hAnsi="宋体" w:cs="宋体"/>
          <w:color w:val="auto"/>
          <w:kern w:val="0"/>
          <w:szCs w:val="21"/>
        </w:rPr>
        <w:t>包装桶放在配套木托上，然后在整体表面用塑料膜缠两层，并打包好。</w:t>
      </w:r>
    </w:p>
    <w:p>
      <w:pPr>
        <w:rPr>
          <w:rFonts w:ascii="宋体" w:hAnsi="宋体" w:cs="宋体"/>
          <w:color w:val="auto"/>
          <w:kern w:val="0"/>
          <w:szCs w:val="21"/>
        </w:rPr>
      </w:pPr>
      <w:r>
        <w:rPr>
          <w:rFonts w:hint="eastAsia" w:ascii="黑体" w:hAnsi="黑体" w:eastAsia="黑体" w:cs="宋体"/>
          <w:color w:val="auto"/>
          <w:szCs w:val="21"/>
        </w:rPr>
        <w:t>7.2.</w:t>
      </w:r>
      <w:r>
        <w:rPr>
          <w:rFonts w:hint="eastAsia" w:ascii="黑体" w:hAnsi="黑体" w:eastAsia="黑体" w:cs="宋体"/>
          <w:color w:val="auto"/>
          <w:szCs w:val="21"/>
          <w:lang w:val="en-US" w:eastAsia="zh-CN"/>
        </w:rPr>
        <w:t>2</w:t>
      </w:r>
      <w:r>
        <w:rPr>
          <w:rFonts w:ascii="黑体" w:hAnsi="黑体" w:eastAsia="黑体" w:cs="宋体"/>
          <w:color w:val="auto"/>
          <w:szCs w:val="21"/>
        </w:rPr>
        <w:t xml:space="preserve">  </w:t>
      </w:r>
      <w:r>
        <w:rPr>
          <w:rFonts w:hint="eastAsia" w:ascii="宋体" w:hAnsi="宋体" w:cs="宋体"/>
          <w:color w:val="auto"/>
          <w:kern w:val="0"/>
          <w:szCs w:val="21"/>
        </w:rPr>
        <w:t>需方对包装有特殊要求时，可由供需双方协商确定。</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7.3</w:t>
      </w:r>
      <w:r>
        <w:rPr>
          <w:rFonts w:ascii="黑体" w:hAnsi="黑体" w:eastAsia="黑体" w:cs="宋体"/>
          <w:color w:val="auto"/>
          <w:szCs w:val="21"/>
        </w:rPr>
        <w:t xml:space="preserve">  </w:t>
      </w:r>
      <w:r>
        <w:rPr>
          <w:rFonts w:hint="eastAsia" w:ascii="黑体" w:hAnsi="黑体" w:eastAsia="黑体" w:cs="宋体"/>
          <w:color w:val="auto"/>
          <w:szCs w:val="21"/>
        </w:rPr>
        <w:t>运输</w:t>
      </w:r>
    </w:p>
    <w:p>
      <w:pPr>
        <w:ind w:firstLine="420" w:firstLineChars="200"/>
        <w:rPr>
          <w:rFonts w:ascii="宋体" w:hAnsi="宋体" w:cs="宋体"/>
          <w:color w:val="auto"/>
          <w:kern w:val="0"/>
          <w:szCs w:val="21"/>
        </w:rPr>
      </w:pPr>
      <w:r>
        <w:rPr>
          <w:rFonts w:hint="eastAsia" w:ascii="宋体" w:hAnsi="宋体" w:cs="宋体"/>
          <w:color w:val="auto"/>
          <w:kern w:val="0"/>
          <w:szCs w:val="21"/>
        </w:rPr>
        <w:t>产品运输时应防止雨淋潮湿，</w:t>
      </w:r>
      <w:r>
        <w:rPr>
          <w:rFonts w:hint="eastAsia" w:ascii="宋体" w:hAnsi="宋体" w:cs="宋体"/>
          <w:color w:val="auto"/>
          <w:kern w:val="0"/>
          <w:szCs w:val="21"/>
          <w:lang w:eastAsia="zh-CN"/>
        </w:rPr>
        <w:t>防止</w:t>
      </w:r>
      <w:r>
        <w:rPr>
          <w:rFonts w:hint="eastAsia" w:ascii="宋体" w:hAnsi="宋体" w:cs="宋体"/>
          <w:color w:val="auto"/>
          <w:kern w:val="0"/>
          <w:szCs w:val="21"/>
        </w:rPr>
        <w:t>剧烈碰撞。</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7.4</w:t>
      </w:r>
      <w:r>
        <w:rPr>
          <w:rFonts w:ascii="黑体" w:hAnsi="黑体" w:eastAsia="黑体" w:cs="宋体"/>
          <w:color w:val="auto"/>
          <w:szCs w:val="21"/>
        </w:rPr>
        <w:t xml:space="preserve">  </w:t>
      </w:r>
      <w:r>
        <w:rPr>
          <w:rFonts w:hint="eastAsia" w:ascii="黑体" w:hAnsi="黑体" w:eastAsia="黑体" w:cs="宋体"/>
          <w:color w:val="auto"/>
          <w:szCs w:val="21"/>
        </w:rPr>
        <w:t>贮存</w:t>
      </w:r>
    </w:p>
    <w:p>
      <w:pPr>
        <w:ind w:firstLine="420" w:firstLineChars="200"/>
        <w:rPr>
          <w:rFonts w:ascii="宋体" w:hAnsi="宋体" w:cs="宋体"/>
          <w:color w:val="auto"/>
          <w:kern w:val="0"/>
          <w:szCs w:val="21"/>
        </w:rPr>
      </w:pPr>
      <w:r>
        <w:rPr>
          <w:rFonts w:hint="eastAsia" w:ascii="宋体" w:hAnsi="宋体" w:cs="宋体"/>
          <w:color w:val="auto"/>
          <w:kern w:val="0"/>
          <w:szCs w:val="21"/>
        </w:rPr>
        <w:t>产品应密封存放于干燥、干净和无腐蚀性环境中，堆放高度需避免产品的包装桶变形和垮塌。</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7.5</w:t>
      </w:r>
      <w:r>
        <w:rPr>
          <w:rFonts w:ascii="黑体" w:hAnsi="黑体" w:eastAsia="黑体" w:cs="宋体"/>
          <w:color w:val="auto"/>
          <w:szCs w:val="21"/>
        </w:rPr>
        <w:t xml:space="preserve">  </w:t>
      </w:r>
      <w:r>
        <w:rPr>
          <w:rFonts w:hint="eastAsia" w:ascii="黑体" w:hAnsi="黑体" w:eastAsia="黑体" w:cs="宋体"/>
          <w:color w:val="auto"/>
          <w:szCs w:val="21"/>
        </w:rPr>
        <w:t>随行文件</w:t>
      </w:r>
    </w:p>
    <w:p>
      <w:pPr>
        <w:pStyle w:val="62"/>
        <w:ind w:firstLine="420"/>
        <w:rPr>
          <w:color w:val="auto"/>
        </w:rPr>
      </w:pPr>
      <w:r>
        <w:rPr>
          <w:rFonts w:hint="eastAsia" w:hAnsi="宋体" w:cs="宋体"/>
          <w:color w:val="auto"/>
        </w:rPr>
        <w:t>每批产品应附有随行文件，</w:t>
      </w:r>
      <w:r>
        <w:rPr>
          <w:rFonts w:hint="eastAsia"/>
          <w:color w:val="auto"/>
        </w:rPr>
        <w:t>其中除应包括供方信息、产品信息、本文件编号、出厂日期或包装日期外，还宜包括</w:t>
      </w:r>
      <w:r>
        <w:rPr>
          <w:rFonts w:hint="eastAsia" w:hAnsi="宋体" w:cs="宋体"/>
          <w:color w:val="auto"/>
          <w:lang w:eastAsia="zh-CN"/>
        </w:rPr>
        <w:t>（包括但不限于）</w:t>
      </w:r>
      <w:r>
        <w:rPr>
          <w:rFonts w:hint="eastAsia"/>
          <w:color w:val="auto"/>
        </w:rPr>
        <w:t>：</w:t>
      </w:r>
    </w:p>
    <w:p>
      <w:pPr>
        <w:widowControl/>
        <w:numPr>
          <w:ilvl w:val="0"/>
          <w:numId w:val="6"/>
        </w:numPr>
        <w:jc w:val="left"/>
        <w:outlineLvl w:val="3"/>
        <w:rPr>
          <w:rFonts w:ascii="宋体"/>
          <w:color w:val="auto"/>
          <w:kern w:val="0"/>
          <w:szCs w:val="21"/>
        </w:rPr>
      </w:pPr>
      <w:r>
        <w:rPr>
          <w:rFonts w:hint="eastAsia" w:ascii="宋体"/>
          <w:color w:val="auto"/>
          <w:kern w:val="0"/>
          <w:szCs w:val="21"/>
        </w:rPr>
        <w:t>产品合格证，包括以下内容：</w:t>
      </w:r>
    </w:p>
    <w:p>
      <w:pPr>
        <w:widowControl/>
        <w:numPr>
          <w:ilvl w:val="0"/>
          <w:numId w:val="7"/>
        </w:numPr>
        <w:jc w:val="left"/>
        <w:outlineLvl w:val="3"/>
        <w:rPr>
          <w:rFonts w:ascii="宋体"/>
          <w:color w:val="auto"/>
          <w:kern w:val="0"/>
          <w:szCs w:val="21"/>
        </w:rPr>
      </w:pPr>
      <w:r>
        <w:rPr>
          <w:rFonts w:hint="eastAsia" w:ascii="宋体"/>
          <w:color w:val="auto"/>
          <w:kern w:val="0"/>
          <w:szCs w:val="21"/>
        </w:rPr>
        <w:t>检验项目及其结果；</w:t>
      </w:r>
    </w:p>
    <w:p>
      <w:pPr>
        <w:widowControl/>
        <w:numPr>
          <w:ilvl w:val="0"/>
          <w:numId w:val="7"/>
        </w:numPr>
        <w:jc w:val="left"/>
        <w:outlineLvl w:val="3"/>
        <w:rPr>
          <w:rFonts w:ascii="宋体"/>
          <w:color w:val="auto"/>
          <w:kern w:val="0"/>
          <w:szCs w:val="21"/>
        </w:rPr>
      </w:pPr>
      <w:r>
        <w:rPr>
          <w:rFonts w:hint="eastAsia" w:ascii="宋体"/>
          <w:color w:val="auto"/>
          <w:kern w:val="0"/>
          <w:szCs w:val="21"/>
        </w:rPr>
        <w:t>批量或批号；</w:t>
      </w:r>
    </w:p>
    <w:p>
      <w:pPr>
        <w:widowControl/>
        <w:numPr>
          <w:ilvl w:val="0"/>
          <w:numId w:val="7"/>
        </w:numPr>
        <w:jc w:val="left"/>
        <w:outlineLvl w:val="3"/>
        <w:rPr>
          <w:rFonts w:ascii="宋体"/>
          <w:color w:val="auto"/>
          <w:kern w:val="0"/>
          <w:szCs w:val="21"/>
        </w:rPr>
      </w:pPr>
      <w:r>
        <w:rPr>
          <w:rFonts w:hint="eastAsia" w:ascii="宋体"/>
          <w:color w:val="auto"/>
          <w:kern w:val="0"/>
          <w:szCs w:val="21"/>
        </w:rPr>
        <w:t>检验日期；</w:t>
      </w:r>
    </w:p>
    <w:p>
      <w:pPr>
        <w:widowControl/>
        <w:numPr>
          <w:ilvl w:val="0"/>
          <w:numId w:val="7"/>
        </w:numPr>
        <w:jc w:val="left"/>
        <w:outlineLvl w:val="3"/>
        <w:rPr>
          <w:rFonts w:ascii="宋体"/>
          <w:color w:val="auto"/>
          <w:kern w:val="0"/>
          <w:szCs w:val="21"/>
        </w:rPr>
      </w:pPr>
      <w:r>
        <w:rPr>
          <w:rFonts w:hint="eastAsia" w:ascii="宋体"/>
          <w:color w:val="auto"/>
          <w:kern w:val="0"/>
          <w:szCs w:val="21"/>
        </w:rPr>
        <w:t>检验员签名或印章。</w:t>
      </w:r>
    </w:p>
    <w:p>
      <w:pPr>
        <w:widowControl/>
        <w:numPr>
          <w:ilvl w:val="0"/>
          <w:numId w:val="6"/>
        </w:numPr>
        <w:jc w:val="left"/>
        <w:outlineLvl w:val="3"/>
        <w:rPr>
          <w:rFonts w:ascii="宋体"/>
          <w:color w:val="auto"/>
          <w:kern w:val="0"/>
          <w:szCs w:val="21"/>
        </w:rPr>
      </w:pPr>
      <w:r>
        <w:rPr>
          <w:rFonts w:hint="eastAsia" w:ascii="宋体"/>
          <w:color w:val="auto"/>
          <w:kern w:val="0"/>
          <w:szCs w:val="21"/>
        </w:rPr>
        <w:t>产品质量控制过程中的检验报告及成品检验报告；</w:t>
      </w:r>
    </w:p>
    <w:p>
      <w:pPr>
        <w:widowControl/>
        <w:numPr>
          <w:ilvl w:val="0"/>
          <w:numId w:val="6"/>
        </w:numPr>
        <w:jc w:val="left"/>
        <w:outlineLvl w:val="3"/>
        <w:rPr>
          <w:rFonts w:ascii="宋体"/>
          <w:color w:val="auto"/>
          <w:kern w:val="0"/>
          <w:szCs w:val="21"/>
        </w:rPr>
      </w:pPr>
      <w:r>
        <w:rPr>
          <w:rFonts w:hint="eastAsia" w:ascii="宋体"/>
          <w:color w:val="auto"/>
          <w:kern w:val="0"/>
          <w:szCs w:val="21"/>
        </w:rPr>
        <w:t>产品使用说明：正确搬运、使用、贮存方法等；</w:t>
      </w:r>
    </w:p>
    <w:p>
      <w:pPr>
        <w:widowControl/>
        <w:numPr>
          <w:ilvl w:val="0"/>
          <w:numId w:val="6"/>
        </w:numPr>
        <w:jc w:val="left"/>
        <w:outlineLvl w:val="3"/>
        <w:rPr>
          <w:rFonts w:ascii="宋体"/>
          <w:color w:val="auto"/>
          <w:kern w:val="0"/>
          <w:szCs w:val="21"/>
        </w:rPr>
      </w:pPr>
      <w:r>
        <w:rPr>
          <w:rFonts w:hint="eastAsia" w:ascii="宋体"/>
          <w:color w:val="auto"/>
          <w:kern w:val="0"/>
          <w:szCs w:val="21"/>
          <w:lang w:eastAsia="zh-CN"/>
        </w:rPr>
        <w:t>发货清单</w:t>
      </w:r>
    </w:p>
    <w:p>
      <w:pPr>
        <w:widowControl/>
        <w:numPr>
          <w:ilvl w:val="0"/>
          <w:numId w:val="6"/>
        </w:numPr>
        <w:jc w:val="left"/>
        <w:outlineLvl w:val="3"/>
        <w:rPr>
          <w:rFonts w:ascii="宋体"/>
          <w:color w:val="auto"/>
          <w:kern w:val="0"/>
          <w:szCs w:val="21"/>
        </w:rPr>
      </w:pPr>
      <w:r>
        <w:rPr>
          <w:rFonts w:hint="eastAsia" w:ascii="宋体"/>
          <w:color w:val="auto"/>
          <w:kern w:val="0"/>
          <w:szCs w:val="21"/>
        </w:rPr>
        <w:t>其他。</w:t>
      </w:r>
    </w:p>
    <w:p>
      <w:pPr>
        <w:pStyle w:val="39"/>
        <w:numPr>
          <w:ilvl w:val="0"/>
          <w:numId w:val="3"/>
        </w:numPr>
        <w:rPr>
          <w:rFonts w:hAnsi="黑体" w:cs="宋体"/>
          <w:color w:val="auto"/>
        </w:rPr>
      </w:pPr>
      <w:r>
        <w:rPr>
          <w:rFonts w:hint="eastAsia" w:hAnsi="黑体" w:cs="宋体"/>
          <w:color w:val="auto"/>
        </w:rPr>
        <w:t>订货单内容</w:t>
      </w:r>
    </w:p>
    <w:p>
      <w:pPr>
        <w:widowControl/>
        <w:tabs>
          <w:tab w:val="center" w:pos="4201"/>
          <w:tab w:val="right" w:leader="dot" w:pos="9298"/>
        </w:tabs>
        <w:autoSpaceDE w:val="0"/>
        <w:autoSpaceDN w:val="0"/>
        <w:ind w:firstLine="420" w:firstLineChars="200"/>
        <w:rPr>
          <w:rFonts w:ascii="宋体"/>
          <w:color w:val="auto"/>
          <w:kern w:val="0"/>
          <w:szCs w:val="20"/>
          <w:lang w:val="en-US" w:eastAsia="zh-CN"/>
        </w:rPr>
      </w:pPr>
      <w:r>
        <w:rPr>
          <w:rFonts w:hint="eastAsia" w:ascii="宋体"/>
          <w:color w:val="auto"/>
          <w:kern w:val="0"/>
          <w:szCs w:val="20"/>
          <w:lang w:val="en-US"/>
        </w:rPr>
        <w:t>需方可根据自身的需要，在订购本文件所列产品的订货单内，列出如下内容</w:t>
      </w:r>
      <w:r>
        <w:rPr>
          <w:rFonts w:ascii="宋体"/>
          <w:color w:val="auto"/>
          <w:kern w:val="0"/>
          <w:szCs w:val="20"/>
          <w:lang w:val="en-US" w:eastAsia="zh-CN"/>
        </w:rPr>
        <w:t>：</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产品名称及牌号；</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数量；</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技术要求；</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本文件编号；</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本文件规定应在订货单中注明的内容；</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其他。</w:t>
      </w:r>
    </w:p>
    <w:p>
      <w:pPr>
        <w:widowControl/>
        <w:adjustRightInd w:val="0"/>
        <w:snapToGrid w:val="0"/>
        <w:spacing w:after="200"/>
        <w:ind w:left="220"/>
        <w:jc w:val="left"/>
        <w:rPr>
          <w:rFonts w:ascii="宋体" w:hAnsi="宋体" w:cs="宋体"/>
          <w:color w:val="auto"/>
          <w:kern w:val="0"/>
          <w:szCs w:val="21"/>
        </w:rPr>
      </w:pPr>
    </w:p>
    <w:p>
      <w:pPr>
        <w:widowControl/>
        <w:adjustRightInd w:val="0"/>
        <w:snapToGrid w:val="0"/>
        <w:spacing w:after="200"/>
        <w:ind w:left="220"/>
        <w:jc w:val="left"/>
        <w:rPr>
          <w:rFonts w:ascii="宋体" w:hAnsi="宋体" w:cs="宋体"/>
          <w:color w:val="auto"/>
          <w:kern w:val="0"/>
          <w:szCs w:val="21"/>
        </w:rPr>
      </w:pPr>
      <w:r>
        <w:rPr>
          <w:rFonts w:hint="eastAsia" w:ascii="宋体" w:hAnsi="宋体" w:cs="宋体"/>
          <w:color w:val="auto"/>
          <w:kern w:val="0"/>
          <w:szCs w:val="21"/>
        </w:rPr>
        <mc:AlternateContent>
          <mc:Choice Requires="wps">
            <w:drawing>
              <wp:anchor distT="0" distB="0" distL="114300" distR="114300" simplePos="0" relativeHeight="251674624" behindDoc="0" locked="0" layoutInCell="1" allowOverlap="1">
                <wp:simplePos x="0" y="0"/>
                <wp:positionH relativeFrom="column">
                  <wp:posOffset>1877695</wp:posOffset>
                </wp:positionH>
                <wp:positionV relativeFrom="paragraph">
                  <wp:posOffset>307975</wp:posOffset>
                </wp:positionV>
                <wp:extent cx="233997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23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7.85pt;margin-top:24.25pt;height:0pt;width:184.25pt;z-index:251674624;mso-width-relative:page;mso-height-relative:page;" filled="f" stroked="t" coordsize="21600,21600" o:gfxdata="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I6LvdgAAAAJAQAADwAAAAAAAAABACAAAAAiAAAAZHJzL2Rvd25yZXYueG1sUEsB&#10;AhQAFAAAAAgAh07iQJGFolv1AQAA3QMAAA4AAAAAAAAAAQAgAAAAJwEAAGRycy9lMm9Eb2MueG1s&#10;UEsFBgAAAAAGAAYAWQEAAI4FAAAAAA==&#10;">
                <v:fill on="f" focussize="0,0"/>
                <v:stroke color="#000000 [3200]" joinstyle="round"/>
                <v:imagedata o:title=""/>
                <o:lock v:ext="edit" aspectratio="f"/>
              </v:line>
            </w:pict>
          </mc:Fallback>
        </mc:AlternateContent>
      </w:r>
    </w:p>
    <w:sectPr>
      <w:headerReference r:id="rId8" w:type="default"/>
      <w:footerReference r:id="rId9" w:type="default"/>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after="200"/>
      <w:jc w:val="left"/>
      <w:rPr>
        <w:rFonts w:ascii="Tahoma" w:hAnsi="Tahoma" w:eastAsia="微软雅黑"/>
        <w:sz w:val="18"/>
        <w:szCs w:val="22"/>
      </w:rPr>
    </w:pPr>
    <w:r>
      <w:rPr>
        <w:rFonts w:ascii="Tahoma" w:hAnsi="Tahoma" w:eastAsia="微软雅黑"/>
        <w:sz w:val="18"/>
        <w:szCs w:val="22"/>
      </w:rPr>
      <mc:AlternateContent>
        <mc:Choice Requires="wps">
          <w:drawing>
            <wp:anchor distT="0" distB="0" distL="114300" distR="114300" simplePos="0" relativeHeight="251685888" behindDoc="0" locked="0" layoutInCell="1" allowOverlap="1">
              <wp:simplePos x="0" y="0"/>
              <wp:positionH relativeFrom="margin">
                <wp:posOffset>5812155</wp:posOffset>
              </wp:positionH>
              <wp:positionV relativeFrom="paragraph">
                <wp:posOffset>9525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adjustRightInd w:val="0"/>
                            <w:snapToGrid w:val="0"/>
                            <w:spacing w:after="200"/>
                            <w:jc w:val="left"/>
                            <w:rPr>
                              <w:rFonts w:ascii="Tahoma" w:hAnsi="Tahoma" w:eastAsia="微软雅黑"/>
                              <w:sz w:val="18"/>
                              <w:szCs w:val="22"/>
                            </w:rPr>
                          </w:pPr>
                          <w:r>
                            <w:rPr>
                              <w:rFonts w:hint="eastAsia" w:ascii="Tahoma" w:hAnsi="Tahoma" w:eastAsia="微软雅黑"/>
                              <w:sz w:val="18"/>
                              <w:szCs w:val="22"/>
                            </w:rPr>
                            <w:fldChar w:fldCharType="begin"/>
                          </w:r>
                          <w:r>
                            <w:rPr>
                              <w:rFonts w:hint="eastAsia" w:ascii="Tahoma" w:hAnsi="Tahoma" w:eastAsia="微软雅黑"/>
                              <w:sz w:val="18"/>
                              <w:szCs w:val="22"/>
                            </w:rPr>
                            <w:instrText xml:space="preserve"> PAGE  \* MERGEFORMAT </w:instrText>
                          </w:r>
                          <w:r>
                            <w:rPr>
                              <w:rFonts w:hint="eastAsia" w:ascii="Tahoma" w:hAnsi="Tahoma" w:eastAsia="微软雅黑"/>
                              <w:sz w:val="18"/>
                              <w:szCs w:val="22"/>
                            </w:rPr>
                            <w:fldChar w:fldCharType="separate"/>
                          </w:r>
                          <w:r>
                            <w:rPr>
                              <w:rFonts w:hint="eastAsia" w:ascii="Tahoma" w:hAnsi="Tahoma" w:eastAsia="微软雅黑"/>
                              <w:sz w:val="18"/>
                              <w:szCs w:val="22"/>
                            </w:rPr>
                            <w:t>2</w:t>
                          </w:r>
                          <w:r>
                            <w:rPr>
                              <w:rFonts w:hint="eastAsia" w:ascii="Tahoma" w:hAnsi="Tahoma" w:eastAsia="微软雅黑"/>
                              <w:sz w:val="18"/>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7.65pt;margin-top:0.75pt;height:144pt;width:144pt;mso-position-horizontal-relative:margin;mso-wrap-style:none;z-index:251685888;mso-width-relative:page;mso-height-relative:page;" filled="f" stroked="f" coordsize="21600,21600" o:gfxdata="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tEHSNcAAAAKAQAADwAAAAAAAAABACAAAAAiAAAAZHJzL2Rvd25yZXYueG1s&#10;UEsBAhQAFAAAAAgAh07iQJdYBIgyAgAAZQQAAA4AAAAAAAAAAQAgAAAAJgEAAGRycy9lMm9Eb2Mu&#10;eG1sUEsFBgAAAAAGAAYAWQEAAMoFAAAAAA==&#10;">
              <v:fill on="f" focussize="0,0"/>
              <v:stroke on="f" weight="0.5pt"/>
              <v:imagedata o:title=""/>
              <o:lock v:ext="edit" aspectratio="f"/>
              <v:textbox inset="0mm,0mm,0mm,0mm" style="mso-fit-shape-to-text:t;">
                <w:txbxContent>
                  <w:p>
                    <w:pPr>
                      <w:tabs>
                        <w:tab w:val="center" w:pos="4153"/>
                        <w:tab w:val="right" w:pos="8306"/>
                      </w:tabs>
                      <w:adjustRightInd w:val="0"/>
                      <w:snapToGrid w:val="0"/>
                      <w:spacing w:after="200"/>
                      <w:jc w:val="left"/>
                      <w:rPr>
                        <w:rFonts w:ascii="Tahoma" w:hAnsi="Tahoma" w:eastAsia="微软雅黑"/>
                        <w:sz w:val="18"/>
                        <w:szCs w:val="22"/>
                      </w:rPr>
                    </w:pPr>
                    <w:r>
                      <w:rPr>
                        <w:rFonts w:hint="eastAsia" w:ascii="Tahoma" w:hAnsi="Tahoma" w:eastAsia="微软雅黑"/>
                        <w:sz w:val="18"/>
                        <w:szCs w:val="22"/>
                      </w:rPr>
                      <w:fldChar w:fldCharType="begin"/>
                    </w:r>
                    <w:r>
                      <w:rPr>
                        <w:rFonts w:hint="eastAsia" w:ascii="Tahoma" w:hAnsi="Tahoma" w:eastAsia="微软雅黑"/>
                        <w:sz w:val="18"/>
                        <w:szCs w:val="22"/>
                      </w:rPr>
                      <w:instrText xml:space="preserve"> PAGE  \* MERGEFORMAT </w:instrText>
                    </w:r>
                    <w:r>
                      <w:rPr>
                        <w:rFonts w:hint="eastAsia" w:ascii="Tahoma" w:hAnsi="Tahoma" w:eastAsia="微软雅黑"/>
                        <w:sz w:val="18"/>
                        <w:szCs w:val="22"/>
                      </w:rPr>
                      <w:fldChar w:fldCharType="separate"/>
                    </w:r>
                    <w:r>
                      <w:rPr>
                        <w:rFonts w:hint="eastAsia" w:ascii="Tahoma" w:hAnsi="Tahoma" w:eastAsia="微软雅黑"/>
                        <w:sz w:val="18"/>
                        <w:szCs w:val="22"/>
                      </w:rPr>
                      <w:t>2</w:t>
                    </w:r>
                    <w:r>
                      <w:rPr>
                        <w:rFonts w:hint="eastAsia" w:ascii="Tahoma" w:hAnsi="Tahoma" w:eastAsia="微软雅黑"/>
                        <w:sz w:val="18"/>
                        <w:szCs w:val="22"/>
                      </w:rPr>
                      <w:fldChar w:fldCharType="end"/>
                    </w:r>
                  </w:p>
                </w:txbxContent>
              </v:textbox>
            </v:shape>
          </w:pict>
        </mc:Fallback>
      </mc:AlternateContent>
    </w:r>
    <w:r>
      <w:rPr>
        <w:rFonts w:ascii="Tahoma" w:hAnsi="Tahoma" w:eastAsia="微软雅黑"/>
        <w:sz w:val="18"/>
        <w:szCs w:val="22"/>
      </w:rPr>
      <mc:AlternateContent>
        <mc:Choice Requires="wps">
          <w:drawing>
            <wp:anchor distT="0" distB="0" distL="114300" distR="114300" simplePos="0" relativeHeight="251682816" behindDoc="0" locked="0" layoutInCell="1" allowOverlap="1">
              <wp:simplePos x="0" y="0"/>
              <wp:positionH relativeFrom="margin">
                <wp:posOffset>2431415</wp:posOffset>
              </wp:positionH>
              <wp:positionV relativeFrom="paragraph">
                <wp:posOffset>-43180</wp:posOffset>
              </wp:positionV>
              <wp:extent cx="222885" cy="2381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2885" cy="238125"/>
                      </a:xfrm>
                      <a:prstGeom prst="rect">
                        <a:avLst/>
                      </a:prstGeom>
                      <a:noFill/>
                      <a:ln w="6350">
                        <a:noFill/>
                      </a:ln>
                      <a:effectLst/>
                    </wps:spPr>
                    <wps:txbx>
                      <w:txbxContent>
                        <w:p>
                          <w:pPr>
                            <w:tabs>
                              <w:tab w:val="center" w:pos="4153"/>
                              <w:tab w:val="right" w:pos="8306"/>
                            </w:tabs>
                            <w:adjustRightInd w:val="0"/>
                            <w:snapToGrid w:val="0"/>
                            <w:spacing w:after="200"/>
                            <w:jc w:val="left"/>
                            <w:rPr>
                              <w:rFonts w:ascii="Tahoma" w:hAnsi="Tahoma" w:eastAsia="微软雅黑"/>
                              <w:sz w:val="18"/>
                              <w:szCs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1.45pt;margin-top:-3.4pt;height:18.75pt;width:17.55pt;mso-position-horizontal-relative:margin;z-index:251682816;mso-width-relative:page;mso-height-relative:page;" filled="f" stroked="f" coordsize="21600,21600" o:gfxdata="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gf731wAAAAkBAAAPAAAAAAAAAAEAIAAAACIAAABkcnMvZG93bnJl&#10;di54bWxQSwECFAAUAAAACACHTuJA0aM23DcCAABlBAAADgAAAAAAAAABACAAAAAmAQAAZHJzL2Uy&#10;b0RvYy54bWxQSwUGAAAAAAYABgBZAQAAzwUAAAAA&#10;">
              <v:fill on="f" focussize="0,0"/>
              <v:stroke on="f" weight="0.5pt"/>
              <v:imagedata o:title=""/>
              <o:lock v:ext="edit" aspectratio="f"/>
              <v:textbox inset="0mm,0mm,0mm,0mm">
                <w:txbxContent>
                  <w:p>
                    <w:pPr>
                      <w:tabs>
                        <w:tab w:val="center" w:pos="4153"/>
                        <w:tab w:val="right" w:pos="8306"/>
                      </w:tabs>
                      <w:adjustRightInd w:val="0"/>
                      <w:snapToGrid w:val="0"/>
                      <w:spacing w:after="200"/>
                      <w:jc w:val="left"/>
                      <w:rPr>
                        <w:rFonts w:ascii="Tahoma" w:hAnsi="Tahoma" w:eastAsia="微软雅黑"/>
                        <w:sz w:val="18"/>
                        <w:szCs w:val="2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after="200"/>
      <w:jc w:val="right"/>
      <w:rPr>
        <w:rFonts w:ascii="黑体" w:hAnsi="黑体" w:eastAsia="黑体"/>
        <w:sz w:val="24"/>
      </w:rPr>
    </w:pPr>
    <w:r>
      <w:rPr>
        <w:rFonts w:ascii="黑体" w:hAnsi="黑体" w:eastAsia="黑体"/>
      </w:rPr>
      <w:t xml:space="preserve">GB/T </w:t>
    </w:r>
    <w:r>
      <w:rPr>
        <w:rFonts w:hint="eastAsia" w:ascii="黑体" w:hAnsi="黑体" w:eastAsia="黑体"/>
      </w:rPr>
      <w:t>34213</w:t>
    </w:r>
    <w:r>
      <w:rPr>
        <w:rFonts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Ansi="黑体"/>
      </w:rPr>
    </w:pPr>
    <w:r>
      <w:rPr>
        <w:rFonts w:hAnsi="黑体"/>
      </w:rPr>
      <w:t xml:space="preserve">GB/T </w:t>
    </w:r>
    <w:r>
      <w:rPr>
        <w:rFonts w:hint="eastAsia" w:hAnsi="黑体"/>
      </w:rPr>
      <w:t>34213</w:t>
    </w:r>
    <w:r>
      <w:rPr>
        <w:rFonts w:hAnsi="黑体"/>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after="200"/>
      <w:jc w:val="right"/>
      <w:rPr>
        <w:rFonts w:ascii="黑体" w:hAnsi="黑体" w:eastAsia="黑体"/>
        <w:sz w:val="24"/>
      </w:rPr>
    </w:pPr>
    <w:r>
      <w:rPr>
        <w:rFonts w:ascii="黑体" w:hAnsi="黑体" w:eastAsia="黑体"/>
      </w:rPr>
      <w:t xml:space="preserve">GB/T </w:t>
    </w:r>
    <w:r>
      <w:rPr>
        <w:rFonts w:hint="eastAsia" w:ascii="黑体" w:hAnsi="黑体" w:eastAsia="黑体"/>
      </w:rPr>
      <w:t>34213</w:t>
    </w:r>
    <w:r>
      <w:rPr>
        <w:rFonts w:ascii="黑体" w:hAnsi="黑体" w:eastAsia="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4E5E"/>
    <w:multiLevelType w:val="multilevel"/>
    <w:tmpl w:val="1A044E5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C91163"/>
    <w:multiLevelType w:val="multilevel"/>
    <w:tmpl w:val="1FC91163"/>
    <w:lvl w:ilvl="0" w:tentative="0">
      <w:start w:val="1"/>
      <w:numFmt w:val="decimal"/>
      <w:pStyle w:val="66"/>
      <w:suff w:val="nothing"/>
      <w:lvlText w:val="%1　"/>
      <w:lvlJc w:val="left"/>
      <w:pPr>
        <w:ind w:left="0" w:firstLine="0"/>
      </w:pPr>
      <w:rPr>
        <w:rFonts w:hint="default" w:ascii="黑体" w:hAnsi="黑体" w:eastAsia="黑体" w:cs="Times New Roman"/>
        <w:b w:val="0"/>
        <w:i w:val="0"/>
        <w:sz w:val="21"/>
        <w:szCs w:val="21"/>
      </w:rPr>
    </w:lvl>
    <w:lvl w:ilvl="1" w:tentative="0">
      <w:start w:val="1"/>
      <w:numFmt w:val="decimal"/>
      <w:suff w:val="nothing"/>
      <w:lvlText w:val="%1.%2　"/>
      <w:lvlJc w:val="left"/>
      <w:pPr>
        <w:ind w:left="0" w:firstLine="0"/>
      </w:pPr>
      <w:rPr>
        <w:rFonts w:hint="default" w:ascii="黑体" w:hAnsi="黑体"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default" w:ascii="黑体" w:hAnsi="黑体"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3">
    <w:nsid w:val="557C2AF5"/>
    <w:multiLevelType w:val="multilevel"/>
    <w:tmpl w:val="557C2AF5"/>
    <w:lvl w:ilvl="0" w:tentative="0">
      <w:start w:val="1"/>
      <w:numFmt w:val="decimal"/>
      <w:pStyle w:val="5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0723072"/>
    <w:multiLevelType w:val="multilevel"/>
    <w:tmpl w:val="6072307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6260FA"/>
    <w:multiLevelType w:val="multilevel"/>
    <w:tmpl w:val="646260FA"/>
    <w:lvl w:ilvl="0" w:tentative="0">
      <w:start w:val="1"/>
      <w:numFmt w:val="decimal"/>
      <w:pStyle w:val="5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8053CD3"/>
    <w:multiLevelType w:val="multilevel"/>
    <w:tmpl w:val="78053CD3"/>
    <w:lvl w:ilvl="0" w:tentative="0">
      <w:start w:val="1"/>
      <w:numFmt w:val="lowerLetter"/>
      <w:lvlText w:val="%1)"/>
      <w:lvlJc w:val="left"/>
      <w:pPr>
        <w:ind w:left="840" w:hanging="420"/>
      </w:pPr>
      <w:rPr>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6"/>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C5"/>
    <w:rsid w:val="0000276B"/>
    <w:rsid w:val="00016B24"/>
    <w:rsid w:val="00031230"/>
    <w:rsid w:val="000467B5"/>
    <w:rsid w:val="000513ED"/>
    <w:rsid w:val="000514D9"/>
    <w:rsid w:val="000527BC"/>
    <w:rsid w:val="00054168"/>
    <w:rsid w:val="00056670"/>
    <w:rsid w:val="00093CDC"/>
    <w:rsid w:val="000B3288"/>
    <w:rsid w:val="000C2A36"/>
    <w:rsid w:val="000C2B8F"/>
    <w:rsid w:val="000D2005"/>
    <w:rsid w:val="000D75F4"/>
    <w:rsid w:val="000E2CF4"/>
    <w:rsid w:val="000E432A"/>
    <w:rsid w:val="00124556"/>
    <w:rsid w:val="001250BF"/>
    <w:rsid w:val="00131B6C"/>
    <w:rsid w:val="00145998"/>
    <w:rsid w:val="00152893"/>
    <w:rsid w:val="00184951"/>
    <w:rsid w:val="00195445"/>
    <w:rsid w:val="001A5710"/>
    <w:rsid w:val="001B58BB"/>
    <w:rsid w:val="001C5908"/>
    <w:rsid w:val="001D438E"/>
    <w:rsid w:val="001E0D7B"/>
    <w:rsid w:val="001F09E7"/>
    <w:rsid w:val="002024F3"/>
    <w:rsid w:val="00202805"/>
    <w:rsid w:val="002042A3"/>
    <w:rsid w:val="002050C4"/>
    <w:rsid w:val="002109DE"/>
    <w:rsid w:val="00215532"/>
    <w:rsid w:val="0022195D"/>
    <w:rsid w:val="00226BC6"/>
    <w:rsid w:val="002304B7"/>
    <w:rsid w:val="0023691C"/>
    <w:rsid w:val="00242360"/>
    <w:rsid w:val="00245ECE"/>
    <w:rsid w:val="00260541"/>
    <w:rsid w:val="00262B8B"/>
    <w:rsid w:val="002664F0"/>
    <w:rsid w:val="0028131C"/>
    <w:rsid w:val="00281E9C"/>
    <w:rsid w:val="00282312"/>
    <w:rsid w:val="00292F7C"/>
    <w:rsid w:val="0029558F"/>
    <w:rsid w:val="00296F7C"/>
    <w:rsid w:val="0029758A"/>
    <w:rsid w:val="002A4BA5"/>
    <w:rsid w:val="002A749D"/>
    <w:rsid w:val="002B1E12"/>
    <w:rsid w:val="002B2BE2"/>
    <w:rsid w:val="002B6AC8"/>
    <w:rsid w:val="002C6ACB"/>
    <w:rsid w:val="002C6C6A"/>
    <w:rsid w:val="002C7524"/>
    <w:rsid w:val="002D7864"/>
    <w:rsid w:val="002E7E05"/>
    <w:rsid w:val="002F2FAF"/>
    <w:rsid w:val="002F700B"/>
    <w:rsid w:val="003236B0"/>
    <w:rsid w:val="00331081"/>
    <w:rsid w:val="00331D92"/>
    <w:rsid w:val="0034203C"/>
    <w:rsid w:val="003456CF"/>
    <w:rsid w:val="00356104"/>
    <w:rsid w:val="0036522E"/>
    <w:rsid w:val="00374ACB"/>
    <w:rsid w:val="00375C2D"/>
    <w:rsid w:val="00381791"/>
    <w:rsid w:val="003A19FB"/>
    <w:rsid w:val="003A2198"/>
    <w:rsid w:val="003B18A3"/>
    <w:rsid w:val="003C5C8F"/>
    <w:rsid w:val="003C7544"/>
    <w:rsid w:val="00403D4A"/>
    <w:rsid w:val="00404E61"/>
    <w:rsid w:val="004109A8"/>
    <w:rsid w:val="00414556"/>
    <w:rsid w:val="00425310"/>
    <w:rsid w:val="00436915"/>
    <w:rsid w:val="004466F1"/>
    <w:rsid w:val="0045350D"/>
    <w:rsid w:val="0047313B"/>
    <w:rsid w:val="00474FF9"/>
    <w:rsid w:val="00486BC1"/>
    <w:rsid w:val="0049420C"/>
    <w:rsid w:val="00496955"/>
    <w:rsid w:val="004970B1"/>
    <w:rsid w:val="004B0B9B"/>
    <w:rsid w:val="004B27EC"/>
    <w:rsid w:val="004B3F80"/>
    <w:rsid w:val="004C0D0F"/>
    <w:rsid w:val="004C226E"/>
    <w:rsid w:val="004C25D2"/>
    <w:rsid w:val="004E23FA"/>
    <w:rsid w:val="004E60DD"/>
    <w:rsid w:val="004F4738"/>
    <w:rsid w:val="004F59B1"/>
    <w:rsid w:val="00502B6B"/>
    <w:rsid w:val="00517DA1"/>
    <w:rsid w:val="00520950"/>
    <w:rsid w:val="00522FCB"/>
    <w:rsid w:val="005258A3"/>
    <w:rsid w:val="005273C1"/>
    <w:rsid w:val="005612CF"/>
    <w:rsid w:val="00563D55"/>
    <w:rsid w:val="00565952"/>
    <w:rsid w:val="005729C7"/>
    <w:rsid w:val="005915FC"/>
    <w:rsid w:val="005A4F59"/>
    <w:rsid w:val="005A6723"/>
    <w:rsid w:val="005B1F83"/>
    <w:rsid w:val="005B3B61"/>
    <w:rsid w:val="005B71E7"/>
    <w:rsid w:val="005D60E8"/>
    <w:rsid w:val="005E37D1"/>
    <w:rsid w:val="005F687B"/>
    <w:rsid w:val="005F7579"/>
    <w:rsid w:val="0060645B"/>
    <w:rsid w:val="006220DE"/>
    <w:rsid w:val="006444FF"/>
    <w:rsid w:val="006508D1"/>
    <w:rsid w:val="006547C5"/>
    <w:rsid w:val="00666EED"/>
    <w:rsid w:val="00671362"/>
    <w:rsid w:val="00672D6E"/>
    <w:rsid w:val="00680933"/>
    <w:rsid w:val="00681E39"/>
    <w:rsid w:val="006912E3"/>
    <w:rsid w:val="00696088"/>
    <w:rsid w:val="006A0AB0"/>
    <w:rsid w:val="006A0C95"/>
    <w:rsid w:val="006A531E"/>
    <w:rsid w:val="006B624F"/>
    <w:rsid w:val="006C035E"/>
    <w:rsid w:val="006C07E8"/>
    <w:rsid w:val="006C5C46"/>
    <w:rsid w:val="006C6656"/>
    <w:rsid w:val="006C7589"/>
    <w:rsid w:val="006D51A9"/>
    <w:rsid w:val="006E2AB0"/>
    <w:rsid w:val="006E4B63"/>
    <w:rsid w:val="006E740A"/>
    <w:rsid w:val="006F0858"/>
    <w:rsid w:val="006F41BB"/>
    <w:rsid w:val="006F55C2"/>
    <w:rsid w:val="0071047D"/>
    <w:rsid w:val="00740637"/>
    <w:rsid w:val="00742DC3"/>
    <w:rsid w:val="007831EA"/>
    <w:rsid w:val="00783F4D"/>
    <w:rsid w:val="00790105"/>
    <w:rsid w:val="007A67A3"/>
    <w:rsid w:val="007B0416"/>
    <w:rsid w:val="007B43AB"/>
    <w:rsid w:val="007C2601"/>
    <w:rsid w:val="007C3896"/>
    <w:rsid w:val="007C54C1"/>
    <w:rsid w:val="007D3442"/>
    <w:rsid w:val="007D3A92"/>
    <w:rsid w:val="007D6C0A"/>
    <w:rsid w:val="007E69BD"/>
    <w:rsid w:val="007F46FE"/>
    <w:rsid w:val="007F737A"/>
    <w:rsid w:val="00812E2B"/>
    <w:rsid w:val="00815BED"/>
    <w:rsid w:val="008208D3"/>
    <w:rsid w:val="00822D59"/>
    <w:rsid w:val="008449E4"/>
    <w:rsid w:val="00846A26"/>
    <w:rsid w:val="00850022"/>
    <w:rsid w:val="00853769"/>
    <w:rsid w:val="0085401E"/>
    <w:rsid w:val="00862F50"/>
    <w:rsid w:val="00863B6F"/>
    <w:rsid w:val="008661DE"/>
    <w:rsid w:val="00891E99"/>
    <w:rsid w:val="00894FF0"/>
    <w:rsid w:val="008A0E0C"/>
    <w:rsid w:val="008B1075"/>
    <w:rsid w:val="008B2750"/>
    <w:rsid w:val="008C5E06"/>
    <w:rsid w:val="008C5E51"/>
    <w:rsid w:val="008C7D3B"/>
    <w:rsid w:val="008D1636"/>
    <w:rsid w:val="008D1F4B"/>
    <w:rsid w:val="008E3380"/>
    <w:rsid w:val="008F0BF3"/>
    <w:rsid w:val="008F289C"/>
    <w:rsid w:val="0090497C"/>
    <w:rsid w:val="009057BE"/>
    <w:rsid w:val="00907B41"/>
    <w:rsid w:val="00910DE5"/>
    <w:rsid w:val="009279B9"/>
    <w:rsid w:val="00947361"/>
    <w:rsid w:val="00952CCD"/>
    <w:rsid w:val="00957B7E"/>
    <w:rsid w:val="009656A7"/>
    <w:rsid w:val="009658F6"/>
    <w:rsid w:val="009673A7"/>
    <w:rsid w:val="00970286"/>
    <w:rsid w:val="00980F02"/>
    <w:rsid w:val="0098548E"/>
    <w:rsid w:val="0099067B"/>
    <w:rsid w:val="0099082D"/>
    <w:rsid w:val="00990EE0"/>
    <w:rsid w:val="00991D90"/>
    <w:rsid w:val="00992A8A"/>
    <w:rsid w:val="009C1968"/>
    <w:rsid w:val="009D1FB3"/>
    <w:rsid w:val="00A0034B"/>
    <w:rsid w:val="00A0071F"/>
    <w:rsid w:val="00A01D0F"/>
    <w:rsid w:val="00A220CB"/>
    <w:rsid w:val="00A30EEA"/>
    <w:rsid w:val="00A333FF"/>
    <w:rsid w:val="00A52CFD"/>
    <w:rsid w:val="00A579EC"/>
    <w:rsid w:val="00A60176"/>
    <w:rsid w:val="00A66BC3"/>
    <w:rsid w:val="00A81DBD"/>
    <w:rsid w:val="00A82302"/>
    <w:rsid w:val="00A848BB"/>
    <w:rsid w:val="00A85A4C"/>
    <w:rsid w:val="00A87E1D"/>
    <w:rsid w:val="00A91A42"/>
    <w:rsid w:val="00A9363D"/>
    <w:rsid w:val="00AA078F"/>
    <w:rsid w:val="00AA10ED"/>
    <w:rsid w:val="00AA25F2"/>
    <w:rsid w:val="00AA693B"/>
    <w:rsid w:val="00AB5D06"/>
    <w:rsid w:val="00AC2515"/>
    <w:rsid w:val="00AD176C"/>
    <w:rsid w:val="00AD4EC6"/>
    <w:rsid w:val="00AE23C9"/>
    <w:rsid w:val="00AE38CA"/>
    <w:rsid w:val="00AF3D7E"/>
    <w:rsid w:val="00AF52FC"/>
    <w:rsid w:val="00B03BE7"/>
    <w:rsid w:val="00B049CF"/>
    <w:rsid w:val="00B12250"/>
    <w:rsid w:val="00B15553"/>
    <w:rsid w:val="00B155B8"/>
    <w:rsid w:val="00B339F8"/>
    <w:rsid w:val="00B34433"/>
    <w:rsid w:val="00B64491"/>
    <w:rsid w:val="00B66A5E"/>
    <w:rsid w:val="00B75642"/>
    <w:rsid w:val="00B772D0"/>
    <w:rsid w:val="00B82EA8"/>
    <w:rsid w:val="00B83417"/>
    <w:rsid w:val="00B84015"/>
    <w:rsid w:val="00B86A6E"/>
    <w:rsid w:val="00B923A6"/>
    <w:rsid w:val="00B946F4"/>
    <w:rsid w:val="00B95B89"/>
    <w:rsid w:val="00B96790"/>
    <w:rsid w:val="00B9746F"/>
    <w:rsid w:val="00BA052A"/>
    <w:rsid w:val="00BA11EA"/>
    <w:rsid w:val="00BA683E"/>
    <w:rsid w:val="00BC188E"/>
    <w:rsid w:val="00BC720B"/>
    <w:rsid w:val="00BC7AFE"/>
    <w:rsid w:val="00BD3036"/>
    <w:rsid w:val="00BD35DA"/>
    <w:rsid w:val="00BF0312"/>
    <w:rsid w:val="00BF1CEF"/>
    <w:rsid w:val="00C053F6"/>
    <w:rsid w:val="00C36FF1"/>
    <w:rsid w:val="00C437AB"/>
    <w:rsid w:val="00C47A79"/>
    <w:rsid w:val="00C6438C"/>
    <w:rsid w:val="00C71968"/>
    <w:rsid w:val="00C740DE"/>
    <w:rsid w:val="00C750B1"/>
    <w:rsid w:val="00CA279A"/>
    <w:rsid w:val="00CA3C1E"/>
    <w:rsid w:val="00CA4220"/>
    <w:rsid w:val="00CB0BF1"/>
    <w:rsid w:val="00CC2682"/>
    <w:rsid w:val="00CC6081"/>
    <w:rsid w:val="00CD5F10"/>
    <w:rsid w:val="00CD6FF2"/>
    <w:rsid w:val="00CD7DAD"/>
    <w:rsid w:val="00CE085D"/>
    <w:rsid w:val="00CE592F"/>
    <w:rsid w:val="00CE6425"/>
    <w:rsid w:val="00CF06CF"/>
    <w:rsid w:val="00D0472B"/>
    <w:rsid w:val="00D11CC4"/>
    <w:rsid w:val="00D30411"/>
    <w:rsid w:val="00D449AE"/>
    <w:rsid w:val="00D54A28"/>
    <w:rsid w:val="00D556E6"/>
    <w:rsid w:val="00D67515"/>
    <w:rsid w:val="00D82F54"/>
    <w:rsid w:val="00D95166"/>
    <w:rsid w:val="00DB0482"/>
    <w:rsid w:val="00DC027D"/>
    <w:rsid w:val="00DD2310"/>
    <w:rsid w:val="00DD2905"/>
    <w:rsid w:val="00DD73C3"/>
    <w:rsid w:val="00DE351A"/>
    <w:rsid w:val="00DF2B1E"/>
    <w:rsid w:val="00DF7E54"/>
    <w:rsid w:val="00E00CA8"/>
    <w:rsid w:val="00E01651"/>
    <w:rsid w:val="00E04F27"/>
    <w:rsid w:val="00E063CA"/>
    <w:rsid w:val="00E16A15"/>
    <w:rsid w:val="00E2094F"/>
    <w:rsid w:val="00E20EF4"/>
    <w:rsid w:val="00E2154E"/>
    <w:rsid w:val="00E22343"/>
    <w:rsid w:val="00E250DE"/>
    <w:rsid w:val="00E44D46"/>
    <w:rsid w:val="00E4779D"/>
    <w:rsid w:val="00E513FF"/>
    <w:rsid w:val="00E63A67"/>
    <w:rsid w:val="00E65598"/>
    <w:rsid w:val="00E73083"/>
    <w:rsid w:val="00E904A6"/>
    <w:rsid w:val="00E906DE"/>
    <w:rsid w:val="00EC3322"/>
    <w:rsid w:val="00EC335C"/>
    <w:rsid w:val="00EC3A78"/>
    <w:rsid w:val="00EE2CEF"/>
    <w:rsid w:val="00EE3197"/>
    <w:rsid w:val="00F23861"/>
    <w:rsid w:val="00F26490"/>
    <w:rsid w:val="00F27649"/>
    <w:rsid w:val="00F316E3"/>
    <w:rsid w:val="00F324A3"/>
    <w:rsid w:val="00F44CD4"/>
    <w:rsid w:val="00F53CDE"/>
    <w:rsid w:val="00F57CC4"/>
    <w:rsid w:val="00F71F37"/>
    <w:rsid w:val="00F726F5"/>
    <w:rsid w:val="00F731A9"/>
    <w:rsid w:val="00F938F9"/>
    <w:rsid w:val="00FB1E08"/>
    <w:rsid w:val="00FB2AE5"/>
    <w:rsid w:val="00FB305D"/>
    <w:rsid w:val="00FB7EF5"/>
    <w:rsid w:val="00FD2D1E"/>
    <w:rsid w:val="00FE36C8"/>
    <w:rsid w:val="00FF26A6"/>
    <w:rsid w:val="00FF49E0"/>
    <w:rsid w:val="015E5733"/>
    <w:rsid w:val="01CC516A"/>
    <w:rsid w:val="01F07B6A"/>
    <w:rsid w:val="02456C18"/>
    <w:rsid w:val="02802796"/>
    <w:rsid w:val="036D54EB"/>
    <w:rsid w:val="05B61BB9"/>
    <w:rsid w:val="06395C5D"/>
    <w:rsid w:val="06AE2DA5"/>
    <w:rsid w:val="08390929"/>
    <w:rsid w:val="08672948"/>
    <w:rsid w:val="093B7219"/>
    <w:rsid w:val="09811505"/>
    <w:rsid w:val="0A10502B"/>
    <w:rsid w:val="0AE902FF"/>
    <w:rsid w:val="0B282292"/>
    <w:rsid w:val="0B394DBE"/>
    <w:rsid w:val="0B724AC3"/>
    <w:rsid w:val="0B9758C5"/>
    <w:rsid w:val="0C446449"/>
    <w:rsid w:val="0C4725F5"/>
    <w:rsid w:val="0CA264EC"/>
    <w:rsid w:val="0D32158A"/>
    <w:rsid w:val="0D9B1EA8"/>
    <w:rsid w:val="0DDD7C9C"/>
    <w:rsid w:val="0DE863D1"/>
    <w:rsid w:val="0E4213FC"/>
    <w:rsid w:val="0E586567"/>
    <w:rsid w:val="0EBF1680"/>
    <w:rsid w:val="0FCC3800"/>
    <w:rsid w:val="10A07458"/>
    <w:rsid w:val="10A15355"/>
    <w:rsid w:val="11314933"/>
    <w:rsid w:val="11DD0C30"/>
    <w:rsid w:val="12353831"/>
    <w:rsid w:val="13E326F5"/>
    <w:rsid w:val="153238AA"/>
    <w:rsid w:val="168C28AF"/>
    <w:rsid w:val="16D725AD"/>
    <w:rsid w:val="173E5955"/>
    <w:rsid w:val="17627D14"/>
    <w:rsid w:val="17954D80"/>
    <w:rsid w:val="17F72039"/>
    <w:rsid w:val="18044812"/>
    <w:rsid w:val="185B32C4"/>
    <w:rsid w:val="18A72BCE"/>
    <w:rsid w:val="198E394C"/>
    <w:rsid w:val="1A5E2A05"/>
    <w:rsid w:val="1BB37004"/>
    <w:rsid w:val="1C4B5421"/>
    <w:rsid w:val="1D101906"/>
    <w:rsid w:val="1D896B83"/>
    <w:rsid w:val="1D956D0F"/>
    <w:rsid w:val="1DA12058"/>
    <w:rsid w:val="1E232EBD"/>
    <w:rsid w:val="1E384282"/>
    <w:rsid w:val="1EFC6E7B"/>
    <w:rsid w:val="1F4551E4"/>
    <w:rsid w:val="1FE71967"/>
    <w:rsid w:val="20A471FE"/>
    <w:rsid w:val="219A4C1B"/>
    <w:rsid w:val="21BD6A70"/>
    <w:rsid w:val="225B548B"/>
    <w:rsid w:val="226B1089"/>
    <w:rsid w:val="2299512D"/>
    <w:rsid w:val="22BF32A8"/>
    <w:rsid w:val="230A1B8D"/>
    <w:rsid w:val="234A2A9D"/>
    <w:rsid w:val="23A25C94"/>
    <w:rsid w:val="24552BE4"/>
    <w:rsid w:val="2552082B"/>
    <w:rsid w:val="26060FD9"/>
    <w:rsid w:val="260E1E5D"/>
    <w:rsid w:val="26A232B9"/>
    <w:rsid w:val="26BD040A"/>
    <w:rsid w:val="28356265"/>
    <w:rsid w:val="284A6885"/>
    <w:rsid w:val="28625BA6"/>
    <w:rsid w:val="28B6150B"/>
    <w:rsid w:val="28B7604C"/>
    <w:rsid w:val="28DE6CBF"/>
    <w:rsid w:val="29E848AB"/>
    <w:rsid w:val="2A13793A"/>
    <w:rsid w:val="2AA75E6B"/>
    <w:rsid w:val="2ABC0CFF"/>
    <w:rsid w:val="2C6532E2"/>
    <w:rsid w:val="2C6B0B31"/>
    <w:rsid w:val="2D1B4D91"/>
    <w:rsid w:val="2D490035"/>
    <w:rsid w:val="2DA2123F"/>
    <w:rsid w:val="2DEA25FD"/>
    <w:rsid w:val="2EB6309C"/>
    <w:rsid w:val="2EF17642"/>
    <w:rsid w:val="2EFC1D32"/>
    <w:rsid w:val="30126EFA"/>
    <w:rsid w:val="304F4BE5"/>
    <w:rsid w:val="308514DA"/>
    <w:rsid w:val="30D4582B"/>
    <w:rsid w:val="335705B8"/>
    <w:rsid w:val="33A82820"/>
    <w:rsid w:val="33CD305B"/>
    <w:rsid w:val="345278C2"/>
    <w:rsid w:val="34B639C9"/>
    <w:rsid w:val="352F73D3"/>
    <w:rsid w:val="35557CDB"/>
    <w:rsid w:val="35667FFD"/>
    <w:rsid w:val="366E0ED4"/>
    <w:rsid w:val="37F805A8"/>
    <w:rsid w:val="38B53947"/>
    <w:rsid w:val="393668FF"/>
    <w:rsid w:val="3AF77D75"/>
    <w:rsid w:val="3B007D1A"/>
    <w:rsid w:val="3B4D05A3"/>
    <w:rsid w:val="3BC002F2"/>
    <w:rsid w:val="3C614C88"/>
    <w:rsid w:val="3C9B1A9D"/>
    <w:rsid w:val="3CF03A5D"/>
    <w:rsid w:val="3D2C63C5"/>
    <w:rsid w:val="3DC05048"/>
    <w:rsid w:val="3DD64334"/>
    <w:rsid w:val="3EC67193"/>
    <w:rsid w:val="3ED858E8"/>
    <w:rsid w:val="3F7B2354"/>
    <w:rsid w:val="3F8357B5"/>
    <w:rsid w:val="3FD25DB8"/>
    <w:rsid w:val="40D574A4"/>
    <w:rsid w:val="416157DD"/>
    <w:rsid w:val="41870115"/>
    <w:rsid w:val="41997279"/>
    <w:rsid w:val="41E50BE4"/>
    <w:rsid w:val="434962D5"/>
    <w:rsid w:val="438C1DB3"/>
    <w:rsid w:val="4746313B"/>
    <w:rsid w:val="484603B4"/>
    <w:rsid w:val="486F5E02"/>
    <w:rsid w:val="4AAA7C21"/>
    <w:rsid w:val="4AFF0B94"/>
    <w:rsid w:val="4BA51E1A"/>
    <w:rsid w:val="4C8634D8"/>
    <w:rsid w:val="4D9676AD"/>
    <w:rsid w:val="4DC83CAF"/>
    <w:rsid w:val="4DCF2F1D"/>
    <w:rsid w:val="4E214EF0"/>
    <w:rsid w:val="4EA35352"/>
    <w:rsid w:val="4ECB723B"/>
    <w:rsid w:val="4FAE6513"/>
    <w:rsid w:val="4FF0676B"/>
    <w:rsid w:val="4FF11F0A"/>
    <w:rsid w:val="50AE5E7D"/>
    <w:rsid w:val="51025AF0"/>
    <w:rsid w:val="517E58F1"/>
    <w:rsid w:val="526C51D2"/>
    <w:rsid w:val="52D62A94"/>
    <w:rsid w:val="53ED73DE"/>
    <w:rsid w:val="54056F2A"/>
    <w:rsid w:val="546E73FC"/>
    <w:rsid w:val="54AA40C6"/>
    <w:rsid w:val="54B07B6C"/>
    <w:rsid w:val="55DA2DC1"/>
    <w:rsid w:val="56445317"/>
    <w:rsid w:val="568C1D1A"/>
    <w:rsid w:val="569D3509"/>
    <w:rsid w:val="56C61052"/>
    <w:rsid w:val="572C5AD2"/>
    <w:rsid w:val="59993F1F"/>
    <w:rsid w:val="5A287FFB"/>
    <w:rsid w:val="5A43271C"/>
    <w:rsid w:val="5A9975F2"/>
    <w:rsid w:val="5B312F89"/>
    <w:rsid w:val="5B4E3245"/>
    <w:rsid w:val="5BDA33DC"/>
    <w:rsid w:val="5BE0007A"/>
    <w:rsid w:val="5C182B1E"/>
    <w:rsid w:val="5CAD65E5"/>
    <w:rsid w:val="5CB6532A"/>
    <w:rsid w:val="5CBA02DB"/>
    <w:rsid w:val="5D5763D1"/>
    <w:rsid w:val="5EF21C39"/>
    <w:rsid w:val="5F13486A"/>
    <w:rsid w:val="5F6C1EF8"/>
    <w:rsid w:val="5F9756BB"/>
    <w:rsid w:val="5FDD01FF"/>
    <w:rsid w:val="601C47D5"/>
    <w:rsid w:val="61527F55"/>
    <w:rsid w:val="618C34B0"/>
    <w:rsid w:val="61DF5629"/>
    <w:rsid w:val="61FB2454"/>
    <w:rsid w:val="62B349F6"/>
    <w:rsid w:val="63667FED"/>
    <w:rsid w:val="63784090"/>
    <w:rsid w:val="63A56E80"/>
    <w:rsid w:val="63CD03BA"/>
    <w:rsid w:val="63E2058F"/>
    <w:rsid w:val="6447337E"/>
    <w:rsid w:val="64E57955"/>
    <w:rsid w:val="65516F71"/>
    <w:rsid w:val="656310C4"/>
    <w:rsid w:val="6653517D"/>
    <w:rsid w:val="679C41C5"/>
    <w:rsid w:val="679E7A75"/>
    <w:rsid w:val="67CF5950"/>
    <w:rsid w:val="67F02E10"/>
    <w:rsid w:val="680A4E58"/>
    <w:rsid w:val="68146B54"/>
    <w:rsid w:val="69136113"/>
    <w:rsid w:val="693107A9"/>
    <w:rsid w:val="697B3BB3"/>
    <w:rsid w:val="69853365"/>
    <w:rsid w:val="69DE2173"/>
    <w:rsid w:val="6A0D18F1"/>
    <w:rsid w:val="6A2D2C05"/>
    <w:rsid w:val="6A844A03"/>
    <w:rsid w:val="6AB879A2"/>
    <w:rsid w:val="6B010753"/>
    <w:rsid w:val="6B5C15E2"/>
    <w:rsid w:val="6D14044B"/>
    <w:rsid w:val="6D8A6F1C"/>
    <w:rsid w:val="6DE23650"/>
    <w:rsid w:val="6ED1684E"/>
    <w:rsid w:val="6F7F4ADC"/>
    <w:rsid w:val="6FE07D3B"/>
    <w:rsid w:val="6FF55E5C"/>
    <w:rsid w:val="7159501E"/>
    <w:rsid w:val="718119BC"/>
    <w:rsid w:val="71B65AB9"/>
    <w:rsid w:val="73B56687"/>
    <w:rsid w:val="742D39FC"/>
    <w:rsid w:val="753428F7"/>
    <w:rsid w:val="757751D9"/>
    <w:rsid w:val="758B23CB"/>
    <w:rsid w:val="75E562EA"/>
    <w:rsid w:val="76642270"/>
    <w:rsid w:val="76F35C80"/>
    <w:rsid w:val="7843724E"/>
    <w:rsid w:val="78701500"/>
    <w:rsid w:val="78AB1967"/>
    <w:rsid w:val="78AF7F19"/>
    <w:rsid w:val="79004CB6"/>
    <w:rsid w:val="79286A0B"/>
    <w:rsid w:val="792F2623"/>
    <w:rsid w:val="79ED13BA"/>
    <w:rsid w:val="79F30D96"/>
    <w:rsid w:val="7B6141A8"/>
    <w:rsid w:val="7B930214"/>
    <w:rsid w:val="7BA313D0"/>
    <w:rsid w:val="7C096C83"/>
    <w:rsid w:val="7C732526"/>
    <w:rsid w:val="7CC36ED2"/>
    <w:rsid w:val="7CF30E89"/>
    <w:rsid w:val="7D9D1498"/>
    <w:rsid w:val="7E2B0B39"/>
    <w:rsid w:val="7E3C3F8C"/>
    <w:rsid w:val="7EA03857"/>
    <w:rsid w:val="7ED94545"/>
    <w:rsid w:val="7FA61F89"/>
    <w:rsid w:val="7FE5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5"/>
    <w:unhideWhenUsed/>
    <w:qFormat/>
    <w:uiPriority w:val="0"/>
    <w:pPr>
      <w:jc w:val="left"/>
    </w:pPr>
  </w:style>
  <w:style w:type="paragraph" w:styleId="4">
    <w:name w:val="Body Text"/>
    <w:basedOn w:val="1"/>
    <w:link w:val="49"/>
    <w:semiHidden/>
    <w:unhideWhenUsed/>
    <w:qFormat/>
    <w:uiPriority w:val="99"/>
    <w:pPr>
      <w:spacing w:after="120"/>
    </w:pPr>
  </w:style>
  <w:style w:type="paragraph" w:styleId="5">
    <w:name w:val="Date"/>
    <w:basedOn w:val="1"/>
    <w:next w:val="1"/>
    <w:link w:val="57"/>
    <w:semiHidden/>
    <w:unhideWhenUsed/>
    <w:qFormat/>
    <w:uiPriority w:val="99"/>
    <w:pPr>
      <w:ind w:left="100" w:leftChars="2500"/>
    </w:pPr>
  </w:style>
  <w:style w:type="paragraph" w:styleId="6">
    <w:name w:val="Balloon Text"/>
    <w:basedOn w:val="1"/>
    <w:link w:val="48"/>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6"/>
    <w:qFormat/>
    <w:uiPriority w:val="0"/>
    <w:pPr>
      <w:tabs>
        <w:tab w:val="left" w:pos="2520"/>
      </w:tabs>
      <w:jc w:val="left"/>
    </w:pPr>
    <w:rPr>
      <w:sz w:val="24"/>
    </w:rPr>
  </w:style>
  <w:style w:type="paragraph" w:styleId="10">
    <w:name w:val="Normal (Web)"/>
    <w:unhideWhenUsed/>
    <w:qFormat/>
    <w:uiPriority w:val="99"/>
    <w:pPr>
      <w:widowControl w:val="0"/>
      <w:spacing w:before="100" w:beforeAutospacing="1" w:after="100" w:afterAutospacing="1"/>
    </w:pPr>
    <w:rPr>
      <w:rFonts w:ascii="Times New Roman" w:hAnsi="Times New Roman" w:eastAsia="宋体" w:cs="Times New Roman"/>
      <w:sz w:val="24"/>
      <w:lang w:val="en-US" w:eastAsia="zh-CN" w:bidi="ar-SA"/>
    </w:rPr>
  </w:style>
  <w:style w:type="paragraph" w:styleId="11">
    <w:name w:val="annotation subject"/>
    <w:basedOn w:val="3"/>
    <w:next w:val="3"/>
    <w:link w:val="56"/>
    <w:semiHidden/>
    <w:unhideWhenUsed/>
    <w:qFormat/>
    <w:uiPriority w:val="99"/>
    <w:rPr>
      <w:b/>
      <w:bCs/>
    </w:rPr>
  </w:style>
  <w:style w:type="paragraph" w:styleId="12">
    <w:name w:val="Body Text First Indent"/>
    <w:basedOn w:val="4"/>
    <w:link w:val="50"/>
    <w:semiHidden/>
    <w:unhideWhenUsed/>
    <w:qFormat/>
    <w:uiPriority w:val="99"/>
    <w:pPr>
      <w:ind w:firstLine="420" w:firstLineChars="1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unhideWhenUsed/>
    <w:qFormat/>
    <w:uiPriority w:val="99"/>
    <w:rPr>
      <w:color w:val="0068B7"/>
      <w:u w:val="none"/>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8"/>
    <w:qFormat/>
    <w:uiPriority w:val="99"/>
    <w:rPr>
      <w:sz w:val="18"/>
      <w:szCs w:val="18"/>
    </w:rPr>
  </w:style>
  <w:style w:type="character" w:customStyle="1" w:styleId="19">
    <w:name w:val="页脚 字符"/>
    <w:basedOn w:val="15"/>
    <w:link w:val="7"/>
    <w:qFormat/>
    <w:uiPriority w:val="99"/>
    <w:rPr>
      <w:sz w:val="18"/>
      <w:szCs w:val="18"/>
    </w:rPr>
  </w:style>
  <w:style w:type="character" w:customStyle="1" w:styleId="20">
    <w:name w:val="段 Char"/>
    <w:link w:val="21"/>
    <w:qFormat/>
    <w:uiPriority w:val="0"/>
    <w:rPr>
      <w:rFonts w:ascii="宋体"/>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2">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4">
    <w:name w:val="一级条标题"/>
    <w:next w:val="21"/>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6">
    <w:name w:val="正文文本 2 字符"/>
    <w:basedOn w:val="15"/>
    <w:link w:val="9"/>
    <w:qFormat/>
    <w:uiPriority w:val="0"/>
    <w:rPr>
      <w:rFonts w:ascii="Times New Roman" w:hAnsi="Times New Roman" w:eastAsia="宋体" w:cs="Times New Roman"/>
      <w:sz w:val="24"/>
      <w:szCs w:val="24"/>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p0"/>
    <w:basedOn w:val="1"/>
    <w:qFormat/>
    <w:uiPriority w:val="0"/>
    <w:pPr>
      <w:widowControl/>
    </w:pPr>
    <w:rPr>
      <w:kern w:val="0"/>
      <w:szCs w:val="21"/>
    </w:rPr>
  </w:style>
  <w:style w:type="paragraph" w:customStyle="1" w:styleId="29">
    <w:name w:val="封面标准文稿编辑信息"/>
    <w:basedOn w:val="30"/>
    <w:qFormat/>
    <w:uiPriority w:val="0"/>
    <w:pPr>
      <w:spacing w:before="180" w:line="180" w:lineRule="exact"/>
    </w:pPr>
    <w:rPr>
      <w:sz w:val="21"/>
    </w:rPr>
  </w:style>
  <w:style w:type="paragraph" w:customStyle="1" w:styleId="30">
    <w:name w:val="封面标准文稿类别"/>
    <w:basedOn w:val="31"/>
    <w:qFormat/>
    <w:uiPriority w:val="0"/>
    <w:pPr>
      <w:spacing w:after="160" w:line="240" w:lineRule="auto"/>
    </w:pPr>
    <w:rPr>
      <w:sz w:val="24"/>
    </w:rPr>
  </w:style>
  <w:style w:type="paragraph" w:customStyle="1" w:styleId="31">
    <w:name w:val="封面一致性程度标识"/>
    <w:basedOn w:val="32"/>
    <w:qFormat/>
    <w:uiPriority w:val="0"/>
    <w:pPr>
      <w:spacing w:before="440"/>
    </w:pPr>
    <w:rPr>
      <w:rFonts w:ascii="宋体" w:eastAsia="宋体"/>
    </w:rPr>
  </w:style>
  <w:style w:type="paragraph" w:customStyle="1" w:styleId="32">
    <w:name w:val="封面标准英文名称"/>
    <w:basedOn w:val="33"/>
    <w:qFormat/>
    <w:uiPriority w:val="0"/>
    <w:pPr>
      <w:spacing w:before="370" w:line="400" w:lineRule="exact"/>
    </w:pPr>
    <w:rPr>
      <w:rFonts w:ascii="Times New Roman"/>
      <w:sz w:val="28"/>
      <w:szCs w:val="28"/>
    </w:rPr>
  </w:style>
  <w:style w:type="paragraph" w:customStyle="1" w:styleId="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
    <w:name w:val="其他实施日期"/>
    <w:basedOn w:val="1"/>
    <w:qFormat/>
    <w:uiPriority w:val="0"/>
    <w:pPr>
      <w:widowControl/>
      <w:jc w:val="right"/>
    </w:pPr>
    <w:rPr>
      <w:rFonts w:eastAsia="黑体"/>
      <w:kern w:val="0"/>
      <w:sz w:val="28"/>
      <w:szCs w:val="20"/>
    </w:rPr>
  </w:style>
  <w:style w:type="paragraph" w:customStyle="1" w:styleId="37">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8">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9">
    <w:name w:val="章标题"/>
    <w:next w:val="21"/>
    <w:qFormat/>
    <w:uiPriority w:val="0"/>
    <w:pPr>
      <w:spacing w:before="312" w:beforeLines="100" w:after="312" w:afterLines="100"/>
      <w:ind w:left="840" w:hanging="408"/>
      <w:jc w:val="both"/>
      <w:outlineLvl w:val="1"/>
    </w:pPr>
    <w:rPr>
      <w:rFonts w:ascii="黑体" w:hAnsi="Times New Roman" w:eastAsia="黑体" w:cs="Times New Roman"/>
      <w:sz w:val="21"/>
      <w:lang w:val="en-US" w:eastAsia="zh-CN" w:bidi="ar-SA"/>
    </w:rPr>
  </w:style>
  <w:style w:type="paragraph" w:customStyle="1" w:styleId="40">
    <w:name w:val="标准书眉_偶数页"/>
    <w:basedOn w:val="25"/>
    <w:next w:val="1"/>
    <w:qFormat/>
    <w:uiPriority w:val="0"/>
    <w:pPr>
      <w:jc w:val="left"/>
    </w:pPr>
  </w:style>
  <w:style w:type="paragraph" w:customStyle="1" w:styleId="4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4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3">
    <w:name w:val="终结线"/>
    <w:basedOn w:val="1"/>
    <w:qFormat/>
    <w:uiPriority w:val="0"/>
  </w:style>
  <w:style w:type="paragraph" w:customStyle="1" w:styleId="44">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46">
    <w:name w:val="发布部门"/>
    <w:next w:val="21"/>
    <w:qFormat/>
    <w:uiPriority w:val="0"/>
    <w:pPr>
      <w:jc w:val="center"/>
    </w:pPr>
    <w:rPr>
      <w:rFonts w:ascii="宋体" w:hAnsi="Times New Roman" w:eastAsia="宋体" w:cs="Times New Roman"/>
      <w:b/>
      <w:spacing w:val="20"/>
      <w:w w:val="135"/>
      <w:sz w:val="28"/>
      <w:lang w:val="en-US" w:eastAsia="zh-CN" w:bidi="ar-SA"/>
    </w:rPr>
  </w:style>
  <w:style w:type="paragraph" w:styleId="47">
    <w:name w:val="List Paragraph"/>
    <w:basedOn w:val="1"/>
    <w:qFormat/>
    <w:uiPriority w:val="99"/>
    <w:pPr>
      <w:ind w:firstLine="420" w:firstLineChars="200"/>
    </w:pPr>
  </w:style>
  <w:style w:type="character" w:customStyle="1" w:styleId="48">
    <w:name w:val="批注框文本 字符"/>
    <w:basedOn w:val="15"/>
    <w:link w:val="6"/>
    <w:semiHidden/>
    <w:qFormat/>
    <w:uiPriority w:val="99"/>
    <w:rPr>
      <w:rFonts w:ascii="Times New Roman" w:hAnsi="Times New Roman" w:eastAsia="宋体" w:cs="Times New Roman"/>
      <w:sz w:val="18"/>
      <w:szCs w:val="18"/>
    </w:rPr>
  </w:style>
  <w:style w:type="character" w:customStyle="1" w:styleId="49">
    <w:name w:val="正文文本 字符"/>
    <w:basedOn w:val="15"/>
    <w:link w:val="4"/>
    <w:semiHidden/>
    <w:qFormat/>
    <w:uiPriority w:val="99"/>
    <w:rPr>
      <w:rFonts w:ascii="Times New Roman" w:hAnsi="Times New Roman" w:eastAsia="宋体" w:cs="Times New Roman"/>
      <w:szCs w:val="24"/>
    </w:rPr>
  </w:style>
  <w:style w:type="character" w:customStyle="1" w:styleId="50">
    <w:name w:val="正文文本首行缩进 字符"/>
    <w:basedOn w:val="49"/>
    <w:link w:val="12"/>
    <w:semiHidden/>
    <w:qFormat/>
    <w:uiPriority w:val="99"/>
    <w:rPr>
      <w:rFonts w:ascii="Times New Roman" w:hAnsi="Times New Roman" w:eastAsia="宋体" w:cs="Times New Roman"/>
      <w:szCs w:val="24"/>
    </w:rPr>
  </w:style>
  <w:style w:type="character" w:customStyle="1" w:styleId="51">
    <w:name w:val="apple-converted-space"/>
    <w:basedOn w:val="15"/>
    <w:qFormat/>
    <w:uiPriority w:val="0"/>
  </w:style>
  <w:style w:type="paragraph" w:customStyle="1" w:styleId="52">
    <w:name w:val="正文表标题"/>
    <w:next w:val="21"/>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3">
    <w:name w:val="正文图标题"/>
    <w:next w:val="2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4">
    <w:name w:val="其他发布日期"/>
    <w:basedOn w:val="1"/>
    <w:qFormat/>
    <w:uiPriority w:val="0"/>
    <w:pPr>
      <w:framePr w:w="3997" w:h="471" w:hRule="exact" w:vSpace="181" w:wrap="around" w:vAnchor="page" w:hAnchor="page" w:x="1419" w:y="14097" w:anchorLock="1"/>
      <w:widowControl/>
      <w:numPr>
        <w:ilvl w:val="0"/>
        <w:numId w:val="2"/>
      </w:numPr>
      <w:jc w:val="left"/>
    </w:pPr>
    <w:rPr>
      <w:rFonts w:eastAsia="黑体"/>
      <w:kern w:val="0"/>
      <w:sz w:val="28"/>
      <w:szCs w:val="20"/>
    </w:rPr>
  </w:style>
  <w:style w:type="character" w:customStyle="1" w:styleId="55">
    <w:name w:val="批注文字 字符"/>
    <w:basedOn w:val="15"/>
    <w:link w:val="3"/>
    <w:qFormat/>
    <w:uiPriority w:val="0"/>
    <w:rPr>
      <w:rFonts w:ascii="Times New Roman" w:hAnsi="Times New Roman" w:eastAsia="宋体" w:cs="Times New Roman"/>
      <w:szCs w:val="24"/>
    </w:rPr>
  </w:style>
  <w:style w:type="character" w:customStyle="1" w:styleId="56">
    <w:name w:val="批注主题 字符"/>
    <w:basedOn w:val="55"/>
    <w:link w:val="11"/>
    <w:semiHidden/>
    <w:qFormat/>
    <w:uiPriority w:val="99"/>
    <w:rPr>
      <w:rFonts w:ascii="Times New Roman" w:hAnsi="Times New Roman" w:eastAsia="宋体" w:cs="Times New Roman"/>
      <w:b/>
      <w:bCs/>
      <w:szCs w:val="24"/>
    </w:rPr>
  </w:style>
  <w:style w:type="character" w:customStyle="1" w:styleId="57">
    <w:name w:val="日期 字符"/>
    <w:basedOn w:val="15"/>
    <w:link w:val="5"/>
    <w:semiHidden/>
    <w:qFormat/>
    <w:uiPriority w:val="99"/>
    <w:rPr>
      <w:rFonts w:ascii="Times New Roman" w:hAnsi="Times New Roman" w:eastAsia="宋体" w:cs="Times New Roman"/>
      <w:szCs w:val="24"/>
    </w:rPr>
  </w:style>
  <w:style w:type="paragraph" w:customStyle="1" w:styleId="58">
    <w:name w:val="二级条标题"/>
    <w:basedOn w:val="24"/>
    <w:next w:val="21"/>
    <w:qFormat/>
    <w:uiPriority w:val="0"/>
    <w:pPr>
      <w:tabs>
        <w:tab w:val="clear" w:pos="760"/>
      </w:tabs>
      <w:spacing w:before="50" w:after="50"/>
      <w:ind w:left="0" w:firstLine="0"/>
      <w:outlineLvl w:val="3"/>
    </w:pPr>
  </w:style>
  <w:style w:type="paragraph" w:customStyle="1" w:styleId="59">
    <w:name w:val="三级条标题"/>
    <w:basedOn w:val="58"/>
    <w:next w:val="21"/>
    <w:qFormat/>
    <w:uiPriority w:val="0"/>
    <w:pPr>
      <w:outlineLvl w:val="4"/>
    </w:pPr>
  </w:style>
  <w:style w:type="paragraph" w:customStyle="1" w:styleId="60">
    <w:name w:val="四级条标题"/>
    <w:basedOn w:val="59"/>
    <w:next w:val="21"/>
    <w:qFormat/>
    <w:uiPriority w:val="0"/>
    <w:pPr>
      <w:outlineLvl w:val="5"/>
    </w:pPr>
  </w:style>
  <w:style w:type="paragraph" w:customStyle="1" w:styleId="61">
    <w:name w:val="五级条标题"/>
    <w:basedOn w:val="60"/>
    <w:next w:val="21"/>
    <w:qFormat/>
    <w:uiPriority w:val="0"/>
    <w:pPr>
      <w:outlineLvl w:val="6"/>
    </w:pPr>
  </w:style>
  <w:style w:type="paragraph" w:customStyle="1" w:styleId="62">
    <w:name w:val="二级无"/>
    <w:basedOn w:val="58"/>
    <w:qFormat/>
    <w:uiPriority w:val="0"/>
    <w:pPr>
      <w:spacing w:beforeLines="0" w:afterLines="0"/>
    </w:pPr>
    <w:rPr>
      <w:rFonts w:ascii="宋体" w:eastAsia="宋体"/>
    </w:rPr>
  </w:style>
  <w:style w:type="character" w:styleId="63">
    <w:name w:val="Placeholder Text"/>
    <w:basedOn w:val="15"/>
    <w:semiHidden/>
    <w:qFormat/>
    <w:uiPriority w:val="99"/>
    <w:rPr>
      <w:color w:val="808080"/>
    </w:rPr>
  </w:style>
  <w:style w:type="paragraph" w:customStyle="1" w:styleId="64">
    <w:name w:val="A 标准正文"/>
    <w:qFormat/>
    <w:uiPriority w:val="0"/>
    <w:pPr>
      <w:widowControl w:val="0"/>
      <w:adjustRightInd w:val="0"/>
      <w:snapToGrid w:val="0"/>
      <w:ind w:firstLine="420" w:firstLineChars="200"/>
    </w:pPr>
    <w:rPr>
      <w:rFonts w:ascii="宋体" w:hAnsi="宋体" w:eastAsia="宋体" w:cs="Times New Roman"/>
      <w:kern w:val="2"/>
      <w:sz w:val="21"/>
      <w:szCs w:val="21"/>
      <w:lang w:val="en-US" w:eastAsia="zh-CN" w:bidi="ar-SA"/>
    </w:rPr>
  </w:style>
  <w:style w:type="paragraph" w:customStyle="1" w:styleId="65">
    <w:name w:val="标准正文"/>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6">
    <w:name w:val="标准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62ACC-2B1E-4A56-902D-9595A10D7D7D}">
  <ds:schemaRefs/>
</ds:datastoreItem>
</file>

<file path=docProps/app.xml><?xml version="1.0" encoding="utf-8"?>
<Properties xmlns="http://schemas.openxmlformats.org/officeDocument/2006/extended-properties" xmlns:vt="http://schemas.openxmlformats.org/officeDocument/2006/docPropsVTypes">
  <Template>Normal</Template>
  <Pages>8</Pages>
  <Words>542</Words>
  <Characters>3096</Characters>
  <Lines>25</Lines>
  <Paragraphs>7</Paragraphs>
  <TotalTime>1</TotalTime>
  <ScaleCrop>false</ScaleCrop>
  <LinksUpToDate>false</LinksUpToDate>
  <CharactersWithSpaces>3631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2021-05-13T02:37:00Z</dcterms:created>
  <dc:creator>pgos</dc:creator>
  <cp:lastModifiedBy>张凤明</cp:lastModifiedBy>
  <cp:lastPrinted>2020-11-15T01:40:00Z</cp:lastPrinted>
  <dcterms:modified xsi:type="dcterms:W3CDTF">2022-08-09T02:23:31Z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