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wrap="around"/>
        <w:rPr>
          <w:rFonts w:hAnsi="黑体"/>
          <w:color w:val="auto"/>
        </w:rPr>
      </w:pPr>
      <w:r>
        <w:rPr>
          <w:rFonts w:hAnsi="黑体"/>
          <w:color w:val="auto"/>
        </w:rPr>
        <w:t>ICS </w:t>
      </w:r>
      <w:r>
        <w:rPr>
          <w:rFonts w:hAnsi="黑体"/>
          <w:color w:val="auto"/>
        </w:rPr>
        <w:fldChar w:fldCharType="begin">
          <w:ffData>
            <w:name w:val="ICS"/>
            <w:enabled/>
            <w:calcOnExit w:val="0"/>
            <w:helpText w:type="text" w:val="请输入正确的ICS号："/>
            <w:textInput>
              <w:default w:val="点击此处添加ICS号"/>
            </w:textInput>
          </w:ffData>
        </w:fldChar>
      </w:r>
      <w:bookmarkStart w:id="0" w:name="ICS"/>
      <w:r>
        <w:rPr>
          <w:rFonts w:hAnsi="黑体"/>
          <w:color w:val="auto"/>
        </w:rPr>
        <w:instrText xml:space="preserve"> FORMTEXT </w:instrText>
      </w:r>
      <w:r>
        <w:rPr>
          <w:rFonts w:hAnsi="黑体"/>
          <w:color w:val="auto"/>
        </w:rPr>
        <w:fldChar w:fldCharType="separate"/>
      </w:r>
      <w:r>
        <w:rPr>
          <w:rFonts w:hint="eastAsia" w:hAnsi="黑体"/>
          <w:color w:val="auto"/>
        </w:rPr>
        <w:t>29.045</w:t>
      </w:r>
      <w:r>
        <w:rPr>
          <w:rFonts w:hAnsi="黑体"/>
          <w:color w:val="auto"/>
        </w:rPr>
        <w:fldChar w:fldCharType="end"/>
      </w:r>
      <w:bookmarkEnd w:id="0"/>
    </w:p>
    <w:p>
      <w:pPr>
        <w:pStyle w:val="132"/>
        <w:framePr w:wrap="around"/>
        <w:rPr>
          <w:color w:val="auto"/>
        </w:rPr>
      </w:pPr>
      <w:r>
        <w:rPr>
          <w:rFonts w:hAnsi="黑体"/>
          <w:color w:val="auto"/>
        </w:rPr>
        <w:t>CCS H 8</w:t>
      </w:r>
      <w:r>
        <w:rPr>
          <w:rFonts w:hint="eastAsia" w:hAnsi="黑体"/>
          <w:color w:val="auto"/>
        </w:rPr>
        <w:t>3</w:t>
      </w:r>
    </w:p>
    <w:p>
      <w:pPr>
        <w:pStyle w:val="75"/>
        <w:framePr w:wrap="around"/>
        <w:rPr>
          <w:color w:val="auto"/>
        </w:rPr>
      </w:pPr>
      <w:r>
        <w:rPr>
          <w:color w:val="auto"/>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6"/>
        <w:framePr w:wrap="around"/>
        <w:rPr>
          <w:color w:val="auto"/>
        </w:rPr>
      </w:pPr>
      <w:r>
        <w:rPr>
          <w:rFonts w:hint="eastAsia"/>
          <w:color w:val="auto"/>
        </w:rPr>
        <w:t>中华人民共和国国家标准</w:t>
      </w:r>
    </w:p>
    <w:p>
      <w:pPr>
        <w:pStyle w:val="56"/>
        <w:framePr w:wrap="around"/>
        <w:rPr>
          <w:rFonts w:hAnsi="黑体"/>
          <w:color w:val="auto"/>
        </w:rPr>
      </w:pPr>
      <w:r>
        <w:rPr>
          <w:rFonts w:hAnsi="黑体"/>
          <w:color w:val="auto"/>
        </w:rPr>
        <w:t xml:space="preserve">GB/T </w:t>
      </w:r>
      <w:r>
        <w:rPr>
          <w:rFonts w:hint="eastAsia" w:hAnsi="黑体"/>
          <w:color w:val="auto"/>
        </w:rPr>
        <w:t>30652</w:t>
      </w:r>
      <w:r>
        <w:rPr>
          <w:rFonts w:hAnsi="黑体"/>
          <w:color w:val="auto"/>
        </w:rPr>
        <w:t>—XXXX</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5"/>
              <w:framePr w:wrap="around"/>
              <w:rPr>
                <w:rFonts w:ascii="黑体" w:hAnsi="黑体" w:eastAsia="黑体"/>
                <w:color w:val="auto"/>
              </w:rPr>
            </w:pPr>
            <w:r>
              <w:rPr>
                <w:rFonts w:hint="eastAsia" w:ascii="黑体" w:hAnsi="黑体" w:eastAsia="黑体"/>
                <w:color w:val="auto"/>
              </w:rPr>
              <w:t>代替 GB/T 30652-2014</w:t>
            </w:r>
          </w:p>
        </w:tc>
      </w:tr>
    </w:tbl>
    <w:p>
      <w:pPr>
        <w:pStyle w:val="56"/>
        <w:framePr w:wrap="around"/>
        <w:rPr>
          <w:color w:val="auto"/>
        </w:rPr>
      </w:pPr>
    </w:p>
    <w:p>
      <w:pPr>
        <w:pStyle w:val="56"/>
        <w:framePr w:wrap="around"/>
        <w:rPr>
          <w:color w:val="auto"/>
        </w:rPr>
      </w:pPr>
    </w:p>
    <w:p>
      <w:pPr>
        <w:pStyle w:val="87"/>
        <w:framePr w:wrap="around" w:x="1126" w:y="6391"/>
        <w:rPr>
          <w:color w:val="auto"/>
        </w:rPr>
      </w:pPr>
      <w:r>
        <w:rPr>
          <w:color w:val="auto"/>
        </w:rPr>
        <w:fldChar w:fldCharType="begin">
          <w:ffData>
            <w:name w:val="StdName"/>
            <w:enabled/>
            <w:calcOnExit w:val="0"/>
            <w:textInput>
              <w:default w:val="点击此处添加标准名称"/>
            </w:textInput>
          </w:ffData>
        </w:fldChar>
      </w:r>
      <w:bookmarkStart w:id="1" w:name="StdName"/>
      <w:r>
        <w:rPr>
          <w:color w:val="auto"/>
        </w:rPr>
        <w:instrText xml:space="preserve"> FORMTEXT </w:instrText>
      </w:r>
      <w:r>
        <w:rPr>
          <w:color w:val="auto"/>
        </w:rPr>
        <w:fldChar w:fldCharType="separate"/>
      </w:r>
      <w:r>
        <w:rPr>
          <w:rFonts w:hint="eastAsia"/>
          <w:color w:val="auto"/>
        </w:rPr>
        <w:t>硅外延用三氯氢硅</w:t>
      </w:r>
      <w:r>
        <w:rPr>
          <w:color w:val="auto"/>
        </w:rPr>
        <w:fldChar w:fldCharType="end"/>
      </w:r>
      <w:bookmarkEnd w:id="1"/>
    </w:p>
    <w:p>
      <w:pPr>
        <w:pStyle w:val="88"/>
        <w:framePr w:wrap="around" w:x="1126" w:y="6391"/>
        <w:rPr>
          <w:color w:val="auto"/>
        </w:rPr>
      </w:pPr>
      <w:r>
        <w:rPr>
          <w:rFonts w:hint="eastAsia" w:ascii="黑体" w:hAnsi="黑体"/>
          <w:color w:val="auto"/>
          <w:highlight w:val="white"/>
        </w:rPr>
        <w:t>Trichlorosilane for silicon epitaxial</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0"/>
              <w:framePr w:wrap="around" w:x="1126" w:y="6391"/>
              <w:rPr>
                <w:color w:val="auto"/>
              </w:rPr>
            </w:pPr>
            <w:r>
              <w:rPr>
                <w:color w:val="auto"/>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color w:val="auto"/>
              </w:rPr>
              <w:t>（</w:t>
            </w:r>
            <w:r>
              <w:rPr>
                <w:rFonts w:hint="eastAsia"/>
                <w:color w:val="auto"/>
                <w:lang w:eastAsia="zh-CN"/>
              </w:rPr>
              <w:t>预审</w:t>
            </w:r>
            <w:r>
              <w:rPr>
                <w:rFonts w:hint="eastAsia"/>
                <w:color w:val="auto"/>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1"/>
              <w:framePr w:wrap="around" w:x="1126" w:y="6391"/>
              <w:rPr>
                <w:color w:val="auto"/>
              </w:rPr>
            </w:pPr>
          </w:p>
          <w:p>
            <w:pPr>
              <w:pStyle w:val="91"/>
              <w:framePr w:wrap="around" w:x="1126" w:y="6391"/>
              <w:rPr>
                <w:color w:val="auto"/>
              </w:rPr>
            </w:pPr>
          </w:p>
          <w:p>
            <w:pPr>
              <w:pStyle w:val="91"/>
              <w:framePr w:wrap="around" w:x="1126" w:y="6391"/>
              <w:rPr>
                <w:color w:val="auto"/>
              </w:rPr>
            </w:pPr>
          </w:p>
        </w:tc>
      </w:tr>
    </w:tbl>
    <w:p>
      <w:pPr>
        <w:pStyle w:val="139"/>
        <w:framePr w:wrap="around" w:hAnchor="page" w:x="1246" w:y="13996"/>
        <w:rPr>
          <w:color w:val="auto"/>
        </w:rPr>
      </w:pPr>
      <w:r>
        <w:rPr>
          <w:rFonts w:ascii="黑体"/>
          <w:color w:val="auto"/>
        </w:rPr>
        <w:fldChar w:fldCharType="begin">
          <w:ffData>
            <w:name w:val="FY"/>
            <w:enabled/>
            <w:calcOnExit w:val="0"/>
            <w:textInput>
              <w:default w:val="XXXX"/>
              <w:maxLength w:val="4"/>
            </w:textInput>
          </w:ffData>
        </w:fldChar>
      </w:r>
      <w:bookmarkStart w:id="2" w:name="F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2"/>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bookmarkStart w:id="3" w:name="F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3"/>
      <w:r>
        <w:rPr>
          <w:color w:val="auto"/>
        </w:rPr>
        <w:t xml:space="preserve"> </w:t>
      </w:r>
      <w:r>
        <w:rPr>
          <w:rFonts w:ascii="黑体"/>
          <w:color w:val="auto"/>
        </w:rPr>
        <w:t>-</w:t>
      </w:r>
      <w:r>
        <w:rPr>
          <w:color w:val="auto"/>
        </w:rPr>
        <w:t xml:space="preserve"> </w:t>
      </w:r>
      <w:r>
        <w:rPr>
          <w:rFonts w:ascii="黑体"/>
          <w:color w:val="auto"/>
        </w:rPr>
        <w:fldChar w:fldCharType="begin">
          <w:ffData>
            <w:name w:val="FD"/>
            <w:enabled/>
            <w:calcOnExit w:val="0"/>
            <w:textInput>
              <w:default w:val="XX"/>
              <w:maxLength w:val="2"/>
            </w:textInput>
          </w:ffData>
        </w:fldChar>
      </w:r>
      <w:bookmarkStart w:id="4" w:name="F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4"/>
      <w:r>
        <w:rPr>
          <w:rFonts w:hint="eastAsia"/>
          <w:color w:val="auto"/>
        </w:rPr>
        <w:t>发布</w:t>
      </w:r>
      <w:r>
        <w:rPr>
          <w:color w:val="auto"/>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40"/>
        <w:framePr w:wrap="around" w:hAnchor="page" w:x="7006" w:y="13906"/>
        <w:ind w:right="140"/>
        <w:rPr>
          <w:color w:val="auto"/>
        </w:rPr>
      </w:pPr>
      <w:r>
        <w:rPr>
          <w:rFonts w:ascii="黑体"/>
          <w:color w:val="auto"/>
        </w:rPr>
        <w:fldChar w:fldCharType="begin">
          <w:ffData>
            <w:name w:val="SY"/>
            <w:enabled/>
            <w:calcOnExit w:val="0"/>
            <w:textInput>
              <w:default w:val="XXXX"/>
              <w:maxLength w:val="4"/>
            </w:textInput>
          </w:ffData>
        </w:fldChar>
      </w:r>
      <w:bookmarkStart w:id="5" w:name="S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5"/>
      <w:r>
        <w:rPr>
          <w:color w:val="auto"/>
        </w:rPr>
        <w:t xml:space="preserve"> </w:t>
      </w:r>
      <w:r>
        <w:rPr>
          <w:rFonts w:ascii="黑体"/>
          <w:color w:val="auto"/>
        </w:rPr>
        <w:t>-</w:t>
      </w:r>
      <w:r>
        <w:rPr>
          <w:color w:val="auto"/>
        </w:rPr>
        <w:t xml:space="preserve"> </w:t>
      </w:r>
      <w:r>
        <w:rPr>
          <w:rFonts w:ascii="黑体"/>
          <w:color w:val="auto"/>
        </w:rPr>
        <w:fldChar w:fldCharType="begin">
          <w:ffData>
            <w:name w:val="SM"/>
            <w:enabled/>
            <w:calcOnExit w:val="0"/>
            <w:textInput>
              <w:default w:val="XX"/>
              <w:maxLength w:val="2"/>
            </w:textInput>
          </w:ffData>
        </w:fldChar>
      </w:r>
      <w:bookmarkStart w:id="6" w:name="S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6"/>
      <w:r>
        <w:rPr>
          <w:color w:val="auto"/>
        </w:rPr>
        <w:t xml:space="preserve"> </w:t>
      </w:r>
      <w:r>
        <w:rPr>
          <w:rFonts w:ascii="黑体"/>
          <w:color w:val="auto"/>
        </w:rPr>
        <w:t>-</w:t>
      </w:r>
      <w:r>
        <w:rPr>
          <w:color w:val="auto"/>
        </w:rPr>
        <w:t xml:space="preserve"> </w:t>
      </w:r>
      <w:r>
        <w:rPr>
          <w:rFonts w:ascii="黑体"/>
          <w:color w:val="auto"/>
        </w:rPr>
        <w:fldChar w:fldCharType="begin">
          <w:ffData>
            <w:name w:val="SD"/>
            <w:enabled/>
            <w:calcOnExit w:val="0"/>
            <w:textInput>
              <w:default w:val="XX"/>
              <w:maxLength w:val="2"/>
            </w:textInput>
          </w:ffData>
        </w:fldChar>
      </w:r>
      <w:bookmarkStart w:id="7" w:name="S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7"/>
      <w:r>
        <w:rPr>
          <w:rFonts w:hint="eastAsia"/>
          <w:color w:val="auto"/>
        </w:rPr>
        <w:t>实施</w:t>
      </w:r>
    </w:p>
    <w:p>
      <w:pPr>
        <w:pStyle w:val="83"/>
        <w:framePr w:wrap="around"/>
        <w:rPr>
          <w:color w:val="auto"/>
        </w:rPr>
      </w:pPr>
      <w:r>
        <w:rPr>
          <w:color w:val="auto"/>
        </w:rP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32"/>
        <w:rPr>
          <w:color w:val="auto"/>
        </w:rPr>
        <w:sectPr>
          <w:pgSz w:w="11906" w:h="16838"/>
          <w:pgMar w:top="567" w:right="850" w:bottom="1134" w:left="1418" w:header="0" w:footer="0" w:gutter="0"/>
          <w:pgNumType w:fmt="upperRoman" w:start="1"/>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21"/>
        <w:rPr>
          <w:color w:val="auto"/>
        </w:rPr>
      </w:pPr>
      <w:r>
        <w:rPr>
          <w:rFonts w:hint="eastAsia"/>
          <w:color w:val="auto"/>
        </w:rPr>
        <w:t>前</w:t>
      </w:r>
      <w:bookmarkStart w:id="8" w:name="BKQY"/>
      <w:r>
        <w:rPr>
          <w:color w:val="auto"/>
        </w:rPr>
        <w:t>  </w:t>
      </w:r>
      <w:r>
        <w:rPr>
          <w:rFonts w:hint="eastAsia"/>
          <w:color w:val="auto"/>
        </w:rPr>
        <w:t>言</w:t>
      </w:r>
      <w:bookmarkEnd w:id="8"/>
    </w:p>
    <w:p>
      <w:pPr>
        <w:pStyle w:val="32"/>
        <w:rPr>
          <w:rFonts w:hAnsi="宋体" w:cs="宋体"/>
          <w:color w:val="auto"/>
          <w:szCs w:val="21"/>
        </w:rPr>
      </w:pPr>
      <w:r>
        <w:rPr>
          <w:rFonts w:hint="eastAsia" w:hAnsi="宋体" w:cs="宋体"/>
          <w:color w:val="auto"/>
          <w:szCs w:val="21"/>
        </w:rPr>
        <w:t>本文件按照GB/T 1.1—2020《标准化工作导则  第1部分：标准化文件的结构和起草规则》的规定起草。</w:t>
      </w:r>
    </w:p>
    <w:p>
      <w:pPr>
        <w:pStyle w:val="32"/>
        <w:rPr>
          <w:rFonts w:hAnsi="宋体" w:cs="宋体"/>
          <w:color w:val="auto"/>
          <w:szCs w:val="21"/>
        </w:rPr>
      </w:pPr>
      <w:r>
        <w:rPr>
          <w:rFonts w:hint="eastAsia" w:hAnsi="宋体" w:cs="宋体"/>
          <w:color w:val="auto"/>
          <w:szCs w:val="21"/>
        </w:rPr>
        <w:t>本文件代替GB/T 30652-2014《</w:t>
      </w:r>
      <w:r>
        <w:rPr>
          <w:rFonts w:hint="eastAsia" w:hAnsi="宋体" w:cs="宋体"/>
          <w:color w:val="auto"/>
        </w:rPr>
        <w:t>硅外延用三氯氢硅</w:t>
      </w:r>
      <w:r>
        <w:rPr>
          <w:rFonts w:hint="eastAsia" w:hAnsi="宋体" w:cs="宋体"/>
          <w:color w:val="auto"/>
          <w:szCs w:val="21"/>
        </w:rPr>
        <w:t>》，与GB/T 30652-2014相比，除结构调整和编辑性改动外，主要技术变化如下：</w:t>
      </w:r>
    </w:p>
    <w:p>
      <w:pPr>
        <w:pStyle w:val="168"/>
        <w:numPr>
          <w:ilvl w:val="1"/>
          <w:numId w:val="19"/>
        </w:numPr>
        <w:ind w:firstLineChars="0"/>
        <w:rPr>
          <w:rFonts w:ascii="宋体" w:hAnsi="宋体" w:cs="宋体"/>
          <w:color w:val="auto"/>
          <w:szCs w:val="21"/>
        </w:rPr>
      </w:pPr>
      <w:r>
        <w:rPr>
          <w:rFonts w:hint="eastAsia" w:ascii="宋体" w:hAnsi="宋体" w:cs="宋体"/>
          <w:color w:val="auto"/>
          <w:szCs w:val="21"/>
          <w:lang w:eastAsia="zh-CN"/>
        </w:rPr>
        <w:t>更改了适用范围</w:t>
      </w:r>
      <w:r>
        <w:rPr>
          <w:rFonts w:hint="eastAsia" w:ascii="宋体" w:hAnsi="宋体" w:cs="宋体"/>
          <w:color w:val="auto"/>
        </w:rPr>
        <w:t>（见第</w:t>
      </w:r>
      <w:r>
        <w:rPr>
          <w:rFonts w:hint="eastAsia" w:ascii="宋体" w:hAnsi="宋体" w:cs="宋体"/>
          <w:color w:val="auto"/>
          <w:lang w:val="en-US" w:eastAsia="zh-CN"/>
        </w:rPr>
        <w:t>1</w:t>
      </w:r>
      <w:r>
        <w:rPr>
          <w:rFonts w:hint="eastAsia" w:ascii="宋体" w:hAnsi="宋体" w:cs="宋体"/>
          <w:color w:val="auto"/>
        </w:rPr>
        <w:t>章）</w:t>
      </w:r>
      <w:r>
        <w:rPr>
          <w:rFonts w:hint="eastAsia" w:ascii="宋体" w:hAnsi="宋体" w:cs="宋体"/>
          <w:color w:val="auto"/>
          <w:lang w:eastAsia="zh-CN"/>
        </w:rPr>
        <w:t>；</w:t>
      </w:r>
    </w:p>
    <w:p>
      <w:pPr>
        <w:pStyle w:val="168"/>
        <w:numPr>
          <w:ilvl w:val="1"/>
          <w:numId w:val="19"/>
        </w:numPr>
        <w:ind w:firstLineChars="0"/>
        <w:rPr>
          <w:rFonts w:ascii="宋体" w:hAnsi="宋体" w:cs="宋体"/>
          <w:color w:val="auto"/>
          <w:szCs w:val="21"/>
        </w:rPr>
      </w:pPr>
      <w:r>
        <w:rPr>
          <w:rFonts w:hint="eastAsia" w:ascii="宋体" w:hAnsi="宋体" w:cs="宋体"/>
          <w:color w:val="auto"/>
        </w:rPr>
        <w:t>更改并增加了规范性引用文件（见第2章）</w:t>
      </w:r>
      <w:r>
        <w:rPr>
          <w:rFonts w:hint="eastAsia" w:ascii="宋体" w:hAnsi="宋体" w:cs="宋体"/>
          <w:color w:val="auto"/>
          <w:szCs w:val="21"/>
        </w:rPr>
        <w:t>；</w:t>
      </w:r>
    </w:p>
    <w:p>
      <w:pPr>
        <w:pStyle w:val="168"/>
        <w:numPr>
          <w:ilvl w:val="1"/>
          <w:numId w:val="19"/>
        </w:numPr>
        <w:ind w:firstLineChars="0"/>
        <w:rPr>
          <w:rFonts w:ascii="宋体" w:hAnsi="宋体" w:cs="宋体"/>
          <w:color w:val="auto"/>
          <w:szCs w:val="21"/>
        </w:rPr>
      </w:pPr>
      <w:r>
        <w:rPr>
          <w:rFonts w:hint="eastAsia" w:ascii="宋体" w:hAnsi="宋体" w:cs="宋体"/>
          <w:color w:val="auto"/>
          <w:szCs w:val="21"/>
        </w:rPr>
        <w:t>增加了术语和定义</w:t>
      </w:r>
      <w:r>
        <w:rPr>
          <w:rFonts w:hint="eastAsia" w:ascii="宋体" w:hAnsi="宋体" w:cs="宋体"/>
          <w:color w:val="auto"/>
        </w:rPr>
        <w:t>（见第3章）</w:t>
      </w:r>
      <w:r>
        <w:rPr>
          <w:rFonts w:hint="eastAsia" w:ascii="宋体" w:hAnsi="宋体" w:cs="宋体"/>
          <w:color w:val="auto"/>
          <w:szCs w:val="21"/>
        </w:rPr>
        <w:t>；</w:t>
      </w:r>
    </w:p>
    <w:p>
      <w:pPr>
        <w:pStyle w:val="168"/>
        <w:numPr>
          <w:ilvl w:val="1"/>
          <w:numId w:val="19"/>
        </w:numPr>
        <w:ind w:firstLineChars="0"/>
        <w:rPr>
          <w:rFonts w:ascii="宋体" w:hAnsi="宋体" w:cs="宋体"/>
          <w:color w:val="auto"/>
          <w:szCs w:val="21"/>
        </w:rPr>
      </w:pPr>
      <w:r>
        <w:rPr>
          <w:rFonts w:hint="eastAsia" w:ascii="宋体" w:hAnsi="宋体" w:cs="宋体"/>
          <w:color w:val="auto"/>
        </w:rPr>
        <w:t>更改了化学成分中杂质元素Al、Cr、Cu、Fe、Ni、Zn、Ca、Co</w:t>
      </w:r>
      <w:r>
        <w:rPr>
          <w:rFonts w:hint="eastAsia" w:ascii="宋体" w:hAnsi="宋体" w:cs="宋体"/>
          <w:color w:val="auto"/>
          <w:lang w:eastAsia="zh-CN"/>
        </w:rPr>
        <w:t>、</w:t>
      </w:r>
      <w:r>
        <w:rPr>
          <w:rFonts w:hint="eastAsia" w:ascii="宋体" w:hAnsi="宋体" w:cs="宋体"/>
          <w:color w:val="auto"/>
          <w:lang w:val="en-US" w:eastAsia="zh-CN"/>
        </w:rPr>
        <w:t>Mn、V、Mo</w:t>
      </w:r>
      <w:r>
        <w:rPr>
          <w:rFonts w:hint="eastAsia" w:ascii="宋体" w:hAnsi="宋体" w:cs="宋体"/>
          <w:color w:val="auto"/>
        </w:rPr>
        <w:t>和C含量的技术指标要求，删除了As、Sb、P、B的元素要求，增加了施主杂质含量、受主杂质含量和电阻率的要求。（见表1）</w:t>
      </w:r>
      <w:r>
        <w:rPr>
          <w:rFonts w:hint="eastAsia" w:ascii="宋体" w:hAnsi="宋体" w:cs="宋体"/>
          <w:color w:val="auto"/>
          <w:szCs w:val="21"/>
        </w:rPr>
        <w:t>；</w:t>
      </w:r>
    </w:p>
    <w:p>
      <w:pPr>
        <w:pStyle w:val="168"/>
        <w:numPr>
          <w:ilvl w:val="1"/>
          <w:numId w:val="19"/>
        </w:numPr>
        <w:ind w:firstLineChars="0"/>
        <w:rPr>
          <w:rFonts w:ascii="宋体" w:hAnsi="宋体" w:cs="宋体"/>
          <w:color w:val="auto"/>
          <w:szCs w:val="21"/>
        </w:rPr>
      </w:pPr>
      <w:r>
        <w:rPr>
          <w:rFonts w:hint="eastAsia" w:ascii="宋体" w:hAnsi="宋体" w:cs="宋体"/>
          <w:color w:val="auto"/>
          <w:szCs w:val="21"/>
        </w:rPr>
        <w:t>更改了试验方法的内容（见第5章，2014年版的第4章）</w:t>
      </w:r>
      <w:r>
        <w:rPr>
          <w:rFonts w:hint="eastAsia" w:ascii="宋体" w:hAnsi="宋体" w:cs="宋体"/>
          <w:color w:val="auto"/>
          <w:szCs w:val="20"/>
        </w:rPr>
        <w:t>；</w:t>
      </w:r>
    </w:p>
    <w:p>
      <w:pPr>
        <w:pStyle w:val="168"/>
        <w:numPr>
          <w:ilvl w:val="1"/>
          <w:numId w:val="19"/>
        </w:numPr>
        <w:ind w:firstLineChars="0"/>
        <w:rPr>
          <w:rFonts w:ascii="宋体" w:hAnsi="宋体" w:cs="宋体"/>
          <w:color w:val="auto"/>
          <w:szCs w:val="21"/>
        </w:rPr>
      </w:pPr>
      <w:r>
        <w:rPr>
          <w:rFonts w:hint="eastAsia" w:ascii="宋体" w:hAnsi="宋体" w:cs="宋体"/>
          <w:color w:val="auto"/>
          <w:szCs w:val="21"/>
          <w:lang w:eastAsia="zh-CN"/>
        </w:rPr>
        <w:t>更改了</w:t>
      </w:r>
      <w:r>
        <w:rPr>
          <w:rFonts w:hint="eastAsia" w:ascii="宋体" w:hAnsi="宋体" w:cs="宋体"/>
          <w:color w:val="auto"/>
          <w:szCs w:val="21"/>
        </w:rPr>
        <w:t>需方对收到的产品</w:t>
      </w:r>
      <w:r>
        <w:rPr>
          <w:rFonts w:hint="eastAsia" w:ascii="宋体" w:hAnsi="宋体" w:cs="宋体"/>
          <w:color w:val="auto"/>
          <w:szCs w:val="21"/>
          <w:lang w:eastAsia="zh-CN"/>
        </w:rPr>
        <w:t>检验</w:t>
      </w:r>
      <w:r>
        <w:rPr>
          <w:rFonts w:hint="eastAsia" w:ascii="宋体" w:hAnsi="宋体" w:cs="宋体"/>
          <w:color w:val="auto"/>
          <w:szCs w:val="21"/>
        </w:rPr>
        <w:t>的方法</w:t>
      </w:r>
      <w:r>
        <w:rPr>
          <w:rFonts w:hint="eastAsia" w:ascii="宋体" w:hAnsi="宋体" w:cs="宋体"/>
          <w:color w:val="auto"/>
          <w:szCs w:val="21"/>
          <w:lang w:eastAsia="zh-CN"/>
        </w:rPr>
        <w:t>的规定</w:t>
      </w:r>
      <w:r>
        <w:rPr>
          <w:rFonts w:hint="eastAsia" w:ascii="宋体" w:hAnsi="宋体" w:cs="宋体"/>
          <w:color w:val="auto"/>
          <w:szCs w:val="21"/>
        </w:rPr>
        <w:t>（见第</w:t>
      </w:r>
      <w:r>
        <w:rPr>
          <w:rFonts w:hint="eastAsia" w:ascii="宋体" w:hAnsi="宋体" w:cs="宋体"/>
          <w:color w:val="auto"/>
          <w:szCs w:val="21"/>
          <w:lang w:val="en-US" w:eastAsia="zh-CN"/>
        </w:rPr>
        <w:t>6.1.2</w:t>
      </w:r>
      <w:r>
        <w:rPr>
          <w:rFonts w:hint="eastAsia" w:ascii="宋体" w:hAnsi="宋体" w:cs="宋体"/>
          <w:color w:val="auto"/>
          <w:szCs w:val="21"/>
        </w:rPr>
        <w:t>，2014年版的</w:t>
      </w:r>
      <w:r>
        <w:rPr>
          <w:rFonts w:hint="eastAsia" w:ascii="宋体" w:hAnsi="宋体" w:cs="宋体"/>
          <w:color w:val="auto"/>
          <w:szCs w:val="21"/>
          <w:lang w:val="en-US" w:eastAsia="zh-CN"/>
        </w:rPr>
        <w:t>5.1.2</w:t>
      </w:r>
      <w:r>
        <w:rPr>
          <w:rFonts w:hint="eastAsia" w:ascii="宋体" w:hAnsi="宋体" w:cs="宋体"/>
          <w:color w:val="auto"/>
          <w:szCs w:val="21"/>
        </w:rPr>
        <w:t>）</w:t>
      </w:r>
      <w:r>
        <w:rPr>
          <w:rFonts w:hint="eastAsia" w:ascii="宋体" w:hAnsi="宋体" w:cs="宋体"/>
          <w:color w:val="auto"/>
          <w:szCs w:val="21"/>
          <w:lang w:eastAsia="zh-CN"/>
        </w:rPr>
        <w:t>；</w:t>
      </w:r>
    </w:p>
    <w:p>
      <w:pPr>
        <w:pStyle w:val="168"/>
        <w:numPr>
          <w:ilvl w:val="1"/>
          <w:numId w:val="19"/>
        </w:numPr>
        <w:ind w:firstLineChars="0"/>
        <w:rPr>
          <w:rFonts w:ascii="宋体" w:hAnsi="宋体" w:cs="宋体"/>
          <w:color w:val="auto"/>
          <w:szCs w:val="21"/>
        </w:rPr>
      </w:pPr>
      <w:r>
        <w:rPr>
          <w:rFonts w:hint="eastAsia" w:ascii="宋体" w:hAnsi="宋体" w:cs="宋体"/>
          <w:color w:val="auto"/>
        </w:rPr>
        <w:t>更改了组批的规定（见6.2，2014版的5.2）</w:t>
      </w:r>
      <w:r>
        <w:rPr>
          <w:rFonts w:hint="eastAsia" w:ascii="宋体" w:hAnsi="宋体" w:cs="宋体"/>
          <w:color w:val="auto"/>
          <w:szCs w:val="21"/>
        </w:rPr>
        <w:t>；</w:t>
      </w:r>
    </w:p>
    <w:p>
      <w:pPr>
        <w:pStyle w:val="168"/>
        <w:numPr>
          <w:ilvl w:val="1"/>
          <w:numId w:val="19"/>
        </w:numPr>
        <w:ind w:firstLineChars="0"/>
        <w:rPr>
          <w:rFonts w:ascii="宋体" w:hAnsi="宋体" w:cs="宋体"/>
          <w:color w:val="auto"/>
          <w:szCs w:val="21"/>
        </w:rPr>
      </w:pPr>
      <w:r>
        <w:rPr>
          <w:rFonts w:hint="eastAsia" w:ascii="宋体" w:hAnsi="宋体"/>
          <w:color w:val="auto"/>
          <w:szCs w:val="21"/>
        </w:rPr>
        <w:t>更改了取样和制样的内容</w:t>
      </w:r>
      <w:r>
        <w:rPr>
          <w:rFonts w:hint="eastAsia" w:ascii="宋体" w:hAnsi="宋体" w:cs="宋体"/>
          <w:color w:val="auto"/>
          <w:szCs w:val="21"/>
        </w:rPr>
        <w:t>（见6.4，2014版的5.3）。</w:t>
      </w:r>
    </w:p>
    <w:p>
      <w:pPr>
        <w:pStyle w:val="168"/>
        <w:numPr>
          <w:ilvl w:val="1"/>
          <w:numId w:val="19"/>
        </w:numPr>
        <w:ind w:firstLineChars="0"/>
        <w:rPr>
          <w:rFonts w:ascii="宋体" w:hAnsi="宋体" w:cs="宋体"/>
          <w:color w:val="auto"/>
          <w:szCs w:val="21"/>
        </w:rPr>
      </w:pPr>
      <w:r>
        <w:rPr>
          <w:rFonts w:hint="eastAsia" w:ascii="宋体" w:hAnsi="宋体" w:cs="宋体"/>
          <w:color w:val="auto"/>
          <w:lang w:eastAsia="zh-CN"/>
        </w:rPr>
        <w:t>更改并</w:t>
      </w:r>
      <w:r>
        <w:rPr>
          <w:rFonts w:hint="eastAsia" w:ascii="宋体" w:hAnsi="宋体" w:cs="宋体"/>
          <w:color w:val="auto"/>
        </w:rPr>
        <w:t>增加标志的要求（见7.1</w:t>
      </w:r>
      <w:r>
        <w:rPr>
          <w:rFonts w:hint="eastAsia" w:ascii="宋体" w:hAnsi="宋体" w:cs="宋体"/>
          <w:color w:val="auto"/>
          <w:szCs w:val="21"/>
        </w:rPr>
        <w:t>，2014版的</w:t>
      </w:r>
      <w:r>
        <w:rPr>
          <w:rFonts w:hint="eastAsia" w:ascii="宋体" w:hAnsi="宋体" w:cs="宋体"/>
          <w:color w:val="auto"/>
          <w:szCs w:val="21"/>
          <w:lang w:val="en-US" w:eastAsia="zh-CN"/>
        </w:rPr>
        <w:t>6.1</w:t>
      </w:r>
      <w:r>
        <w:rPr>
          <w:rFonts w:hint="eastAsia" w:ascii="宋体" w:hAnsi="宋体" w:cs="宋体"/>
          <w:color w:val="auto"/>
        </w:rPr>
        <w:t>）</w:t>
      </w:r>
    </w:p>
    <w:p>
      <w:pPr>
        <w:pStyle w:val="168"/>
        <w:numPr>
          <w:ilvl w:val="1"/>
          <w:numId w:val="19"/>
        </w:numPr>
        <w:ind w:firstLineChars="0"/>
        <w:rPr>
          <w:rFonts w:ascii="宋体" w:hAnsi="宋体" w:cs="宋体"/>
          <w:color w:val="auto"/>
          <w:szCs w:val="21"/>
        </w:rPr>
      </w:pPr>
      <w:r>
        <w:rPr>
          <w:rFonts w:hint="eastAsia" w:ascii="宋体" w:hAnsi="宋体" w:cs="宋体"/>
          <w:color w:val="auto"/>
        </w:rPr>
        <w:t>更改了包装相关的要求</w:t>
      </w:r>
      <w:r>
        <w:rPr>
          <w:rFonts w:hint="eastAsia" w:ascii="宋体" w:hAnsi="宋体" w:cs="宋体"/>
          <w:color w:val="auto"/>
          <w:szCs w:val="21"/>
        </w:rPr>
        <w:t>（见7.2，2014版的6.2）；</w:t>
      </w:r>
    </w:p>
    <w:p>
      <w:pPr>
        <w:pStyle w:val="168"/>
        <w:numPr>
          <w:ilvl w:val="1"/>
          <w:numId w:val="19"/>
        </w:numPr>
        <w:ind w:firstLineChars="0"/>
        <w:rPr>
          <w:rFonts w:ascii="宋体" w:hAnsi="宋体" w:cs="宋体"/>
          <w:color w:val="auto"/>
          <w:szCs w:val="21"/>
        </w:rPr>
      </w:pPr>
      <w:r>
        <w:rPr>
          <w:rFonts w:hint="eastAsia" w:ascii="宋体" w:hAnsi="宋体" w:cs="宋体"/>
          <w:color w:val="auto"/>
          <w:szCs w:val="21"/>
        </w:rPr>
        <w:t>更改了运输、贮存的要求（见7.3，2014版的6.3）；）</w:t>
      </w:r>
    </w:p>
    <w:p>
      <w:pPr>
        <w:pStyle w:val="168"/>
        <w:numPr>
          <w:ilvl w:val="1"/>
          <w:numId w:val="19"/>
        </w:numPr>
        <w:ind w:firstLineChars="0"/>
        <w:rPr>
          <w:rFonts w:ascii="宋体" w:hAnsi="宋体" w:cs="宋体"/>
          <w:color w:val="auto"/>
          <w:szCs w:val="21"/>
        </w:rPr>
      </w:pPr>
      <w:r>
        <w:rPr>
          <w:rFonts w:hint="eastAsia" w:ascii="宋体" w:hAnsi="宋体" w:cs="宋体"/>
          <w:color w:val="auto"/>
          <w:szCs w:val="21"/>
        </w:rPr>
        <w:t>增加了随行文件</w:t>
      </w:r>
      <w:r>
        <w:rPr>
          <w:rFonts w:hint="eastAsia" w:ascii="宋体" w:hAnsi="宋体" w:cs="宋体"/>
          <w:color w:val="auto"/>
          <w:szCs w:val="21"/>
          <w:lang w:eastAsia="zh-CN"/>
        </w:rPr>
        <w:t>的内容</w:t>
      </w:r>
      <w:r>
        <w:rPr>
          <w:rFonts w:hint="eastAsia" w:ascii="宋体" w:hAnsi="宋体" w:cs="宋体"/>
          <w:color w:val="auto"/>
          <w:szCs w:val="21"/>
        </w:rPr>
        <w:t>（见7.4）；</w:t>
      </w:r>
    </w:p>
    <w:p>
      <w:pPr>
        <w:pStyle w:val="168"/>
        <w:numPr>
          <w:ilvl w:val="1"/>
          <w:numId w:val="19"/>
        </w:numPr>
        <w:ind w:firstLineChars="0"/>
        <w:rPr>
          <w:rFonts w:ascii="宋体" w:hAnsi="宋体" w:cs="宋体"/>
          <w:color w:val="auto"/>
          <w:szCs w:val="21"/>
        </w:rPr>
      </w:pPr>
      <w:r>
        <w:rPr>
          <w:rFonts w:hint="eastAsia" w:ascii="宋体" w:hAnsi="宋体" w:cs="宋体"/>
          <w:color w:val="auto"/>
        </w:rPr>
        <w:t>标准结构按GB/T 1.1的要求进行了更改、补充和完善</w:t>
      </w:r>
      <w:r>
        <w:rPr>
          <w:rFonts w:hint="eastAsia" w:ascii="宋体" w:hAnsi="宋体" w:cs="宋体"/>
          <w:color w:val="auto"/>
          <w:szCs w:val="21"/>
        </w:rPr>
        <w:t>。</w:t>
      </w:r>
    </w:p>
    <w:p>
      <w:pPr>
        <w:pStyle w:val="32"/>
        <w:rPr>
          <w:rFonts w:hAnsi="宋体"/>
          <w:color w:val="auto"/>
        </w:rPr>
      </w:pPr>
      <w:r>
        <w:rPr>
          <w:rFonts w:hint="eastAsia" w:hAnsi="宋体"/>
          <w:color w:val="auto"/>
        </w:rPr>
        <w:t>请注意本文件的某些内容可能涉及专利。本文件的发布机构不承担识别专利的责任。</w:t>
      </w:r>
    </w:p>
    <w:p>
      <w:pPr>
        <w:pStyle w:val="32"/>
        <w:rPr>
          <w:rFonts w:hAnsi="宋体" w:cs="宋体"/>
          <w:color w:val="auto"/>
          <w:szCs w:val="21"/>
        </w:rPr>
      </w:pPr>
      <w:r>
        <w:rPr>
          <w:rFonts w:hint="eastAsia" w:hAnsi="宋体" w:cs="宋体"/>
          <w:color w:val="auto"/>
          <w:szCs w:val="21"/>
        </w:rPr>
        <w:t>本文件由全国半导体设备和材料标准化技术委员会（SAC/TC 203）与全国半导体设备和材料标准化技术委员会材料分技术委员会（SAC/TC 203/SC2）提出并归口。</w:t>
      </w:r>
    </w:p>
    <w:p>
      <w:pPr>
        <w:pStyle w:val="32"/>
        <w:rPr>
          <w:rFonts w:hAnsi="宋体" w:cs="宋体"/>
          <w:color w:val="auto"/>
          <w:szCs w:val="21"/>
        </w:rPr>
      </w:pPr>
      <w:r>
        <w:rPr>
          <w:rFonts w:hint="eastAsia" w:hAnsi="宋体" w:cs="宋体"/>
          <w:color w:val="auto"/>
          <w:szCs w:val="21"/>
        </w:rPr>
        <w:t>本文件起草单位：洛阳中硅高科技有限公司、……</w:t>
      </w:r>
    </w:p>
    <w:p>
      <w:pPr>
        <w:pStyle w:val="32"/>
        <w:rPr>
          <w:rFonts w:hAnsi="宋体" w:cs="宋体"/>
          <w:color w:val="auto"/>
          <w:szCs w:val="21"/>
        </w:rPr>
      </w:pPr>
      <w:r>
        <w:rPr>
          <w:rFonts w:hint="eastAsia" w:hAnsi="宋体" w:cs="宋体"/>
          <w:color w:val="auto"/>
          <w:szCs w:val="21"/>
        </w:rPr>
        <w:t>本文件主要起草人：……</w:t>
      </w:r>
    </w:p>
    <w:p>
      <w:pPr>
        <w:pStyle w:val="32"/>
        <w:rPr>
          <w:rFonts w:hAnsi="宋体" w:cs="宋体"/>
          <w:color w:val="auto"/>
          <w:szCs w:val="21"/>
        </w:rPr>
      </w:pPr>
      <w:r>
        <w:rPr>
          <w:rFonts w:hint="eastAsia" w:hAnsi="宋体" w:cs="宋体"/>
          <w:color w:val="auto"/>
          <w:szCs w:val="21"/>
        </w:rPr>
        <w:t>本文件及其所代替文件的历次版本发布情况为：</w:t>
      </w:r>
    </w:p>
    <w:p>
      <w:pPr>
        <w:pStyle w:val="32"/>
        <w:rPr>
          <w:rFonts w:hAnsi="宋体" w:cs="宋体"/>
          <w:color w:val="auto"/>
          <w:szCs w:val="21"/>
        </w:rPr>
      </w:pPr>
      <w:r>
        <w:rPr>
          <w:rFonts w:hint="eastAsia" w:hAnsi="宋体" w:cs="宋体"/>
          <w:color w:val="auto"/>
          <w:szCs w:val="21"/>
        </w:rPr>
        <w:t>——2014年首次发布为GB/T 30652-2014；</w:t>
      </w:r>
    </w:p>
    <w:p>
      <w:pPr>
        <w:pStyle w:val="32"/>
        <w:rPr>
          <w:color w:val="auto"/>
          <w:szCs w:val="21"/>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hAnsi="宋体" w:cs="宋体"/>
          <w:color w:val="auto"/>
          <w:szCs w:val="21"/>
        </w:rPr>
        <w:t>——本次为第一次修订</w:t>
      </w:r>
      <w:r>
        <w:rPr>
          <w:rFonts w:ascii="Times New Roman"/>
          <w:color w:val="auto"/>
          <w:szCs w:val="21"/>
        </w:rPr>
        <w:t>。</w:t>
      </w:r>
    </w:p>
    <w:p>
      <w:pPr>
        <w:pStyle w:val="59"/>
        <w:rPr>
          <w:color w:val="auto"/>
        </w:rPr>
      </w:pPr>
      <w:r>
        <w:rPr>
          <w:rFonts w:hint="eastAsia"/>
          <w:color w:val="auto"/>
        </w:rPr>
        <w:t>硅外延用三氯氢硅</w:t>
      </w:r>
    </w:p>
    <w:p>
      <w:pPr>
        <w:pStyle w:val="54"/>
        <w:spacing w:before="312" w:after="312"/>
        <w:ind w:left="0"/>
        <w:rPr>
          <w:color w:val="auto"/>
        </w:rPr>
      </w:pPr>
      <w:r>
        <w:rPr>
          <w:rFonts w:hint="eastAsia"/>
          <w:color w:val="auto"/>
        </w:rPr>
        <w:t>范围</w:t>
      </w:r>
    </w:p>
    <w:p>
      <w:pPr>
        <w:pStyle w:val="32"/>
        <w:rPr>
          <w:color w:val="auto"/>
        </w:rPr>
      </w:pPr>
      <w:r>
        <w:rPr>
          <w:rFonts w:hint="eastAsia"/>
          <w:color w:val="auto"/>
        </w:rPr>
        <w:t>本文件规定了硅外延用三氯氢硅（SiHCl</w:t>
      </w:r>
      <w:r>
        <w:rPr>
          <w:rFonts w:hint="eastAsia"/>
          <w:color w:val="auto"/>
          <w:vertAlign w:val="subscript"/>
        </w:rPr>
        <w:t>3</w:t>
      </w:r>
      <w:r>
        <w:rPr>
          <w:rFonts w:hint="eastAsia"/>
          <w:color w:val="auto"/>
        </w:rPr>
        <w:t>）的技术要求、试验方法、检验规则和标志、包装、运输、贮存、 随行文件及订货单的内容。</w:t>
      </w:r>
    </w:p>
    <w:p>
      <w:pPr>
        <w:pStyle w:val="32"/>
        <w:rPr>
          <w:color w:val="auto"/>
        </w:rPr>
      </w:pPr>
      <w:r>
        <w:rPr>
          <w:rFonts w:hint="eastAsia"/>
          <w:color w:val="auto"/>
        </w:rPr>
        <w:t>本文件适用于以三氯氢硅为原料精制提纯而制得的硅外延用三氯氢硅（以下简称产品）。</w:t>
      </w:r>
    </w:p>
    <w:p>
      <w:pPr>
        <w:pStyle w:val="54"/>
        <w:spacing w:before="312" w:after="312"/>
        <w:ind w:left="0"/>
        <w:rPr>
          <w:color w:val="auto"/>
        </w:rPr>
      </w:pPr>
      <w:r>
        <w:rPr>
          <w:rFonts w:hint="eastAsia"/>
          <w:color w:val="auto"/>
        </w:rPr>
        <w:t>规范性引用文件</w:t>
      </w:r>
    </w:p>
    <w:p>
      <w:pPr>
        <w:pStyle w:val="32"/>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2"/>
        <w:rPr>
          <w:color w:val="auto"/>
        </w:rPr>
      </w:pPr>
      <w:r>
        <w:rPr>
          <w:rFonts w:hint="eastAsia"/>
          <w:color w:val="auto"/>
        </w:rPr>
        <w:t>GB 190  危险货物包装标志</w:t>
      </w:r>
    </w:p>
    <w:p>
      <w:pPr>
        <w:pStyle w:val="32"/>
        <w:rPr>
          <w:color w:val="auto"/>
        </w:rPr>
      </w:pPr>
      <w:r>
        <w:rPr>
          <w:rFonts w:hint="eastAsia"/>
          <w:color w:val="auto"/>
        </w:rPr>
        <w:t>GB 191  包装储运图示标志</w:t>
      </w:r>
    </w:p>
    <w:p>
      <w:pPr>
        <w:pStyle w:val="32"/>
        <w:rPr>
          <w:color w:val="auto"/>
        </w:rPr>
      </w:pPr>
      <w:r>
        <w:rPr>
          <w:rFonts w:hint="eastAsia"/>
          <w:color w:val="auto"/>
        </w:rPr>
        <w:t>GB/T 1551  硅单晶电阻率的测定 直排四探针法和直流两探针法</w:t>
      </w:r>
    </w:p>
    <w:p>
      <w:pPr>
        <w:pStyle w:val="32"/>
        <w:rPr>
          <w:rFonts w:hint="eastAsia"/>
          <w:color w:val="auto"/>
        </w:rPr>
      </w:pPr>
      <w:r>
        <w:rPr>
          <w:rFonts w:hint="eastAsia"/>
          <w:color w:val="auto"/>
        </w:rPr>
        <w:t>GB/T 3723 工业用化学产品采样安全通则</w:t>
      </w:r>
    </w:p>
    <w:p>
      <w:pPr>
        <w:pStyle w:val="32"/>
        <w:rPr>
          <w:color w:val="auto"/>
        </w:rPr>
      </w:pPr>
      <w:r>
        <w:rPr>
          <w:color w:val="auto"/>
        </w:rPr>
        <w:t xml:space="preserve">GB/T 4059 </w:t>
      </w:r>
      <w:r>
        <w:rPr>
          <w:rFonts w:hint="eastAsia"/>
          <w:color w:val="auto"/>
        </w:rPr>
        <w:t>硅多晶气氛区熔基磷检验方法</w:t>
      </w:r>
    </w:p>
    <w:p>
      <w:pPr>
        <w:pStyle w:val="32"/>
        <w:rPr>
          <w:color w:val="auto"/>
        </w:rPr>
      </w:pPr>
      <w:r>
        <w:rPr>
          <w:color w:val="auto"/>
        </w:rPr>
        <w:t xml:space="preserve">GB/T 7144 </w:t>
      </w:r>
      <w:r>
        <w:rPr>
          <w:rFonts w:hint="eastAsia"/>
          <w:color w:val="auto"/>
        </w:rPr>
        <w:t>气瓶颜色标志</w:t>
      </w:r>
    </w:p>
    <w:p>
      <w:pPr>
        <w:pStyle w:val="32"/>
        <w:rPr>
          <w:color w:val="auto"/>
        </w:rPr>
      </w:pPr>
      <w:r>
        <w:rPr>
          <w:rFonts w:hint="eastAsia"/>
          <w:color w:val="auto"/>
        </w:rPr>
        <w:t>GB 12463  危险货物运输包装通用技术条件</w:t>
      </w:r>
    </w:p>
    <w:p>
      <w:pPr>
        <w:pStyle w:val="32"/>
        <w:rPr>
          <w:color w:val="auto"/>
        </w:rPr>
      </w:pPr>
      <w:r>
        <w:rPr>
          <w:rFonts w:hint="eastAsia"/>
          <w:color w:val="auto"/>
          <w:highlight w:val="none"/>
        </w:rPr>
        <w:t xml:space="preserve">GB </w:t>
      </w:r>
      <w:r>
        <w:rPr>
          <w:rFonts w:hint="eastAsia"/>
          <w:color w:val="auto"/>
          <w:highlight w:val="none"/>
          <w:lang w:val="en-US" w:eastAsia="zh-CN"/>
        </w:rPr>
        <w:t>1</w:t>
      </w:r>
      <w:r>
        <w:rPr>
          <w:rFonts w:hint="eastAsia"/>
          <w:color w:val="auto"/>
          <w:highlight w:val="none"/>
        </w:rPr>
        <w:t>5258</w:t>
      </w:r>
      <w:r>
        <w:rPr>
          <w:rFonts w:hint="eastAsia"/>
          <w:color w:val="auto"/>
        </w:rPr>
        <w:t xml:space="preserve">  化学品安全标签编写规定</w:t>
      </w:r>
    </w:p>
    <w:p>
      <w:pPr>
        <w:pStyle w:val="32"/>
        <w:rPr>
          <w:color w:val="auto"/>
        </w:rPr>
      </w:pPr>
      <w:r>
        <w:rPr>
          <w:rFonts w:hint="eastAsia"/>
          <w:color w:val="auto"/>
        </w:rPr>
        <w:t>GB 16483  化学品安全技术说明书  内容和项目顺序</w:t>
      </w:r>
    </w:p>
    <w:p>
      <w:pPr>
        <w:pStyle w:val="32"/>
        <w:rPr>
          <w:color w:val="auto"/>
        </w:rPr>
      </w:pPr>
      <w:r>
        <w:rPr>
          <w:rFonts w:hint="eastAsia"/>
          <w:color w:val="auto"/>
          <w:highlight w:val="none"/>
        </w:rPr>
        <w:t>GB/T 16804</w:t>
      </w:r>
      <w:r>
        <w:rPr>
          <w:rFonts w:hint="eastAsia"/>
          <w:color w:val="auto"/>
        </w:rPr>
        <w:t xml:space="preserve">  气瓶警示标签</w:t>
      </w:r>
    </w:p>
    <w:p>
      <w:pPr>
        <w:pStyle w:val="32"/>
        <w:rPr>
          <w:color w:val="auto"/>
        </w:rPr>
      </w:pPr>
      <w:r>
        <w:rPr>
          <w:rFonts w:hint="eastAsia"/>
          <w:color w:val="auto"/>
        </w:rPr>
        <w:t>GB 18564  汽车运输液体危险货物常压容器(罐体)通用技术条件</w:t>
      </w:r>
    </w:p>
    <w:p>
      <w:pPr>
        <w:pStyle w:val="32"/>
        <w:rPr>
          <w:color w:val="auto"/>
        </w:rPr>
      </w:pPr>
      <w:r>
        <w:rPr>
          <w:rFonts w:hint="eastAsia"/>
          <w:color w:val="auto"/>
        </w:rPr>
        <w:t>GB/T 24581  硅单晶中III、V族杂质含量的测定 低温傅立叶变换红外光谱法</w:t>
      </w:r>
    </w:p>
    <w:p>
      <w:pPr>
        <w:pStyle w:val="32"/>
        <w:rPr>
          <w:color w:val="auto"/>
        </w:rPr>
      </w:pPr>
      <w:r>
        <w:rPr>
          <w:rFonts w:hint="eastAsia"/>
          <w:color w:val="auto"/>
        </w:rPr>
        <w:t>GB/T 26571 特种气体储存期规范</w:t>
      </w:r>
    </w:p>
    <w:p>
      <w:pPr>
        <w:pStyle w:val="32"/>
        <w:rPr>
          <w:color w:val="auto"/>
        </w:rPr>
      </w:pPr>
      <w:r>
        <w:rPr>
          <w:rFonts w:hint="eastAsia"/>
          <w:color w:val="auto"/>
        </w:rPr>
        <w:t>GB/T 28654  工业三氯氢硅</w:t>
      </w:r>
    </w:p>
    <w:p>
      <w:pPr>
        <w:pStyle w:val="32"/>
        <w:rPr>
          <w:color w:val="auto"/>
        </w:rPr>
      </w:pPr>
      <w:r>
        <w:rPr>
          <w:rFonts w:hint="eastAsia"/>
          <w:color w:val="auto"/>
        </w:rPr>
        <w:t>GB/T 29056  硅外延用三氯氢硅化学分析方法 硼、铝、磷、钒、铬、锰、铁、钴、镍、铜、钼、砷和锑量的测定  电感耦合等离子体质谱法</w:t>
      </w:r>
    </w:p>
    <w:p>
      <w:pPr>
        <w:pStyle w:val="32"/>
        <w:rPr>
          <w:rFonts w:hint="eastAsia"/>
          <w:color w:val="auto"/>
        </w:rPr>
      </w:pPr>
      <w:r>
        <w:rPr>
          <w:rFonts w:hint="eastAsia"/>
          <w:color w:val="auto"/>
        </w:rPr>
        <w:t>YS/T 987  氯硅烷中碳含量的测定 气相色谱质谱联用法</w:t>
      </w:r>
    </w:p>
    <w:p>
      <w:pPr>
        <w:pStyle w:val="32"/>
        <w:rPr>
          <w:rFonts w:hint="eastAsia"/>
          <w:color w:val="auto"/>
        </w:rPr>
      </w:pPr>
      <w:r>
        <w:rPr>
          <w:rFonts w:hint="eastAsia"/>
          <w:color w:val="auto"/>
        </w:rPr>
        <w:t>YS/T 1059</w:t>
      </w:r>
      <w:r>
        <w:rPr>
          <w:rFonts w:hint="eastAsia"/>
          <w:color w:val="auto"/>
          <w:lang w:val="en-US" w:eastAsia="zh-CN"/>
        </w:rPr>
        <w:t xml:space="preserve"> </w:t>
      </w:r>
      <w:r>
        <w:rPr>
          <w:rFonts w:hint="eastAsia"/>
          <w:color w:val="auto"/>
        </w:rPr>
        <w:t xml:space="preserve"> 硅外延用三氯氢硅中总碳的测定 气相色谱法</w:t>
      </w:r>
    </w:p>
    <w:p>
      <w:pPr>
        <w:pStyle w:val="32"/>
        <w:rPr>
          <w:rFonts w:hint="eastAsia"/>
          <w:color w:val="auto"/>
        </w:rPr>
      </w:pPr>
      <w:r>
        <w:rPr>
          <w:rFonts w:hint="eastAsia"/>
          <w:color w:val="auto"/>
        </w:rPr>
        <w:t>YS/T 1060  硅外延用三氯氢硅中其他氯硅烷含量的测定 气相色谱法</w:t>
      </w:r>
    </w:p>
    <w:p>
      <w:pPr>
        <w:pStyle w:val="32"/>
        <w:rPr>
          <w:rFonts w:hint="default" w:eastAsia="宋体"/>
          <w:color w:val="auto"/>
          <w:lang w:val="en-US" w:eastAsia="zh-CN"/>
        </w:rPr>
      </w:pPr>
      <w:r>
        <w:rPr>
          <w:rFonts w:hint="eastAsia"/>
          <w:color w:val="auto"/>
          <w:lang w:val="en-US" w:eastAsia="zh-CN"/>
        </w:rPr>
        <w:t>TSG 23  气瓶</w:t>
      </w:r>
      <w:r>
        <w:rPr>
          <w:rFonts w:hint="eastAsia"/>
          <w:color w:val="auto"/>
        </w:rPr>
        <w:t>安全技术规程</w:t>
      </w:r>
    </w:p>
    <w:p>
      <w:pPr>
        <w:pStyle w:val="54"/>
        <w:spacing w:before="312" w:after="312"/>
        <w:ind w:left="0"/>
        <w:rPr>
          <w:color w:val="auto"/>
        </w:rPr>
      </w:pPr>
      <w:r>
        <w:rPr>
          <w:rFonts w:hint="eastAsia"/>
          <w:color w:val="auto"/>
        </w:rPr>
        <w:t>术语和定义</w:t>
      </w:r>
    </w:p>
    <w:p>
      <w:pPr>
        <w:pStyle w:val="32"/>
        <w:rPr>
          <w:color w:val="auto"/>
        </w:rPr>
      </w:pPr>
      <w:r>
        <w:rPr>
          <w:rFonts w:hint="eastAsia"/>
          <w:color w:val="auto"/>
        </w:rPr>
        <w:t>本文件没有需要界定的术语和定义。</w:t>
      </w:r>
    </w:p>
    <w:p>
      <w:pPr>
        <w:pStyle w:val="54"/>
        <w:spacing w:before="312" w:after="312"/>
        <w:ind w:left="0"/>
        <w:rPr>
          <w:color w:val="auto"/>
        </w:rPr>
      </w:pPr>
      <w:r>
        <w:rPr>
          <w:rFonts w:hint="eastAsia"/>
          <w:color w:val="auto"/>
        </w:rPr>
        <w:t>技术要求</w:t>
      </w:r>
    </w:p>
    <w:p>
      <w:pPr>
        <w:pStyle w:val="51"/>
        <w:spacing w:before="156" w:after="156"/>
        <w:ind w:left="0"/>
        <w:rPr>
          <w:color w:val="auto"/>
        </w:rPr>
      </w:pPr>
      <w:r>
        <w:rPr>
          <w:rFonts w:hint="eastAsia"/>
          <w:color w:val="auto"/>
          <w:lang w:eastAsia="zh-CN"/>
        </w:rPr>
        <w:t>技术要求</w:t>
      </w:r>
    </w:p>
    <w:p>
      <w:pPr>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szCs w:val="21"/>
        </w:rPr>
        <w:t>产品的</w:t>
      </w:r>
      <w:r>
        <w:rPr>
          <w:rFonts w:hint="eastAsia" w:asciiTheme="minorEastAsia" w:hAnsiTheme="minorEastAsia" w:eastAsiaTheme="minorEastAsia"/>
          <w:color w:val="auto"/>
          <w:szCs w:val="21"/>
          <w:lang w:eastAsia="zh-CN"/>
        </w:rPr>
        <w:t>技术指标</w:t>
      </w:r>
      <w:r>
        <w:rPr>
          <w:rFonts w:hint="eastAsia" w:asciiTheme="minorEastAsia" w:hAnsiTheme="minorEastAsia" w:eastAsiaTheme="minorEastAsia"/>
          <w:color w:val="auto"/>
          <w:szCs w:val="21"/>
        </w:rPr>
        <w:t>应符合表1的规定</w:t>
      </w:r>
      <w:r>
        <w:rPr>
          <w:rFonts w:hint="eastAsia" w:asciiTheme="minorEastAsia" w:hAnsiTheme="minorEastAsia" w:eastAsiaTheme="minorEastAsia"/>
          <w:color w:val="auto"/>
          <w:kern w:val="0"/>
          <w:szCs w:val="21"/>
        </w:rPr>
        <w:t>。</w:t>
      </w:r>
    </w:p>
    <w:p>
      <w:pPr>
        <w:spacing w:before="156" w:beforeLines="50" w:after="156" w:afterLines="50"/>
        <w:jc w:val="center"/>
        <w:rPr>
          <w:rFonts w:hint="eastAsia" w:ascii="黑体" w:hAnsi="黑体" w:eastAsia="黑体"/>
          <w:color w:val="auto"/>
          <w:szCs w:val="21"/>
          <w:lang w:eastAsia="zh-CN"/>
        </w:rPr>
      </w:pPr>
      <w:r>
        <w:rPr>
          <w:rFonts w:hint="eastAsia" w:ascii="黑体" w:hAnsi="黑体" w:eastAsia="黑体"/>
          <w:color w:val="auto"/>
          <w:szCs w:val="21"/>
        </w:rPr>
        <w:t xml:space="preserve">表1  </w:t>
      </w:r>
      <w:r>
        <w:rPr>
          <w:rFonts w:hint="eastAsia" w:ascii="黑体" w:hAnsi="黑体" w:eastAsia="黑体"/>
          <w:color w:val="auto"/>
          <w:szCs w:val="21"/>
          <w:lang w:eastAsia="zh-CN"/>
        </w:rPr>
        <w:t>技术指标</w:t>
      </w:r>
    </w:p>
    <w:tbl>
      <w:tblPr>
        <w:tblStyle w:val="42"/>
        <w:tblW w:w="3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bCs/>
                <w:color w:val="auto"/>
                <w:szCs w:val="21"/>
              </w:rPr>
            </w:pPr>
            <w:r>
              <w:rPr>
                <w:rFonts w:hint="eastAsia" w:ascii="宋体" w:hAnsi="宋体" w:cs="宋体"/>
                <w:bCs/>
                <w:color w:val="auto"/>
                <w:szCs w:val="21"/>
              </w:rPr>
              <w:t>项目</w:t>
            </w:r>
          </w:p>
        </w:tc>
        <w:tc>
          <w:tcPr>
            <w:tcW w:w="2238" w:type="pct"/>
            <w:vAlign w:val="center"/>
          </w:tcPr>
          <w:p>
            <w:pPr>
              <w:jc w:val="center"/>
              <w:rPr>
                <w:rFonts w:ascii="宋体" w:hAnsi="宋体" w:cs="宋体"/>
                <w:bCs/>
                <w:color w:val="auto"/>
                <w:szCs w:val="21"/>
              </w:rPr>
            </w:pPr>
            <w:r>
              <w:rPr>
                <w:rFonts w:hint="eastAsia" w:ascii="宋体" w:hAnsi="宋体" w:cs="宋体"/>
                <w:bCs/>
                <w:color w:val="auto"/>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SiHCl</w:t>
            </w:r>
            <w:r>
              <w:rPr>
                <w:rFonts w:hint="eastAsia" w:ascii="宋体" w:hAnsi="宋体" w:cs="宋体"/>
                <w:color w:val="auto"/>
                <w:szCs w:val="21"/>
                <w:vertAlign w:val="subscript"/>
              </w:rPr>
              <w:t>3</w:t>
            </w:r>
            <w:r>
              <w:rPr>
                <w:rFonts w:hint="eastAsia" w:ascii="宋体" w:hAnsi="宋体" w:cs="宋体"/>
                <w:color w:val="auto"/>
                <w:szCs w:val="21"/>
              </w:rPr>
              <w:t>含量，%</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shd w:val="clear" w:color="auto" w:fill="auto"/>
            <w:vAlign w:val="center"/>
          </w:tcPr>
          <w:p>
            <w:pPr>
              <w:jc w:val="center"/>
              <w:rPr>
                <w:rFonts w:ascii="宋体" w:hAnsi="宋体" w:cs="宋体"/>
                <w:color w:val="auto"/>
                <w:szCs w:val="21"/>
              </w:rPr>
            </w:pPr>
            <w:r>
              <w:rPr>
                <w:rFonts w:hint="eastAsia" w:ascii="宋体" w:hAnsi="宋体" w:cs="宋体"/>
                <w:color w:val="auto"/>
                <w:szCs w:val="21"/>
              </w:rPr>
              <w:t>其他氯硅烷，%</w:t>
            </w:r>
          </w:p>
        </w:tc>
        <w:tc>
          <w:tcPr>
            <w:tcW w:w="2238" w:type="pct"/>
            <w:shd w:val="clear" w:color="auto" w:fill="auto"/>
            <w:vAlign w:val="center"/>
          </w:tcPr>
          <w:p>
            <w:pPr>
              <w:jc w:val="center"/>
              <w:rPr>
                <w:rFonts w:ascii="宋体" w:hAnsi="宋体" w:cs="宋体"/>
                <w:color w:val="auto"/>
                <w:szCs w:val="21"/>
              </w:rPr>
            </w:pPr>
            <w:r>
              <w:rPr>
                <w:rFonts w:hint="eastAsia" w:ascii="宋体" w:hAnsi="宋体" w:cs="宋体"/>
                <w:color w:val="auto"/>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Al，ng/g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Cr，ng/g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Cu，ng/g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Fe，ng/g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Ni，ng/g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Zn，ng/g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Ca，ng/g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Co，ng/g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Mn，ng/g</w:t>
            </w:r>
          </w:p>
        </w:tc>
        <w:tc>
          <w:tcPr>
            <w:tcW w:w="2238" w:type="pct"/>
          </w:tcPr>
          <w:p>
            <w:pPr>
              <w:jc w:val="center"/>
              <w:rPr>
                <w:rFonts w:ascii="宋体" w:hAnsi="宋体" w:cs="宋体"/>
                <w:color w:val="auto"/>
                <w:szCs w:val="21"/>
              </w:rPr>
            </w:pPr>
            <w:r>
              <w:rPr>
                <w:rFonts w:hint="eastAsia"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V，ng/g</w:t>
            </w:r>
          </w:p>
        </w:tc>
        <w:tc>
          <w:tcPr>
            <w:tcW w:w="2238" w:type="pct"/>
          </w:tcPr>
          <w:p>
            <w:pPr>
              <w:jc w:val="center"/>
              <w:rPr>
                <w:rFonts w:ascii="宋体" w:hAnsi="宋体" w:cs="宋体"/>
                <w:color w:val="auto"/>
                <w:szCs w:val="21"/>
              </w:rPr>
            </w:pPr>
            <w:r>
              <w:rPr>
                <w:rFonts w:hint="eastAsia"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Mo，ng/g</w:t>
            </w:r>
          </w:p>
        </w:tc>
        <w:tc>
          <w:tcPr>
            <w:tcW w:w="2238" w:type="pct"/>
          </w:tcPr>
          <w:p>
            <w:pPr>
              <w:jc w:val="center"/>
              <w:rPr>
                <w:rFonts w:ascii="宋体" w:hAnsi="宋体" w:cs="宋体"/>
                <w:color w:val="auto"/>
                <w:szCs w:val="21"/>
              </w:rPr>
            </w:pPr>
            <w:r>
              <w:rPr>
                <w:rFonts w:hint="eastAsia"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lang w:val="en-US" w:eastAsia="zh-CN"/>
              </w:rPr>
              <w:t>C</w:t>
            </w:r>
            <w:r>
              <w:rPr>
                <w:rFonts w:hint="eastAsia" w:ascii="宋体" w:hAnsi="宋体" w:cs="宋体"/>
                <w:color w:val="auto"/>
                <w:szCs w:val="21"/>
              </w:rPr>
              <w:t>，μg/g</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施主杂质含量（P+As+Sb），</w:t>
            </w:r>
            <w:r>
              <w:rPr>
                <w:rFonts w:ascii="宋体" w:hAnsi="宋体" w:cs="宋体"/>
                <w:color w:val="auto"/>
                <w:szCs w:val="21"/>
              </w:rPr>
              <w:t>10</w:t>
            </w:r>
            <w:r>
              <w:rPr>
                <w:rFonts w:ascii="宋体" w:hAnsi="宋体" w:cs="宋体"/>
                <w:color w:val="auto"/>
                <w:szCs w:val="21"/>
                <w:vertAlign w:val="superscript"/>
              </w:rPr>
              <w:t>-9</w:t>
            </w:r>
            <w:r>
              <w:rPr>
                <w:rFonts w:hint="eastAsia" w:ascii="宋体" w:hAnsi="宋体" w:cs="宋体"/>
                <w:color w:val="auto"/>
                <w:szCs w:val="21"/>
                <w:vertAlign w:val="baseline"/>
              </w:rPr>
              <w:t>（</w:t>
            </w:r>
            <w:r>
              <w:rPr>
                <w:rFonts w:ascii="宋体" w:hAnsi="宋体" w:cs="宋体"/>
                <w:color w:val="auto"/>
                <w:szCs w:val="21"/>
                <w:vertAlign w:val="baseline"/>
              </w:rPr>
              <w:t>ppba</w:t>
            </w:r>
            <w:r>
              <w:rPr>
                <w:rFonts w:hint="eastAsia" w:ascii="宋体" w:hAnsi="宋体" w:cs="宋体"/>
                <w:color w:val="auto"/>
                <w:szCs w:val="21"/>
                <w:vertAlign w:val="baseline"/>
              </w:rPr>
              <w:t>））</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受主杂质含量（B+Al），</w:t>
            </w:r>
            <w:r>
              <w:rPr>
                <w:rFonts w:ascii="宋体" w:hAnsi="宋体" w:cs="宋体"/>
                <w:color w:val="auto"/>
                <w:szCs w:val="21"/>
              </w:rPr>
              <w:t>10</w:t>
            </w:r>
            <w:r>
              <w:rPr>
                <w:rFonts w:hint="eastAsia" w:ascii="宋体" w:hAnsi="宋体" w:cs="宋体"/>
                <w:color w:val="auto"/>
                <w:szCs w:val="21"/>
                <w:vertAlign w:val="superscript"/>
              </w:rPr>
              <w:t>-</w:t>
            </w:r>
            <w:r>
              <w:rPr>
                <w:rFonts w:ascii="宋体" w:hAnsi="宋体" w:cs="宋体"/>
                <w:color w:val="auto"/>
                <w:szCs w:val="21"/>
                <w:vertAlign w:val="superscript"/>
              </w:rPr>
              <w:t>9</w:t>
            </w:r>
            <w:r>
              <w:rPr>
                <w:rFonts w:hint="eastAsia" w:ascii="宋体" w:hAnsi="宋体" w:cs="宋体"/>
                <w:color w:val="auto"/>
                <w:szCs w:val="21"/>
              </w:rPr>
              <w:t>（ppba）</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2" w:type="pct"/>
            <w:vAlign w:val="center"/>
          </w:tcPr>
          <w:p>
            <w:pPr>
              <w:jc w:val="center"/>
              <w:rPr>
                <w:rFonts w:ascii="宋体" w:hAnsi="宋体" w:cs="宋体"/>
                <w:color w:val="auto"/>
                <w:szCs w:val="21"/>
              </w:rPr>
            </w:pPr>
            <w:r>
              <w:rPr>
                <w:rFonts w:hint="eastAsia" w:ascii="宋体" w:hAnsi="宋体" w:cs="宋体"/>
                <w:color w:val="auto"/>
                <w:szCs w:val="21"/>
              </w:rPr>
              <w:t>电阻率，Ω.cm</w:t>
            </w:r>
          </w:p>
        </w:tc>
        <w:tc>
          <w:tcPr>
            <w:tcW w:w="2238" w:type="pct"/>
            <w:vAlign w:val="center"/>
          </w:tcPr>
          <w:p>
            <w:pPr>
              <w:jc w:val="center"/>
              <w:rPr>
                <w:rFonts w:ascii="宋体" w:hAnsi="宋体" w:cs="宋体"/>
                <w:color w:val="auto"/>
                <w:szCs w:val="21"/>
              </w:rPr>
            </w:pPr>
            <w:r>
              <w:rPr>
                <w:rFonts w:hint="eastAsia" w:ascii="宋体" w:hAnsi="宋体" w:cs="宋体"/>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jc w:val="both"/>
              <w:rPr>
                <w:rFonts w:ascii="宋体" w:hAnsi="宋体" w:cs="宋体"/>
                <w:color w:val="auto"/>
                <w:szCs w:val="21"/>
              </w:rPr>
            </w:pPr>
            <w:r>
              <w:rPr>
                <w:rFonts w:hint="eastAsia" w:hAnsi="宋体" w:cs="宋体"/>
                <w:color w:val="auto"/>
              </w:rPr>
              <w:t>注</w:t>
            </w:r>
            <w:r>
              <w:rPr>
                <w:rFonts w:hAnsi="宋体" w:cs="宋体"/>
                <w:color w:val="auto"/>
              </w:rPr>
              <w:t>1：</w:t>
            </w:r>
            <w:r>
              <w:rPr>
                <w:rFonts w:hint="eastAsia" w:ascii="黑体" w:hAnsi="黑体" w:eastAsia="黑体" w:cs="黑体"/>
                <w:color w:val="auto"/>
                <w:szCs w:val="21"/>
              </w:rPr>
              <w:t>施主、受主杂质含量10</w:t>
            </w:r>
            <w:r>
              <w:rPr>
                <w:rFonts w:hint="eastAsia" w:ascii="黑体" w:hAnsi="黑体" w:eastAsia="黑体" w:cs="黑体"/>
                <w:color w:val="auto"/>
                <w:szCs w:val="21"/>
                <w:vertAlign w:val="superscript"/>
              </w:rPr>
              <w:t>-9</w:t>
            </w:r>
            <w:r>
              <w:rPr>
                <w:rFonts w:hint="eastAsia" w:ascii="黑体" w:hAnsi="黑体" w:eastAsia="黑体" w:cs="黑体"/>
                <w:color w:val="auto"/>
                <w:szCs w:val="21"/>
              </w:rPr>
              <w:t>（ppba）等同5×10</w:t>
            </w:r>
            <w:r>
              <w:rPr>
                <w:rFonts w:hint="eastAsia" w:ascii="黑体" w:hAnsi="黑体" w:eastAsia="黑体" w:cs="黑体"/>
                <w:color w:val="auto"/>
                <w:szCs w:val="21"/>
                <w:vertAlign w:val="superscript"/>
              </w:rPr>
              <w:t>13</w:t>
            </w:r>
            <w:r>
              <w:rPr>
                <w:rFonts w:hint="eastAsia" w:ascii="黑体" w:hAnsi="黑体" w:eastAsia="黑体" w:cs="黑体"/>
                <w:color w:val="auto"/>
                <w:szCs w:val="21"/>
              </w:rPr>
              <w:t>atoms/cm</w:t>
            </w:r>
            <w:r>
              <w:rPr>
                <w:rFonts w:hint="eastAsia" w:ascii="黑体" w:hAnsi="黑体" w:eastAsia="黑体" w:cs="黑体"/>
                <w:color w:val="auto"/>
                <w:szCs w:val="21"/>
                <w:vertAlign w:val="superscript"/>
              </w:rPr>
              <w:t>3</w:t>
            </w:r>
            <w:r>
              <w:rPr>
                <w:rFonts w:hint="eastAsia" w:ascii="黑体" w:hAnsi="黑体" w:eastAsia="黑体" w:cs="黑体"/>
                <w:color w:val="auto"/>
                <w:szCs w:val="21"/>
              </w:rPr>
              <w:t>。</w:t>
            </w:r>
          </w:p>
        </w:tc>
      </w:tr>
    </w:tbl>
    <w:p>
      <w:pPr>
        <w:pStyle w:val="51"/>
        <w:spacing w:before="156" w:after="156"/>
        <w:ind w:left="0"/>
        <w:rPr>
          <w:rFonts w:hAnsi="黑体"/>
          <w:color w:val="auto"/>
        </w:rPr>
      </w:pPr>
      <w:r>
        <w:rPr>
          <w:rFonts w:hint="eastAsia" w:hAnsi="黑体"/>
          <w:color w:val="auto"/>
        </w:rPr>
        <w:t>外观质量</w:t>
      </w:r>
    </w:p>
    <w:p>
      <w:pPr>
        <w:pStyle w:val="32"/>
        <w:rPr>
          <w:color w:val="auto"/>
        </w:rPr>
      </w:pPr>
      <w:r>
        <w:rPr>
          <w:rFonts w:hint="eastAsia"/>
          <w:color w:val="auto"/>
        </w:rPr>
        <w:t>产品应为无色透明液体。</w:t>
      </w:r>
    </w:p>
    <w:p>
      <w:pPr>
        <w:pStyle w:val="51"/>
        <w:spacing w:before="156" w:after="156"/>
        <w:ind w:left="0"/>
        <w:rPr>
          <w:rFonts w:hAnsi="黑体"/>
          <w:color w:val="auto"/>
        </w:rPr>
      </w:pPr>
      <w:r>
        <w:rPr>
          <w:rFonts w:hint="eastAsia" w:hAnsi="黑体"/>
          <w:color w:val="auto"/>
        </w:rPr>
        <w:t>其他</w:t>
      </w:r>
    </w:p>
    <w:p>
      <w:pPr>
        <w:pStyle w:val="32"/>
        <w:ind w:left="576" w:firstLine="0" w:firstLineChars="0"/>
        <w:rPr>
          <w:color w:val="auto"/>
          <w:szCs w:val="21"/>
        </w:rPr>
      </w:pPr>
      <w:r>
        <w:rPr>
          <w:rFonts w:hint="eastAsia"/>
          <w:color w:val="auto"/>
          <w:szCs w:val="21"/>
        </w:rPr>
        <w:t>需方如对</w:t>
      </w:r>
      <w:r>
        <w:rPr>
          <w:rFonts w:hint="eastAsia" w:hAnsi="宋体" w:cs="宋体"/>
          <w:color w:val="auto"/>
        </w:rPr>
        <w:t>产品</w:t>
      </w:r>
      <w:r>
        <w:rPr>
          <w:rFonts w:hint="eastAsia"/>
          <w:color w:val="auto"/>
          <w:szCs w:val="21"/>
        </w:rPr>
        <w:t>有其他要求时，由供需双方商定。</w:t>
      </w:r>
    </w:p>
    <w:p>
      <w:pPr>
        <w:pStyle w:val="54"/>
        <w:spacing w:before="312" w:after="312"/>
        <w:ind w:left="0"/>
        <w:rPr>
          <w:rFonts w:hAnsi="黑体"/>
          <w:color w:val="auto"/>
          <w:szCs w:val="21"/>
        </w:rPr>
      </w:pPr>
      <w:r>
        <w:rPr>
          <w:rFonts w:hint="eastAsia" w:hAnsi="黑体"/>
          <w:color w:val="auto"/>
          <w:szCs w:val="21"/>
        </w:rPr>
        <w:t>试验方法</w:t>
      </w:r>
    </w:p>
    <w:p>
      <w:pPr>
        <w:pStyle w:val="51"/>
        <w:spacing w:beforeLines="0" w:afterLines="0"/>
        <w:ind w:left="0"/>
        <w:rPr>
          <w:rFonts w:ascii="宋体" w:hAnsi="宋体" w:eastAsia="宋体" w:cs="宋体"/>
          <w:color w:val="auto"/>
          <w:szCs w:val="20"/>
        </w:rPr>
      </w:pPr>
      <w:r>
        <w:rPr>
          <w:rFonts w:hint="eastAsia" w:ascii="宋体" w:hAnsi="宋体" w:eastAsia="宋体" w:cs="宋体"/>
          <w:color w:val="auto"/>
          <w:szCs w:val="20"/>
        </w:rPr>
        <w:t>产品的</w:t>
      </w:r>
      <w:r>
        <w:rPr>
          <w:rFonts w:hint="eastAsia" w:ascii="宋体" w:hAnsi="宋体" w:eastAsia="宋体" w:cs="宋体"/>
          <w:color w:val="auto"/>
        </w:rPr>
        <w:t>SiHCl</w:t>
      </w:r>
      <w:r>
        <w:rPr>
          <w:rFonts w:hint="eastAsia" w:ascii="宋体" w:hAnsi="宋体" w:eastAsia="宋体" w:cs="宋体"/>
          <w:color w:val="auto"/>
          <w:vertAlign w:val="subscript"/>
        </w:rPr>
        <w:t>3</w:t>
      </w:r>
      <w:r>
        <w:rPr>
          <w:rFonts w:hint="eastAsia" w:ascii="宋体" w:hAnsi="宋体" w:eastAsia="宋体" w:cs="宋体"/>
          <w:color w:val="auto"/>
        </w:rPr>
        <w:t>含量及其他氯硅烷含量的测定按GB/T 28654和YS/T 1060规定进行</w:t>
      </w:r>
      <w:r>
        <w:rPr>
          <w:rFonts w:hint="eastAsia" w:ascii="宋体" w:hAnsi="宋体" w:eastAsia="宋体" w:cs="宋体"/>
          <w:color w:val="auto"/>
          <w:szCs w:val="20"/>
        </w:rPr>
        <w:t>。</w:t>
      </w:r>
    </w:p>
    <w:p>
      <w:pPr>
        <w:pStyle w:val="51"/>
        <w:spacing w:beforeLines="0" w:afterLines="0"/>
        <w:ind w:left="0"/>
        <w:rPr>
          <w:rFonts w:ascii="宋体" w:eastAsia="宋体"/>
          <w:color w:val="auto"/>
          <w:szCs w:val="20"/>
        </w:rPr>
      </w:pPr>
      <w:r>
        <w:rPr>
          <w:rFonts w:hint="eastAsia" w:ascii="宋体" w:hAnsi="宋体" w:eastAsia="宋体" w:cs="宋体"/>
          <w:color w:val="auto"/>
          <w:szCs w:val="20"/>
        </w:rPr>
        <w:t>产品的</w:t>
      </w:r>
      <w:r>
        <w:rPr>
          <w:rFonts w:hint="eastAsia" w:ascii="宋体" w:eastAsia="宋体"/>
          <w:color w:val="auto"/>
          <w:szCs w:val="20"/>
        </w:rPr>
        <w:t>Al、Cr、Cu、Fe、Ni、Zn、Ca、Co、</w:t>
      </w:r>
      <w:r>
        <w:rPr>
          <w:rFonts w:hint="eastAsia" w:ascii="宋体" w:hAnsi="宋体" w:eastAsia="宋体" w:cs="宋体"/>
          <w:color w:val="auto"/>
          <w:sz w:val="21"/>
          <w:szCs w:val="21"/>
        </w:rPr>
        <w:t>Mo</w:t>
      </w:r>
      <w:r>
        <w:rPr>
          <w:rFonts w:hint="eastAsia" w:ascii="宋体" w:eastAsia="宋体"/>
          <w:color w:val="auto"/>
          <w:szCs w:val="21"/>
        </w:rPr>
        <w:t>、</w:t>
      </w:r>
      <w:r>
        <w:rPr>
          <w:rFonts w:ascii="宋体" w:hAnsi="宋体" w:eastAsia="宋体" w:cs="宋体"/>
          <w:color w:val="auto"/>
          <w:sz w:val="21"/>
          <w:szCs w:val="21"/>
        </w:rPr>
        <w:t>Mn</w:t>
      </w:r>
      <w:r>
        <w:rPr>
          <w:rFonts w:hint="eastAsia" w:ascii="宋体" w:eastAsia="宋体"/>
          <w:color w:val="auto"/>
          <w:szCs w:val="21"/>
        </w:rPr>
        <w:t>、</w:t>
      </w:r>
      <w:r>
        <w:rPr>
          <w:rFonts w:ascii="宋体" w:hAnsi="宋体" w:eastAsia="宋体" w:cs="宋体"/>
          <w:color w:val="auto"/>
          <w:sz w:val="21"/>
          <w:szCs w:val="21"/>
        </w:rPr>
        <w:t>V</w:t>
      </w:r>
      <w:r>
        <w:rPr>
          <w:rFonts w:hint="eastAsia" w:ascii="宋体" w:eastAsia="宋体"/>
          <w:color w:val="auto"/>
          <w:szCs w:val="20"/>
        </w:rPr>
        <w:t>含量的测定按GB/T 29056规定进行。</w:t>
      </w:r>
    </w:p>
    <w:p>
      <w:pPr>
        <w:pStyle w:val="51"/>
        <w:spacing w:beforeLines="0" w:afterLines="0"/>
        <w:ind w:left="0"/>
        <w:rPr>
          <w:rFonts w:ascii="宋体" w:eastAsia="宋体"/>
          <w:color w:val="auto"/>
          <w:szCs w:val="20"/>
        </w:rPr>
      </w:pPr>
      <w:r>
        <w:rPr>
          <w:rFonts w:hint="eastAsia" w:ascii="宋体" w:eastAsia="宋体"/>
          <w:color w:val="auto"/>
          <w:szCs w:val="20"/>
        </w:rPr>
        <w:t>产品的</w:t>
      </w:r>
      <w:r>
        <w:rPr>
          <w:rFonts w:hint="eastAsia" w:ascii="宋体" w:eastAsia="宋体"/>
          <w:color w:val="auto"/>
          <w:szCs w:val="20"/>
          <w:lang w:val="en-US" w:eastAsia="zh-CN"/>
        </w:rPr>
        <w:t>C</w:t>
      </w:r>
      <w:r>
        <w:rPr>
          <w:rFonts w:hint="eastAsia" w:ascii="宋体" w:eastAsia="宋体"/>
          <w:color w:val="auto"/>
          <w:szCs w:val="20"/>
        </w:rPr>
        <w:t>含量的测定按YS/T 987</w:t>
      </w:r>
      <w:r>
        <w:rPr>
          <w:rFonts w:hint="eastAsia" w:ascii="宋体" w:eastAsia="宋体"/>
          <w:color w:val="auto"/>
          <w:szCs w:val="20"/>
          <w:lang w:eastAsia="zh-CN"/>
        </w:rPr>
        <w:t>或</w:t>
      </w:r>
      <w:r>
        <w:rPr>
          <w:rFonts w:hint="eastAsia" w:ascii="宋体" w:hAnsi="宋体" w:eastAsia="宋体" w:cs="宋体"/>
          <w:color w:val="auto"/>
        </w:rPr>
        <w:t>YS/T 1059</w:t>
      </w:r>
      <w:r>
        <w:rPr>
          <w:rFonts w:hint="eastAsia" w:ascii="宋体" w:eastAsia="宋体"/>
          <w:color w:val="auto"/>
          <w:szCs w:val="20"/>
        </w:rPr>
        <w:t>规定进行。</w:t>
      </w:r>
    </w:p>
    <w:p>
      <w:pPr>
        <w:pStyle w:val="51"/>
        <w:spacing w:beforeLines="0" w:afterLines="0"/>
        <w:ind w:left="0"/>
        <w:rPr>
          <w:rFonts w:ascii="宋体" w:eastAsia="宋体"/>
          <w:color w:val="auto"/>
          <w:szCs w:val="20"/>
        </w:rPr>
      </w:pPr>
      <w:r>
        <w:rPr>
          <w:rFonts w:hint="eastAsia" w:ascii="宋体" w:eastAsia="宋体"/>
          <w:color w:val="auto"/>
          <w:szCs w:val="20"/>
        </w:rPr>
        <w:t>产品的施主杂质含量和受主杂质含量的测定，制样后按GB/T 24581规定或按供需双方商定的其他方法进行</w:t>
      </w:r>
      <w:r>
        <w:rPr>
          <w:rFonts w:ascii="宋体" w:eastAsia="宋体"/>
          <w:color w:val="auto"/>
          <w:szCs w:val="20"/>
        </w:rPr>
        <w:t>。</w:t>
      </w:r>
    </w:p>
    <w:p>
      <w:pPr>
        <w:pStyle w:val="51"/>
        <w:spacing w:beforeLines="0" w:afterLines="0"/>
        <w:ind w:left="0"/>
        <w:rPr>
          <w:rFonts w:ascii="宋体" w:hAnsi="宋体" w:eastAsia="宋体"/>
          <w:color w:val="auto"/>
        </w:rPr>
      </w:pPr>
      <w:r>
        <w:rPr>
          <w:rFonts w:hint="eastAsia" w:ascii="宋体" w:eastAsia="宋体"/>
          <w:color w:val="auto"/>
          <w:szCs w:val="20"/>
        </w:rPr>
        <w:t>产品的电阻率的测定，制样后按GB/T 1551规定或按供需双方商定的其他方法进行</w:t>
      </w:r>
      <w:r>
        <w:rPr>
          <w:rFonts w:hint="eastAsia" w:ascii="宋体" w:hAnsi="宋体" w:eastAsia="宋体"/>
          <w:color w:val="auto"/>
        </w:rPr>
        <w:t>。</w:t>
      </w:r>
    </w:p>
    <w:p>
      <w:pPr>
        <w:pStyle w:val="51"/>
        <w:spacing w:beforeLines="0" w:afterLines="0"/>
        <w:ind w:left="0"/>
        <w:rPr>
          <w:rFonts w:ascii="宋体" w:eastAsia="宋体"/>
          <w:color w:val="auto"/>
          <w:szCs w:val="20"/>
        </w:rPr>
      </w:pPr>
      <w:r>
        <w:rPr>
          <w:rFonts w:hint="eastAsia" w:ascii="宋体" w:eastAsia="宋体"/>
          <w:color w:val="auto"/>
          <w:szCs w:val="20"/>
        </w:rPr>
        <w:t>产品的外观质量在自然光下，用目视法检查。</w:t>
      </w:r>
    </w:p>
    <w:p>
      <w:pPr>
        <w:pStyle w:val="54"/>
        <w:spacing w:before="312" w:after="312"/>
        <w:ind w:left="0"/>
        <w:rPr>
          <w:rFonts w:hAnsi="黑体"/>
          <w:color w:val="auto"/>
          <w:szCs w:val="21"/>
        </w:rPr>
      </w:pPr>
      <w:r>
        <w:rPr>
          <w:rFonts w:hint="eastAsia" w:hAnsi="黑体"/>
          <w:color w:val="auto"/>
          <w:szCs w:val="21"/>
        </w:rPr>
        <w:t>检验规则</w:t>
      </w:r>
    </w:p>
    <w:p>
      <w:pPr>
        <w:pStyle w:val="51"/>
        <w:spacing w:before="156" w:after="156"/>
        <w:ind w:left="0"/>
        <w:rPr>
          <w:rFonts w:hAnsi="黑体"/>
          <w:color w:val="auto"/>
        </w:rPr>
      </w:pPr>
      <w:r>
        <w:rPr>
          <w:rFonts w:hint="eastAsia" w:hAnsi="黑体"/>
          <w:color w:val="auto"/>
        </w:rPr>
        <w:t>检査和验收</w:t>
      </w:r>
    </w:p>
    <w:p>
      <w:pPr>
        <w:pStyle w:val="168"/>
        <w:numPr>
          <w:ilvl w:val="2"/>
          <w:numId w:val="3"/>
        </w:numPr>
        <w:ind w:left="720" w:hanging="720" w:firstLineChars="0"/>
        <w:rPr>
          <w:rFonts w:ascii="宋体" w:hAnsi="宋体"/>
          <w:color w:val="auto"/>
        </w:rPr>
      </w:pPr>
      <w:r>
        <w:rPr>
          <w:rFonts w:hint="eastAsia" w:ascii="宋体" w:hAnsi="宋体"/>
          <w:color w:val="auto"/>
        </w:rPr>
        <w:t>产品应由供方技术监督部门或第三方进行检验，保证产品质量符合本文件及合同（或订货单）的规定，并填写质量证明书。</w:t>
      </w:r>
    </w:p>
    <w:p>
      <w:pPr>
        <w:pStyle w:val="168"/>
        <w:numPr>
          <w:ilvl w:val="2"/>
          <w:numId w:val="3"/>
        </w:numPr>
        <w:ind w:left="720" w:hanging="720" w:firstLineChars="0"/>
        <w:rPr>
          <w:rFonts w:ascii="宋体" w:hAnsi="宋体"/>
          <w:color w:val="auto"/>
        </w:rPr>
      </w:pPr>
      <w:r>
        <w:rPr>
          <w:rFonts w:hint="eastAsia" w:ascii="宋体" w:hAnsi="宋体"/>
          <w:color w:val="auto"/>
        </w:rPr>
        <w:t>需方可对收到的产品按本文件的规定或双方认同的方法进行检验，如检验结果与本文件及合同（或订货单）的规定不符时，应在收到产品之日起30日内，以书面形式向供方提出，由供需双方协商解决，如需仲裁，仲裁取样和检测由供需双方共同委托仲裁机构进行。</w:t>
      </w:r>
    </w:p>
    <w:p>
      <w:pPr>
        <w:pStyle w:val="51"/>
        <w:spacing w:before="156" w:after="156"/>
        <w:ind w:left="0"/>
        <w:rPr>
          <w:rFonts w:hAnsi="黑体"/>
          <w:color w:val="auto"/>
        </w:rPr>
      </w:pPr>
      <w:r>
        <w:rPr>
          <w:rFonts w:hint="eastAsia" w:hAnsi="黑体"/>
          <w:color w:val="auto"/>
        </w:rPr>
        <w:t>组批</w:t>
      </w:r>
    </w:p>
    <w:p>
      <w:pPr>
        <w:pStyle w:val="32"/>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同一生产线连续稳定生产的三氯氢硅产品为一批</w:t>
      </w:r>
      <w:r>
        <w:rPr>
          <w:rFonts w:hint="eastAsia" w:asciiTheme="minorEastAsia" w:hAnsiTheme="minorEastAsia" w:eastAsiaTheme="minorEastAsia"/>
          <w:color w:val="auto"/>
          <w:szCs w:val="21"/>
          <w:lang w:eastAsia="zh-CN"/>
        </w:rPr>
        <w:t>，也可按产品贮罐组批。</w:t>
      </w:r>
    </w:p>
    <w:p>
      <w:pPr>
        <w:pStyle w:val="51"/>
        <w:spacing w:before="156" w:after="156"/>
        <w:ind w:left="0"/>
        <w:rPr>
          <w:color w:val="auto"/>
        </w:rPr>
      </w:pPr>
      <w:r>
        <w:rPr>
          <w:rFonts w:hint="eastAsia"/>
          <w:color w:val="auto"/>
        </w:rPr>
        <w:t>检验项目</w:t>
      </w:r>
    </w:p>
    <w:p>
      <w:pPr>
        <w:pStyle w:val="168"/>
        <w:numPr>
          <w:ilvl w:val="2"/>
          <w:numId w:val="3"/>
        </w:numPr>
        <w:ind w:left="720" w:hanging="720" w:firstLineChars="0"/>
        <w:rPr>
          <w:rFonts w:ascii="宋体" w:hAnsi="宋体"/>
          <w:color w:val="auto"/>
        </w:rPr>
      </w:pPr>
      <w:r>
        <w:rPr>
          <w:rFonts w:hint="eastAsia" w:ascii="宋体" w:hAnsi="宋体"/>
          <w:color w:val="auto"/>
        </w:rPr>
        <w:t>每批产品应对化学成分、外观质量进行检验。</w:t>
      </w:r>
    </w:p>
    <w:p>
      <w:pPr>
        <w:pStyle w:val="51"/>
        <w:spacing w:before="156" w:after="156"/>
        <w:ind w:left="0"/>
        <w:rPr>
          <w:rFonts w:hAnsi="黑体"/>
          <w:color w:val="auto"/>
        </w:rPr>
      </w:pPr>
      <w:r>
        <w:rPr>
          <w:rFonts w:hint="eastAsia" w:hAnsi="黑体"/>
          <w:color w:val="auto"/>
        </w:rPr>
        <w:t>取样和制样</w:t>
      </w:r>
    </w:p>
    <w:p>
      <w:pPr>
        <w:pStyle w:val="168"/>
        <w:numPr>
          <w:ilvl w:val="2"/>
          <w:numId w:val="3"/>
        </w:numPr>
        <w:ind w:left="720" w:hanging="720" w:firstLineChars="0"/>
        <w:rPr>
          <w:rFonts w:ascii="宋体" w:hAnsi="宋体"/>
          <w:color w:val="auto"/>
        </w:rPr>
      </w:pPr>
      <w:r>
        <w:rPr>
          <w:rFonts w:hint="eastAsia" w:ascii="宋体" w:hAnsi="宋体"/>
          <w:color w:val="auto"/>
          <w:lang w:eastAsia="zh-CN"/>
        </w:rPr>
        <w:t>取</w:t>
      </w:r>
      <w:r>
        <w:rPr>
          <w:rFonts w:hint="eastAsia" w:ascii="宋体" w:hAnsi="宋体"/>
          <w:color w:val="auto"/>
        </w:rPr>
        <w:t>样安全应符合GB/T 3723的规定</w:t>
      </w:r>
      <w:r>
        <w:rPr>
          <w:rFonts w:hint="eastAsia" w:ascii="宋体" w:hAnsi="宋体"/>
          <w:color w:val="auto"/>
          <w:lang w:eastAsia="zh-CN"/>
        </w:rPr>
        <w:t>，</w:t>
      </w:r>
      <w:r>
        <w:rPr>
          <w:rFonts w:hint="eastAsia" w:ascii="宋体" w:hAnsi="宋体"/>
          <w:color w:val="auto"/>
        </w:rPr>
        <w:t>应注意</w:t>
      </w:r>
      <w:r>
        <w:rPr>
          <w:rFonts w:hint="eastAsia" w:ascii="宋体" w:hAnsi="宋体"/>
          <w:color w:val="auto"/>
          <w:lang w:eastAsia="zh-CN"/>
        </w:rPr>
        <w:t>取</w:t>
      </w:r>
      <w:r>
        <w:rPr>
          <w:rFonts w:hint="eastAsia" w:ascii="宋体" w:hAnsi="宋体"/>
          <w:color w:val="auto"/>
        </w:rPr>
        <w:t>样环境避免样品沾污</w:t>
      </w:r>
      <w:r>
        <w:rPr>
          <w:rFonts w:hint="eastAsia" w:ascii="宋体" w:hAnsi="宋体"/>
          <w:color w:val="auto"/>
          <w:lang w:eastAsia="zh-CN"/>
        </w:rPr>
        <w:t>。</w:t>
      </w:r>
    </w:p>
    <w:p>
      <w:pPr>
        <w:pStyle w:val="168"/>
        <w:numPr>
          <w:ilvl w:val="2"/>
          <w:numId w:val="3"/>
        </w:numPr>
        <w:ind w:left="720" w:hanging="720" w:firstLineChars="0"/>
        <w:rPr>
          <w:rFonts w:ascii="宋体" w:hAnsi="宋体"/>
          <w:color w:val="auto"/>
        </w:rPr>
      </w:pPr>
      <w:r>
        <w:rPr>
          <w:rFonts w:hint="eastAsia" w:ascii="宋体" w:hAnsi="宋体"/>
          <w:color w:val="auto"/>
        </w:rPr>
        <w:t>化学成分和外观质量的检验对每个包装单位进行取样，取样量不少于200</w:t>
      </w:r>
      <w:r>
        <w:rPr>
          <w:rFonts w:hint="eastAsia" w:ascii="宋体" w:hAnsi="宋体"/>
          <w:color w:val="auto"/>
          <w:lang w:val="en-US" w:eastAsia="zh-CN"/>
        </w:rPr>
        <w:t xml:space="preserve"> </w:t>
      </w:r>
      <w:r>
        <w:rPr>
          <w:rFonts w:hint="eastAsia" w:ascii="宋体" w:hAnsi="宋体"/>
          <w:color w:val="auto"/>
        </w:rPr>
        <w:t>mL。</w:t>
      </w:r>
    </w:p>
    <w:p>
      <w:pPr>
        <w:pStyle w:val="168"/>
        <w:numPr>
          <w:ilvl w:val="2"/>
          <w:numId w:val="3"/>
        </w:numPr>
        <w:ind w:left="720" w:hanging="720" w:firstLineChars="0"/>
        <w:rPr>
          <w:rFonts w:ascii="宋体" w:hAnsi="宋体"/>
          <w:color w:val="auto"/>
        </w:rPr>
      </w:pPr>
      <w:r>
        <w:rPr>
          <w:rFonts w:hint="eastAsia" w:ascii="宋体" w:hAnsi="宋体"/>
          <w:color w:val="auto"/>
        </w:rPr>
        <w:t>施主杂质含量、受主杂质含量和电阻率的测定制样方式参照附录</w:t>
      </w:r>
      <w:r>
        <w:rPr>
          <w:rFonts w:ascii="宋体" w:hAnsi="宋体"/>
          <w:color w:val="auto"/>
        </w:rPr>
        <w:t>A</w:t>
      </w:r>
      <w:r>
        <w:rPr>
          <w:rFonts w:hint="eastAsia" w:ascii="宋体" w:hAnsi="宋体"/>
          <w:color w:val="auto"/>
        </w:rPr>
        <w:t>或供需双发协商确定的方法进行，每组批检验一次。</w:t>
      </w:r>
    </w:p>
    <w:p>
      <w:pPr>
        <w:pStyle w:val="51"/>
        <w:spacing w:before="156" w:after="156"/>
        <w:ind w:left="0"/>
        <w:rPr>
          <w:rFonts w:hAnsi="黑体"/>
          <w:color w:val="auto"/>
        </w:rPr>
      </w:pPr>
      <w:r>
        <w:rPr>
          <w:rFonts w:hint="eastAsia" w:hAnsi="黑体"/>
          <w:color w:val="auto"/>
        </w:rPr>
        <w:t>检验结果的判定</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化学成分的检验结果若有一项不合格，允许在同批产品中加倍取样进行重复试验。重复试验结果如仍有一项不合格，则判该批产品不合格。</w:t>
      </w:r>
      <w:bookmarkStart w:id="9" w:name="_GoBack"/>
      <w:bookmarkEnd w:id="9"/>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外观质量的检验结果不合格时，判该包装单位产品不合格。</w:t>
      </w:r>
    </w:p>
    <w:p>
      <w:pPr>
        <w:pStyle w:val="54"/>
        <w:spacing w:before="312" w:after="312"/>
        <w:ind w:left="0"/>
        <w:rPr>
          <w:rFonts w:hAnsi="黑体"/>
          <w:color w:val="auto"/>
          <w:szCs w:val="21"/>
        </w:rPr>
      </w:pPr>
      <w:r>
        <w:rPr>
          <w:rFonts w:hint="eastAsia" w:hAnsi="黑体"/>
          <w:color w:val="auto"/>
          <w:szCs w:val="21"/>
        </w:rPr>
        <w:t>标志、包装、运输、贮存及随行文件</w:t>
      </w:r>
    </w:p>
    <w:p>
      <w:pPr>
        <w:pStyle w:val="51"/>
        <w:spacing w:before="156" w:after="156"/>
        <w:ind w:left="0"/>
        <w:rPr>
          <w:rFonts w:hAnsi="黑体"/>
          <w:color w:val="auto"/>
        </w:rPr>
      </w:pPr>
      <w:r>
        <w:rPr>
          <w:rFonts w:hint="eastAsia" w:hAnsi="黑体"/>
          <w:color w:val="auto"/>
        </w:rPr>
        <w:t>标志</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产品包装瓶外应张贴标签，并注明：</w:t>
      </w:r>
    </w:p>
    <w:p>
      <w:pPr>
        <w:pStyle w:val="72"/>
        <w:numPr>
          <w:ilvl w:val="0"/>
          <w:numId w:val="20"/>
        </w:numPr>
        <w:spacing w:before="0" w:after="0"/>
        <w:rPr>
          <w:color w:val="auto"/>
        </w:rPr>
      </w:pPr>
      <w:r>
        <w:rPr>
          <w:rFonts w:hint="eastAsia"/>
          <w:color w:val="auto"/>
        </w:rPr>
        <w:t>供方名称；</w:t>
      </w:r>
    </w:p>
    <w:p>
      <w:pPr>
        <w:pStyle w:val="72"/>
        <w:numPr>
          <w:ilvl w:val="0"/>
          <w:numId w:val="20"/>
        </w:numPr>
        <w:spacing w:before="0" w:after="0"/>
        <w:rPr>
          <w:color w:val="auto"/>
        </w:rPr>
      </w:pPr>
      <w:r>
        <w:rPr>
          <w:rFonts w:hint="eastAsia"/>
          <w:color w:val="auto"/>
        </w:rPr>
        <w:t>产品名称；</w:t>
      </w:r>
    </w:p>
    <w:p>
      <w:pPr>
        <w:pStyle w:val="72"/>
        <w:numPr>
          <w:ilvl w:val="0"/>
          <w:numId w:val="20"/>
        </w:numPr>
        <w:spacing w:before="0" w:after="0"/>
        <w:rPr>
          <w:color w:val="auto"/>
        </w:rPr>
      </w:pPr>
      <w:r>
        <w:rPr>
          <w:rFonts w:hint="eastAsia"/>
          <w:color w:val="auto"/>
          <w:lang w:eastAsia="zh-CN"/>
        </w:rPr>
        <w:t>订单号</w:t>
      </w:r>
    </w:p>
    <w:p>
      <w:pPr>
        <w:pStyle w:val="72"/>
        <w:numPr>
          <w:ilvl w:val="0"/>
          <w:numId w:val="20"/>
        </w:numPr>
        <w:spacing w:before="0" w:after="0"/>
        <w:rPr>
          <w:color w:val="auto"/>
        </w:rPr>
      </w:pPr>
      <w:r>
        <w:rPr>
          <w:rFonts w:hint="eastAsia"/>
          <w:color w:val="auto"/>
        </w:rPr>
        <w:t>批号；</w:t>
      </w:r>
    </w:p>
    <w:p>
      <w:pPr>
        <w:pStyle w:val="72"/>
        <w:numPr>
          <w:ilvl w:val="0"/>
          <w:numId w:val="20"/>
        </w:numPr>
        <w:spacing w:before="0" w:after="0"/>
        <w:rPr>
          <w:color w:val="auto"/>
        </w:rPr>
      </w:pPr>
      <w:r>
        <w:rPr>
          <w:rFonts w:hint="eastAsia"/>
          <w:color w:val="auto"/>
        </w:rPr>
        <w:t>净重；</w:t>
      </w:r>
    </w:p>
    <w:p>
      <w:pPr>
        <w:pStyle w:val="72"/>
        <w:numPr>
          <w:ilvl w:val="0"/>
          <w:numId w:val="20"/>
        </w:numPr>
        <w:spacing w:before="0" w:after="0"/>
        <w:rPr>
          <w:color w:val="auto"/>
        </w:rPr>
      </w:pPr>
      <w:r>
        <w:rPr>
          <w:rFonts w:hint="eastAsia"/>
          <w:color w:val="auto"/>
        </w:rPr>
        <w:t>执行标准；</w:t>
      </w:r>
    </w:p>
    <w:p>
      <w:pPr>
        <w:pStyle w:val="72"/>
        <w:numPr>
          <w:ilvl w:val="0"/>
          <w:numId w:val="20"/>
        </w:numPr>
        <w:spacing w:before="0" w:after="0"/>
        <w:rPr>
          <w:color w:val="auto"/>
        </w:rPr>
      </w:pPr>
      <w:r>
        <w:rPr>
          <w:rFonts w:hint="eastAsia"/>
          <w:color w:val="auto"/>
        </w:rPr>
        <w:t>生产日期；</w:t>
      </w:r>
    </w:p>
    <w:p>
      <w:pPr>
        <w:pStyle w:val="72"/>
        <w:numPr>
          <w:ilvl w:val="0"/>
          <w:numId w:val="20"/>
        </w:numPr>
        <w:spacing w:before="0" w:after="0"/>
        <w:rPr>
          <w:color w:val="auto"/>
        </w:rPr>
      </w:pPr>
      <w:r>
        <w:rPr>
          <w:rFonts w:hint="eastAsia"/>
          <w:color w:val="auto"/>
          <w:lang w:eastAsia="zh-CN"/>
        </w:rPr>
        <w:t>保质</w:t>
      </w:r>
      <w:r>
        <w:rPr>
          <w:rFonts w:hint="eastAsia"/>
          <w:color w:val="auto"/>
        </w:rPr>
        <w:t>期；</w:t>
      </w:r>
    </w:p>
    <w:p>
      <w:pPr>
        <w:pStyle w:val="72"/>
        <w:numPr>
          <w:ilvl w:val="0"/>
          <w:numId w:val="20"/>
        </w:numPr>
        <w:spacing w:before="0" w:after="0"/>
        <w:rPr>
          <w:color w:val="auto"/>
        </w:rPr>
      </w:pPr>
      <w:r>
        <w:rPr>
          <w:rFonts w:hint="eastAsia"/>
          <w:color w:val="auto"/>
        </w:rPr>
        <w:t>储罐编号；</w:t>
      </w:r>
    </w:p>
    <w:p>
      <w:pPr>
        <w:pStyle w:val="72"/>
        <w:numPr>
          <w:ilvl w:val="0"/>
          <w:numId w:val="20"/>
        </w:numPr>
        <w:spacing w:before="0" w:after="0"/>
        <w:rPr>
          <w:color w:val="auto"/>
        </w:rPr>
      </w:pPr>
      <w:r>
        <w:rPr>
          <w:rFonts w:hint="eastAsia"/>
          <w:color w:val="auto"/>
        </w:rPr>
        <w:t>符合GB 191规定的包装储运图示标志。</w:t>
      </w:r>
    </w:p>
    <w:p>
      <w:pPr>
        <w:pStyle w:val="168"/>
        <w:numPr>
          <w:ilvl w:val="2"/>
          <w:numId w:val="3"/>
        </w:numPr>
        <w:ind w:left="720" w:hanging="720" w:firstLineChars="0"/>
        <w:rPr>
          <w:rFonts w:ascii="宋体" w:hAnsi="宋体" w:cs="宋体"/>
          <w:color w:val="auto"/>
        </w:rPr>
      </w:pPr>
      <w:r>
        <w:rPr>
          <w:rFonts w:hint="eastAsia" w:ascii="宋体" w:hAnsi="宋体" w:cs="宋体"/>
          <w:color w:val="auto"/>
          <w:szCs w:val="22"/>
        </w:rPr>
        <w:t>产品的</w:t>
      </w:r>
      <w:r>
        <w:rPr>
          <w:rFonts w:hint="eastAsia" w:ascii="宋体" w:hAnsi="宋体" w:cs="宋体"/>
          <w:color w:val="auto"/>
          <w:szCs w:val="22"/>
          <w:lang w:eastAsia="zh-CN"/>
        </w:rPr>
        <w:t>包装</w:t>
      </w:r>
      <w:r>
        <w:rPr>
          <w:rFonts w:hint="eastAsia" w:ascii="宋体" w:hAnsi="宋体" w:cs="宋体"/>
          <w:color w:val="auto"/>
          <w:szCs w:val="22"/>
        </w:rPr>
        <w:t>标志应符合GB 190的规定</w:t>
      </w:r>
      <w:r>
        <w:rPr>
          <w:rFonts w:hint="eastAsia" w:ascii="宋体" w:hAnsi="宋体" w:cs="宋体"/>
          <w:color w:val="auto"/>
        </w:rPr>
        <w:t>，标签应符合GB 15258</w:t>
      </w:r>
      <w:r>
        <w:rPr>
          <w:rFonts w:hint="eastAsia" w:ascii="宋体" w:hAnsi="宋体" w:cs="宋体"/>
          <w:color w:val="auto"/>
          <w:lang w:eastAsia="zh-CN"/>
        </w:rPr>
        <w:t>、</w:t>
      </w:r>
      <w:r>
        <w:rPr>
          <w:rFonts w:hint="eastAsia" w:ascii="宋体" w:hAnsi="宋体" w:cs="宋体"/>
          <w:color w:val="auto"/>
          <w:highlight w:val="none"/>
        </w:rPr>
        <w:t>GB/T 16804</w:t>
      </w:r>
      <w:r>
        <w:rPr>
          <w:rFonts w:hint="eastAsia" w:ascii="宋体" w:hAnsi="宋体" w:cs="宋体"/>
          <w:color w:val="auto"/>
        </w:rPr>
        <w:t>规定的要求</w:t>
      </w:r>
    </w:p>
    <w:p>
      <w:pPr>
        <w:pStyle w:val="51"/>
        <w:spacing w:before="156" w:after="156"/>
        <w:ind w:left="0"/>
        <w:rPr>
          <w:rFonts w:hAnsi="黑体"/>
          <w:color w:val="auto"/>
        </w:rPr>
      </w:pPr>
      <w:r>
        <w:rPr>
          <w:rFonts w:hint="eastAsia" w:hAnsi="黑体"/>
          <w:color w:val="auto"/>
        </w:rPr>
        <w:t>包装</w:t>
      </w:r>
      <w:r>
        <w:rPr>
          <w:rFonts w:hint="eastAsia" w:hAnsi="黑体"/>
          <w:color w:val="auto"/>
          <w:lang w:eastAsia="zh-CN"/>
        </w:rPr>
        <w:t>、运输、贮存</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产品包装容器应符合GB 12463、GB 18564、</w:t>
      </w:r>
      <w:r>
        <w:rPr>
          <w:rFonts w:asciiTheme="minorEastAsia" w:hAnsiTheme="minorEastAsia" w:eastAsiaTheme="minorEastAsia"/>
          <w:color w:val="auto"/>
        </w:rPr>
        <w:t>GB/T 7144</w:t>
      </w:r>
      <w:r>
        <w:rPr>
          <w:rFonts w:hint="eastAsia" w:asciiTheme="minorEastAsia" w:hAnsiTheme="minorEastAsia" w:eastAsiaTheme="minorEastAsia"/>
          <w:color w:val="auto"/>
        </w:rPr>
        <w:t>的规定。</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产品的最大充装量不高于容器体积的95 %为宜。</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产品的运输和贮存应符合《危险化学品安全管理条例》、《国际海运危险货物规则》。</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产品在运输过程中应小心轻放，避免剧烈振动和日光曝晒，严禁倒置，防止沾污。</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产品应贮存在通风、阴凉、干燥的库房内，</w:t>
      </w:r>
      <w:r>
        <w:rPr>
          <w:color w:val="auto"/>
        </w:rPr>
        <w:t>远离火种、热源</w:t>
      </w:r>
      <w:r>
        <w:rPr>
          <w:rFonts w:hint="eastAsia" w:asciiTheme="minorEastAsia" w:hAnsiTheme="minorEastAsia" w:eastAsiaTheme="minorEastAsia"/>
          <w:color w:val="auto"/>
        </w:rPr>
        <w:t>。</w:t>
      </w:r>
    </w:p>
    <w:p>
      <w:pPr>
        <w:pStyle w:val="168"/>
        <w:numPr>
          <w:ilvl w:val="2"/>
          <w:numId w:val="3"/>
        </w:numPr>
        <w:ind w:left="720" w:hanging="720" w:firstLineChars="0"/>
        <w:rPr>
          <w:rFonts w:asciiTheme="minorEastAsia" w:hAnsiTheme="minorEastAsia" w:eastAsiaTheme="minorEastAsia"/>
          <w:color w:val="auto"/>
        </w:rPr>
      </w:pPr>
      <w:r>
        <w:rPr>
          <w:rFonts w:hint="eastAsia" w:asciiTheme="minorEastAsia" w:hAnsiTheme="minorEastAsia" w:eastAsiaTheme="minorEastAsia"/>
          <w:color w:val="auto"/>
        </w:rPr>
        <w:t>产品保质期应符合GB/T 26571，一般自生产之日起为一年。</w:t>
      </w:r>
    </w:p>
    <w:p>
      <w:pPr>
        <w:pStyle w:val="51"/>
        <w:spacing w:before="156" w:after="156"/>
        <w:ind w:left="0"/>
        <w:rPr>
          <w:rFonts w:hAnsi="黑体"/>
          <w:color w:val="auto"/>
        </w:rPr>
      </w:pPr>
      <w:r>
        <w:rPr>
          <w:rFonts w:hint="eastAsia" w:hAnsi="黑体"/>
          <w:color w:val="auto"/>
        </w:rPr>
        <w:t>随行文件</w:t>
      </w:r>
    </w:p>
    <w:p>
      <w:pPr>
        <w:pStyle w:val="51"/>
        <w:numPr>
          <w:ilvl w:val="0"/>
          <w:numId w:val="0"/>
        </w:numPr>
        <w:spacing w:beforeLines="0" w:afterLines="0"/>
        <w:ind w:firstLine="420" w:firstLineChars="200"/>
        <w:rPr>
          <w:rFonts w:ascii="Times New Roman" w:eastAsia="宋体"/>
          <w:color w:val="auto"/>
        </w:rPr>
      </w:pPr>
      <w:r>
        <w:rPr>
          <w:rFonts w:hint="eastAsia" w:ascii="Times New Roman" w:eastAsia="宋体"/>
          <w:color w:val="auto"/>
        </w:rPr>
        <w:t>每批产品</w:t>
      </w:r>
      <w:r>
        <w:rPr>
          <w:rFonts w:ascii="Times New Roman" w:eastAsia="宋体"/>
          <w:color w:val="auto"/>
        </w:rPr>
        <w:t>应附有</w:t>
      </w:r>
      <w:r>
        <w:rPr>
          <w:rFonts w:hint="eastAsia" w:ascii="Times New Roman" w:eastAsia="宋体"/>
          <w:color w:val="auto"/>
        </w:rPr>
        <w:t>随行文件，其中除应包括供方信息、产品信息、本文件编号、出厂日期或包装日期外，还宜包括：</w:t>
      </w:r>
      <w:r>
        <w:rPr>
          <w:rFonts w:ascii="Times New Roman" w:eastAsia="宋体"/>
          <w:color w:val="auto"/>
        </w:rPr>
        <w:t xml:space="preserve"> </w:t>
      </w:r>
    </w:p>
    <w:p>
      <w:pPr>
        <w:pStyle w:val="72"/>
        <w:numPr>
          <w:ilvl w:val="0"/>
          <w:numId w:val="21"/>
        </w:numPr>
        <w:spacing w:before="0" w:after="0"/>
        <w:rPr>
          <w:color w:val="auto"/>
        </w:rPr>
      </w:pPr>
      <w:r>
        <w:rPr>
          <w:rFonts w:hint="eastAsia"/>
          <w:color w:val="auto"/>
        </w:rPr>
        <w:t>产品质量证明书：</w:t>
      </w:r>
    </w:p>
    <w:p>
      <w:pPr>
        <w:pStyle w:val="72"/>
        <w:numPr>
          <w:ilvl w:val="0"/>
          <w:numId w:val="22"/>
        </w:numPr>
        <w:spacing w:before="0" w:after="0"/>
        <w:rPr>
          <w:color w:val="auto"/>
        </w:rPr>
      </w:pPr>
      <w:r>
        <w:rPr>
          <w:rFonts w:hint="eastAsia"/>
          <w:color w:val="auto"/>
        </w:rPr>
        <w:t>合同号；</w:t>
      </w:r>
    </w:p>
    <w:p>
      <w:pPr>
        <w:pStyle w:val="72"/>
        <w:numPr>
          <w:ilvl w:val="0"/>
          <w:numId w:val="22"/>
        </w:numPr>
        <w:spacing w:before="0" w:after="0"/>
        <w:rPr>
          <w:color w:val="auto"/>
        </w:rPr>
      </w:pPr>
      <w:r>
        <w:rPr>
          <w:rFonts w:hint="eastAsia"/>
          <w:color w:val="auto"/>
        </w:rPr>
        <w:t>产品名称；</w:t>
      </w:r>
    </w:p>
    <w:p>
      <w:pPr>
        <w:pStyle w:val="72"/>
        <w:numPr>
          <w:ilvl w:val="0"/>
          <w:numId w:val="22"/>
        </w:numPr>
        <w:spacing w:before="0" w:after="0"/>
        <w:rPr>
          <w:color w:val="auto"/>
        </w:rPr>
      </w:pPr>
      <w:r>
        <w:rPr>
          <w:rFonts w:hint="eastAsia"/>
          <w:color w:val="auto"/>
        </w:rPr>
        <w:t>批号；</w:t>
      </w:r>
    </w:p>
    <w:p>
      <w:pPr>
        <w:pStyle w:val="72"/>
        <w:numPr>
          <w:ilvl w:val="0"/>
          <w:numId w:val="22"/>
        </w:numPr>
        <w:spacing w:before="0" w:after="0"/>
        <w:rPr>
          <w:color w:val="auto"/>
        </w:rPr>
      </w:pPr>
      <w:r>
        <w:rPr>
          <w:rFonts w:hint="eastAsia"/>
          <w:color w:val="auto"/>
        </w:rPr>
        <w:t>钢瓶号和钢瓶净重；</w:t>
      </w:r>
    </w:p>
    <w:p>
      <w:pPr>
        <w:pStyle w:val="72"/>
        <w:numPr>
          <w:ilvl w:val="0"/>
          <w:numId w:val="22"/>
        </w:numPr>
        <w:spacing w:before="0" w:after="0"/>
        <w:rPr>
          <w:color w:val="auto"/>
        </w:rPr>
      </w:pPr>
      <w:r>
        <w:rPr>
          <w:rFonts w:hint="eastAsia"/>
          <w:color w:val="auto"/>
        </w:rPr>
        <w:t>产品净重</w:t>
      </w:r>
    </w:p>
    <w:p>
      <w:pPr>
        <w:pStyle w:val="72"/>
        <w:numPr>
          <w:ilvl w:val="0"/>
          <w:numId w:val="22"/>
        </w:numPr>
        <w:spacing w:before="0" w:after="0"/>
        <w:rPr>
          <w:color w:val="auto"/>
        </w:rPr>
      </w:pPr>
      <w:r>
        <w:rPr>
          <w:rFonts w:hint="eastAsia"/>
          <w:color w:val="auto"/>
        </w:rPr>
        <w:t>生产日期；</w:t>
      </w:r>
    </w:p>
    <w:p>
      <w:pPr>
        <w:pStyle w:val="72"/>
        <w:numPr>
          <w:ilvl w:val="0"/>
          <w:numId w:val="22"/>
        </w:numPr>
        <w:spacing w:before="0" w:after="0"/>
        <w:rPr>
          <w:color w:val="auto"/>
        </w:rPr>
      </w:pPr>
      <w:r>
        <w:rPr>
          <w:rFonts w:hint="eastAsia"/>
          <w:color w:val="auto"/>
        </w:rPr>
        <w:t>检验日期；</w:t>
      </w:r>
    </w:p>
    <w:p>
      <w:pPr>
        <w:pStyle w:val="72"/>
        <w:numPr>
          <w:ilvl w:val="0"/>
          <w:numId w:val="23"/>
        </w:numPr>
        <w:spacing w:before="0" w:after="0"/>
        <w:rPr>
          <w:color w:val="auto"/>
        </w:rPr>
      </w:pPr>
      <w:r>
        <w:rPr>
          <w:rFonts w:hint="eastAsia"/>
          <w:color w:val="auto"/>
        </w:rPr>
        <w:t>检验项目及其结果；</w:t>
      </w:r>
    </w:p>
    <w:p>
      <w:pPr>
        <w:pStyle w:val="72"/>
        <w:numPr>
          <w:ilvl w:val="0"/>
          <w:numId w:val="23"/>
        </w:numPr>
        <w:spacing w:before="0" w:after="0"/>
        <w:rPr>
          <w:color w:val="auto"/>
        </w:rPr>
      </w:pPr>
      <w:r>
        <w:rPr>
          <w:rFonts w:hint="eastAsia"/>
          <w:color w:val="auto"/>
        </w:rPr>
        <w:t>保质期；</w:t>
      </w:r>
    </w:p>
    <w:p>
      <w:pPr>
        <w:pStyle w:val="72"/>
        <w:numPr>
          <w:ilvl w:val="0"/>
          <w:numId w:val="23"/>
        </w:numPr>
        <w:spacing w:before="0" w:after="0"/>
        <w:rPr>
          <w:color w:val="auto"/>
        </w:rPr>
      </w:pPr>
      <w:r>
        <w:rPr>
          <w:rFonts w:hint="eastAsia"/>
          <w:color w:val="auto"/>
        </w:rPr>
        <w:t>供方质检部门印章。</w:t>
      </w:r>
    </w:p>
    <w:p>
      <w:pPr>
        <w:pStyle w:val="72"/>
        <w:numPr>
          <w:ilvl w:val="0"/>
          <w:numId w:val="21"/>
        </w:numPr>
        <w:spacing w:before="0" w:after="0"/>
        <w:rPr>
          <w:color w:val="auto"/>
        </w:rPr>
      </w:pPr>
      <w:r>
        <w:rPr>
          <w:rFonts w:hint="eastAsia"/>
          <w:color w:val="auto"/>
        </w:rPr>
        <w:t>产品</w:t>
      </w:r>
      <w:r>
        <w:rPr>
          <w:rFonts w:hint="eastAsia"/>
          <w:color w:val="auto"/>
          <w:lang w:eastAsia="zh-CN"/>
        </w:rPr>
        <w:t>按</w:t>
      </w:r>
      <w:r>
        <w:rPr>
          <w:rFonts w:hint="eastAsia"/>
          <w:color w:val="auto"/>
          <w:lang w:val="en-US" w:eastAsia="zh-CN"/>
        </w:rPr>
        <w:t>GB 16483要求制定</w:t>
      </w:r>
      <w:r>
        <w:rPr>
          <w:rFonts w:hint="eastAsia"/>
          <w:color w:val="auto"/>
        </w:rPr>
        <w:t>安全技术说明书和产品安全标签；</w:t>
      </w:r>
    </w:p>
    <w:p>
      <w:pPr>
        <w:pStyle w:val="72"/>
        <w:numPr>
          <w:ilvl w:val="0"/>
          <w:numId w:val="21"/>
        </w:numPr>
        <w:spacing w:before="0" w:after="0"/>
        <w:rPr>
          <w:rFonts w:hAnsi="宋体"/>
          <w:color w:val="auto"/>
        </w:rPr>
      </w:pPr>
      <w:r>
        <w:rPr>
          <w:rFonts w:hint="eastAsia"/>
          <w:color w:val="auto"/>
        </w:rPr>
        <w:t>其他。</w:t>
      </w:r>
    </w:p>
    <w:p>
      <w:pPr>
        <w:pStyle w:val="54"/>
        <w:spacing w:before="312" w:after="312"/>
        <w:ind w:left="0"/>
        <w:rPr>
          <w:rFonts w:hAnsi="黑体"/>
          <w:color w:val="auto"/>
          <w:szCs w:val="21"/>
        </w:rPr>
      </w:pPr>
      <w:r>
        <w:rPr>
          <w:rFonts w:hint="eastAsia" w:hAnsi="黑体"/>
          <w:color w:val="auto"/>
          <w:szCs w:val="21"/>
        </w:rPr>
        <w:t>订货单内容</w:t>
      </w:r>
    </w:p>
    <w:p>
      <w:pPr>
        <w:pStyle w:val="51"/>
        <w:numPr>
          <w:ilvl w:val="0"/>
          <w:numId w:val="0"/>
        </w:numPr>
        <w:spacing w:beforeLines="0" w:afterLines="0"/>
        <w:ind w:left="420"/>
        <w:rPr>
          <w:rFonts w:ascii="Times New Roman" w:eastAsia="宋体"/>
          <w:color w:val="auto"/>
        </w:rPr>
      </w:pPr>
      <w:r>
        <w:rPr>
          <w:rFonts w:hint="eastAsia" w:ascii="Times New Roman" w:eastAsia="宋体"/>
          <w:color w:val="auto"/>
        </w:rPr>
        <w:t>需方可根据自身的需要，在订购本文件</w:t>
      </w:r>
      <w:r>
        <w:rPr>
          <w:rFonts w:ascii="Times New Roman" w:eastAsia="宋体"/>
          <w:color w:val="auto"/>
        </w:rPr>
        <w:t>所列</w:t>
      </w:r>
      <w:r>
        <w:rPr>
          <w:rFonts w:hint="eastAsia" w:ascii="Times New Roman" w:eastAsia="宋体"/>
          <w:color w:val="auto"/>
        </w:rPr>
        <w:t>产品</w:t>
      </w:r>
      <w:r>
        <w:rPr>
          <w:rFonts w:ascii="Times New Roman" w:eastAsia="宋体"/>
          <w:color w:val="auto"/>
        </w:rPr>
        <w:t>的订货单</w:t>
      </w:r>
      <w:r>
        <w:rPr>
          <w:rFonts w:hint="eastAsia" w:ascii="Times New Roman" w:eastAsia="宋体"/>
          <w:color w:val="auto"/>
        </w:rPr>
        <w:t>内，列出以下</w:t>
      </w:r>
      <w:r>
        <w:rPr>
          <w:rFonts w:ascii="Times New Roman" w:eastAsia="宋体"/>
          <w:color w:val="auto"/>
        </w:rPr>
        <w:t xml:space="preserve">内容： </w:t>
      </w:r>
    </w:p>
    <w:p>
      <w:pPr>
        <w:pStyle w:val="51"/>
        <w:numPr>
          <w:ilvl w:val="0"/>
          <w:numId w:val="0"/>
        </w:numPr>
        <w:spacing w:beforeLines="0" w:afterLines="0"/>
        <w:ind w:left="420"/>
        <w:rPr>
          <w:rFonts w:ascii="宋体" w:hAnsi="宋体" w:eastAsia="宋体"/>
          <w:color w:val="auto"/>
        </w:rPr>
      </w:pPr>
      <w:r>
        <w:rPr>
          <w:rFonts w:hint="eastAsia" w:ascii="宋体" w:hAnsi="宋体" w:eastAsia="宋体"/>
          <w:color w:val="auto"/>
        </w:rPr>
        <w:t>a）产品名称；</w:t>
      </w:r>
    </w:p>
    <w:p>
      <w:pPr>
        <w:pStyle w:val="32"/>
        <w:ind w:left="420" w:firstLine="0" w:firstLineChars="0"/>
        <w:rPr>
          <w:color w:val="auto"/>
        </w:rPr>
      </w:pPr>
      <w:r>
        <w:rPr>
          <w:rFonts w:hint="eastAsia" w:hAnsi="宋体"/>
          <w:color w:val="auto"/>
        </w:rPr>
        <w:t>b）产品技术要求；</w:t>
      </w:r>
    </w:p>
    <w:p>
      <w:pPr>
        <w:pStyle w:val="51"/>
        <w:numPr>
          <w:ilvl w:val="0"/>
          <w:numId w:val="0"/>
        </w:numPr>
        <w:spacing w:beforeLines="0" w:afterLines="0"/>
        <w:ind w:left="420"/>
        <w:rPr>
          <w:rFonts w:ascii="宋体" w:hAnsi="宋体" w:eastAsia="宋体"/>
          <w:color w:val="auto"/>
        </w:rPr>
      </w:pPr>
      <w:r>
        <w:rPr>
          <w:rFonts w:hint="eastAsia" w:ascii="宋体" w:hAnsi="宋体" w:eastAsia="宋体"/>
          <w:color w:val="auto"/>
        </w:rPr>
        <w:t>c）产品净重；</w:t>
      </w:r>
    </w:p>
    <w:p>
      <w:pPr>
        <w:pStyle w:val="51"/>
        <w:numPr>
          <w:ilvl w:val="0"/>
          <w:numId w:val="0"/>
        </w:numPr>
        <w:spacing w:beforeLines="0" w:afterLines="0"/>
        <w:ind w:left="420"/>
        <w:rPr>
          <w:rFonts w:ascii="Times New Roman" w:eastAsia="宋体"/>
          <w:color w:val="auto"/>
        </w:rPr>
      </w:pPr>
      <w:r>
        <w:rPr>
          <w:rFonts w:hint="eastAsia" w:ascii="宋体" w:hAnsi="宋体" w:eastAsia="宋体"/>
          <w:color w:val="auto"/>
        </w:rPr>
        <w:t>d）本</w:t>
      </w:r>
      <w:r>
        <w:rPr>
          <w:rFonts w:hint="eastAsia" w:ascii="Times New Roman" w:eastAsia="宋体"/>
          <w:color w:val="auto"/>
        </w:rPr>
        <w:t>文件编号；</w:t>
      </w:r>
    </w:p>
    <w:p>
      <w:pPr>
        <w:pStyle w:val="51"/>
        <w:numPr>
          <w:ilvl w:val="0"/>
          <w:numId w:val="0"/>
        </w:numPr>
        <w:spacing w:beforeLines="0" w:afterLines="0"/>
        <w:ind w:left="420"/>
        <w:rPr>
          <w:rFonts w:asciiTheme="minorEastAsia" w:hAnsiTheme="minorEastAsia" w:eastAsiaTheme="minorEastAsia"/>
          <w:color w:val="auto"/>
        </w:rPr>
      </w:pPr>
      <w:r>
        <w:rPr>
          <w:rFonts w:hint="eastAsia" w:asciiTheme="minorEastAsia" w:hAnsiTheme="minorEastAsia" w:eastAsiaTheme="minorEastAsia"/>
          <w:color w:val="auto"/>
        </w:rPr>
        <w:t>e）本文件中要求在订货单中注明的内容；</w:t>
      </w:r>
    </w:p>
    <w:p>
      <w:pPr>
        <w:pStyle w:val="51"/>
        <w:numPr>
          <w:ilvl w:val="0"/>
          <w:numId w:val="0"/>
        </w:numPr>
        <w:spacing w:beforeLines="0" w:afterLines="0"/>
        <w:ind w:left="420"/>
        <w:rPr>
          <w:rFonts w:asciiTheme="minorEastAsia" w:hAnsiTheme="minorEastAsia" w:eastAsiaTheme="minorEastAsia"/>
          <w:color w:val="auto"/>
        </w:rPr>
      </w:pPr>
      <w:r>
        <w:rPr>
          <w:rFonts w:hint="eastAsia" w:asciiTheme="minorEastAsia" w:hAnsiTheme="minorEastAsia" w:eastAsiaTheme="minorEastAsia"/>
          <w:color w:val="auto"/>
        </w:rPr>
        <w:t>f）其他。</w:t>
      </w:r>
    </w:p>
    <w:p>
      <w:pPr>
        <w:pStyle w:val="32"/>
        <w:ind w:firstLine="0" w:firstLineChars="0"/>
        <w:rPr>
          <w:rFonts w:asciiTheme="minorEastAsia" w:hAnsiTheme="minorEastAsia" w:eastAsiaTheme="minorEastAsia"/>
          <w:color w:val="auto"/>
          <w:szCs w:val="21"/>
        </w:rPr>
      </w:pPr>
    </w:p>
    <w:p>
      <w:pPr>
        <w:pStyle w:val="32"/>
        <w:ind w:firstLine="0" w:firstLineChars="0"/>
        <w:rPr>
          <w:rFonts w:asciiTheme="minorEastAsia" w:hAnsiTheme="minorEastAsia" w:eastAsiaTheme="minorEastAsia"/>
          <w:color w:val="auto"/>
          <w:szCs w:val="21"/>
        </w:rPr>
      </w:pPr>
    </w:p>
    <w:p>
      <w:pPr>
        <w:pStyle w:val="32"/>
        <w:ind w:firstLine="0" w:firstLineChars="0"/>
        <w:rPr>
          <w:rFonts w:asciiTheme="minorEastAsia" w:hAnsiTheme="minorEastAsia" w:eastAsiaTheme="minorEastAsia"/>
          <w:color w:val="auto"/>
          <w:szCs w:val="21"/>
        </w:rPr>
      </w:pPr>
    </w:p>
    <w:p>
      <w:pPr>
        <w:pStyle w:val="32"/>
        <w:ind w:firstLine="0" w:firstLineChars="0"/>
        <w:rPr>
          <w:rFonts w:asciiTheme="minorEastAsia" w:hAnsiTheme="minorEastAsia" w:eastAsiaTheme="minorEastAsia"/>
          <w:color w:val="auto"/>
          <w:szCs w:val="21"/>
        </w:rPr>
      </w:pPr>
    </w:p>
    <w:p>
      <w:pPr>
        <w:pStyle w:val="32"/>
        <w:ind w:firstLine="0" w:firstLineChars="0"/>
        <w:rPr>
          <w:rFonts w:asciiTheme="minorEastAsia" w:hAnsiTheme="minorEastAsia" w:eastAsiaTheme="minorEastAsia"/>
          <w:color w:val="auto"/>
          <w:szCs w:val="21"/>
        </w:rPr>
      </w:pPr>
    </w:p>
    <w:p>
      <w:pPr>
        <w:pStyle w:val="32"/>
        <w:ind w:firstLine="0" w:firstLineChars="0"/>
        <w:rPr>
          <w:rFonts w:asciiTheme="minorEastAsia" w:hAnsiTheme="minorEastAsia" w:eastAsiaTheme="minorEastAsia"/>
          <w:color w:val="auto"/>
          <w:szCs w:val="21"/>
        </w:rPr>
      </w:pPr>
    </w:p>
    <w:p>
      <w:pPr>
        <w:pStyle w:val="32"/>
        <w:ind w:firstLine="0" w:firstLineChars="0"/>
        <w:rPr>
          <w:rFonts w:asciiTheme="minorEastAsia" w:hAnsiTheme="minorEastAsia" w:eastAsiaTheme="minorEastAsia"/>
          <w:color w:val="auto"/>
          <w:szCs w:val="21"/>
        </w:rPr>
      </w:pPr>
    </w:p>
    <w:p>
      <w:pPr>
        <w:pStyle w:val="32"/>
        <w:ind w:firstLine="0" w:firstLineChars="0"/>
        <w:rPr>
          <w:rFonts w:asciiTheme="minorEastAsia" w:hAnsiTheme="minorEastAsia" w:eastAsiaTheme="minorEastAsia"/>
          <w:color w:val="auto"/>
          <w:szCs w:val="21"/>
        </w:rPr>
      </w:pPr>
    </w:p>
    <w:p>
      <w:pPr>
        <w:pStyle w:val="32"/>
        <w:ind w:firstLine="0" w:firstLineChars="0"/>
        <w:rPr>
          <w:rFonts w:asciiTheme="minorEastAsia" w:hAnsiTheme="minorEastAsia" w:eastAsiaTheme="minorEastAsia"/>
          <w:color w:val="auto"/>
          <w:szCs w:val="21"/>
        </w:rPr>
      </w:pPr>
    </w:p>
    <w:p>
      <w:pPr>
        <w:pStyle w:val="93"/>
        <w:numPr>
          <w:ilvl w:val="0"/>
          <w:numId w:val="24"/>
        </w:numPr>
        <w:tabs>
          <w:tab w:val="clear" w:pos="360"/>
        </w:tabs>
        <w:spacing w:before="0" w:after="0"/>
        <w:rPr>
          <w:rFonts w:ascii="Times New Roman"/>
          <w:color w:val="auto"/>
        </w:rPr>
      </w:pPr>
    </w:p>
    <w:p>
      <w:pPr>
        <w:pStyle w:val="93"/>
        <w:numPr>
          <w:ilvl w:val="0"/>
          <w:numId w:val="0"/>
        </w:numPr>
        <w:tabs>
          <w:tab w:val="clear" w:pos="360"/>
        </w:tabs>
        <w:spacing w:before="0" w:after="0"/>
        <w:rPr>
          <w:rFonts w:ascii="Times New Roman"/>
          <w:color w:val="auto"/>
        </w:rPr>
      </w:pPr>
      <w:r>
        <w:rPr>
          <w:rFonts w:ascii="Times New Roman"/>
          <w:color w:val="auto"/>
        </w:rPr>
        <w:t>（</w:t>
      </w:r>
      <w:r>
        <w:rPr>
          <w:rFonts w:hint="eastAsia" w:ascii="Times New Roman"/>
          <w:color w:val="auto"/>
        </w:rPr>
        <w:t>资料</w:t>
      </w:r>
      <w:r>
        <w:rPr>
          <w:rFonts w:ascii="Times New Roman"/>
          <w:color w:val="auto"/>
        </w:rPr>
        <w:t>性）</w:t>
      </w:r>
    </w:p>
    <w:p>
      <w:pPr>
        <w:pStyle w:val="93"/>
        <w:numPr>
          <w:ilvl w:val="0"/>
          <w:numId w:val="0"/>
        </w:numPr>
        <w:tabs>
          <w:tab w:val="clear" w:pos="360"/>
        </w:tabs>
        <w:spacing w:before="0"/>
        <w:rPr>
          <w:rFonts w:ascii="Times New Roman"/>
          <w:color w:val="auto"/>
        </w:rPr>
      </w:pPr>
      <w:r>
        <w:rPr>
          <w:rFonts w:hint="eastAsia" w:ascii="Times New Roman"/>
          <w:color w:val="auto"/>
          <w:kern w:val="2"/>
          <w:szCs w:val="24"/>
        </w:rPr>
        <w:t>施主杂质含量、受主杂质含量和电阻率制样方法</w:t>
      </w:r>
    </w:p>
    <w:p>
      <w:pPr>
        <w:pStyle w:val="111"/>
        <w:numPr>
          <w:ilvl w:val="1"/>
          <w:numId w:val="24"/>
        </w:numPr>
        <w:wordWrap/>
        <w:spacing w:beforeLines="0" w:afterLines="0" w:line="360" w:lineRule="auto"/>
        <w:rPr>
          <w:rFonts w:ascii="Times New Roman"/>
          <w:color w:val="auto"/>
          <w:kern w:val="2"/>
          <w:szCs w:val="24"/>
        </w:rPr>
      </w:pPr>
      <w:r>
        <w:rPr>
          <w:rFonts w:hint="eastAsia" w:ascii="Times New Roman"/>
          <w:color w:val="auto"/>
          <w:kern w:val="2"/>
          <w:szCs w:val="24"/>
        </w:rPr>
        <w:t>多晶硅样棒的制备</w:t>
      </w:r>
    </w:p>
    <w:p>
      <w:pPr>
        <w:tabs>
          <w:tab w:val="left" w:pos="6138"/>
        </w:tabs>
        <w:ind w:firstLine="420" w:firstLineChars="200"/>
        <w:jc w:val="left"/>
        <w:rPr>
          <w:color w:val="auto"/>
        </w:rPr>
      </w:pPr>
      <w:r>
        <w:rPr>
          <w:rFonts w:hint="eastAsia"/>
          <w:color w:val="auto"/>
        </w:rPr>
        <w:t>评价三氯氢硅中施主杂质含量、受主杂质含量和电阻率可以用化学气相沉积法(CVD)。以三氯氢硅和氢气为原料，在评价炉中通过化学气相沉积法生产一根</w:t>
      </w:r>
      <w:r>
        <w:rPr>
          <w:rFonts w:hint="eastAsia"/>
          <w:color w:val="auto"/>
          <w:lang w:eastAsia="zh-CN"/>
        </w:rPr>
        <w:t>直径</w:t>
      </w:r>
      <w:r>
        <w:rPr>
          <w:rFonts w:hint="eastAsia"/>
          <w:color w:val="auto"/>
        </w:rPr>
        <w:t>约20mm</w:t>
      </w:r>
      <w:r>
        <w:rPr>
          <w:rFonts w:hint="eastAsia"/>
          <w:color w:val="auto"/>
          <w:lang w:eastAsia="zh-CN"/>
        </w:rPr>
        <w:t>、长度</w:t>
      </w:r>
      <w:r>
        <w:rPr>
          <w:rFonts w:hint="eastAsia"/>
          <w:color w:val="auto"/>
        </w:rPr>
        <w:t>300mm的多晶硅棒。</w:t>
      </w:r>
    </w:p>
    <w:p>
      <w:pPr>
        <w:tabs>
          <w:tab w:val="left" w:pos="6138"/>
        </w:tabs>
        <w:ind w:firstLine="420" w:firstLineChars="200"/>
        <w:jc w:val="left"/>
        <w:rPr>
          <w:color w:val="auto"/>
        </w:rPr>
      </w:pPr>
      <w:r>
        <w:rPr>
          <w:rFonts w:hint="eastAsia"/>
          <w:color w:val="auto"/>
        </w:rPr>
        <w:t>多晶硅棒生长条件</w:t>
      </w:r>
      <w:r>
        <w:rPr>
          <w:rFonts w:hint="eastAsia" w:ascii="宋体" w:hAnsi="宋体" w:cs="宋体"/>
          <w:color w:val="auto"/>
        </w:rPr>
        <w:t>推荐操作条件见表A.1</w:t>
      </w:r>
      <w:r>
        <w:rPr>
          <w:rFonts w:hint="eastAsia"/>
          <w:color w:val="auto"/>
        </w:rPr>
        <w:t>多晶硅棒生长条件：</w:t>
      </w:r>
    </w:p>
    <w:p>
      <w:pPr>
        <w:widowControl/>
        <w:spacing w:before="156" w:beforeLines="50" w:after="156" w:afterLines="50"/>
        <w:jc w:val="center"/>
        <w:rPr>
          <w:rFonts w:ascii="黑体" w:hAnsi="黑体" w:eastAsia="黑体" w:cs="黑体"/>
          <w:color w:val="auto"/>
        </w:rPr>
      </w:pPr>
      <w:r>
        <w:rPr>
          <w:rFonts w:hint="eastAsia" w:ascii="黑体" w:hAnsi="黑体" w:eastAsia="黑体" w:cs="黑体"/>
          <w:color w:val="auto"/>
        </w:rPr>
        <w:t xml:space="preserve">表A.1 </w:t>
      </w:r>
      <w:r>
        <w:rPr>
          <w:rFonts w:ascii="黑体" w:hAnsi="黑体" w:eastAsia="黑体" w:cs="黑体"/>
          <w:color w:val="auto"/>
        </w:rPr>
        <w:t xml:space="preserve"> </w:t>
      </w:r>
      <w:r>
        <w:rPr>
          <w:rFonts w:hint="eastAsia" w:ascii="黑体" w:hAnsi="黑体" w:eastAsia="黑体" w:cs="黑体"/>
          <w:color w:val="auto"/>
        </w:rPr>
        <w:t>推荐操作条件</w:t>
      </w:r>
    </w:p>
    <w:tbl>
      <w:tblPr>
        <w:tblStyle w:val="41"/>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582"/>
        <w:gridCol w:w="28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582" w:type="dxa"/>
            <w:tcBorders>
              <w:top w:val="single" w:color="000000" w:sz="8" w:space="0"/>
              <w:left w:val="single" w:color="000000" w:sz="8" w:space="0"/>
              <w:bottom w:val="single" w:color="000000" w:sz="4" w:space="0"/>
              <w:right w:val="single" w:color="000000" w:sz="4" w:space="0"/>
            </w:tcBorders>
          </w:tcPr>
          <w:p>
            <w:pPr>
              <w:jc w:val="center"/>
              <w:rPr>
                <w:rFonts w:ascii="宋体" w:hAnsi="宋体" w:cs="宋体"/>
                <w:color w:val="auto"/>
                <w:szCs w:val="21"/>
              </w:rPr>
            </w:pPr>
            <w:r>
              <w:rPr>
                <w:rFonts w:hint="eastAsia" w:ascii="宋体" w:hAnsi="宋体" w:cs="宋体"/>
                <w:color w:val="auto"/>
                <w:szCs w:val="21"/>
              </w:rPr>
              <w:t>项目</w:t>
            </w:r>
          </w:p>
        </w:tc>
        <w:tc>
          <w:tcPr>
            <w:tcW w:w="2877" w:type="dxa"/>
            <w:tcBorders>
              <w:top w:val="single" w:color="000000" w:sz="8" w:space="0"/>
              <w:left w:val="single" w:color="000000" w:sz="4" w:space="0"/>
              <w:bottom w:val="single" w:color="000000" w:sz="4" w:space="0"/>
              <w:right w:val="single" w:color="000000" w:sz="8" w:space="0"/>
            </w:tcBorders>
          </w:tcPr>
          <w:p>
            <w:pPr>
              <w:pStyle w:val="183"/>
              <w:widowControl w:val="0"/>
              <w:spacing w:before="156" w:after="156"/>
              <w:rPr>
                <w:rFonts w:ascii="宋体" w:hAnsi="宋体" w:eastAsia="宋体" w:cs="宋体"/>
                <w:color w:val="auto"/>
                <w:kern w:val="2"/>
              </w:rPr>
            </w:pPr>
            <w:r>
              <w:rPr>
                <w:rFonts w:hint="eastAsia" w:ascii="宋体" w:hAnsi="宋体" w:eastAsia="宋体" w:cs="宋体"/>
                <w:color w:val="auto"/>
                <w:kern w:val="2"/>
              </w:rPr>
              <w:t>参数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582" w:type="dxa"/>
            <w:tcBorders>
              <w:top w:val="single" w:color="000000" w:sz="4" w:space="0"/>
              <w:left w:val="single" w:color="000000" w:sz="8" w:space="0"/>
              <w:bottom w:val="single" w:color="000000" w:sz="4" w:space="0"/>
              <w:right w:val="single" w:color="000000" w:sz="4" w:space="0"/>
            </w:tcBorders>
          </w:tcPr>
          <w:p>
            <w:pPr>
              <w:rPr>
                <w:rFonts w:ascii="宋体" w:hAnsi="宋体" w:cs="宋体"/>
                <w:color w:val="auto"/>
                <w:szCs w:val="21"/>
              </w:rPr>
            </w:pPr>
            <w:r>
              <w:rPr>
                <w:rFonts w:hint="eastAsia" w:ascii="宋体" w:hAnsi="宋体" w:cs="宋体"/>
                <w:color w:val="auto"/>
                <w:szCs w:val="21"/>
              </w:rPr>
              <w:t>温度</w:t>
            </w:r>
          </w:p>
        </w:tc>
        <w:tc>
          <w:tcPr>
            <w:tcW w:w="2877" w:type="dxa"/>
            <w:tcBorders>
              <w:top w:val="single" w:color="000000" w:sz="4" w:space="0"/>
              <w:left w:val="single" w:color="000000" w:sz="4" w:space="0"/>
              <w:bottom w:val="single" w:color="000000" w:sz="4" w:space="0"/>
              <w:right w:val="single" w:color="000000" w:sz="8" w:space="0"/>
            </w:tcBorders>
          </w:tcPr>
          <w:p>
            <w:pPr>
              <w:jc w:val="center"/>
              <w:rPr>
                <w:rFonts w:ascii="宋体" w:hAnsi="宋体" w:cs="宋体"/>
                <w:color w:val="auto"/>
                <w:szCs w:val="21"/>
              </w:rPr>
            </w:pPr>
            <w:r>
              <w:rPr>
                <w:rFonts w:hint="eastAsia" w:ascii="宋体" w:hAnsi="宋体" w:cs="宋体"/>
                <w:color w:val="auto"/>
                <w:szCs w:val="21"/>
              </w:rPr>
              <w:t>1000℃-1200℃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582" w:type="dxa"/>
            <w:tcBorders>
              <w:top w:val="single" w:color="000000" w:sz="4" w:space="0"/>
              <w:left w:val="single" w:color="000000" w:sz="8" w:space="0"/>
              <w:bottom w:val="single" w:color="000000" w:sz="4" w:space="0"/>
              <w:right w:val="single" w:color="000000" w:sz="4" w:space="0"/>
            </w:tcBorders>
          </w:tcPr>
          <w:p>
            <w:pPr>
              <w:rPr>
                <w:rFonts w:ascii="宋体" w:hAnsi="宋体" w:cs="宋体"/>
                <w:color w:val="auto"/>
                <w:szCs w:val="21"/>
              </w:rPr>
            </w:pPr>
            <w:r>
              <w:rPr>
                <w:rFonts w:hint="eastAsia" w:ascii="宋体" w:hAnsi="宋体" w:cs="宋体"/>
                <w:color w:val="auto"/>
                <w:szCs w:val="21"/>
              </w:rPr>
              <w:t>三氯氢硅流量</w:t>
            </w:r>
          </w:p>
        </w:tc>
        <w:tc>
          <w:tcPr>
            <w:tcW w:w="2877" w:type="dxa"/>
            <w:tcBorders>
              <w:top w:val="single" w:color="000000" w:sz="4" w:space="0"/>
              <w:left w:val="single" w:color="000000" w:sz="4" w:space="0"/>
              <w:bottom w:val="single" w:color="000000" w:sz="4" w:space="0"/>
              <w:right w:val="single" w:color="000000" w:sz="8" w:space="0"/>
            </w:tcBorders>
          </w:tcPr>
          <w:p>
            <w:pPr>
              <w:widowControl/>
              <w:jc w:val="center"/>
              <w:rPr>
                <w:rFonts w:ascii="宋体" w:hAnsi="宋体" w:cs="宋体"/>
                <w:color w:val="auto"/>
                <w:szCs w:val="21"/>
              </w:rPr>
            </w:pPr>
            <w:r>
              <w:rPr>
                <w:rFonts w:hint="eastAsia" w:ascii="宋体" w:hAnsi="宋体" w:cs="宋体"/>
                <w:color w:val="auto"/>
                <w:szCs w:val="21"/>
              </w:rPr>
              <w:t>20kg/h-50kg/h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582" w:type="dxa"/>
            <w:tcBorders>
              <w:top w:val="single" w:color="000000" w:sz="4" w:space="0"/>
              <w:left w:val="single" w:color="000000" w:sz="8" w:space="0"/>
              <w:bottom w:val="single" w:color="000000" w:sz="4" w:space="0"/>
              <w:right w:val="single" w:color="000000" w:sz="4" w:space="0"/>
            </w:tcBorders>
          </w:tcPr>
          <w:p>
            <w:pPr>
              <w:rPr>
                <w:rFonts w:ascii="宋体" w:hAnsi="宋体" w:cs="宋体"/>
                <w:color w:val="auto"/>
                <w:szCs w:val="21"/>
              </w:rPr>
            </w:pPr>
            <w:r>
              <w:rPr>
                <w:rFonts w:hint="eastAsia" w:ascii="宋体" w:hAnsi="宋体" w:cs="宋体"/>
                <w:color w:val="auto"/>
                <w:szCs w:val="21"/>
              </w:rPr>
              <w:t>H</w:t>
            </w:r>
            <w:r>
              <w:rPr>
                <w:rFonts w:hint="eastAsia" w:ascii="宋体" w:hAnsi="宋体" w:cs="宋体"/>
                <w:color w:val="auto"/>
                <w:szCs w:val="21"/>
                <w:vertAlign w:val="subscript"/>
              </w:rPr>
              <w:t>2</w:t>
            </w:r>
            <w:r>
              <w:rPr>
                <w:rFonts w:hint="eastAsia" w:ascii="宋体" w:hAnsi="宋体" w:cs="宋体"/>
                <w:color w:val="auto"/>
                <w:szCs w:val="21"/>
              </w:rPr>
              <w:t>流量</w:t>
            </w:r>
          </w:p>
        </w:tc>
        <w:tc>
          <w:tcPr>
            <w:tcW w:w="2877" w:type="dxa"/>
            <w:tcBorders>
              <w:top w:val="single" w:color="000000" w:sz="4" w:space="0"/>
              <w:left w:val="single" w:color="000000" w:sz="4" w:space="0"/>
              <w:bottom w:val="single" w:color="000000" w:sz="4" w:space="0"/>
              <w:right w:val="single" w:color="000000" w:sz="8" w:space="0"/>
            </w:tcBorders>
          </w:tcPr>
          <w:p>
            <w:pPr>
              <w:jc w:val="center"/>
              <w:rPr>
                <w:rFonts w:ascii="宋体" w:hAnsi="宋体" w:cs="宋体"/>
                <w:color w:val="auto"/>
                <w:szCs w:val="21"/>
              </w:rPr>
            </w:pPr>
            <w:r>
              <w:rPr>
                <w:rFonts w:hint="eastAsia" w:ascii="宋体" w:hAnsi="宋体" w:cs="宋体"/>
                <w:color w:val="auto"/>
                <w:szCs w:val="21"/>
              </w:rPr>
              <w:t>1kg/h-5kg/h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582" w:type="dxa"/>
            <w:tcBorders>
              <w:top w:val="single" w:color="000000" w:sz="4" w:space="0"/>
              <w:left w:val="single" w:color="000000" w:sz="8" w:space="0"/>
              <w:bottom w:val="single" w:color="000000" w:sz="4" w:space="0"/>
              <w:right w:val="single" w:color="000000" w:sz="4" w:space="0"/>
            </w:tcBorders>
          </w:tcPr>
          <w:p>
            <w:pPr>
              <w:rPr>
                <w:rFonts w:ascii="宋体" w:hAnsi="宋体" w:cs="宋体"/>
                <w:color w:val="auto"/>
                <w:szCs w:val="21"/>
              </w:rPr>
            </w:pPr>
            <w:r>
              <w:rPr>
                <w:rFonts w:hint="eastAsia" w:ascii="宋体" w:hAnsi="宋体" w:cs="宋体"/>
                <w:color w:val="auto"/>
                <w:szCs w:val="21"/>
              </w:rPr>
              <w:t>生长时间</w:t>
            </w:r>
          </w:p>
        </w:tc>
        <w:tc>
          <w:tcPr>
            <w:tcW w:w="2877" w:type="dxa"/>
            <w:tcBorders>
              <w:top w:val="single" w:color="000000" w:sz="4" w:space="0"/>
              <w:left w:val="single" w:color="000000" w:sz="4" w:space="0"/>
              <w:bottom w:val="single" w:color="000000" w:sz="4" w:space="0"/>
              <w:right w:val="single" w:color="000000" w:sz="8" w:space="0"/>
            </w:tcBorders>
          </w:tcPr>
          <w:p>
            <w:pPr>
              <w:jc w:val="center"/>
              <w:rPr>
                <w:rFonts w:ascii="宋体" w:hAnsi="宋体" w:cs="宋体"/>
                <w:color w:val="auto"/>
                <w:szCs w:val="21"/>
              </w:rPr>
            </w:pPr>
            <w:r>
              <w:rPr>
                <w:rFonts w:hint="eastAsia" w:ascii="宋体" w:hAnsi="宋体" w:cs="宋体"/>
                <w:color w:val="auto"/>
                <w:szCs w:val="21"/>
              </w:rPr>
              <w:t>10至14小时</w:t>
            </w:r>
          </w:p>
        </w:tc>
      </w:tr>
    </w:tbl>
    <w:p>
      <w:pPr>
        <w:pStyle w:val="111"/>
        <w:numPr>
          <w:ilvl w:val="1"/>
          <w:numId w:val="24"/>
        </w:numPr>
        <w:wordWrap/>
        <w:spacing w:beforeLines="0" w:afterLines="0" w:line="360" w:lineRule="auto"/>
        <w:rPr>
          <w:rFonts w:ascii="Times New Roman"/>
          <w:color w:val="auto"/>
          <w:kern w:val="2"/>
          <w:szCs w:val="24"/>
        </w:rPr>
      </w:pPr>
      <w:r>
        <w:rPr>
          <w:rFonts w:hint="eastAsia" w:ascii="Times New Roman"/>
          <w:color w:val="auto"/>
          <w:kern w:val="2"/>
          <w:szCs w:val="24"/>
        </w:rPr>
        <w:t>单晶硅棒的制备</w:t>
      </w:r>
    </w:p>
    <w:p>
      <w:pPr>
        <w:tabs>
          <w:tab w:val="left" w:pos="6138"/>
        </w:tabs>
        <w:ind w:firstLine="420" w:firstLineChars="200"/>
        <w:jc w:val="left"/>
        <w:rPr>
          <w:color w:val="auto"/>
        </w:rPr>
      </w:pPr>
      <w:r>
        <w:rPr>
          <w:rFonts w:hint="eastAsia"/>
          <w:color w:val="auto"/>
        </w:rPr>
        <w:t>单晶硅棒的制备、施主杂质含量、受主杂质含量和电阻率的取样位置参照GB/T 4059。</w:t>
      </w:r>
    </w:p>
    <w:p>
      <w:pPr>
        <w:tabs>
          <w:tab w:val="left" w:pos="6138"/>
        </w:tabs>
        <w:jc w:val="left"/>
        <w:rPr>
          <w:color w:val="auto"/>
        </w:rPr>
      </w:pPr>
    </w:p>
    <w:p>
      <w:pPr>
        <w:pStyle w:val="32"/>
        <w:ind w:firstLine="0" w:firstLineChars="0"/>
        <w:rPr>
          <w:rFonts w:asciiTheme="minorEastAsia" w:hAnsiTheme="minorEastAsia" w:eastAsiaTheme="minorEastAsia"/>
          <w:color w:val="auto"/>
          <w:szCs w:val="21"/>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1592580</wp:posOffset>
                </wp:positionH>
                <wp:positionV relativeFrom="paragraph">
                  <wp:posOffset>654050</wp:posOffset>
                </wp:positionV>
                <wp:extent cx="19926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9927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4pt;margin-top:51.5pt;height:0pt;width:156.9pt;z-index:251661312;mso-width-relative:page;mso-height-relative:page;" filled="f" stroked="t" coordsize="21600,21600" o:gfxdata="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N12x1gAAAAsBAAAPAAAAAAAAAAEA&#10;IAAAACIAAABkcnMvZG93bnJldi54bWxQSwECFAAUAAAACACHTuJA3YyYPdgBAACaAwAADgAAAAAA&#10;AAABACAAAAAlAQAAZHJzL2Uyb0RvYy54bWxQSwUGAAAAAAYABgBZAQAAbwUAAAAA&#10;">
                <v:fill on="f" focussize="0,0"/>
                <v:stroke color="#000000 [3213]" joinstyle="round"/>
                <v:imagedata o:title=""/>
                <o:lock v:ext="edit" aspectratio="f"/>
              </v:line>
            </w:pict>
          </mc:Fallback>
        </mc:AlternateConten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 xml:space="preserve">GB/T </w:t>
    </w:r>
    <w:r>
      <w:rPr>
        <w:rFonts w:hint="eastAsia"/>
      </w:rPr>
      <w:t>30652</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2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6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4"/>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2268"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5"/>
      <w:suff w:val="nothing"/>
      <w:lvlText w:val="%1.%2.%3　"/>
      <w:lvlJc w:val="left"/>
      <w:pPr>
        <w:ind w:left="567"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7"/>
      <w:suff w:val="nothing"/>
      <w:lvlText w:val="%1——"/>
      <w:lvlJc w:val="left"/>
      <w:pPr>
        <w:ind w:left="976" w:hanging="408"/>
      </w:pPr>
      <w:rPr>
        <w:rFonts w:hint="eastAsia"/>
        <w:lang w:val="en-US"/>
      </w:rPr>
    </w:lvl>
    <w:lvl w:ilvl="1" w:tentative="0">
      <w:start w:val="1"/>
      <w:numFmt w:val="bullet"/>
      <w:pStyle w:val="58"/>
      <w:lvlText w:val=""/>
      <w:lvlJc w:val="left"/>
      <w:pPr>
        <w:tabs>
          <w:tab w:val="left" w:pos="903"/>
        </w:tabs>
        <w:ind w:left="1407" w:hanging="413"/>
      </w:pPr>
      <w:rPr>
        <w:rFonts w:hint="default" w:ascii="Symbol" w:hAnsi="Symbol"/>
        <w:color w:val="auto"/>
      </w:rPr>
    </w:lvl>
    <w:lvl w:ilvl="2" w:tentative="0">
      <w:start w:val="1"/>
      <w:numFmt w:val="bullet"/>
      <w:pStyle w:val="69"/>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3FB008C1"/>
    <w:multiLevelType w:val="multilevel"/>
    <w:tmpl w:val="3FB008C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heme="majorEastAsia" w:hAnsiTheme="majorEastAsia" w:eastAsiaTheme="majorEastAsia"/>
        <w:sz w:val="21"/>
        <w:szCs w:val="21"/>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4">
    <w:nsid w:val="44C50F90"/>
    <w:multiLevelType w:val="multilevel"/>
    <w:tmpl w:val="44C50F90"/>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B733A5F"/>
    <w:multiLevelType w:val="multilevel"/>
    <w:tmpl w:val="4B733A5F"/>
    <w:lvl w:ilvl="0" w:tentative="0">
      <w:start w:val="1"/>
      <w:numFmt w:val="decimal"/>
      <w:pStyle w:val="7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1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2"/>
  </w:num>
  <w:num w:numId="3">
    <w:abstractNumId w:val="7"/>
  </w:num>
  <w:num w:numId="4">
    <w:abstractNumId w:val="9"/>
  </w:num>
  <w:num w:numId="5">
    <w:abstractNumId w:val="4"/>
  </w:num>
  <w:num w:numId="6">
    <w:abstractNumId w:val="14"/>
  </w:num>
  <w:num w:numId="7">
    <w:abstractNumId w:val="22"/>
  </w:num>
  <w:num w:numId="8">
    <w:abstractNumId w:val="2"/>
  </w:num>
  <w:num w:numId="9">
    <w:abstractNumId w:val="15"/>
  </w:num>
  <w:num w:numId="10">
    <w:abstractNumId w:val="6"/>
  </w:num>
  <w:num w:numId="11">
    <w:abstractNumId w:val="20"/>
  </w:num>
  <w:num w:numId="12">
    <w:abstractNumId w:val="18"/>
  </w:num>
  <w:num w:numId="13">
    <w:abstractNumId w:val="21"/>
  </w:num>
  <w:num w:numId="14">
    <w:abstractNumId w:val="8"/>
  </w:num>
  <w:num w:numId="15">
    <w:abstractNumId w:val="3"/>
  </w:num>
  <w:num w:numId="16">
    <w:abstractNumId w:val="5"/>
  </w:num>
  <w:num w:numId="17">
    <w:abstractNumId w:val="19"/>
  </w:num>
  <w:num w:numId="18">
    <w:abstractNumId w:val="17"/>
  </w:num>
  <w:num w:numId="19">
    <w:abstractNumId w:val="16"/>
  </w:num>
  <w:num w:numId="20">
    <w:abstractNumId w:val="1"/>
  </w:num>
  <w:num w:numId="21">
    <w:abstractNumId w:val="23"/>
  </w:num>
  <w:num w:numId="22">
    <w:abstractNumId w:val="11"/>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MDI2ZGZjN2VhYTQzODQwOTUzYzYzNDJkNDYzZmUifQ=="/>
  </w:docVars>
  <w:rsids>
    <w:rsidRoot w:val="008E3BB5"/>
    <w:rsid w:val="00000244"/>
    <w:rsid w:val="0000185F"/>
    <w:rsid w:val="0000586F"/>
    <w:rsid w:val="00011107"/>
    <w:rsid w:val="00013D86"/>
    <w:rsid w:val="00013E02"/>
    <w:rsid w:val="00014328"/>
    <w:rsid w:val="000153B5"/>
    <w:rsid w:val="00016FD7"/>
    <w:rsid w:val="0002143C"/>
    <w:rsid w:val="0002193D"/>
    <w:rsid w:val="00025A65"/>
    <w:rsid w:val="00026C31"/>
    <w:rsid w:val="00027280"/>
    <w:rsid w:val="00027646"/>
    <w:rsid w:val="00031BDE"/>
    <w:rsid w:val="000320A7"/>
    <w:rsid w:val="00033982"/>
    <w:rsid w:val="00033EAC"/>
    <w:rsid w:val="00035925"/>
    <w:rsid w:val="00035EA5"/>
    <w:rsid w:val="000406F0"/>
    <w:rsid w:val="00045AEA"/>
    <w:rsid w:val="00045B47"/>
    <w:rsid w:val="0005067C"/>
    <w:rsid w:val="00057C16"/>
    <w:rsid w:val="000604DE"/>
    <w:rsid w:val="0006686E"/>
    <w:rsid w:val="00067B30"/>
    <w:rsid w:val="00067CDF"/>
    <w:rsid w:val="00072A37"/>
    <w:rsid w:val="000735D3"/>
    <w:rsid w:val="00074FBE"/>
    <w:rsid w:val="00082335"/>
    <w:rsid w:val="00083A09"/>
    <w:rsid w:val="0009005E"/>
    <w:rsid w:val="000911B0"/>
    <w:rsid w:val="000912B2"/>
    <w:rsid w:val="00092857"/>
    <w:rsid w:val="00092AB0"/>
    <w:rsid w:val="00092E6C"/>
    <w:rsid w:val="000973C3"/>
    <w:rsid w:val="000973DA"/>
    <w:rsid w:val="000976FF"/>
    <w:rsid w:val="000A0483"/>
    <w:rsid w:val="000A1B6D"/>
    <w:rsid w:val="000A1D2B"/>
    <w:rsid w:val="000A20A9"/>
    <w:rsid w:val="000A48B1"/>
    <w:rsid w:val="000A5E93"/>
    <w:rsid w:val="000B064B"/>
    <w:rsid w:val="000B1D1F"/>
    <w:rsid w:val="000B2103"/>
    <w:rsid w:val="000B3143"/>
    <w:rsid w:val="000B5591"/>
    <w:rsid w:val="000B5D17"/>
    <w:rsid w:val="000C4DDB"/>
    <w:rsid w:val="000C6B05"/>
    <w:rsid w:val="000C6DD6"/>
    <w:rsid w:val="000C73D4"/>
    <w:rsid w:val="000D3D4C"/>
    <w:rsid w:val="000D4F51"/>
    <w:rsid w:val="000D703C"/>
    <w:rsid w:val="000D718B"/>
    <w:rsid w:val="000E0C46"/>
    <w:rsid w:val="000E108A"/>
    <w:rsid w:val="000E3CFA"/>
    <w:rsid w:val="000E6F73"/>
    <w:rsid w:val="000F030C"/>
    <w:rsid w:val="000F129C"/>
    <w:rsid w:val="000F1E61"/>
    <w:rsid w:val="000F5E7C"/>
    <w:rsid w:val="000F6B60"/>
    <w:rsid w:val="00102B74"/>
    <w:rsid w:val="001056DE"/>
    <w:rsid w:val="00107C50"/>
    <w:rsid w:val="001124C0"/>
    <w:rsid w:val="00113192"/>
    <w:rsid w:val="001176B7"/>
    <w:rsid w:val="0013175F"/>
    <w:rsid w:val="001512B4"/>
    <w:rsid w:val="001620A5"/>
    <w:rsid w:val="0016370D"/>
    <w:rsid w:val="00164B49"/>
    <w:rsid w:val="00164C1B"/>
    <w:rsid w:val="00164E53"/>
    <w:rsid w:val="0016699D"/>
    <w:rsid w:val="001723B3"/>
    <w:rsid w:val="00175159"/>
    <w:rsid w:val="00176208"/>
    <w:rsid w:val="0017729D"/>
    <w:rsid w:val="00177569"/>
    <w:rsid w:val="001809F2"/>
    <w:rsid w:val="0018211B"/>
    <w:rsid w:val="0018274A"/>
    <w:rsid w:val="001840D3"/>
    <w:rsid w:val="00185132"/>
    <w:rsid w:val="001855C6"/>
    <w:rsid w:val="00185838"/>
    <w:rsid w:val="001900F8"/>
    <w:rsid w:val="001902AE"/>
    <w:rsid w:val="00191258"/>
    <w:rsid w:val="001922DF"/>
    <w:rsid w:val="00192680"/>
    <w:rsid w:val="00193037"/>
    <w:rsid w:val="00193A2C"/>
    <w:rsid w:val="00194FAD"/>
    <w:rsid w:val="001A20FA"/>
    <w:rsid w:val="001A288E"/>
    <w:rsid w:val="001A7AB6"/>
    <w:rsid w:val="001B11C3"/>
    <w:rsid w:val="001B6DC2"/>
    <w:rsid w:val="001B79DA"/>
    <w:rsid w:val="001B7FBA"/>
    <w:rsid w:val="001C0D55"/>
    <w:rsid w:val="001C149C"/>
    <w:rsid w:val="001C21AC"/>
    <w:rsid w:val="001C2B54"/>
    <w:rsid w:val="001C47BA"/>
    <w:rsid w:val="001C59EA"/>
    <w:rsid w:val="001D406C"/>
    <w:rsid w:val="001D41EE"/>
    <w:rsid w:val="001E0380"/>
    <w:rsid w:val="001E0DD0"/>
    <w:rsid w:val="001E13B1"/>
    <w:rsid w:val="001E2BE9"/>
    <w:rsid w:val="001E2F7E"/>
    <w:rsid w:val="001E4BE3"/>
    <w:rsid w:val="001F01FD"/>
    <w:rsid w:val="001F04C8"/>
    <w:rsid w:val="001F2E61"/>
    <w:rsid w:val="001F3A19"/>
    <w:rsid w:val="001F4178"/>
    <w:rsid w:val="001F45BB"/>
    <w:rsid w:val="001F614C"/>
    <w:rsid w:val="00201F8A"/>
    <w:rsid w:val="002032A9"/>
    <w:rsid w:val="0020508C"/>
    <w:rsid w:val="002076AB"/>
    <w:rsid w:val="00210D13"/>
    <w:rsid w:val="00213EFD"/>
    <w:rsid w:val="00216646"/>
    <w:rsid w:val="00216D2A"/>
    <w:rsid w:val="00221113"/>
    <w:rsid w:val="00234467"/>
    <w:rsid w:val="00237D8D"/>
    <w:rsid w:val="002409D7"/>
    <w:rsid w:val="00241DA2"/>
    <w:rsid w:val="002440CD"/>
    <w:rsid w:val="002466D8"/>
    <w:rsid w:val="00247FEE"/>
    <w:rsid w:val="002503A7"/>
    <w:rsid w:val="00250E7D"/>
    <w:rsid w:val="00252750"/>
    <w:rsid w:val="002539E0"/>
    <w:rsid w:val="002565D5"/>
    <w:rsid w:val="00260BCB"/>
    <w:rsid w:val="002622C0"/>
    <w:rsid w:val="00263ECE"/>
    <w:rsid w:val="002674DC"/>
    <w:rsid w:val="00270637"/>
    <w:rsid w:val="002730D5"/>
    <w:rsid w:val="00273653"/>
    <w:rsid w:val="0027530E"/>
    <w:rsid w:val="002778AE"/>
    <w:rsid w:val="00280A52"/>
    <w:rsid w:val="0028269A"/>
    <w:rsid w:val="002828C1"/>
    <w:rsid w:val="00283590"/>
    <w:rsid w:val="002838FB"/>
    <w:rsid w:val="002847B5"/>
    <w:rsid w:val="00284D2E"/>
    <w:rsid w:val="00285A78"/>
    <w:rsid w:val="00286973"/>
    <w:rsid w:val="002927F1"/>
    <w:rsid w:val="00294E70"/>
    <w:rsid w:val="002A07FA"/>
    <w:rsid w:val="002A1528"/>
    <w:rsid w:val="002A1924"/>
    <w:rsid w:val="002A3EE7"/>
    <w:rsid w:val="002A7420"/>
    <w:rsid w:val="002B003B"/>
    <w:rsid w:val="002B023D"/>
    <w:rsid w:val="002B040F"/>
    <w:rsid w:val="002B0F12"/>
    <w:rsid w:val="002B1308"/>
    <w:rsid w:val="002B159C"/>
    <w:rsid w:val="002B4554"/>
    <w:rsid w:val="002B5A91"/>
    <w:rsid w:val="002B5B98"/>
    <w:rsid w:val="002C3891"/>
    <w:rsid w:val="002C5773"/>
    <w:rsid w:val="002C6A6B"/>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355"/>
    <w:rsid w:val="002F45A5"/>
    <w:rsid w:val="002F4B8A"/>
    <w:rsid w:val="00301F39"/>
    <w:rsid w:val="003050B7"/>
    <w:rsid w:val="00313C8E"/>
    <w:rsid w:val="003146AC"/>
    <w:rsid w:val="003154C8"/>
    <w:rsid w:val="00316218"/>
    <w:rsid w:val="00317989"/>
    <w:rsid w:val="00325926"/>
    <w:rsid w:val="00327A8A"/>
    <w:rsid w:val="003322D8"/>
    <w:rsid w:val="00333B21"/>
    <w:rsid w:val="00336610"/>
    <w:rsid w:val="00343F73"/>
    <w:rsid w:val="00344571"/>
    <w:rsid w:val="00345060"/>
    <w:rsid w:val="00345846"/>
    <w:rsid w:val="00345ADE"/>
    <w:rsid w:val="00346386"/>
    <w:rsid w:val="00352A06"/>
    <w:rsid w:val="00352E65"/>
    <w:rsid w:val="0035323B"/>
    <w:rsid w:val="0035762E"/>
    <w:rsid w:val="003609D2"/>
    <w:rsid w:val="003632BA"/>
    <w:rsid w:val="00363F22"/>
    <w:rsid w:val="00366D61"/>
    <w:rsid w:val="00375564"/>
    <w:rsid w:val="0037633B"/>
    <w:rsid w:val="00381344"/>
    <w:rsid w:val="00383191"/>
    <w:rsid w:val="00384A68"/>
    <w:rsid w:val="00386DED"/>
    <w:rsid w:val="0038798C"/>
    <w:rsid w:val="003912E7"/>
    <w:rsid w:val="003927C3"/>
    <w:rsid w:val="00393947"/>
    <w:rsid w:val="0039509E"/>
    <w:rsid w:val="003A2275"/>
    <w:rsid w:val="003A25EC"/>
    <w:rsid w:val="003A2C9E"/>
    <w:rsid w:val="003A6A4F"/>
    <w:rsid w:val="003A7088"/>
    <w:rsid w:val="003A770D"/>
    <w:rsid w:val="003B00DF"/>
    <w:rsid w:val="003B1275"/>
    <w:rsid w:val="003B1778"/>
    <w:rsid w:val="003B3E19"/>
    <w:rsid w:val="003C11CB"/>
    <w:rsid w:val="003C519A"/>
    <w:rsid w:val="003C75F3"/>
    <w:rsid w:val="003C78A3"/>
    <w:rsid w:val="003D0C53"/>
    <w:rsid w:val="003D2B50"/>
    <w:rsid w:val="003D6335"/>
    <w:rsid w:val="003D654B"/>
    <w:rsid w:val="003D75E9"/>
    <w:rsid w:val="003E1867"/>
    <w:rsid w:val="003E2B44"/>
    <w:rsid w:val="003E361A"/>
    <w:rsid w:val="003E4754"/>
    <w:rsid w:val="003E5729"/>
    <w:rsid w:val="003F0DBC"/>
    <w:rsid w:val="003F4EA1"/>
    <w:rsid w:val="003F4EE0"/>
    <w:rsid w:val="00402153"/>
    <w:rsid w:val="00402FC1"/>
    <w:rsid w:val="004058EB"/>
    <w:rsid w:val="00405914"/>
    <w:rsid w:val="00407859"/>
    <w:rsid w:val="00411415"/>
    <w:rsid w:val="004123FB"/>
    <w:rsid w:val="00414F9D"/>
    <w:rsid w:val="00425082"/>
    <w:rsid w:val="00427764"/>
    <w:rsid w:val="0042791F"/>
    <w:rsid w:val="00431DEB"/>
    <w:rsid w:val="00433893"/>
    <w:rsid w:val="00434213"/>
    <w:rsid w:val="004356AF"/>
    <w:rsid w:val="00441961"/>
    <w:rsid w:val="00443AE6"/>
    <w:rsid w:val="0044584E"/>
    <w:rsid w:val="00446B29"/>
    <w:rsid w:val="00446D07"/>
    <w:rsid w:val="00450744"/>
    <w:rsid w:val="00450A55"/>
    <w:rsid w:val="00450B0B"/>
    <w:rsid w:val="00451865"/>
    <w:rsid w:val="00451B49"/>
    <w:rsid w:val="004530CC"/>
    <w:rsid w:val="00453F9A"/>
    <w:rsid w:val="00455125"/>
    <w:rsid w:val="00460A12"/>
    <w:rsid w:val="00462CAA"/>
    <w:rsid w:val="00466001"/>
    <w:rsid w:val="00467D09"/>
    <w:rsid w:val="00467FC4"/>
    <w:rsid w:val="00470549"/>
    <w:rsid w:val="00471E91"/>
    <w:rsid w:val="00471F35"/>
    <w:rsid w:val="00474675"/>
    <w:rsid w:val="0047470C"/>
    <w:rsid w:val="00474D32"/>
    <w:rsid w:val="00483E82"/>
    <w:rsid w:val="00485829"/>
    <w:rsid w:val="00485C11"/>
    <w:rsid w:val="00494833"/>
    <w:rsid w:val="00495C02"/>
    <w:rsid w:val="00496521"/>
    <w:rsid w:val="00497FCC"/>
    <w:rsid w:val="004A1202"/>
    <w:rsid w:val="004A34AF"/>
    <w:rsid w:val="004A35F9"/>
    <w:rsid w:val="004A5953"/>
    <w:rsid w:val="004A705F"/>
    <w:rsid w:val="004B0F95"/>
    <w:rsid w:val="004B14AE"/>
    <w:rsid w:val="004B24C1"/>
    <w:rsid w:val="004B3FFB"/>
    <w:rsid w:val="004B6191"/>
    <w:rsid w:val="004B7C77"/>
    <w:rsid w:val="004C0154"/>
    <w:rsid w:val="004C1B03"/>
    <w:rsid w:val="004C1F96"/>
    <w:rsid w:val="004C292F"/>
    <w:rsid w:val="004C3D9A"/>
    <w:rsid w:val="004C4B51"/>
    <w:rsid w:val="004C5980"/>
    <w:rsid w:val="004C75C5"/>
    <w:rsid w:val="004D08BC"/>
    <w:rsid w:val="004D3ACC"/>
    <w:rsid w:val="004D79BF"/>
    <w:rsid w:val="004E045B"/>
    <w:rsid w:val="004E3F0E"/>
    <w:rsid w:val="004E490D"/>
    <w:rsid w:val="004E568C"/>
    <w:rsid w:val="004E73DE"/>
    <w:rsid w:val="004E778B"/>
    <w:rsid w:val="004E7C96"/>
    <w:rsid w:val="004F4457"/>
    <w:rsid w:val="004F6040"/>
    <w:rsid w:val="00505295"/>
    <w:rsid w:val="005067D9"/>
    <w:rsid w:val="00510280"/>
    <w:rsid w:val="00511118"/>
    <w:rsid w:val="00513D73"/>
    <w:rsid w:val="00514A43"/>
    <w:rsid w:val="0051543B"/>
    <w:rsid w:val="005174E5"/>
    <w:rsid w:val="00521E4F"/>
    <w:rsid w:val="00522393"/>
    <w:rsid w:val="00522620"/>
    <w:rsid w:val="0052553A"/>
    <w:rsid w:val="00525656"/>
    <w:rsid w:val="00527A35"/>
    <w:rsid w:val="00533632"/>
    <w:rsid w:val="00534A1B"/>
    <w:rsid w:val="00534C02"/>
    <w:rsid w:val="005408A7"/>
    <w:rsid w:val="00542373"/>
    <w:rsid w:val="0054264B"/>
    <w:rsid w:val="00542B40"/>
    <w:rsid w:val="00543786"/>
    <w:rsid w:val="005443AD"/>
    <w:rsid w:val="005474BB"/>
    <w:rsid w:val="00547603"/>
    <w:rsid w:val="005518A2"/>
    <w:rsid w:val="00551DBD"/>
    <w:rsid w:val="005533D7"/>
    <w:rsid w:val="0056076D"/>
    <w:rsid w:val="00563BFD"/>
    <w:rsid w:val="0056738D"/>
    <w:rsid w:val="005703DE"/>
    <w:rsid w:val="0057103A"/>
    <w:rsid w:val="00575BA3"/>
    <w:rsid w:val="00576508"/>
    <w:rsid w:val="00576BE4"/>
    <w:rsid w:val="0057762F"/>
    <w:rsid w:val="00582165"/>
    <w:rsid w:val="005823BA"/>
    <w:rsid w:val="00583212"/>
    <w:rsid w:val="0058464E"/>
    <w:rsid w:val="00585916"/>
    <w:rsid w:val="005862BE"/>
    <w:rsid w:val="005A01CB"/>
    <w:rsid w:val="005A28F3"/>
    <w:rsid w:val="005A3B3F"/>
    <w:rsid w:val="005A58FF"/>
    <w:rsid w:val="005A5EAF"/>
    <w:rsid w:val="005A604B"/>
    <w:rsid w:val="005A64C0"/>
    <w:rsid w:val="005A73B2"/>
    <w:rsid w:val="005A7D86"/>
    <w:rsid w:val="005A7F2C"/>
    <w:rsid w:val="005B3A76"/>
    <w:rsid w:val="005B3C11"/>
    <w:rsid w:val="005B4845"/>
    <w:rsid w:val="005B65AC"/>
    <w:rsid w:val="005C177F"/>
    <w:rsid w:val="005C18EE"/>
    <w:rsid w:val="005C1C28"/>
    <w:rsid w:val="005C25F5"/>
    <w:rsid w:val="005C27B9"/>
    <w:rsid w:val="005C676A"/>
    <w:rsid w:val="005C6DB5"/>
    <w:rsid w:val="005D0F7E"/>
    <w:rsid w:val="005D53DB"/>
    <w:rsid w:val="005D677A"/>
    <w:rsid w:val="005E19E7"/>
    <w:rsid w:val="005E1DA2"/>
    <w:rsid w:val="005F068F"/>
    <w:rsid w:val="005F281E"/>
    <w:rsid w:val="005F436B"/>
    <w:rsid w:val="005F7580"/>
    <w:rsid w:val="0061571C"/>
    <w:rsid w:val="0061716C"/>
    <w:rsid w:val="006171E7"/>
    <w:rsid w:val="006230EA"/>
    <w:rsid w:val="006239DF"/>
    <w:rsid w:val="00623C93"/>
    <w:rsid w:val="006243A1"/>
    <w:rsid w:val="006253DB"/>
    <w:rsid w:val="00625DE0"/>
    <w:rsid w:val="00632E56"/>
    <w:rsid w:val="0063315E"/>
    <w:rsid w:val="00635CBA"/>
    <w:rsid w:val="00637A59"/>
    <w:rsid w:val="0064338B"/>
    <w:rsid w:val="006446D4"/>
    <w:rsid w:val="00646542"/>
    <w:rsid w:val="006504F4"/>
    <w:rsid w:val="00650694"/>
    <w:rsid w:val="006536B0"/>
    <w:rsid w:val="00654BC9"/>
    <w:rsid w:val="006552FD"/>
    <w:rsid w:val="006570BB"/>
    <w:rsid w:val="006601B3"/>
    <w:rsid w:val="00660BCE"/>
    <w:rsid w:val="00661749"/>
    <w:rsid w:val="00663AF3"/>
    <w:rsid w:val="00666B6C"/>
    <w:rsid w:val="006704D9"/>
    <w:rsid w:val="00671F31"/>
    <w:rsid w:val="00672CFB"/>
    <w:rsid w:val="0067324A"/>
    <w:rsid w:val="00674527"/>
    <w:rsid w:val="0068237B"/>
    <w:rsid w:val="00682682"/>
    <w:rsid w:val="00682702"/>
    <w:rsid w:val="0068357C"/>
    <w:rsid w:val="00690463"/>
    <w:rsid w:val="00692368"/>
    <w:rsid w:val="006945FB"/>
    <w:rsid w:val="006A21AC"/>
    <w:rsid w:val="006A2EBC"/>
    <w:rsid w:val="006A49CF"/>
    <w:rsid w:val="006A5EA0"/>
    <w:rsid w:val="006A6F64"/>
    <w:rsid w:val="006A748D"/>
    <w:rsid w:val="006A783B"/>
    <w:rsid w:val="006A78C1"/>
    <w:rsid w:val="006A7B33"/>
    <w:rsid w:val="006B2CCD"/>
    <w:rsid w:val="006B2F7E"/>
    <w:rsid w:val="006B4BE6"/>
    <w:rsid w:val="006B4E13"/>
    <w:rsid w:val="006B5F87"/>
    <w:rsid w:val="006B75DD"/>
    <w:rsid w:val="006C149F"/>
    <w:rsid w:val="006C67E0"/>
    <w:rsid w:val="006C7ABA"/>
    <w:rsid w:val="006C7D7F"/>
    <w:rsid w:val="006D0578"/>
    <w:rsid w:val="006D0D60"/>
    <w:rsid w:val="006D1122"/>
    <w:rsid w:val="006D1933"/>
    <w:rsid w:val="006D3C00"/>
    <w:rsid w:val="006D66C6"/>
    <w:rsid w:val="006D66FC"/>
    <w:rsid w:val="006D719D"/>
    <w:rsid w:val="006E3426"/>
    <w:rsid w:val="006E3675"/>
    <w:rsid w:val="006E3CB4"/>
    <w:rsid w:val="006E4A7F"/>
    <w:rsid w:val="006F2A4C"/>
    <w:rsid w:val="006F3B58"/>
    <w:rsid w:val="006F44D6"/>
    <w:rsid w:val="0070045B"/>
    <w:rsid w:val="00700E9C"/>
    <w:rsid w:val="00701907"/>
    <w:rsid w:val="007028BF"/>
    <w:rsid w:val="00704DF6"/>
    <w:rsid w:val="00705356"/>
    <w:rsid w:val="0070651C"/>
    <w:rsid w:val="00707790"/>
    <w:rsid w:val="007131B7"/>
    <w:rsid w:val="007132A3"/>
    <w:rsid w:val="00713E5B"/>
    <w:rsid w:val="0071546E"/>
    <w:rsid w:val="00716421"/>
    <w:rsid w:val="00722A7F"/>
    <w:rsid w:val="007238BF"/>
    <w:rsid w:val="00724EFB"/>
    <w:rsid w:val="007256E2"/>
    <w:rsid w:val="0072604B"/>
    <w:rsid w:val="007268BE"/>
    <w:rsid w:val="00736ADC"/>
    <w:rsid w:val="007419C3"/>
    <w:rsid w:val="00743496"/>
    <w:rsid w:val="007467A7"/>
    <w:rsid w:val="007469DD"/>
    <w:rsid w:val="0074741B"/>
    <w:rsid w:val="0074759E"/>
    <w:rsid w:val="007478EA"/>
    <w:rsid w:val="00750AD1"/>
    <w:rsid w:val="00751294"/>
    <w:rsid w:val="0075415C"/>
    <w:rsid w:val="007572B2"/>
    <w:rsid w:val="00757D2B"/>
    <w:rsid w:val="00761D29"/>
    <w:rsid w:val="00761F71"/>
    <w:rsid w:val="007625E4"/>
    <w:rsid w:val="007626BC"/>
    <w:rsid w:val="00762AAA"/>
    <w:rsid w:val="00763502"/>
    <w:rsid w:val="00766665"/>
    <w:rsid w:val="00774FB3"/>
    <w:rsid w:val="00781056"/>
    <w:rsid w:val="0078214A"/>
    <w:rsid w:val="007826C9"/>
    <w:rsid w:val="0078639F"/>
    <w:rsid w:val="00787DD0"/>
    <w:rsid w:val="007913AB"/>
    <w:rsid w:val="007914F7"/>
    <w:rsid w:val="00792BE8"/>
    <w:rsid w:val="007964D0"/>
    <w:rsid w:val="007965B0"/>
    <w:rsid w:val="007A1EFF"/>
    <w:rsid w:val="007A3233"/>
    <w:rsid w:val="007A5A87"/>
    <w:rsid w:val="007A6016"/>
    <w:rsid w:val="007A670E"/>
    <w:rsid w:val="007A6FC9"/>
    <w:rsid w:val="007A73E4"/>
    <w:rsid w:val="007B1625"/>
    <w:rsid w:val="007B6129"/>
    <w:rsid w:val="007B706E"/>
    <w:rsid w:val="007B71EB"/>
    <w:rsid w:val="007C1834"/>
    <w:rsid w:val="007C506B"/>
    <w:rsid w:val="007C6205"/>
    <w:rsid w:val="007C686A"/>
    <w:rsid w:val="007C728E"/>
    <w:rsid w:val="007C734C"/>
    <w:rsid w:val="007C78DB"/>
    <w:rsid w:val="007D0325"/>
    <w:rsid w:val="007D2C53"/>
    <w:rsid w:val="007D307A"/>
    <w:rsid w:val="007D3D60"/>
    <w:rsid w:val="007D4A44"/>
    <w:rsid w:val="007D5176"/>
    <w:rsid w:val="007E1980"/>
    <w:rsid w:val="007E4B76"/>
    <w:rsid w:val="007E5EA8"/>
    <w:rsid w:val="007E68D6"/>
    <w:rsid w:val="007F0025"/>
    <w:rsid w:val="007F0514"/>
    <w:rsid w:val="007F0CF1"/>
    <w:rsid w:val="007F12A5"/>
    <w:rsid w:val="007F25D7"/>
    <w:rsid w:val="007F2EEB"/>
    <w:rsid w:val="007F48DF"/>
    <w:rsid w:val="007F4CF1"/>
    <w:rsid w:val="007F5AF3"/>
    <w:rsid w:val="007F758D"/>
    <w:rsid w:val="007F7D52"/>
    <w:rsid w:val="00800530"/>
    <w:rsid w:val="00801572"/>
    <w:rsid w:val="0080399C"/>
    <w:rsid w:val="0080654C"/>
    <w:rsid w:val="008071C6"/>
    <w:rsid w:val="00817A00"/>
    <w:rsid w:val="008205A9"/>
    <w:rsid w:val="0082323D"/>
    <w:rsid w:val="008236EF"/>
    <w:rsid w:val="00824B52"/>
    <w:rsid w:val="00824CBB"/>
    <w:rsid w:val="00830F44"/>
    <w:rsid w:val="00832EFD"/>
    <w:rsid w:val="00835DB3"/>
    <w:rsid w:val="00835DE7"/>
    <w:rsid w:val="0083617B"/>
    <w:rsid w:val="008371BD"/>
    <w:rsid w:val="008504A8"/>
    <w:rsid w:val="0085282E"/>
    <w:rsid w:val="0085606F"/>
    <w:rsid w:val="00864F47"/>
    <w:rsid w:val="0087198C"/>
    <w:rsid w:val="008724BA"/>
    <w:rsid w:val="00872C1F"/>
    <w:rsid w:val="00873B42"/>
    <w:rsid w:val="008749E4"/>
    <w:rsid w:val="00877D2E"/>
    <w:rsid w:val="008856D8"/>
    <w:rsid w:val="0088792B"/>
    <w:rsid w:val="00892E82"/>
    <w:rsid w:val="008935F0"/>
    <w:rsid w:val="008A62C1"/>
    <w:rsid w:val="008A70E1"/>
    <w:rsid w:val="008B5DC2"/>
    <w:rsid w:val="008B7AE0"/>
    <w:rsid w:val="008C0FFC"/>
    <w:rsid w:val="008C1932"/>
    <w:rsid w:val="008C1B58"/>
    <w:rsid w:val="008C1D10"/>
    <w:rsid w:val="008C29CC"/>
    <w:rsid w:val="008C35F6"/>
    <w:rsid w:val="008C39AE"/>
    <w:rsid w:val="008C590D"/>
    <w:rsid w:val="008C7F1C"/>
    <w:rsid w:val="008E031B"/>
    <w:rsid w:val="008E3BB5"/>
    <w:rsid w:val="008E6991"/>
    <w:rsid w:val="008E7029"/>
    <w:rsid w:val="008E7550"/>
    <w:rsid w:val="008E7EF6"/>
    <w:rsid w:val="008F0E16"/>
    <w:rsid w:val="008F12CE"/>
    <w:rsid w:val="008F1F98"/>
    <w:rsid w:val="008F586A"/>
    <w:rsid w:val="008F6758"/>
    <w:rsid w:val="008F7587"/>
    <w:rsid w:val="00903E07"/>
    <w:rsid w:val="009040DD"/>
    <w:rsid w:val="00905B47"/>
    <w:rsid w:val="0091331C"/>
    <w:rsid w:val="0091631F"/>
    <w:rsid w:val="009279DE"/>
    <w:rsid w:val="00930116"/>
    <w:rsid w:val="00931EE3"/>
    <w:rsid w:val="0093240A"/>
    <w:rsid w:val="009335B9"/>
    <w:rsid w:val="0093436D"/>
    <w:rsid w:val="00936969"/>
    <w:rsid w:val="00941E47"/>
    <w:rsid w:val="0094212C"/>
    <w:rsid w:val="009437F7"/>
    <w:rsid w:val="0095244D"/>
    <w:rsid w:val="00954689"/>
    <w:rsid w:val="00955B6F"/>
    <w:rsid w:val="009569CB"/>
    <w:rsid w:val="009617C9"/>
    <w:rsid w:val="00961C93"/>
    <w:rsid w:val="009621BD"/>
    <w:rsid w:val="00965189"/>
    <w:rsid w:val="00965324"/>
    <w:rsid w:val="00966ECF"/>
    <w:rsid w:val="0097091E"/>
    <w:rsid w:val="00971D0F"/>
    <w:rsid w:val="00974AF6"/>
    <w:rsid w:val="00975890"/>
    <w:rsid w:val="009760D3"/>
    <w:rsid w:val="00977132"/>
    <w:rsid w:val="00981A4B"/>
    <w:rsid w:val="00982501"/>
    <w:rsid w:val="00985F6E"/>
    <w:rsid w:val="00987476"/>
    <w:rsid w:val="009877D3"/>
    <w:rsid w:val="00987B50"/>
    <w:rsid w:val="00990A46"/>
    <w:rsid w:val="0099242C"/>
    <w:rsid w:val="009928E9"/>
    <w:rsid w:val="00994E8F"/>
    <w:rsid w:val="009951DC"/>
    <w:rsid w:val="009959BB"/>
    <w:rsid w:val="00997158"/>
    <w:rsid w:val="009A0785"/>
    <w:rsid w:val="009A1723"/>
    <w:rsid w:val="009A3A7C"/>
    <w:rsid w:val="009A5E2C"/>
    <w:rsid w:val="009B139D"/>
    <w:rsid w:val="009B2ADB"/>
    <w:rsid w:val="009B3A05"/>
    <w:rsid w:val="009B603A"/>
    <w:rsid w:val="009B680D"/>
    <w:rsid w:val="009C05C4"/>
    <w:rsid w:val="009C0A29"/>
    <w:rsid w:val="009C116A"/>
    <w:rsid w:val="009C2AE0"/>
    <w:rsid w:val="009C2D0E"/>
    <w:rsid w:val="009C3540"/>
    <w:rsid w:val="009C3DAC"/>
    <w:rsid w:val="009C4138"/>
    <w:rsid w:val="009C42E0"/>
    <w:rsid w:val="009C669B"/>
    <w:rsid w:val="009C7192"/>
    <w:rsid w:val="009D1F4B"/>
    <w:rsid w:val="009D31DC"/>
    <w:rsid w:val="009D5362"/>
    <w:rsid w:val="009D66FB"/>
    <w:rsid w:val="009E1415"/>
    <w:rsid w:val="009E3BB2"/>
    <w:rsid w:val="009E6116"/>
    <w:rsid w:val="009F0541"/>
    <w:rsid w:val="009F6F2F"/>
    <w:rsid w:val="009F7AF9"/>
    <w:rsid w:val="00A02E43"/>
    <w:rsid w:val="00A0431C"/>
    <w:rsid w:val="00A065F9"/>
    <w:rsid w:val="00A069CB"/>
    <w:rsid w:val="00A07E98"/>
    <w:rsid w:val="00A07F34"/>
    <w:rsid w:val="00A22154"/>
    <w:rsid w:val="00A23012"/>
    <w:rsid w:val="00A234EE"/>
    <w:rsid w:val="00A25C38"/>
    <w:rsid w:val="00A265DF"/>
    <w:rsid w:val="00A31629"/>
    <w:rsid w:val="00A35532"/>
    <w:rsid w:val="00A36BBE"/>
    <w:rsid w:val="00A376E9"/>
    <w:rsid w:val="00A410E1"/>
    <w:rsid w:val="00A423C9"/>
    <w:rsid w:val="00A426C9"/>
    <w:rsid w:val="00A4307A"/>
    <w:rsid w:val="00A43806"/>
    <w:rsid w:val="00A4470A"/>
    <w:rsid w:val="00A457AF"/>
    <w:rsid w:val="00A47EBB"/>
    <w:rsid w:val="00A51CDD"/>
    <w:rsid w:val="00A525C7"/>
    <w:rsid w:val="00A53329"/>
    <w:rsid w:val="00A55574"/>
    <w:rsid w:val="00A65874"/>
    <w:rsid w:val="00A6730D"/>
    <w:rsid w:val="00A71625"/>
    <w:rsid w:val="00A71659"/>
    <w:rsid w:val="00A71B9B"/>
    <w:rsid w:val="00A73CDE"/>
    <w:rsid w:val="00A751C7"/>
    <w:rsid w:val="00A7543C"/>
    <w:rsid w:val="00A75875"/>
    <w:rsid w:val="00A87844"/>
    <w:rsid w:val="00A87A07"/>
    <w:rsid w:val="00A92259"/>
    <w:rsid w:val="00A9443E"/>
    <w:rsid w:val="00AA038C"/>
    <w:rsid w:val="00AA3849"/>
    <w:rsid w:val="00AA7A09"/>
    <w:rsid w:val="00AB0858"/>
    <w:rsid w:val="00AB3B50"/>
    <w:rsid w:val="00AB4277"/>
    <w:rsid w:val="00AB5386"/>
    <w:rsid w:val="00AC05B1"/>
    <w:rsid w:val="00AC538E"/>
    <w:rsid w:val="00AD356C"/>
    <w:rsid w:val="00AE09E2"/>
    <w:rsid w:val="00AE13E1"/>
    <w:rsid w:val="00AE2914"/>
    <w:rsid w:val="00AE299E"/>
    <w:rsid w:val="00AE6D15"/>
    <w:rsid w:val="00AF04DE"/>
    <w:rsid w:val="00AF2115"/>
    <w:rsid w:val="00AF70C4"/>
    <w:rsid w:val="00B01302"/>
    <w:rsid w:val="00B019DD"/>
    <w:rsid w:val="00B04182"/>
    <w:rsid w:val="00B07AE3"/>
    <w:rsid w:val="00B11430"/>
    <w:rsid w:val="00B14A6B"/>
    <w:rsid w:val="00B2474C"/>
    <w:rsid w:val="00B253D3"/>
    <w:rsid w:val="00B26A60"/>
    <w:rsid w:val="00B3515F"/>
    <w:rsid w:val="00B353EB"/>
    <w:rsid w:val="00B3780B"/>
    <w:rsid w:val="00B4324D"/>
    <w:rsid w:val="00B439C4"/>
    <w:rsid w:val="00B43EB6"/>
    <w:rsid w:val="00B4420A"/>
    <w:rsid w:val="00B442D3"/>
    <w:rsid w:val="00B44869"/>
    <w:rsid w:val="00B449F1"/>
    <w:rsid w:val="00B4535E"/>
    <w:rsid w:val="00B47BF0"/>
    <w:rsid w:val="00B52A8C"/>
    <w:rsid w:val="00B60304"/>
    <w:rsid w:val="00B61300"/>
    <w:rsid w:val="00B636A8"/>
    <w:rsid w:val="00B64C46"/>
    <w:rsid w:val="00B665C6"/>
    <w:rsid w:val="00B6736B"/>
    <w:rsid w:val="00B73889"/>
    <w:rsid w:val="00B76494"/>
    <w:rsid w:val="00B805AF"/>
    <w:rsid w:val="00B80F3B"/>
    <w:rsid w:val="00B81093"/>
    <w:rsid w:val="00B819B5"/>
    <w:rsid w:val="00B84A8C"/>
    <w:rsid w:val="00B859CD"/>
    <w:rsid w:val="00B869EC"/>
    <w:rsid w:val="00B874CB"/>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2A4"/>
    <w:rsid w:val="00BD4A18"/>
    <w:rsid w:val="00BD6DB2"/>
    <w:rsid w:val="00BE11CF"/>
    <w:rsid w:val="00BE21AB"/>
    <w:rsid w:val="00BE55CB"/>
    <w:rsid w:val="00BF05AC"/>
    <w:rsid w:val="00BF4EC9"/>
    <w:rsid w:val="00BF617A"/>
    <w:rsid w:val="00BF6A2B"/>
    <w:rsid w:val="00C00CEA"/>
    <w:rsid w:val="00C02136"/>
    <w:rsid w:val="00C02915"/>
    <w:rsid w:val="00C0379D"/>
    <w:rsid w:val="00C03931"/>
    <w:rsid w:val="00C05FE3"/>
    <w:rsid w:val="00C1014A"/>
    <w:rsid w:val="00C17BC8"/>
    <w:rsid w:val="00C2136D"/>
    <w:rsid w:val="00C214EE"/>
    <w:rsid w:val="00C2314B"/>
    <w:rsid w:val="00C241BC"/>
    <w:rsid w:val="00C24971"/>
    <w:rsid w:val="00C264B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42235"/>
    <w:rsid w:val="00C52689"/>
    <w:rsid w:val="00C540AD"/>
    <w:rsid w:val="00C54C8A"/>
    <w:rsid w:val="00C554F3"/>
    <w:rsid w:val="00C601D2"/>
    <w:rsid w:val="00C651C2"/>
    <w:rsid w:val="00C6540B"/>
    <w:rsid w:val="00C654FC"/>
    <w:rsid w:val="00C657AB"/>
    <w:rsid w:val="00C65BCC"/>
    <w:rsid w:val="00C66970"/>
    <w:rsid w:val="00C8691C"/>
    <w:rsid w:val="00C9297E"/>
    <w:rsid w:val="00C92D6C"/>
    <w:rsid w:val="00C92F0B"/>
    <w:rsid w:val="00C94300"/>
    <w:rsid w:val="00C9754B"/>
    <w:rsid w:val="00CA112C"/>
    <w:rsid w:val="00CA168A"/>
    <w:rsid w:val="00CA357E"/>
    <w:rsid w:val="00CA36E5"/>
    <w:rsid w:val="00CA3C44"/>
    <w:rsid w:val="00CA41A0"/>
    <w:rsid w:val="00CA44F9"/>
    <w:rsid w:val="00CA4A69"/>
    <w:rsid w:val="00CA6073"/>
    <w:rsid w:val="00CB0AFE"/>
    <w:rsid w:val="00CB6135"/>
    <w:rsid w:val="00CC3E0C"/>
    <w:rsid w:val="00CC58D3"/>
    <w:rsid w:val="00CC784D"/>
    <w:rsid w:val="00CD2167"/>
    <w:rsid w:val="00CD23A6"/>
    <w:rsid w:val="00CD4AA2"/>
    <w:rsid w:val="00CD6300"/>
    <w:rsid w:val="00CD7B6C"/>
    <w:rsid w:val="00CE2137"/>
    <w:rsid w:val="00CE41B4"/>
    <w:rsid w:val="00CE5ED9"/>
    <w:rsid w:val="00CE6B9D"/>
    <w:rsid w:val="00CF1D1D"/>
    <w:rsid w:val="00D00CDA"/>
    <w:rsid w:val="00D0337B"/>
    <w:rsid w:val="00D079B2"/>
    <w:rsid w:val="00D11478"/>
    <w:rsid w:val="00D114E9"/>
    <w:rsid w:val="00D13C67"/>
    <w:rsid w:val="00D160ED"/>
    <w:rsid w:val="00D20699"/>
    <w:rsid w:val="00D22141"/>
    <w:rsid w:val="00D22845"/>
    <w:rsid w:val="00D2381E"/>
    <w:rsid w:val="00D248AE"/>
    <w:rsid w:val="00D24F68"/>
    <w:rsid w:val="00D251E8"/>
    <w:rsid w:val="00D30D2C"/>
    <w:rsid w:val="00D32AF8"/>
    <w:rsid w:val="00D429C6"/>
    <w:rsid w:val="00D45B96"/>
    <w:rsid w:val="00D47748"/>
    <w:rsid w:val="00D47F36"/>
    <w:rsid w:val="00D51AF0"/>
    <w:rsid w:val="00D51EE5"/>
    <w:rsid w:val="00D5311A"/>
    <w:rsid w:val="00D54CC3"/>
    <w:rsid w:val="00D6041A"/>
    <w:rsid w:val="00D633EB"/>
    <w:rsid w:val="00D640AB"/>
    <w:rsid w:val="00D67DA6"/>
    <w:rsid w:val="00D72308"/>
    <w:rsid w:val="00D72BB1"/>
    <w:rsid w:val="00D72BF8"/>
    <w:rsid w:val="00D749D8"/>
    <w:rsid w:val="00D82FF7"/>
    <w:rsid w:val="00D847FE"/>
    <w:rsid w:val="00D86E9C"/>
    <w:rsid w:val="00D964EA"/>
    <w:rsid w:val="00D966D0"/>
    <w:rsid w:val="00DA0C59"/>
    <w:rsid w:val="00DA3991"/>
    <w:rsid w:val="00DB4DD0"/>
    <w:rsid w:val="00DB7497"/>
    <w:rsid w:val="00DB7E6C"/>
    <w:rsid w:val="00DB7EE8"/>
    <w:rsid w:val="00DC0667"/>
    <w:rsid w:val="00DC224E"/>
    <w:rsid w:val="00DC590D"/>
    <w:rsid w:val="00DC5AAD"/>
    <w:rsid w:val="00DC7F2C"/>
    <w:rsid w:val="00DD01F9"/>
    <w:rsid w:val="00DD5A29"/>
    <w:rsid w:val="00DD5D9D"/>
    <w:rsid w:val="00DE2C79"/>
    <w:rsid w:val="00DE35CB"/>
    <w:rsid w:val="00DE634A"/>
    <w:rsid w:val="00DE7BC9"/>
    <w:rsid w:val="00DF06EC"/>
    <w:rsid w:val="00DF13E9"/>
    <w:rsid w:val="00DF1E24"/>
    <w:rsid w:val="00DF21E9"/>
    <w:rsid w:val="00DF4669"/>
    <w:rsid w:val="00DF5487"/>
    <w:rsid w:val="00DF6822"/>
    <w:rsid w:val="00E00F14"/>
    <w:rsid w:val="00E01F68"/>
    <w:rsid w:val="00E06386"/>
    <w:rsid w:val="00E073ED"/>
    <w:rsid w:val="00E10E5D"/>
    <w:rsid w:val="00E2398E"/>
    <w:rsid w:val="00E24EB4"/>
    <w:rsid w:val="00E31BAC"/>
    <w:rsid w:val="00E31BAE"/>
    <w:rsid w:val="00E320ED"/>
    <w:rsid w:val="00E33650"/>
    <w:rsid w:val="00E33AFB"/>
    <w:rsid w:val="00E34128"/>
    <w:rsid w:val="00E34218"/>
    <w:rsid w:val="00E35F8A"/>
    <w:rsid w:val="00E361EC"/>
    <w:rsid w:val="00E404C7"/>
    <w:rsid w:val="00E436F4"/>
    <w:rsid w:val="00E45228"/>
    <w:rsid w:val="00E46282"/>
    <w:rsid w:val="00E5216E"/>
    <w:rsid w:val="00E610C3"/>
    <w:rsid w:val="00E6480F"/>
    <w:rsid w:val="00E66703"/>
    <w:rsid w:val="00E7041C"/>
    <w:rsid w:val="00E719C5"/>
    <w:rsid w:val="00E82344"/>
    <w:rsid w:val="00E84C82"/>
    <w:rsid w:val="00E84D64"/>
    <w:rsid w:val="00E87408"/>
    <w:rsid w:val="00E87D60"/>
    <w:rsid w:val="00E914C4"/>
    <w:rsid w:val="00E91CD2"/>
    <w:rsid w:val="00E934F5"/>
    <w:rsid w:val="00E95CAC"/>
    <w:rsid w:val="00E9624E"/>
    <w:rsid w:val="00E96961"/>
    <w:rsid w:val="00EA092A"/>
    <w:rsid w:val="00EA146C"/>
    <w:rsid w:val="00EA5285"/>
    <w:rsid w:val="00EA72EC"/>
    <w:rsid w:val="00EB11CB"/>
    <w:rsid w:val="00EB275A"/>
    <w:rsid w:val="00EB6E41"/>
    <w:rsid w:val="00EB786A"/>
    <w:rsid w:val="00EC1578"/>
    <w:rsid w:val="00EC1C72"/>
    <w:rsid w:val="00EC22D9"/>
    <w:rsid w:val="00EC2B5B"/>
    <w:rsid w:val="00EC3CC9"/>
    <w:rsid w:val="00EC680A"/>
    <w:rsid w:val="00ED122D"/>
    <w:rsid w:val="00ED2242"/>
    <w:rsid w:val="00EE0A6A"/>
    <w:rsid w:val="00EE2819"/>
    <w:rsid w:val="00EE2BED"/>
    <w:rsid w:val="00EE374B"/>
    <w:rsid w:val="00EE510C"/>
    <w:rsid w:val="00EE5A7F"/>
    <w:rsid w:val="00EE7133"/>
    <w:rsid w:val="00EE7636"/>
    <w:rsid w:val="00EF2DD3"/>
    <w:rsid w:val="00EF2FAD"/>
    <w:rsid w:val="00EF768F"/>
    <w:rsid w:val="00F00D86"/>
    <w:rsid w:val="00F00F80"/>
    <w:rsid w:val="00F0124A"/>
    <w:rsid w:val="00F02D2D"/>
    <w:rsid w:val="00F06FC1"/>
    <w:rsid w:val="00F1075A"/>
    <w:rsid w:val="00F10C4D"/>
    <w:rsid w:val="00F11BB5"/>
    <w:rsid w:val="00F11F9F"/>
    <w:rsid w:val="00F1417B"/>
    <w:rsid w:val="00F20323"/>
    <w:rsid w:val="00F224EE"/>
    <w:rsid w:val="00F31B08"/>
    <w:rsid w:val="00F33816"/>
    <w:rsid w:val="00F34B99"/>
    <w:rsid w:val="00F364DC"/>
    <w:rsid w:val="00F4096E"/>
    <w:rsid w:val="00F43BA1"/>
    <w:rsid w:val="00F52DAB"/>
    <w:rsid w:val="00F53D6E"/>
    <w:rsid w:val="00F540EF"/>
    <w:rsid w:val="00F543F0"/>
    <w:rsid w:val="00F545C5"/>
    <w:rsid w:val="00F54BCE"/>
    <w:rsid w:val="00F55448"/>
    <w:rsid w:val="00F61D7E"/>
    <w:rsid w:val="00F64441"/>
    <w:rsid w:val="00F64CCF"/>
    <w:rsid w:val="00F660E6"/>
    <w:rsid w:val="00F737BC"/>
    <w:rsid w:val="00F73BBC"/>
    <w:rsid w:val="00F74608"/>
    <w:rsid w:val="00F81D29"/>
    <w:rsid w:val="00F81F45"/>
    <w:rsid w:val="00F871AD"/>
    <w:rsid w:val="00F91C4D"/>
    <w:rsid w:val="00F92FD9"/>
    <w:rsid w:val="00F934B5"/>
    <w:rsid w:val="00F936EC"/>
    <w:rsid w:val="00FA3021"/>
    <w:rsid w:val="00FA6684"/>
    <w:rsid w:val="00FA731E"/>
    <w:rsid w:val="00FB2B38"/>
    <w:rsid w:val="00FB2C8B"/>
    <w:rsid w:val="00FB2D4B"/>
    <w:rsid w:val="00FB2F7C"/>
    <w:rsid w:val="00FB5AD8"/>
    <w:rsid w:val="00FC1921"/>
    <w:rsid w:val="00FC59A7"/>
    <w:rsid w:val="00FC6358"/>
    <w:rsid w:val="00FC7E22"/>
    <w:rsid w:val="00FD10C8"/>
    <w:rsid w:val="00FD2E56"/>
    <w:rsid w:val="00FD312E"/>
    <w:rsid w:val="00FD320D"/>
    <w:rsid w:val="00FD562F"/>
    <w:rsid w:val="00FD79D5"/>
    <w:rsid w:val="00FE10CE"/>
    <w:rsid w:val="00FE23DE"/>
    <w:rsid w:val="00FE531F"/>
    <w:rsid w:val="00FE6F67"/>
    <w:rsid w:val="00FF0853"/>
    <w:rsid w:val="00FF559F"/>
    <w:rsid w:val="00FF6A93"/>
    <w:rsid w:val="026E23D5"/>
    <w:rsid w:val="0335664F"/>
    <w:rsid w:val="033C41B1"/>
    <w:rsid w:val="05034B2E"/>
    <w:rsid w:val="07A0431B"/>
    <w:rsid w:val="08E12275"/>
    <w:rsid w:val="0A395DAD"/>
    <w:rsid w:val="0A905466"/>
    <w:rsid w:val="0C5C35DE"/>
    <w:rsid w:val="128F198E"/>
    <w:rsid w:val="159375A9"/>
    <w:rsid w:val="16D80FC2"/>
    <w:rsid w:val="18EB7B81"/>
    <w:rsid w:val="19695232"/>
    <w:rsid w:val="1BDA3635"/>
    <w:rsid w:val="1C5C4094"/>
    <w:rsid w:val="1CE619AE"/>
    <w:rsid w:val="2A4E70A4"/>
    <w:rsid w:val="2BD4702C"/>
    <w:rsid w:val="2CA23F1C"/>
    <w:rsid w:val="339C30AE"/>
    <w:rsid w:val="34110065"/>
    <w:rsid w:val="360A77B3"/>
    <w:rsid w:val="37DF7FE6"/>
    <w:rsid w:val="38AB1614"/>
    <w:rsid w:val="3A152C5D"/>
    <w:rsid w:val="3C502C92"/>
    <w:rsid w:val="3C50643E"/>
    <w:rsid w:val="3EF52B33"/>
    <w:rsid w:val="42B631A4"/>
    <w:rsid w:val="4ADA44A6"/>
    <w:rsid w:val="4B124BC9"/>
    <w:rsid w:val="4B2634BB"/>
    <w:rsid w:val="4B4A79CA"/>
    <w:rsid w:val="4BC842B2"/>
    <w:rsid w:val="4BD258B9"/>
    <w:rsid w:val="4FCD34D6"/>
    <w:rsid w:val="52F319DD"/>
    <w:rsid w:val="550D364B"/>
    <w:rsid w:val="5536240E"/>
    <w:rsid w:val="55500D93"/>
    <w:rsid w:val="575F6FCD"/>
    <w:rsid w:val="5AE44879"/>
    <w:rsid w:val="5D061E09"/>
    <w:rsid w:val="62A12253"/>
    <w:rsid w:val="6575543F"/>
    <w:rsid w:val="6654234E"/>
    <w:rsid w:val="66834DCE"/>
    <w:rsid w:val="6871036E"/>
    <w:rsid w:val="6A0C4662"/>
    <w:rsid w:val="6CEC29E0"/>
    <w:rsid w:val="6DC20A4A"/>
    <w:rsid w:val="77D05759"/>
    <w:rsid w:val="783A2E96"/>
    <w:rsid w:val="7B332F87"/>
    <w:rsid w:val="7D046652"/>
    <w:rsid w:val="7FED6D29"/>
    <w:rsid w:val="7FF7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2"/>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7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4"/>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7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76"/>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7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46"/>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Date"/>
    <w:basedOn w:val="1"/>
    <w:next w:val="1"/>
    <w:link w:val="169"/>
    <w:qFormat/>
    <w:uiPriority w:val="0"/>
    <w:pPr>
      <w:ind w:left="100" w:leftChars="2500"/>
    </w:pPr>
  </w:style>
  <w:style w:type="paragraph" w:styleId="24">
    <w:name w:val="endnote text"/>
    <w:basedOn w:val="1"/>
    <w:semiHidden/>
    <w:qFormat/>
    <w:uiPriority w:val="0"/>
    <w:pPr>
      <w:snapToGrid w:val="0"/>
      <w:jc w:val="left"/>
    </w:pPr>
  </w:style>
  <w:style w:type="paragraph" w:styleId="25">
    <w:name w:val="Balloon Text"/>
    <w:basedOn w:val="1"/>
    <w:link w:val="148"/>
    <w:qFormat/>
    <w:uiPriority w:val="0"/>
    <w:rPr>
      <w:sz w:val="18"/>
      <w:szCs w:val="18"/>
    </w:rPr>
  </w:style>
  <w:style w:type="paragraph" w:styleId="26">
    <w:name w:val="footer"/>
    <w:basedOn w:val="1"/>
    <w:qFormat/>
    <w:uiPriority w:val="0"/>
    <w:pPr>
      <w:snapToGrid w:val="0"/>
      <w:ind w:right="210" w:rightChars="100"/>
      <w:jc w:val="right"/>
    </w:pPr>
    <w:rPr>
      <w:sz w:val="18"/>
      <w:szCs w:val="18"/>
    </w:rPr>
  </w:style>
  <w:style w:type="paragraph" w:styleId="27">
    <w:name w:val="header"/>
    <w:basedOn w:val="1"/>
    <w:qFormat/>
    <w:uiPriority w:val="0"/>
    <w:pPr>
      <w:snapToGrid w:val="0"/>
      <w:jc w:val="left"/>
    </w:pPr>
    <w:rPr>
      <w:sz w:val="18"/>
      <w:szCs w:val="18"/>
    </w:rPr>
  </w:style>
  <w:style w:type="paragraph" w:styleId="28">
    <w:name w:val="toc 1"/>
    <w:basedOn w:val="1"/>
    <w:next w:val="1"/>
    <w:semiHidden/>
    <w:qFormat/>
    <w:uiPriority w:val="0"/>
    <w:pPr>
      <w:tabs>
        <w:tab w:val="right" w:leader="dot" w:pos="9242"/>
      </w:tabs>
      <w:spacing w:beforeLines="25" w:afterLines="25"/>
      <w:jc w:val="left"/>
    </w:pPr>
    <w:rPr>
      <w:rFonts w:ascii="宋体"/>
      <w:szCs w:val="21"/>
    </w:rPr>
  </w:style>
  <w:style w:type="paragraph" w:styleId="29">
    <w:name w:val="toc 4"/>
    <w:basedOn w:val="1"/>
    <w:next w:val="1"/>
    <w:semiHidden/>
    <w:qFormat/>
    <w:uiPriority w:val="0"/>
    <w:pPr>
      <w:tabs>
        <w:tab w:val="right" w:leader="dot" w:pos="9241"/>
      </w:tabs>
      <w:ind w:firstLine="200" w:firstLineChars="200"/>
      <w:jc w:val="left"/>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32"/>
    <w:qFormat/>
    <w:uiPriority w:val="0"/>
    <w:pPr>
      <w:tabs>
        <w:tab w:val="right" w:leader="dot" w:pos="9299"/>
      </w:tabs>
      <w:jc w:val="left"/>
    </w:pPr>
    <w:rPr>
      <w:rFonts w:ascii="宋体"/>
      <w:szCs w:val="21"/>
    </w:rPr>
  </w:style>
  <w:style w:type="paragraph" w:customStyle="1" w:styleId="32">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3">
    <w:name w:val="footnote text"/>
    <w:basedOn w:val="1"/>
    <w:qFormat/>
    <w:uiPriority w:val="0"/>
    <w:pPr>
      <w:numPr>
        <w:ilvl w:val="0"/>
        <w:numId w:val="2"/>
      </w:numPr>
      <w:snapToGrid w:val="0"/>
      <w:jc w:val="left"/>
    </w:pPr>
    <w:rPr>
      <w:rFonts w:ascii="宋体"/>
      <w:sz w:val="18"/>
      <w:szCs w:val="18"/>
    </w:rPr>
  </w:style>
  <w:style w:type="paragraph" w:styleId="34">
    <w:name w:val="toc 6"/>
    <w:basedOn w:val="1"/>
    <w:next w:val="1"/>
    <w:semiHidden/>
    <w:qFormat/>
    <w:uiPriority w:val="0"/>
    <w:pPr>
      <w:tabs>
        <w:tab w:val="right" w:leader="dot" w:pos="9241"/>
      </w:tabs>
      <w:ind w:firstLine="400" w:firstLineChars="400"/>
      <w:jc w:val="left"/>
    </w:pPr>
    <w:rPr>
      <w:rFonts w:ascii="宋体"/>
      <w:szCs w:val="21"/>
    </w:rPr>
  </w:style>
  <w:style w:type="paragraph" w:styleId="35">
    <w:name w:val="index 7"/>
    <w:basedOn w:val="1"/>
    <w:next w:val="1"/>
    <w:qFormat/>
    <w:uiPriority w:val="0"/>
    <w:pPr>
      <w:ind w:left="1470" w:hanging="210"/>
      <w:jc w:val="left"/>
    </w:pPr>
    <w:rPr>
      <w:rFonts w:ascii="Calibri" w:hAnsi="Calibri"/>
      <w:sz w:val="20"/>
      <w:szCs w:val="20"/>
    </w:rPr>
  </w:style>
  <w:style w:type="paragraph" w:styleId="36">
    <w:name w:val="index 9"/>
    <w:basedOn w:val="1"/>
    <w:next w:val="1"/>
    <w:qFormat/>
    <w:uiPriority w:val="0"/>
    <w:pPr>
      <w:ind w:left="1890" w:hanging="210"/>
      <w:jc w:val="left"/>
    </w:pPr>
    <w:rPr>
      <w:rFonts w:ascii="Calibri" w:hAnsi="Calibri"/>
      <w:sz w:val="20"/>
      <w:szCs w:val="20"/>
    </w:rPr>
  </w:style>
  <w:style w:type="paragraph" w:styleId="37">
    <w:name w:val="toc 2"/>
    <w:basedOn w:val="1"/>
    <w:next w:val="1"/>
    <w:semiHidden/>
    <w:qFormat/>
    <w:uiPriority w:val="0"/>
    <w:pPr>
      <w:tabs>
        <w:tab w:val="right" w:leader="dot" w:pos="9242"/>
      </w:tabs>
    </w:pPr>
    <w:rPr>
      <w:rFonts w:ascii="宋体"/>
      <w:szCs w:val="21"/>
    </w:rPr>
  </w:style>
  <w:style w:type="paragraph" w:styleId="38">
    <w:name w:val="toc 9"/>
    <w:basedOn w:val="1"/>
    <w:next w:val="1"/>
    <w:semiHidden/>
    <w:qFormat/>
    <w:uiPriority w:val="0"/>
    <w:pPr>
      <w:ind w:left="1470"/>
      <w:jc w:val="left"/>
    </w:pPr>
    <w:rPr>
      <w:sz w:val="20"/>
      <w:szCs w:val="20"/>
    </w:rPr>
  </w:style>
  <w:style w:type="paragraph" w:styleId="39">
    <w:name w:val="index 2"/>
    <w:basedOn w:val="1"/>
    <w:next w:val="1"/>
    <w:qFormat/>
    <w:uiPriority w:val="0"/>
    <w:pPr>
      <w:ind w:left="420" w:hanging="210"/>
      <w:jc w:val="left"/>
    </w:pPr>
    <w:rPr>
      <w:rFonts w:ascii="Calibri" w:hAnsi="Calibri"/>
      <w:sz w:val="20"/>
      <w:szCs w:val="20"/>
    </w:rPr>
  </w:style>
  <w:style w:type="paragraph" w:styleId="40">
    <w:name w:val="annotation subject"/>
    <w:basedOn w:val="16"/>
    <w:next w:val="16"/>
    <w:link w:val="147"/>
    <w:qFormat/>
    <w:uiPriority w:val="0"/>
    <w:rPr>
      <w:b/>
      <w:bCs/>
    </w:rPr>
  </w:style>
  <w:style w:type="table" w:styleId="42">
    <w:name w:val="Table Grid"/>
    <w:basedOn w:val="4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endnote reference"/>
    <w:semiHidden/>
    <w:qFormat/>
    <w:uiPriority w:val="0"/>
    <w:rPr>
      <w:vertAlign w:val="superscript"/>
    </w:rPr>
  </w:style>
  <w:style w:type="character" w:styleId="45">
    <w:name w:val="page number"/>
    <w:qFormat/>
    <w:uiPriority w:val="0"/>
    <w:rPr>
      <w:rFonts w:ascii="Times New Roman" w:hAnsi="Times New Roman" w:eastAsia="宋体"/>
      <w:sz w:val="18"/>
    </w:rPr>
  </w:style>
  <w:style w:type="character" w:styleId="46">
    <w:name w:val="FollowedHyperlink"/>
    <w:qFormat/>
    <w:uiPriority w:val="0"/>
    <w:rPr>
      <w:color w:val="800080"/>
      <w:u w:val="single"/>
    </w:rPr>
  </w:style>
  <w:style w:type="character" w:styleId="47">
    <w:name w:val="Hyperlink"/>
    <w:qFormat/>
    <w:uiPriority w:val="0"/>
    <w:rPr>
      <w:color w:val="0000FF"/>
      <w:spacing w:val="0"/>
      <w:w w:val="100"/>
      <w:szCs w:val="21"/>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段 Char"/>
    <w:link w:val="32"/>
    <w:qFormat/>
    <w:uiPriority w:val="0"/>
    <w:rPr>
      <w:rFonts w:ascii="宋体"/>
      <w:sz w:val="21"/>
      <w:lang w:val="en-US" w:eastAsia="zh-CN" w:bidi="ar-SA"/>
    </w:rPr>
  </w:style>
  <w:style w:type="paragraph" w:customStyle="1" w:styleId="51">
    <w:name w:val="一级条标题"/>
    <w:next w:val="32"/>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章标题"/>
    <w:next w:val="3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32"/>
    <w:qFormat/>
    <w:uiPriority w:val="0"/>
    <w:pPr>
      <w:numPr>
        <w:ilvl w:val="2"/>
      </w:num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9">
    <w:name w:val="目次、标准名称标题"/>
    <w:basedOn w:val="1"/>
    <w:next w:val="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32"/>
    <w:qFormat/>
    <w:uiPriority w:val="0"/>
    <w:pPr>
      <w:numPr>
        <w:ilvl w:val="3"/>
      </w:numPr>
      <w:outlineLvl w:val="4"/>
    </w:pPr>
  </w:style>
  <w:style w:type="paragraph" w:customStyle="1" w:styleId="61">
    <w:name w:val="示例"/>
    <w:next w:val="62"/>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64">
    <w:name w:val="四级条标题"/>
    <w:basedOn w:val="60"/>
    <w:next w:val="32"/>
    <w:qFormat/>
    <w:uiPriority w:val="0"/>
    <w:pPr>
      <w:numPr>
        <w:ilvl w:val="4"/>
      </w:numPr>
      <w:outlineLvl w:val="5"/>
    </w:pPr>
  </w:style>
  <w:style w:type="paragraph" w:customStyle="1" w:styleId="65">
    <w:name w:val="五级条标题"/>
    <w:basedOn w:val="64"/>
    <w:next w:val="32"/>
    <w:qFormat/>
    <w:uiPriority w:val="0"/>
    <w:pPr>
      <w:numPr>
        <w:ilvl w:val="5"/>
      </w:numPr>
      <w:outlineLvl w:val="6"/>
    </w:pPr>
  </w:style>
  <w:style w:type="paragraph" w:customStyle="1" w:styleId="66">
    <w:name w:val="注："/>
    <w:next w:val="32"/>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9">
    <w:name w:val="列项◆（三级）"/>
    <w:basedOn w:val="1"/>
    <w:qFormat/>
    <w:uiPriority w:val="0"/>
    <w:pPr>
      <w:numPr>
        <w:ilvl w:val="2"/>
        <w:numId w:val="4"/>
      </w:numPr>
    </w:pPr>
    <w:rPr>
      <w:rFonts w:ascii="宋体"/>
      <w:szCs w:val="21"/>
    </w:rPr>
  </w:style>
  <w:style w:type="paragraph" w:customStyle="1" w:styleId="70">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1">
    <w:name w:val="示例×："/>
    <w:basedOn w:val="54"/>
    <w:qFormat/>
    <w:uiPriority w:val="0"/>
    <w:pPr>
      <w:numPr>
        <w:numId w:val="9"/>
      </w:numPr>
      <w:spacing w:beforeLines="0" w:afterLines="0"/>
      <w:outlineLvl w:val="9"/>
    </w:pPr>
    <w:rPr>
      <w:rFonts w:ascii="宋体" w:eastAsia="宋体"/>
      <w:sz w:val="18"/>
      <w:szCs w:val="18"/>
    </w:rPr>
  </w:style>
  <w:style w:type="paragraph" w:customStyle="1" w:styleId="72">
    <w:name w:val="二级无"/>
    <w:basedOn w:val="55"/>
    <w:qFormat/>
    <w:uiPriority w:val="0"/>
    <w:pPr>
      <w:spacing w:beforeLines="0" w:afterLines="0"/>
    </w:pPr>
    <w:rPr>
      <w:rFonts w:ascii="宋体" w:eastAsia="宋体"/>
    </w:rPr>
  </w:style>
  <w:style w:type="paragraph" w:customStyle="1" w:styleId="73">
    <w:name w:val="注：（正文）"/>
    <w:basedOn w:val="66"/>
    <w:next w:val="32"/>
    <w:qFormat/>
    <w:uiPriority w:val="0"/>
  </w:style>
  <w:style w:type="paragraph" w:customStyle="1" w:styleId="74">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3"/>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qFormat/>
    <w:uiPriority w:val="0"/>
    <w:rPr>
      <w:rFonts w:ascii="黑体" w:eastAsia="黑体"/>
      <w:spacing w:val="85"/>
      <w:w w:val="100"/>
      <w:position w:val="3"/>
      <w:sz w:val="28"/>
      <w:szCs w:val="28"/>
    </w:rPr>
  </w:style>
  <w:style w:type="paragraph" w:customStyle="1" w:styleId="83">
    <w:name w:val="发布部门"/>
    <w:next w:val="3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qFormat/>
    <w:uiPriority w:val="0"/>
    <w:pPr>
      <w:framePr w:wrap="around"/>
      <w:spacing w:before="370" w:line="400" w:lineRule="exact"/>
    </w:pPr>
    <w:rPr>
      <w:rFonts w:ascii="Times New Roman"/>
      <w:sz w:val="28"/>
      <w:szCs w:val="28"/>
    </w:rPr>
  </w:style>
  <w:style w:type="paragraph" w:customStyle="1" w:styleId="89">
    <w:name w:val="封面一致性程度标识"/>
    <w:basedOn w:val="88"/>
    <w:qFormat/>
    <w:uiPriority w:val="0"/>
    <w:pPr>
      <w:framePr w:wrap="around"/>
      <w:spacing w:before="440"/>
    </w:pPr>
    <w:rPr>
      <w:rFonts w:ascii="宋体" w:eastAsia="宋体"/>
    </w:rPr>
  </w:style>
  <w:style w:type="paragraph" w:customStyle="1" w:styleId="90">
    <w:name w:val="封面标准文稿类别"/>
    <w:basedOn w:val="89"/>
    <w:qFormat/>
    <w:uiPriority w:val="0"/>
    <w:pPr>
      <w:framePr w:wrap="around"/>
      <w:spacing w:after="160" w:line="240" w:lineRule="auto"/>
    </w:pPr>
    <w:rPr>
      <w:sz w:val="24"/>
    </w:rPr>
  </w:style>
  <w:style w:type="paragraph" w:customStyle="1" w:styleId="91">
    <w:name w:val="封面标准文稿编辑信息"/>
    <w:basedOn w:val="90"/>
    <w:qFormat/>
    <w:uiPriority w:val="0"/>
    <w:pPr>
      <w:framePr w:wrap="around"/>
      <w:spacing w:before="180" w:line="180" w:lineRule="exact"/>
    </w:pPr>
    <w:rPr>
      <w:sz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3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32"/>
    <w:next w:val="32"/>
    <w:qFormat/>
    <w:uiPriority w:val="0"/>
    <w:pPr>
      <w:ind w:firstLine="0" w:firstLineChars="0"/>
      <w:jc w:val="center"/>
    </w:pPr>
    <w:rPr>
      <w:rFonts w:ascii="黑体" w:eastAsia="黑体"/>
    </w:rPr>
  </w:style>
  <w:style w:type="paragraph" w:customStyle="1" w:styleId="95">
    <w:name w:val="附录表标号"/>
    <w:basedOn w:val="1"/>
    <w:next w:val="3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6">
    <w:name w:val="附录表标题"/>
    <w:basedOn w:val="1"/>
    <w:next w:val="3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7">
    <w:name w:val="附录二级条标题"/>
    <w:basedOn w:val="1"/>
    <w:next w:val="3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8">
    <w:name w:val="附录二级无"/>
    <w:basedOn w:val="97"/>
    <w:qFormat/>
    <w:uiPriority w:val="0"/>
    <w:pPr>
      <w:tabs>
        <w:tab w:val="clear" w:pos="360"/>
      </w:tabs>
      <w:spacing w:beforeLines="0" w:afterLines="0"/>
    </w:pPr>
    <w:rPr>
      <w:rFonts w:ascii="宋体" w:eastAsia="宋体"/>
      <w:szCs w:val="21"/>
    </w:rPr>
  </w:style>
  <w:style w:type="paragraph" w:customStyle="1" w:styleId="99">
    <w:name w:val="附录公式"/>
    <w:basedOn w:val="32"/>
    <w:next w:val="32"/>
    <w:link w:val="100"/>
    <w:qFormat/>
    <w:uiPriority w:val="0"/>
  </w:style>
  <w:style w:type="character" w:customStyle="1" w:styleId="100">
    <w:name w:val="附录公式 Char"/>
    <w:basedOn w:val="50"/>
    <w:link w:val="99"/>
    <w:qFormat/>
    <w:uiPriority w:val="0"/>
    <w:rPr>
      <w:rFonts w:ascii="宋体"/>
      <w:sz w:val="21"/>
      <w:lang w:val="en-US" w:eastAsia="zh-CN" w:bidi="ar-SA"/>
    </w:rPr>
  </w:style>
  <w:style w:type="paragraph" w:customStyle="1" w:styleId="101">
    <w:name w:val="附录公式编号制表符"/>
    <w:basedOn w:val="1"/>
    <w:next w:val="32"/>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32"/>
    <w:qFormat/>
    <w:uiPriority w:val="0"/>
    <w:pPr>
      <w:numPr>
        <w:ilvl w:val="4"/>
      </w:numPr>
      <w:outlineLvl w:val="4"/>
    </w:pPr>
  </w:style>
  <w:style w:type="paragraph" w:customStyle="1" w:styleId="103">
    <w:name w:val="附录三级无"/>
    <w:basedOn w:val="102"/>
    <w:qFormat/>
    <w:uiPriority w:val="0"/>
    <w:pPr>
      <w:tabs>
        <w:tab w:val="clear" w:pos="360"/>
      </w:tabs>
      <w:spacing w:beforeLines="0" w:afterLines="0"/>
    </w:pPr>
    <w:rPr>
      <w:rFonts w:ascii="宋体" w:eastAsia="宋体"/>
      <w:szCs w:val="21"/>
    </w:rPr>
  </w:style>
  <w:style w:type="paragraph" w:customStyle="1" w:styleId="10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5">
    <w:name w:val="附录四级条标题"/>
    <w:basedOn w:val="102"/>
    <w:next w:val="32"/>
    <w:qFormat/>
    <w:uiPriority w:val="0"/>
    <w:pPr>
      <w:numPr>
        <w:ilvl w:val="5"/>
      </w:numPr>
      <w:outlineLvl w:val="5"/>
    </w:pPr>
  </w:style>
  <w:style w:type="paragraph" w:customStyle="1" w:styleId="106">
    <w:name w:val="附录四级无"/>
    <w:basedOn w:val="105"/>
    <w:qFormat/>
    <w:uiPriority w:val="0"/>
    <w:pPr>
      <w:tabs>
        <w:tab w:val="clear" w:pos="360"/>
      </w:tabs>
      <w:spacing w:beforeLines="0" w:afterLines="0"/>
    </w:pPr>
    <w:rPr>
      <w:rFonts w:ascii="宋体" w:eastAsia="宋体"/>
      <w:szCs w:val="21"/>
    </w:rPr>
  </w:style>
  <w:style w:type="paragraph" w:customStyle="1" w:styleId="10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8">
    <w:name w:val="附录图标题"/>
    <w:basedOn w:val="1"/>
    <w:next w:val="3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9">
    <w:name w:val="附录五级条标题"/>
    <w:basedOn w:val="105"/>
    <w:next w:val="32"/>
    <w:qFormat/>
    <w:uiPriority w:val="0"/>
    <w:pPr>
      <w:numPr>
        <w:ilvl w:val="6"/>
      </w:numPr>
      <w:outlineLvl w:val="6"/>
    </w:pPr>
  </w:style>
  <w:style w:type="paragraph" w:customStyle="1" w:styleId="110">
    <w:name w:val="附录五级无"/>
    <w:basedOn w:val="109"/>
    <w:qFormat/>
    <w:uiPriority w:val="0"/>
    <w:pPr>
      <w:tabs>
        <w:tab w:val="clear" w:pos="360"/>
      </w:tabs>
      <w:spacing w:beforeLines="0" w:afterLines="0"/>
    </w:pPr>
    <w:rPr>
      <w:rFonts w:ascii="宋体" w:eastAsia="宋体"/>
      <w:szCs w:val="21"/>
    </w:rPr>
  </w:style>
  <w:style w:type="paragraph" w:customStyle="1" w:styleId="111">
    <w:name w:val="附录章标题"/>
    <w:next w:val="3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32"/>
    <w:qFormat/>
    <w:uiPriority w:val="0"/>
    <w:pPr>
      <w:numPr>
        <w:ilvl w:val="2"/>
      </w:numPr>
      <w:autoSpaceDN w:val="0"/>
      <w:spacing w:beforeLines="50" w:afterLines="50"/>
      <w:outlineLvl w:val="2"/>
    </w:pPr>
  </w:style>
  <w:style w:type="paragraph" w:customStyle="1" w:styleId="113">
    <w:name w:val="附录一级无"/>
    <w:basedOn w:val="112"/>
    <w:qFormat/>
    <w:uiPriority w:val="0"/>
    <w:pPr>
      <w:tabs>
        <w:tab w:val="clear" w:pos="360"/>
      </w:tabs>
      <w:spacing w:beforeLines="0" w:afterLines="0"/>
    </w:pPr>
    <w:rPr>
      <w:rFonts w:ascii="宋体" w:eastAsia="宋体"/>
      <w:szCs w:val="21"/>
    </w:rPr>
  </w:style>
  <w:style w:type="paragraph" w:customStyle="1" w:styleId="11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qFormat/>
    <w:uiPriority w:val="0"/>
    <w:pPr>
      <w:framePr w:wrap="around" w:y="15310"/>
      <w:spacing w:line="0" w:lineRule="atLeast"/>
    </w:pPr>
    <w:rPr>
      <w:rFonts w:ascii="黑体" w:eastAsia="黑体"/>
      <w:b w:val="0"/>
    </w:rPr>
  </w:style>
  <w:style w:type="paragraph" w:customStyle="1" w:styleId="121">
    <w:name w:val="前言、引言标题"/>
    <w:next w:val="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qFormat/>
    <w:uiPriority w:val="0"/>
    <w:pPr>
      <w:spacing w:beforeLines="0" w:afterLines="0"/>
    </w:pPr>
    <w:rPr>
      <w:rFonts w:ascii="宋体" w:eastAsia="宋体"/>
    </w:rPr>
  </w:style>
  <w:style w:type="paragraph" w:customStyle="1" w:styleId="123">
    <w:name w:val="实施日期"/>
    <w:basedOn w:val="84"/>
    <w:qFormat/>
    <w:uiPriority w:val="0"/>
    <w:pPr>
      <w:framePr w:wrap="around" w:vAnchor="page" w:hAnchor="text"/>
      <w:jc w:val="right"/>
    </w:pPr>
  </w:style>
  <w:style w:type="paragraph" w:customStyle="1" w:styleId="124">
    <w:name w:val="示例后文字"/>
    <w:basedOn w:val="32"/>
    <w:next w:val="32"/>
    <w:qFormat/>
    <w:uiPriority w:val="0"/>
    <w:pPr>
      <w:ind w:firstLine="360"/>
    </w:pPr>
    <w:rPr>
      <w:sz w:val="18"/>
    </w:rPr>
  </w:style>
  <w:style w:type="paragraph" w:customStyle="1" w:styleId="125">
    <w:name w:val="首示例"/>
    <w:next w:val="32"/>
    <w:link w:val="126"/>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6">
    <w:name w:val="首示例 Char"/>
    <w:link w:val="125"/>
    <w:qFormat/>
    <w:uiPriority w:val="0"/>
    <w:rPr>
      <w:rFonts w:ascii="宋体" w:hAnsi="宋体"/>
      <w:kern w:val="2"/>
      <w:sz w:val="18"/>
      <w:szCs w:val="18"/>
    </w:rPr>
  </w:style>
  <w:style w:type="paragraph" w:customStyle="1" w:styleId="127">
    <w:name w:val="四级无"/>
    <w:basedOn w:val="64"/>
    <w:qFormat/>
    <w:uiPriority w:val="0"/>
    <w:pPr>
      <w:spacing w:beforeLines="0" w:afterLines="0"/>
    </w:pPr>
    <w:rPr>
      <w:rFonts w:ascii="宋体" w:eastAsia="宋体"/>
    </w:rPr>
  </w:style>
  <w:style w:type="paragraph" w:customStyle="1" w:styleId="128">
    <w:name w:val="条文脚注"/>
    <w:basedOn w:val="33"/>
    <w:qFormat/>
    <w:uiPriority w:val="0"/>
    <w:pPr>
      <w:numPr>
        <w:numId w:val="0"/>
      </w:numPr>
      <w:jc w:val="both"/>
    </w:pPr>
  </w:style>
  <w:style w:type="paragraph" w:customStyle="1" w:styleId="129">
    <w:name w:val="图标脚注说明"/>
    <w:basedOn w:val="32"/>
    <w:qFormat/>
    <w:uiPriority w:val="0"/>
    <w:pPr>
      <w:ind w:left="840" w:hanging="420" w:firstLineChars="0"/>
    </w:pPr>
    <w:rPr>
      <w:sz w:val="18"/>
      <w:szCs w:val="18"/>
    </w:rPr>
  </w:style>
  <w:style w:type="paragraph" w:customStyle="1" w:styleId="130">
    <w:name w:val="图表脚注说明"/>
    <w:basedOn w:val="1"/>
    <w:qFormat/>
    <w:uiPriority w:val="0"/>
    <w:pPr>
      <w:numPr>
        <w:ilvl w:val="0"/>
        <w:numId w:val="16"/>
      </w:numPr>
    </w:pPr>
    <w:rPr>
      <w:rFonts w:ascii="宋体"/>
      <w:sz w:val="18"/>
      <w:szCs w:val="18"/>
    </w:rPr>
  </w:style>
  <w:style w:type="paragraph" w:customStyle="1" w:styleId="131">
    <w:name w:val="图的脚注"/>
    <w:next w:val="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qFormat/>
    <w:uiPriority w:val="0"/>
    <w:pPr>
      <w:spacing w:beforeLines="0" w:afterLines="0"/>
    </w:pPr>
    <w:rPr>
      <w:rFonts w:ascii="宋体" w:eastAsia="宋体"/>
    </w:rPr>
  </w:style>
  <w:style w:type="paragraph" w:customStyle="1" w:styleId="134">
    <w:name w:val="一级无"/>
    <w:basedOn w:val="51"/>
    <w:qFormat/>
    <w:uiPriority w:val="0"/>
    <w:pPr>
      <w:spacing w:beforeLines="0" w:afterLines="0"/>
    </w:pPr>
    <w:rPr>
      <w:rFonts w:ascii="宋体" w:eastAsia="宋体"/>
    </w:rPr>
  </w:style>
  <w:style w:type="paragraph" w:customStyle="1" w:styleId="135">
    <w:name w:val="正文表标题"/>
    <w:next w:val="3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32"/>
    <w:next w:val="32"/>
    <w:qFormat/>
    <w:uiPriority w:val="0"/>
    <w:pPr>
      <w:ind w:firstLine="0" w:firstLineChars="0"/>
    </w:pPr>
  </w:style>
  <w:style w:type="paragraph" w:customStyle="1" w:styleId="137">
    <w:name w:val="正文图标题"/>
    <w:next w:val="32"/>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4"/>
    <w:qFormat/>
    <w:uiPriority w:val="0"/>
    <w:pPr>
      <w:framePr w:wrap="around" w:vAnchor="page" w:hAnchor="text" w:x="1419"/>
    </w:pPr>
  </w:style>
  <w:style w:type="paragraph" w:customStyle="1" w:styleId="140">
    <w:name w:val="其他实施日期"/>
    <w:basedOn w:val="123"/>
    <w:qFormat/>
    <w:uiPriority w:val="0"/>
    <w:pPr>
      <w:framePr w:wrap="around"/>
    </w:pPr>
  </w:style>
  <w:style w:type="paragraph" w:customStyle="1" w:styleId="141">
    <w:name w:val="封面标准名称2"/>
    <w:basedOn w:val="87"/>
    <w:qFormat/>
    <w:uiPriority w:val="0"/>
    <w:pPr>
      <w:framePr w:wrap="around" w:y="4469"/>
      <w:spacing w:beforeLines="630"/>
    </w:pPr>
  </w:style>
  <w:style w:type="paragraph" w:customStyle="1" w:styleId="142">
    <w:name w:val="封面标准英文名称2"/>
    <w:basedOn w:val="88"/>
    <w:qFormat/>
    <w:uiPriority w:val="0"/>
    <w:pPr>
      <w:framePr w:wrap="around" w:y="4469"/>
    </w:pPr>
  </w:style>
  <w:style w:type="paragraph" w:customStyle="1" w:styleId="143">
    <w:name w:val="封面一致性程度标识2"/>
    <w:basedOn w:val="89"/>
    <w:qFormat/>
    <w:uiPriority w:val="0"/>
    <w:pPr>
      <w:framePr w:wrap="around" w:y="4469"/>
    </w:pPr>
  </w:style>
  <w:style w:type="paragraph" w:customStyle="1" w:styleId="144">
    <w:name w:val="封面标准文稿类别2"/>
    <w:basedOn w:val="90"/>
    <w:qFormat/>
    <w:uiPriority w:val="0"/>
    <w:pPr>
      <w:framePr w:wrap="around" w:y="4469"/>
    </w:pPr>
  </w:style>
  <w:style w:type="paragraph" w:customStyle="1" w:styleId="145">
    <w:name w:val="封面标准文稿编辑信息2"/>
    <w:basedOn w:val="91"/>
    <w:qFormat/>
    <w:uiPriority w:val="0"/>
    <w:pPr>
      <w:framePr w:wrap="around" w:y="4469"/>
    </w:pPr>
  </w:style>
  <w:style w:type="character" w:customStyle="1" w:styleId="146">
    <w:name w:val="批注文字 字符"/>
    <w:link w:val="16"/>
    <w:qFormat/>
    <w:uiPriority w:val="0"/>
    <w:rPr>
      <w:kern w:val="2"/>
      <w:sz w:val="21"/>
      <w:szCs w:val="24"/>
    </w:rPr>
  </w:style>
  <w:style w:type="character" w:customStyle="1" w:styleId="147">
    <w:name w:val="批注主题 字符"/>
    <w:link w:val="40"/>
    <w:qFormat/>
    <w:uiPriority w:val="0"/>
    <w:rPr>
      <w:b/>
      <w:bCs/>
      <w:kern w:val="2"/>
      <w:sz w:val="21"/>
      <w:szCs w:val="24"/>
    </w:rPr>
  </w:style>
  <w:style w:type="character" w:customStyle="1" w:styleId="148">
    <w:name w:val="批注框文本 字符"/>
    <w:link w:val="25"/>
    <w:qFormat/>
    <w:uiPriority w:val="0"/>
    <w:rPr>
      <w:kern w:val="2"/>
      <w:sz w:val="18"/>
      <w:szCs w:val="18"/>
    </w:rPr>
  </w:style>
  <w:style w:type="paragraph" w:customStyle="1" w:styleId="149">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1"/>
    <w:qFormat/>
    <w:uiPriority w:val="0"/>
    <w:pPr>
      <w:keepNext/>
      <w:spacing w:before="180" w:after="60"/>
    </w:pPr>
    <w:rPr>
      <w:rFonts w:ascii="Arial" w:hAnsi="Arial" w:eastAsia="Arial Unicode MS" w:cs="Times New Roman"/>
      <w:b/>
      <w:lang w:val="en-US" w:eastAsia="ja-JP" w:bidi="ar-SA"/>
    </w:rPr>
  </w:style>
  <w:style w:type="paragraph" w:customStyle="1" w:styleId="151">
    <w:name w:val="StdsHead2"/>
    <w:link w:val="167"/>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1"/>
    <w:qFormat/>
    <w:uiPriority w:val="0"/>
    <w:pPr>
      <w:keepNext/>
      <w:spacing w:before="180" w:after="60"/>
    </w:pPr>
    <w:rPr>
      <w:rFonts w:ascii="Arial" w:hAnsi="Arial" w:eastAsia="Arial Unicode MS" w:cs="Times New Roman"/>
      <w:b/>
      <w:lang w:val="en-US" w:eastAsia="ja-JP" w:bidi="ar-SA"/>
    </w:rPr>
  </w:style>
  <w:style w:type="paragraph" w:customStyle="1" w:styleId="158">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61">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62">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3">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4">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5">
    <w:name w:val="StdsText Char"/>
    <w:link w:val="166"/>
    <w:qFormat/>
    <w:locked/>
    <w:uiPriority w:val="0"/>
    <w:rPr>
      <w:lang w:eastAsia="ja-JP"/>
    </w:rPr>
  </w:style>
  <w:style w:type="paragraph" w:customStyle="1" w:styleId="166">
    <w:name w:val="StdsText"/>
    <w:link w:val="165"/>
    <w:qFormat/>
    <w:uiPriority w:val="0"/>
    <w:pPr>
      <w:spacing w:before="120" w:after="120"/>
      <w:jc w:val="both"/>
    </w:pPr>
    <w:rPr>
      <w:rFonts w:ascii="Times New Roman" w:hAnsi="Times New Roman" w:eastAsia="宋体" w:cs="Times New Roman"/>
      <w:lang w:val="en-US" w:eastAsia="ja-JP" w:bidi="ar-SA"/>
    </w:rPr>
  </w:style>
  <w:style w:type="character" w:customStyle="1" w:styleId="167">
    <w:name w:val="StdsHead2 Char"/>
    <w:link w:val="151"/>
    <w:qFormat/>
    <w:locked/>
    <w:uiPriority w:val="0"/>
    <w:rPr>
      <w:rFonts w:eastAsia="MS Mincho"/>
      <w:lang w:eastAsia="ja-JP"/>
    </w:rPr>
  </w:style>
  <w:style w:type="paragraph" w:styleId="168">
    <w:name w:val="List Paragraph"/>
    <w:basedOn w:val="1"/>
    <w:qFormat/>
    <w:uiPriority w:val="34"/>
    <w:pPr>
      <w:ind w:firstLine="420" w:firstLineChars="200"/>
    </w:pPr>
  </w:style>
  <w:style w:type="character" w:customStyle="1" w:styleId="169">
    <w:name w:val="日期 字符"/>
    <w:basedOn w:val="43"/>
    <w:link w:val="23"/>
    <w:qFormat/>
    <w:uiPriority w:val="0"/>
    <w:rPr>
      <w:kern w:val="2"/>
      <w:sz w:val="21"/>
      <w:szCs w:val="24"/>
    </w:rPr>
  </w:style>
  <w:style w:type="character" w:customStyle="1" w:styleId="170">
    <w:name w:val="标题 1 字符"/>
    <w:basedOn w:val="43"/>
    <w:link w:val="2"/>
    <w:qFormat/>
    <w:uiPriority w:val="0"/>
    <w:rPr>
      <w:b/>
      <w:bCs/>
      <w:kern w:val="44"/>
      <w:sz w:val="44"/>
      <w:szCs w:val="44"/>
    </w:rPr>
  </w:style>
  <w:style w:type="character" w:customStyle="1" w:styleId="171">
    <w:name w:val="标题 2 字符"/>
    <w:basedOn w:val="43"/>
    <w:link w:val="3"/>
    <w:qFormat/>
    <w:uiPriority w:val="0"/>
    <w:rPr>
      <w:rFonts w:asciiTheme="majorHAnsi" w:hAnsiTheme="majorHAnsi" w:eastAsiaTheme="majorEastAsia" w:cstheme="majorBidi"/>
      <w:b/>
      <w:bCs/>
      <w:kern w:val="2"/>
      <w:sz w:val="32"/>
      <w:szCs w:val="32"/>
    </w:rPr>
  </w:style>
  <w:style w:type="character" w:customStyle="1" w:styleId="172">
    <w:name w:val="标题 3 字符"/>
    <w:basedOn w:val="43"/>
    <w:link w:val="4"/>
    <w:qFormat/>
    <w:uiPriority w:val="0"/>
    <w:rPr>
      <w:b/>
      <w:bCs/>
      <w:kern w:val="2"/>
      <w:sz w:val="32"/>
      <w:szCs w:val="32"/>
    </w:rPr>
  </w:style>
  <w:style w:type="character" w:customStyle="1" w:styleId="173">
    <w:name w:val="标题 4 字符"/>
    <w:basedOn w:val="43"/>
    <w:link w:val="5"/>
    <w:semiHidden/>
    <w:qFormat/>
    <w:uiPriority w:val="0"/>
    <w:rPr>
      <w:rFonts w:asciiTheme="majorHAnsi" w:hAnsiTheme="majorHAnsi" w:eastAsiaTheme="majorEastAsia" w:cstheme="majorBidi"/>
      <w:b/>
      <w:bCs/>
      <w:kern w:val="2"/>
      <w:sz w:val="28"/>
      <w:szCs w:val="28"/>
    </w:rPr>
  </w:style>
  <w:style w:type="character" w:customStyle="1" w:styleId="174">
    <w:name w:val="标题 5 字符"/>
    <w:basedOn w:val="43"/>
    <w:link w:val="6"/>
    <w:semiHidden/>
    <w:qFormat/>
    <w:uiPriority w:val="0"/>
    <w:rPr>
      <w:b/>
      <w:bCs/>
      <w:kern w:val="2"/>
      <w:sz w:val="28"/>
      <w:szCs w:val="28"/>
    </w:rPr>
  </w:style>
  <w:style w:type="character" w:customStyle="1" w:styleId="175">
    <w:name w:val="标题 6 字符"/>
    <w:basedOn w:val="43"/>
    <w:link w:val="7"/>
    <w:semiHidden/>
    <w:qFormat/>
    <w:uiPriority w:val="0"/>
    <w:rPr>
      <w:rFonts w:asciiTheme="majorHAnsi" w:hAnsiTheme="majorHAnsi" w:eastAsiaTheme="majorEastAsia" w:cstheme="majorBidi"/>
      <w:b/>
      <w:bCs/>
      <w:kern w:val="2"/>
      <w:sz w:val="24"/>
      <w:szCs w:val="24"/>
    </w:rPr>
  </w:style>
  <w:style w:type="character" w:customStyle="1" w:styleId="176">
    <w:name w:val="标题 7 字符"/>
    <w:basedOn w:val="43"/>
    <w:link w:val="8"/>
    <w:semiHidden/>
    <w:qFormat/>
    <w:uiPriority w:val="0"/>
    <w:rPr>
      <w:b/>
      <w:bCs/>
      <w:kern w:val="2"/>
      <w:sz w:val="24"/>
      <w:szCs w:val="24"/>
    </w:rPr>
  </w:style>
  <w:style w:type="character" w:customStyle="1" w:styleId="177">
    <w:name w:val="标题 8 字符"/>
    <w:basedOn w:val="43"/>
    <w:link w:val="9"/>
    <w:semiHidden/>
    <w:qFormat/>
    <w:uiPriority w:val="0"/>
    <w:rPr>
      <w:rFonts w:asciiTheme="majorHAnsi" w:hAnsiTheme="majorHAnsi" w:eastAsiaTheme="majorEastAsia" w:cstheme="majorBidi"/>
      <w:kern w:val="2"/>
      <w:sz w:val="24"/>
      <w:szCs w:val="24"/>
    </w:rPr>
  </w:style>
  <w:style w:type="character" w:customStyle="1" w:styleId="178">
    <w:name w:val="标题 9 字符"/>
    <w:basedOn w:val="43"/>
    <w:link w:val="10"/>
    <w:semiHidden/>
    <w:qFormat/>
    <w:uiPriority w:val="0"/>
    <w:rPr>
      <w:rFonts w:asciiTheme="majorHAnsi" w:hAnsiTheme="majorHAnsi" w:eastAsiaTheme="majorEastAsia" w:cstheme="majorBidi"/>
      <w:kern w:val="2"/>
      <w:sz w:val="21"/>
      <w:szCs w:val="21"/>
    </w:rPr>
  </w:style>
  <w:style w:type="table" w:customStyle="1" w:styleId="179">
    <w:name w:val="网格表 41"/>
    <w:basedOn w:val="41"/>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rFonts w:cs="Times New Roman"/>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rFonts w:cs="Times New Roman"/>
        <w:b/>
        <w:bCs/>
      </w:rPr>
      <w:tcPr>
        <w:tcBorders>
          <w:top w:val="double" w:color="000000"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CCCCC"/>
      </w:tcPr>
    </w:tblStylePr>
    <w:tblStylePr w:type="band1Horz">
      <w:rPr>
        <w:rFonts w:cs="Times New Roman"/>
      </w:rPr>
      <w:tcPr>
        <w:shd w:val="clear" w:color="auto" w:fill="CCCCCC"/>
      </w:tcPr>
    </w:tblStylePr>
  </w:style>
  <w:style w:type="table" w:customStyle="1" w:styleId="180">
    <w:name w:val="网格型浅色1"/>
    <w:basedOn w:val="4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1">
    <w:name w:val="无格式表格 11"/>
    <w:basedOn w:val="4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2">
    <w:name w:val="无格式表格 31"/>
    <w:basedOn w:val="41"/>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183">
    <w:name w:val="标准表题"/>
    <w:basedOn w:val="1"/>
    <w:next w:val="1"/>
    <w:qFormat/>
    <w:uiPriority w:val="0"/>
    <w:pPr>
      <w:widowControl/>
      <w:jc w:val="center"/>
    </w:pPr>
    <w:rPr>
      <w:rFonts w:ascii="黑体" w:eastAsia="黑体" w:cs="黑体"/>
      <w:kern w:val="21"/>
      <w:szCs w:val="21"/>
    </w:rPr>
  </w:style>
  <w:style w:type="paragraph" w:customStyle="1" w:styleId="184">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C247F-4384-44B8-94FB-6ECBCAEE30FE}">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7</Pages>
  <Words>2829</Words>
  <Characters>3450</Characters>
  <Lines>10</Lines>
  <Paragraphs>8</Paragraphs>
  <TotalTime>131</TotalTime>
  <ScaleCrop>false</ScaleCrop>
  <LinksUpToDate>false</LinksUpToDate>
  <CharactersWithSpaces>3565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2022-06-28T09:14:00Z</dcterms:created>
  <dcterms:modified xsi:type="dcterms:W3CDTF">2022-08-11T00:23:15Z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A97868359A7F4EE9A2DB5E5BFBC4201B</vt:lpwstr>
  </property>
</Properties>
</file>