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numPr>
          <w:ilvl w:val="0"/>
          <w:numId w:val="0"/>
        </w:numPr>
        <w:jc w:val="both"/>
        <w:rPr>
          <w:rFonts w:ascii="Times New Roman"/>
          <w:color w:val="auto"/>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0" w:name="SectionMark0"/>
      <w:bookmarkStart w:id="1" w:name="SectionMark2"/>
      <w:bookmarkStart w:id="11" w:name="_GoBack"/>
      <w:r>
        <w:rPr>
          <w:rFonts w:ascii="Times New Roman"/>
          <w:color w:val="auto"/>
        </w:rPr>
        <mc:AlternateContent>
          <mc:Choice Requires="wps">
            <w:drawing>
              <wp:anchor distT="0" distB="0" distL="114300" distR="114300" simplePos="0" relativeHeight="251674624" behindDoc="0" locked="1" layoutInCell="1" allowOverlap="1">
                <wp:simplePos x="0" y="0"/>
                <wp:positionH relativeFrom="margin">
                  <wp:posOffset>4144010</wp:posOffset>
                </wp:positionH>
                <wp:positionV relativeFrom="margin">
                  <wp:posOffset>196215</wp:posOffset>
                </wp:positionV>
                <wp:extent cx="1390650" cy="720090"/>
                <wp:effectExtent l="0" t="0" r="0" b="381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1390650" cy="720090"/>
                        </a:xfrm>
                        <a:prstGeom prst="rect">
                          <a:avLst/>
                        </a:prstGeom>
                        <a:solidFill>
                          <a:srgbClr val="FFFFFF"/>
                        </a:solidFill>
                        <a:ln>
                          <a:noFill/>
                        </a:ln>
                      </wps:spPr>
                      <wps:txbx>
                        <w:txbxContent>
                          <w:p>
                            <w:pPr>
                              <w:pStyle w:val="48"/>
                            </w:pPr>
                            <w:r>
                              <w:t>YS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6.3pt;margin-top:15.45pt;height:56.7pt;width:109.5pt;mso-position-horizontal-relative:margin;mso-position-vertical-relative:margin;z-index:251674624;mso-width-relative:page;mso-height-relative:page;" fillcolor="#FFFFFF" filled="t" stroked="f" coordsize="21600,21600" o:gfxdata="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TvZ3&#10;2AAAAAoBAAAPAAAAAAAAAAEAIAAAACIAAABkcnMvZG93bnJldi54bWxQSwECFAAUAAAACACHTuJA&#10;UjDFsiECAAAwBAAADgAAAAAAAAABACAAAAAnAQAAZHJzL2Uyb0RvYy54bWxQSwUGAAAAAAYABgBZ&#10;AQAAugUAAAAA&#10;">
                <v:fill on="t" focussize="0,0"/>
                <v:stroke on="f"/>
                <v:imagedata o:title=""/>
                <o:lock v:ext="edit" aspectratio="f"/>
                <v:textbox inset="0mm,0mm,0mm,0mm">
                  <w:txbxContent>
                    <w:p>
                      <w:pPr>
                        <w:pStyle w:val="48"/>
                      </w:pPr>
                      <w:r>
                        <w:t>YS</w:t>
                      </w:r>
                    </w:p>
                  </w:txbxContent>
                </v:textbox>
                <w10:anchorlock/>
              </v:shape>
            </w:pict>
          </mc:Fallback>
        </mc:AlternateContent>
      </w:r>
      <w:r>
        <w:rPr>
          <w:rFonts w:ascii="Times New Roman"/>
          <w:color w:val="auto"/>
        </w:rPr>
        <mc:AlternateContent>
          <mc:Choice Requires="wps">
            <w:drawing>
              <wp:anchor distT="0" distB="0" distL="114300" distR="114300" simplePos="0" relativeHeight="251672576" behindDoc="0" locked="0" layoutInCell="0" allowOverlap="1">
                <wp:simplePos x="0" y="0"/>
                <wp:positionH relativeFrom="column">
                  <wp:posOffset>-9525</wp:posOffset>
                </wp:positionH>
                <wp:positionV relativeFrom="paragraph">
                  <wp:posOffset>8863965</wp:posOffset>
                </wp:positionV>
                <wp:extent cx="6121400" cy="0"/>
                <wp:effectExtent l="14605" t="9525" r="7620" b="9525"/>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0.75pt;margin-top:697.95pt;height:0pt;width:482pt;z-index:251672576;mso-width-relative:page;mso-height-relative:page;" filled="f" stroked="t" coordsize="21600,21600" o:allowincell="f" o:gfxdata="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2&#10;KvEV1gAAAAwBAAAPAAAAAAAAAAEAIAAAACIAAABkcnMvZG93bnJldi54bWxQSwECFAAUAAAACACH&#10;TuJAVxfnmO0BAAC4AwAADgAAAAAAAAABACAAAAAlAQAAZHJzL2Uyb0RvYy54bWxQSwUGAAAAAAYA&#10;BgBZAQAAhAUAAAAA&#10;">
                <v:fill on="f" focussize="0,0"/>
                <v:stroke weight="1pt" color="#800008" joinstyle="round"/>
                <v:imagedata o:title=""/>
                <o:lock v:ext="edit" aspectratio="f"/>
              </v:line>
            </w:pict>
          </mc:Fallback>
        </mc:AlternateContent>
      </w:r>
      <w:r>
        <w:rPr>
          <w:rFonts w:ascii="Times New Roman"/>
          <w:color w:val="auto"/>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2416175</wp:posOffset>
                </wp:positionV>
                <wp:extent cx="6121400" cy="0"/>
                <wp:effectExtent l="14605" t="10160" r="7620" b="889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0pt;margin-top:190.25pt;height:0pt;width:482pt;z-index:251671552;mso-width-relative:page;mso-height-relative:page;" filled="f" stroked="t" coordsize="21600,21600" o:allowincell="f" o:gfxdata="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d7n&#10;WtQAAAAIAQAADwAAAAAAAAABACAAAAAiAAAAZHJzL2Rvd25yZXYueG1sUEsBAhQAFAAAAAgAh07i&#10;QM8XZWrtAQAAuAMAAA4AAAAAAAAAAQAgAAAAIwEAAGRycy9lMm9Eb2MueG1sUEsFBgAAAAAGAAYA&#10;WQEAAIIFAAAAAA==&#10;">
                <v:fill on="f" focussize="0,0"/>
                <v:stroke weight="1pt" color="#800008" joinstyle="round"/>
                <v:imagedata o:title=""/>
                <o:lock v:ext="edit" aspectratio="f"/>
              </v:line>
            </w:pict>
          </mc:Fallback>
        </mc:AlternateContent>
      </w:r>
      <w:r>
        <w:rPr>
          <w:rFonts w:ascii="Times New Roman"/>
          <w:color w:val="auto"/>
        </w:rPr>
        <mc:AlternateContent>
          <mc:Choice Requires="wps">
            <w:drawing>
              <wp:anchor distT="0" distB="0" distL="114300" distR="114300" simplePos="0" relativeHeight="251670528" behindDoc="0" locked="0" layoutInCell="1" allowOverlap="1">
                <wp:simplePos x="0" y="0"/>
                <wp:positionH relativeFrom="column">
                  <wp:posOffset>4843145</wp:posOffset>
                </wp:positionH>
                <wp:positionV relativeFrom="paragraph">
                  <wp:posOffset>9121140</wp:posOffset>
                </wp:positionV>
                <wp:extent cx="457200" cy="323850"/>
                <wp:effectExtent l="9525" t="9525" r="9525" b="9525"/>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457200" cy="323850"/>
                        </a:xfrm>
                        <a:prstGeom prst="rect">
                          <a:avLst/>
                        </a:prstGeom>
                        <a:solidFill>
                          <a:srgbClr val="FFFFFF"/>
                        </a:solidFill>
                        <a:ln w="9525" cmpd="sng">
                          <a:solidFill>
                            <a:srgbClr val="FFFFFF"/>
                          </a:solidFill>
                          <a:miter lim="800000"/>
                        </a:ln>
                      </wps:spPr>
                      <wps:txbx>
                        <w:txbxContent>
                          <w:p>
                            <w:pPr>
                              <w:rPr>
                                <w:rFonts w:ascii="黑体" w:eastAsia="黑体"/>
                                <w:sz w:val="28"/>
                                <w:szCs w:val="28"/>
                              </w:rPr>
                            </w:pPr>
                            <w:r>
                              <w:rPr>
                                <w:rFonts w:hint="eastAsia" w:ascii="黑体" w:eastAsia="黑体"/>
                                <w:sz w:val="28"/>
                                <w:szCs w:val="28"/>
                              </w:rPr>
                              <w:t>发 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81.35pt;margin-top:718.2pt;height:25.5pt;width:36pt;z-index:251670528;mso-width-relative:page;mso-height-relative:page;" fillcolor="#FFFFFF" filled="t" stroked="t" coordsize="21600,21600" o:gfxdata="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5YnTY2gAAAA0BAAAPAAAAAAAAAAEAIAAAACIAAABkcnMv&#10;ZG93bnJldi54bWxQSwECFAAUAAAACACHTuJAna2sdToCAACDBAAADgAAAAAAAAABACAAAAApAQAA&#10;ZHJzL2Uyb0RvYy54bWxQSwUGAAAAAAYABgBZAQAA1QUAAAAA&#10;">
                <v:fill on="t" focussize="0,0"/>
                <v:stroke color="#FFFFFF" miterlimit="8" joinstyle="miter"/>
                <v:imagedata o:title=""/>
                <o:lock v:ext="edit" aspectratio="f"/>
                <v:textbox inset="0mm,0mm,0mm,0mm">
                  <w:txbxContent>
                    <w:p>
                      <w:pPr>
                        <w:rPr>
                          <w:rFonts w:ascii="黑体" w:eastAsia="黑体"/>
                          <w:sz w:val="28"/>
                          <w:szCs w:val="28"/>
                        </w:rPr>
                      </w:pPr>
                      <w:r>
                        <w:rPr>
                          <w:rFonts w:hint="eastAsia" w:ascii="黑体" w:eastAsia="黑体"/>
                          <w:sz w:val="28"/>
                          <w:szCs w:val="28"/>
                        </w:rPr>
                        <w:t>发 布</w:t>
                      </w:r>
                    </w:p>
                  </w:txbxContent>
                </v:textbox>
              </v:shape>
            </w:pict>
          </mc:Fallback>
        </mc:AlternateContent>
      </w:r>
      <w:r>
        <w:rPr>
          <w:rFonts w:ascii="Times New Roman"/>
          <w:color w:val="auto"/>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8856345</wp:posOffset>
                </wp:positionV>
                <wp:extent cx="6121400" cy="0"/>
                <wp:effectExtent l="14605" t="11430" r="7620" b="7620"/>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_x0000_s1026" o:spid="_x0000_s1026" o:spt="20" style="position:absolute;left:0pt;margin-left:-0.75pt;margin-top:697.35pt;height:0pt;width:482pt;z-index:251667456;mso-width-relative:page;mso-height-relative:page;" filled="f" stroked="t" coordsize="21600,21600" o:gfxdata="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lXg&#10;4tcAAAAMAQAADwAAAAAAAAABACAAAAAiAAAAZHJzL2Rvd25yZXYueG1sUEsBAhQAFAAAAAgAh07i&#10;QGCPrdjqAQAAuAMAAA4AAAAAAAAAAQAgAAAAJgEAAGRycy9lMm9Eb2MueG1sUEsFBgAAAAAGAAYA&#10;WQEAAIIFAAAAAA==&#10;">
                <v:fill on="f" focussize="0,0"/>
                <v:stroke weight="1pt" color="#FFFFFF" joinstyle="round"/>
                <v:imagedata o:title=""/>
                <o:lock v:ext="edit" aspectratio="f"/>
              </v:line>
            </w:pict>
          </mc:Fallback>
        </mc:AlternateContent>
      </w:r>
      <w:r>
        <w:rPr>
          <w:rFonts w:ascii="Times New Roman"/>
          <w:color w:val="auto"/>
        </w:rPr>
        <mc:AlternateContent>
          <mc:Choice Requires="wps">
            <w:drawing>
              <wp:anchor distT="0" distB="0" distL="114300" distR="114300" simplePos="0" relativeHeight="251669504" behindDoc="0" locked="1" layoutInCell="1" allowOverlap="1">
                <wp:simplePos x="0" y="0"/>
                <wp:positionH relativeFrom="margin">
                  <wp:posOffset>857250</wp:posOffset>
                </wp:positionH>
                <wp:positionV relativeFrom="margin">
                  <wp:posOffset>9181465</wp:posOffset>
                </wp:positionV>
                <wp:extent cx="3815715" cy="406400"/>
                <wp:effectExtent l="0" t="3175"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3815715" cy="406400"/>
                        </a:xfrm>
                        <a:prstGeom prst="rect">
                          <a:avLst/>
                        </a:prstGeom>
                        <a:solidFill>
                          <a:srgbClr val="FFFFFF"/>
                        </a:solidFill>
                        <a:ln>
                          <a:noFill/>
                        </a:ln>
                      </wps:spPr>
                      <wps:txbx>
                        <w:txbxContent>
                          <w:p>
                            <w:pPr>
                              <w:pStyle w:val="63"/>
                              <w:spacing w:line="0" w:lineRule="atLeast"/>
                              <w:jc w:val="distribute"/>
                              <w:rPr>
                                <w:rFonts w:hAnsi="宋体"/>
                                <w:spacing w:val="-40"/>
                                <w:w w:val="100"/>
                                <w:szCs w:val="36"/>
                              </w:rPr>
                            </w:pPr>
                            <w:r>
                              <w:rPr>
                                <w:rFonts w:hint="eastAsia" w:hAnsi="宋体"/>
                                <w:spacing w:val="-40"/>
                                <w:w w:val="100"/>
                                <w:szCs w:val="36"/>
                              </w:rPr>
                              <w:t>中华人民共和国工业和信息化部</w:t>
                            </w:r>
                          </w:p>
                        </w:txbxContent>
                      </wps:txbx>
                      <wps:bodyPr rot="0" vert="horz" wrap="square" lIns="0" tIns="0" rIns="36000" bIns="0" anchor="t" anchorCtr="0" upright="1">
                        <a:noAutofit/>
                      </wps:bodyPr>
                    </wps:wsp>
                  </a:graphicData>
                </a:graphic>
              </wp:anchor>
            </w:drawing>
          </mc:Choice>
          <mc:Fallback>
            <w:pict>
              <v:shape id="_x0000_s1026" o:spid="_x0000_s1026" o:spt="202" type="#_x0000_t202" style="position:absolute;left:0pt;margin-left:67.5pt;margin-top:722.95pt;height:32pt;width:300.45pt;mso-position-horizontal-relative:margin;mso-position-vertical-relative:margin;z-index:251669504;mso-width-relative:page;mso-height-relative:page;" fillcolor="#FFFFFF" filled="t" stroked="f" coordsize="21600,21600" o:gfxdata="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nY77bXAAAADQEAAA8AAAAAAAAAAQAgAAAAIgAAAGRycy9kb3ducmV2LnhtbFBLAQIUABQAAAAI&#10;AIdO4kAdARL8JwIAADQEAAAOAAAAAAAAAAEAIAAAACYBAABkcnMvZTJvRG9jLnhtbFBLBQYAAAAA&#10;BgAGAFkBAAC/BQAAAAA=&#10;">
                <v:fill on="t" focussize="0,0"/>
                <v:stroke on="f"/>
                <v:imagedata o:title=""/>
                <o:lock v:ext="edit" aspectratio="f"/>
                <v:textbox inset="0mm,0mm,1mm,0mm">
                  <w:txbxContent>
                    <w:p>
                      <w:pPr>
                        <w:pStyle w:val="63"/>
                        <w:spacing w:line="0" w:lineRule="atLeast"/>
                        <w:jc w:val="distribute"/>
                        <w:rPr>
                          <w:rFonts w:hAnsi="宋体"/>
                          <w:spacing w:val="-40"/>
                          <w:w w:val="100"/>
                          <w:szCs w:val="36"/>
                        </w:rPr>
                      </w:pPr>
                      <w:r>
                        <w:rPr>
                          <w:rFonts w:hint="eastAsia" w:hAnsi="宋体"/>
                          <w:spacing w:val="-40"/>
                          <w:w w:val="100"/>
                          <w:szCs w:val="36"/>
                        </w:rPr>
                        <w:t>中华人民共和国工业和信息化部</w:t>
                      </w:r>
                    </w:p>
                  </w:txbxContent>
                </v:textbox>
                <w10:anchorlock/>
              </v:shape>
            </w:pict>
          </mc:Fallback>
        </mc:AlternateContent>
      </w:r>
      <w:r>
        <w:rPr>
          <w:rFonts w:ascii="Times New Roman"/>
          <w:color w:val="auto"/>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2406650</wp:posOffset>
                </wp:positionV>
                <wp:extent cx="6121400" cy="0"/>
                <wp:effectExtent l="14605" t="10160" r="7620" b="8890"/>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_x0000_s1026" o:spid="_x0000_s1026" o:spt="20" style="position:absolute;left:0pt;margin-left:0pt;margin-top:189.5pt;height:0pt;width:482pt;z-index:251666432;mso-width-relative:page;mso-height-relative:page;" filled="f" stroked="t" coordsize="21600,21600" o:allowincell="f" o:gfxdata="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W42U&#10;1QAAAAgBAAAPAAAAAAAAAAEAIAAAACIAAABkcnMvZG93bnJldi54bWxQSwECFAAUAAAACACHTuJA&#10;HVWXdOsBAAC4AwAADgAAAAAAAAABACAAAAAkAQAAZHJzL2Uyb0RvYy54bWxQSwUGAAAAAAYABgBZ&#10;AQAAgQUAAAAA&#10;">
                <v:fill on="f" focussize="0,0"/>
                <v:stroke weight="1pt" color="#FFFFFF" joinstyle="round"/>
                <v:imagedata o:title=""/>
                <o:lock v:ext="edit" aspectratio="f"/>
              </v:line>
            </w:pict>
          </mc:Fallback>
        </mc:AlternateContent>
      </w:r>
      <w:r>
        <w:rPr>
          <w:rFonts w:ascii="Times New Roman"/>
          <w:color w:val="auto"/>
        </w:rPr>
        <mc:AlternateContent>
          <mc:Choice Requires="wps">
            <w:drawing>
              <wp:anchor distT="0" distB="0" distL="114300" distR="114300" simplePos="0" relativeHeight="251668480" behindDoc="0" locked="1" layoutInCell="0" allowOverlap="1">
                <wp:simplePos x="0" y="0"/>
                <wp:positionH relativeFrom="margin">
                  <wp:posOffset>0</wp:posOffset>
                </wp:positionH>
                <wp:positionV relativeFrom="margin">
                  <wp:posOffset>0</wp:posOffset>
                </wp:positionV>
                <wp:extent cx="2540000" cy="657860"/>
                <wp:effectExtent l="0" t="381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00"/>
                              <w:rPr>
                                <w:rFonts w:ascii="黑体" w:hAnsi="黑体"/>
                              </w:rPr>
                            </w:pPr>
                            <w:r>
                              <w:rPr>
                                <w:rFonts w:ascii="黑体" w:hAnsi="黑体"/>
                                <w:b/>
                                <w:bCs/>
                              </w:rPr>
                              <w:t>ICS</w:t>
                            </w:r>
                            <w:r>
                              <w:rPr>
                                <w:rFonts w:hint="eastAsia" w:ascii="黑体" w:hAnsi="黑体"/>
                              </w:rPr>
                              <w:t xml:space="preserve"> </w:t>
                            </w:r>
                            <w:r>
                              <w:rPr>
                                <w:rFonts w:ascii="黑体" w:hAnsi="黑体"/>
                              </w:rPr>
                              <w:t>77</w:t>
                            </w:r>
                            <w:r>
                              <w:rPr>
                                <w:rFonts w:hint="eastAsia" w:ascii="黑体" w:hAnsi="黑体"/>
                              </w:rPr>
                              <w:t>.150</w:t>
                            </w:r>
                            <w:r>
                              <w:rPr>
                                <w:rFonts w:ascii="黑体" w:hAnsi="黑体"/>
                              </w:rPr>
                              <w:t>.40</w:t>
                            </w:r>
                          </w:p>
                          <w:p>
                            <w:pPr>
                              <w:pStyle w:val="100"/>
                              <w:rPr>
                                <w:rFonts w:ascii="黑体" w:hAnsi="黑体"/>
                              </w:rPr>
                            </w:pPr>
                            <w:r>
                              <w:rPr>
                                <w:rFonts w:hint="eastAsia" w:ascii="黑体" w:hAnsi="黑体"/>
                              </w:rPr>
                              <w:t xml:space="preserve">CCS H </w:t>
                            </w:r>
                            <w:r>
                              <w:rPr>
                                <w:rFonts w:ascii="黑体" w:hAnsi="黑体"/>
                              </w:rPr>
                              <w:t>62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8480;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CO71e4h&#10;AgAAMAQAAA4AAAAAAAAAAQAgAAAAIgEAAGRycy9lMm9Eb2MueG1sUEsFBgAAAAAGAAYAWQEAALUF&#10;AAAAAA==&#10;">
                <v:fill on="t" focussize="0,0"/>
                <v:stroke on="f"/>
                <v:imagedata o:title=""/>
                <o:lock v:ext="edit" aspectratio="f"/>
                <v:textbox inset="0mm,0mm,0mm,0mm">
                  <w:txbxContent>
                    <w:p>
                      <w:pPr>
                        <w:pStyle w:val="100"/>
                        <w:rPr>
                          <w:rFonts w:ascii="黑体" w:hAnsi="黑体"/>
                        </w:rPr>
                      </w:pPr>
                      <w:r>
                        <w:rPr>
                          <w:rFonts w:ascii="黑体" w:hAnsi="黑体"/>
                          <w:b/>
                          <w:bCs/>
                        </w:rPr>
                        <w:t>ICS</w:t>
                      </w:r>
                      <w:r>
                        <w:rPr>
                          <w:rFonts w:hint="eastAsia" w:ascii="黑体" w:hAnsi="黑体"/>
                        </w:rPr>
                        <w:t xml:space="preserve"> </w:t>
                      </w:r>
                      <w:r>
                        <w:rPr>
                          <w:rFonts w:ascii="黑体" w:hAnsi="黑体"/>
                        </w:rPr>
                        <w:t>77</w:t>
                      </w:r>
                      <w:r>
                        <w:rPr>
                          <w:rFonts w:hint="eastAsia" w:ascii="黑体" w:hAnsi="黑体"/>
                        </w:rPr>
                        <w:t>.150</w:t>
                      </w:r>
                      <w:r>
                        <w:rPr>
                          <w:rFonts w:ascii="黑体" w:hAnsi="黑体"/>
                        </w:rPr>
                        <w:t>.40</w:t>
                      </w:r>
                    </w:p>
                    <w:p>
                      <w:pPr>
                        <w:pStyle w:val="100"/>
                        <w:rPr>
                          <w:rFonts w:ascii="黑体" w:hAnsi="黑体"/>
                        </w:rPr>
                      </w:pPr>
                      <w:r>
                        <w:rPr>
                          <w:rFonts w:hint="eastAsia" w:ascii="黑体" w:hAnsi="黑体"/>
                        </w:rPr>
                        <w:t xml:space="preserve">CCS H </w:t>
                      </w:r>
                      <w:r>
                        <w:rPr>
                          <w:rFonts w:ascii="黑体" w:hAnsi="黑体"/>
                        </w:rPr>
                        <w:t>62</w:t>
                      </w:r>
                    </w:p>
                  </w:txbxContent>
                </v:textbox>
                <w10:anchorlock/>
              </v:shape>
            </w:pict>
          </mc:Fallback>
        </mc:AlternateContent>
      </w:r>
      <w:r>
        <w:rPr>
          <w:rFonts w:ascii="Times New Roman"/>
          <w:color w:val="auto"/>
        </w:rPr>
        <mc:AlternateContent>
          <mc:Choice Requires="wps">
            <w:drawing>
              <wp:anchor distT="0" distB="0" distL="114300" distR="114300" simplePos="0" relativeHeight="251665408" behindDoc="0" locked="1" layoutInCell="1" allowOverlap="1">
                <wp:simplePos x="0" y="0"/>
                <wp:positionH relativeFrom="margin">
                  <wp:posOffset>4095750</wp:posOffset>
                </wp:positionH>
                <wp:positionV relativeFrom="margin">
                  <wp:posOffset>8536305</wp:posOffset>
                </wp:positionV>
                <wp:extent cx="2019300" cy="312420"/>
                <wp:effectExtent l="0" t="0" r="4445"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3"/>
                              <w:ind w:firstLine="420"/>
                              <w:rPr>
                                <w:rFonts w:ascii="黑体" w:hAnsi="黑体"/>
                              </w:rPr>
                            </w:pPr>
                            <w:r>
                              <w:rPr>
                                <w:rFonts w:hint="eastAsia" w:ascii="黑体" w:hAnsi="黑体"/>
                              </w:rPr>
                              <w:t>202X-XX-XX实施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5pt;margin-top:672.15pt;height:24.6pt;width:159pt;mso-position-horizontal-relative:margin;mso-position-vertical-relative:margin;z-index:251665408;mso-width-relative:page;mso-height-relative:page;" fillcolor="#FFFFFF" filled="t" stroked="f" coordsize="21600,21600" o:gfxdata="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Bc&#10;+BjaAAAADQEAAA8AAAAAAAAAAQAgAAAAIgAAAGRycy9kb3ducmV2LnhtbFBLAQIUABQAAAAIAIdO&#10;4kBaQGC9IQIAADAEAAAOAAAAAAAAAAEAIAAAACkBAABkcnMvZTJvRG9jLnhtbFBLBQYAAAAABgAG&#10;AFkBAAC8BQAAAAA=&#10;">
                <v:fill on="t" focussize="0,0"/>
                <v:stroke on="f"/>
                <v:imagedata o:title=""/>
                <o:lock v:ext="edit" aspectratio="f"/>
                <v:textbox inset="0mm,0mm,0mm,0mm">
                  <w:txbxContent>
                    <w:p>
                      <w:pPr>
                        <w:pStyle w:val="93"/>
                        <w:ind w:firstLine="420"/>
                        <w:rPr>
                          <w:rFonts w:ascii="黑体" w:hAnsi="黑体"/>
                        </w:rPr>
                      </w:pPr>
                      <w:r>
                        <w:rPr>
                          <w:rFonts w:hint="eastAsia" w:ascii="黑体" w:hAnsi="黑体"/>
                        </w:rPr>
                        <w:t>202X-XX-XX实施</w:t>
                      </w:r>
                    </w:p>
                  </w:txbxContent>
                </v:textbox>
                <w10:anchorlock/>
              </v:shape>
            </w:pict>
          </mc:Fallback>
        </mc:AlternateContent>
      </w:r>
      <w:r>
        <w:rPr>
          <w:rFonts w:ascii="Times New Roman"/>
          <w:color w:val="auto"/>
        </w:rPr>
        <mc:AlternateContent>
          <mc:Choice Requires="wps">
            <w:drawing>
              <wp:anchor distT="0" distB="0" distL="114300" distR="114300" simplePos="0" relativeHeight="251664384" behindDoc="0" locked="1" layoutInCell="1" allowOverlap="1">
                <wp:simplePos x="0" y="0"/>
                <wp:positionH relativeFrom="margin">
                  <wp:posOffset>-9525</wp:posOffset>
                </wp:positionH>
                <wp:positionV relativeFrom="margin">
                  <wp:posOffset>8536305</wp:posOffset>
                </wp:positionV>
                <wp:extent cx="2019300" cy="312420"/>
                <wp:effectExtent l="0" t="0" r="4445"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4"/>
                              <w:rPr>
                                <w:rFonts w:ascii="黑体" w:hAnsi="黑体"/>
                              </w:rPr>
                            </w:pPr>
                            <w:r>
                              <w:rPr>
                                <w:rFonts w:hint="eastAsia" w:ascii="黑体" w:hAnsi="黑体"/>
                              </w:rPr>
                              <w:t>202X-XX-XX发布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75pt;margin-top:672.15pt;height:24.6pt;width:159pt;mso-position-horizontal-relative:margin;mso-position-vertical-relative:margin;z-index:251664384;mso-width-relative:page;mso-height-relative:page;" fillcolor="#FFFFFF" filled="t" stroked="f" coordsize="21600,21600" o:gfxdata="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dVN&#10;t9kAAAAMAQAADwAAAAAAAAABACAAAAAiAAAAZHJzL2Rvd25yZXYueG1sUEsBAhQAFAAAAAgAh07i&#10;QIge9AUhAgAAMAQAAA4AAAAAAAAAAQAgAAAAKAEAAGRycy9lMm9Eb2MueG1sUEsFBgAAAAAGAAYA&#10;WQEAALsFAAAAAA==&#10;">
                <v:fill on="t" focussize="0,0"/>
                <v:stroke on="f"/>
                <v:imagedata o:title=""/>
                <o:lock v:ext="edit" aspectratio="f"/>
                <v:textbox inset="0mm,0mm,0mm,0mm">
                  <w:txbxContent>
                    <w:p>
                      <w:pPr>
                        <w:pStyle w:val="64"/>
                        <w:rPr>
                          <w:rFonts w:ascii="黑体" w:hAnsi="黑体"/>
                        </w:rPr>
                      </w:pPr>
                      <w:r>
                        <w:rPr>
                          <w:rFonts w:hint="eastAsia" w:ascii="黑体" w:hAnsi="黑体"/>
                        </w:rPr>
                        <w:t>202X-XX-XX发布</w:t>
                      </w:r>
                    </w:p>
                  </w:txbxContent>
                </v:textbox>
                <w10:anchorlock/>
              </v:shape>
            </w:pict>
          </mc:Fallback>
        </mc:AlternateContent>
      </w:r>
      <w:r>
        <w:rPr>
          <w:rFonts w:ascii="Times New Roman"/>
          <w:color w:val="auto"/>
        </w:rP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3778250</wp:posOffset>
                </wp:positionV>
                <wp:extent cx="5969000" cy="4290695"/>
                <wp:effectExtent l="0" t="635" r="0" b="444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5969000" cy="4290695"/>
                        </a:xfrm>
                        <a:prstGeom prst="rect">
                          <a:avLst/>
                        </a:prstGeom>
                        <a:solidFill>
                          <a:srgbClr val="FFFFFF"/>
                        </a:solidFill>
                        <a:ln>
                          <a:noFill/>
                        </a:ln>
                      </wps:spPr>
                      <wps:txbx>
                        <w:txbxContent>
                          <w:p>
                            <w:pPr>
                              <w:pStyle w:val="68"/>
                            </w:pPr>
                            <w:r>
                              <w:rPr>
                                <w:rFonts w:hint="eastAsia"/>
                              </w:rPr>
                              <w:t>集成电路封装用镍阳极</w:t>
                            </w:r>
                          </w:p>
                          <w:p>
                            <w:pPr>
                              <w:pStyle w:val="72"/>
                              <w:spacing w:before="360"/>
                              <w:rPr>
                                <w:rFonts w:ascii="Times New Roman" w:eastAsia="黑体"/>
                              </w:rPr>
                            </w:pPr>
                            <w:r>
                              <w:rPr>
                                <w:rFonts w:ascii="Times New Roman" w:eastAsia="黑体"/>
                              </w:rPr>
                              <w:t>Nickel anode for integrated circuit packaging</w:t>
                            </w:r>
                          </w:p>
                          <w:p>
                            <w:pPr>
                              <w:pStyle w:val="72"/>
                              <w:rPr>
                                <w:sz w:val="44"/>
                              </w:rPr>
                            </w:pPr>
                            <w:r>
                              <w:rPr>
                                <w:rFonts w:hint="eastAsia"/>
                                <w:sz w:val="44"/>
                              </w:rPr>
                              <w:t>（送审稿）</w:t>
                            </w:r>
                          </w:p>
                          <w:p>
                            <w:pPr>
                              <w:pStyle w:val="70"/>
                            </w:pPr>
                          </w:p>
                          <w:p>
                            <w:pPr>
                              <w:pStyle w:val="69"/>
                            </w:pP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97.5pt;height:337.85pt;width:470pt;mso-position-horizontal-relative:margin;mso-position-vertical-relative:margin;z-index:251663360;mso-width-relative:page;mso-height-relative:page;" fillcolor="#FFFFFF" filled="t" stroked="f" coordsize="21600,21600" o:allowincell="f" o:gfxdata="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CM&#10;EDzYAAAACQEAAA8AAAAAAAAAAQAgAAAAIgAAAGRycy9kb3ducmV2LnhtbFBLAQIUABQAAAAIAIdO&#10;4kAVz9suIwIAADEEAAAOAAAAAAAAAAEAIAAAACcBAABkcnMvZTJvRG9jLnhtbFBLBQYAAAAABgAG&#10;AFkBAAC8BQAAAAA=&#10;">
                <v:fill on="t" focussize="0,0"/>
                <v:stroke on="f"/>
                <v:imagedata o:title=""/>
                <o:lock v:ext="edit" aspectratio="f"/>
                <v:textbox inset="0mm,0mm,0mm,0mm">
                  <w:txbxContent>
                    <w:p>
                      <w:pPr>
                        <w:pStyle w:val="68"/>
                      </w:pPr>
                      <w:r>
                        <w:rPr>
                          <w:rFonts w:hint="eastAsia"/>
                        </w:rPr>
                        <w:t>集成电路封装用镍阳极</w:t>
                      </w:r>
                    </w:p>
                    <w:p>
                      <w:pPr>
                        <w:pStyle w:val="72"/>
                        <w:spacing w:before="360"/>
                        <w:rPr>
                          <w:rFonts w:ascii="Times New Roman" w:eastAsia="黑体"/>
                        </w:rPr>
                      </w:pPr>
                      <w:r>
                        <w:rPr>
                          <w:rFonts w:ascii="Times New Roman" w:eastAsia="黑体"/>
                        </w:rPr>
                        <w:t>Nickel anode for integrated circuit packaging</w:t>
                      </w:r>
                    </w:p>
                    <w:p>
                      <w:pPr>
                        <w:pStyle w:val="72"/>
                        <w:rPr>
                          <w:sz w:val="44"/>
                        </w:rPr>
                      </w:pPr>
                      <w:r>
                        <w:rPr>
                          <w:rFonts w:hint="eastAsia"/>
                          <w:sz w:val="44"/>
                        </w:rPr>
                        <w:t>（送审稿）</w:t>
                      </w:r>
                    </w:p>
                    <w:p>
                      <w:pPr>
                        <w:pStyle w:val="70"/>
                      </w:pPr>
                    </w:p>
                    <w:p>
                      <w:pPr>
                        <w:pStyle w:val="69"/>
                      </w:pPr>
                    </w:p>
                    <w:p/>
                  </w:txbxContent>
                </v:textbox>
                <w10:anchorlock/>
              </v:shape>
            </w:pict>
          </mc:Fallback>
        </mc:AlternateContent>
      </w:r>
      <w:r>
        <w:rPr>
          <w:rFonts w:ascii="Times New Roman"/>
          <w:color w:val="auto"/>
        </w:rPr>
        <mc:AlternateContent>
          <mc:Choice Requires="wps">
            <w:drawing>
              <wp:anchor distT="0" distB="0" distL="114300" distR="114300" simplePos="0" relativeHeight="251659264" behindDoc="0" locked="1" layoutInCell="1" allowOverlap="1">
                <wp:simplePos x="0" y="0"/>
                <wp:positionH relativeFrom="margin">
                  <wp:posOffset>-209550</wp:posOffset>
                </wp:positionH>
                <wp:positionV relativeFrom="margin">
                  <wp:posOffset>1809750</wp:posOffset>
                </wp:positionV>
                <wp:extent cx="6057900" cy="860425"/>
                <wp:effectExtent l="0" t="3810" r="4445" b="254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6057900" cy="860425"/>
                        </a:xfrm>
                        <a:prstGeom prst="rect">
                          <a:avLst/>
                        </a:prstGeom>
                        <a:solidFill>
                          <a:srgbClr val="FFFFFF"/>
                        </a:solidFill>
                        <a:ln>
                          <a:noFill/>
                        </a:ln>
                      </wps:spPr>
                      <wps:txbx>
                        <w:txbxContent>
                          <w:p>
                            <w:pPr>
                              <w:pStyle w:val="65"/>
                              <w:spacing w:before="0" w:line="280" w:lineRule="exact"/>
                              <w:rPr>
                                <w:rFonts w:eastAsia="黑体"/>
                                <w:b/>
                              </w:rPr>
                            </w:pPr>
                            <w:r>
                              <w:rPr>
                                <w:rFonts w:hint="eastAsia" w:eastAsia="黑体"/>
                                <w:b/>
                              </w:rPr>
                              <w:t>YS</w:t>
                            </w:r>
                            <w:r>
                              <w:rPr>
                                <w:rFonts w:eastAsia="黑体"/>
                                <w:b/>
                              </w:rPr>
                              <w:t>/T</w:t>
                            </w:r>
                            <w:r>
                              <w:rPr>
                                <w:rFonts w:ascii="黑体" w:hAnsi="黑体" w:eastAsia="黑体"/>
                                <w:b/>
                              </w:rPr>
                              <w:t xml:space="preserve"> </w:t>
                            </w:r>
                            <w:r>
                              <w:rPr>
                                <w:rFonts w:hint="eastAsia" w:ascii="黑体" w:hAnsi="黑体" w:eastAsia="黑体"/>
                              </w:rPr>
                              <w:t>XXXXX</w:t>
                            </w:r>
                            <w:r>
                              <w:rPr>
                                <w:rFonts w:ascii="黑体" w:hAnsi="黑体" w:eastAsia="黑体"/>
                              </w:rPr>
                              <w:t>-XXXX</w:t>
                            </w:r>
                          </w:p>
                          <w:p>
                            <w:pPr>
                              <w:pStyle w:val="65"/>
                            </w:pPr>
                          </w:p>
                          <w:p>
                            <w:pPr>
                              <w:pStyle w:val="65"/>
                            </w:pPr>
                          </w:p>
                          <w:p>
                            <w:pPr>
                              <w:pStyle w:val="65"/>
                            </w:pPr>
                          </w:p>
                          <w:p>
                            <w:pPr>
                              <w:pStyle w:val="65"/>
                            </w:pPr>
                          </w:p>
                          <w:p>
                            <w:pPr>
                              <w:pStyle w:val="65"/>
                            </w:pPr>
                          </w:p>
                          <w:p>
                            <w:pPr>
                              <w:pStyle w:val="65"/>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5pt;margin-top:142.5pt;height:67.75pt;width:477pt;mso-position-horizontal-relative:margin;mso-position-vertical-relative:margin;z-index:251659264;mso-width-relative:page;mso-height-relative:page;" fillcolor="#FFFFFF" filled="t" stroked="f" coordsize="21600,21600" o:gfxdata="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0O2e9oAAAALAQAADwAAAAAAAAABACAAAAAiAAAAZHJzL2Rvd25yZXYueG1sUEsBAhQAFAAAAAgA&#10;h07iQIAK1aojAgAAMAQAAA4AAAAAAAAAAQAgAAAAKQEAAGRycy9lMm9Eb2MueG1sUEsFBgAAAAAG&#10;AAYAWQEAAL4FAAAAAA==&#10;">
                <v:fill on="t" focussize="0,0"/>
                <v:stroke on="f"/>
                <v:imagedata o:title=""/>
                <o:lock v:ext="edit" aspectratio="f"/>
                <v:textbox inset="0mm,0mm,0mm,0mm">
                  <w:txbxContent>
                    <w:p>
                      <w:pPr>
                        <w:pStyle w:val="65"/>
                        <w:spacing w:before="0" w:line="280" w:lineRule="exact"/>
                        <w:rPr>
                          <w:rFonts w:eastAsia="黑体"/>
                          <w:b/>
                        </w:rPr>
                      </w:pPr>
                      <w:r>
                        <w:rPr>
                          <w:rFonts w:hint="eastAsia" w:eastAsia="黑体"/>
                          <w:b/>
                        </w:rPr>
                        <w:t>YS</w:t>
                      </w:r>
                      <w:r>
                        <w:rPr>
                          <w:rFonts w:eastAsia="黑体"/>
                          <w:b/>
                        </w:rPr>
                        <w:t>/T</w:t>
                      </w:r>
                      <w:r>
                        <w:rPr>
                          <w:rFonts w:ascii="黑体" w:hAnsi="黑体" w:eastAsia="黑体"/>
                          <w:b/>
                        </w:rPr>
                        <w:t xml:space="preserve"> </w:t>
                      </w:r>
                      <w:r>
                        <w:rPr>
                          <w:rFonts w:hint="eastAsia" w:ascii="黑体" w:hAnsi="黑体" w:eastAsia="黑体"/>
                        </w:rPr>
                        <w:t>XXXXX</w:t>
                      </w:r>
                      <w:r>
                        <w:rPr>
                          <w:rFonts w:ascii="黑体" w:hAnsi="黑体" w:eastAsia="黑体"/>
                        </w:rPr>
                        <w:t>-XXXX</w:t>
                      </w:r>
                    </w:p>
                    <w:p>
                      <w:pPr>
                        <w:pStyle w:val="65"/>
                      </w:pPr>
                    </w:p>
                    <w:p>
                      <w:pPr>
                        <w:pStyle w:val="65"/>
                      </w:pPr>
                    </w:p>
                    <w:p>
                      <w:pPr>
                        <w:pStyle w:val="65"/>
                      </w:pPr>
                    </w:p>
                    <w:p>
                      <w:pPr>
                        <w:pStyle w:val="65"/>
                      </w:pPr>
                    </w:p>
                    <w:p>
                      <w:pPr>
                        <w:pStyle w:val="65"/>
                      </w:pPr>
                    </w:p>
                    <w:p>
                      <w:pPr>
                        <w:pStyle w:val="65"/>
                      </w:pPr>
                    </w:p>
                  </w:txbxContent>
                </v:textbox>
                <w10:anchorlock/>
              </v:shape>
            </w:pict>
          </mc:Fallback>
        </mc:AlternateContent>
      </w:r>
      <w:r>
        <w:rPr>
          <w:rFonts w:ascii="Times New Roman"/>
          <w:color w:val="auto"/>
        </w:rPr>
        <mc:AlternateContent>
          <mc:Choice Requires="wps">
            <w:drawing>
              <wp:anchor distT="0" distB="0" distL="114300" distR="114300" simplePos="0" relativeHeight="251662336" behindDoc="0" locked="1" layoutInCell="0" allowOverlap="1">
                <wp:simplePos x="0" y="0"/>
                <wp:positionH relativeFrom="margin">
                  <wp:posOffset>-76200</wp:posOffset>
                </wp:positionH>
                <wp:positionV relativeFrom="margin">
                  <wp:posOffset>1134745</wp:posOffset>
                </wp:positionV>
                <wp:extent cx="6120130" cy="391160"/>
                <wp:effectExtent l="0" t="0" r="0" b="381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9"/>
                            </w:pPr>
                            <w:r>
                              <w:rPr>
                                <w:rFonts w:hint="eastAsia"/>
                              </w:rPr>
                              <w:t>中华人民共和国行业标准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pt;margin-top:89.35pt;height:30.8pt;width:481.9pt;mso-position-horizontal-relative:margin;mso-position-vertical-relative:margin;z-index:251662336;mso-width-relative:page;mso-height-relative:page;" fillcolor="#FFFFFF" filled="t" stroked="f" coordsize="21600,21600" o:allowincell="f" o:gfxdata="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sTz&#10;nNoAAAALAQAADwAAAAAAAAABACAAAAAiAAAAZHJzL2Rvd25yZXYueG1sUEsBAhQAFAAAAAgAh07i&#10;QAnSuisgAgAAMAQAAA4AAAAAAAAAAQAgAAAAKQEAAGRycy9lMm9Eb2MueG1sUEsFBgAAAAAGAAYA&#10;WQEAALsFAAAAAA==&#10;">
                <v:fill on="t" focussize="0,0"/>
                <v:stroke on="f"/>
                <v:imagedata o:title=""/>
                <o:lock v:ext="edit" aspectratio="f"/>
                <v:textbox inset="0mm,0mm,0mm,0mm">
                  <w:txbxContent>
                    <w:p>
                      <w:pPr>
                        <w:pStyle w:val="49"/>
                      </w:pPr>
                      <w:r>
                        <w:rPr>
                          <w:rFonts w:hint="eastAsia"/>
                        </w:rPr>
                        <w:t>中华人民共和国行业标准</w:t>
                      </w:r>
                    </w:p>
                  </w:txbxContent>
                </v:textbox>
                <w10:anchorlock/>
              </v:shape>
            </w:pict>
          </mc:Fallback>
        </mc:AlternateContent>
      </w:r>
    </w:p>
    <w:bookmarkEnd w:id="0"/>
    <w:p>
      <w:pPr>
        <w:pStyle w:val="55"/>
        <w:numPr>
          <w:ilvl w:val="0"/>
          <w:numId w:val="0"/>
        </w:numPr>
        <w:rPr>
          <w:rFonts w:ascii="Times New Roman"/>
          <w:color w:val="auto"/>
        </w:rPr>
      </w:pPr>
      <w:r>
        <w:rPr>
          <w:rFonts w:ascii="Times New Roman"/>
          <w:color w:val="auto"/>
        </w:rPr>
        <w:t>前    言</w:t>
      </w:r>
    </w:p>
    <w:p>
      <w:pPr>
        <w:pStyle w:val="57"/>
        <w:ind w:firstLine="420"/>
        <w:rPr>
          <w:rFonts w:ascii="Times New Roman"/>
          <w:color w:val="auto"/>
        </w:rPr>
      </w:pPr>
      <w:r>
        <w:rPr>
          <w:rFonts w:ascii="Times New Roman"/>
          <w:color w:val="auto"/>
        </w:rPr>
        <w:t>本文件按照GB/T 1.1-2020《标准化工作导则 第1部分：标准化文件的结构和起草规则》的规定起草。</w:t>
      </w:r>
    </w:p>
    <w:p>
      <w:pPr>
        <w:pStyle w:val="57"/>
        <w:ind w:firstLine="420"/>
        <w:rPr>
          <w:rFonts w:ascii="Times New Roman"/>
          <w:color w:val="auto"/>
        </w:rPr>
      </w:pPr>
      <w:r>
        <w:rPr>
          <w:rFonts w:ascii="Times New Roman"/>
          <w:color w:val="auto"/>
          <w:szCs w:val="21"/>
        </w:rPr>
        <w:t>请注意本文件的某些内容可能涉及专利</w:t>
      </w:r>
      <w:r>
        <w:rPr>
          <w:rFonts w:hint="eastAsia" w:ascii="Times New Roman"/>
          <w:color w:val="auto"/>
          <w:szCs w:val="21"/>
          <w:lang w:eastAsia="zh-CN"/>
        </w:rPr>
        <w:t>。</w:t>
      </w:r>
      <w:r>
        <w:rPr>
          <w:rFonts w:ascii="Times New Roman"/>
          <w:color w:val="auto"/>
          <w:szCs w:val="21"/>
        </w:rPr>
        <w:t>本文件的发布机构不承担识别专利的责任。</w:t>
      </w:r>
    </w:p>
    <w:p>
      <w:pPr>
        <w:pStyle w:val="57"/>
        <w:ind w:firstLine="420"/>
        <w:rPr>
          <w:rFonts w:ascii="Times New Roman"/>
          <w:color w:val="auto"/>
        </w:rPr>
      </w:pPr>
      <w:r>
        <w:rPr>
          <w:rFonts w:ascii="Times New Roman"/>
          <w:color w:val="auto"/>
        </w:rPr>
        <w:t>本文件由全国有色金属标准化技术委员会（SAC/TC 243）</w:t>
      </w:r>
      <w:r>
        <w:rPr>
          <w:rFonts w:hint="eastAsia" w:ascii="Times New Roman"/>
          <w:color w:val="auto"/>
        </w:rPr>
        <w:t>提出并</w:t>
      </w:r>
      <w:r>
        <w:rPr>
          <w:rFonts w:ascii="Times New Roman"/>
          <w:color w:val="auto"/>
        </w:rPr>
        <w:t>归口。</w:t>
      </w:r>
    </w:p>
    <w:p>
      <w:pPr>
        <w:pStyle w:val="57"/>
        <w:ind w:firstLine="420"/>
        <w:rPr>
          <w:rFonts w:ascii="Times New Roman"/>
          <w:color w:val="auto"/>
        </w:rPr>
      </w:pPr>
      <w:r>
        <w:rPr>
          <w:rFonts w:ascii="Times New Roman"/>
          <w:color w:val="auto"/>
        </w:rPr>
        <w:t>本文件起草单位：有研亿金新材料有限公司、宁波江丰电子材料股份有限公司</w:t>
      </w:r>
      <w:r>
        <w:rPr>
          <w:rFonts w:hint="eastAsia" w:ascii="Times New Roman"/>
          <w:color w:val="auto"/>
        </w:rPr>
        <w:t>、</w:t>
      </w:r>
      <w:r>
        <w:rPr>
          <w:rFonts w:hint="eastAsia" w:hAnsi="宋体"/>
          <w:color w:val="auto"/>
          <w:szCs w:val="21"/>
        </w:rPr>
        <w:t>有色金属技术经济研究院有限责任公司</w:t>
      </w:r>
      <w:r>
        <w:rPr>
          <w:rFonts w:ascii="Times New Roman"/>
          <w:color w:val="auto"/>
        </w:rPr>
        <w:t>。</w:t>
      </w:r>
    </w:p>
    <w:p>
      <w:pPr>
        <w:ind w:firstLine="420" w:firstLineChars="200"/>
        <w:rPr>
          <w:color w:val="auto"/>
        </w:rPr>
      </w:pPr>
      <w:r>
        <w:rPr>
          <w:color w:val="auto"/>
          <w:kern w:val="0"/>
        </w:rPr>
        <w:t>本</w:t>
      </w:r>
      <w:r>
        <w:rPr>
          <w:color w:val="auto"/>
        </w:rPr>
        <w:t>文件</w:t>
      </w:r>
      <w:r>
        <w:rPr>
          <w:color w:val="auto"/>
          <w:kern w:val="0"/>
        </w:rPr>
        <w:t>主要起草人：</w:t>
      </w:r>
      <w:r>
        <w:rPr>
          <w:color w:val="auto"/>
        </w:rPr>
        <w:t xml:space="preserve"> </w:t>
      </w:r>
    </w:p>
    <w:p>
      <w:pPr>
        <w:pStyle w:val="57"/>
        <w:ind w:firstLine="420"/>
        <w:rPr>
          <w:rFonts w:ascii="Times New Roman"/>
          <w:color w:val="auto"/>
        </w:rPr>
      </w:pPr>
    </w:p>
    <w:p>
      <w:pPr>
        <w:pStyle w:val="57"/>
        <w:ind w:firstLine="420"/>
        <w:rPr>
          <w:rFonts w:ascii="Times New Roman"/>
          <w:color w:val="auto"/>
        </w:rPr>
        <w:sectPr>
          <w:headerReference r:id="rId9" w:type="default"/>
          <w:footerReference r:id="rId11" w:type="default"/>
          <w:headerReference r:id="rId10" w:type="even"/>
          <w:footerReference r:id="rId12" w:type="even"/>
          <w:pgSz w:w="11907" w:h="16839"/>
          <w:pgMar w:top="1418" w:right="1134" w:bottom="1134" w:left="1418" w:header="1418" w:footer="851" w:gutter="0"/>
          <w:pgNumType w:fmt="upperRoman" w:start="1"/>
          <w:cols w:space="425" w:num="1"/>
          <w:docGrid w:type="lines" w:linePitch="312" w:charSpace="0"/>
        </w:sectPr>
      </w:pPr>
    </w:p>
    <w:bookmarkEnd w:id="1"/>
    <w:p>
      <w:pPr>
        <w:pStyle w:val="87"/>
        <w:rPr>
          <w:rFonts w:ascii="Times New Roman"/>
          <w:color w:val="auto"/>
        </w:rPr>
      </w:pPr>
      <w:bookmarkStart w:id="2" w:name="SectionMark4"/>
      <w:r>
        <w:rPr>
          <w:rFonts w:ascii="Times New Roman"/>
          <w:color w:val="auto"/>
        </w:rPr>
        <w:t>集成电路封装用镍阳极</w:t>
      </w:r>
    </w:p>
    <w:bookmarkEnd w:id="2"/>
    <w:p>
      <w:pPr>
        <w:pStyle w:val="58"/>
        <w:spacing w:before="312" w:beforeLines="100" w:after="312" w:afterLines="100"/>
        <w:rPr>
          <w:rFonts w:ascii="Times New Roman"/>
          <w:color w:val="auto"/>
        </w:rPr>
      </w:pPr>
      <w:r>
        <w:rPr>
          <w:rFonts w:ascii="Times New Roman"/>
          <w:color w:val="auto"/>
        </w:rPr>
        <w:t>范围</w:t>
      </w:r>
    </w:p>
    <w:p>
      <w:pPr>
        <w:ind w:firstLine="420" w:firstLineChars="200"/>
        <w:rPr>
          <w:color w:val="auto"/>
        </w:rPr>
      </w:pPr>
      <w:r>
        <w:rPr>
          <w:color w:val="auto"/>
        </w:rPr>
        <w:t>本文件规定了集成电路封装用镍阳极（以下简称</w:t>
      </w:r>
      <w:r>
        <w:rPr>
          <w:rFonts w:hint="eastAsia"/>
          <w:color w:val="auto"/>
        </w:rPr>
        <w:t>“</w:t>
      </w:r>
      <w:r>
        <w:rPr>
          <w:color w:val="auto"/>
        </w:rPr>
        <w:t>镍阳极</w:t>
      </w:r>
      <w:r>
        <w:rPr>
          <w:rFonts w:hint="eastAsia"/>
          <w:color w:val="auto"/>
        </w:rPr>
        <w:t>”</w:t>
      </w:r>
      <w:r>
        <w:rPr>
          <w:color w:val="auto"/>
        </w:rPr>
        <w:t>）的</w:t>
      </w:r>
      <w:r>
        <w:rPr>
          <w:rFonts w:hint="eastAsia"/>
          <w:color w:val="auto"/>
        </w:rPr>
        <w:t>分类和标记、技术</w:t>
      </w:r>
      <w:r>
        <w:rPr>
          <w:color w:val="auto"/>
        </w:rPr>
        <w:t>要求、试验方法、检验规则</w:t>
      </w:r>
      <w:r>
        <w:rPr>
          <w:rFonts w:hint="eastAsia"/>
          <w:color w:val="auto"/>
        </w:rPr>
        <w:t>、</w:t>
      </w:r>
      <w:r>
        <w:rPr>
          <w:color w:val="auto"/>
        </w:rPr>
        <w:t>标志、包装、运输、贮存</w:t>
      </w:r>
      <w:r>
        <w:rPr>
          <w:rFonts w:hint="eastAsia"/>
          <w:color w:val="auto"/>
        </w:rPr>
        <w:t>、</w:t>
      </w:r>
      <w:r>
        <w:rPr>
          <w:color w:val="auto"/>
        </w:rPr>
        <w:t>随行文件和订货</w:t>
      </w:r>
      <w:r>
        <w:rPr>
          <w:rFonts w:hint="eastAsia"/>
          <w:color w:val="auto"/>
        </w:rPr>
        <w:t>单</w:t>
      </w:r>
      <w:r>
        <w:rPr>
          <w:color w:val="auto"/>
        </w:rPr>
        <w:t>内容</w:t>
      </w:r>
      <w:r>
        <w:rPr>
          <w:color w:val="auto"/>
        </w:rPr>
        <w:t>。</w:t>
      </w:r>
    </w:p>
    <w:p>
      <w:pPr>
        <w:ind w:firstLine="420" w:firstLineChars="200"/>
        <w:rPr>
          <w:color w:val="auto"/>
        </w:rPr>
      </w:pPr>
      <w:r>
        <w:rPr>
          <w:color w:val="auto"/>
        </w:rPr>
        <w:t xml:space="preserve">本文件适用于集成电路封装用的镍阳极产品。 </w:t>
      </w:r>
    </w:p>
    <w:p>
      <w:pPr>
        <w:pStyle w:val="58"/>
        <w:spacing w:before="312" w:beforeLines="100" w:after="312" w:afterLines="100"/>
        <w:rPr>
          <w:rFonts w:ascii="Times New Roman"/>
          <w:color w:val="auto"/>
        </w:rPr>
      </w:pPr>
      <w:r>
        <w:rPr>
          <w:rFonts w:ascii="Times New Roman"/>
          <w:color w:val="auto"/>
        </w:rPr>
        <w:t>规范性引用文件</w:t>
      </w:r>
    </w:p>
    <w:p>
      <w:pPr>
        <w:ind w:firstLine="420" w:firstLineChars="200"/>
        <w:rPr>
          <w:color w:val="auto"/>
        </w:rPr>
      </w:pPr>
      <w:r>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7"/>
        <w:ind w:firstLine="420"/>
        <w:rPr>
          <w:rFonts w:ascii="Times New Roman"/>
          <w:color w:val="auto"/>
        </w:rPr>
      </w:pPr>
      <w:bookmarkStart w:id="3" w:name="_Hlk101735035"/>
      <w:r>
        <w:rPr>
          <w:rFonts w:ascii="Times New Roman"/>
          <w:color w:val="auto"/>
        </w:rPr>
        <w:t>GB/T 1804 一般公差 未注公差的线性和角度尺寸的公差</w:t>
      </w:r>
      <w:r>
        <w:rPr>
          <w:rFonts w:hint="eastAsia" w:ascii="Times New Roman"/>
          <w:color w:val="auto"/>
        </w:rPr>
        <w:t xml:space="preserve"> </w:t>
      </w:r>
      <w:r>
        <w:rPr>
          <w:rFonts w:ascii="Times New Roman"/>
          <w:color w:val="auto"/>
        </w:rPr>
        <w:t xml:space="preserve"> </w:t>
      </w:r>
    </w:p>
    <w:p>
      <w:pPr>
        <w:pStyle w:val="57"/>
        <w:ind w:firstLine="420"/>
        <w:rPr>
          <w:rFonts w:ascii="Times New Roman"/>
          <w:color w:val="auto"/>
        </w:rPr>
      </w:pPr>
      <w:r>
        <w:rPr>
          <w:rFonts w:ascii="Times New Roman"/>
          <w:color w:val="auto"/>
        </w:rPr>
        <w:t xml:space="preserve">GB/T 8647 </w:t>
      </w:r>
      <w:r>
        <w:rPr>
          <w:rFonts w:hint="eastAsia" w:ascii="Times New Roman"/>
          <w:color w:val="auto"/>
        </w:rPr>
        <w:t>（所有部分）</w:t>
      </w:r>
      <w:r>
        <w:rPr>
          <w:rFonts w:ascii="Times New Roman"/>
          <w:color w:val="auto"/>
        </w:rPr>
        <w:t>镍化学分析方法</w:t>
      </w:r>
    </w:p>
    <w:p>
      <w:pPr>
        <w:pStyle w:val="57"/>
        <w:ind w:firstLine="420"/>
        <w:rPr>
          <w:rFonts w:ascii="Times New Roman"/>
          <w:color w:val="auto"/>
        </w:rPr>
      </w:pPr>
      <w:r>
        <w:rPr>
          <w:color w:val="auto"/>
        </w:rPr>
        <w:fldChar w:fldCharType="begin"/>
      </w:r>
      <w:r>
        <w:rPr>
          <w:color w:val="auto"/>
        </w:rPr>
        <w:instrText xml:space="preserve"> HYPERLINK "https://www.baidu.com/link?url=xojoBz3ai9ds4Su1_GgF-niMAoKb6dfbc3xFmq3nHRu5leWoXkzLF8OBY1ap7gHxeNLtEFxDG_-kF3bUjnl97q&amp;wd=&amp;eqid=dc57a7bf0010eca3000000035e933f22" \t "_blank" </w:instrText>
      </w:r>
      <w:r>
        <w:rPr>
          <w:color w:val="auto"/>
        </w:rPr>
        <w:fldChar w:fldCharType="separate"/>
      </w:r>
      <w:r>
        <w:rPr>
          <w:rFonts w:ascii="Times New Roman"/>
          <w:color w:val="auto"/>
        </w:rPr>
        <w:t>GB/T 6394 金属平均晶粒度测定方法</w:t>
      </w:r>
      <w:r>
        <w:rPr>
          <w:rFonts w:ascii="Times New Roman"/>
          <w:color w:val="auto"/>
        </w:rPr>
        <w:fldChar w:fldCharType="end"/>
      </w:r>
    </w:p>
    <w:p>
      <w:pPr>
        <w:snapToGrid w:val="0"/>
        <w:ind w:firstLine="420" w:firstLineChars="200"/>
        <w:rPr>
          <w:rFonts w:ascii="宋体" w:hAnsi="宋体"/>
          <w:color w:val="auto"/>
          <w:szCs w:val="21"/>
        </w:rPr>
      </w:pPr>
      <w:bookmarkStart w:id="4" w:name="_Hlk19573436"/>
      <w:r>
        <w:rPr>
          <w:rFonts w:hint="eastAsia"/>
          <w:color w:val="auto"/>
        </w:rPr>
        <w:t>G</w:t>
      </w:r>
      <w:r>
        <w:rPr>
          <w:color w:val="auto"/>
        </w:rPr>
        <w:t xml:space="preserve">B/T 2828.1 </w:t>
      </w:r>
      <w:r>
        <w:rPr>
          <w:rFonts w:hint="eastAsia" w:ascii="宋体" w:hAnsi="宋体"/>
          <w:color w:val="auto"/>
          <w:szCs w:val="21"/>
        </w:rPr>
        <w:t>计数抽样检验程序 第1部分:按接收质量限(AQL)检索的逐批检验抽样计划</w:t>
      </w:r>
    </w:p>
    <w:p>
      <w:pPr>
        <w:pStyle w:val="57"/>
        <w:ind w:firstLine="420"/>
        <w:rPr>
          <w:rFonts w:ascii="Times New Roman"/>
          <w:color w:val="auto"/>
        </w:rPr>
      </w:pPr>
      <w:r>
        <w:rPr>
          <w:rFonts w:ascii="Times New Roman"/>
          <w:color w:val="auto"/>
        </w:rPr>
        <w:t>GB/T 8170 数值修约规则与极限数值的表示和判定</w:t>
      </w:r>
      <w:bookmarkEnd w:id="4"/>
      <w:r>
        <w:rPr>
          <w:rFonts w:ascii="Times New Roman"/>
          <w:color w:val="auto"/>
        </w:rPr>
        <w:t xml:space="preserve"> </w:t>
      </w:r>
    </w:p>
    <w:bookmarkEnd w:id="3"/>
    <w:p>
      <w:pPr>
        <w:pStyle w:val="58"/>
        <w:spacing w:before="312" w:beforeLines="100" w:after="312" w:afterLines="100"/>
        <w:rPr>
          <w:rFonts w:ascii="Times New Roman"/>
          <w:color w:val="auto"/>
        </w:rPr>
      </w:pPr>
      <w:r>
        <w:rPr>
          <w:rFonts w:ascii="Times New Roman"/>
          <w:color w:val="auto"/>
        </w:rPr>
        <w:t>术语和定义</w:t>
      </w:r>
    </w:p>
    <w:p>
      <w:pPr>
        <w:pStyle w:val="57"/>
        <w:ind w:firstLine="420"/>
        <w:rPr>
          <w:rFonts w:ascii="Times New Roman"/>
          <w:color w:val="auto"/>
        </w:rPr>
      </w:pPr>
      <w:r>
        <w:rPr>
          <w:rFonts w:ascii="Times New Roman"/>
          <w:color w:val="auto"/>
        </w:rPr>
        <w:t>下列术语和定义适用于本文件。</w:t>
      </w:r>
    </w:p>
    <w:p>
      <w:pPr>
        <w:pStyle w:val="57"/>
        <w:ind w:firstLine="0" w:firstLineChars="0"/>
        <w:rPr>
          <w:rFonts w:ascii="Times New Roman" w:eastAsia="黑体"/>
          <w:color w:val="auto"/>
        </w:rPr>
      </w:pPr>
      <w:r>
        <w:rPr>
          <w:rFonts w:ascii="Times New Roman" w:eastAsia="黑体"/>
          <w:color w:val="auto"/>
        </w:rPr>
        <w:t>3.1</w:t>
      </w:r>
    </w:p>
    <w:p>
      <w:pPr>
        <w:pStyle w:val="57"/>
        <w:ind w:firstLine="420"/>
        <w:rPr>
          <w:rFonts w:ascii="Times New Roman" w:eastAsia="黑体"/>
          <w:color w:val="auto"/>
        </w:rPr>
      </w:pPr>
      <w:bookmarkStart w:id="5" w:name="_Hlk104542486"/>
      <w:r>
        <w:rPr>
          <w:rFonts w:ascii="Times New Roman" w:eastAsia="黑体"/>
          <w:color w:val="auto"/>
        </w:rPr>
        <w:t>镍阳极</w:t>
      </w:r>
      <w:bookmarkEnd w:id="5"/>
      <w:r>
        <w:rPr>
          <w:rFonts w:ascii="Times New Roman" w:eastAsia="黑体"/>
          <w:color w:val="auto"/>
        </w:rPr>
        <w:t xml:space="preserve"> Nickel anode</w:t>
      </w:r>
    </w:p>
    <w:p>
      <w:pPr>
        <w:pStyle w:val="57"/>
        <w:ind w:firstLine="420"/>
        <w:rPr>
          <w:rFonts w:ascii="Times New Roman"/>
          <w:color w:val="auto"/>
        </w:rPr>
      </w:pPr>
      <w:r>
        <w:rPr>
          <w:rFonts w:hint="eastAsia" w:ascii="Times New Roman"/>
          <w:color w:val="auto"/>
        </w:rPr>
        <w:t>化学电镀镍中，发生氧化反应的电极材料。</w:t>
      </w:r>
    </w:p>
    <w:p>
      <w:pPr>
        <w:pStyle w:val="57"/>
        <w:ind w:left="0" w:leftChars="0" w:firstLine="360" w:firstLineChars="200"/>
        <w:rPr>
          <w:rFonts w:ascii="Times New Roman" w:eastAsia="黑体"/>
          <w:color w:val="auto"/>
          <w:sz w:val="18"/>
          <w:szCs w:val="16"/>
          <w:highlight w:val="none"/>
        </w:rPr>
      </w:pPr>
      <w:r>
        <w:rPr>
          <w:rFonts w:hint="eastAsia" w:ascii="Times New Roman"/>
          <w:color w:val="auto"/>
          <w:sz w:val="18"/>
          <w:szCs w:val="16"/>
          <w:highlight w:val="none"/>
        </w:rPr>
        <w:t>注：</w:t>
      </w:r>
      <w:r>
        <w:rPr>
          <w:rFonts w:hint="eastAsia" w:ascii="Times New Roman"/>
          <w:strike w:val="0"/>
          <w:dstrike w:val="0"/>
          <w:color w:val="auto"/>
          <w:sz w:val="18"/>
          <w:szCs w:val="16"/>
          <w:highlight w:val="none"/>
        </w:rPr>
        <w:t>在</w:t>
      </w:r>
      <w:r>
        <w:rPr>
          <w:rFonts w:hint="eastAsia" w:ascii="Times New Roman"/>
          <w:color w:val="auto"/>
          <w:sz w:val="18"/>
          <w:szCs w:val="16"/>
          <w:highlight w:val="none"/>
        </w:rPr>
        <w:t>集成电路封装中采用</w:t>
      </w:r>
      <w:r>
        <w:rPr>
          <w:rFonts w:hint="eastAsia" w:ascii="Times New Roman"/>
          <w:strike w:val="0"/>
          <w:dstrike w:val="0"/>
          <w:color w:val="auto"/>
          <w:sz w:val="18"/>
          <w:szCs w:val="16"/>
          <w:highlight w:val="none"/>
        </w:rPr>
        <w:t>电</w:t>
      </w:r>
      <w:r>
        <w:rPr>
          <w:rFonts w:hint="eastAsia" w:ascii="Times New Roman"/>
          <w:color w:val="auto"/>
          <w:sz w:val="18"/>
          <w:szCs w:val="16"/>
          <w:highlight w:val="none"/>
        </w:rPr>
        <w:t>化学电镀（Electro-Chemical Plating）工艺制备</w:t>
      </w:r>
      <w:r>
        <w:rPr>
          <w:rFonts w:hint="eastAsia" w:ascii="Times New Roman"/>
          <w:color w:val="auto"/>
          <w:sz w:val="18"/>
          <w:szCs w:val="16"/>
          <w:highlight w:val="none"/>
          <w:lang w:val="en-US" w:eastAsia="zh-CN"/>
        </w:rPr>
        <w:t>所使用的</w:t>
      </w:r>
      <w:r>
        <w:rPr>
          <w:rFonts w:hint="eastAsia" w:ascii="Times New Roman"/>
          <w:color w:val="auto"/>
          <w:sz w:val="18"/>
          <w:szCs w:val="16"/>
          <w:highlight w:val="none"/>
        </w:rPr>
        <w:t>高纯镍金属镀层的阳极。</w:t>
      </w:r>
    </w:p>
    <w:p>
      <w:pPr>
        <w:pStyle w:val="58"/>
        <w:spacing w:before="312" w:beforeLines="100" w:after="312" w:afterLines="100"/>
        <w:rPr>
          <w:rFonts w:ascii="Times New Roman"/>
          <w:color w:val="auto"/>
        </w:rPr>
      </w:pPr>
      <w:r>
        <w:rPr>
          <w:rFonts w:ascii="Times New Roman"/>
          <w:color w:val="auto"/>
        </w:rPr>
        <w:t>分类</w:t>
      </w:r>
      <w:r>
        <w:rPr>
          <w:rFonts w:hint="eastAsia" w:ascii="Times New Roman"/>
          <w:color w:val="auto"/>
        </w:rPr>
        <w:t>和标记</w:t>
      </w:r>
    </w:p>
    <w:p>
      <w:pPr>
        <w:pStyle w:val="59"/>
        <w:tabs>
          <w:tab w:val="left" w:pos="420"/>
        </w:tabs>
        <w:spacing w:before="156" w:beforeLines="50" w:after="156" w:afterLines="50"/>
        <w:rPr>
          <w:rFonts w:ascii="Times New Roman"/>
          <w:color w:val="auto"/>
        </w:rPr>
      </w:pPr>
      <w:r>
        <w:rPr>
          <w:rFonts w:hint="eastAsia" w:ascii="Times New Roman"/>
          <w:color w:val="auto"/>
        </w:rPr>
        <w:t>分类</w:t>
      </w:r>
    </w:p>
    <w:p>
      <w:pPr>
        <w:pStyle w:val="59"/>
        <w:numPr>
          <w:ilvl w:val="0"/>
          <w:numId w:val="0"/>
        </w:numPr>
        <w:tabs>
          <w:tab w:val="left" w:pos="420"/>
        </w:tabs>
        <w:spacing w:before="156" w:beforeLines="50" w:after="156" w:afterLines="50"/>
        <w:ind w:firstLine="420" w:firstLineChars="200"/>
        <w:rPr>
          <w:rFonts w:ascii="Times New Roman" w:eastAsia="宋体"/>
          <w:color w:val="auto"/>
        </w:rPr>
      </w:pPr>
      <w:r>
        <w:rPr>
          <w:rFonts w:asciiTheme="minorEastAsia" w:hAnsiTheme="minorEastAsia" w:eastAsiaTheme="minorEastAsia"/>
          <w:color w:val="auto"/>
        </w:rPr>
        <w:t>镍阳极</w:t>
      </w:r>
      <w:r>
        <w:rPr>
          <w:rFonts w:hint="eastAsia" w:asciiTheme="minorEastAsia" w:hAnsiTheme="minorEastAsia" w:eastAsiaTheme="minorEastAsia"/>
          <w:color w:val="auto"/>
        </w:rPr>
        <w:t>的</w:t>
      </w:r>
      <w:r>
        <w:rPr>
          <w:rFonts w:hint="eastAsia" w:ascii="Times New Roman" w:eastAsia="宋体"/>
          <w:color w:val="auto"/>
          <w:szCs w:val="21"/>
        </w:rPr>
        <w:t>牌</w:t>
      </w:r>
      <w:r>
        <w:rPr>
          <w:rFonts w:hint="eastAsia" w:ascii="Times New Roman" w:eastAsia="宋体"/>
          <w:color w:val="auto"/>
          <w:szCs w:val="21"/>
        </w:rPr>
        <w:t>号、形状及状态见表1，</w:t>
      </w:r>
      <w:r>
        <w:rPr>
          <w:rFonts w:hint="eastAsia" w:ascii="Times New Roman" w:eastAsia="宋体"/>
          <w:color w:val="auto"/>
        </w:rPr>
        <w:t>形状示意图见图1。</w:t>
      </w:r>
    </w:p>
    <w:p>
      <w:pPr>
        <w:pStyle w:val="57"/>
        <w:ind w:firstLine="360"/>
        <w:jc w:val="center"/>
        <w:rPr>
          <w:rFonts w:ascii="黑体" w:hAnsi="黑体" w:eastAsia="黑体"/>
          <w:color w:val="auto"/>
          <w:szCs w:val="21"/>
        </w:rPr>
      </w:pPr>
      <w:r>
        <w:rPr>
          <w:rFonts w:hint="eastAsia" w:ascii="黑体" w:hAnsi="黑体" w:eastAsia="黑体"/>
          <w:color w:val="auto"/>
          <w:sz w:val="18"/>
          <w:szCs w:val="18"/>
        </w:rPr>
        <w:t>表1</w:t>
      </w:r>
      <w:r>
        <w:rPr>
          <w:rFonts w:ascii="黑体" w:hAnsi="黑体" w:eastAsia="黑体"/>
          <w:color w:val="auto"/>
          <w:sz w:val="18"/>
          <w:szCs w:val="18"/>
        </w:rPr>
        <w:t xml:space="preserve"> </w:t>
      </w:r>
      <w:r>
        <w:rPr>
          <w:rFonts w:ascii="Times New Roman" w:eastAsia="黑体"/>
          <w:color w:val="auto"/>
          <w:sz w:val="18"/>
          <w:szCs w:val="18"/>
        </w:rPr>
        <w:t>镍阳极</w:t>
      </w:r>
      <w:r>
        <w:rPr>
          <w:rFonts w:hint="eastAsia" w:ascii="Times New Roman" w:eastAsia="黑体"/>
          <w:color w:val="auto"/>
          <w:sz w:val="18"/>
          <w:szCs w:val="18"/>
        </w:rPr>
        <w:t>的</w:t>
      </w:r>
      <w:r>
        <w:rPr>
          <w:rFonts w:hint="eastAsia" w:ascii="黑体" w:hAnsi="黑体" w:eastAsia="黑体"/>
          <w:color w:val="auto"/>
          <w:sz w:val="18"/>
          <w:szCs w:val="18"/>
        </w:rPr>
        <w:t>牌号、形状及状态</w:t>
      </w:r>
    </w:p>
    <w:tbl>
      <w:tblPr>
        <w:tblStyle w:val="3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254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vAlign w:val="center"/>
          </w:tcPr>
          <w:p>
            <w:pPr>
              <w:pStyle w:val="57"/>
              <w:widowControl w:val="0"/>
              <w:ind w:firstLine="0" w:firstLineChars="0"/>
              <w:jc w:val="center"/>
              <w:rPr>
                <w:color w:val="auto"/>
                <w:sz w:val="18"/>
                <w:szCs w:val="16"/>
              </w:rPr>
            </w:pPr>
            <w:r>
              <w:rPr>
                <w:rFonts w:hint="eastAsia"/>
                <w:color w:val="auto"/>
                <w:sz w:val="18"/>
                <w:szCs w:val="16"/>
              </w:rPr>
              <w:t>牌号</w:t>
            </w:r>
          </w:p>
        </w:tc>
        <w:tc>
          <w:tcPr>
            <w:tcW w:w="2549" w:type="dxa"/>
            <w:vAlign w:val="center"/>
          </w:tcPr>
          <w:p>
            <w:pPr>
              <w:pStyle w:val="57"/>
              <w:widowControl w:val="0"/>
              <w:ind w:firstLine="0" w:firstLineChars="0"/>
              <w:jc w:val="center"/>
              <w:rPr>
                <w:rFonts w:ascii="宋体" w:hAnsi="Times New Roman" w:eastAsia="宋体" w:cs="Times New Roman"/>
                <w:color w:val="auto"/>
                <w:sz w:val="18"/>
                <w:szCs w:val="16"/>
                <w:lang w:val="en-US" w:eastAsia="zh-CN" w:bidi="ar-SA"/>
              </w:rPr>
            </w:pPr>
            <w:r>
              <w:rPr>
                <w:rFonts w:hint="eastAsia"/>
                <w:color w:val="auto"/>
                <w:sz w:val="18"/>
                <w:szCs w:val="16"/>
              </w:rPr>
              <w:t>状态</w:t>
            </w:r>
          </w:p>
        </w:tc>
        <w:tc>
          <w:tcPr>
            <w:tcW w:w="2835" w:type="dxa"/>
            <w:vAlign w:val="center"/>
          </w:tcPr>
          <w:p>
            <w:pPr>
              <w:pStyle w:val="57"/>
              <w:widowControl w:val="0"/>
              <w:ind w:firstLine="0" w:firstLineChars="0"/>
              <w:jc w:val="center"/>
              <w:rPr>
                <w:rFonts w:ascii="宋体" w:hAnsi="Times New Roman" w:eastAsia="宋体" w:cs="Times New Roman"/>
                <w:color w:val="auto"/>
                <w:sz w:val="18"/>
                <w:szCs w:val="16"/>
                <w:lang w:val="en-US" w:eastAsia="zh-CN" w:bidi="ar-SA"/>
              </w:rPr>
            </w:pPr>
            <w:r>
              <w:rPr>
                <w:rFonts w:hint="eastAsia"/>
                <w:color w:val="auto"/>
                <w:sz w:val="18"/>
                <w:szCs w:val="16"/>
              </w:rPr>
              <w:t>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vAlign w:val="center"/>
          </w:tcPr>
          <w:p>
            <w:pPr>
              <w:pStyle w:val="57"/>
              <w:widowControl w:val="0"/>
              <w:ind w:firstLine="0" w:firstLineChars="0"/>
              <w:jc w:val="center"/>
              <w:rPr>
                <w:color w:val="auto"/>
                <w:sz w:val="18"/>
                <w:szCs w:val="16"/>
              </w:rPr>
            </w:pPr>
            <w:r>
              <w:rPr>
                <w:rFonts w:hint="eastAsia"/>
                <w:color w:val="auto"/>
                <w:sz w:val="18"/>
                <w:szCs w:val="16"/>
              </w:rPr>
              <w:t>N</w:t>
            </w:r>
            <w:r>
              <w:rPr>
                <w:color w:val="auto"/>
                <w:sz w:val="18"/>
                <w:szCs w:val="16"/>
              </w:rPr>
              <w:t>YS1</w:t>
            </w:r>
          </w:p>
        </w:tc>
        <w:tc>
          <w:tcPr>
            <w:tcW w:w="2549" w:type="dxa"/>
            <w:vAlign w:val="center"/>
          </w:tcPr>
          <w:p>
            <w:pPr>
              <w:pStyle w:val="57"/>
              <w:widowControl w:val="0"/>
              <w:ind w:firstLine="0" w:firstLineChars="0"/>
              <w:jc w:val="center"/>
              <w:rPr>
                <w:rFonts w:ascii="宋体" w:hAnsi="Times New Roman" w:eastAsia="宋体" w:cs="Times New Roman"/>
                <w:color w:val="auto"/>
                <w:sz w:val="18"/>
                <w:szCs w:val="16"/>
                <w:lang w:val="en-US" w:eastAsia="zh-CN" w:bidi="ar-SA"/>
              </w:rPr>
            </w:pPr>
            <w:r>
              <w:rPr>
                <w:rFonts w:hint="eastAsia"/>
                <w:color w:val="auto"/>
                <w:sz w:val="18"/>
                <w:szCs w:val="16"/>
              </w:rPr>
              <w:t>退火态</w:t>
            </w:r>
          </w:p>
        </w:tc>
        <w:tc>
          <w:tcPr>
            <w:tcW w:w="2835" w:type="dxa"/>
            <w:vAlign w:val="center"/>
          </w:tcPr>
          <w:p>
            <w:pPr>
              <w:pStyle w:val="57"/>
              <w:widowControl w:val="0"/>
              <w:ind w:firstLine="0" w:firstLineChars="0"/>
              <w:jc w:val="center"/>
              <w:rPr>
                <w:rFonts w:ascii="宋体" w:hAnsi="Times New Roman" w:eastAsia="宋体" w:cs="Times New Roman"/>
                <w:color w:val="auto"/>
                <w:sz w:val="18"/>
                <w:szCs w:val="16"/>
                <w:lang w:val="en-US" w:eastAsia="zh-CN" w:bidi="ar-SA"/>
              </w:rPr>
            </w:pPr>
            <w:r>
              <w:rPr>
                <w:rFonts w:hint="eastAsia"/>
                <w:color w:val="auto"/>
                <w:sz w:val="18"/>
                <w:szCs w:val="16"/>
              </w:rPr>
              <w:t>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vAlign w:val="center"/>
          </w:tcPr>
          <w:p>
            <w:pPr>
              <w:pStyle w:val="57"/>
              <w:widowControl w:val="0"/>
              <w:ind w:firstLine="0" w:firstLineChars="0"/>
              <w:jc w:val="center"/>
              <w:rPr>
                <w:color w:val="auto"/>
                <w:sz w:val="18"/>
                <w:szCs w:val="16"/>
              </w:rPr>
            </w:pPr>
            <w:r>
              <w:rPr>
                <w:rFonts w:hint="eastAsia"/>
                <w:color w:val="auto"/>
                <w:sz w:val="18"/>
                <w:szCs w:val="16"/>
              </w:rPr>
              <w:t>N</w:t>
            </w:r>
            <w:r>
              <w:rPr>
                <w:color w:val="auto"/>
                <w:sz w:val="18"/>
                <w:szCs w:val="16"/>
              </w:rPr>
              <w:t>YS2</w:t>
            </w:r>
          </w:p>
        </w:tc>
        <w:tc>
          <w:tcPr>
            <w:tcW w:w="2549" w:type="dxa"/>
            <w:vAlign w:val="center"/>
          </w:tcPr>
          <w:p>
            <w:pPr>
              <w:pStyle w:val="57"/>
              <w:widowControl w:val="0"/>
              <w:ind w:firstLine="0" w:firstLineChars="0"/>
              <w:jc w:val="center"/>
              <w:rPr>
                <w:rFonts w:ascii="宋体" w:hAnsi="Times New Roman" w:eastAsia="宋体" w:cs="Times New Roman"/>
                <w:color w:val="auto"/>
                <w:sz w:val="18"/>
                <w:szCs w:val="16"/>
                <w:lang w:val="en-US" w:eastAsia="zh-CN" w:bidi="ar-SA"/>
              </w:rPr>
            </w:pPr>
            <w:r>
              <w:rPr>
                <w:rFonts w:hint="eastAsia"/>
                <w:color w:val="auto"/>
                <w:sz w:val="18"/>
                <w:szCs w:val="16"/>
              </w:rPr>
              <w:t>铸态、退火态</w:t>
            </w:r>
          </w:p>
        </w:tc>
        <w:tc>
          <w:tcPr>
            <w:tcW w:w="2835" w:type="dxa"/>
            <w:vAlign w:val="center"/>
          </w:tcPr>
          <w:p>
            <w:pPr>
              <w:pStyle w:val="57"/>
              <w:widowControl w:val="0"/>
              <w:ind w:firstLine="0" w:firstLineChars="0"/>
              <w:jc w:val="center"/>
              <w:rPr>
                <w:rFonts w:ascii="宋体" w:hAnsi="Times New Roman" w:eastAsia="宋体" w:cs="Times New Roman"/>
                <w:color w:val="auto"/>
                <w:sz w:val="18"/>
                <w:szCs w:val="16"/>
                <w:lang w:val="en-US" w:eastAsia="zh-CN" w:bidi="ar-SA"/>
              </w:rPr>
            </w:pPr>
            <w:r>
              <w:rPr>
                <w:rFonts w:hint="eastAsia"/>
                <w:color w:val="auto"/>
                <w:sz w:val="18"/>
                <w:szCs w:val="16"/>
              </w:rPr>
              <w:t>粒状（柱状、片状和球状）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gridSpan w:val="3"/>
            <w:vAlign w:val="center"/>
          </w:tcPr>
          <w:p>
            <w:pPr>
              <w:pStyle w:val="57"/>
              <w:widowControl w:val="0"/>
              <w:ind w:firstLine="360"/>
              <w:rPr>
                <w:color w:val="auto"/>
                <w:sz w:val="18"/>
                <w:szCs w:val="16"/>
              </w:rPr>
            </w:pPr>
            <w:r>
              <w:rPr>
                <w:rFonts w:ascii="Times New Roman" w:eastAsia="黑体"/>
                <w:color w:val="auto"/>
                <w:sz w:val="18"/>
                <w:szCs w:val="18"/>
              </w:rPr>
              <w:t>注：</w:t>
            </w:r>
            <w:r>
              <w:rPr>
                <w:rFonts w:ascii="Times New Roman"/>
                <w:color w:val="auto"/>
                <w:sz w:val="18"/>
                <w:szCs w:val="18"/>
              </w:rPr>
              <w:t>需方有特殊要求时，由供需双方商定。</w:t>
            </w:r>
          </w:p>
        </w:tc>
      </w:tr>
    </w:tbl>
    <w:p>
      <w:pPr>
        <w:pStyle w:val="57"/>
        <w:ind w:firstLine="0" w:firstLineChars="0"/>
        <w:rPr>
          <w:color w:val="auto"/>
        </w:rPr>
      </w:pPr>
    </w:p>
    <w:p>
      <w:pPr>
        <w:pStyle w:val="57"/>
        <w:ind w:firstLine="0" w:firstLineChars="0"/>
        <w:rPr>
          <w:color w:val="auto"/>
        </w:rPr>
      </w:pPr>
      <w:r>
        <w:rPr>
          <w:color w:val="auto"/>
        </w:rPr>
        <w:drawing>
          <wp:anchor distT="0" distB="0" distL="114300" distR="114300" simplePos="0" relativeHeight="251676672" behindDoc="0" locked="0" layoutInCell="1" allowOverlap="1">
            <wp:simplePos x="0" y="0"/>
            <wp:positionH relativeFrom="column">
              <wp:posOffset>3529330</wp:posOffset>
            </wp:positionH>
            <wp:positionV relativeFrom="paragraph">
              <wp:posOffset>186055</wp:posOffset>
            </wp:positionV>
            <wp:extent cx="1325245" cy="840740"/>
            <wp:effectExtent l="0" t="0" r="825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5245" cy="840740"/>
                    </a:xfrm>
                    <a:prstGeom prst="rect">
                      <a:avLst/>
                    </a:prstGeom>
                  </pic:spPr>
                </pic:pic>
              </a:graphicData>
            </a:graphic>
          </wp:anchor>
        </w:drawing>
      </w:r>
      <w:r>
        <w:rPr>
          <w:color w:val="auto"/>
        </w:rPr>
        <w:drawing>
          <wp:anchor distT="0" distB="0" distL="114300" distR="114300" simplePos="0" relativeHeight="251675648" behindDoc="0" locked="0" layoutInCell="1" allowOverlap="1">
            <wp:simplePos x="0" y="0"/>
            <wp:positionH relativeFrom="column">
              <wp:posOffset>116205</wp:posOffset>
            </wp:positionH>
            <wp:positionV relativeFrom="paragraph">
              <wp:posOffset>17145</wp:posOffset>
            </wp:positionV>
            <wp:extent cx="3108960" cy="120142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8960" cy="1201420"/>
                    </a:xfrm>
                    <a:prstGeom prst="rect">
                      <a:avLst/>
                    </a:prstGeom>
                  </pic:spPr>
                </pic:pic>
              </a:graphicData>
            </a:graphic>
          </wp:anchor>
        </w:drawing>
      </w:r>
      <w:r>
        <w:rPr>
          <w:color w:val="auto"/>
        </w:rPr>
        <w:t xml:space="preserve"> </w:t>
      </w:r>
    </w:p>
    <w:p>
      <w:pPr>
        <w:pStyle w:val="57"/>
        <w:ind w:firstLine="0" w:firstLineChars="0"/>
        <w:rPr>
          <w:color w:val="auto"/>
        </w:rPr>
      </w:pPr>
    </w:p>
    <w:p>
      <w:pPr>
        <w:pStyle w:val="57"/>
        <w:ind w:firstLine="0" w:firstLineChars="0"/>
        <w:rPr>
          <w:color w:val="auto"/>
        </w:rPr>
      </w:pPr>
    </w:p>
    <w:p>
      <w:pPr>
        <w:pStyle w:val="57"/>
        <w:ind w:firstLine="0" w:firstLineChars="0"/>
        <w:rPr>
          <w:color w:val="auto"/>
        </w:rPr>
      </w:pPr>
    </w:p>
    <w:p>
      <w:pPr>
        <w:pStyle w:val="57"/>
        <w:ind w:firstLine="0" w:firstLineChars="0"/>
        <w:rPr>
          <w:color w:val="auto"/>
        </w:rPr>
      </w:pPr>
    </w:p>
    <w:p>
      <w:pPr>
        <w:pStyle w:val="57"/>
        <w:ind w:firstLine="0" w:firstLineChars="0"/>
        <w:rPr>
          <w:color w:val="auto"/>
        </w:rPr>
      </w:pPr>
    </w:p>
    <w:p>
      <w:pPr>
        <w:pStyle w:val="57"/>
        <w:ind w:firstLine="0" w:firstLineChars="0"/>
        <w:jc w:val="center"/>
        <w:rPr>
          <w:rFonts w:ascii="Times New Roman" w:eastAsia="黑体"/>
          <w:color w:val="auto"/>
          <w:sz w:val="18"/>
          <w:szCs w:val="18"/>
        </w:rPr>
      </w:pPr>
      <w:r>
        <w:rPr>
          <w:rFonts w:ascii="Times New Roman" w:eastAsia="黑体"/>
          <w:color w:val="auto"/>
          <w:sz w:val="18"/>
          <w:szCs w:val="18"/>
        </w:rPr>
        <w:t xml:space="preserve">             a ) 盘</w:t>
      </w:r>
      <w:r>
        <w:rPr>
          <w:rFonts w:hint="eastAsia" w:ascii="Times New Roman" w:eastAsia="黑体"/>
          <w:color w:val="auto"/>
          <w:sz w:val="18"/>
          <w:szCs w:val="18"/>
        </w:rPr>
        <w:t>状</w:t>
      </w:r>
      <w:r>
        <w:rPr>
          <w:rFonts w:ascii="Times New Roman" w:eastAsia="黑体"/>
          <w:color w:val="auto"/>
          <w:sz w:val="18"/>
          <w:szCs w:val="18"/>
        </w:rPr>
        <w:t xml:space="preserve">                                     b) </w:t>
      </w:r>
      <w:r>
        <w:rPr>
          <w:rFonts w:hint="eastAsia" w:ascii="Times New Roman" w:eastAsia="黑体"/>
          <w:color w:val="auto"/>
          <w:sz w:val="18"/>
          <w:szCs w:val="18"/>
        </w:rPr>
        <w:t>柱</w:t>
      </w:r>
      <w:r>
        <w:rPr>
          <w:rFonts w:ascii="Times New Roman" w:eastAsia="黑体"/>
          <w:color w:val="auto"/>
          <w:sz w:val="18"/>
          <w:szCs w:val="18"/>
        </w:rPr>
        <w:t>状</w:t>
      </w:r>
    </w:p>
    <w:p>
      <w:pPr>
        <w:pStyle w:val="57"/>
        <w:ind w:firstLine="420"/>
        <w:rPr>
          <w:rFonts w:ascii="Times New Roman" w:eastAsia="黑体"/>
          <w:color w:val="auto"/>
          <w:sz w:val="18"/>
          <w:szCs w:val="18"/>
        </w:rPr>
      </w:pPr>
      <w:r>
        <w:rPr>
          <w:color w:val="auto"/>
        </w:rPr>
        <w:drawing>
          <wp:anchor distT="0" distB="0" distL="114300" distR="114300" simplePos="0" relativeHeight="251677696" behindDoc="0" locked="0" layoutInCell="1" allowOverlap="1">
            <wp:simplePos x="0" y="0"/>
            <wp:positionH relativeFrom="column">
              <wp:posOffset>942340</wp:posOffset>
            </wp:positionH>
            <wp:positionV relativeFrom="paragraph">
              <wp:posOffset>42545</wp:posOffset>
            </wp:positionV>
            <wp:extent cx="1492250" cy="76771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2301" cy="767581"/>
                    </a:xfrm>
                    <a:prstGeom prst="rect">
                      <a:avLst/>
                    </a:prstGeom>
                  </pic:spPr>
                </pic:pic>
              </a:graphicData>
            </a:graphic>
          </wp:anchor>
        </w:drawing>
      </w:r>
      <w:r>
        <w:rPr>
          <w:color w:val="auto"/>
        </w:rPr>
        <w:drawing>
          <wp:anchor distT="0" distB="0" distL="114300" distR="114300" simplePos="0" relativeHeight="251673600" behindDoc="0" locked="0" layoutInCell="1" allowOverlap="1">
            <wp:simplePos x="0" y="0"/>
            <wp:positionH relativeFrom="column">
              <wp:posOffset>3771265</wp:posOffset>
            </wp:positionH>
            <wp:positionV relativeFrom="paragraph">
              <wp:posOffset>95250</wp:posOffset>
            </wp:positionV>
            <wp:extent cx="1081405" cy="751205"/>
            <wp:effectExtent l="0" t="0" r="508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81378" cy="751037"/>
                    </a:xfrm>
                    <a:prstGeom prst="rect">
                      <a:avLst/>
                    </a:prstGeom>
                  </pic:spPr>
                </pic:pic>
              </a:graphicData>
            </a:graphic>
          </wp:anchor>
        </w:drawing>
      </w:r>
      <w:r>
        <w:rPr>
          <w:rFonts w:hint="eastAsia" w:ascii="Times New Roman" w:eastAsia="黑体"/>
          <w:color w:val="auto"/>
          <w:sz w:val="18"/>
          <w:szCs w:val="18"/>
        </w:rPr>
        <w:t xml:space="preserve"> </w:t>
      </w:r>
      <w:r>
        <w:rPr>
          <w:rFonts w:ascii="Times New Roman" w:eastAsia="黑体"/>
          <w:color w:val="auto"/>
          <w:sz w:val="18"/>
          <w:szCs w:val="18"/>
        </w:rPr>
        <w:t xml:space="preserve">  </w:t>
      </w:r>
    </w:p>
    <w:p>
      <w:pPr>
        <w:pStyle w:val="57"/>
        <w:ind w:firstLine="360"/>
        <w:rPr>
          <w:rFonts w:ascii="Times New Roman" w:eastAsia="黑体"/>
          <w:color w:val="auto"/>
          <w:sz w:val="18"/>
          <w:szCs w:val="18"/>
        </w:rPr>
      </w:pPr>
    </w:p>
    <w:p>
      <w:pPr>
        <w:pStyle w:val="57"/>
        <w:ind w:firstLine="360"/>
        <w:rPr>
          <w:rFonts w:ascii="Times New Roman" w:eastAsia="黑体"/>
          <w:color w:val="auto"/>
          <w:sz w:val="18"/>
          <w:szCs w:val="18"/>
        </w:rPr>
      </w:pPr>
    </w:p>
    <w:p>
      <w:pPr>
        <w:pStyle w:val="57"/>
        <w:ind w:firstLine="360"/>
        <w:rPr>
          <w:rFonts w:ascii="Times New Roman" w:eastAsia="黑体"/>
          <w:color w:val="auto"/>
          <w:sz w:val="18"/>
          <w:szCs w:val="18"/>
        </w:rPr>
      </w:pPr>
      <w:r>
        <w:rPr>
          <w:rFonts w:hint="eastAsia" w:ascii="Times New Roman" w:eastAsia="黑体"/>
          <w:color w:val="auto"/>
          <w:sz w:val="18"/>
          <w:szCs w:val="18"/>
        </w:rPr>
        <w:t xml:space="preserve"> </w:t>
      </w:r>
      <w:r>
        <w:rPr>
          <w:rFonts w:ascii="Times New Roman" w:eastAsia="黑体"/>
          <w:color w:val="auto"/>
          <w:sz w:val="18"/>
          <w:szCs w:val="18"/>
        </w:rPr>
        <w:t xml:space="preserve">                                                 </w:t>
      </w:r>
    </w:p>
    <w:p>
      <w:pPr>
        <w:pStyle w:val="57"/>
        <w:ind w:firstLine="0" w:firstLineChars="0"/>
        <w:rPr>
          <w:rFonts w:ascii="Times New Roman" w:eastAsia="黑体"/>
          <w:color w:val="auto"/>
          <w:sz w:val="18"/>
          <w:szCs w:val="18"/>
        </w:rPr>
      </w:pPr>
    </w:p>
    <w:p>
      <w:pPr>
        <w:pStyle w:val="57"/>
        <w:ind w:firstLine="0" w:firstLineChars="0"/>
        <w:jc w:val="center"/>
        <w:rPr>
          <w:rFonts w:ascii="Times New Roman" w:eastAsia="黑体"/>
          <w:color w:val="auto"/>
          <w:sz w:val="18"/>
          <w:szCs w:val="18"/>
        </w:rPr>
      </w:pPr>
      <w:r>
        <w:rPr>
          <w:rFonts w:ascii="Times New Roman" w:eastAsia="黑体"/>
          <w:color w:val="auto"/>
          <w:sz w:val="18"/>
          <w:szCs w:val="18"/>
        </w:rPr>
        <w:t xml:space="preserve">              c) </w:t>
      </w:r>
      <w:r>
        <w:rPr>
          <w:rFonts w:hint="eastAsia" w:ascii="Times New Roman" w:eastAsia="黑体"/>
          <w:color w:val="auto"/>
          <w:sz w:val="18"/>
          <w:szCs w:val="18"/>
        </w:rPr>
        <w:t>片状</w:t>
      </w:r>
      <w:r>
        <w:rPr>
          <w:rFonts w:ascii="Times New Roman" w:eastAsia="黑体"/>
          <w:color w:val="auto"/>
          <w:sz w:val="18"/>
          <w:szCs w:val="18"/>
        </w:rPr>
        <w:t xml:space="preserve">                                      d) </w:t>
      </w:r>
      <w:r>
        <w:rPr>
          <w:rFonts w:hint="eastAsia" w:ascii="Times New Roman" w:eastAsia="黑体"/>
          <w:color w:val="auto"/>
          <w:sz w:val="18"/>
          <w:szCs w:val="18"/>
        </w:rPr>
        <w:t>球</w:t>
      </w:r>
      <w:r>
        <w:rPr>
          <w:rFonts w:ascii="Times New Roman" w:eastAsia="黑体"/>
          <w:color w:val="auto"/>
          <w:sz w:val="18"/>
          <w:szCs w:val="18"/>
        </w:rPr>
        <w:t>状</w:t>
      </w:r>
    </w:p>
    <w:p>
      <w:pPr>
        <w:pStyle w:val="57"/>
        <w:ind w:firstLine="0" w:firstLineChars="0"/>
        <w:rPr>
          <w:rFonts w:ascii="Times New Roman" w:eastAsia="黑体"/>
          <w:color w:val="auto"/>
          <w:sz w:val="18"/>
          <w:szCs w:val="18"/>
        </w:rPr>
      </w:pPr>
    </w:p>
    <w:p>
      <w:pPr>
        <w:pStyle w:val="57"/>
        <w:ind w:firstLine="0" w:firstLineChars="0"/>
        <w:rPr>
          <w:rFonts w:ascii="Times New Roman" w:eastAsia="黑体"/>
          <w:color w:val="auto"/>
          <w:sz w:val="18"/>
          <w:szCs w:val="18"/>
        </w:rPr>
      </w:pPr>
      <w:r>
        <w:rPr>
          <w:rFonts w:hint="eastAsia" w:ascii="Times New Roman" w:eastAsia="黑体"/>
          <w:color w:val="auto"/>
          <w:sz w:val="18"/>
          <w:szCs w:val="18"/>
        </w:rPr>
        <w:t>说明：</w:t>
      </w:r>
    </w:p>
    <w:p>
      <w:pPr>
        <w:pStyle w:val="57"/>
        <w:ind w:firstLine="360"/>
        <w:rPr>
          <w:rFonts w:ascii="Times New Roman" w:eastAsia="黑体"/>
          <w:i/>
          <w:iCs/>
          <w:color w:val="auto"/>
          <w:sz w:val="18"/>
          <w:szCs w:val="18"/>
        </w:rPr>
      </w:pPr>
      <w:r>
        <w:rPr>
          <w:rFonts w:ascii="Times New Roman" w:eastAsia="黑体"/>
          <w:i/>
          <w:iCs/>
          <w:color w:val="auto"/>
          <w:sz w:val="18"/>
          <w:szCs w:val="18"/>
        </w:rPr>
        <w:t>d</w:t>
      </w:r>
      <w:r>
        <w:rPr>
          <w:rFonts w:ascii="Times New Roman" w:eastAsia="黑体"/>
          <w:color w:val="auto"/>
          <w:sz w:val="18"/>
          <w:szCs w:val="18"/>
          <w:vertAlign w:val="subscript"/>
        </w:rPr>
        <w:t>1</w:t>
      </w:r>
      <w:r>
        <w:rPr>
          <w:rFonts w:ascii="Times New Roman" w:eastAsia="黑体"/>
          <w:i/>
          <w:iCs/>
          <w:color w:val="auto"/>
          <w:sz w:val="18"/>
          <w:szCs w:val="18"/>
        </w:rPr>
        <w:t xml:space="preserve"> </w:t>
      </w:r>
      <w:r>
        <w:rPr>
          <w:rFonts w:ascii="Times New Roman" w:eastAsia="黑体"/>
          <w:color w:val="auto"/>
          <w:sz w:val="18"/>
          <w:szCs w:val="18"/>
        </w:rPr>
        <w:t>----</w:t>
      </w:r>
      <w:r>
        <w:rPr>
          <w:rFonts w:hint="eastAsia" w:ascii="Times New Roman" w:eastAsia="黑体"/>
          <w:color w:val="auto"/>
          <w:sz w:val="18"/>
          <w:szCs w:val="18"/>
        </w:rPr>
        <w:t>盘状镍阳极大外径；</w:t>
      </w:r>
    </w:p>
    <w:p>
      <w:pPr>
        <w:pStyle w:val="57"/>
        <w:ind w:firstLine="360"/>
        <w:rPr>
          <w:rFonts w:ascii="Times New Roman" w:eastAsia="黑体"/>
          <w:i/>
          <w:iCs/>
          <w:color w:val="auto"/>
          <w:sz w:val="18"/>
          <w:szCs w:val="18"/>
        </w:rPr>
      </w:pPr>
      <w:r>
        <w:rPr>
          <w:rFonts w:ascii="Times New Roman" w:eastAsia="黑体"/>
          <w:i/>
          <w:iCs/>
          <w:color w:val="auto"/>
          <w:sz w:val="18"/>
          <w:szCs w:val="18"/>
        </w:rPr>
        <w:t>d</w:t>
      </w:r>
      <w:r>
        <w:rPr>
          <w:rFonts w:ascii="Times New Roman" w:eastAsia="黑体"/>
          <w:color w:val="auto"/>
          <w:sz w:val="18"/>
          <w:szCs w:val="18"/>
          <w:vertAlign w:val="subscript"/>
        </w:rPr>
        <w:t>2</w:t>
      </w:r>
      <w:r>
        <w:rPr>
          <w:rFonts w:ascii="Times New Roman" w:eastAsia="黑体"/>
          <w:i/>
          <w:iCs/>
          <w:color w:val="auto"/>
          <w:sz w:val="18"/>
          <w:szCs w:val="18"/>
        </w:rPr>
        <w:t xml:space="preserve"> </w:t>
      </w:r>
      <w:r>
        <w:rPr>
          <w:rFonts w:ascii="Times New Roman" w:eastAsia="黑体"/>
          <w:color w:val="auto"/>
          <w:sz w:val="18"/>
          <w:szCs w:val="18"/>
        </w:rPr>
        <w:t>----</w:t>
      </w:r>
      <w:r>
        <w:rPr>
          <w:rFonts w:hint="eastAsia" w:ascii="Times New Roman" w:eastAsia="黑体"/>
          <w:color w:val="auto"/>
          <w:sz w:val="18"/>
          <w:szCs w:val="18"/>
        </w:rPr>
        <w:t>盘状镍阳极小外径；</w:t>
      </w:r>
    </w:p>
    <w:p>
      <w:pPr>
        <w:pStyle w:val="57"/>
        <w:ind w:firstLine="360"/>
        <w:rPr>
          <w:rFonts w:ascii="Times New Roman" w:eastAsia="黑体"/>
          <w:color w:val="auto"/>
          <w:sz w:val="18"/>
          <w:szCs w:val="18"/>
        </w:rPr>
      </w:pPr>
      <w:r>
        <w:rPr>
          <w:rFonts w:hint="eastAsia" w:ascii="Times New Roman" w:eastAsia="黑体"/>
          <w:i/>
          <w:iCs/>
          <w:color w:val="auto"/>
          <w:sz w:val="18"/>
          <w:szCs w:val="18"/>
        </w:rPr>
        <w:t>t</w:t>
      </w:r>
      <w:r>
        <w:rPr>
          <w:rFonts w:ascii="Times New Roman" w:eastAsia="黑体"/>
          <w:color w:val="auto"/>
          <w:sz w:val="18"/>
          <w:szCs w:val="18"/>
          <w:vertAlign w:val="subscript"/>
        </w:rPr>
        <w:t>1</w:t>
      </w:r>
      <w:r>
        <w:rPr>
          <w:rFonts w:ascii="Times New Roman" w:eastAsia="黑体"/>
          <w:i/>
          <w:iCs/>
          <w:color w:val="auto"/>
          <w:sz w:val="18"/>
          <w:szCs w:val="18"/>
        </w:rPr>
        <w:t xml:space="preserve"> </w:t>
      </w:r>
      <w:r>
        <w:rPr>
          <w:rFonts w:ascii="Times New Roman" w:eastAsia="黑体"/>
          <w:color w:val="auto"/>
          <w:sz w:val="18"/>
          <w:szCs w:val="18"/>
        </w:rPr>
        <w:t>----</w:t>
      </w:r>
      <w:r>
        <w:rPr>
          <w:rFonts w:hint="eastAsia" w:ascii="Times New Roman" w:eastAsia="黑体"/>
          <w:color w:val="auto"/>
          <w:sz w:val="18"/>
          <w:szCs w:val="18"/>
        </w:rPr>
        <w:t>盘状镍阳极总厚度；</w:t>
      </w:r>
    </w:p>
    <w:p>
      <w:pPr>
        <w:pStyle w:val="57"/>
        <w:ind w:firstLine="360"/>
        <w:rPr>
          <w:rFonts w:ascii="Times New Roman" w:eastAsia="黑体"/>
          <w:i/>
          <w:iCs/>
          <w:color w:val="auto"/>
          <w:sz w:val="18"/>
          <w:szCs w:val="18"/>
        </w:rPr>
      </w:pPr>
      <w:r>
        <w:rPr>
          <w:rFonts w:hint="eastAsia" w:ascii="Times New Roman" w:eastAsia="黑体"/>
          <w:i/>
          <w:iCs/>
          <w:color w:val="auto"/>
          <w:sz w:val="18"/>
          <w:szCs w:val="18"/>
        </w:rPr>
        <w:t>t</w:t>
      </w:r>
      <w:r>
        <w:rPr>
          <w:rFonts w:ascii="Times New Roman" w:eastAsia="黑体"/>
          <w:color w:val="auto"/>
          <w:sz w:val="18"/>
          <w:szCs w:val="18"/>
          <w:vertAlign w:val="subscript"/>
        </w:rPr>
        <w:t>2</w:t>
      </w:r>
      <w:r>
        <w:rPr>
          <w:rFonts w:ascii="Times New Roman" w:eastAsia="黑体"/>
          <w:i/>
          <w:iCs/>
          <w:color w:val="auto"/>
          <w:sz w:val="18"/>
          <w:szCs w:val="18"/>
        </w:rPr>
        <w:t xml:space="preserve"> </w:t>
      </w:r>
      <w:r>
        <w:rPr>
          <w:rFonts w:ascii="Times New Roman" w:eastAsia="黑体"/>
          <w:color w:val="auto"/>
          <w:sz w:val="18"/>
          <w:szCs w:val="18"/>
        </w:rPr>
        <w:t>----</w:t>
      </w:r>
      <w:r>
        <w:rPr>
          <w:rFonts w:hint="eastAsia" w:ascii="Times New Roman" w:eastAsia="黑体"/>
          <w:color w:val="auto"/>
          <w:sz w:val="18"/>
          <w:szCs w:val="18"/>
        </w:rPr>
        <w:t>盘状镍阳极台阶厚度；</w:t>
      </w:r>
    </w:p>
    <w:p>
      <w:pPr>
        <w:pStyle w:val="57"/>
        <w:ind w:firstLine="360"/>
        <w:rPr>
          <w:rFonts w:ascii="Times New Roman" w:eastAsia="黑体"/>
          <w:i/>
          <w:iCs/>
          <w:color w:val="auto"/>
          <w:sz w:val="18"/>
          <w:szCs w:val="18"/>
        </w:rPr>
      </w:pPr>
      <w:r>
        <w:rPr>
          <w:rFonts w:ascii="Times New Roman" w:eastAsia="黑体"/>
          <w:i/>
          <w:iCs/>
          <w:color w:val="auto"/>
          <w:sz w:val="18"/>
          <w:szCs w:val="18"/>
        </w:rPr>
        <w:t>d</w:t>
      </w:r>
      <w:r>
        <w:rPr>
          <w:rFonts w:ascii="Times New Roman" w:eastAsia="黑体"/>
          <w:color w:val="auto"/>
          <w:sz w:val="18"/>
          <w:szCs w:val="18"/>
          <w:vertAlign w:val="subscript"/>
        </w:rPr>
        <w:t>3</w:t>
      </w:r>
      <w:r>
        <w:rPr>
          <w:rFonts w:ascii="Times New Roman" w:eastAsia="黑体"/>
          <w:i/>
          <w:iCs/>
          <w:color w:val="auto"/>
          <w:sz w:val="18"/>
          <w:szCs w:val="18"/>
        </w:rPr>
        <w:t xml:space="preserve"> </w:t>
      </w:r>
      <w:r>
        <w:rPr>
          <w:rFonts w:ascii="Times New Roman" w:eastAsia="黑体"/>
          <w:color w:val="auto"/>
          <w:sz w:val="18"/>
          <w:szCs w:val="18"/>
        </w:rPr>
        <w:t>----</w:t>
      </w:r>
      <w:r>
        <w:rPr>
          <w:rFonts w:hint="eastAsia" w:ascii="Times New Roman" w:eastAsia="黑体"/>
          <w:color w:val="auto"/>
          <w:sz w:val="18"/>
          <w:szCs w:val="18"/>
        </w:rPr>
        <w:t>柱状镍阳极直径；</w:t>
      </w:r>
    </w:p>
    <w:p>
      <w:pPr>
        <w:pStyle w:val="57"/>
        <w:ind w:firstLine="360"/>
        <w:rPr>
          <w:rFonts w:ascii="Times New Roman" w:eastAsia="黑体"/>
          <w:i/>
          <w:iCs/>
          <w:color w:val="auto"/>
          <w:sz w:val="18"/>
          <w:szCs w:val="18"/>
        </w:rPr>
      </w:pPr>
      <w:r>
        <w:rPr>
          <w:rFonts w:hint="eastAsia" w:ascii="Times New Roman" w:eastAsia="黑体"/>
          <w:i/>
          <w:iCs/>
          <w:color w:val="auto"/>
          <w:sz w:val="18"/>
          <w:szCs w:val="18"/>
        </w:rPr>
        <w:t>t</w:t>
      </w:r>
      <w:r>
        <w:rPr>
          <w:rFonts w:ascii="Times New Roman" w:eastAsia="黑体"/>
          <w:color w:val="auto"/>
          <w:sz w:val="18"/>
          <w:szCs w:val="18"/>
          <w:vertAlign w:val="subscript"/>
        </w:rPr>
        <w:t>3</w:t>
      </w:r>
      <w:r>
        <w:rPr>
          <w:rFonts w:ascii="Times New Roman" w:eastAsia="黑体"/>
          <w:i/>
          <w:iCs/>
          <w:color w:val="auto"/>
          <w:sz w:val="18"/>
          <w:szCs w:val="18"/>
        </w:rPr>
        <w:t xml:space="preserve"> </w:t>
      </w:r>
      <w:r>
        <w:rPr>
          <w:rFonts w:ascii="Times New Roman" w:eastAsia="黑体"/>
          <w:color w:val="auto"/>
          <w:sz w:val="18"/>
          <w:szCs w:val="18"/>
        </w:rPr>
        <w:t>----</w:t>
      </w:r>
      <w:r>
        <w:rPr>
          <w:rFonts w:hint="eastAsia" w:ascii="Times New Roman" w:eastAsia="黑体"/>
          <w:color w:val="auto"/>
          <w:sz w:val="18"/>
          <w:szCs w:val="18"/>
        </w:rPr>
        <w:t>柱状镍阳极厚度；</w:t>
      </w:r>
    </w:p>
    <w:p>
      <w:pPr>
        <w:pStyle w:val="57"/>
        <w:ind w:firstLine="360"/>
        <w:rPr>
          <w:rFonts w:ascii="Times New Roman" w:eastAsia="黑体"/>
          <w:i/>
          <w:iCs/>
          <w:color w:val="auto"/>
          <w:sz w:val="18"/>
          <w:szCs w:val="18"/>
        </w:rPr>
      </w:pPr>
      <w:r>
        <w:rPr>
          <w:rFonts w:ascii="Times New Roman" w:eastAsia="黑体"/>
          <w:i/>
          <w:iCs/>
          <w:color w:val="auto"/>
          <w:sz w:val="18"/>
          <w:szCs w:val="18"/>
        </w:rPr>
        <w:t>d</w:t>
      </w:r>
      <w:r>
        <w:rPr>
          <w:rFonts w:ascii="Times New Roman" w:eastAsia="黑体"/>
          <w:color w:val="auto"/>
          <w:sz w:val="18"/>
          <w:szCs w:val="18"/>
          <w:vertAlign w:val="subscript"/>
        </w:rPr>
        <w:t>4</w:t>
      </w:r>
      <w:r>
        <w:rPr>
          <w:rFonts w:ascii="Times New Roman" w:eastAsia="黑体"/>
          <w:i/>
          <w:iCs/>
          <w:color w:val="auto"/>
          <w:sz w:val="18"/>
          <w:szCs w:val="18"/>
        </w:rPr>
        <w:t xml:space="preserve"> </w:t>
      </w:r>
      <w:r>
        <w:rPr>
          <w:rFonts w:ascii="Times New Roman" w:eastAsia="黑体"/>
          <w:color w:val="auto"/>
          <w:sz w:val="18"/>
          <w:szCs w:val="18"/>
        </w:rPr>
        <w:t>----</w:t>
      </w:r>
      <w:r>
        <w:rPr>
          <w:rFonts w:hint="eastAsia" w:ascii="Times New Roman" w:eastAsia="黑体"/>
          <w:color w:val="auto"/>
          <w:sz w:val="18"/>
          <w:szCs w:val="18"/>
        </w:rPr>
        <w:t>片状镍阳极直径；</w:t>
      </w:r>
    </w:p>
    <w:p>
      <w:pPr>
        <w:pStyle w:val="57"/>
        <w:ind w:firstLine="360"/>
        <w:rPr>
          <w:rFonts w:ascii="Times New Roman" w:eastAsia="黑体"/>
          <w:i/>
          <w:iCs/>
          <w:color w:val="auto"/>
          <w:sz w:val="18"/>
          <w:szCs w:val="18"/>
        </w:rPr>
      </w:pPr>
      <w:r>
        <w:rPr>
          <w:rFonts w:ascii="Times New Roman" w:eastAsia="黑体"/>
          <w:i/>
          <w:iCs/>
          <w:color w:val="auto"/>
          <w:sz w:val="18"/>
          <w:szCs w:val="18"/>
        </w:rPr>
        <w:t>t</w:t>
      </w:r>
      <w:r>
        <w:rPr>
          <w:rFonts w:ascii="Times New Roman" w:eastAsia="黑体"/>
          <w:color w:val="auto"/>
          <w:sz w:val="18"/>
          <w:szCs w:val="18"/>
          <w:vertAlign w:val="subscript"/>
        </w:rPr>
        <w:t>4</w:t>
      </w:r>
      <w:r>
        <w:rPr>
          <w:rFonts w:ascii="Times New Roman" w:eastAsia="黑体"/>
          <w:i/>
          <w:iCs/>
          <w:color w:val="auto"/>
          <w:sz w:val="18"/>
          <w:szCs w:val="18"/>
        </w:rPr>
        <w:t xml:space="preserve"> </w:t>
      </w:r>
      <w:r>
        <w:rPr>
          <w:rFonts w:ascii="Times New Roman" w:eastAsia="黑体"/>
          <w:color w:val="auto"/>
          <w:sz w:val="18"/>
          <w:szCs w:val="18"/>
        </w:rPr>
        <w:t>----</w:t>
      </w:r>
      <w:r>
        <w:rPr>
          <w:rFonts w:hint="eastAsia" w:ascii="Times New Roman" w:eastAsia="黑体"/>
          <w:color w:val="auto"/>
          <w:sz w:val="18"/>
          <w:szCs w:val="18"/>
        </w:rPr>
        <w:t>片状镍阳极厚度；</w:t>
      </w:r>
    </w:p>
    <w:p>
      <w:pPr>
        <w:pStyle w:val="57"/>
        <w:ind w:firstLine="360"/>
        <w:rPr>
          <w:rFonts w:ascii="Times New Roman" w:eastAsia="黑体"/>
          <w:color w:val="auto"/>
          <w:sz w:val="18"/>
          <w:szCs w:val="18"/>
        </w:rPr>
      </w:pPr>
      <w:r>
        <w:rPr>
          <w:rFonts w:ascii="Times New Roman" w:eastAsia="黑体"/>
          <w:i/>
          <w:iCs/>
          <w:color w:val="auto"/>
          <w:sz w:val="18"/>
          <w:szCs w:val="18"/>
        </w:rPr>
        <w:t>d</w:t>
      </w:r>
      <w:r>
        <w:rPr>
          <w:rFonts w:ascii="Times New Roman" w:eastAsia="黑体"/>
          <w:color w:val="auto"/>
          <w:sz w:val="18"/>
          <w:szCs w:val="18"/>
          <w:vertAlign w:val="subscript"/>
        </w:rPr>
        <w:t>5</w:t>
      </w:r>
      <w:r>
        <w:rPr>
          <w:rFonts w:ascii="Times New Roman" w:eastAsia="黑体"/>
          <w:color w:val="auto"/>
          <w:sz w:val="18"/>
          <w:szCs w:val="18"/>
        </w:rPr>
        <w:t xml:space="preserve"> ----</w:t>
      </w:r>
      <w:r>
        <w:rPr>
          <w:rFonts w:hint="eastAsia" w:ascii="Times New Roman" w:eastAsia="黑体"/>
          <w:color w:val="auto"/>
          <w:sz w:val="18"/>
          <w:szCs w:val="18"/>
        </w:rPr>
        <w:t>球状镍阳极直径。</w:t>
      </w:r>
    </w:p>
    <w:p>
      <w:pPr>
        <w:pStyle w:val="57"/>
        <w:ind w:firstLine="0" w:firstLineChars="0"/>
        <w:jc w:val="center"/>
        <w:rPr>
          <w:rFonts w:ascii="Times New Roman" w:eastAsia="黑体"/>
          <w:color w:val="auto"/>
          <w:sz w:val="18"/>
          <w:szCs w:val="18"/>
        </w:rPr>
      </w:pPr>
      <w:r>
        <w:rPr>
          <w:rFonts w:ascii="Times New Roman" w:eastAsia="黑体"/>
          <w:color w:val="auto"/>
          <w:sz w:val="18"/>
          <w:szCs w:val="18"/>
        </w:rPr>
        <w:t>图1  镍阳极</w:t>
      </w:r>
      <w:r>
        <w:rPr>
          <w:rFonts w:hint="eastAsia" w:ascii="Times New Roman" w:eastAsia="黑体"/>
          <w:color w:val="auto"/>
          <w:sz w:val="18"/>
          <w:szCs w:val="18"/>
        </w:rPr>
        <w:t>形状</w:t>
      </w:r>
      <w:r>
        <w:rPr>
          <w:rFonts w:ascii="Times New Roman" w:eastAsia="黑体"/>
          <w:color w:val="auto"/>
          <w:sz w:val="18"/>
          <w:szCs w:val="18"/>
        </w:rPr>
        <w:t>示意图</w:t>
      </w:r>
    </w:p>
    <w:p>
      <w:pPr>
        <w:pStyle w:val="57"/>
        <w:spacing w:line="360" w:lineRule="auto"/>
        <w:ind w:right="113" w:rightChars="54" w:firstLine="0" w:firstLineChars="0"/>
        <w:rPr>
          <w:rFonts w:ascii="黑体" w:hAnsi="黑体" w:eastAsia="黑体"/>
          <w:color w:val="auto"/>
          <w:szCs w:val="21"/>
        </w:rPr>
      </w:pPr>
      <w:r>
        <w:rPr>
          <w:rFonts w:hint="eastAsia" w:ascii="黑体" w:hAnsi="黑体" w:eastAsia="黑体"/>
          <w:color w:val="auto"/>
          <w:szCs w:val="21"/>
        </w:rPr>
        <w:t>4</w:t>
      </w:r>
      <w:r>
        <w:rPr>
          <w:rFonts w:ascii="黑体" w:hAnsi="黑体" w:eastAsia="黑体"/>
          <w:color w:val="auto"/>
          <w:szCs w:val="21"/>
        </w:rPr>
        <w:t xml:space="preserve">.2 </w:t>
      </w:r>
      <w:r>
        <w:rPr>
          <w:rFonts w:hint="eastAsia" w:ascii="黑体" w:hAnsi="黑体" w:eastAsia="黑体"/>
          <w:color w:val="auto"/>
          <w:szCs w:val="21"/>
        </w:rPr>
        <w:t>标记</w:t>
      </w:r>
    </w:p>
    <w:p>
      <w:pPr>
        <w:widowControl/>
        <w:autoSpaceDE w:val="0"/>
        <w:autoSpaceDN w:val="0"/>
        <w:ind w:firstLine="420" w:firstLineChars="200"/>
        <w:rPr>
          <w:rFonts w:ascii="宋体"/>
          <w:color w:val="auto"/>
          <w:kern w:val="0"/>
          <w:szCs w:val="21"/>
        </w:rPr>
      </w:pPr>
      <w:r>
        <w:rPr>
          <w:color w:val="auto"/>
          <w:szCs w:val="21"/>
        </w:rPr>
        <w:t>镍阳极</w:t>
      </w:r>
      <w:r>
        <w:rPr>
          <w:rFonts w:hint="eastAsia" w:ascii="宋体"/>
          <w:color w:val="auto"/>
          <w:kern w:val="0"/>
          <w:szCs w:val="21"/>
        </w:rPr>
        <w:t>产品标记按产品名称、文件编号、牌号、形状的顺序表示。标记示例如下：</w:t>
      </w:r>
    </w:p>
    <w:p>
      <w:pPr>
        <w:widowControl/>
        <w:autoSpaceDE w:val="0"/>
        <w:autoSpaceDN w:val="0"/>
        <w:ind w:firstLine="420" w:firstLineChars="200"/>
        <w:rPr>
          <w:rFonts w:ascii="黑体" w:hAnsi="黑体" w:eastAsia="黑体" w:cs="黑体"/>
          <w:color w:val="auto"/>
          <w:kern w:val="0"/>
        </w:rPr>
      </w:pPr>
    </w:p>
    <w:p>
      <w:pPr>
        <w:widowControl/>
        <w:autoSpaceDE w:val="0"/>
        <w:autoSpaceDN w:val="0"/>
        <w:ind w:firstLine="360" w:firstLineChars="200"/>
        <w:rPr>
          <w:rFonts w:ascii="黑体" w:hAnsi="黑体" w:eastAsia="黑体" w:cs="黑体"/>
          <w:color w:val="auto"/>
          <w:kern w:val="0"/>
          <w:sz w:val="18"/>
          <w:szCs w:val="18"/>
        </w:rPr>
      </w:pPr>
      <w:bookmarkStart w:id="6" w:name="_Hlk88228858"/>
      <w:r>
        <w:rPr>
          <w:rFonts w:hint="eastAsia" w:ascii="黑体" w:hAnsi="黑体" w:eastAsia="黑体" w:cs="黑体"/>
          <w:color w:val="auto"/>
          <w:kern w:val="0"/>
          <w:sz w:val="18"/>
          <w:szCs w:val="18"/>
        </w:rPr>
        <w:t>示</w:t>
      </w:r>
      <w:bookmarkEnd w:id="6"/>
      <w:r>
        <w:rPr>
          <w:rFonts w:hint="eastAsia" w:ascii="黑体" w:hAnsi="黑体" w:eastAsia="黑体" w:cs="黑体"/>
          <w:color w:val="auto"/>
          <w:kern w:val="0"/>
          <w:sz w:val="18"/>
          <w:szCs w:val="18"/>
        </w:rPr>
        <w:t>例:</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autoSpaceDE w:val="0"/>
              <w:autoSpaceDN w:val="0"/>
              <w:ind w:firstLine="360" w:firstLineChars="200"/>
              <w:rPr>
                <w:rFonts w:ascii="宋体"/>
                <w:color w:val="auto"/>
                <w:kern w:val="0"/>
                <w:sz w:val="18"/>
                <w:szCs w:val="18"/>
              </w:rPr>
            </w:pPr>
            <w:r>
              <w:rPr>
                <w:rFonts w:hint="eastAsia" w:ascii="宋体"/>
                <w:color w:val="auto"/>
                <w:kern w:val="0"/>
                <w:sz w:val="18"/>
                <w:szCs w:val="18"/>
              </w:rPr>
              <w:t>如某一</w:t>
            </w:r>
            <w:r>
              <w:rPr>
                <w:color w:val="auto"/>
                <w:sz w:val="18"/>
                <w:szCs w:val="18"/>
              </w:rPr>
              <w:t>镍阳极</w:t>
            </w:r>
            <w:r>
              <w:rPr>
                <w:rFonts w:hint="eastAsia" w:ascii="宋体"/>
                <w:color w:val="auto"/>
                <w:kern w:val="0"/>
                <w:sz w:val="18"/>
                <w:szCs w:val="18"/>
              </w:rPr>
              <w:t>的牌号为</w:t>
            </w:r>
            <w:r>
              <w:rPr>
                <w:rFonts w:hint="eastAsia"/>
                <w:color w:val="auto"/>
                <w:sz w:val="18"/>
                <w:szCs w:val="18"/>
              </w:rPr>
              <w:t>N</w:t>
            </w:r>
            <w:r>
              <w:rPr>
                <w:color w:val="auto"/>
                <w:sz w:val="18"/>
                <w:szCs w:val="18"/>
              </w:rPr>
              <w:t>YS1</w:t>
            </w:r>
            <w:r>
              <w:rPr>
                <w:rFonts w:hint="eastAsia" w:ascii="宋体"/>
                <w:color w:val="auto"/>
                <w:kern w:val="0"/>
                <w:sz w:val="18"/>
                <w:szCs w:val="18"/>
              </w:rPr>
              <w:t>,</w:t>
            </w:r>
            <w:r>
              <w:rPr>
                <w:rFonts w:hint="eastAsia"/>
                <w:color w:val="auto"/>
                <w:sz w:val="18"/>
                <w:szCs w:val="18"/>
              </w:rPr>
              <w:t xml:space="preserve"> </w:t>
            </w:r>
            <w:r>
              <w:rPr>
                <w:rFonts w:hint="eastAsia" w:ascii="宋体"/>
                <w:color w:val="auto"/>
                <w:kern w:val="0"/>
                <w:sz w:val="18"/>
                <w:szCs w:val="18"/>
              </w:rPr>
              <w:t>形状为</w:t>
            </w:r>
            <w:r>
              <w:rPr>
                <w:rFonts w:hint="eastAsia"/>
                <w:color w:val="auto"/>
                <w:sz w:val="18"/>
                <w:szCs w:val="18"/>
              </w:rPr>
              <w:t>盘形</w:t>
            </w:r>
            <w:r>
              <w:rPr>
                <w:rFonts w:ascii="宋体"/>
                <w:color w:val="auto"/>
                <w:kern w:val="0"/>
                <w:sz w:val="18"/>
                <w:szCs w:val="18"/>
              </w:rPr>
              <w:t>,</w:t>
            </w:r>
            <w:r>
              <w:rPr>
                <w:rFonts w:hint="eastAsia" w:ascii="宋体"/>
                <w:color w:val="auto"/>
                <w:kern w:val="0"/>
                <w:sz w:val="18"/>
                <w:szCs w:val="18"/>
              </w:rPr>
              <w:t xml:space="preserve"> 其标记为:</w:t>
            </w:r>
          </w:p>
          <w:p>
            <w:pPr>
              <w:autoSpaceDE w:val="0"/>
              <w:autoSpaceDN w:val="0"/>
              <w:ind w:firstLine="360" w:firstLineChars="200"/>
              <w:rPr>
                <w:rFonts w:ascii="宋体"/>
                <w:color w:val="auto"/>
                <w:kern w:val="0"/>
              </w:rPr>
            </w:pPr>
            <w:r>
              <w:rPr>
                <w:rFonts w:hint="eastAsia" w:ascii="宋体"/>
                <w:color w:val="auto"/>
                <w:kern w:val="0"/>
                <w:sz w:val="18"/>
                <w:szCs w:val="18"/>
              </w:rPr>
              <w:t xml:space="preserve">                    </w:t>
            </w:r>
            <w:r>
              <w:rPr>
                <w:color w:val="auto"/>
                <w:sz w:val="18"/>
                <w:szCs w:val="18"/>
              </w:rPr>
              <w:t>镍阳极</w:t>
            </w:r>
            <w:r>
              <w:rPr>
                <w:rFonts w:hint="eastAsia" w:ascii="宋体"/>
                <w:color w:val="auto"/>
                <w:kern w:val="0"/>
                <w:sz w:val="18"/>
                <w:szCs w:val="18"/>
              </w:rPr>
              <w:t xml:space="preserve"> </w:t>
            </w:r>
            <w:r>
              <w:rPr>
                <w:rFonts w:ascii="宋体"/>
                <w:color w:val="auto"/>
                <w:kern w:val="0"/>
                <w:sz w:val="18"/>
                <w:szCs w:val="18"/>
              </w:rPr>
              <w:t xml:space="preserve"> </w:t>
            </w:r>
            <w:r>
              <w:rPr>
                <w:rFonts w:hint="eastAsia" w:ascii="宋体"/>
                <w:color w:val="auto"/>
                <w:kern w:val="0"/>
                <w:sz w:val="18"/>
                <w:szCs w:val="18"/>
              </w:rPr>
              <w:t xml:space="preserve">YS/TXXXX- </w:t>
            </w:r>
            <w:r>
              <w:rPr>
                <w:rFonts w:hint="eastAsia"/>
                <w:color w:val="auto"/>
                <w:sz w:val="18"/>
                <w:szCs w:val="18"/>
              </w:rPr>
              <w:t>N</w:t>
            </w:r>
            <w:r>
              <w:rPr>
                <w:color w:val="auto"/>
                <w:sz w:val="18"/>
                <w:szCs w:val="18"/>
              </w:rPr>
              <w:t>YS1</w:t>
            </w:r>
            <w:r>
              <w:rPr>
                <w:rFonts w:hint="eastAsia" w:ascii="宋体"/>
                <w:color w:val="auto"/>
                <w:kern w:val="0"/>
                <w:sz w:val="18"/>
                <w:szCs w:val="18"/>
              </w:rPr>
              <w:t>-盘</w:t>
            </w:r>
          </w:p>
        </w:tc>
      </w:tr>
    </w:tbl>
    <w:p>
      <w:pPr>
        <w:pStyle w:val="57"/>
        <w:spacing w:line="360" w:lineRule="auto"/>
        <w:ind w:right="113" w:rightChars="54" w:firstLine="0" w:firstLineChars="0"/>
        <w:rPr>
          <w:rFonts w:ascii="黑体" w:hAnsi="黑体" w:eastAsia="黑体"/>
          <w:color w:val="auto"/>
          <w:szCs w:val="21"/>
        </w:rPr>
      </w:pPr>
    </w:p>
    <w:p>
      <w:pPr>
        <w:pStyle w:val="58"/>
        <w:spacing w:before="312" w:beforeLines="100" w:after="312" w:afterLines="100"/>
        <w:rPr>
          <w:rFonts w:ascii="Times New Roman"/>
          <w:color w:val="auto"/>
        </w:rPr>
      </w:pPr>
      <w:r>
        <w:rPr>
          <w:rFonts w:hint="eastAsia" w:ascii="Times New Roman"/>
          <w:color w:val="auto"/>
        </w:rPr>
        <w:t>技术</w:t>
      </w:r>
      <w:r>
        <w:rPr>
          <w:rFonts w:ascii="Times New Roman"/>
          <w:color w:val="auto"/>
        </w:rPr>
        <w:t>要求</w:t>
      </w:r>
    </w:p>
    <w:p>
      <w:pPr>
        <w:pStyle w:val="59"/>
        <w:tabs>
          <w:tab w:val="left" w:pos="420"/>
        </w:tabs>
        <w:spacing w:before="156" w:beforeLines="50" w:after="156" w:afterLines="50"/>
        <w:rPr>
          <w:rFonts w:ascii="Times New Roman"/>
          <w:color w:val="auto"/>
        </w:rPr>
      </w:pPr>
      <w:r>
        <w:rPr>
          <w:rFonts w:ascii="Times New Roman"/>
          <w:color w:val="auto"/>
        </w:rPr>
        <w:t>化学成份</w:t>
      </w:r>
    </w:p>
    <w:p>
      <w:pPr>
        <w:pStyle w:val="59"/>
        <w:numPr>
          <w:ilvl w:val="0"/>
          <w:numId w:val="0"/>
        </w:numPr>
        <w:tabs>
          <w:tab w:val="left" w:pos="420"/>
        </w:tabs>
        <w:ind w:firstLine="420" w:firstLineChars="200"/>
        <w:jc w:val="left"/>
        <w:rPr>
          <w:rFonts w:ascii="Times New Roman" w:eastAsia="宋体"/>
          <w:color w:val="auto"/>
          <w:szCs w:val="21"/>
        </w:rPr>
      </w:pPr>
      <w:r>
        <w:rPr>
          <w:rFonts w:ascii="Times New Roman" w:eastAsia="宋体"/>
          <w:color w:val="auto"/>
          <w:szCs w:val="21"/>
        </w:rPr>
        <w:t>镍阳极</w:t>
      </w:r>
      <w:r>
        <w:rPr>
          <w:rFonts w:hint="eastAsia" w:ascii="Times New Roman" w:eastAsia="宋体"/>
          <w:color w:val="auto"/>
          <w:szCs w:val="21"/>
        </w:rPr>
        <w:t>的化学成分</w:t>
      </w:r>
      <w:r>
        <w:rPr>
          <w:rFonts w:ascii="Times New Roman" w:eastAsia="宋体"/>
          <w:color w:val="auto"/>
          <w:szCs w:val="21"/>
        </w:rPr>
        <w:t>应符</w:t>
      </w:r>
      <w:r>
        <w:rPr>
          <w:rFonts w:ascii="Times New Roman" w:eastAsia="宋体"/>
          <w:color w:val="auto"/>
          <w:szCs w:val="21"/>
        </w:rPr>
        <w:t>合表2的规定。</w:t>
      </w:r>
    </w:p>
    <w:p>
      <w:pPr>
        <w:pStyle w:val="57"/>
        <w:spacing w:before="156" w:beforeLines="50" w:after="156" w:afterLines="50"/>
        <w:ind w:firstLine="0" w:firstLineChars="0"/>
        <w:jc w:val="center"/>
        <w:rPr>
          <w:rFonts w:ascii="黑体" w:hAnsi="黑体" w:eastAsia="黑体"/>
          <w:color w:val="auto"/>
          <w:szCs w:val="21"/>
        </w:rPr>
      </w:pPr>
      <w:r>
        <w:rPr>
          <w:rFonts w:ascii="黑体" w:hAnsi="黑体" w:eastAsia="黑体"/>
          <w:color w:val="auto"/>
          <w:szCs w:val="21"/>
        </w:rPr>
        <w:t xml:space="preserve">表2 </w:t>
      </w:r>
      <w:r>
        <w:rPr>
          <w:rFonts w:hint="eastAsia" w:ascii="黑体" w:hAnsi="黑体" w:eastAsia="黑体"/>
          <w:color w:val="auto"/>
          <w:szCs w:val="21"/>
        </w:rPr>
        <w:t>化学成分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530"/>
        <w:gridCol w:w="1734"/>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191" w:type="dxa"/>
            <w:gridSpan w:val="2"/>
            <w:vAlign w:val="center"/>
          </w:tcPr>
          <w:p>
            <w:pPr>
              <w:widowControl/>
              <w:jc w:val="center"/>
              <w:rPr>
                <w:color w:val="auto"/>
                <w:kern w:val="0"/>
                <w:sz w:val="18"/>
                <w:szCs w:val="18"/>
              </w:rPr>
            </w:pPr>
            <w:r>
              <w:rPr>
                <w:color w:val="auto"/>
                <w:kern w:val="0"/>
                <w:sz w:val="18"/>
                <w:szCs w:val="18"/>
              </w:rPr>
              <w:t>牌号</w:t>
            </w:r>
          </w:p>
        </w:tc>
        <w:tc>
          <w:tcPr>
            <w:tcW w:w="1734" w:type="dxa"/>
            <w:vAlign w:val="center"/>
          </w:tcPr>
          <w:p>
            <w:pPr>
              <w:widowControl/>
              <w:jc w:val="center"/>
              <w:rPr>
                <w:color w:val="auto"/>
                <w:kern w:val="0"/>
                <w:sz w:val="18"/>
                <w:szCs w:val="18"/>
              </w:rPr>
            </w:pPr>
            <w:r>
              <w:rPr>
                <w:color w:val="auto"/>
                <w:kern w:val="0"/>
                <w:sz w:val="18"/>
                <w:szCs w:val="18"/>
              </w:rPr>
              <w:t>NYS1</w:t>
            </w:r>
          </w:p>
        </w:tc>
        <w:tc>
          <w:tcPr>
            <w:tcW w:w="1734" w:type="dxa"/>
            <w:vAlign w:val="center"/>
          </w:tcPr>
          <w:p>
            <w:pPr>
              <w:widowControl/>
              <w:jc w:val="center"/>
              <w:rPr>
                <w:color w:val="auto"/>
                <w:kern w:val="0"/>
                <w:sz w:val="18"/>
                <w:szCs w:val="18"/>
              </w:rPr>
            </w:pPr>
            <w:r>
              <w:rPr>
                <w:color w:val="auto"/>
                <w:kern w:val="0"/>
                <w:sz w:val="18"/>
                <w:szCs w:val="18"/>
              </w:rPr>
              <w:t>NYS2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191" w:type="dxa"/>
            <w:gridSpan w:val="2"/>
            <w:vAlign w:val="center"/>
          </w:tcPr>
          <w:p>
            <w:pPr>
              <w:jc w:val="center"/>
              <w:rPr>
                <w:color w:val="auto"/>
                <w:sz w:val="18"/>
                <w:szCs w:val="18"/>
              </w:rPr>
            </w:pPr>
            <w:r>
              <w:rPr>
                <w:rFonts w:hint="eastAsia"/>
                <w:color w:val="auto"/>
                <w:sz w:val="18"/>
                <w:szCs w:val="18"/>
              </w:rPr>
              <w:t>（</w:t>
            </w:r>
            <w:r>
              <w:rPr>
                <w:rFonts w:hint="eastAsia"/>
                <w:color w:val="auto"/>
                <w:sz w:val="18"/>
                <w:szCs w:val="18"/>
              </w:rPr>
              <w:t>Ni+</w:t>
            </w:r>
            <w:r>
              <w:rPr>
                <w:color w:val="auto"/>
                <w:sz w:val="18"/>
                <w:szCs w:val="18"/>
              </w:rPr>
              <w:t>S</w:t>
            </w:r>
            <w:r>
              <w:rPr>
                <w:rFonts w:hint="eastAsia"/>
                <w:color w:val="auto"/>
                <w:sz w:val="18"/>
                <w:szCs w:val="18"/>
              </w:rPr>
              <w:t>）</w:t>
            </w:r>
            <w:r>
              <w:rPr>
                <w:rFonts w:hint="eastAsia"/>
                <w:color w:val="auto"/>
                <w:sz w:val="18"/>
                <w:szCs w:val="18"/>
                <w:vertAlign w:val="superscript"/>
              </w:rPr>
              <w:t>a</w:t>
            </w:r>
            <w:r>
              <w:rPr>
                <w:color w:val="auto"/>
                <w:sz w:val="18"/>
                <w:szCs w:val="18"/>
              </w:rPr>
              <w:t>（质量分数）</w:t>
            </w:r>
            <w:r>
              <w:rPr>
                <w:rFonts w:hint="eastAsia"/>
                <w:color w:val="auto"/>
                <w:sz w:val="18"/>
                <w:szCs w:val="18"/>
              </w:rPr>
              <w:t>，不小于</w:t>
            </w:r>
          </w:p>
          <w:p>
            <w:pPr>
              <w:widowControl/>
              <w:jc w:val="center"/>
              <w:rPr>
                <w:color w:val="auto"/>
                <w:sz w:val="18"/>
                <w:szCs w:val="18"/>
              </w:rPr>
            </w:pPr>
            <w:r>
              <w:rPr>
                <w:color w:val="auto"/>
                <w:sz w:val="18"/>
                <w:szCs w:val="18"/>
              </w:rPr>
              <w:t xml:space="preserve">% </w:t>
            </w:r>
          </w:p>
        </w:tc>
        <w:tc>
          <w:tcPr>
            <w:tcW w:w="1734" w:type="dxa"/>
            <w:vAlign w:val="center"/>
          </w:tcPr>
          <w:p>
            <w:pPr>
              <w:jc w:val="center"/>
              <w:rPr>
                <w:color w:val="auto"/>
                <w:sz w:val="18"/>
                <w:szCs w:val="18"/>
              </w:rPr>
            </w:pPr>
            <w:r>
              <w:rPr>
                <w:rFonts w:hint="eastAsia"/>
                <w:color w:val="auto"/>
                <w:sz w:val="18"/>
                <w:szCs w:val="18"/>
              </w:rPr>
              <w:t>9</w:t>
            </w:r>
            <w:r>
              <w:rPr>
                <w:color w:val="auto"/>
                <w:sz w:val="18"/>
                <w:szCs w:val="18"/>
              </w:rPr>
              <w:t>9.99</w:t>
            </w:r>
          </w:p>
        </w:tc>
        <w:tc>
          <w:tcPr>
            <w:tcW w:w="1734" w:type="dxa"/>
            <w:vAlign w:val="center"/>
          </w:tcPr>
          <w:p>
            <w:pPr>
              <w:jc w:val="center"/>
              <w:rPr>
                <w:color w:val="auto"/>
                <w:sz w:val="18"/>
                <w:szCs w:val="18"/>
              </w:rPr>
            </w:pPr>
            <w:r>
              <w:rPr>
                <w:rFonts w:hint="eastAsia"/>
                <w:color w:val="auto"/>
                <w:sz w:val="18"/>
                <w:szCs w:val="18"/>
              </w:rPr>
              <w:t>9</w:t>
            </w:r>
            <w:r>
              <w:rPr>
                <w:color w:val="auto"/>
                <w:sz w:val="18"/>
                <w:szCs w:val="18"/>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191" w:type="dxa"/>
            <w:gridSpan w:val="2"/>
            <w:vAlign w:val="center"/>
          </w:tcPr>
          <w:p>
            <w:pPr>
              <w:widowControl/>
              <w:jc w:val="center"/>
              <w:rPr>
                <w:color w:val="auto"/>
                <w:kern w:val="0"/>
                <w:sz w:val="18"/>
                <w:szCs w:val="18"/>
              </w:rPr>
            </w:pPr>
            <w:r>
              <w:rPr>
                <w:color w:val="auto"/>
                <w:kern w:val="0"/>
                <w:sz w:val="18"/>
                <w:szCs w:val="18"/>
              </w:rPr>
              <w:t>S</w:t>
            </w:r>
            <w:r>
              <w:rPr>
                <w:rFonts w:hint="eastAsia"/>
                <w:color w:val="auto"/>
                <w:kern w:val="0"/>
                <w:sz w:val="18"/>
                <w:szCs w:val="18"/>
              </w:rPr>
              <w:t>（</w:t>
            </w:r>
            <w:r>
              <w:rPr>
                <w:color w:val="auto"/>
                <w:kern w:val="0"/>
                <w:sz w:val="18"/>
                <w:szCs w:val="18"/>
              </w:rPr>
              <w:t>质量分数</w:t>
            </w:r>
            <w:r>
              <w:rPr>
                <w:rFonts w:hint="eastAsia"/>
                <w:color w:val="auto"/>
                <w:kern w:val="0"/>
                <w:sz w:val="18"/>
                <w:szCs w:val="18"/>
              </w:rPr>
              <w:t>）</w:t>
            </w:r>
          </w:p>
          <w:p>
            <w:pPr>
              <w:widowControl/>
              <w:jc w:val="center"/>
              <w:rPr>
                <w:rFonts w:eastAsia="MS PMincho"/>
                <w:color w:val="auto"/>
                <w:kern w:val="0"/>
                <w:sz w:val="18"/>
                <w:szCs w:val="18"/>
              </w:rPr>
            </w:pPr>
            <w:r>
              <w:rPr>
                <w:color w:val="auto"/>
                <w:sz w:val="18"/>
                <w:szCs w:val="18"/>
              </w:rPr>
              <w:t>（×10</w:t>
            </w:r>
            <w:r>
              <w:rPr>
                <w:color w:val="auto"/>
                <w:sz w:val="18"/>
                <w:szCs w:val="18"/>
                <w:vertAlign w:val="superscript"/>
              </w:rPr>
              <w:t>-4</w:t>
            </w:r>
            <w:r>
              <w:rPr>
                <w:color w:val="auto"/>
                <w:sz w:val="18"/>
                <w:szCs w:val="18"/>
              </w:rPr>
              <w:t>）</w:t>
            </w:r>
            <w:r>
              <w:rPr>
                <w:color w:val="auto"/>
                <w:kern w:val="0"/>
                <w:sz w:val="18"/>
                <w:szCs w:val="18"/>
              </w:rPr>
              <w:t>%</w:t>
            </w:r>
          </w:p>
        </w:tc>
        <w:tc>
          <w:tcPr>
            <w:tcW w:w="1734" w:type="dxa"/>
            <w:vAlign w:val="center"/>
          </w:tcPr>
          <w:p>
            <w:pPr>
              <w:jc w:val="center"/>
              <w:rPr>
                <w:color w:val="auto"/>
                <w:sz w:val="18"/>
                <w:szCs w:val="18"/>
              </w:rPr>
            </w:pPr>
            <w:r>
              <w:rPr>
                <w:color w:val="auto"/>
                <w:sz w:val="18"/>
                <w:szCs w:val="18"/>
              </w:rPr>
              <w:t>5</w:t>
            </w:r>
            <w:r>
              <w:rPr>
                <w:rFonts w:hint="eastAsia" w:ascii="宋体" w:hAnsi="宋体"/>
                <w:color w:val="auto"/>
                <w:sz w:val="18"/>
                <w:szCs w:val="18"/>
              </w:rPr>
              <w:t>～</w:t>
            </w:r>
            <w:r>
              <w:rPr>
                <w:color w:val="auto"/>
                <w:sz w:val="18"/>
                <w:szCs w:val="18"/>
              </w:rPr>
              <w:t>15</w:t>
            </w:r>
          </w:p>
        </w:tc>
        <w:tc>
          <w:tcPr>
            <w:tcW w:w="1734" w:type="dxa"/>
            <w:vAlign w:val="center"/>
          </w:tcPr>
          <w:p>
            <w:pPr>
              <w:jc w:val="center"/>
              <w:rPr>
                <w:color w:val="auto"/>
                <w:sz w:val="18"/>
                <w:szCs w:val="18"/>
              </w:rPr>
            </w:pPr>
            <w:r>
              <w:rPr>
                <w:color w:val="auto"/>
                <w:sz w:val="18"/>
                <w:szCs w:val="18"/>
              </w:rPr>
              <w:t>150</w:t>
            </w:r>
            <w:r>
              <w:rPr>
                <w:rFonts w:hint="eastAsia" w:ascii="宋体" w:hAnsi="宋体"/>
                <w:color w:val="auto"/>
                <w:sz w:val="18"/>
                <w:szCs w:val="18"/>
              </w:rPr>
              <w:t>～</w:t>
            </w:r>
            <w:r>
              <w:rPr>
                <w:color w:val="auto"/>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61" w:type="dxa"/>
            <w:vMerge w:val="restart"/>
            <w:vAlign w:val="center"/>
          </w:tcPr>
          <w:p>
            <w:pPr>
              <w:jc w:val="center"/>
              <w:rPr>
                <w:color w:val="auto"/>
                <w:sz w:val="18"/>
                <w:szCs w:val="18"/>
              </w:rPr>
            </w:pPr>
            <w:r>
              <w:rPr>
                <w:color w:val="auto"/>
                <w:sz w:val="18"/>
                <w:szCs w:val="18"/>
              </w:rPr>
              <w:t>杂质（质量分数）</w:t>
            </w:r>
            <w:r>
              <w:rPr>
                <w:rFonts w:hint="eastAsia"/>
                <w:color w:val="auto"/>
                <w:sz w:val="18"/>
                <w:szCs w:val="18"/>
              </w:rPr>
              <w:t>，</w:t>
            </w:r>
            <w:r>
              <w:rPr>
                <w:color w:val="auto"/>
                <w:sz w:val="18"/>
                <w:szCs w:val="18"/>
              </w:rPr>
              <w:t>不大于</w:t>
            </w:r>
          </w:p>
          <w:p>
            <w:pPr>
              <w:jc w:val="center"/>
              <w:rPr>
                <w:color w:val="auto"/>
                <w:sz w:val="18"/>
                <w:szCs w:val="18"/>
              </w:rPr>
            </w:pPr>
            <w:r>
              <w:rPr>
                <w:color w:val="auto"/>
                <w:sz w:val="18"/>
                <w:szCs w:val="18"/>
              </w:rPr>
              <w:t>（×10</w:t>
            </w:r>
            <w:r>
              <w:rPr>
                <w:color w:val="auto"/>
                <w:sz w:val="18"/>
                <w:szCs w:val="18"/>
                <w:vertAlign w:val="superscript"/>
              </w:rPr>
              <w:t>-4</w:t>
            </w:r>
            <w:r>
              <w:rPr>
                <w:color w:val="auto"/>
                <w:sz w:val="18"/>
                <w:szCs w:val="18"/>
              </w:rPr>
              <w:t xml:space="preserve">）% </w:t>
            </w:r>
          </w:p>
        </w:tc>
        <w:tc>
          <w:tcPr>
            <w:tcW w:w="1530" w:type="dxa"/>
            <w:vAlign w:val="center"/>
          </w:tcPr>
          <w:p>
            <w:pPr>
              <w:widowControl/>
              <w:jc w:val="center"/>
              <w:rPr>
                <w:color w:val="auto"/>
                <w:kern w:val="0"/>
                <w:sz w:val="18"/>
                <w:szCs w:val="18"/>
              </w:rPr>
            </w:pPr>
            <w:r>
              <w:rPr>
                <w:color w:val="auto"/>
                <w:kern w:val="0"/>
                <w:sz w:val="18"/>
                <w:szCs w:val="18"/>
              </w:rPr>
              <w:t>Al</w:t>
            </w:r>
          </w:p>
        </w:tc>
        <w:tc>
          <w:tcPr>
            <w:tcW w:w="1734" w:type="dxa"/>
            <w:vAlign w:val="center"/>
          </w:tcPr>
          <w:p>
            <w:pPr>
              <w:jc w:val="center"/>
              <w:rPr>
                <w:color w:val="auto"/>
                <w:sz w:val="18"/>
                <w:szCs w:val="18"/>
              </w:rPr>
            </w:pPr>
            <w:r>
              <w:rPr>
                <w:color w:val="auto"/>
                <w:sz w:val="18"/>
                <w:szCs w:val="18"/>
              </w:rPr>
              <w:t>10</w:t>
            </w:r>
          </w:p>
        </w:tc>
        <w:tc>
          <w:tcPr>
            <w:tcW w:w="1734" w:type="dxa"/>
            <w:vAlign w:val="center"/>
          </w:tcPr>
          <w:p>
            <w:pPr>
              <w:jc w:val="center"/>
              <w:rPr>
                <w:color w:val="auto"/>
                <w:sz w:val="18"/>
                <w:szCs w:val="18"/>
              </w:rPr>
            </w:pPr>
            <w:r>
              <w:rPr>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color w:val="auto"/>
                <w:kern w:val="0"/>
                <w:sz w:val="18"/>
                <w:szCs w:val="18"/>
              </w:rPr>
              <w:t>As</w:t>
            </w:r>
          </w:p>
        </w:tc>
        <w:tc>
          <w:tcPr>
            <w:tcW w:w="1734" w:type="dxa"/>
            <w:vAlign w:val="center"/>
          </w:tcPr>
          <w:p>
            <w:pPr>
              <w:jc w:val="center"/>
              <w:rPr>
                <w:color w:val="auto"/>
                <w:sz w:val="18"/>
                <w:szCs w:val="18"/>
              </w:rPr>
            </w:pPr>
            <w:r>
              <w:rPr>
                <w:color w:val="auto"/>
                <w:sz w:val="18"/>
                <w:szCs w:val="18"/>
              </w:rPr>
              <w:t>5</w:t>
            </w:r>
          </w:p>
        </w:tc>
        <w:tc>
          <w:tcPr>
            <w:tcW w:w="1734" w:type="dxa"/>
            <w:vAlign w:val="center"/>
          </w:tcPr>
          <w:p>
            <w:pPr>
              <w:jc w:val="center"/>
              <w:rPr>
                <w:color w:val="auto"/>
                <w:sz w:val="18"/>
                <w:szCs w:val="18"/>
              </w:rPr>
            </w:pPr>
            <w:r>
              <w:rPr>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Bi</w:t>
            </w:r>
          </w:p>
        </w:tc>
        <w:tc>
          <w:tcPr>
            <w:tcW w:w="1734" w:type="dxa"/>
            <w:vAlign w:val="center"/>
          </w:tcPr>
          <w:p>
            <w:pPr>
              <w:jc w:val="center"/>
              <w:rPr>
                <w:color w:val="auto"/>
                <w:sz w:val="18"/>
                <w:szCs w:val="18"/>
              </w:rPr>
            </w:pPr>
            <w:r>
              <w:rPr>
                <w:color w:val="auto"/>
                <w:sz w:val="18"/>
                <w:szCs w:val="18"/>
              </w:rPr>
              <w:t>3</w:t>
            </w:r>
          </w:p>
        </w:tc>
        <w:tc>
          <w:tcPr>
            <w:tcW w:w="1734" w:type="dxa"/>
            <w:vAlign w:val="center"/>
          </w:tcPr>
          <w:p>
            <w:pPr>
              <w:jc w:val="center"/>
              <w:rPr>
                <w:color w:val="auto"/>
                <w:sz w:val="18"/>
                <w:szCs w:val="18"/>
              </w:rPr>
            </w:pPr>
            <w:r>
              <w:rPr>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color w:val="auto"/>
                <w:kern w:val="0"/>
                <w:sz w:val="18"/>
                <w:szCs w:val="18"/>
              </w:rPr>
              <w:t>C</w:t>
            </w:r>
          </w:p>
        </w:tc>
        <w:tc>
          <w:tcPr>
            <w:tcW w:w="1734" w:type="dxa"/>
            <w:vAlign w:val="center"/>
          </w:tcPr>
          <w:p>
            <w:pPr>
              <w:jc w:val="center"/>
              <w:rPr>
                <w:color w:val="auto"/>
                <w:sz w:val="18"/>
                <w:szCs w:val="18"/>
              </w:rPr>
            </w:pPr>
            <w:r>
              <w:rPr>
                <w:color w:val="auto"/>
                <w:sz w:val="18"/>
                <w:szCs w:val="18"/>
              </w:rPr>
              <w:t>40</w:t>
            </w:r>
          </w:p>
        </w:tc>
        <w:tc>
          <w:tcPr>
            <w:tcW w:w="1734" w:type="dxa"/>
            <w:vAlign w:val="center"/>
          </w:tcPr>
          <w:p>
            <w:pPr>
              <w:jc w:val="center"/>
              <w:rPr>
                <w:color w:val="auto"/>
                <w:sz w:val="18"/>
                <w:szCs w:val="18"/>
              </w:rPr>
            </w:pPr>
            <w:r>
              <w:rPr>
                <w:color w:val="auto"/>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C</w:t>
            </w:r>
            <w:r>
              <w:rPr>
                <w:color w:val="auto"/>
                <w:kern w:val="0"/>
                <w:sz w:val="18"/>
                <w:szCs w:val="18"/>
              </w:rPr>
              <w:t>a</w:t>
            </w:r>
          </w:p>
        </w:tc>
        <w:tc>
          <w:tcPr>
            <w:tcW w:w="1734" w:type="dxa"/>
            <w:vAlign w:val="center"/>
          </w:tcPr>
          <w:p>
            <w:pPr>
              <w:jc w:val="center"/>
              <w:rPr>
                <w:color w:val="auto"/>
                <w:sz w:val="18"/>
                <w:szCs w:val="18"/>
              </w:rPr>
            </w:pPr>
            <w:r>
              <w:rPr>
                <w:color w:val="auto"/>
                <w:sz w:val="18"/>
                <w:szCs w:val="18"/>
              </w:rPr>
              <w:t>20</w:t>
            </w:r>
          </w:p>
        </w:tc>
        <w:tc>
          <w:tcPr>
            <w:tcW w:w="1734" w:type="dxa"/>
            <w:vAlign w:val="center"/>
          </w:tcPr>
          <w:p>
            <w:pPr>
              <w:jc w:val="center"/>
              <w:rPr>
                <w:color w:val="auto"/>
                <w:sz w:val="18"/>
                <w:szCs w:val="18"/>
              </w:rPr>
            </w:pPr>
            <w:r>
              <w:rPr>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C</w:t>
            </w:r>
            <w:r>
              <w:rPr>
                <w:color w:val="auto"/>
                <w:kern w:val="0"/>
                <w:sz w:val="18"/>
                <w:szCs w:val="18"/>
              </w:rPr>
              <w:t>d</w:t>
            </w:r>
          </w:p>
        </w:tc>
        <w:tc>
          <w:tcPr>
            <w:tcW w:w="1734" w:type="dxa"/>
            <w:vAlign w:val="center"/>
          </w:tcPr>
          <w:p>
            <w:pPr>
              <w:jc w:val="center"/>
              <w:rPr>
                <w:color w:val="auto"/>
                <w:sz w:val="18"/>
                <w:szCs w:val="18"/>
              </w:rPr>
            </w:pPr>
            <w:r>
              <w:rPr>
                <w:rFonts w:hint="eastAsia"/>
                <w:color w:val="auto"/>
                <w:sz w:val="18"/>
                <w:szCs w:val="18"/>
              </w:rPr>
              <w:t>3</w:t>
            </w:r>
          </w:p>
        </w:tc>
        <w:tc>
          <w:tcPr>
            <w:tcW w:w="1734" w:type="dxa"/>
            <w:vAlign w:val="center"/>
          </w:tcPr>
          <w:p>
            <w:pPr>
              <w:jc w:val="center"/>
              <w:rPr>
                <w:color w:val="auto"/>
                <w:sz w:val="18"/>
                <w:szCs w:val="18"/>
              </w:rPr>
            </w:pPr>
            <w:r>
              <w:rPr>
                <w:rFonts w:hint="eastAsia"/>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C</w:t>
            </w:r>
            <w:r>
              <w:rPr>
                <w:color w:val="auto"/>
                <w:kern w:val="0"/>
                <w:sz w:val="18"/>
                <w:szCs w:val="18"/>
              </w:rPr>
              <w:t>o</w:t>
            </w:r>
          </w:p>
        </w:tc>
        <w:tc>
          <w:tcPr>
            <w:tcW w:w="1734" w:type="dxa"/>
            <w:vAlign w:val="center"/>
          </w:tcPr>
          <w:p>
            <w:pPr>
              <w:jc w:val="center"/>
              <w:rPr>
                <w:color w:val="auto"/>
                <w:sz w:val="18"/>
                <w:szCs w:val="18"/>
              </w:rPr>
            </w:pPr>
            <w:r>
              <w:rPr>
                <w:color w:val="auto"/>
                <w:sz w:val="18"/>
                <w:szCs w:val="18"/>
              </w:rPr>
              <w:t>20</w:t>
            </w:r>
          </w:p>
        </w:tc>
        <w:tc>
          <w:tcPr>
            <w:tcW w:w="1734" w:type="dxa"/>
            <w:vAlign w:val="center"/>
          </w:tcPr>
          <w:p>
            <w:pPr>
              <w:jc w:val="center"/>
              <w:rPr>
                <w:color w:val="auto"/>
                <w:sz w:val="18"/>
                <w:szCs w:val="18"/>
              </w:rPr>
            </w:pPr>
            <w:r>
              <w:rPr>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color w:val="auto"/>
                <w:kern w:val="0"/>
                <w:sz w:val="18"/>
                <w:szCs w:val="18"/>
              </w:rPr>
              <w:t>Cr</w:t>
            </w:r>
          </w:p>
        </w:tc>
        <w:tc>
          <w:tcPr>
            <w:tcW w:w="1734" w:type="dxa"/>
            <w:vAlign w:val="center"/>
          </w:tcPr>
          <w:p>
            <w:pPr>
              <w:jc w:val="center"/>
              <w:rPr>
                <w:color w:val="auto"/>
                <w:sz w:val="18"/>
                <w:szCs w:val="18"/>
              </w:rPr>
            </w:pPr>
            <w:r>
              <w:rPr>
                <w:color w:val="auto"/>
                <w:sz w:val="18"/>
                <w:szCs w:val="18"/>
              </w:rPr>
              <w:t>20</w:t>
            </w:r>
          </w:p>
        </w:tc>
        <w:tc>
          <w:tcPr>
            <w:tcW w:w="1734" w:type="dxa"/>
            <w:vAlign w:val="center"/>
          </w:tcPr>
          <w:p>
            <w:pPr>
              <w:jc w:val="center"/>
              <w:rPr>
                <w:color w:val="auto"/>
                <w:sz w:val="18"/>
                <w:szCs w:val="18"/>
              </w:rPr>
            </w:pPr>
            <w:r>
              <w:rPr>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color w:val="auto"/>
                <w:kern w:val="0"/>
                <w:sz w:val="18"/>
                <w:szCs w:val="18"/>
              </w:rPr>
              <w:t>Cu</w:t>
            </w:r>
          </w:p>
        </w:tc>
        <w:tc>
          <w:tcPr>
            <w:tcW w:w="1734" w:type="dxa"/>
            <w:vAlign w:val="center"/>
          </w:tcPr>
          <w:p>
            <w:pPr>
              <w:jc w:val="center"/>
              <w:rPr>
                <w:color w:val="auto"/>
                <w:sz w:val="18"/>
                <w:szCs w:val="18"/>
              </w:rPr>
            </w:pPr>
            <w:r>
              <w:rPr>
                <w:color w:val="auto"/>
                <w:sz w:val="18"/>
                <w:szCs w:val="18"/>
              </w:rPr>
              <w:t>15</w:t>
            </w:r>
          </w:p>
        </w:tc>
        <w:tc>
          <w:tcPr>
            <w:tcW w:w="1734" w:type="dxa"/>
            <w:vAlign w:val="center"/>
          </w:tcPr>
          <w:p>
            <w:pPr>
              <w:jc w:val="center"/>
              <w:rPr>
                <w:color w:val="auto"/>
                <w:sz w:val="18"/>
                <w:szCs w:val="18"/>
              </w:rPr>
            </w:pPr>
            <w:r>
              <w:rPr>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color w:val="auto"/>
                <w:kern w:val="0"/>
                <w:sz w:val="18"/>
                <w:szCs w:val="18"/>
              </w:rPr>
              <w:t>Fe</w:t>
            </w:r>
          </w:p>
        </w:tc>
        <w:tc>
          <w:tcPr>
            <w:tcW w:w="1734" w:type="dxa"/>
            <w:vAlign w:val="center"/>
          </w:tcPr>
          <w:p>
            <w:pPr>
              <w:jc w:val="center"/>
              <w:rPr>
                <w:color w:val="auto"/>
                <w:sz w:val="18"/>
                <w:szCs w:val="18"/>
              </w:rPr>
            </w:pPr>
            <w:r>
              <w:rPr>
                <w:color w:val="auto"/>
                <w:sz w:val="18"/>
                <w:szCs w:val="18"/>
              </w:rPr>
              <w:t>20</w:t>
            </w:r>
          </w:p>
        </w:tc>
        <w:tc>
          <w:tcPr>
            <w:tcW w:w="1734" w:type="dxa"/>
            <w:vAlign w:val="center"/>
          </w:tcPr>
          <w:p>
            <w:pPr>
              <w:jc w:val="center"/>
              <w:rPr>
                <w:color w:val="auto"/>
                <w:sz w:val="18"/>
                <w:szCs w:val="18"/>
              </w:rPr>
            </w:pPr>
            <w:r>
              <w:rPr>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K</w:t>
            </w:r>
          </w:p>
        </w:tc>
        <w:tc>
          <w:tcPr>
            <w:tcW w:w="1734" w:type="dxa"/>
            <w:vAlign w:val="center"/>
          </w:tcPr>
          <w:p>
            <w:pPr>
              <w:jc w:val="center"/>
              <w:rPr>
                <w:color w:val="auto"/>
                <w:sz w:val="18"/>
                <w:szCs w:val="18"/>
              </w:rPr>
            </w:pPr>
            <w:r>
              <w:rPr>
                <w:rFonts w:hint="eastAsia"/>
                <w:color w:val="auto"/>
                <w:sz w:val="18"/>
                <w:szCs w:val="18"/>
              </w:rPr>
              <w:t>5</w:t>
            </w:r>
          </w:p>
        </w:tc>
        <w:tc>
          <w:tcPr>
            <w:tcW w:w="1734" w:type="dxa"/>
            <w:vAlign w:val="center"/>
          </w:tcPr>
          <w:p>
            <w:pPr>
              <w:jc w:val="center"/>
              <w:rPr>
                <w:color w:val="auto"/>
                <w:sz w:val="18"/>
                <w:szCs w:val="18"/>
              </w:rPr>
            </w:pP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Mg</w:t>
            </w:r>
          </w:p>
        </w:tc>
        <w:tc>
          <w:tcPr>
            <w:tcW w:w="1734" w:type="dxa"/>
            <w:vAlign w:val="center"/>
          </w:tcPr>
          <w:p>
            <w:pPr>
              <w:jc w:val="center"/>
              <w:rPr>
                <w:color w:val="auto"/>
                <w:sz w:val="18"/>
                <w:szCs w:val="18"/>
              </w:rPr>
            </w:pPr>
            <w:r>
              <w:rPr>
                <w:color w:val="auto"/>
                <w:sz w:val="18"/>
                <w:szCs w:val="18"/>
              </w:rPr>
              <w:t>10</w:t>
            </w:r>
          </w:p>
        </w:tc>
        <w:tc>
          <w:tcPr>
            <w:tcW w:w="1734" w:type="dxa"/>
            <w:vAlign w:val="center"/>
          </w:tcPr>
          <w:p>
            <w:pPr>
              <w:jc w:val="center"/>
              <w:rPr>
                <w:color w:val="auto"/>
                <w:sz w:val="18"/>
                <w:szCs w:val="18"/>
              </w:rPr>
            </w:pPr>
            <w:r>
              <w:rPr>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M</w:t>
            </w:r>
            <w:r>
              <w:rPr>
                <w:color w:val="auto"/>
                <w:kern w:val="0"/>
                <w:sz w:val="18"/>
                <w:szCs w:val="18"/>
              </w:rPr>
              <w:t>n</w:t>
            </w:r>
          </w:p>
        </w:tc>
        <w:tc>
          <w:tcPr>
            <w:tcW w:w="1734" w:type="dxa"/>
            <w:vAlign w:val="center"/>
          </w:tcPr>
          <w:p>
            <w:pPr>
              <w:jc w:val="center"/>
              <w:rPr>
                <w:color w:val="auto"/>
                <w:sz w:val="18"/>
                <w:szCs w:val="18"/>
              </w:rPr>
            </w:pPr>
            <w:r>
              <w:rPr>
                <w:rFonts w:hint="eastAsia"/>
                <w:color w:val="auto"/>
                <w:sz w:val="18"/>
                <w:szCs w:val="18"/>
              </w:rPr>
              <w:t>5</w:t>
            </w:r>
          </w:p>
        </w:tc>
        <w:tc>
          <w:tcPr>
            <w:tcW w:w="1734" w:type="dxa"/>
            <w:vAlign w:val="center"/>
          </w:tcPr>
          <w:p>
            <w:pPr>
              <w:jc w:val="center"/>
              <w:rPr>
                <w:color w:val="auto"/>
                <w:sz w:val="18"/>
                <w:szCs w:val="18"/>
              </w:rPr>
            </w:pP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Na</w:t>
            </w:r>
          </w:p>
        </w:tc>
        <w:tc>
          <w:tcPr>
            <w:tcW w:w="1734" w:type="dxa"/>
            <w:vAlign w:val="center"/>
          </w:tcPr>
          <w:p>
            <w:pPr>
              <w:jc w:val="center"/>
              <w:rPr>
                <w:color w:val="auto"/>
                <w:sz w:val="18"/>
                <w:szCs w:val="18"/>
              </w:rPr>
            </w:pPr>
            <w:r>
              <w:rPr>
                <w:rFonts w:hint="eastAsia"/>
                <w:color w:val="auto"/>
                <w:sz w:val="18"/>
                <w:szCs w:val="18"/>
              </w:rPr>
              <w:t>5</w:t>
            </w:r>
          </w:p>
        </w:tc>
        <w:tc>
          <w:tcPr>
            <w:tcW w:w="1734" w:type="dxa"/>
            <w:vAlign w:val="center"/>
          </w:tcPr>
          <w:p>
            <w:pPr>
              <w:jc w:val="center"/>
              <w:rPr>
                <w:color w:val="auto"/>
                <w:sz w:val="18"/>
                <w:szCs w:val="18"/>
              </w:rPr>
            </w:pP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P</w:t>
            </w:r>
          </w:p>
        </w:tc>
        <w:tc>
          <w:tcPr>
            <w:tcW w:w="1734" w:type="dxa"/>
            <w:vAlign w:val="center"/>
          </w:tcPr>
          <w:p>
            <w:pPr>
              <w:jc w:val="center"/>
              <w:rPr>
                <w:color w:val="auto"/>
                <w:sz w:val="18"/>
                <w:szCs w:val="18"/>
              </w:rPr>
            </w:pPr>
            <w:r>
              <w:rPr>
                <w:rFonts w:hint="eastAsia"/>
                <w:color w:val="auto"/>
                <w:sz w:val="18"/>
                <w:szCs w:val="18"/>
              </w:rPr>
              <w:t>1</w:t>
            </w:r>
            <w:r>
              <w:rPr>
                <w:color w:val="auto"/>
                <w:sz w:val="18"/>
                <w:szCs w:val="18"/>
              </w:rPr>
              <w:t>0</w:t>
            </w:r>
          </w:p>
        </w:tc>
        <w:tc>
          <w:tcPr>
            <w:tcW w:w="1734" w:type="dxa"/>
            <w:vAlign w:val="center"/>
          </w:tcPr>
          <w:p>
            <w:pPr>
              <w:jc w:val="center"/>
              <w:rPr>
                <w:color w:val="auto"/>
                <w:sz w:val="18"/>
                <w:szCs w:val="18"/>
              </w:rPr>
            </w:pPr>
            <w:r>
              <w:rPr>
                <w:rFonts w:hint="eastAsia"/>
                <w:color w:val="auto"/>
                <w:sz w:val="18"/>
                <w:szCs w:val="18"/>
              </w:rPr>
              <w:t>1</w:t>
            </w:r>
            <w:r>
              <w:rPr>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color w:val="auto"/>
                <w:kern w:val="0"/>
                <w:sz w:val="18"/>
                <w:szCs w:val="18"/>
              </w:rPr>
              <w:t>Pb</w:t>
            </w:r>
          </w:p>
        </w:tc>
        <w:tc>
          <w:tcPr>
            <w:tcW w:w="1734" w:type="dxa"/>
            <w:vAlign w:val="center"/>
          </w:tcPr>
          <w:p>
            <w:pPr>
              <w:jc w:val="center"/>
              <w:rPr>
                <w:color w:val="auto"/>
                <w:sz w:val="18"/>
                <w:szCs w:val="18"/>
              </w:rPr>
            </w:pPr>
            <w:r>
              <w:rPr>
                <w:color w:val="auto"/>
                <w:sz w:val="18"/>
                <w:szCs w:val="18"/>
              </w:rPr>
              <w:t>2</w:t>
            </w:r>
          </w:p>
        </w:tc>
        <w:tc>
          <w:tcPr>
            <w:tcW w:w="1734" w:type="dxa"/>
            <w:vAlign w:val="center"/>
          </w:tcPr>
          <w:p>
            <w:pPr>
              <w:jc w:val="center"/>
              <w:rPr>
                <w:color w:val="auto"/>
                <w:sz w:val="18"/>
                <w:szCs w:val="18"/>
              </w:rPr>
            </w:pPr>
            <w:r>
              <w:rPr>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S</w:t>
            </w:r>
            <w:r>
              <w:rPr>
                <w:color w:val="auto"/>
                <w:kern w:val="0"/>
                <w:sz w:val="18"/>
                <w:szCs w:val="18"/>
              </w:rPr>
              <w:t>b</w:t>
            </w:r>
          </w:p>
        </w:tc>
        <w:tc>
          <w:tcPr>
            <w:tcW w:w="1734" w:type="dxa"/>
            <w:vAlign w:val="center"/>
          </w:tcPr>
          <w:p>
            <w:pPr>
              <w:jc w:val="center"/>
              <w:rPr>
                <w:color w:val="auto"/>
                <w:sz w:val="18"/>
                <w:szCs w:val="18"/>
              </w:rPr>
            </w:pPr>
            <w:r>
              <w:rPr>
                <w:rFonts w:hint="eastAsia"/>
                <w:color w:val="auto"/>
                <w:sz w:val="18"/>
                <w:szCs w:val="18"/>
              </w:rPr>
              <w:t>3</w:t>
            </w:r>
          </w:p>
        </w:tc>
        <w:tc>
          <w:tcPr>
            <w:tcW w:w="1734" w:type="dxa"/>
            <w:vAlign w:val="center"/>
          </w:tcPr>
          <w:p>
            <w:pPr>
              <w:jc w:val="center"/>
              <w:rPr>
                <w:color w:val="auto"/>
                <w:sz w:val="18"/>
                <w:szCs w:val="18"/>
              </w:rPr>
            </w:pPr>
            <w:r>
              <w:rPr>
                <w:rFonts w:hint="eastAsia"/>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S</w:t>
            </w:r>
            <w:r>
              <w:rPr>
                <w:color w:val="auto"/>
                <w:kern w:val="0"/>
                <w:sz w:val="18"/>
                <w:szCs w:val="18"/>
              </w:rPr>
              <w:t>i</w:t>
            </w:r>
          </w:p>
        </w:tc>
        <w:tc>
          <w:tcPr>
            <w:tcW w:w="1734" w:type="dxa"/>
            <w:vAlign w:val="center"/>
          </w:tcPr>
          <w:p>
            <w:pPr>
              <w:jc w:val="center"/>
              <w:rPr>
                <w:color w:val="auto"/>
                <w:sz w:val="18"/>
                <w:szCs w:val="18"/>
              </w:rPr>
            </w:pPr>
            <w:r>
              <w:rPr>
                <w:rFonts w:hint="eastAsia"/>
                <w:color w:val="auto"/>
                <w:sz w:val="18"/>
                <w:szCs w:val="18"/>
              </w:rPr>
              <w:t>1</w:t>
            </w:r>
            <w:r>
              <w:rPr>
                <w:color w:val="auto"/>
                <w:sz w:val="18"/>
                <w:szCs w:val="18"/>
              </w:rPr>
              <w:t>0</w:t>
            </w:r>
          </w:p>
        </w:tc>
        <w:tc>
          <w:tcPr>
            <w:tcW w:w="1734" w:type="dxa"/>
            <w:vAlign w:val="center"/>
          </w:tcPr>
          <w:p>
            <w:pPr>
              <w:jc w:val="center"/>
              <w:rPr>
                <w:color w:val="auto"/>
                <w:sz w:val="18"/>
                <w:szCs w:val="18"/>
              </w:rPr>
            </w:pPr>
            <w:r>
              <w:rPr>
                <w:rFonts w:hint="eastAsia"/>
                <w:color w:val="auto"/>
                <w:sz w:val="18"/>
                <w:szCs w:val="18"/>
              </w:rPr>
              <w:t>1</w:t>
            </w:r>
            <w:r>
              <w:rPr>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Sn</w:t>
            </w:r>
          </w:p>
        </w:tc>
        <w:tc>
          <w:tcPr>
            <w:tcW w:w="1734" w:type="dxa"/>
            <w:vAlign w:val="center"/>
          </w:tcPr>
          <w:p>
            <w:pPr>
              <w:jc w:val="center"/>
              <w:rPr>
                <w:color w:val="auto"/>
                <w:sz w:val="18"/>
                <w:szCs w:val="18"/>
              </w:rPr>
            </w:pPr>
            <w:r>
              <w:rPr>
                <w:color w:val="auto"/>
                <w:sz w:val="18"/>
                <w:szCs w:val="18"/>
              </w:rPr>
              <w:t>3</w:t>
            </w:r>
          </w:p>
        </w:tc>
        <w:tc>
          <w:tcPr>
            <w:tcW w:w="1734" w:type="dxa"/>
            <w:vAlign w:val="center"/>
          </w:tcPr>
          <w:p>
            <w:pPr>
              <w:jc w:val="center"/>
              <w:rPr>
                <w:color w:val="auto"/>
                <w:sz w:val="18"/>
                <w:szCs w:val="18"/>
              </w:rPr>
            </w:pPr>
            <w:r>
              <w:rPr>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color w:val="auto"/>
                <w:kern w:val="0"/>
                <w:sz w:val="18"/>
                <w:szCs w:val="18"/>
              </w:rPr>
              <w:t>Zn</w:t>
            </w:r>
          </w:p>
        </w:tc>
        <w:tc>
          <w:tcPr>
            <w:tcW w:w="1734" w:type="dxa"/>
            <w:vAlign w:val="center"/>
          </w:tcPr>
          <w:p>
            <w:pPr>
              <w:jc w:val="center"/>
              <w:rPr>
                <w:color w:val="auto"/>
                <w:sz w:val="18"/>
                <w:szCs w:val="18"/>
              </w:rPr>
            </w:pPr>
            <w:r>
              <w:rPr>
                <w:color w:val="auto"/>
                <w:sz w:val="18"/>
                <w:szCs w:val="18"/>
              </w:rPr>
              <w:t>3</w:t>
            </w:r>
          </w:p>
        </w:tc>
        <w:tc>
          <w:tcPr>
            <w:tcW w:w="1734" w:type="dxa"/>
            <w:vAlign w:val="center"/>
          </w:tcPr>
          <w:p>
            <w:pPr>
              <w:jc w:val="center"/>
              <w:rPr>
                <w:color w:val="auto"/>
                <w:sz w:val="18"/>
                <w:szCs w:val="18"/>
              </w:rPr>
            </w:pPr>
            <w:r>
              <w:rPr>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vAlign w:val="center"/>
          </w:tcPr>
          <w:p>
            <w:pPr>
              <w:jc w:val="center"/>
              <w:rPr>
                <w:color w:val="auto"/>
                <w:sz w:val="18"/>
                <w:szCs w:val="18"/>
              </w:rPr>
            </w:pPr>
          </w:p>
        </w:tc>
        <w:tc>
          <w:tcPr>
            <w:tcW w:w="1530" w:type="dxa"/>
            <w:vAlign w:val="center"/>
          </w:tcPr>
          <w:p>
            <w:pPr>
              <w:widowControl/>
              <w:jc w:val="center"/>
              <w:rPr>
                <w:color w:val="auto"/>
                <w:kern w:val="0"/>
                <w:sz w:val="18"/>
                <w:szCs w:val="18"/>
              </w:rPr>
            </w:pPr>
            <w:r>
              <w:rPr>
                <w:rFonts w:hint="eastAsia"/>
                <w:color w:val="auto"/>
                <w:kern w:val="0"/>
                <w:sz w:val="18"/>
                <w:szCs w:val="18"/>
              </w:rPr>
              <w:t>V</w:t>
            </w:r>
          </w:p>
        </w:tc>
        <w:tc>
          <w:tcPr>
            <w:tcW w:w="1734" w:type="dxa"/>
            <w:vAlign w:val="center"/>
          </w:tcPr>
          <w:p>
            <w:pPr>
              <w:jc w:val="center"/>
              <w:rPr>
                <w:color w:val="auto"/>
                <w:sz w:val="18"/>
                <w:szCs w:val="18"/>
              </w:rPr>
            </w:pPr>
            <w:r>
              <w:rPr>
                <w:color w:val="auto"/>
                <w:sz w:val="18"/>
                <w:szCs w:val="18"/>
              </w:rPr>
              <w:t>20</w:t>
            </w:r>
          </w:p>
        </w:tc>
        <w:tc>
          <w:tcPr>
            <w:tcW w:w="1734" w:type="dxa"/>
            <w:vAlign w:val="center"/>
          </w:tcPr>
          <w:p>
            <w:pPr>
              <w:jc w:val="center"/>
              <w:rPr>
                <w:color w:val="auto"/>
                <w:sz w:val="18"/>
                <w:szCs w:val="18"/>
              </w:rPr>
            </w:pPr>
            <w:r>
              <w:rPr>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1" w:type="dxa"/>
            <w:gridSpan w:val="2"/>
            <w:vAlign w:val="center"/>
          </w:tcPr>
          <w:p>
            <w:pPr>
              <w:jc w:val="center"/>
              <w:rPr>
                <w:color w:val="auto"/>
                <w:sz w:val="18"/>
                <w:szCs w:val="18"/>
              </w:rPr>
            </w:pPr>
            <w:r>
              <w:rPr>
                <w:color w:val="auto"/>
                <w:sz w:val="18"/>
                <w:szCs w:val="18"/>
              </w:rPr>
              <w:t>杂质总</w:t>
            </w:r>
            <w:r>
              <w:rPr>
                <w:rFonts w:hint="eastAsia"/>
                <w:color w:val="auto"/>
                <w:sz w:val="18"/>
                <w:szCs w:val="18"/>
              </w:rPr>
              <w:t>和</w:t>
            </w:r>
            <w:r>
              <w:rPr>
                <w:color w:val="auto"/>
                <w:sz w:val="18"/>
                <w:szCs w:val="18"/>
                <w:vertAlign w:val="superscript"/>
              </w:rPr>
              <w:t>b</w:t>
            </w:r>
            <w:r>
              <w:rPr>
                <w:color w:val="auto"/>
                <w:sz w:val="18"/>
                <w:szCs w:val="18"/>
              </w:rPr>
              <w:t>（质量分</w:t>
            </w:r>
            <w:r>
              <w:rPr>
                <w:color w:val="auto"/>
                <w:sz w:val="18"/>
                <w:szCs w:val="18"/>
              </w:rPr>
              <w:t>数）</w:t>
            </w:r>
            <w:r>
              <w:rPr>
                <w:rFonts w:hint="eastAsia"/>
                <w:color w:val="auto"/>
                <w:sz w:val="18"/>
                <w:szCs w:val="18"/>
              </w:rPr>
              <w:t>，</w:t>
            </w:r>
            <w:r>
              <w:rPr>
                <w:color w:val="auto"/>
                <w:sz w:val="18"/>
                <w:szCs w:val="18"/>
              </w:rPr>
              <w:t>不大于</w:t>
            </w:r>
          </w:p>
          <w:p>
            <w:pPr>
              <w:jc w:val="center"/>
              <w:rPr>
                <w:color w:val="auto"/>
                <w:sz w:val="18"/>
                <w:szCs w:val="18"/>
              </w:rPr>
            </w:pPr>
            <w:r>
              <w:rPr>
                <w:color w:val="auto"/>
                <w:sz w:val="18"/>
                <w:szCs w:val="18"/>
              </w:rPr>
              <w:t>（×10</w:t>
            </w:r>
            <w:r>
              <w:rPr>
                <w:color w:val="auto"/>
                <w:sz w:val="18"/>
                <w:szCs w:val="18"/>
                <w:vertAlign w:val="superscript"/>
              </w:rPr>
              <w:t>-4</w:t>
            </w:r>
            <w:r>
              <w:rPr>
                <w:color w:val="auto"/>
                <w:sz w:val="18"/>
                <w:szCs w:val="18"/>
              </w:rPr>
              <w:t>）%</w:t>
            </w:r>
          </w:p>
        </w:tc>
        <w:tc>
          <w:tcPr>
            <w:tcW w:w="1734" w:type="dxa"/>
            <w:vAlign w:val="center"/>
          </w:tcPr>
          <w:p>
            <w:pPr>
              <w:jc w:val="center"/>
              <w:rPr>
                <w:color w:val="auto"/>
                <w:sz w:val="18"/>
                <w:szCs w:val="18"/>
              </w:rPr>
            </w:pPr>
            <w:r>
              <w:rPr>
                <w:color w:val="auto"/>
                <w:sz w:val="18"/>
                <w:szCs w:val="18"/>
              </w:rPr>
              <w:t>100</w:t>
            </w:r>
          </w:p>
        </w:tc>
        <w:tc>
          <w:tcPr>
            <w:tcW w:w="1734" w:type="dxa"/>
            <w:vAlign w:val="center"/>
          </w:tcPr>
          <w:p>
            <w:pPr>
              <w:jc w:val="center"/>
              <w:rPr>
                <w:color w:val="auto"/>
                <w:sz w:val="18"/>
                <w:szCs w:val="18"/>
              </w:rPr>
            </w:pPr>
            <w:r>
              <w:rPr>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59" w:type="dxa"/>
            <w:gridSpan w:val="4"/>
            <w:vAlign w:val="center"/>
          </w:tcPr>
          <w:p>
            <w:pPr>
              <w:pStyle w:val="57"/>
              <w:ind w:right="113" w:rightChars="54" w:firstLine="180" w:firstLineChars="100"/>
              <w:jc w:val="left"/>
              <w:rPr>
                <w:rFonts w:ascii="Times New Roman"/>
                <w:color w:val="auto"/>
                <w:sz w:val="18"/>
                <w:szCs w:val="18"/>
              </w:rPr>
            </w:pPr>
            <w:r>
              <w:rPr>
                <w:rFonts w:ascii="Times New Roman" w:eastAsia="黑体"/>
                <w:bCs/>
                <w:color w:val="auto"/>
                <w:sz w:val="18"/>
                <w:szCs w:val="18"/>
              </w:rPr>
              <w:t>注</w:t>
            </w:r>
            <w:r>
              <w:rPr>
                <w:rFonts w:ascii="Times New Roman" w:eastAsia="黑体"/>
                <w:b/>
                <w:color w:val="auto"/>
                <w:sz w:val="18"/>
                <w:szCs w:val="18"/>
              </w:rPr>
              <w:t xml:space="preserve">: </w:t>
            </w:r>
            <w:r>
              <w:rPr>
                <w:rFonts w:ascii="Times New Roman"/>
                <w:color w:val="auto"/>
                <w:sz w:val="18"/>
                <w:szCs w:val="18"/>
              </w:rPr>
              <w:t>需方</w:t>
            </w:r>
            <w:r>
              <w:rPr>
                <w:rFonts w:hint="eastAsia" w:ascii="Times New Roman"/>
                <w:color w:val="auto"/>
                <w:sz w:val="18"/>
                <w:szCs w:val="18"/>
              </w:rPr>
              <w:t>若</w:t>
            </w:r>
            <w:r>
              <w:rPr>
                <w:rFonts w:ascii="Times New Roman"/>
                <w:color w:val="auto"/>
                <w:sz w:val="18"/>
                <w:szCs w:val="18"/>
              </w:rPr>
              <w:t>对</w:t>
            </w:r>
            <w:r>
              <w:rPr>
                <w:rFonts w:hint="eastAsia" w:ascii="Times New Roman"/>
                <w:color w:val="auto"/>
                <w:sz w:val="18"/>
                <w:szCs w:val="18"/>
              </w:rPr>
              <w:t>S含量</w:t>
            </w:r>
            <w:r>
              <w:rPr>
                <w:rFonts w:ascii="Times New Roman"/>
                <w:color w:val="auto"/>
                <w:sz w:val="18"/>
                <w:szCs w:val="18"/>
              </w:rPr>
              <w:t>和杂质</w:t>
            </w:r>
            <w:r>
              <w:rPr>
                <w:rFonts w:hint="eastAsia" w:ascii="Times New Roman"/>
                <w:color w:val="auto"/>
                <w:sz w:val="18"/>
                <w:szCs w:val="18"/>
              </w:rPr>
              <w:t>含量</w:t>
            </w:r>
            <w:r>
              <w:rPr>
                <w:rFonts w:ascii="Times New Roman"/>
                <w:color w:val="auto"/>
                <w:sz w:val="18"/>
                <w:szCs w:val="18"/>
              </w:rPr>
              <w:t>有特殊要求的，由供需双方协商</w:t>
            </w:r>
            <w:r>
              <w:rPr>
                <w:rFonts w:hint="eastAsia" w:ascii="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59" w:type="dxa"/>
            <w:gridSpan w:val="4"/>
            <w:vAlign w:val="center"/>
          </w:tcPr>
          <w:p>
            <w:pPr>
              <w:pStyle w:val="57"/>
              <w:ind w:right="113" w:rightChars="54" w:firstLine="180" w:firstLineChars="100"/>
              <w:jc w:val="left"/>
              <w:rPr>
                <w:color w:val="auto"/>
                <w:sz w:val="18"/>
                <w:szCs w:val="18"/>
              </w:rPr>
            </w:pPr>
            <w:r>
              <w:rPr>
                <w:rFonts w:hint="eastAsia" w:ascii="Times New Roman"/>
                <w:color w:val="auto"/>
                <w:sz w:val="18"/>
                <w:szCs w:val="18"/>
                <w:vertAlign w:val="superscript"/>
              </w:rPr>
              <w:t>a</w:t>
            </w:r>
            <w:r>
              <w:rPr>
                <w:rFonts w:ascii="Times New Roman"/>
                <w:color w:val="auto"/>
                <w:sz w:val="18"/>
                <w:szCs w:val="18"/>
                <w:vertAlign w:val="superscript"/>
              </w:rPr>
              <w:t xml:space="preserve"> </w:t>
            </w:r>
            <w:r>
              <w:rPr>
                <w:rFonts w:hint="eastAsia"/>
                <w:color w:val="auto"/>
                <w:sz w:val="18"/>
                <w:szCs w:val="18"/>
              </w:rPr>
              <w:t>（Ni+</w:t>
            </w:r>
            <w:r>
              <w:rPr>
                <w:color w:val="auto"/>
                <w:sz w:val="18"/>
                <w:szCs w:val="18"/>
              </w:rPr>
              <w:t>S</w:t>
            </w:r>
            <w:r>
              <w:rPr>
                <w:rFonts w:hint="eastAsia"/>
                <w:color w:val="auto"/>
                <w:sz w:val="18"/>
                <w:szCs w:val="18"/>
              </w:rPr>
              <w:t>）的</w:t>
            </w:r>
            <w:r>
              <w:rPr>
                <w:color w:val="auto"/>
                <w:sz w:val="18"/>
                <w:szCs w:val="18"/>
              </w:rPr>
              <w:t>质量分数</w:t>
            </w:r>
            <w:r>
              <w:rPr>
                <w:rFonts w:ascii="Times New Roman"/>
                <w:color w:val="auto"/>
                <w:sz w:val="18"/>
                <w:szCs w:val="18"/>
              </w:rPr>
              <w:t>为1</w:t>
            </w:r>
            <w:r>
              <w:rPr>
                <w:rFonts w:ascii="Times New Roman"/>
                <w:color w:val="auto"/>
                <w:sz w:val="18"/>
                <w:szCs w:val="18"/>
              </w:rPr>
              <w:t>00%减去</w:t>
            </w:r>
            <w:r>
              <w:rPr>
                <w:rFonts w:hint="eastAsia" w:ascii="Times New Roman"/>
                <w:color w:val="auto"/>
                <w:sz w:val="18"/>
                <w:szCs w:val="18"/>
              </w:rPr>
              <w:t>杂质总和</w:t>
            </w:r>
            <w:r>
              <w:rPr>
                <w:rFonts w:ascii="Times New Roman"/>
                <w:color w:val="auto"/>
                <w:sz w:val="18"/>
                <w:szCs w:val="18"/>
              </w:rPr>
              <w:t>。</w:t>
            </w:r>
          </w:p>
          <w:p>
            <w:pPr>
              <w:pStyle w:val="57"/>
              <w:ind w:right="113" w:rightChars="54" w:firstLine="180" w:firstLineChars="100"/>
              <w:jc w:val="left"/>
              <w:rPr>
                <w:color w:val="auto"/>
                <w:sz w:val="18"/>
                <w:szCs w:val="18"/>
              </w:rPr>
            </w:pPr>
            <w:r>
              <w:rPr>
                <w:rFonts w:ascii="Times New Roman"/>
                <w:color w:val="auto"/>
                <w:sz w:val="18"/>
                <w:szCs w:val="18"/>
                <w:vertAlign w:val="superscript"/>
              </w:rPr>
              <w:t>b</w:t>
            </w:r>
            <w:r>
              <w:rPr>
                <w:color w:val="auto"/>
                <w:sz w:val="18"/>
                <w:szCs w:val="18"/>
                <w:vertAlign w:val="superscript"/>
              </w:rPr>
              <w:t xml:space="preserve">  </w:t>
            </w:r>
            <w:r>
              <w:rPr>
                <w:color w:val="auto"/>
                <w:sz w:val="18"/>
                <w:szCs w:val="18"/>
              </w:rPr>
              <w:t>杂质总</w:t>
            </w:r>
            <w:r>
              <w:rPr>
                <w:rFonts w:hint="eastAsia"/>
                <w:color w:val="auto"/>
                <w:sz w:val="18"/>
                <w:szCs w:val="18"/>
              </w:rPr>
              <w:t>和为表中所列杂质实测值（除C杂质含量外）之和。</w:t>
            </w:r>
          </w:p>
        </w:tc>
      </w:tr>
    </w:tbl>
    <w:p>
      <w:pPr>
        <w:pStyle w:val="57"/>
        <w:ind w:firstLine="420"/>
        <w:rPr>
          <w:rFonts w:ascii="Times New Roman"/>
          <w:color w:val="auto"/>
        </w:rPr>
      </w:pPr>
    </w:p>
    <w:p>
      <w:pPr>
        <w:pStyle w:val="59"/>
        <w:tabs>
          <w:tab w:val="left" w:pos="420"/>
        </w:tabs>
        <w:spacing w:before="156" w:beforeLines="50" w:after="156" w:afterLines="50"/>
        <w:rPr>
          <w:rFonts w:ascii="Times New Roman"/>
          <w:color w:val="auto"/>
        </w:rPr>
      </w:pPr>
      <w:r>
        <w:rPr>
          <w:rFonts w:hint="eastAsia" w:ascii="Times New Roman"/>
          <w:color w:val="auto"/>
        </w:rPr>
        <w:t>外形</w:t>
      </w:r>
      <w:r>
        <w:rPr>
          <w:rFonts w:ascii="Times New Roman"/>
          <w:color w:val="auto"/>
        </w:rPr>
        <w:t>尺寸</w:t>
      </w:r>
      <w:r>
        <w:rPr>
          <w:rFonts w:hint="eastAsia" w:ascii="Times New Roman"/>
          <w:color w:val="auto"/>
        </w:rPr>
        <w:t>及其允许偏差</w:t>
      </w:r>
    </w:p>
    <w:p>
      <w:pPr>
        <w:pStyle w:val="57"/>
        <w:ind w:firstLine="407" w:firstLineChars="194"/>
        <w:rPr>
          <w:rFonts w:ascii="Times New Roman"/>
          <w:color w:val="auto"/>
        </w:rPr>
      </w:pPr>
      <w:r>
        <w:rPr>
          <w:rFonts w:ascii="Times New Roman"/>
          <w:color w:val="auto"/>
        </w:rPr>
        <w:t>镍阳极</w:t>
      </w:r>
      <w:r>
        <w:rPr>
          <w:rFonts w:ascii="Times New Roman"/>
          <w:color w:val="auto"/>
        </w:rPr>
        <w:t>外形尺寸及形位尺寸与需方使用的机台类型有</w:t>
      </w:r>
      <w:r>
        <w:rPr>
          <w:rFonts w:ascii="Times New Roman"/>
          <w:color w:val="auto"/>
        </w:rPr>
        <w:t>关，由</w:t>
      </w:r>
      <w:r>
        <w:rPr>
          <w:rFonts w:ascii="Times New Roman"/>
          <w:color w:val="auto"/>
        </w:rPr>
        <w:t>需方提供图纸确定</w:t>
      </w:r>
      <w:r>
        <w:rPr>
          <w:rFonts w:ascii="Times New Roman"/>
          <w:color w:val="auto"/>
        </w:rPr>
        <w:t>。盘状镍阳极未注公差</w:t>
      </w:r>
      <w:r>
        <w:rPr>
          <w:rFonts w:ascii="Times New Roman"/>
          <w:color w:val="auto"/>
          <w:szCs w:val="21"/>
        </w:rPr>
        <w:t>按GB/T1804</w:t>
      </w:r>
      <w:r>
        <w:rPr>
          <w:rFonts w:hint="eastAsia" w:ascii="Times New Roman"/>
          <w:color w:val="auto"/>
          <w:szCs w:val="21"/>
        </w:rPr>
        <w:t>精密</w:t>
      </w:r>
      <w:r>
        <w:rPr>
          <w:rFonts w:ascii="Times New Roman"/>
          <w:color w:val="auto"/>
          <w:szCs w:val="21"/>
        </w:rPr>
        <w:t>级</w:t>
      </w:r>
      <w:r>
        <w:rPr>
          <w:rFonts w:hint="eastAsia" w:ascii="Times New Roman"/>
          <w:color w:val="auto"/>
          <w:szCs w:val="21"/>
        </w:rPr>
        <w:t>f</w:t>
      </w:r>
      <w:r>
        <w:rPr>
          <w:rFonts w:ascii="Times New Roman"/>
          <w:color w:val="auto"/>
          <w:szCs w:val="21"/>
        </w:rPr>
        <w:t>执行，</w:t>
      </w:r>
      <w:r>
        <w:rPr>
          <w:rFonts w:ascii="Times New Roman"/>
          <w:color w:val="auto"/>
        </w:rPr>
        <w:t>应符合表2的规定</w:t>
      </w:r>
      <w:r>
        <w:rPr>
          <w:rFonts w:hint="eastAsia" w:ascii="Times New Roman"/>
          <w:color w:val="auto"/>
        </w:rPr>
        <w:t>。</w:t>
      </w:r>
    </w:p>
    <w:p>
      <w:pPr>
        <w:pStyle w:val="59"/>
        <w:numPr>
          <w:ilvl w:val="0"/>
          <w:numId w:val="0"/>
        </w:numPr>
        <w:tabs>
          <w:tab w:val="left" w:pos="420"/>
        </w:tabs>
        <w:spacing w:before="156" w:beforeLines="50" w:after="156" w:afterLines="50"/>
        <w:ind w:firstLine="2100" w:firstLineChars="1000"/>
        <w:rPr>
          <w:rFonts w:ascii="Times New Roman"/>
          <w:color w:val="auto"/>
          <w:szCs w:val="21"/>
        </w:rPr>
      </w:pPr>
      <w:r>
        <w:rPr>
          <w:rFonts w:hint="eastAsia" w:ascii="Times New Roman"/>
          <w:color w:val="auto"/>
          <w:szCs w:val="21"/>
        </w:rPr>
        <w:t>表</w:t>
      </w:r>
      <w:r>
        <w:rPr>
          <w:rFonts w:ascii="Times New Roman"/>
          <w:color w:val="auto"/>
          <w:szCs w:val="21"/>
        </w:rPr>
        <w:t xml:space="preserve">2 </w:t>
      </w:r>
      <w:r>
        <w:rPr>
          <w:rFonts w:hint="eastAsia" w:ascii="Times New Roman"/>
          <w:color w:val="auto"/>
          <w:szCs w:val="21"/>
        </w:rPr>
        <w:t>镍阳极</w:t>
      </w:r>
      <w:r>
        <w:rPr>
          <w:rFonts w:hint="eastAsia" w:ascii="Times New Roman"/>
          <w:color w:val="auto"/>
        </w:rPr>
        <w:t>外形</w:t>
      </w:r>
      <w:r>
        <w:rPr>
          <w:rFonts w:ascii="Times New Roman"/>
          <w:color w:val="auto"/>
        </w:rPr>
        <w:t>尺寸</w:t>
      </w:r>
      <w:r>
        <w:rPr>
          <w:rFonts w:hint="eastAsia" w:ascii="Times New Roman"/>
          <w:color w:val="auto"/>
        </w:rPr>
        <w:t>及其允许偏差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112"/>
        <w:gridCol w:w="1134"/>
        <w:gridCol w:w="1275"/>
        <w:gridCol w:w="136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77"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形状</w:t>
            </w:r>
          </w:p>
        </w:tc>
        <w:tc>
          <w:tcPr>
            <w:tcW w:w="4888" w:type="dxa"/>
            <w:gridSpan w:val="4"/>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盘状</w:t>
            </w:r>
          </w:p>
        </w:tc>
        <w:tc>
          <w:tcPr>
            <w:tcW w:w="1418"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粒状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77"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尺寸（</w:t>
            </w:r>
            <w:r>
              <w:rPr>
                <w:rFonts w:hint="eastAsia" w:ascii="Times New Roman"/>
                <w:i/>
                <w:iCs/>
                <w:color w:val="auto"/>
                <w:sz w:val="18"/>
                <w:szCs w:val="16"/>
              </w:rPr>
              <w:t>d</w:t>
            </w:r>
            <w:r>
              <w:rPr>
                <w:rFonts w:ascii="Times New Roman"/>
                <w:color w:val="auto"/>
                <w:sz w:val="18"/>
                <w:szCs w:val="16"/>
                <w:vertAlign w:val="subscript"/>
              </w:rPr>
              <w:t>1</w:t>
            </w:r>
            <w:r>
              <w:rPr>
                <w:rFonts w:hint="eastAsia" w:ascii="Times New Roman"/>
                <w:color w:val="auto"/>
                <w:sz w:val="18"/>
                <w:szCs w:val="16"/>
              </w:rPr>
              <w:t>～</w:t>
            </w:r>
            <w:r>
              <w:rPr>
                <w:rFonts w:hint="eastAsia" w:ascii="Times New Roman"/>
                <w:i/>
                <w:iCs/>
                <w:color w:val="auto"/>
                <w:sz w:val="18"/>
                <w:szCs w:val="16"/>
              </w:rPr>
              <w:t>d</w:t>
            </w:r>
            <w:r>
              <w:rPr>
                <w:rFonts w:ascii="Times New Roman"/>
                <w:color w:val="auto"/>
                <w:sz w:val="18"/>
                <w:szCs w:val="16"/>
                <w:vertAlign w:val="subscript"/>
              </w:rPr>
              <w:t>5</w:t>
            </w:r>
            <w:r>
              <w:rPr>
                <w:rFonts w:hint="eastAsia" w:ascii="Times New Roman"/>
                <w:color w:val="auto"/>
                <w:sz w:val="18"/>
                <w:szCs w:val="16"/>
              </w:rPr>
              <w:t>、</w:t>
            </w:r>
            <w:r>
              <w:rPr>
                <w:rFonts w:hint="eastAsia" w:ascii="Times New Roman"/>
                <w:i/>
                <w:iCs/>
                <w:color w:val="auto"/>
                <w:sz w:val="18"/>
                <w:szCs w:val="16"/>
              </w:rPr>
              <w:t>t</w:t>
            </w:r>
            <w:r>
              <w:rPr>
                <w:rFonts w:ascii="Times New Roman"/>
                <w:color w:val="auto"/>
                <w:sz w:val="18"/>
                <w:szCs w:val="16"/>
                <w:vertAlign w:val="subscript"/>
              </w:rPr>
              <w:t>1</w:t>
            </w:r>
            <w:r>
              <w:rPr>
                <w:rFonts w:hint="eastAsia" w:ascii="Times New Roman"/>
                <w:color w:val="auto"/>
                <w:sz w:val="18"/>
                <w:szCs w:val="16"/>
              </w:rPr>
              <w:t>～</w:t>
            </w:r>
            <w:r>
              <w:rPr>
                <w:rFonts w:hint="eastAsia" w:ascii="Times New Roman"/>
                <w:i/>
                <w:iCs/>
                <w:color w:val="auto"/>
                <w:sz w:val="18"/>
                <w:szCs w:val="16"/>
              </w:rPr>
              <w:t>t</w:t>
            </w:r>
            <w:r>
              <w:rPr>
                <w:rFonts w:hint="eastAsia" w:ascii="Times New Roman"/>
                <w:color w:val="auto"/>
                <w:sz w:val="18"/>
                <w:szCs w:val="16"/>
                <w:vertAlign w:val="subscript"/>
                <w:lang w:val="en-US" w:eastAsia="zh-CN"/>
              </w:rPr>
              <w:t>4</w:t>
            </w:r>
            <w:r>
              <w:rPr>
                <w:rFonts w:hint="eastAsia" w:ascii="Times New Roman"/>
                <w:color w:val="auto"/>
                <w:sz w:val="18"/>
                <w:szCs w:val="16"/>
              </w:rPr>
              <w:t>）</w:t>
            </w:r>
          </w:p>
          <w:p>
            <w:pPr>
              <w:pStyle w:val="57"/>
              <w:widowControl w:val="0"/>
              <w:ind w:firstLine="0" w:firstLineChars="0"/>
              <w:jc w:val="center"/>
              <w:rPr>
                <w:rFonts w:ascii="Times New Roman"/>
                <w:color w:val="auto"/>
                <w:sz w:val="18"/>
                <w:szCs w:val="16"/>
              </w:rPr>
            </w:pPr>
            <w:r>
              <w:rPr>
                <w:rFonts w:hint="eastAsia" w:ascii="Times New Roman"/>
                <w:color w:val="auto"/>
                <w:sz w:val="18"/>
                <w:szCs w:val="16"/>
              </w:rPr>
              <w:t>mm</w:t>
            </w:r>
          </w:p>
        </w:tc>
        <w:tc>
          <w:tcPr>
            <w:tcW w:w="1112"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0</w:t>
            </w:r>
            <w:r>
              <w:rPr>
                <w:rFonts w:ascii="Times New Roman"/>
                <w:color w:val="auto"/>
                <w:sz w:val="18"/>
                <w:szCs w:val="16"/>
              </w:rPr>
              <w:t>.5</w:t>
            </w:r>
            <w:r>
              <w:rPr>
                <w:rFonts w:hint="eastAsia" w:ascii="Times New Roman"/>
                <w:color w:val="auto"/>
                <w:sz w:val="18"/>
                <w:szCs w:val="16"/>
              </w:rPr>
              <w:t>～6</w:t>
            </w:r>
          </w:p>
        </w:tc>
        <w:tc>
          <w:tcPr>
            <w:tcW w:w="1134"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＞6～3</w:t>
            </w:r>
            <w:r>
              <w:rPr>
                <w:rFonts w:ascii="Times New Roman"/>
                <w:color w:val="auto"/>
                <w:sz w:val="18"/>
                <w:szCs w:val="16"/>
              </w:rPr>
              <w:t>0</w:t>
            </w:r>
          </w:p>
        </w:tc>
        <w:tc>
          <w:tcPr>
            <w:tcW w:w="1275"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＞3</w:t>
            </w:r>
            <w:r>
              <w:rPr>
                <w:rFonts w:ascii="Times New Roman"/>
                <w:color w:val="auto"/>
                <w:sz w:val="18"/>
                <w:szCs w:val="16"/>
              </w:rPr>
              <w:t>0</w:t>
            </w:r>
            <w:r>
              <w:rPr>
                <w:rFonts w:hint="eastAsia" w:ascii="Times New Roman"/>
                <w:color w:val="auto"/>
                <w:sz w:val="18"/>
                <w:szCs w:val="16"/>
              </w:rPr>
              <w:t>～1</w:t>
            </w:r>
            <w:r>
              <w:rPr>
                <w:rFonts w:ascii="Times New Roman"/>
                <w:color w:val="auto"/>
                <w:sz w:val="18"/>
                <w:szCs w:val="16"/>
              </w:rPr>
              <w:t>20</w:t>
            </w:r>
          </w:p>
        </w:tc>
        <w:tc>
          <w:tcPr>
            <w:tcW w:w="1367"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＞1</w:t>
            </w:r>
            <w:r>
              <w:rPr>
                <w:rFonts w:ascii="Times New Roman"/>
                <w:color w:val="auto"/>
                <w:sz w:val="18"/>
                <w:szCs w:val="16"/>
              </w:rPr>
              <w:t>20</w:t>
            </w:r>
            <w:r>
              <w:rPr>
                <w:rFonts w:hint="eastAsia" w:ascii="Times New Roman"/>
                <w:color w:val="auto"/>
                <w:sz w:val="18"/>
                <w:szCs w:val="16"/>
              </w:rPr>
              <w:t>～4</w:t>
            </w:r>
            <w:r>
              <w:rPr>
                <w:rFonts w:ascii="Times New Roman"/>
                <w:color w:val="auto"/>
                <w:sz w:val="18"/>
                <w:szCs w:val="16"/>
              </w:rPr>
              <w:t>00</w:t>
            </w:r>
          </w:p>
        </w:tc>
        <w:tc>
          <w:tcPr>
            <w:tcW w:w="1418"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2～2</w:t>
            </w:r>
            <w:r>
              <w:rPr>
                <w:rFonts w:ascii="Times New Roman"/>
                <w:color w:val="auto"/>
                <w:sz w:val="18"/>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77"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允许偏差</w:t>
            </w:r>
          </w:p>
          <w:p>
            <w:pPr>
              <w:pStyle w:val="57"/>
              <w:widowControl w:val="0"/>
              <w:ind w:firstLine="0" w:firstLineChars="0"/>
              <w:jc w:val="center"/>
              <w:rPr>
                <w:rFonts w:ascii="Times New Roman"/>
                <w:color w:val="auto"/>
                <w:sz w:val="18"/>
                <w:szCs w:val="16"/>
              </w:rPr>
            </w:pPr>
            <w:r>
              <w:rPr>
                <w:rFonts w:ascii="Times New Roman"/>
                <w:color w:val="auto"/>
                <w:sz w:val="18"/>
                <w:szCs w:val="16"/>
              </w:rPr>
              <w:t>mm</w:t>
            </w:r>
          </w:p>
        </w:tc>
        <w:tc>
          <w:tcPr>
            <w:tcW w:w="1112"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w:t>
            </w:r>
            <w:r>
              <w:rPr>
                <w:rFonts w:ascii="Times New Roman"/>
                <w:color w:val="auto"/>
                <w:sz w:val="18"/>
                <w:szCs w:val="16"/>
              </w:rPr>
              <w:t>0.05</w:t>
            </w:r>
          </w:p>
        </w:tc>
        <w:tc>
          <w:tcPr>
            <w:tcW w:w="1134"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w:t>
            </w:r>
            <w:r>
              <w:rPr>
                <w:rFonts w:ascii="Times New Roman"/>
                <w:color w:val="auto"/>
                <w:sz w:val="18"/>
                <w:szCs w:val="16"/>
              </w:rPr>
              <w:t>0.1</w:t>
            </w:r>
          </w:p>
        </w:tc>
        <w:tc>
          <w:tcPr>
            <w:tcW w:w="1275"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w:t>
            </w:r>
            <w:r>
              <w:rPr>
                <w:rFonts w:ascii="Times New Roman"/>
                <w:color w:val="auto"/>
                <w:sz w:val="18"/>
                <w:szCs w:val="16"/>
              </w:rPr>
              <w:t>0.15</w:t>
            </w:r>
          </w:p>
        </w:tc>
        <w:tc>
          <w:tcPr>
            <w:tcW w:w="1367"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±0</w:t>
            </w:r>
            <w:r>
              <w:rPr>
                <w:rFonts w:ascii="Times New Roman"/>
                <w:color w:val="auto"/>
                <w:sz w:val="18"/>
                <w:szCs w:val="16"/>
              </w:rPr>
              <w:t>.2</w:t>
            </w:r>
          </w:p>
        </w:tc>
        <w:tc>
          <w:tcPr>
            <w:tcW w:w="1418" w:type="dxa"/>
            <w:vAlign w:val="center"/>
          </w:tcPr>
          <w:p>
            <w:pPr>
              <w:pStyle w:val="57"/>
              <w:widowControl w:val="0"/>
              <w:ind w:firstLine="0" w:firstLineChars="0"/>
              <w:jc w:val="center"/>
              <w:rPr>
                <w:rFonts w:ascii="Times New Roman"/>
                <w:color w:val="auto"/>
                <w:sz w:val="18"/>
                <w:szCs w:val="16"/>
              </w:rPr>
            </w:pPr>
            <w:r>
              <w:rPr>
                <w:rFonts w:hint="eastAsia" w:ascii="Times New Roman"/>
                <w:color w:val="auto"/>
                <w:sz w:val="18"/>
                <w:szCs w:val="16"/>
              </w:rPr>
              <w:t>±0</w:t>
            </w:r>
            <w:r>
              <w:rPr>
                <w:rFonts w:ascii="Times New Roman"/>
                <w:color w:val="auto"/>
                <w:sz w:val="18"/>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83" w:type="dxa"/>
            <w:gridSpan w:val="6"/>
            <w:vAlign w:val="center"/>
          </w:tcPr>
          <w:p>
            <w:pPr>
              <w:pStyle w:val="57"/>
              <w:widowControl w:val="0"/>
              <w:ind w:firstLine="0" w:firstLineChars="0"/>
              <w:rPr>
                <w:rFonts w:ascii="Times New Roman"/>
                <w:color w:val="auto"/>
                <w:sz w:val="18"/>
                <w:szCs w:val="16"/>
              </w:rPr>
            </w:pPr>
            <w:r>
              <w:rPr>
                <w:rFonts w:hint="eastAsia" w:ascii="Times New Roman"/>
                <w:color w:val="auto"/>
                <w:sz w:val="18"/>
                <w:szCs w:val="16"/>
              </w:rPr>
              <w:t>注：经双方协商，可提供其他规格及允许偏差的镍阳极。</w:t>
            </w:r>
          </w:p>
        </w:tc>
      </w:tr>
    </w:tbl>
    <w:p>
      <w:pPr>
        <w:pStyle w:val="59"/>
        <w:tabs>
          <w:tab w:val="left" w:pos="420"/>
        </w:tabs>
        <w:spacing w:before="156" w:beforeLines="50" w:after="156" w:afterLines="50"/>
        <w:rPr>
          <w:rFonts w:ascii="Times New Roman"/>
          <w:color w:val="auto"/>
        </w:rPr>
      </w:pPr>
      <w:r>
        <w:rPr>
          <w:rFonts w:ascii="Times New Roman"/>
          <w:color w:val="auto"/>
        </w:rPr>
        <w:t>晶粒</w:t>
      </w:r>
      <w:r>
        <w:rPr>
          <w:rFonts w:hint="eastAsia" w:ascii="Times New Roman"/>
          <w:color w:val="auto"/>
        </w:rPr>
        <w:t>度</w:t>
      </w:r>
    </w:p>
    <w:p>
      <w:pPr>
        <w:pStyle w:val="57"/>
        <w:ind w:right="113" w:rightChars="54" w:firstLine="420"/>
        <w:rPr>
          <w:rFonts w:ascii="Times New Roman"/>
          <w:color w:val="auto"/>
        </w:rPr>
      </w:pPr>
      <w:r>
        <w:rPr>
          <w:rFonts w:hint="eastAsia" w:ascii="Times New Roman"/>
          <w:color w:val="auto"/>
          <w:szCs w:val="21"/>
        </w:rPr>
        <w:t>盘状</w:t>
      </w:r>
      <w:r>
        <w:rPr>
          <w:rFonts w:ascii="Times New Roman"/>
          <w:color w:val="auto"/>
          <w:szCs w:val="21"/>
        </w:rPr>
        <w:t>镍阳极</w:t>
      </w:r>
      <w:r>
        <w:rPr>
          <w:rFonts w:ascii="Times New Roman"/>
          <w:color w:val="auto"/>
        </w:rPr>
        <w:t>晶粒</w:t>
      </w:r>
      <w:r>
        <w:rPr>
          <w:rFonts w:hint="eastAsia" w:ascii="Times New Roman"/>
          <w:color w:val="auto"/>
        </w:rPr>
        <w:t>度</w:t>
      </w:r>
      <w:r>
        <w:rPr>
          <w:rFonts w:ascii="Times New Roman"/>
          <w:color w:val="auto"/>
        </w:rPr>
        <w:t>在100μm～400μm之间。</w:t>
      </w:r>
    </w:p>
    <w:p>
      <w:pPr>
        <w:pStyle w:val="57"/>
        <w:ind w:right="113" w:rightChars="54" w:firstLine="450" w:firstLineChars="250"/>
        <w:rPr>
          <w:rFonts w:ascii="Times New Roman" w:eastAsia="黑体"/>
          <w:color w:val="auto"/>
          <w:sz w:val="18"/>
          <w:szCs w:val="18"/>
        </w:rPr>
      </w:pPr>
      <w:r>
        <w:rPr>
          <w:rFonts w:ascii="Times New Roman" w:eastAsia="黑体"/>
          <w:color w:val="auto"/>
          <w:sz w:val="18"/>
          <w:szCs w:val="18"/>
        </w:rPr>
        <w:t>注：</w:t>
      </w:r>
      <w:r>
        <w:rPr>
          <w:rFonts w:asciiTheme="minorEastAsia" w:hAnsiTheme="minorEastAsia" w:eastAsiaTheme="minorEastAsia"/>
          <w:color w:val="auto"/>
          <w:sz w:val="18"/>
          <w:szCs w:val="18"/>
        </w:rPr>
        <w:t>需方有特殊要求时，由供需双方协定</w:t>
      </w:r>
      <w:r>
        <w:rPr>
          <w:rFonts w:asciiTheme="minorEastAsia" w:hAnsiTheme="minorEastAsia" w:eastAsiaTheme="minorEastAsia"/>
          <w:color w:val="auto"/>
          <w:sz w:val="18"/>
          <w:szCs w:val="18"/>
        </w:rPr>
        <w:t>。</w:t>
      </w:r>
    </w:p>
    <w:p>
      <w:pPr>
        <w:pStyle w:val="59"/>
        <w:tabs>
          <w:tab w:val="left" w:pos="420"/>
        </w:tabs>
        <w:spacing w:before="156" w:beforeLines="50" w:after="156" w:afterLines="50"/>
        <w:rPr>
          <w:rFonts w:ascii="Times New Roman"/>
          <w:color w:val="auto"/>
        </w:rPr>
      </w:pPr>
      <w:r>
        <w:rPr>
          <w:rFonts w:ascii="Times New Roman"/>
          <w:color w:val="auto"/>
        </w:rPr>
        <w:t>外观质量</w:t>
      </w:r>
    </w:p>
    <w:p>
      <w:pPr>
        <w:ind w:firstLine="420" w:firstLineChars="200"/>
        <w:rPr>
          <w:color w:val="auto"/>
          <w:szCs w:val="21"/>
        </w:rPr>
      </w:pPr>
      <w:r>
        <w:rPr>
          <w:color w:val="auto"/>
        </w:rPr>
        <w:t>镍阳极表面应清洁，</w:t>
      </w:r>
      <w:r>
        <w:rPr>
          <w:rFonts w:hint="eastAsia"/>
          <w:color w:val="auto"/>
        </w:rPr>
        <w:t>无</w:t>
      </w:r>
      <w:r>
        <w:rPr>
          <w:color w:val="auto"/>
        </w:rPr>
        <w:t>锈蚀、颗粒附着物</w:t>
      </w:r>
      <w:r>
        <w:rPr>
          <w:rFonts w:hint="eastAsia"/>
          <w:color w:val="auto"/>
        </w:rPr>
        <w:t>等影响使用的缺陷</w:t>
      </w:r>
      <w:r>
        <w:rPr>
          <w:color w:val="auto"/>
        </w:rPr>
        <w:t>。</w:t>
      </w:r>
    </w:p>
    <w:p>
      <w:pPr>
        <w:pStyle w:val="58"/>
        <w:spacing w:before="312" w:beforeLines="100" w:after="312" w:afterLines="100"/>
        <w:rPr>
          <w:rFonts w:ascii="Times New Roman"/>
          <w:color w:val="auto"/>
        </w:rPr>
      </w:pPr>
      <w:r>
        <w:rPr>
          <w:rFonts w:ascii="Times New Roman"/>
          <w:color w:val="auto"/>
        </w:rPr>
        <w:t>试验方法</w:t>
      </w:r>
    </w:p>
    <w:p>
      <w:pPr>
        <w:pStyle w:val="59"/>
        <w:tabs>
          <w:tab w:val="left" w:pos="420"/>
        </w:tabs>
        <w:spacing w:before="156" w:beforeLines="50" w:after="156" w:afterLines="50"/>
        <w:rPr>
          <w:rFonts w:ascii="Times New Roman"/>
          <w:color w:val="auto"/>
        </w:rPr>
      </w:pPr>
      <w:r>
        <w:rPr>
          <w:rFonts w:ascii="Times New Roman"/>
          <w:color w:val="auto"/>
        </w:rPr>
        <w:t>化学成分</w:t>
      </w:r>
    </w:p>
    <w:p>
      <w:pPr>
        <w:pStyle w:val="60"/>
        <w:numPr>
          <w:ilvl w:val="0"/>
          <w:numId w:val="0"/>
        </w:numPr>
        <w:tabs>
          <w:tab w:val="left" w:pos="420"/>
        </w:tabs>
        <w:spacing w:before="156" w:beforeLines="50" w:after="156" w:afterLines="50"/>
        <w:ind w:firstLine="420" w:firstLineChars="200"/>
        <w:rPr>
          <w:rFonts w:ascii="Times New Roman" w:eastAsia="宋体"/>
          <w:color w:val="auto"/>
          <w:kern w:val="2"/>
        </w:rPr>
      </w:pPr>
      <w:r>
        <w:rPr>
          <w:rFonts w:asciiTheme="majorEastAsia" w:hAnsiTheme="majorEastAsia" w:eastAsiaTheme="majorEastAsia"/>
          <w:color w:val="auto"/>
        </w:rPr>
        <w:t>镍阳极</w:t>
      </w:r>
      <w:r>
        <w:rPr>
          <w:rFonts w:hint="eastAsia" w:asciiTheme="majorEastAsia" w:hAnsiTheme="majorEastAsia" w:eastAsiaTheme="majorEastAsia"/>
          <w:color w:val="auto"/>
        </w:rPr>
        <w:t>的</w:t>
      </w:r>
      <w:r>
        <w:rPr>
          <w:rFonts w:ascii="Times New Roman" w:eastAsia="宋体"/>
          <w:color w:val="auto"/>
          <w:kern w:val="2"/>
        </w:rPr>
        <w:t>硫含量</w:t>
      </w:r>
      <w:r>
        <w:rPr>
          <w:rFonts w:hint="eastAsia" w:ascii="Times New Roman" w:eastAsia="宋体"/>
          <w:color w:val="auto"/>
          <w:kern w:val="2"/>
        </w:rPr>
        <w:t>及</w:t>
      </w:r>
      <w:r>
        <w:rPr>
          <w:rFonts w:ascii="Times New Roman" w:eastAsia="宋体"/>
          <w:color w:val="auto"/>
          <w:kern w:val="2"/>
        </w:rPr>
        <w:t>杂质元素</w:t>
      </w:r>
      <w:r>
        <w:rPr>
          <w:rFonts w:ascii="宋体" w:hAnsi="宋体" w:eastAsia="宋体"/>
          <w:color w:val="auto"/>
        </w:rPr>
        <w:t xml:space="preserve">按照GB/T </w:t>
      </w:r>
      <w:r>
        <w:rPr>
          <w:rFonts w:hint="eastAsia" w:ascii="宋体" w:hAnsi="宋体" w:eastAsia="宋体"/>
          <w:color w:val="auto"/>
        </w:rPr>
        <w:t>8</w:t>
      </w:r>
      <w:r>
        <w:rPr>
          <w:rFonts w:ascii="宋体" w:hAnsi="宋体" w:eastAsia="宋体"/>
          <w:color w:val="auto"/>
        </w:rPr>
        <w:t>6</w:t>
      </w:r>
      <w:r>
        <w:rPr>
          <w:rFonts w:ascii="宋体" w:hAnsi="宋体" w:eastAsia="宋体"/>
          <w:color w:val="auto"/>
        </w:rPr>
        <w:t>47规定的方法</w:t>
      </w:r>
      <w:r>
        <w:rPr>
          <w:rFonts w:hint="eastAsia" w:ascii="宋体" w:hAnsi="宋体" w:eastAsia="宋体"/>
          <w:color w:val="auto"/>
        </w:rPr>
        <w:t>进行</w:t>
      </w:r>
      <w:r>
        <w:rPr>
          <w:rFonts w:ascii="宋体" w:hAnsi="宋体" w:eastAsia="宋体"/>
          <w:color w:val="auto"/>
        </w:rPr>
        <w:t>检测。</w:t>
      </w:r>
    </w:p>
    <w:p>
      <w:pPr>
        <w:pStyle w:val="59"/>
        <w:tabs>
          <w:tab w:val="left" w:pos="420"/>
        </w:tabs>
        <w:spacing w:before="156" w:beforeLines="50" w:after="156" w:afterLines="50"/>
        <w:rPr>
          <w:rFonts w:ascii="Times New Roman"/>
          <w:color w:val="auto"/>
        </w:rPr>
      </w:pPr>
      <w:r>
        <w:rPr>
          <w:rFonts w:hint="eastAsia" w:ascii="Times New Roman"/>
          <w:color w:val="auto"/>
        </w:rPr>
        <w:t>外形尺寸及允许偏差</w:t>
      </w:r>
    </w:p>
    <w:p>
      <w:pPr>
        <w:pStyle w:val="57"/>
        <w:ind w:firstLine="420"/>
        <w:rPr>
          <w:rFonts w:ascii="Times New Roman"/>
          <w:color w:val="auto"/>
        </w:rPr>
      </w:pPr>
      <w:r>
        <w:rPr>
          <w:rFonts w:ascii="Times New Roman"/>
          <w:color w:val="auto"/>
        </w:rPr>
        <w:t>镍阳极外形尺寸的测量</w:t>
      </w:r>
      <w:r>
        <w:rPr>
          <w:rFonts w:hint="eastAsia"/>
          <w:bCs/>
          <w:color w:val="auto"/>
          <w:szCs w:val="21"/>
        </w:rPr>
        <w:t>采用</w:t>
      </w:r>
      <w:r>
        <w:rPr>
          <w:bCs/>
          <w:color w:val="auto"/>
          <w:szCs w:val="21"/>
        </w:rPr>
        <w:t>三坐标测</w:t>
      </w:r>
      <w:r>
        <w:rPr>
          <w:rFonts w:hint="eastAsia"/>
          <w:bCs/>
          <w:color w:val="auto"/>
          <w:szCs w:val="21"/>
        </w:rPr>
        <w:t>量</w:t>
      </w:r>
      <w:r>
        <w:rPr>
          <w:bCs/>
          <w:color w:val="auto"/>
          <w:szCs w:val="21"/>
        </w:rPr>
        <w:t>仪</w:t>
      </w:r>
      <w:r>
        <w:rPr>
          <w:rFonts w:hint="eastAsia"/>
          <w:bCs/>
          <w:color w:val="auto"/>
          <w:szCs w:val="21"/>
        </w:rPr>
        <w:t>，按照加工图纸标识尺寸进行</w:t>
      </w:r>
      <w:r>
        <w:rPr>
          <w:rFonts w:hint="eastAsia" w:hAnsi="宋体"/>
          <w:color w:val="auto"/>
          <w:szCs w:val="21"/>
        </w:rPr>
        <w:t>测量</w:t>
      </w:r>
      <w:r>
        <w:rPr>
          <w:rFonts w:hint="eastAsia"/>
          <w:bCs/>
          <w:color w:val="auto"/>
          <w:szCs w:val="21"/>
        </w:rPr>
        <w:t>，其测量精度为0.001mm</w:t>
      </w:r>
      <w:r>
        <w:rPr>
          <w:rFonts w:ascii="Times New Roman"/>
          <w:color w:val="auto"/>
        </w:rPr>
        <w:t>。</w:t>
      </w:r>
    </w:p>
    <w:p>
      <w:pPr>
        <w:pStyle w:val="59"/>
        <w:tabs>
          <w:tab w:val="left" w:pos="420"/>
        </w:tabs>
        <w:spacing w:before="156" w:beforeLines="50" w:after="156" w:afterLines="50"/>
        <w:rPr>
          <w:rFonts w:ascii="Times New Roman"/>
          <w:color w:val="auto"/>
        </w:rPr>
      </w:pPr>
      <w:r>
        <w:rPr>
          <w:rFonts w:ascii="Times New Roman"/>
          <w:color w:val="auto"/>
        </w:rPr>
        <w:t>晶粒</w:t>
      </w:r>
      <w:r>
        <w:rPr>
          <w:rFonts w:hint="eastAsia" w:ascii="Times New Roman"/>
          <w:color w:val="auto"/>
        </w:rPr>
        <w:t>度</w:t>
      </w:r>
    </w:p>
    <w:p>
      <w:pPr>
        <w:pStyle w:val="57"/>
        <w:ind w:firstLine="420"/>
        <w:rPr>
          <w:rFonts w:ascii="Times New Roman"/>
          <w:color w:val="auto"/>
        </w:rPr>
      </w:pPr>
      <w:r>
        <w:rPr>
          <w:rFonts w:ascii="Times New Roman"/>
          <w:color w:val="auto"/>
        </w:rPr>
        <w:t>镍阳极</w:t>
      </w:r>
      <w:r>
        <w:rPr>
          <w:rFonts w:hint="eastAsia" w:ascii="Times New Roman"/>
          <w:color w:val="auto"/>
        </w:rPr>
        <w:t>的</w:t>
      </w:r>
      <w:r>
        <w:rPr>
          <w:rFonts w:ascii="Times New Roman"/>
          <w:color w:val="auto"/>
        </w:rPr>
        <w:t>晶粒</w:t>
      </w:r>
      <w:r>
        <w:rPr>
          <w:rFonts w:hint="eastAsia" w:ascii="Times New Roman"/>
          <w:color w:val="auto"/>
        </w:rPr>
        <w:t>度</w:t>
      </w:r>
      <w:r>
        <w:rPr>
          <w:rFonts w:ascii="Times New Roman"/>
          <w:color w:val="auto"/>
        </w:rPr>
        <w:t>按照GB/T 6394的规定进行</w:t>
      </w:r>
      <w:r>
        <w:rPr>
          <w:rFonts w:hint="eastAsia" w:ascii="Times New Roman"/>
          <w:color w:val="auto"/>
        </w:rPr>
        <w:t>测定</w:t>
      </w:r>
      <w:r>
        <w:rPr>
          <w:rFonts w:ascii="Times New Roman"/>
          <w:color w:val="auto"/>
        </w:rPr>
        <w:t>。</w:t>
      </w:r>
    </w:p>
    <w:p>
      <w:pPr>
        <w:pStyle w:val="59"/>
        <w:tabs>
          <w:tab w:val="left" w:pos="420"/>
        </w:tabs>
        <w:spacing w:before="156" w:beforeLines="50" w:after="156" w:afterLines="50"/>
        <w:rPr>
          <w:rFonts w:ascii="Times New Roman"/>
          <w:color w:val="auto"/>
        </w:rPr>
      </w:pPr>
      <w:r>
        <w:rPr>
          <w:rFonts w:ascii="Times New Roman"/>
          <w:color w:val="auto"/>
        </w:rPr>
        <w:t>外观质量</w:t>
      </w:r>
    </w:p>
    <w:p>
      <w:pPr>
        <w:pStyle w:val="59"/>
        <w:numPr>
          <w:ilvl w:val="0"/>
          <w:numId w:val="0"/>
        </w:numPr>
        <w:tabs>
          <w:tab w:val="left" w:pos="420"/>
        </w:tabs>
        <w:spacing w:before="156" w:beforeLines="50" w:after="156" w:afterLines="50"/>
        <w:rPr>
          <w:rFonts w:ascii="Times New Roman"/>
          <w:color w:val="auto"/>
        </w:rPr>
      </w:pPr>
      <w:r>
        <w:rPr>
          <w:rFonts w:ascii="Times New Roman" w:eastAsia="宋体"/>
          <w:color w:val="auto"/>
        </w:rPr>
        <w:tab/>
      </w:r>
      <w:bookmarkStart w:id="7" w:name="_Hlk104546964"/>
      <w:r>
        <w:rPr>
          <w:rFonts w:ascii="宋体" w:hAnsi="宋体" w:eastAsia="宋体"/>
          <w:color w:val="auto"/>
        </w:rPr>
        <w:t>镍阳极</w:t>
      </w:r>
      <w:bookmarkEnd w:id="7"/>
      <w:r>
        <w:rPr>
          <w:rFonts w:hint="eastAsia" w:ascii="宋体" w:hAnsi="宋体" w:eastAsia="宋体"/>
          <w:color w:val="auto"/>
        </w:rPr>
        <w:t>的</w:t>
      </w:r>
      <w:r>
        <w:rPr>
          <w:rFonts w:ascii="宋体" w:hAnsi="宋体" w:eastAsia="宋体"/>
          <w:color w:val="auto"/>
        </w:rPr>
        <w:t>外观质量</w:t>
      </w:r>
      <w:r>
        <w:rPr>
          <w:rFonts w:ascii="Times New Roman" w:eastAsia="宋体"/>
          <w:color w:val="auto"/>
        </w:rPr>
        <w:t>用</w:t>
      </w:r>
      <w:r>
        <w:rPr>
          <w:rFonts w:ascii="Times New Roman" w:eastAsia="宋体"/>
          <w:color w:val="auto"/>
        </w:rPr>
        <w:t>目视检查，如发现异常现象，</w:t>
      </w:r>
      <w:r>
        <w:rPr>
          <w:rFonts w:hint="eastAsia" w:ascii="Times New Roman" w:eastAsia="宋体"/>
          <w:color w:val="auto"/>
        </w:rPr>
        <w:t>用放大镜或手持显微放大镜</w:t>
      </w:r>
      <w:r>
        <w:rPr>
          <w:rFonts w:ascii="Times New Roman" w:eastAsia="宋体"/>
          <w:color w:val="auto"/>
        </w:rPr>
        <w:t xml:space="preserve">进行检查。 </w:t>
      </w:r>
    </w:p>
    <w:p>
      <w:pPr>
        <w:pStyle w:val="58"/>
        <w:spacing w:before="312" w:beforeLines="100" w:after="312" w:afterLines="100"/>
        <w:rPr>
          <w:rFonts w:ascii="Times New Roman"/>
          <w:color w:val="auto"/>
        </w:rPr>
      </w:pPr>
      <w:r>
        <w:rPr>
          <w:rFonts w:ascii="Times New Roman"/>
          <w:color w:val="auto"/>
        </w:rPr>
        <w:t>检验规则</w:t>
      </w:r>
    </w:p>
    <w:p>
      <w:pPr>
        <w:pStyle w:val="59"/>
        <w:tabs>
          <w:tab w:val="left" w:pos="420"/>
        </w:tabs>
        <w:spacing w:before="156" w:beforeLines="50" w:after="156" w:afterLines="50"/>
        <w:rPr>
          <w:rFonts w:ascii="Times New Roman"/>
          <w:color w:val="auto"/>
        </w:rPr>
      </w:pPr>
      <w:r>
        <w:rPr>
          <w:rFonts w:ascii="Times New Roman"/>
          <w:color w:val="auto"/>
        </w:rPr>
        <w:t>检验和验收</w:t>
      </w:r>
    </w:p>
    <w:p>
      <w:pPr>
        <w:pStyle w:val="60"/>
        <w:tabs>
          <w:tab w:val="left" w:pos="420"/>
        </w:tabs>
        <w:spacing w:before="156" w:beforeLines="50" w:after="156" w:afterLines="50"/>
        <w:rPr>
          <w:rFonts w:ascii="Times New Roman" w:eastAsia="宋体"/>
          <w:color w:val="auto"/>
        </w:rPr>
      </w:pPr>
      <w:r>
        <w:rPr>
          <w:rFonts w:ascii="宋体" w:hAnsi="宋体" w:eastAsia="宋体"/>
          <w:color w:val="auto"/>
        </w:rPr>
        <w:t>镍阳极</w:t>
      </w:r>
      <w:r>
        <w:rPr>
          <w:rFonts w:ascii="Times New Roman" w:eastAsia="宋体"/>
          <w:color w:val="auto"/>
        </w:rPr>
        <w:t>应由供方检验部门进行检验，保证产品质量符合</w:t>
      </w:r>
      <w:bookmarkStart w:id="8" w:name="OLE_LINK1"/>
      <w:r>
        <w:rPr>
          <w:rFonts w:ascii="Times New Roman" w:eastAsia="宋体"/>
          <w:color w:val="auto"/>
        </w:rPr>
        <w:t>本文件及订货单</w:t>
      </w:r>
      <w:bookmarkEnd w:id="8"/>
      <w:r>
        <w:rPr>
          <w:rFonts w:ascii="Times New Roman" w:eastAsia="宋体"/>
          <w:color w:val="auto"/>
        </w:rPr>
        <w:t>的规定。</w:t>
      </w:r>
    </w:p>
    <w:p>
      <w:pPr>
        <w:pStyle w:val="60"/>
        <w:tabs>
          <w:tab w:val="left" w:pos="420"/>
        </w:tabs>
        <w:spacing w:before="156" w:beforeLines="50" w:after="156" w:afterLines="50"/>
        <w:rPr>
          <w:rFonts w:ascii="Times New Roman" w:eastAsia="宋体"/>
          <w:color w:val="auto"/>
        </w:rPr>
      </w:pPr>
      <w:r>
        <w:rPr>
          <w:rFonts w:ascii="Times New Roman" w:eastAsia="宋体"/>
          <w:color w:val="auto"/>
        </w:rPr>
        <w:t>需方可对收到</w:t>
      </w:r>
      <w:r>
        <w:rPr>
          <w:rFonts w:ascii="Times New Roman" w:eastAsia="宋体"/>
          <w:color w:val="auto"/>
        </w:rPr>
        <w:t>的</w:t>
      </w:r>
      <w:r>
        <w:rPr>
          <w:rFonts w:ascii="宋体" w:hAnsi="宋体" w:eastAsia="宋体"/>
          <w:color w:val="auto"/>
        </w:rPr>
        <w:t>镍阳极</w:t>
      </w:r>
      <w:r>
        <w:rPr>
          <w:rFonts w:ascii="Times New Roman" w:eastAsia="宋体"/>
          <w:color w:val="auto"/>
        </w:rPr>
        <w:t>按本文件的规定进行检验。如检验结果与本文件及订货单的规定不符，应在收到产品之日起1个月内向供方提出，由供需双方协商解决。如需仲裁，仲裁取样应在需方由供需双方共同进行。</w:t>
      </w:r>
    </w:p>
    <w:p>
      <w:pPr>
        <w:pStyle w:val="59"/>
        <w:tabs>
          <w:tab w:val="left" w:pos="420"/>
        </w:tabs>
        <w:spacing w:before="156" w:beforeLines="50" w:after="156" w:afterLines="50"/>
        <w:rPr>
          <w:rFonts w:ascii="Times New Roman"/>
          <w:color w:val="auto"/>
        </w:rPr>
      </w:pPr>
      <w:r>
        <w:rPr>
          <w:rFonts w:ascii="Times New Roman"/>
          <w:color w:val="auto"/>
        </w:rPr>
        <w:t>组批</w:t>
      </w:r>
    </w:p>
    <w:p>
      <w:pPr>
        <w:pStyle w:val="57"/>
        <w:ind w:firstLine="420"/>
        <w:rPr>
          <w:rFonts w:ascii="Times New Roman"/>
          <w:color w:val="auto"/>
        </w:rPr>
      </w:pPr>
      <w:r>
        <w:rPr>
          <w:rFonts w:hAnsi="宋体"/>
          <w:color w:val="auto"/>
        </w:rPr>
        <w:t>镍阳极</w:t>
      </w:r>
      <w:r>
        <w:rPr>
          <w:rFonts w:ascii="Times New Roman"/>
          <w:color w:val="auto"/>
        </w:rPr>
        <w:t>应成批提交验收。每批应由同一炉号、同一牌号和</w:t>
      </w:r>
      <w:r>
        <w:rPr>
          <w:rFonts w:hint="eastAsia" w:ascii="Times New Roman"/>
          <w:color w:val="auto"/>
        </w:rPr>
        <w:t>形状</w:t>
      </w:r>
      <w:r>
        <w:rPr>
          <w:rFonts w:ascii="Times New Roman"/>
          <w:color w:val="auto"/>
        </w:rPr>
        <w:t>的产品组成。</w:t>
      </w:r>
    </w:p>
    <w:p>
      <w:pPr>
        <w:pStyle w:val="59"/>
        <w:tabs>
          <w:tab w:val="left" w:pos="420"/>
        </w:tabs>
        <w:spacing w:before="156" w:beforeLines="50" w:after="156" w:afterLines="50"/>
        <w:rPr>
          <w:rFonts w:ascii="Times New Roman"/>
          <w:color w:val="auto"/>
        </w:rPr>
      </w:pPr>
      <w:r>
        <w:rPr>
          <w:rFonts w:ascii="Times New Roman"/>
          <w:color w:val="auto"/>
        </w:rPr>
        <w:t>检验项目及取样规定</w:t>
      </w:r>
    </w:p>
    <w:p>
      <w:pPr>
        <w:pStyle w:val="60"/>
        <w:tabs>
          <w:tab w:val="left" w:pos="420"/>
        </w:tabs>
        <w:spacing w:before="156" w:beforeLines="50" w:after="156" w:afterLines="50"/>
        <w:rPr>
          <w:rFonts w:ascii="Times New Roman" w:eastAsia="宋体"/>
          <w:color w:val="auto"/>
        </w:rPr>
      </w:pPr>
      <w:r>
        <w:rPr>
          <w:rFonts w:hint="eastAsia" w:ascii="宋体" w:hAnsi="宋体" w:eastAsia="宋体"/>
          <w:color w:val="auto"/>
        </w:rPr>
        <w:t>镍阳极的检验项目分为出厂检验项目和型式检验项目，检验项目、取样位置及数量见表</w:t>
      </w:r>
      <w:r>
        <w:rPr>
          <w:rFonts w:ascii="宋体" w:hAnsi="宋体" w:eastAsia="宋体"/>
          <w:color w:val="auto"/>
        </w:rPr>
        <w:t>3</w:t>
      </w:r>
      <w:r>
        <w:rPr>
          <w:rFonts w:hint="eastAsia" w:ascii="宋体" w:hAnsi="宋体" w:eastAsia="宋体"/>
          <w:color w:val="auto"/>
        </w:rPr>
        <w:t>。</w:t>
      </w:r>
      <w:r>
        <w:rPr>
          <w:rFonts w:ascii="宋体" w:hAnsi="宋体" w:eastAsia="宋体"/>
          <w:color w:val="auto"/>
        </w:rPr>
        <w:t>镍阳极</w:t>
      </w:r>
      <w:r>
        <w:rPr>
          <w:rFonts w:hint="eastAsia" w:ascii="宋体" w:hAnsi="宋体" w:eastAsia="宋体"/>
          <w:color w:val="auto"/>
        </w:rPr>
        <w:t>出厂检验</w:t>
      </w:r>
      <w:r>
        <w:rPr>
          <w:rFonts w:hint="eastAsia" w:ascii="宋体" w:hAnsi="宋体" w:eastAsia="宋体"/>
          <w:color w:val="auto"/>
          <w:lang w:val="en-US" w:eastAsia="zh-CN"/>
        </w:rPr>
        <w:t>时</w:t>
      </w:r>
      <w:r>
        <w:rPr>
          <w:rFonts w:ascii="Times New Roman" w:eastAsia="宋体"/>
          <w:color w:val="auto"/>
        </w:rPr>
        <w:t>应进行化学成份、</w:t>
      </w:r>
      <w:r>
        <w:rPr>
          <w:rFonts w:hint="eastAsia" w:ascii="宋体" w:hAnsi="宋体" w:eastAsia="宋体"/>
          <w:color w:val="auto"/>
        </w:rPr>
        <w:t>外形尺寸及允许偏差</w:t>
      </w:r>
      <w:r>
        <w:rPr>
          <w:rFonts w:ascii="Times New Roman" w:eastAsia="宋体"/>
          <w:color w:val="auto"/>
        </w:rPr>
        <w:t>、晶粒</w:t>
      </w:r>
      <w:r>
        <w:rPr>
          <w:rFonts w:hint="eastAsia" w:ascii="Times New Roman" w:eastAsia="宋体"/>
          <w:color w:val="auto"/>
        </w:rPr>
        <w:t>度</w:t>
      </w:r>
      <w:r>
        <w:rPr>
          <w:rFonts w:ascii="Times New Roman" w:eastAsia="宋体"/>
          <w:color w:val="auto"/>
        </w:rPr>
        <w:t>、外观质量检验。</w:t>
      </w:r>
      <w:r>
        <w:rPr>
          <w:rFonts w:hint="eastAsia" w:ascii="宋体" w:hAnsi="宋体" w:eastAsia="宋体"/>
          <w:color w:val="auto"/>
        </w:rPr>
        <w:t>出现下列任一情况时，应进行型式检验：</w:t>
      </w:r>
    </w:p>
    <w:p>
      <w:pPr>
        <w:pStyle w:val="57"/>
        <w:numPr>
          <w:ilvl w:val="1"/>
          <w:numId w:val="9"/>
        </w:numPr>
        <w:ind w:firstLineChars="0"/>
        <w:rPr>
          <w:color w:val="auto"/>
        </w:rPr>
      </w:pPr>
      <w:r>
        <w:rPr>
          <w:rFonts w:hint="eastAsia"/>
          <w:color w:val="auto"/>
        </w:rPr>
        <w:t>新产品或老产品转厂的试制定型鉴定；</w:t>
      </w:r>
    </w:p>
    <w:p>
      <w:pPr>
        <w:pStyle w:val="57"/>
        <w:numPr>
          <w:ilvl w:val="1"/>
          <w:numId w:val="9"/>
        </w:numPr>
        <w:ind w:firstLineChars="0"/>
        <w:rPr>
          <w:color w:val="auto"/>
        </w:rPr>
      </w:pPr>
      <w:r>
        <w:rPr>
          <w:rFonts w:hint="eastAsia"/>
          <w:color w:val="auto"/>
        </w:rPr>
        <w:t>产品的原料、工艺有较大改变，可能影响产品性能时；</w:t>
      </w:r>
    </w:p>
    <w:p>
      <w:pPr>
        <w:pStyle w:val="57"/>
        <w:numPr>
          <w:ilvl w:val="1"/>
          <w:numId w:val="9"/>
        </w:numPr>
        <w:ind w:firstLineChars="0"/>
        <w:rPr>
          <w:color w:val="auto"/>
        </w:rPr>
      </w:pPr>
      <w:r>
        <w:rPr>
          <w:rFonts w:hint="eastAsia"/>
          <w:color w:val="auto"/>
        </w:rPr>
        <w:t>产品停产后，恢复生产时；</w:t>
      </w:r>
    </w:p>
    <w:p>
      <w:pPr>
        <w:pStyle w:val="57"/>
        <w:numPr>
          <w:ilvl w:val="1"/>
          <w:numId w:val="9"/>
        </w:numPr>
        <w:ind w:firstLineChars="0"/>
        <w:rPr>
          <w:color w:val="auto"/>
        </w:rPr>
      </w:pPr>
      <w:r>
        <w:rPr>
          <w:rFonts w:hint="eastAsia"/>
          <w:color w:val="auto"/>
        </w:rPr>
        <w:t>出厂检验结果与上次型式检验有较大差异时；</w:t>
      </w:r>
    </w:p>
    <w:p>
      <w:pPr>
        <w:pStyle w:val="57"/>
        <w:numPr>
          <w:ilvl w:val="1"/>
          <w:numId w:val="9"/>
        </w:numPr>
        <w:ind w:firstLineChars="0"/>
        <w:rPr>
          <w:color w:val="auto"/>
        </w:rPr>
      </w:pPr>
      <w:r>
        <w:rPr>
          <w:rFonts w:hint="eastAsia"/>
          <w:color w:val="auto"/>
        </w:rPr>
        <w:t>连续二年未进行型式检验时；</w:t>
      </w:r>
    </w:p>
    <w:p>
      <w:pPr>
        <w:pStyle w:val="57"/>
        <w:numPr>
          <w:ilvl w:val="1"/>
          <w:numId w:val="9"/>
        </w:numPr>
        <w:ind w:firstLineChars="0"/>
        <w:rPr>
          <w:color w:val="auto"/>
        </w:rPr>
      </w:pPr>
      <w:r>
        <w:rPr>
          <w:rFonts w:hint="eastAsia"/>
          <w:color w:val="auto"/>
        </w:rPr>
        <w:t>需方要求时（在订货单中注明）；</w:t>
      </w:r>
    </w:p>
    <w:p>
      <w:pPr>
        <w:pStyle w:val="57"/>
        <w:numPr>
          <w:ilvl w:val="1"/>
          <w:numId w:val="9"/>
        </w:numPr>
        <w:ind w:firstLineChars="0"/>
        <w:rPr>
          <w:color w:val="auto"/>
        </w:rPr>
      </w:pPr>
      <w:r>
        <w:rPr>
          <w:rFonts w:hint="eastAsia"/>
          <w:color w:val="auto"/>
        </w:rPr>
        <w:t>国家有关监督机构提出进行型式检验的要求时。</w:t>
      </w:r>
    </w:p>
    <w:p>
      <w:pPr>
        <w:pStyle w:val="57"/>
        <w:spacing w:before="156" w:beforeLines="50" w:after="156" w:afterLines="50"/>
        <w:ind w:firstLine="0" w:firstLineChars="0"/>
        <w:jc w:val="center"/>
        <w:rPr>
          <w:rFonts w:hint="eastAsia" w:ascii="黑体" w:hAnsi="黑体" w:eastAsia="黑体"/>
          <w:color w:val="auto"/>
          <w:szCs w:val="21"/>
          <w:lang w:eastAsia="zh-CN"/>
        </w:rPr>
      </w:pPr>
      <w:r>
        <w:rPr>
          <w:rFonts w:ascii="黑体" w:hAnsi="黑体" w:eastAsia="黑体"/>
          <w:color w:val="auto"/>
          <w:szCs w:val="21"/>
        </w:rPr>
        <w:t>表3  取样</w:t>
      </w:r>
    </w:p>
    <w:tbl>
      <w:tblPr>
        <w:tblStyle w:val="31"/>
        <w:tblW w:w="94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994"/>
        <w:gridCol w:w="704"/>
        <w:gridCol w:w="981"/>
        <w:gridCol w:w="992"/>
        <w:gridCol w:w="1948"/>
        <w:gridCol w:w="1682"/>
        <w:gridCol w:w="975"/>
        <w:gridCol w:w="11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65" w:hRule="atLeast"/>
          <w:tblHeader/>
        </w:trPr>
        <w:tc>
          <w:tcPr>
            <w:tcW w:w="1698" w:type="dxa"/>
            <w:gridSpan w:val="2"/>
            <w:tcBorders>
              <w:top w:val="single" w:color="auto" w:sz="4" w:space="0"/>
              <w:left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检验项目</w:t>
            </w:r>
          </w:p>
        </w:tc>
        <w:tc>
          <w:tcPr>
            <w:tcW w:w="981"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出厂检验项目</w:t>
            </w:r>
          </w:p>
        </w:tc>
        <w:tc>
          <w:tcPr>
            <w:tcW w:w="992"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型式检验项目</w:t>
            </w:r>
          </w:p>
        </w:tc>
        <w:tc>
          <w:tcPr>
            <w:tcW w:w="1948"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取样位置</w:t>
            </w:r>
          </w:p>
        </w:tc>
        <w:tc>
          <w:tcPr>
            <w:tcW w:w="1682"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取样数量</w:t>
            </w:r>
          </w:p>
        </w:tc>
        <w:tc>
          <w:tcPr>
            <w:tcW w:w="975"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要求的章条号</w:t>
            </w:r>
          </w:p>
        </w:tc>
        <w:tc>
          <w:tcPr>
            <w:tcW w:w="1131" w:type="dxa"/>
            <w:tcBorders>
              <w:top w:val="single" w:color="auto" w:sz="4" w:space="0"/>
              <w:bottom w:val="single" w:color="auto" w:sz="4" w:space="0"/>
              <w:right w:val="single" w:color="auto" w:sz="4" w:space="0"/>
            </w:tcBorders>
            <w:vAlign w:val="center"/>
          </w:tcPr>
          <w:p>
            <w:pPr>
              <w:ind w:left="-50"/>
              <w:jc w:val="center"/>
              <w:rPr>
                <w:color w:val="auto"/>
                <w:sz w:val="18"/>
                <w:szCs w:val="18"/>
                <w:highlight w:val="none"/>
              </w:rPr>
            </w:pPr>
            <w:r>
              <w:rPr>
                <w:color w:val="auto"/>
                <w:sz w:val="18"/>
                <w:szCs w:val="18"/>
                <w:highlight w:val="none"/>
              </w:rPr>
              <w:t>检验的章条号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654" w:hRule="atLeast"/>
          <w:tblHeader/>
        </w:trPr>
        <w:tc>
          <w:tcPr>
            <w:tcW w:w="1698" w:type="dxa"/>
            <w:gridSpan w:val="2"/>
            <w:tcBorders>
              <w:top w:val="single" w:color="auto" w:sz="4" w:space="0"/>
              <w:left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化学成份</w:t>
            </w:r>
          </w:p>
        </w:tc>
        <w:tc>
          <w:tcPr>
            <w:tcW w:w="981"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992"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1948"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供方：铸锭端头</w:t>
            </w:r>
          </w:p>
          <w:p>
            <w:pPr>
              <w:ind w:left="-50"/>
              <w:jc w:val="center"/>
              <w:rPr>
                <w:color w:val="auto"/>
                <w:sz w:val="18"/>
                <w:szCs w:val="18"/>
                <w:highlight w:val="none"/>
              </w:rPr>
            </w:pPr>
            <w:r>
              <w:rPr>
                <w:rFonts w:hint="eastAsia"/>
                <w:color w:val="auto"/>
                <w:sz w:val="18"/>
                <w:szCs w:val="18"/>
                <w:highlight w:val="none"/>
              </w:rPr>
              <w:t>需方</w:t>
            </w:r>
            <w:r>
              <w:rPr>
                <w:color w:val="auto"/>
                <w:sz w:val="18"/>
                <w:szCs w:val="18"/>
                <w:highlight w:val="none"/>
              </w:rPr>
              <w:t xml:space="preserve">: </w:t>
            </w:r>
            <w:r>
              <w:rPr>
                <w:rFonts w:hint="eastAsia"/>
                <w:color w:val="auto"/>
                <w:sz w:val="18"/>
                <w:szCs w:val="18"/>
                <w:highlight w:val="none"/>
              </w:rPr>
              <w:t>成品</w:t>
            </w:r>
          </w:p>
        </w:tc>
        <w:tc>
          <w:tcPr>
            <w:tcW w:w="1682" w:type="dxa"/>
            <w:tcBorders>
              <w:top w:val="single" w:color="auto" w:sz="4" w:space="0"/>
              <w:bottom w:val="single" w:color="auto" w:sz="4" w:space="0"/>
            </w:tcBorders>
            <w:vAlign w:val="center"/>
          </w:tcPr>
          <w:p>
            <w:pPr>
              <w:ind w:left="-50"/>
              <w:rPr>
                <w:color w:val="auto"/>
                <w:sz w:val="18"/>
                <w:szCs w:val="18"/>
                <w:highlight w:val="none"/>
              </w:rPr>
            </w:pPr>
            <w:r>
              <w:rPr>
                <w:rFonts w:hint="eastAsia"/>
                <w:color w:val="auto"/>
                <w:sz w:val="18"/>
                <w:szCs w:val="18"/>
                <w:highlight w:val="none"/>
              </w:rPr>
              <w:t>每个</w:t>
            </w:r>
            <w:r>
              <w:rPr>
                <w:color w:val="auto"/>
                <w:sz w:val="18"/>
                <w:szCs w:val="18"/>
                <w:highlight w:val="none"/>
              </w:rPr>
              <w:t>锭</w:t>
            </w:r>
            <w:r>
              <w:rPr>
                <w:rFonts w:hint="eastAsia"/>
                <w:color w:val="auto"/>
                <w:sz w:val="18"/>
                <w:szCs w:val="18"/>
                <w:highlight w:val="none"/>
              </w:rPr>
              <w:t>取</w:t>
            </w:r>
            <w:r>
              <w:rPr>
                <w:color w:val="auto"/>
                <w:sz w:val="18"/>
                <w:szCs w:val="18"/>
                <w:highlight w:val="none"/>
              </w:rPr>
              <w:t>1个</w:t>
            </w:r>
            <w:r>
              <w:rPr>
                <w:rFonts w:hint="eastAsia"/>
                <w:color w:val="auto"/>
                <w:sz w:val="18"/>
                <w:szCs w:val="18"/>
                <w:highlight w:val="none"/>
              </w:rPr>
              <w:t>试</w:t>
            </w:r>
            <w:r>
              <w:rPr>
                <w:color w:val="auto"/>
                <w:sz w:val="18"/>
                <w:szCs w:val="18"/>
                <w:highlight w:val="none"/>
              </w:rPr>
              <w:t>样</w:t>
            </w:r>
          </w:p>
        </w:tc>
        <w:tc>
          <w:tcPr>
            <w:tcW w:w="975"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5.1</w:t>
            </w:r>
          </w:p>
        </w:tc>
        <w:tc>
          <w:tcPr>
            <w:tcW w:w="1131" w:type="dxa"/>
            <w:tcBorders>
              <w:top w:val="single" w:color="auto" w:sz="4" w:space="0"/>
              <w:bottom w:val="single" w:color="auto" w:sz="4" w:space="0"/>
              <w:right w:val="single" w:color="auto" w:sz="4" w:space="0"/>
            </w:tcBorders>
            <w:vAlign w:val="center"/>
          </w:tcPr>
          <w:p>
            <w:pPr>
              <w:ind w:left="-50"/>
              <w:jc w:val="center"/>
              <w:rPr>
                <w:color w:val="auto"/>
                <w:sz w:val="18"/>
                <w:szCs w:val="18"/>
                <w:highlight w:val="none"/>
              </w:rPr>
            </w:pPr>
            <w:r>
              <w:rPr>
                <w:color w:val="auto"/>
                <w:sz w:val="18"/>
                <w:szCs w:val="18"/>
                <w:highlight w:val="none"/>
              </w:rPr>
              <w:t>6.1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60" w:hRule="atLeast"/>
          <w:tblHeader/>
        </w:trPr>
        <w:tc>
          <w:tcPr>
            <w:tcW w:w="994" w:type="dxa"/>
            <w:vMerge w:val="restart"/>
            <w:tcBorders>
              <w:top w:val="single" w:color="auto" w:sz="4" w:space="0"/>
              <w:left w:val="single" w:color="auto" w:sz="4" w:space="0"/>
              <w:bottom w:val="single" w:color="auto" w:sz="4" w:space="0"/>
            </w:tcBorders>
            <w:vAlign w:val="center"/>
          </w:tcPr>
          <w:p>
            <w:pPr>
              <w:ind w:left="-50"/>
              <w:jc w:val="center"/>
              <w:rPr>
                <w:color w:val="auto"/>
                <w:sz w:val="18"/>
                <w:szCs w:val="18"/>
                <w:highlight w:val="none"/>
              </w:rPr>
            </w:pPr>
            <w:bookmarkStart w:id="9" w:name="_Hlk104673075"/>
            <w:r>
              <w:rPr>
                <w:rFonts w:hint="eastAsia" w:ascii="宋体" w:hAnsi="宋体"/>
                <w:color w:val="auto"/>
                <w:highlight w:val="none"/>
              </w:rPr>
              <w:t>外形尺寸及允许偏差</w:t>
            </w:r>
            <w:bookmarkEnd w:id="9"/>
          </w:p>
        </w:tc>
        <w:tc>
          <w:tcPr>
            <w:tcW w:w="704"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盘状</w:t>
            </w:r>
          </w:p>
        </w:tc>
        <w:tc>
          <w:tcPr>
            <w:tcW w:w="981"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992"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1948"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整体</w:t>
            </w:r>
          </w:p>
        </w:tc>
        <w:tc>
          <w:tcPr>
            <w:tcW w:w="1682"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逐件</w:t>
            </w:r>
          </w:p>
        </w:tc>
        <w:tc>
          <w:tcPr>
            <w:tcW w:w="975" w:type="dxa"/>
            <w:vMerge w:val="restart"/>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5.2</w:t>
            </w:r>
          </w:p>
        </w:tc>
        <w:tc>
          <w:tcPr>
            <w:tcW w:w="1131" w:type="dxa"/>
            <w:vMerge w:val="restart"/>
            <w:tcBorders>
              <w:top w:val="single" w:color="auto" w:sz="4" w:space="0"/>
              <w:bottom w:val="single" w:color="auto" w:sz="4" w:space="0"/>
              <w:right w:val="single" w:color="auto" w:sz="4" w:space="0"/>
            </w:tcBorders>
            <w:vAlign w:val="center"/>
          </w:tcPr>
          <w:p>
            <w:pPr>
              <w:ind w:left="-50"/>
              <w:jc w:val="center"/>
              <w:rPr>
                <w:color w:val="auto"/>
                <w:sz w:val="18"/>
                <w:szCs w:val="18"/>
                <w:highlight w:val="none"/>
              </w:rPr>
            </w:pPr>
            <w:r>
              <w:rPr>
                <w:color w:val="auto"/>
                <w:sz w:val="18"/>
                <w:szCs w:val="18"/>
                <w:highlight w:val="none"/>
              </w:rPr>
              <w:t>6.2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60" w:hRule="atLeast"/>
          <w:tblHeader/>
        </w:trPr>
        <w:tc>
          <w:tcPr>
            <w:tcW w:w="994" w:type="dxa"/>
            <w:vMerge w:val="continue"/>
            <w:tcBorders>
              <w:top w:val="single" w:color="auto" w:sz="4" w:space="0"/>
              <w:left w:val="single" w:color="auto" w:sz="4" w:space="0"/>
              <w:bottom w:val="single" w:color="auto" w:sz="4" w:space="0"/>
            </w:tcBorders>
            <w:vAlign w:val="center"/>
          </w:tcPr>
          <w:p>
            <w:pPr>
              <w:ind w:left="-50"/>
              <w:jc w:val="center"/>
              <w:rPr>
                <w:color w:val="auto"/>
                <w:sz w:val="18"/>
                <w:szCs w:val="18"/>
                <w:highlight w:val="none"/>
              </w:rPr>
            </w:pPr>
          </w:p>
        </w:tc>
        <w:tc>
          <w:tcPr>
            <w:tcW w:w="704" w:type="dxa"/>
            <w:tcBorders>
              <w:top w:val="single" w:color="auto" w:sz="4" w:space="0"/>
              <w:bottom w:val="single" w:color="auto" w:sz="4" w:space="0"/>
            </w:tcBorders>
            <w:vAlign w:val="center"/>
          </w:tcPr>
          <w:p>
            <w:pPr>
              <w:ind w:left="-50"/>
              <w:jc w:val="center"/>
              <w:rPr>
                <w:color w:val="auto"/>
                <w:sz w:val="18"/>
                <w:szCs w:val="18"/>
                <w:highlight w:val="none"/>
              </w:rPr>
            </w:pPr>
            <w:bookmarkStart w:id="10" w:name="_Hlk104548130"/>
            <w:r>
              <w:rPr>
                <w:rFonts w:hint="eastAsia"/>
                <w:color w:val="auto"/>
                <w:sz w:val="18"/>
                <w:szCs w:val="18"/>
                <w:highlight w:val="none"/>
              </w:rPr>
              <w:t>粒状</w:t>
            </w:r>
            <w:bookmarkEnd w:id="10"/>
          </w:p>
        </w:tc>
        <w:tc>
          <w:tcPr>
            <w:tcW w:w="981"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992"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1948"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成品随机取样</w:t>
            </w:r>
          </w:p>
        </w:tc>
        <w:tc>
          <w:tcPr>
            <w:tcW w:w="1682"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按照G</w:t>
            </w:r>
            <w:r>
              <w:rPr>
                <w:color w:val="auto"/>
                <w:sz w:val="18"/>
                <w:szCs w:val="18"/>
                <w:highlight w:val="none"/>
              </w:rPr>
              <w:t>B2828.1</w:t>
            </w:r>
            <w:r>
              <w:rPr>
                <w:rFonts w:hint="eastAsia"/>
                <w:color w:val="auto"/>
                <w:sz w:val="18"/>
                <w:szCs w:val="18"/>
                <w:highlight w:val="none"/>
              </w:rPr>
              <w:t>的规定，选正常检验一次抽样方案，特殊检验水平S-</w:t>
            </w:r>
            <w:r>
              <w:rPr>
                <w:color w:val="auto"/>
                <w:sz w:val="18"/>
                <w:szCs w:val="18"/>
                <w:highlight w:val="none"/>
              </w:rPr>
              <w:t>1</w:t>
            </w:r>
            <w:r>
              <w:rPr>
                <w:rFonts w:hint="eastAsia"/>
                <w:color w:val="auto"/>
                <w:sz w:val="18"/>
                <w:szCs w:val="18"/>
                <w:highlight w:val="none"/>
              </w:rPr>
              <w:t>，A</w:t>
            </w:r>
            <w:r>
              <w:rPr>
                <w:color w:val="auto"/>
                <w:sz w:val="18"/>
                <w:szCs w:val="18"/>
                <w:highlight w:val="none"/>
              </w:rPr>
              <w:t>QL</w:t>
            </w:r>
            <w:r>
              <w:rPr>
                <w:rFonts w:hint="eastAsia"/>
                <w:color w:val="auto"/>
                <w:sz w:val="18"/>
                <w:szCs w:val="18"/>
                <w:highlight w:val="none"/>
              </w:rPr>
              <w:t>=</w:t>
            </w:r>
            <w:r>
              <w:rPr>
                <w:color w:val="auto"/>
                <w:sz w:val="18"/>
                <w:szCs w:val="18"/>
                <w:highlight w:val="none"/>
              </w:rPr>
              <w:t xml:space="preserve">1.5 </w:t>
            </w:r>
          </w:p>
        </w:tc>
        <w:tc>
          <w:tcPr>
            <w:tcW w:w="975" w:type="dxa"/>
            <w:vMerge w:val="continue"/>
            <w:tcBorders>
              <w:top w:val="single" w:color="auto" w:sz="4" w:space="0"/>
              <w:bottom w:val="single" w:color="auto" w:sz="4" w:space="0"/>
            </w:tcBorders>
            <w:vAlign w:val="center"/>
          </w:tcPr>
          <w:p>
            <w:pPr>
              <w:ind w:left="-50"/>
              <w:jc w:val="center"/>
              <w:rPr>
                <w:color w:val="auto"/>
                <w:sz w:val="18"/>
                <w:szCs w:val="18"/>
                <w:highlight w:val="none"/>
              </w:rPr>
            </w:pPr>
          </w:p>
        </w:tc>
        <w:tc>
          <w:tcPr>
            <w:tcW w:w="1131" w:type="dxa"/>
            <w:vMerge w:val="continue"/>
            <w:tcBorders>
              <w:top w:val="single" w:color="auto" w:sz="4" w:space="0"/>
              <w:bottom w:val="single" w:color="auto" w:sz="4" w:space="0"/>
              <w:right w:val="single" w:color="auto" w:sz="4" w:space="0"/>
            </w:tcBorders>
            <w:vAlign w:val="center"/>
          </w:tcPr>
          <w:p>
            <w:pPr>
              <w:ind w:left="-50"/>
              <w:jc w:val="center"/>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55" w:hRule="atLeast"/>
          <w:tblHeader/>
        </w:trPr>
        <w:tc>
          <w:tcPr>
            <w:tcW w:w="994" w:type="dxa"/>
            <w:tcBorders>
              <w:top w:val="single" w:color="auto" w:sz="4" w:space="0"/>
              <w:left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晶粒</w:t>
            </w:r>
            <w:r>
              <w:rPr>
                <w:rFonts w:hint="eastAsia"/>
                <w:color w:val="auto"/>
                <w:sz w:val="18"/>
                <w:szCs w:val="18"/>
                <w:highlight w:val="none"/>
              </w:rPr>
              <w:t>度</w:t>
            </w:r>
          </w:p>
        </w:tc>
        <w:tc>
          <w:tcPr>
            <w:tcW w:w="704"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盘状</w:t>
            </w:r>
          </w:p>
        </w:tc>
        <w:tc>
          <w:tcPr>
            <w:tcW w:w="981"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992"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1948"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见7.3.3</w:t>
            </w:r>
          </w:p>
        </w:tc>
        <w:tc>
          <w:tcPr>
            <w:tcW w:w="1682" w:type="dxa"/>
            <w:tcBorders>
              <w:top w:val="single" w:color="auto" w:sz="4" w:space="0"/>
              <w:bottom w:val="single" w:color="auto" w:sz="4" w:space="0"/>
            </w:tcBorders>
            <w:vAlign w:val="center"/>
          </w:tcPr>
          <w:p>
            <w:pPr>
              <w:ind w:left="-50"/>
              <w:jc w:val="center"/>
              <w:rPr>
                <w:rFonts w:hint="eastAsia"/>
                <w:color w:val="auto"/>
                <w:sz w:val="18"/>
                <w:szCs w:val="18"/>
                <w:highlight w:val="none"/>
                <w:lang w:eastAsia="zh-CN"/>
              </w:rPr>
            </w:pPr>
            <w:r>
              <w:rPr>
                <w:rFonts w:hint="eastAsia"/>
                <w:color w:val="auto"/>
                <w:sz w:val="18"/>
                <w:szCs w:val="18"/>
                <w:highlight w:val="none"/>
              </w:rPr>
              <w:t>供方：</w:t>
            </w:r>
            <w:r>
              <w:rPr>
                <w:rFonts w:hint="eastAsia"/>
                <w:color w:val="auto"/>
                <w:sz w:val="18"/>
                <w:szCs w:val="18"/>
                <w:highlight w:val="none"/>
                <w:lang w:val="en-US" w:eastAsia="zh-CN"/>
              </w:rPr>
              <w:t>每批取1个</w:t>
            </w:r>
            <w:r>
              <w:rPr>
                <w:color w:val="auto"/>
                <w:sz w:val="18"/>
                <w:szCs w:val="18"/>
                <w:highlight w:val="none"/>
              </w:rPr>
              <w:t>坯料</w:t>
            </w:r>
            <w:r>
              <w:rPr>
                <w:rFonts w:hint="eastAsia"/>
                <w:color w:val="auto"/>
                <w:sz w:val="18"/>
                <w:szCs w:val="18"/>
                <w:highlight w:val="none"/>
                <w:lang w:eastAsia="zh-CN"/>
              </w:rPr>
              <w:t>，</w:t>
            </w:r>
            <w:r>
              <w:rPr>
                <w:color w:val="auto"/>
                <w:sz w:val="18"/>
                <w:szCs w:val="18"/>
                <w:highlight w:val="none"/>
              </w:rPr>
              <w:t>每个坯料</w:t>
            </w:r>
            <w:r>
              <w:rPr>
                <w:rFonts w:hint="eastAsia"/>
                <w:color w:val="auto"/>
                <w:sz w:val="18"/>
                <w:szCs w:val="18"/>
                <w:highlight w:val="none"/>
              </w:rPr>
              <w:t>取</w:t>
            </w:r>
            <w:r>
              <w:rPr>
                <w:color w:val="auto"/>
                <w:sz w:val="18"/>
                <w:szCs w:val="18"/>
                <w:highlight w:val="none"/>
              </w:rPr>
              <w:t>2个</w:t>
            </w:r>
            <w:r>
              <w:rPr>
                <w:rFonts w:hint="eastAsia"/>
                <w:color w:val="auto"/>
                <w:sz w:val="18"/>
                <w:szCs w:val="18"/>
                <w:highlight w:val="none"/>
              </w:rPr>
              <w:t>试</w:t>
            </w:r>
            <w:r>
              <w:rPr>
                <w:color w:val="auto"/>
                <w:sz w:val="18"/>
                <w:szCs w:val="18"/>
                <w:highlight w:val="none"/>
              </w:rPr>
              <w:t>样</w:t>
            </w:r>
            <w:r>
              <w:rPr>
                <w:rFonts w:hint="eastAsia"/>
                <w:color w:val="auto"/>
                <w:sz w:val="18"/>
                <w:szCs w:val="18"/>
                <w:highlight w:val="none"/>
                <w:lang w:eastAsia="zh-CN"/>
              </w:rPr>
              <w:t>？</w:t>
            </w:r>
          </w:p>
          <w:p>
            <w:pPr>
              <w:ind w:left="-50"/>
              <w:jc w:val="center"/>
              <w:rPr>
                <w:rFonts w:hint="default"/>
                <w:color w:val="auto"/>
                <w:sz w:val="18"/>
                <w:szCs w:val="18"/>
                <w:highlight w:val="none"/>
                <w:lang w:val="en-US" w:eastAsia="zh-CN"/>
              </w:rPr>
            </w:pPr>
            <w:r>
              <w:rPr>
                <w:rFonts w:hint="eastAsia"/>
                <w:color w:val="auto"/>
                <w:sz w:val="18"/>
                <w:szCs w:val="18"/>
                <w:highlight w:val="none"/>
                <w:lang w:val="en-US" w:eastAsia="zh-CN"/>
              </w:rPr>
              <w:t>需方：每批取1盘，每盘取2个样</w:t>
            </w:r>
          </w:p>
        </w:tc>
        <w:tc>
          <w:tcPr>
            <w:tcW w:w="975"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5.3</w:t>
            </w:r>
          </w:p>
        </w:tc>
        <w:tc>
          <w:tcPr>
            <w:tcW w:w="1131" w:type="dxa"/>
            <w:tcBorders>
              <w:top w:val="single" w:color="auto" w:sz="4" w:space="0"/>
              <w:bottom w:val="single" w:color="auto" w:sz="4" w:space="0"/>
              <w:right w:val="single" w:color="auto" w:sz="4" w:space="0"/>
            </w:tcBorders>
            <w:vAlign w:val="center"/>
          </w:tcPr>
          <w:p>
            <w:pPr>
              <w:ind w:left="-50"/>
              <w:jc w:val="center"/>
              <w:rPr>
                <w:color w:val="auto"/>
                <w:sz w:val="18"/>
                <w:szCs w:val="18"/>
                <w:highlight w:val="none"/>
              </w:rPr>
            </w:pPr>
            <w:r>
              <w:rPr>
                <w:color w:val="auto"/>
                <w:sz w:val="18"/>
                <w:szCs w:val="18"/>
                <w:highlight w:val="none"/>
              </w:rPr>
              <w:t>6.3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529" w:hRule="atLeast"/>
          <w:tblHeader/>
        </w:trPr>
        <w:tc>
          <w:tcPr>
            <w:tcW w:w="994" w:type="dxa"/>
            <w:vMerge w:val="restart"/>
            <w:tcBorders>
              <w:top w:val="single" w:color="auto" w:sz="4" w:space="0"/>
              <w:left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外观质量</w:t>
            </w:r>
          </w:p>
        </w:tc>
        <w:tc>
          <w:tcPr>
            <w:tcW w:w="704"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盘状</w:t>
            </w:r>
          </w:p>
        </w:tc>
        <w:tc>
          <w:tcPr>
            <w:tcW w:w="981"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992"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1948" w:type="dxa"/>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整体</w:t>
            </w:r>
          </w:p>
        </w:tc>
        <w:tc>
          <w:tcPr>
            <w:tcW w:w="1682" w:type="dxa"/>
            <w:tcBorders>
              <w:top w:val="single" w:color="auto" w:sz="4" w:space="0"/>
              <w:bottom w:val="single" w:color="auto" w:sz="4" w:space="0"/>
            </w:tcBorders>
            <w:vAlign w:val="center"/>
          </w:tcPr>
          <w:p>
            <w:pPr>
              <w:pStyle w:val="101"/>
              <w:jc w:val="center"/>
              <w:rPr>
                <w:color w:val="auto"/>
                <w:sz w:val="18"/>
                <w:szCs w:val="18"/>
                <w:highlight w:val="none"/>
              </w:rPr>
            </w:pPr>
            <w:r>
              <w:rPr>
                <w:color w:val="auto"/>
                <w:sz w:val="18"/>
                <w:szCs w:val="18"/>
                <w:highlight w:val="none"/>
              </w:rPr>
              <w:t>逐件</w:t>
            </w:r>
          </w:p>
        </w:tc>
        <w:tc>
          <w:tcPr>
            <w:tcW w:w="975" w:type="dxa"/>
            <w:vMerge w:val="restart"/>
            <w:tcBorders>
              <w:top w:val="single" w:color="auto" w:sz="4" w:space="0"/>
              <w:bottom w:val="single" w:color="auto" w:sz="4" w:space="0"/>
            </w:tcBorders>
            <w:vAlign w:val="center"/>
          </w:tcPr>
          <w:p>
            <w:pPr>
              <w:ind w:left="-50"/>
              <w:jc w:val="center"/>
              <w:rPr>
                <w:color w:val="auto"/>
                <w:sz w:val="18"/>
                <w:szCs w:val="18"/>
                <w:highlight w:val="none"/>
              </w:rPr>
            </w:pPr>
            <w:r>
              <w:rPr>
                <w:color w:val="auto"/>
                <w:sz w:val="18"/>
                <w:szCs w:val="18"/>
                <w:highlight w:val="none"/>
              </w:rPr>
              <w:t>5.4</w:t>
            </w:r>
          </w:p>
        </w:tc>
        <w:tc>
          <w:tcPr>
            <w:tcW w:w="1131" w:type="dxa"/>
            <w:vMerge w:val="restart"/>
            <w:tcBorders>
              <w:top w:val="single" w:color="auto" w:sz="4" w:space="0"/>
              <w:bottom w:val="single" w:color="auto" w:sz="4" w:space="0"/>
              <w:right w:val="single" w:color="auto" w:sz="4" w:space="0"/>
            </w:tcBorders>
            <w:vAlign w:val="center"/>
          </w:tcPr>
          <w:p>
            <w:pPr>
              <w:ind w:left="-50"/>
              <w:jc w:val="center"/>
              <w:rPr>
                <w:color w:val="auto"/>
                <w:sz w:val="18"/>
                <w:szCs w:val="18"/>
                <w:highlight w:val="none"/>
              </w:rPr>
            </w:pPr>
            <w:r>
              <w:rPr>
                <w:color w:val="auto"/>
                <w:sz w:val="18"/>
                <w:szCs w:val="18"/>
                <w:highlight w:val="none"/>
              </w:rPr>
              <w:t>6.4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537" w:hRule="atLeast"/>
          <w:tblHeader/>
        </w:trPr>
        <w:tc>
          <w:tcPr>
            <w:tcW w:w="994" w:type="dxa"/>
            <w:vMerge w:val="continue"/>
            <w:tcBorders>
              <w:top w:val="single" w:color="auto" w:sz="4" w:space="0"/>
              <w:left w:val="single" w:color="auto" w:sz="4" w:space="0"/>
              <w:bottom w:val="single" w:color="auto" w:sz="4" w:space="0"/>
            </w:tcBorders>
            <w:vAlign w:val="center"/>
          </w:tcPr>
          <w:p>
            <w:pPr>
              <w:ind w:left="-50"/>
              <w:jc w:val="center"/>
              <w:rPr>
                <w:color w:val="auto"/>
                <w:sz w:val="18"/>
                <w:szCs w:val="18"/>
                <w:highlight w:val="none"/>
              </w:rPr>
            </w:pPr>
          </w:p>
        </w:tc>
        <w:tc>
          <w:tcPr>
            <w:tcW w:w="704"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粒状</w:t>
            </w:r>
          </w:p>
        </w:tc>
        <w:tc>
          <w:tcPr>
            <w:tcW w:w="981"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992"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w:t>
            </w:r>
          </w:p>
        </w:tc>
        <w:tc>
          <w:tcPr>
            <w:tcW w:w="1948" w:type="dxa"/>
            <w:tcBorders>
              <w:top w:val="single" w:color="auto" w:sz="4" w:space="0"/>
              <w:bottom w:val="single" w:color="auto" w:sz="4" w:space="0"/>
            </w:tcBorders>
            <w:vAlign w:val="center"/>
          </w:tcPr>
          <w:p>
            <w:pPr>
              <w:ind w:left="-50"/>
              <w:jc w:val="center"/>
              <w:rPr>
                <w:color w:val="auto"/>
                <w:sz w:val="18"/>
                <w:szCs w:val="18"/>
                <w:highlight w:val="none"/>
              </w:rPr>
            </w:pPr>
            <w:r>
              <w:rPr>
                <w:rFonts w:hint="eastAsia"/>
                <w:color w:val="auto"/>
                <w:sz w:val="18"/>
                <w:szCs w:val="18"/>
                <w:highlight w:val="none"/>
              </w:rPr>
              <w:t>成品随机取样</w:t>
            </w:r>
          </w:p>
        </w:tc>
        <w:tc>
          <w:tcPr>
            <w:tcW w:w="1682" w:type="dxa"/>
            <w:tcBorders>
              <w:top w:val="single" w:color="auto" w:sz="4" w:space="0"/>
              <w:bottom w:val="single" w:color="auto" w:sz="4" w:space="0"/>
            </w:tcBorders>
            <w:vAlign w:val="center"/>
          </w:tcPr>
          <w:p>
            <w:pPr>
              <w:pStyle w:val="101"/>
              <w:jc w:val="center"/>
              <w:rPr>
                <w:color w:val="auto"/>
                <w:sz w:val="18"/>
                <w:szCs w:val="18"/>
                <w:highlight w:val="none"/>
              </w:rPr>
            </w:pPr>
            <w:r>
              <w:rPr>
                <w:rFonts w:hint="eastAsia"/>
                <w:color w:val="auto"/>
                <w:sz w:val="18"/>
                <w:szCs w:val="18"/>
                <w:highlight w:val="none"/>
              </w:rPr>
              <w:t>按照G</w:t>
            </w:r>
            <w:r>
              <w:rPr>
                <w:color w:val="auto"/>
                <w:sz w:val="18"/>
                <w:szCs w:val="18"/>
                <w:highlight w:val="none"/>
              </w:rPr>
              <w:t>B2828.1</w:t>
            </w:r>
            <w:r>
              <w:rPr>
                <w:rFonts w:hint="eastAsia"/>
                <w:color w:val="auto"/>
                <w:sz w:val="18"/>
                <w:szCs w:val="18"/>
                <w:highlight w:val="none"/>
              </w:rPr>
              <w:t>的规定，选正常检验一次抽样方案，特殊检验水平S-</w:t>
            </w:r>
            <w:r>
              <w:rPr>
                <w:color w:val="auto"/>
                <w:sz w:val="18"/>
                <w:szCs w:val="18"/>
                <w:highlight w:val="none"/>
              </w:rPr>
              <w:t>1</w:t>
            </w:r>
            <w:r>
              <w:rPr>
                <w:rFonts w:hint="eastAsia"/>
                <w:color w:val="auto"/>
                <w:sz w:val="18"/>
                <w:szCs w:val="18"/>
                <w:highlight w:val="none"/>
              </w:rPr>
              <w:t>，A</w:t>
            </w:r>
            <w:r>
              <w:rPr>
                <w:color w:val="auto"/>
                <w:sz w:val="18"/>
                <w:szCs w:val="18"/>
                <w:highlight w:val="none"/>
              </w:rPr>
              <w:t>QL</w:t>
            </w:r>
            <w:r>
              <w:rPr>
                <w:rFonts w:hint="eastAsia"/>
                <w:color w:val="auto"/>
                <w:sz w:val="18"/>
                <w:szCs w:val="18"/>
                <w:highlight w:val="none"/>
              </w:rPr>
              <w:t>=</w:t>
            </w:r>
            <w:r>
              <w:rPr>
                <w:color w:val="auto"/>
                <w:sz w:val="18"/>
                <w:szCs w:val="18"/>
                <w:highlight w:val="none"/>
              </w:rPr>
              <w:t>1.5</w:t>
            </w:r>
          </w:p>
        </w:tc>
        <w:tc>
          <w:tcPr>
            <w:tcW w:w="975" w:type="dxa"/>
            <w:vMerge w:val="continue"/>
            <w:tcBorders>
              <w:top w:val="single" w:color="auto" w:sz="4" w:space="0"/>
              <w:bottom w:val="single" w:color="auto" w:sz="4" w:space="0"/>
            </w:tcBorders>
            <w:vAlign w:val="center"/>
          </w:tcPr>
          <w:p>
            <w:pPr>
              <w:ind w:left="-50"/>
              <w:jc w:val="center"/>
              <w:rPr>
                <w:color w:val="auto"/>
                <w:sz w:val="18"/>
                <w:szCs w:val="18"/>
                <w:highlight w:val="none"/>
              </w:rPr>
            </w:pPr>
          </w:p>
        </w:tc>
        <w:tc>
          <w:tcPr>
            <w:tcW w:w="1131" w:type="dxa"/>
            <w:vMerge w:val="continue"/>
            <w:tcBorders>
              <w:top w:val="single" w:color="auto" w:sz="4" w:space="0"/>
              <w:bottom w:val="single" w:color="auto" w:sz="4" w:space="0"/>
              <w:right w:val="single" w:color="auto" w:sz="4" w:space="0"/>
            </w:tcBorders>
            <w:vAlign w:val="center"/>
          </w:tcPr>
          <w:p>
            <w:pPr>
              <w:ind w:left="-50"/>
              <w:jc w:val="center"/>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33" w:hRule="atLeast"/>
          <w:tblHeader/>
        </w:trPr>
        <w:tc>
          <w:tcPr>
            <w:tcW w:w="9407" w:type="dxa"/>
            <w:gridSpan w:val="8"/>
            <w:tcBorders>
              <w:top w:val="single" w:color="auto" w:sz="4" w:space="0"/>
              <w:left w:val="single" w:color="auto" w:sz="4" w:space="0"/>
              <w:bottom w:val="single" w:color="auto" w:sz="4" w:space="0"/>
              <w:right w:val="single" w:color="auto" w:sz="4" w:space="0"/>
            </w:tcBorders>
            <w:vAlign w:val="center"/>
          </w:tcPr>
          <w:p>
            <w:pPr>
              <w:ind w:left="-50"/>
              <w:jc w:val="left"/>
              <w:rPr>
                <w:color w:val="auto"/>
                <w:sz w:val="18"/>
                <w:szCs w:val="18"/>
                <w:highlight w:val="none"/>
              </w:rPr>
            </w:pPr>
            <w:r>
              <w:rPr>
                <w:rFonts w:hint="eastAsia"/>
                <w:color w:val="auto"/>
                <w:sz w:val="18"/>
                <w:szCs w:val="18"/>
                <w:highlight w:val="none"/>
              </w:rPr>
              <w:t>注：表中“√”表示必验项目。</w:t>
            </w:r>
          </w:p>
        </w:tc>
      </w:tr>
    </w:tbl>
    <w:p>
      <w:pPr>
        <w:pStyle w:val="60"/>
        <w:tabs>
          <w:tab w:val="left" w:pos="420"/>
        </w:tabs>
        <w:spacing w:before="156" w:beforeLines="50" w:after="156" w:afterLines="50"/>
        <w:rPr>
          <w:rFonts w:ascii="Times New Roman" w:eastAsia="宋体"/>
          <w:color w:val="auto"/>
        </w:rPr>
      </w:pPr>
      <w:r>
        <w:rPr>
          <w:rFonts w:ascii="Times New Roman" w:eastAsia="宋体"/>
          <w:color w:val="auto"/>
        </w:rPr>
        <w:t>晶粒度</w:t>
      </w:r>
      <w:r>
        <w:rPr>
          <w:rFonts w:hint="eastAsia" w:asciiTheme="majorEastAsia" w:hAnsiTheme="majorEastAsia" w:eastAsiaTheme="majorEastAsia"/>
          <w:color w:val="auto"/>
          <w:szCs w:val="21"/>
        </w:rPr>
        <w:t>测定</w:t>
      </w:r>
      <w:r>
        <w:rPr>
          <w:rFonts w:hint="eastAsia" w:ascii="Times New Roman" w:eastAsia="宋体"/>
          <w:color w:val="auto"/>
        </w:rPr>
        <w:t>的</w:t>
      </w:r>
      <w:r>
        <w:rPr>
          <w:rFonts w:ascii="Times New Roman" w:eastAsia="宋体"/>
          <w:color w:val="auto"/>
        </w:rPr>
        <w:t>取样</w:t>
      </w:r>
      <w:r>
        <w:rPr>
          <w:rFonts w:hint="eastAsia" w:ascii="Times New Roman" w:eastAsia="宋体"/>
          <w:color w:val="auto"/>
        </w:rPr>
        <w:t>：晶粒度</w:t>
      </w:r>
      <w:r>
        <w:rPr>
          <w:rFonts w:ascii="Times New Roman" w:eastAsia="宋体"/>
          <w:color w:val="auto"/>
        </w:rPr>
        <w:t>的检测在镍阳极坯料</w:t>
      </w:r>
      <w:r>
        <w:rPr>
          <w:rFonts w:hint="eastAsia" w:ascii="Times New Roman" w:eastAsia="宋体"/>
          <w:color w:val="auto"/>
        </w:rPr>
        <w:t>或成品边缘位置垂直取样</w:t>
      </w:r>
      <w:r>
        <w:rPr>
          <w:rFonts w:ascii="Times New Roman" w:eastAsia="宋体"/>
          <w:color w:val="auto"/>
        </w:rPr>
        <w:t>。取样示意图如图2所示。</w:t>
      </w:r>
    </w:p>
    <w:p>
      <w:pPr>
        <w:pStyle w:val="60"/>
        <w:numPr>
          <w:ilvl w:val="0"/>
          <w:numId w:val="0"/>
        </w:numPr>
        <w:tabs>
          <w:tab w:val="left" w:pos="420"/>
        </w:tabs>
        <w:spacing w:before="156" w:beforeLines="50" w:after="156" w:afterLines="50"/>
        <w:rPr>
          <w:rFonts w:ascii="Times New Roman" w:eastAsia="宋体"/>
          <w:color w:val="auto"/>
        </w:rPr>
      </w:pPr>
      <w:r>
        <w:rPr>
          <w:color w:val="auto"/>
        </w:rPr>
        <mc:AlternateContent>
          <mc:Choice Requires="wpg">
            <w:drawing>
              <wp:anchor distT="0" distB="0" distL="114300" distR="114300" simplePos="0" relativeHeight="251661312" behindDoc="0" locked="0" layoutInCell="1" allowOverlap="1">
                <wp:simplePos x="0" y="0"/>
                <wp:positionH relativeFrom="margin">
                  <wp:posOffset>2134235</wp:posOffset>
                </wp:positionH>
                <wp:positionV relativeFrom="paragraph">
                  <wp:posOffset>635</wp:posOffset>
                </wp:positionV>
                <wp:extent cx="1709420" cy="1223645"/>
                <wp:effectExtent l="0" t="0" r="5080" b="14605"/>
                <wp:wrapNone/>
                <wp:docPr id="9" name="组合 69"/>
                <wp:cNvGraphicFramePr/>
                <a:graphic xmlns:a="http://schemas.openxmlformats.org/drawingml/2006/main">
                  <a:graphicData uri="http://schemas.microsoft.com/office/word/2010/wordprocessingGroup">
                    <wpg:wgp>
                      <wpg:cNvGrpSpPr/>
                      <wpg:grpSpPr>
                        <a:xfrm>
                          <a:off x="0" y="0"/>
                          <a:ext cx="1709420" cy="1223893"/>
                          <a:chOff x="2441" y="7070"/>
                          <a:chExt cx="3308" cy="2459"/>
                        </a:xfrm>
                      </wpg:grpSpPr>
                      <wpg:grpSp>
                        <wpg:cNvPr id="6" name="组合 59"/>
                        <wpg:cNvGrpSpPr/>
                        <wpg:grpSpPr>
                          <a:xfrm>
                            <a:off x="2441" y="7070"/>
                            <a:ext cx="3308" cy="2459"/>
                            <a:chOff x="2998" y="6857"/>
                            <a:chExt cx="3308" cy="2459"/>
                          </a:xfrm>
                        </wpg:grpSpPr>
                        <wps:wsp>
                          <wps:cNvPr id="2" name="文本框 53"/>
                          <wps:cNvSpPr txBox="1"/>
                          <wps:spPr>
                            <a:xfrm>
                              <a:off x="4675" y="6857"/>
                              <a:ext cx="821" cy="346"/>
                            </a:xfrm>
                            <a:prstGeom prst="rect">
                              <a:avLst/>
                            </a:prstGeom>
                            <a:noFill/>
                            <a:ln>
                              <a:noFill/>
                            </a:ln>
                          </wps:spPr>
                          <wps:txbx>
                            <w:txbxContent>
                              <w:p>
                                <w:pPr>
                                  <w:rPr>
                                    <w:sz w:val="18"/>
                                    <w:szCs w:val="18"/>
                                  </w:rPr>
                                </w:pPr>
                                <w:r>
                                  <w:rPr>
                                    <w:rFonts w:hint="eastAsia"/>
                                    <w:sz w:val="18"/>
                                    <w:szCs w:val="18"/>
                                  </w:rPr>
                                  <w:t>样品1</w:t>
                                </w:r>
                              </w:p>
                            </w:txbxContent>
                          </wps:txbx>
                          <wps:bodyPr lIns="0" tIns="0" rIns="0" bIns="0" upright="1"/>
                        </wps:wsp>
                        <wpg:grpSp>
                          <wpg:cNvPr id="5" name="组合 58"/>
                          <wpg:cNvGrpSpPr/>
                          <wpg:grpSpPr>
                            <a:xfrm>
                              <a:off x="2998" y="7048"/>
                              <a:ext cx="3308" cy="2268"/>
                              <a:chOff x="2998" y="7048"/>
                              <a:chExt cx="3308" cy="2268"/>
                            </a:xfrm>
                          </wpg:grpSpPr>
                          <wps:wsp>
                            <wps:cNvPr id="3" name="文本框 52"/>
                            <wps:cNvSpPr txBox="1"/>
                            <wps:spPr>
                              <a:xfrm>
                                <a:off x="5353" y="7984"/>
                                <a:ext cx="953" cy="303"/>
                              </a:xfrm>
                              <a:prstGeom prst="rect">
                                <a:avLst/>
                              </a:prstGeom>
                              <a:noFill/>
                              <a:ln>
                                <a:noFill/>
                              </a:ln>
                            </wps:spPr>
                            <wps:txbx>
                              <w:txbxContent>
                                <w:p>
                                  <w:pPr>
                                    <w:rPr>
                                      <w:color w:val="FF0000"/>
                                      <w:sz w:val="18"/>
                                      <w:szCs w:val="18"/>
                                    </w:rPr>
                                  </w:pPr>
                                  <w:r>
                                    <w:rPr>
                                      <w:rFonts w:hint="eastAsia"/>
                                      <w:sz w:val="18"/>
                                      <w:szCs w:val="18"/>
                                    </w:rPr>
                                    <w:t>样品</w:t>
                                  </w:r>
                                  <w:r>
                                    <w:rPr>
                                      <w:sz w:val="18"/>
                                      <w:szCs w:val="18"/>
                                    </w:rPr>
                                    <w:t>2</w:t>
                                  </w:r>
                                </w:p>
                              </w:txbxContent>
                            </wps:txbx>
                            <wps:bodyPr lIns="0" tIns="0" rIns="0" bIns="0" upright="1"/>
                          </wps:wsp>
                          <wps:wsp>
                            <wps:cNvPr id="4" name="椭圆 54"/>
                            <wps:cNvSpPr/>
                            <wps:spPr>
                              <a:xfrm>
                                <a:off x="2998" y="7048"/>
                                <a:ext cx="2268" cy="2268"/>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s:wsp>
                        <wps:cNvPr id="7" name="自选图形 55"/>
                        <wps:cNvSpPr/>
                        <wps:spPr>
                          <a:xfrm>
                            <a:off x="3452" y="7291"/>
                            <a:ext cx="175" cy="142"/>
                          </a:xfrm>
                          <a:prstGeom prst="can">
                            <a:avLst>
                              <a:gd name="adj" fmla="val 0"/>
                            </a:avLst>
                          </a:prstGeom>
                          <a:noFill/>
                          <a:ln w="9525" cap="flat" cmpd="sng">
                            <a:solidFill>
                              <a:srgbClr val="000000"/>
                            </a:solidFill>
                            <a:prstDash val="solid"/>
                            <a:headEnd type="none" w="med" len="med"/>
                            <a:tailEnd type="none" w="med" len="med"/>
                          </a:ln>
                        </wps:spPr>
                        <wps:bodyPr lIns="74295" tIns="8890" rIns="74295" bIns="8890" upright="1"/>
                      </wps:wsp>
                      <wps:wsp>
                        <wps:cNvPr id="8" name="自选图形 56"/>
                        <wps:cNvSpPr/>
                        <wps:spPr>
                          <a:xfrm>
                            <a:off x="4519" y="8266"/>
                            <a:ext cx="160" cy="161"/>
                          </a:xfrm>
                          <a:prstGeom prst="can">
                            <a:avLst>
                              <a:gd name="adj" fmla="val 0"/>
                            </a:avLst>
                          </a:prstGeom>
                          <a:noFill/>
                          <a:ln w="9525" cap="flat" cmpd="sng">
                            <a:solidFill>
                              <a:srgbClr val="000000"/>
                            </a:solidFill>
                            <a:prstDash val="solid"/>
                            <a:headEnd type="none" w="med" len="med"/>
                            <a:tailEnd type="none" w="med" len="med"/>
                          </a:ln>
                        </wps:spPr>
                        <wps:bodyPr lIns="74295" tIns="8890" rIns="74295" bIns="8890" upright="1"/>
                      </wps:wsp>
                    </wpg:wgp>
                  </a:graphicData>
                </a:graphic>
              </wp:anchor>
            </w:drawing>
          </mc:Choice>
          <mc:Fallback>
            <w:pict>
              <v:group id="组合 69" o:spid="_x0000_s1026" o:spt="203" style="position:absolute;left:0pt;margin-left:168.05pt;margin-top:0.05pt;height:96.35pt;width:134.6pt;mso-position-horizontal-relative:margin;z-index:251661312;mso-width-relative:page;mso-height-relative:page;" coordorigin="2441,7070" coordsize="3308,2459" o:gfxdata="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D/ioPB1wAAAAgBAAAPAAAAAAAA&#10;AAEAIAAAACIAAABkcnMvZG93bnJldi54bWxQSwECFAAUAAAACACHTuJAEmVxExQEAAC3DwAADgAA&#10;AAAAAAABACAAAAAmAQAAZHJzL2Uyb0RvYy54bWxQSwUGAAAAAAYABgBZAQAArAcAAAAA&#10;">
                <o:lock v:ext="edit" aspectratio="f"/>
                <v:group id="组合 59" o:spid="_x0000_s1026" o:spt="203" style="position:absolute;left:2441;top:7070;height:2459;width:3308;" coordorigin="2998,6857" coordsize="3308,245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53" o:spid="_x0000_s1026" o:spt="202" type="#_x0000_t202" style="position:absolute;left:4675;top:6857;height:346;width:821;"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szCs w:val="18"/>
                            </w:rPr>
                          </w:pPr>
                          <w:r>
                            <w:rPr>
                              <w:rFonts w:hint="eastAsia"/>
                              <w:sz w:val="18"/>
                              <w:szCs w:val="18"/>
                            </w:rPr>
                            <w:t>样品1</w:t>
                          </w:r>
                        </w:p>
                      </w:txbxContent>
                    </v:textbox>
                  </v:shape>
                  <v:group id="组合 58" o:spid="_x0000_s1026" o:spt="203" style="position:absolute;left:2998;top:7048;height:2268;width:3308;" coordorigin="2998,7048" coordsize="3308,226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文本框 52" o:spid="_x0000_s1026" o:spt="202" type="#_x0000_t202" style="position:absolute;left:5353;top:7984;height:303;width:9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color w:val="FF0000"/>
                                <w:sz w:val="18"/>
                                <w:szCs w:val="18"/>
                              </w:rPr>
                            </w:pPr>
                            <w:r>
                              <w:rPr>
                                <w:rFonts w:hint="eastAsia"/>
                                <w:sz w:val="18"/>
                                <w:szCs w:val="18"/>
                              </w:rPr>
                              <w:t>样品</w:t>
                            </w:r>
                            <w:r>
                              <w:rPr>
                                <w:sz w:val="18"/>
                                <w:szCs w:val="18"/>
                              </w:rPr>
                              <w:t>2</w:t>
                            </w:r>
                          </w:p>
                        </w:txbxContent>
                      </v:textbox>
                    </v:shape>
                    <v:shape id="椭圆 54" o:spid="_x0000_s1026" o:spt="3" type="#_x0000_t3" style="position:absolute;left:2998;top:7048;height:2268;width:2268;" fillcolor="#FFFFFF" filled="t" stroked="t" coordsize="21600,21600" o:gfxdata="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T7Y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v:shape id="自选图形 55" o:spid="_x0000_s1026" o:spt="22" type="#_x0000_t22" style="position:absolute;left:3452;top:7291;height:142;width:175;" filled="f" stroked="t" coordsize="21600,21600" o:gfxdata="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tLzwvQAA&#10;ANoAAAAPAAAAAAAAAAEAIAAAACIAAABkcnMvZG93bnJldi54bWxQSwECFAAUAAAACACHTuJAMy8F&#10;njsAAAA5AAAAEAAAAAAAAAABACAAAAAMAQAAZHJzL3NoYXBleG1sLnhtbFBLBQYAAAAABgAGAFsB&#10;AAC2AwAAAAA=&#10;" adj="0">
                  <v:fill on="f" focussize="0,0"/>
                  <v:stroke color="#000000" joinstyle="round"/>
                  <v:imagedata o:title=""/>
                  <o:lock v:ext="edit" aspectratio="f"/>
                  <v:textbox inset="2.06375mm,0.7pt,2.06375mm,0.7pt"/>
                </v:shape>
                <v:shape id="自选图形 56" o:spid="_x0000_s1026" o:spt="22" type="#_x0000_t22" style="position:absolute;left:4519;top:8266;height:161;width:160;" filled="f" stroked="t" coordsize="21600,21600" o:gfxdata="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KyiCugAAANoA&#10;AAAPAAAAAAAAAAEAIAAAACIAAABkcnMvZG93bnJldi54bWxQSwECFAAUAAAACACHTuJAMy8FnjsA&#10;AAA5AAAAEAAAAAAAAAABACAAAAAJAQAAZHJzL3NoYXBleG1sLnhtbFBLBQYAAAAABgAGAFsBAACz&#10;AwAAAAA=&#10;" adj="0">
                  <v:fill on="f" focussize="0,0"/>
                  <v:stroke color="#000000" joinstyle="round"/>
                  <v:imagedata o:title=""/>
                  <o:lock v:ext="edit" aspectratio="f"/>
                  <v:textbox inset="2.06375mm,0.7pt,2.06375mm,0.7pt"/>
                </v:shape>
              </v:group>
            </w:pict>
          </mc:Fallback>
        </mc:AlternateContent>
      </w:r>
    </w:p>
    <w:p>
      <w:pPr>
        <w:pStyle w:val="57"/>
        <w:ind w:firstLine="420"/>
        <w:rPr>
          <w:rFonts w:ascii="Times New Roman"/>
          <w:color w:val="auto"/>
        </w:rPr>
      </w:pPr>
    </w:p>
    <w:p>
      <w:pPr>
        <w:pStyle w:val="57"/>
        <w:ind w:firstLine="420"/>
        <w:rPr>
          <w:rFonts w:ascii="Times New Roman"/>
          <w:color w:val="auto"/>
        </w:rPr>
      </w:pPr>
    </w:p>
    <w:p>
      <w:pPr>
        <w:pStyle w:val="57"/>
        <w:ind w:firstLine="420"/>
        <w:rPr>
          <w:rFonts w:ascii="Times New Roman"/>
          <w:color w:val="auto"/>
        </w:rPr>
      </w:pPr>
    </w:p>
    <w:p>
      <w:pPr>
        <w:pStyle w:val="57"/>
        <w:ind w:firstLine="0" w:firstLineChars="0"/>
        <w:rPr>
          <w:rFonts w:ascii="Times New Roman"/>
          <w:color w:val="auto"/>
        </w:rPr>
      </w:pPr>
    </w:p>
    <w:p>
      <w:pPr>
        <w:pStyle w:val="57"/>
        <w:ind w:firstLine="420"/>
        <w:rPr>
          <w:rFonts w:ascii="Times New Roman"/>
          <w:color w:val="auto"/>
          <w:sz w:val="18"/>
          <w:szCs w:val="18"/>
        </w:rPr>
      </w:pPr>
      <w:r>
        <w:rPr>
          <w:rFonts w:ascii="Times New Roman"/>
          <w:color w:val="auto"/>
        </w:rPr>
        <w:t xml:space="preserve">        </w:t>
      </w:r>
      <w:r>
        <w:rPr>
          <w:rFonts w:ascii="Times New Roman"/>
          <w:color w:val="auto"/>
          <w:sz w:val="18"/>
          <w:szCs w:val="18"/>
        </w:rPr>
        <w:t xml:space="preserve">                                          </w:t>
      </w:r>
    </w:p>
    <w:p>
      <w:pPr>
        <w:pStyle w:val="57"/>
        <w:ind w:firstLine="0" w:firstLineChars="0"/>
        <w:jc w:val="center"/>
        <w:rPr>
          <w:rFonts w:ascii="黑体" w:hAnsi="黑体" w:eastAsia="黑体"/>
          <w:color w:val="auto"/>
          <w:szCs w:val="21"/>
        </w:rPr>
      </w:pPr>
      <w:r>
        <w:rPr>
          <w:rFonts w:ascii="黑体" w:hAnsi="黑体" w:eastAsia="黑体"/>
          <w:color w:val="auto"/>
          <w:szCs w:val="21"/>
        </w:rPr>
        <w:t>图2 晶粒度</w:t>
      </w:r>
      <w:r>
        <w:rPr>
          <w:rFonts w:hint="eastAsia" w:ascii="黑体" w:hAnsi="黑体" w:eastAsia="黑体"/>
          <w:color w:val="auto"/>
          <w:szCs w:val="21"/>
        </w:rPr>
        <w:t>测定的</w:t>
      </w:r>
      <w:r>
        <w:rPr>
          <w:rFonts w:ascii="黑体" w:hAnsi="黑体" w:eastAsia="黑体"/>
          <w:color w:val="auto"/>
          <w:szCs w:val="21"/>
        </w:rPr>
        <w:t>取样示意图</w:t>
      </w:r>
    </w:p>
    <w:p>
      <w:pPr>
        <w:pStyle w:val="59"/>
        <w:tabs>
          <w:tab w:val="left" w:pos="420"/>
        </w:tabs>
        <w:spacing w:before="156" w:beforeLines="50" w:after="156" w:afterLines="50"/>
        <w:rPr>
          <w:rFonts w:ascii="Times New Roman"/>
          <w:color w:val="auto"/>
        </w:rPr>
      </w:pPr>
      <w:r>
        <w:rPr>
          <w:rFonts w:ascii="Times New Roman"/>
          <w:color w:val="auto"/>
        </w:rPr>
        <w:t>检验结果的判定</w:t>
      </w:r>
    </w:p>
    <w:p>
      <w:pPr>
        <w:pStyle w:val="60"/>
        <w:tabs>
          <w:tab w:val="left" w:pos="420"/>
        </w:tabs>
        <w:rPr>
          <w:rFonts w:ascii="Times New Roman" w:eastAsia="宋体"/>
          <w:color w:val="auto"/>
          <w:szCs w:val="22"/>
        </w:rPr>
      </w:pPr>
      <w:r>
        <w:rPr>
          <w:rFonts w:ascii="Times New Roman" w:eastAsia="宋体"/>
          <w:color w:val="auto"/>
          <w:szCs w:val="22"/>
        </w:rPr>
        <w:t>检验结果的数值按GB/T 8170 的规定进行修约，并采用修约值比较法判定。</w:t>
      </w:r>
    </w:p>
    <w:p>
      <w:pPr>
        <w:pStyle w:val="60"/>
        <w:tabs>
          <w:tab w:val="left" w:pos="420"/>
        </w:tabs>
        <w:rPr>
          <w:rFonts w:ascii="Times New Roman" w:eastAsia="宋体"/>
          <w:color w:val="auto"/>
        </w:rPr>
      </w:pPr>
      <w:r>
        <w:rPr>
          <w:rFonts w:ascii="Times New Roman" w:eastAsia="宋体"/>
          <w:color w:val="auto"/>
        </w:rPr>
        <w:t>化学成份检测不合格时，则判该批产品不合格。</w:t>
      </w:r>
    </w:p>
    <w:p>
      <w:pPr>
        <w:pStyle w:val="60"/>
        <w:tabs>
          <w:tab w:val="left" w:pos="420"/>
        </w:tabs>
        <w:rPr>
          <w:rFonts w:ascii="Times New Roman" w:eastAsia="宋体"/>
          <w:color w:val="auto"/>
        </w:rPr>
      </w:pPr>
      <w:r>
        <w:rPr>
          <w:rFonts w:hint="eastAsia" w:ascii="Times New Roman" w:eastAsia="宋体"/>
          <w:color w:val="auto"/>
        </w:rPr>
        <w:t>盘状</w:t>
      </w:r>
      <w:r>
        <w:rPr>
          <w:rFonts w:ascii="宋体" w:hAnsi="宋体" w:eastAsia="宋体"/>
          <w:color w:val="auto"/>
        </w:rPr>
        <w:t>镍阳极</w:t>
      </w:r>
      <w:r>
        <w:rPr>
          <w:rFonts w:hint="eastAsia" w:ascii="宋体" w:hAnsi="宋体" w:eastAsia="宋体"/>
          <w:color w:val="auto"/>
        </w:rPr>
        <w:t>的外形</w:t>
      </w:r>
      <w:r>
        <w:rPr>
          <w:rFonts w:ascii="Times New Roman" w:eastAsia="宋体"/>
          <w:color w:val="auto"/>
        </w:rPr>
        <w:t>尺寸</w:t>
      </w:r>
      <w:r>
        <w:rPr>
          <w:rFonts w:hint="eastAsia" w:ascii="Times New Roman" w:eastAsia="宋体"/>
          <w:color w:val="auto"/>
        </w:rPr>
        <w:t>及</w:t>
      </w:r>
      <w:r>
        <w:rPr>
          <w:rFonts w:ascii="Times New Roman" w:eastAsia="宋体"/>
          <w:color w:val="auto"/>
        </w:rPr>
        <w:t>外观质量</w:t>
      </w:r>
      <w:r>
        <w:rPr>
          <w:rFonts w:hint="eastAsia" w:ascii="Times New Roman" w:eastAsia="宋体"/>
          <w:color w:val="auto"/>
        </w:rPr>
        <w:t>的</w:t>
      </w:r>
      <w:r>
        <w:rPr>
          <w:rFonts w:ascii="Times New Roman" w:eastAsia="宋体"/>
          <w:color w:val="auto"/>
        </w:rPr>
        <w:t>检</w:t>
      </w:r>
      <w:r>
        <w:rPr>
          <w:rFonts w:hint="eastAsia" w:ascii="Times New Roman" w:eastAsia="宋体"/>
          <w:color w:val="auto"/>
        </w:rPr>
        <w:t>验</w:t>
      </w:r>
      <w:r>
        <w:rPr>
          <w:rFonts w:ascii="Times New Roman" w:eastAsia="宋体"/>
          <w:color w:val="auto"/>
        </w:rPr>
        <w:t>不合格时，判该件</w:t>
      </w:r>
      <w:r>
        <w:rPr>
          <w:rFonts w:hint="eastAsia" w:ascii="Times New Roman" w:eastAsia="宋体"/>
          <w:color w:val="auto"/>
        </w:rPr>
        <w:t>产品</w:t>
      </w:r>
      <w:r>
        <w:rPr>
          <w:rFonts w:ascii="Times New Roman" w:eastAsia="宋体"/>
          <w:color w:val="auto"/>
        </w:rPr>
        <w:t>不合格。</w:t>
      </w:r>
      <w:r>
        <w:rPr>
          <w:rFonts w:hint="eastAsia" w:ascii="宋体" w:hAnsi="宋体" w:eastAsia="宋体"/>
          <w:color w:val="auto"/>
          <w:szCs w:val="21"/>
        </w:rPr>
        <w:t>粒状</w:t>
      </w:r>
      <w:r>
        <w:rPr>
          <w:rFonts w:ascii="宋体" w:hAnsi="宋体" w:eastAsia="宋体"/>
          <w:color w:val="auto"/>
        </w:rPr>
        <w:t>镍阳极</w:t>
      </w:r>
      <w:r>
        <w:rPr>
          <w:rFonts w:hint="eastAsia" w:ascii="宋体" w:hAnsi="宋体" w:eastAsia="宋体"/>
          <w:color w:val="auto"/>
        </w:rPr>
        <w:t>的外形</w:t>
      </w:r>
      <w:r>
        <w:rPr>
          <w:rFonts w:ascii="Times New Roman" w:eastAsia="宋体"/>
          <w:color w:val="auto"/>
        </w:rPr>
        <w:t>尺寸</w:t>
      </w:r>
      <w:r>
        <w:rPr>
          <w:rFonts w:hint="eastAsia" w:ascii="Times New Roman" w:eastAsia="宋体"/>
          <w:color w:val="auto"/>
        </w:rPr>
        <w:t>及</w:t>
      </w:r>
      <w:r>
        <w:rPr>
          <w:rFonts w:ascii="Times New Roman" w:eastAsia="宋体"/>
          <w:color w:val="auto"/>
        </w:rPr>
        <w:t>外观质量</w:t>
      </w:r>
      <w:r>
        <w:rPr>
          <w:rFonts w:hint="eastAsia" w:ascii="Times New Roman" w:eastAsia="宋体"/>
          <w:color w:val="auto"/>
        </w:rPr>
        <w:t>的</w:t>
      </w:r>
      <w:r>
        <w:rPr>
          <w:rFonts w:ascii="Times New Roman" w:eastAsia="宋体"/>
          <w:color w:val="auto"/>
        </w:rPr>
        <w:t>检</w:t>
      </w:r>
      <w:r>
        <w:rPr>
          <w:rFonts w:hint="eastAsia" w:ascii="Times New Roman" w:eastAsia="宋体"/>
          <w:color w:val="auto"/>
        </w:rPr>
        <w:t>验</w:t>
      </w:r>
      <w:r>
        <w:rPr>
          <w:rFonts w:ascii="Times New Roman" w:eastAsia="宋体"/>
          <w:color w:val="auto"/>
        </w:rPr>
        <w:t>不合格时，</w:t>
      </w:r>
      <w:r>
        <w:rPr>
          <w:rFonts w:hint="eastAsia" w:ascii="宋体" w:eastAsia="宋体"/>
          <w:color w:val="auto"/>
          <w:kern w:val="2"/>
          <w:szCs w:val="24"/>
        </w:rPr>
        <w:t>每批中不合格件数超出接收质量限时判整批不合格</w:t>
      </w:r>
      <w:r>
        <w:rPr>
          <w:rFonts w:ascii="Times New Roman" w:eastAsia="宋体"/>
          <w:color w:val="auto"/>
        </w:rPr>
        <w:t>，</w:t>
      </w:r>
      <w:r>
        <w:rPr>
          <w:rFonts w:hint="eastAsia" w:ascii="宋体" w:eastAsia="宋体"/>
          <w:color w:val="auto"/>
          <w:kern w:val="2"/>
          <w:szCs w:val="24"/>
        </w:rPr>
        <w:t>或由供方逐件检验</w:t>
      </w:r>
      <w:r>
        <w:rPr>
          <w:rFonts w:ascii="Times New Roman" w:eastAsia="宋体"/>
          <w:color w:val="auto"/>
        </w:rPr>
        <w:t>，</w:t>
      </w:r>
      <w:r>
        <w:rPr>
          <w:rFonts w:hint="eastAsia" w:ascii="宋体" w:eastAsia="宋体"/>
          <w:color w:val="auto"/>
          <w:kern w:val="2"/>
          <w:szCs w:val="24"/>
        </w:rPr>
        <w:t>逐件判定。</w:t>
      </w:r>
    </w:p>
    <w:p>
      <w:pPr>
        <w:pStyle w:val="60"/>
        <w:tabs>
          <w:tab w:val="left" w:pos="420"/>
        </w:tabs>
        <w:rPr>
          <w:rFonts w:ascii="Times New Roman" w:eastAsia="宋体"/>
          <w:color w:val="auto"/>
        </w:rPr>
      </w:pPr>
      <w:r>
        <w:rPr>
          <w:rFonts w:asciiTheme="minorEastAsia" w:hAnsiTheme="minorEastAsia" w:eastAsiaTheme="minorEastAsia"/>
          <w:color w:val="auto"/>
        </w:rPr>
        <w:t>晶粒</w:t>
      </w:r>
      <w:r>
        <w:rPr>
          <w:rFonts w:hint="eastAsia" w:asciiTheme="minorEastAsia" w:hAnsiTheme="minorEastAsia" w:eastAsiaTheme="minorEastAsia"/>
          <w:color w:val="auto"/>
        </w:rPr>
        <w:t>度检验结果</w:t>
      </w:r>
      <w:r>
        <w:rPr>
          <w:rFonts w:asciiTheme="minorEastAsia" w:hAnsiTheme="minorEastAsia" w:eastAsiaTheme="minorEastAsia"/>
          <w:color w:val="auto"/>
        </w:rPr>
        <w:t>不合格时，</w:t>
      </w:r>
      <w:r>
        <w:rPr>
          <w:rFonts w:hint="eastAsia" w:asciiTheme="majorEastAsia" w:hAnsiTheme="majorEastAsia" w:eastAsiaTheme="majorEastAsia"/>
          <w:color w:val="auto"/>
        </w:rPr>
        <w:t>应</w:t>
      </w:r>
      <w:r>
        <w:rPr>
          <w:rFonts w:hint="eastAsia" w:asciiTheme="minorEastAsia" w:hAnsiTheme="minorEastAsia" w:eastAsiaTheme="minorEastAsia"/>
          <w:color w:val="auto"/>
        </w:rPr>
        <w:t>从</w:t>
      </w:r>
      <w:r>
        <w:rPr>
          <w:rFonts w:hint="eastAsia" w:ascii="Times New Roman" w:eastAsia="宋体"/>
          <w:color w:val="auto"/>
        </w:rPr>
        <w:t>该批</w:t>
      </w:r>
      <w:r>
        <w:rPr>
          <w:rFonts w:ascii="Times New Roman" w:eastAsia="宋体"/>
          <w:color w:val="auto"/>
        </w:rPr>
        <w:t>镍阳极</w:t>
      </w:r>
      <w:r>
        <w:rPr>
          <w:rFonts w:hint="eastAsia" w:ascii="Times New Roman" w:eastAsia="宋体"/>
          <w:color w:val="auto"/>
        </w:rPr>
        <w:t>中</w:t>
      </w:r>
      <w:r>
        <w:rPr>
          <w:rFonts w:ascii="Times New Roman" w:eastAsia="宋体"/>
          <w:color w:val="auto"/>
        </w:rPr>
        <w:t>取双</w:t>
      </w:r>
      <w:r>
        <w:rPr>
          <w:rFonts w:asciiTheme="minorEastAsia" w:hAnsiTheme="minorEastAsia" w:eastAsiaTheme="minorEastAsia"/>
          <w:color w:val="auto"/>
        </w:rPr>
        <w:t>倍</w:t>
      </w:r>
      <w:r>
        <w:rPr>
          <w:rFonts w:hint="eastAsia" w:asciiTheme="minorEastAsia" w:hAnsiTheme="minorEastAsia" w:eastAsiaTheme="minorEastAsia"/>
          <w:color w:val="auto"/>
        </w:rPr>
        <w:t>数量的</w:t>
      </w:r>
      <w:r>
        <w:rPr>
          <w:rFonts w:asciiTheme="minorEastAsia" w:hAnsiTheme="minorEastAsia" w:eastAsiaTheme="minorEastAsia"/>
          <w:color w:val="auto"/>
        </w:rPr>
        <w:t>试样</w:t>
      </w:r>
      <w:r>
        <w:rPr>
          <w:rFonts w:hint="eastAsia" w:asciiTheme="minorEastAsia" w:hAnsiTheme="minorEastAsia" w:eastAsiaTheme="minorEastAsia"/>
          <w:color w:val="auto"/>
        </w:rPr>
        <w:t>（其中一个试样必须取自原检验不合格的那件产品）</w:t>
      </w:r>
      <w:r>
        <w:rPr>
          <w:rFonts w:asciiTheme="minorEastAsia" w:hAnsiTheme="minorEastAsia" w:eastAsiaTheme="minorEastAsia"/>
          <w:color w:val="auto"/>
        </w:rPr>
        <w:t>进行重复试验，重复试验</w:t>
      </w:r>
      <w:r>
        <w:rPr>
          <w:rFonts w:hint="eastAsia" w:asciiTheme="minorEastAsia" w:hAnsiTheme="minorEastAsia" w:eastAsiaTheme="minorEastAsia"/>
          <w:color w:val="auto"/>
        </w:rPr>
        <w:t>结果全部合格，则判整批产品合格。</w:t>
      </w:r>
      <w:r>
        <w:rPr>
          <w:rFonts w:asciiTheme="minorEastAsia" w:hAnsiTheme="minorEastAsia" w:eastAsiaTheme="minorEastAsia"/>
          <w:color w:val="auto"/>
        </w:rPr>
        <w:t>若</w:t>
      </w:r>
      <w:r>
        <w:rPr>
          <w:rFonts w:hint="eastAsia" w:asciiTheme="minorEastAsia" w:hAnsiTheme="minorEastAsia" w:eastAsiaTheme="minorEastAsia"/>
          <w:color w:val="auto"/>
        </w:rPr>
        <w:t>重复试验结果仍有试样不合格</w:t>
      </w:r>
      <w:r>
        <w:rPr>
          <w:rFonts w:asciiTheme="minorEastAsia" w:hAnsiTheme="minorEastAsia" w:eastAsiaTheme="minorEastAsia"/>
          <w:color w:val="auto"/>
        </w:rPr>
        <w:t>，则判整批产品不合格。</w:t>
      </w:r>
    </w:p>
    <w:p>
      <w:pPr>
        <w:pStyle w:val="58"/>
        <w:spacing w:before="312" w:beforeLines="100" w:after="312" w:afterLines="100"/>
        <w:rPr>
          <w:rFonts w:ascii="Times New Roman"/>
          <w:color w:val="auto"/>
        </w:rPr>
      </w:pPr>
      <w:r>
        <w:rPr>
          <w:rFonts w:ascii="Times New Roman"/>
          <w:color w:val="auto"/>
        </w:rPr>
        <w:t>标志、包装、运输、贮存和随行文件</w:t>
      </w:r>
    </w:p>
    <w:p>
      <w:pPr>
        <w:pStyle w:val="59"/>
        <w:tabs>
          <w:tab w:val="left" w:pos="420"/>
        </w:tabs>
        <w:spacing w:before="156" w:beforeLines="50" w:after="156" w:afterLines="50"/>
        <w:rPr>
          <w:rFonts w:ascii="Times New Roman"/>
          <w:color w:val="auto"/>
        </w:rPr>
      </w:pPr>
      <w:r>
        <w:rPr>
          <w:rFonts w:ascii="Times New Roman"/>
          <w:color w:val="auto"/>
        </w:rPr>
        <w:t>标志</w:t>
      </w:r>
    </w:p>
    <w:p>
      <w:pPr>
        <w:pStyle w:val="60"/>
        <w:tabs>
          <w:tab w:val="left" w:pos="420"/>
        </w:tabs>
        <w:rPr>
          <w:rFonts w:ascii="Times New Roman" w:eastAsia="宋体"/>
          <w:color w:val="auto"/>
        </w:rPr>
      </w:pPr>
      <w:r>
        <w:rPr>
          <w:rFonts w:ascii="Times New Roman" w:eastAsia="宋体"/>
          <w:color w:val="auto"/>
        </w:rPr>
        <w:t>每块检验合格的镍阳极上应进行如下标记：</w:t>
      </w:r>
    </w:p>
    <w:p>
      <w:pPr>
        <w:numPr>
          <w:ilvl w:val="1"/>
          <w:numId w:val="11"/>
        </w:numPr>
        <w:rPr>
          <w:color w:val="auto"/>
        </w:rPr>
      </w:pPr>
      <w:r>
        <w:rPr>
          <w:color w:val="auto"/>
        </w:rPr>
        <w:t>供应商名称；</w:t>
      </w:r>
    </w:p>
    <w:p>
      <w:pPr>
        <w:numPr>
          <w:ilvl w:val="1"/>
          <w:numId w:val="11"/>
        </w:numPr>
        <w:rPr>
          <w:color w:val="auto"/>
        </w:rPr>
      </w:pPr>
      <w:r>
        <w:rPr>
          <w:color w:val="auto"/>
        </w:rPr>
        <w:t xml:space="preserve">产品名称和牌号； </w:t>
      </w:r>
    </w:p>
    <w:p>
      <w:pPr>
        <w:numPr>
          <w:ilvl w:val="1"/>
          <w:numId w:val="11"/>
        </w:numPr>
        <w:rPr>
          <w:color w:val="auto"/>
        </w:rPr>
      </w:pPr>
      <w:r>
        <w:rPr>
          <w:color w:val="auto"/>
        </w:rPr>
        <w:t>产品规格；</w:t>
      </w:r>
    </w:p>
    <w:p>
      <w:pPr>
        <w:numPr>
          <w:ilvl w:val="1"/>
          <w:numId w:val="11"/>
        </w:numPr>
        <w:jc w:val="left"/>
        <w:rPr>
          <w:color w:val="auto"/>
        </w:rPr>
      </w:pPr>
      <w:r>
        <w:rPr>
          <w:color w:val="auto"/>
        </w:rPr>
        <w:t>批号。</w:t>
      </w:r>
    </w:p>
    <w:p>
      <w:pPr>
        <w:pStyle w:val="60"/>
        <w:tabs>
          <w:tab w:val="left" w:pos="420"/>
        </w:tabs>
        <w:rPr>
          <w:rFonts w:ascii="Times New Roman" w:eastAsia="宋体"/>
          <w:color w:val="auto"/>
        </w:rPr>
      </w:pPr>
      <w:r>
        <w:rPr>
          <w:rFonts w:ascii="Times New Roman" w:eastAsia="宋体"/>
          <w:color w:val="auto"/>
        </w:rPr>
        <w:t>产品外包装上应贴标签，内容包括：</w:t>
      </w:r>
    </w:p>
    <w:p>
      <w:pPr>
        <w:numPr>
          <w:ilvl w:val="1"/>
          <w:numId w:val="12"/>
        </w:numPr>
        <w:rPr>
          <w:color w:val="auto"/>
        </w:rPr>
      </w:pPr>
      <w:r>
        <w:rPr>
          <w:color w:val="auto"/>
        </w:rPr>
        <w:t>供应商名称；</w:t>
      </w:r>
    </w:p>
    <w:p>
      <w:pPr>
        <w:numPr>
          <w:ilvl w:val="1"/>
          <w:numId w:val="12"/>
        </w:numPr>
        <w:rPr>
          <w:color w:val="auto"/>
        </w:rPr>
      </w:pPr>
      <w:r>
        <w:rPr>
          <w:color w:val="auto"/>
        </w:rPr>
        <w:t>产品名称和牌号；</w:t>
      </w:r>
    </w:p>
    <w:p>
      <w:pPr>
        <w:numPr>
          <w:ilvl w:val="1"/>
          <w:numId w:val="12"/>
        </w:numPr>
        <w:rPr>
          <w:color w:val="auto"/>
        </w:rPr>
      </w:pPr>
      <w:r>
        <w:rPr>
          <w:color w:val="auto"/>
        </w:rPr>
        <w:t>批号；</w:t>
      </w:r>
    </w:p>
    <w:p>
      <w:pPr>
        <w:numPr>
          <w:ilvl w:val="1"/>
          <w:numId w:val="12"/>
        </w:numPr>
        <w:rPr>
          <w:color w:val="auto"/>
        </w:rPr>
      </w:pPr>
      <w:r>
        <w:rPr>
          <w:color w:val="auto"/>
        </w:rPr>
        <w:t>生产日期；</w:t>
      </w:r>
    </w:p>
    <w:p>
      <w:pPr>
        <w:numPr>
          <w:ilvl w:val="1"/>
          <w:numId w:val="12"/>
        </w:numPr>
        <w:rPr>
          <w:color w:val="auto"/>
        </w:rPr>
      </w:pPr>
      <w:r>
        <w:rPr>
          <w:color w:val="auto"/>
        </w:rPr>
        <w:t>生产企业地址</w:t>
      </w:r>
      <w:r>
        <w:rPr>
          <w:rFonts w:hint="eastAsia"/>
          <w:color w:val="auto"/>
        </w:rPr>
        <w:t>；</w:t>
      </w:r>
    </w:p>
    <w:p>
      <w:pPr>
        <w:numPr>
          <w:ilvl w:val="1"/>
          <w:numId w:val="12"/>
        </w:numPr>
        <w:rPr>
          <w:color w:val="auto"/>
        </w:rPr>
      </w:pPr>
      <w:r>
        <w:rPr>
          <w:rFonts w:hint="eastAsia"/>
          <w:color w:val="auto"/>
        </w:rPr>
        <w:t>本文件编号。</w:t>
      </w:r>
      <w:r>
        <w:rPr>
          <w:color w:val="auto"/>
        </w:rPr>
        <w:t xml:space="preserve"> </w:t>
      </w:r>
    </w:p>
    <w:p>
      <w:pPr>
        <w:pStyle w:val="59"/>
        <w:tabs>
          <w:tab w:val="left" w:pos="420"/>
        </w:tabs>
        <w:spacing w:before="156" w:beforeLines="50" w:after="156" w:afterLines="50"/>
        <w:rPr>
          <w:rFonts w:ascii="Times New Roman"/>
          <w:color w:val="auto"/>
        </w:rPr>
      </w:pPr>
      <w:r>
        <w:rPr>
          <w:rFonts w:ascii="Times New Roman"/>
          <w:color w:val="auto"/>
        </w:rPr>
        <w:t xml:space="preserve">包装 </w:t>
      </w:r>
    </w:p>
    <w:p>
      <w:pPr>
        <w:pStyle w:val="60"/>
        <w:tabs>
          <w:tab w:val="left" w:pos="420"/>
        </w:tabs>
        <w:spacing w:before="156" w:beforeLines="50" w:after="156" w:afterLines="50"/>
        <w:rPr>
          <w:rFonts w:ascii="Times New Roman" w:eastAsia="宋体"/>
          <w:color w:val="auto"/>
        </w:rPr>
      </w:pPr>
      <w:r>
        <w:rPr>
          <w:rFonts w:ascii="Times New Roman" w:eastAsia="宋体"/>
          <w:color w:val="auto"/>
        </w:rPr>
        <w:t>产品包装应</w:t>
      </w:r>
      <w:r>
        <w:rPr>
          <w:rFonts w:hint="eastAsia" w:ascii="Times New Roman" w:eastAsia="宋体"/>
          <w:color w:val="auto"/>
        </w:rPr>
        <w:t>在百</w:t>
      </w:r>
      <w:r>
        <w:rPr>
          <w:rFonts w:ascii="Times New Roman" w:eastAsia="宋体"/>
          <w:color w:val="auto"/>
        </w:rPr>
        <w:t>级洁净间内进行，</w:t>
      </w:r>
      <w:r>
        <w:rPr>
          <w:rFonts w:hint="eastAsia" w:ascii="Times New Roman" w:eastAsia="宋体"/>
          <w:color w:val="auto"/>
        </w:rPr>
        <w:t>镍阳极应真空包装（</w:t>
      </w:r>
      <w:r>
        <w:rPr>
          <w:rFonts w:ascii="Times New Roman" w:eastAsia="宋体"/>
          <w:color w:val="auto"/>
        </w:rPr>
        <w:t>每块</w:t>
      </w:r>
      <w:r>
        <w:rPr>
          <w:rFonts w:hint="eastAsia" w:ascii="Times New Roman" w:eastAsia="宋体"/>
          <w:color w:val="auto"/>
        </w:rPr>
        <w:t>盘状</w:t>
      </w:r>
      <w:r>
        <w:rPr>
          <w:rFonts w:ascii="Times New Roman" w:eastAsia="宋体"/>
          <w:color w:val="auto"/>
        </w:rPr>
        <w:t>镍阳极</w:t>
      </w:r>
      <w:r>
        <w:rPr>
          <w:rFonts w:hint="eastAsia" w:ascii="Times New Roman" w:eastAsia="宋体"/>
          <w:color w:val="auto"/>
        </w:rPr>
        <w:t>应</w:t>
      </w:r>
      <w:r>
        <w:rPr>
          <w:rFonts w:ascii="Times New Roman" w:eastAsia="宋体"/>
          <w:color w:val="auto"/>
        </w:rPr>
        <w:t>独立真空包装</w:t>
      </w:r>
      <w:r>
        <w:rPr>
          <w:rFonts w:hint="eastAsia" w:ascii="Times New Roman" w:eastAsia="宋体"/>
          <w:color w:val="auto"/>
        </w:rPr>
        <w:t>）</w:t>
      </w:r>
      <w:r>
        <w:rPr>
          <w:rFonts w:ascii="Times New Roman" w:eastAsia="宋体"/>
          <w:color w:val="auto"/>
        </w:rPr>
        <w:t>。</w:t>
      </w:r>
    </w:p>
    <w:p>
      <w:pPr>
        <w:pStyle w:val="60"/>
        <w:tabs>
          <w:tab w:val="left" w:pos="420"/>
        </w:tabs>
        <w:spacing w:before="156" w:beforeLines="50" w:after="156" w:afterLines="50"/>
        <w:rPr>
          <w:rFonts w:ascii="Times New Roman" w:eastAsia="宋体"/>
          <w:color w:val="auto"/>
        </w:rPr>
      </w:pPr>
      <w:r>
        <w:rPr>
          <w:rFonts w:ascii="Times New Roman" w:eastAsia="宋体"/>
          <w:color w:val="auto"/>
        </w:rPr>
        <w:t>外包装采用纸盒或中空盒包装。包装盒内应有软质填充。将</w:t>
      </w:r>
      <w:r>
        <w:rPr>
          <w:rFonts w:asciiTheme="minorEastAsia" w:hAnsiTheme="minorEastAsia" w:eastAsiaTheme="minorEastAsia"/>
          <w:color w:val="auto"/>
          <w:szCs w:val="21"/>
        </w:rPr>
        <w:t>随行文件</w:t>
      </w:r>
      <w:r>
        <w:rPr>
          <w:rFonts w:ascii="Times New Roman" w:eastAsia="宋体"/>
          <w:color w:val="auto"/>
        </w:rPr>
        <w:t>用塑封袋装好后放于包装盒内。</w:t>
      </w:r>
    </w:p>
    <w:p>
      <w:pPr>
        <w:pStyle w:val="59"/>
        <w:tabs>
          <w:tab w:val="left" w:pos="420"/>
        </w:tabs>
        <w:spacing w:before="156" w:beforeLines="50" w:after="156" w:afterLines="50"/>
        <w:rPr>
          <w:rFonts w:ascii="Times New Roman"/>
          <w:color w:val="auto"/>
        </w:rPr>
      </w:pPr>
      <w:r>
        <w:rPr>
          <w:rFonts w:ascii="Times New Roman"/>
          <w:color w:val="auto"/>
        </w:rPr>
        <w:t xml:space="preserve">运输和贮存 </w:t>
      </w:r>
    </w:p>
    <w:p>
      <w:pPr>
        <w:pStyle w:val="60"/>
        <w:numPr>
          <w:ilvl w:val="0"/>
          <w:numId w:val="0"/>
        </w:numPr>
        <w:tabs>
          <w:tab w:val="left" w:pos="420"/>
        </w:tabs>
        <w:spacing w:before="156" w:beforeLines="50" w:after="156" w:afterLines="50"/>
        <w:rPr>
          <w:rFonts w:ascii="Times New Roman"/>
          <w:color w:val="auto"/>
        </w:rPr>
      </w:pPr>
      <w:r>
        <w:rPr>
          <w:rFonts w:ascii="Times New Roman" w:eastAsia="宋体"/>
          <w:color w:val="auto"/>
        </w:rPr>
        <w:tab/>
      </w:r>
      <w:r>
        <w:rPr>
          <w:rFonts w:ascii="Times New Roman" w:eastAsia="宋体"/>
          <w:color w:val="auto"/>
        </w:rPr>
        <w:t>运输和贮运过程中，应注意防震、防潮、防压、防止二次污染。</w:t>
      </w:r>
    </w:p>
    <w:p>
      <w:pPr>
        <w:pStyle w:val="59"/>
        <w:widowControl w:val="0"/>
        <w:tabs>
          <w:tab w:val="left" w:pos="420"/>
        </w:tabs>
        <w:adjustRightInd w:val="0"/>
        <w:snapToGrid w:val="0"/>
        <w:spacing w:before="156" w:beforeLines="50" w:after="156" w:afterLines="50"/>
        <w:jc w:val="left"/>
        <w:textAlignment w:val="baseline"/>
        <w:rPr>
          <w:rFonts w:ascii="Times New Roman"/>
          <w:color w:val="auto"/>
          <w:szCs w:val="22"/>
        </w:rPr>
      </w:pPr>
      <w:r>
        <w:rPr>
          <w:rFonts w:ascii="Times New Roman"/>
          <w:color w:val="auto"/>
          <w:szCs w:val="22"/>
        </w:rPr>
        <w:t>随行文件</w:t>
      </w:r>
    </w:p>
    <w:p>
      <w:pPr>
        <w:ind w:firstLine="420" w:firstLineChars="200"/>
        <w:rPr>
          <w:color w:val="auto"/>
          <w:szCs w:val="21"/>
        </w:rPr>
      </w:pPr>
      <w:r>
        <w:rPr>
          <w:color w:val="auto"/>
          <w:szCs w:val="21"/>
        </w:rPr>
        <w:t>每批产品应附有随行文件，其中除应包括供方信息、产品信息、本文件编号、出厂日期或包装日期外，还宜包括：</w:t>
      </w:r>
    </w:p>
    <w:p>
      <w:pPr>
        <w:numPr>
          <w:ilvl w:val="0"/>
          <w:numId w:val="13"/>
        </w:numPr>
        <w:tabs>
          <w:tab w:val="left" w:pos="780"/>
        </w:tabs>
        <w:ind w:left="420" w:firstLine="420" w:firstLineChars="200"/>
        <w:jc w:val="left"/>
        <w:rPr>
          <w:color w:val="auto"/>
          <w:szCs w:val="21"/>
        </w:rPr>
      </w:pPr>
      <w:r>
        <w:rPr>
          <w:color w:val="auto"/>
          <w:szCs w:val="21"/>
          <w:shd w:val="clear" w:color="auto" w:fill="FFFFFF"/>
        </w:rPr>
        <w:t>产品质量保证书，内容如下</w:t>
      </w:r>
      <w:r>
        <w:rPr>
          <w:color w:val="auto"/>
          <w:szCs w:val="21"/>
        </w:rPr>
        <w:t>：</w:t>
      </w:r>
    </w:p>
    <w:p>
      <w:pPr>
        <w:tabs>
          <w:tab w:val="left" w:pos="780"/>
          <w:tab w:val="left" w:pos="7407"/>
        </w:tabs>
        <w:ind w:firstLine="1260" w:firstLineChars="600"/>
        <w:rPr>
          <w:color w:val="auto"/>
          <w:szCs w:val="21"/>
        </w:rPr>
      </w:pPr>
      <w:r>
        <w:rPr>
          <w:color w:val="auto"/>
          <w:szCs w:val="21"/>
        </w:rPr>
        <w:t>·  产品的主要性能及技术参数；</w:t>
      </w:r>
      <w:r>
        <w:rPr>
          <w:color w:val="auto"/>
          <w:szCs w:val="21"/>
        </w:rPr>
        <w:tab/>
      </w:r>
    </w:p>
    <w:p>
      <w:pPr>
        <w:tabs>
          <w:tab w:val="left" w:pos="780"/>
        </w:tabs>
        <w:ind w:left="420" w:firstLine="840" w:firstLineChars="400"/>
        <w:rPr>
          <w:color w:val="auto"/>
          <w:szCs w:val="21"/>
        </w:rPr>
      </w:pPr>
      <w:r>
        <w:rPr>
          <w:color w:val="auto"/>
          <w:szCs w:val="21"/>
        </w:rPr>
        <w:t>·  产品特点（包括制造工艺及原材料的特点）；</w:t>
      </w:r>
    </w:p>
    <w:p>
      <w:pPr>
        <w:tabs>
          <w:tab w:val="left" w:pos="780"/>
        </w:tabs>
        <w:ind w:left="420" w:firstLine="840" w:firstLineChars="400"/>
        <w:rPr>
          <w:color w:val="auto"/>
          <w:szCs w:val="21"/>
        </w:rPr>
      </w:pPr>
      <w:r>
        <w:rPr>
          <w:color w:val="auto"/>
          <w:szCs w:val="21"/>
        </w:rPr>
        <w:t>·  对产品质量所负的责任；</w:t>
      </w:r>
    </w:p>
    <w:p>
      <w:pPr>
        <w:tabs>
          <w:tab w:val="left" w:pos="780"/>
        </w:tabs>
        <w:ind w:left="420" w:firstLine="840" w:firstLineChars="400"/>
        <w:rPr>
          <w:color w:val="auto"/>
          <w:szCs w:val="21"/>
        </w:rPr>
      </w:pPr>
      <w:r>
        <w:rPr>
          <w:color w:val="auto"/>
          <w:szCs w:val="21"/>
        </w:rPr>
        <w:t>·  产品获得的质量认证及</w:t>
      </w:r>
      <w:r>
        <w:rPr>
          <w:color w:val="auto"/>
          <w:szCs w:val="21"/>
          <w:shd w:val="clear" w:color="auto" w:fill="FFFFFF"/>
        </w:rPr>
        <w:t>带</w:t>
      </w:r>
      <w:r>
        <w:rPr>
          <w:color w:val="auto"/>
          <w:szCs w:val="21"/>
        </w:rPr>
        <w:t>供方技术监督部门检印的各项分析检验结果。</w:t>
      </w:r>
    </w:p>
    <w:p>
      <w:pPr>
        <w:numPr>
          <w:ilvl w:val="0"/>
          <w:numId w:val="13"/>
        </w:numPr>
        <w:tabs>
          <w:tab w:val="left" w:pos="780"/>
        </w:tabs>
        <w:ind w:left="420" w:firstLine="420" w:firstLineChars="200"/>
        <w:jc w:val="left"/>
        <w:rPr>
          <w:color w:val="auto"/>
          <w:szCs w:val="21"/>
        </w:rPr>
      </w:pPr>
      <w:r>
        <w:rPr>
          <w:color w:val="auto"/>
          <w:szCs w:val="21"/>
          <w:shd w:val="clear" w:color="auto" w:fill="FFFFFF"/>
        </w:rPr>
        <w:t>产品合格证，内容如下：</w:t>
      </w:r>
    </w:p>
    <w:p>
      <w:pPr>
        <w:tabs>
          <w:tab w:val="left" w:pos="780"/>
        </w:tabs>
        <w:ind w:left="420" w:firstLine="840" w:firstLineChars="400"/>
        <w:rPr>
          <w:color w:val="auto"/>
          <w:szCs w:val="21"/>
        </w:rPr>
      </w:pPr>
      <w:r>
        <w:rPr>
          <w:color w:val="auto"/>
          <w:szCs w:val="21"/>
        </w:rPr>
        <w:t>·  检验项目及其结果或检验结论；</w:t>
      </w:r>
    </w:p>
    <w:p>
      <w:pPr>
        <w:tabs>
          <w:tab w:val="left" w:pos="780"/>
        </w:tabs>
        <w:ind w:left="420" w:firstLine="840" w:firstLineChars="400"/>
        <w:rPr>
          <w:color w:val="auto"/>
          <w:szCs w:val="21"/>
        </w:rPr>
      </w:pPr>
      <w:r>
        <w:rPr>
          <w:color w:val="auto"/>
          <w:szCs w:val="21"/>
        </w:rPr>
        <w:t>·  批量或批号；</w:t>
      </w:r>
    </w:p>
    <w:p>
      <w:pPr>
        <w:tabs>
          <w:tab w:val="left" w:pos="780"/>
        </w:tabs>
        <w:ind w:left="420" w:firstLine="840" w:firstLineChars="400"/>
        <w:rPr>
          <w:color w:val="auto"/>
          <w:szCs w:val="21"/>
        </w:rPr>
      </w:pPr>
      <w:r>
        <w:rPr>
          <w:color w:val="auto"/>
          <w:szCs w:val="21"/>
        </w:rPr>
        <w:t>·  检验日期；</w:t>
      </w:r>
    </w:p>
    <w:p>
      <w:pPr>
        <w:tabs>
          <w:tab w:val="left" w:pos="780"/>
        </w:tabs>
        <w:ind w:left="420" w:firstLine="840" w:firstLineChars="400"/>
        <w:rPr>
          <w:color w:val="auto"/>
          <w:szCs w:val="21"/>
        </w:rPr>
      </w:pPr>
      <w:r>
        <w:rPr>
          <w:color w:val="auto"/>
          <w:szCs w:val="21"/>
        </w:rPr>
        <w:t>·  检验员签名或盖章。</w:t>
      </w:r>
    </w:p>
    <w:p>
      <w:pPr>
        <w:numPr>
          <w:ilvl w:val="0"/>
          <w:numId w:val="13"/>
        </w:numPr>
        <w:tabs>
          <w:tab w:val="left" w:pos="780"/>
        </w:tabs>
        <w:ind w:left="420" w:firstLine="420" w:firstLineChars="200"/>
        <w:jc w:val="left"/>
        <w:rPr>
          <w:color w:val="auto"/>
          <w:szCs w:val="21"/>
        </w:rPr>
      </w:pPr>
      <w:r>
        <w:rPr>
          <w:color w:val="auto"/>
          <w:szCs w:val="21"/>
          <w:shd w:val="clear" w:color="auto" w:fill="FFFFFF"/>
        </w:rPr>
        <w:t>产品</w:t>
      </w:r>
      <w:r>
        <w:rPr>
          <w:color w:val="auto"/>
          <w:szCs w:val="21"/>
        </w:rPr>
        <w:t>质量控制过程中的检验报告及成品检验报告</w:t>
      </w:r>
      <w:r>
        <w:rPr>
          <w:color w:val="auto"/>
          <w:szCs w:val="21"/>
          <w:shd w:val="clear" w:color="auto" w:fill="FFFFFF"/>
        </w:rPr>
        <w:t>；</w:t>
      </w:r>
    </w:p>
    <w:p>
      <w:pPr>
        <w:numPr>
          <w:ilvl w:val="0"/>
          <w:numId w:val="13"/>
        </w:numPr>
        <w:tabs>
          <w:tab w:val="left" w:pos="780"/>
        </w:tabs>
        <w:ind w:left="420" w:firstLine="420" w:firstLineChars="200"/>
        <w:jc w:val="left"/>
        <w:rPr>
          <w:color w:val="auto"/>
          <w:szCs w:val="21"/>
        </w:rPr>
      </w:pPr>
      <w:r>
        <w:rPr>
          <w:color w:val="auto"/>
          <w:szCs w:val="21"/>
          <w:shd w:val="clear" w:color="auto" w:fill="FFFFFF"/>
        </w:rPr>
        <w:t>产品使用说明：正确搬运、使用、贮存方法等；</w:t>
      </w:r>
    </w:p>
    <w:p>
      <w:pPr>
        <w:numPr>
          <w:ilvl w:val="0"/>
          <w:numId w:val="13"/>
        </w:numPr>
        <w:tabs>
          <w:tab w:val="left" w:pos="780"/>
        </w:tabs>
        <w:ind w:left="420" w:firstLine="420" w:firstLineChars="200"/>
        <w:jc w:val="left"/>
        <w:rPr>
          <w:color w:val="auto"/>
          <w:szCs w:val="21"/>
        </w:rPr>
      </w:pPr>
      <w:r>
        <w:rPr>
          <w:color w:val="auto"/>
          <w:szCs w:val="21"/>
        </w:rPr>
        <w:t>其他。</w:t>
      </w:r>
    </w:p>
    <w:p>
      <w:pPr>
        <w:pStyle w:val="58"/>
        <w:spacing w:before="312" w:beforeLines="100" w:after="312" w:afterLines="100"/>
        <w:rPr>
          <w:rFonts w:ascii="Times New Roman"/>
          <w:color w:val="auto"/>
        </w:rPr>
      </w:pPr>
      <w:r>
        <w:rPr>
          <w:rFonts w:ascii="Times New Roman"/>
          <w:color w:val="auto"/>
        </w:rPr>
        <w:t>订货</w:t>
      </w:r>
      <w:r>
        <w:rPr>
          <w:rFonts w:hint="eastAsia" w:ascii="Times New Roman"/>
          <w:color w:val="auto"/>
        </w:rPr>
        <w:t>单</w:t>
      </w:r>
      <w:r>
        <w:rPr>
          <w:rFonts w:ascii="Times New Roman"/>
          <w:color w:val="auto"/>
        </w:rPr>
        <w:t>内容</w:t>
      </w:r>
    </w:p>
    <w:p>
      <w:pPr>
        <w:ind w:firstLine="420" w:firstLineChars="200"/>
        <w:rPr>
          <w:color w:val="auto"/>
        </w:rPr>
      </w:pPr>
      <w:r>
        <w:rPr>
          <w:color w:val="auto"/>
        </w:rPr>
        <w:t>订购本文件所列产品的订货单内应包括下列内容：：</w:t>
      </w:r>
    </w:p>
    <w:p>
      <w:pPr>
        <w:ind w:firstLine="420" w:firstLineChars="200"/>
        <w:rPr>
          <w:color w:val="auto"/>
        </w:rPr>
      </w:pPr>
      <w:r>
        <w:rPr>
          <w:color w:val="auto"/>
        </w:rPr>
        <w:t>a）产品名称；</w:t>
      </w:r>
    </w:p>
    <w:p>
      <w:pPr>
        <w:ind w:firstLine="420" w:firstLineChars="200"/>
        <w:rPr>
          <w:color w:val="auto"/>
        </w:rPr>
      </w:pPr>
      <w:r>
        <w:rPr>
          <w:color w:val="auto"/>
        </w:rPr>
        <w:t>b）牌号；</w:t>
      </w:r>
    </w:p>
    <w:p>
      <w:pPr>
        <w:ind w:left="420"/>
        <w:rPr>
          <w:color w:val="auto"/>
        </w:rPr>
      </w:pPr>
      <w:r>
        <w:rPr>
          <w:color w:val="auto"/>
        </w:rPr>
        <w:t>c）规格；</w:t>
      </w:r>
    </w:p>
    <w:p>
      <w:pPr>
        <w:ind w:firstLine="420" w:firstLineChars="200"/>
        <w:rPr>
          <w:color w:val="auto"/>
        </w:rPr>
      </w:pPr>
      <w:r>
        <w:rPr>
          <w:color w:val="auto"/>
        </w:rPr>
        <w:t>d）数量；</w:t>
      </w:r>
    </w:p>
    <w:p>
      <w:pPr>
        <w:ind w:firstLine="420" w:firstLineChars="200"/>
        <w:rPr>
          <w:color w:val="auto"/>
        </w:rPr>
      </w:pPr>
      <w:r>
        <w:rPr>
          <w:color w:val="auto"/>
        </w:rPr>
        <w:t>e）本文件编号；</w:t>
      </w:r>
    </w:p>
    <w:p>
      <w:pPr>
        <w:ind w:firstLine="420" w:firstLineChars="200"/>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1520825</wp:posOffset>
                </wp:positionH>
                <wp:positionV relativeFrom="paragraph">
                  <wp:posOffset>2297430</wp:posOffset>
                </wp:positionV>
                <wp:extent cx="2185035" cy="635"/>
                <wp:effectExtent l="0" t="0" r="0" b="0"/>
                <wp:wrapNone/>
                <wp:docPr id="1" name="直线 27"/>
                <wp:cNvGraphicFramePr/>
                <a:graphic xmlns:a="http://schemas.openxmlformats.org/drawingml/2006/main">
                  <a:graphicData uri="http://schemas.microsoft.com/office/word/2010/wordprocessingShape">
                    <wps:wsp>
                      <wps:cNvCnPr/>
                      <wps:spPr>
                        <a:xfrm flipV="1">
                          <a:off x="0" y="0"/>
                          <a:ext cx="21850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flip:y;margin-left:119.75pt;margin-top:180.9pt;height:0.05pt;width:172.05pt;z-index:251660288;mso-width-relative:page;mso-height-relative:page;" filled="f" stroked="t" coordsize="21600,21600" o:gfxdata="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vh3A9gA&#10;AAALAQAADwAAAAAAAAABACAAAAAiAAAAZHJzL2Rvd25yZXYueG1sUEsBAhQAFAAAAAgAh07iQPFk&#10;S8rmAQAA3AMAAA4AAAAAAAAAAQAgAAAAJwEAAGRycy9lMm9Eb2MueG1sUEsFBgAAAAAGAAYAWQEA&#10;AH8FAAAAAA==&#10;">
                <v:fill on="f" focussize="0,0"/>
                <v:stroke color="#000000" joinstyle="round"/>
                <v:imagedata o:title=""/>
                <o:lock v:ext="edit" aspectratio="f"/>
              </v:line>
            </w:pict>
          </mc:Fallback>
        </mc:AlternateContent>
      </w:r>
      <w:r>
        <w:rPr>
          <w:color w:val="auto"/>
        </w:rPr>
        <w:t>f）其他。</w:t>
      </w:r>
    </w:p>
    <w:bookmarkEnd w:id="11"/>
    <w:sectPr>
      <w:footerReference r:id="rId13" w:type="default"/>
      <w:footerReference r:id="rId14" w:type="even"/>
      <w:pgSz w:w="11907" w:h="16839"/>
      <w:pgMar w:top="1440" w:right="1797" w:bottom="1440" w:left="1797"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5"/>
      </w:rPr>
    </w:pPr>
    <w:r>
      <w:fldChar w:fldCharType="begin"/>
    </w:r>
    <w:r>
      <w:rPr>
        <w:rStyle w:val="35"/>
      </w:rPr>
      <w:instrText xml:space="preserve">PAGE  </w:instrText>
    </w:r>
    <w:r>
      <w:fldChar w:fldCharType="separate"/>
    </w:r>
    <w:r>
      <w:rPr>
        <w:rStyle w:val="35"/>
      </w:rPr>
      <w:t>I</w:t>
    </w:r>
    <w:r>
      <w:fldChar w:fldCharType="end"/>
    </w:r>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5"/>
      </w:rPr>
    </w:pPr>
    <w:r>
      <w:fldChar w:fldCharType="begin"/>
    </w:r>
    <w:r>
      <w:rPr>
        <w:rStyle w:val="35"/>
      </w:rPr>
      <w:instrText xml:space="preserve">PAGE  </w:instrText>
    </w:r>
    <w:r>
      <w:fldChar w:fldCharType="separate"/>
    </w:r>
    <w:r>
      <w:rPr>
        <w:rStyle w:val="35"/>
      </w:rPr>
      <w:t>6</w:t>
    </w:r>
    <w:r>
      <w:fldChar w:fldCharType="end"/>
    </w:r>
  </w:p>
  <w:p>
    <w:pPr>
      <w:pStyle w:val="50"/>
      <w:ind w:right="360" w:firstLine="360"/>
      <w:rPr>
        <w:rStyle w:val="3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35"/>
      </w:rPr>
    </w:pPr>
    <w:r>
      <w:rPr>
        <w:rStyle w:val="35"/>
      </w:rPr>
      <w:fldChar w:fldCharType="begin"/>
    </w:r>
    <w:r>
      <w:rPr>
        <w:rStyle w:val="35"/>
      </w:rPr>
      <w:instrText xml:space="preserve">PAGE  </w:instrText>
    </w:r>
    <w:r>
      <w:rPr>
        <w:rStyle w:val="35"/>
      </w:rPr>
      <w:fldChar w:fldCharType="separate"/>
    </w:r>
    <w:r>
      <w:rPr>
        <w:rStyle w:val="35"/>
      </w:rPr>
      <w:t>5</w:t>
    </w:r>
    <w:r>
      <w:rPr>
        <w:rStyle w:val="35"/>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5"/>
      </w:rPr>
    </w:pPr>
    <w:r>
      <w:rPr>
        <w:rStyle w:val="35"/>
      </w:rPr>
      <w:fldChar w:fldCharType="begin"/>
    </w:r>
    <w:r>
      <w:rPr>
        <w:rStyle w:val="35"/>
      </w:rPr>
      <w:instrText xml:space="preserve">PAGE  </w:instrText>
    </w:r>
    <w:r>
      <w:rPr>
        <w:rStyle w:val="35"/>
      </w:rPr>
      <w:fldChar w:fldCharType="separate"/>
    </w:r>
    <w:r>
      <w:rPr>
        <w:rStyle w:val="35"/>
      </w:rPr>
      <w:t>6</w:t>
    </w:r>
    <w:r>
      <w:rPr>
        <w:rStyle w:val="3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640" w:after="0"/>
    </w:pPr>
    <w:r>
      <w:t>GB/T</w:t>
    </w:r>
    <w:r>
      <w:rPr>
        <w:rFonts w:hint="eastAsia"/>
      </w:rPr>
      <w:t>7160</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640" w:after="0"/>
    </w:pPr>
    <w:r>
      <w:rPr>
        <w:b/>
      </w:rPr>
      <w:t>GB/T</w:t>
    </w:r>
    <w:r>
      <w:rPr>
        <w:rFonts w:hint="eastAsia" w:ascii="黑体" w:hAnsi="黑体" w:eastAsia="黑体"/>
      </w:rPr>
      <w:t xml:space="preserve"> 7160</w:t>
    </w:r>
    <w:r>
      <w:rPr>
        <w:rFonts w:ascii="黑体" w:hAnsi="黑体" w:eastAsia="黑体"/>
      </w:rPr>
      <w:t>—</w:t>
    </w:r>
    <w:r>
      <w:rPr>
        <w:rFonts w:hint="eastAsia"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p>
    <w:pPr>
      <w:pStyle w:val="54"/>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YS</w:t>
    </w:r>
    <w:r>
      <w:rPr>
        <w:rFonts w:hint="eastAsia"/>
      </w:rPr>
      <w:t>/</w:t>
    </w:r>
    <w:r>
      <w:t>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pPr>
    <w:r>
      <w:t>YS</w:t>
    </w:r>
    <w:r>
      <w:rPr>
        <w:rFonts w:hint="eastAsia"/>
      </w:rPr>
      <w:t>/</w:t>
    </w:r>
    <w: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0000000E"/>
    <w:multiLevelType w:val="multilevel"/>
    <w:tmpl w:val="0000000E"/>
    <w:lvl w:ilvl="0" w:tentative="0">
      <w:start w:val="7"/>
      <w:numFmt w:val="decimal"/>
      <w:lvlText w:val="%1．"/>
      <w:lvlJc w:val="left"/>
      <w:pPr>
        <w:tabs>
          <w:tab w:val="left" w:pos="540"/>
        </w:tabs>
        <w:ind w:left="540" w:hanging="540"/>
      </w:pPr>
      <w:rPr>
        <w:rFonts w:hint="default"/>
      </w:r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07E65F9"/>
    <w:multiLevelType w:val="multilevel"/>
    <w:tmpl w:val="407E65F9"/>
    <w:lvl w:ilvl="0" w:tentative="0">
      <w:start w:val="1"/>
      <w:numFmt w:val="none"/>
      <w:pStyle w:val="8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96E4D7B"/>
    <w:multiLevelType w:val="multilevel"/>
    <w:tmpl w:val="496E4D7B"/>
    <w:lvl w:ilvl="0" w:tentative="0">
      <w:start w:val="1"/>
      <w:numFmt w:val="none"/>
      <w:pStyle w:val="10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2E53086"/>
    <w:multiLevelType w:val="multilevel"/>
    <w:tmpl w:val="62E53086"/>
    <w:lvl w:ilvl="0" w:tentative="0">
      <w:start w:val="7"/>
      <w:numFmt w:val="decimal"/>
      <w:lvlText w:val="%1．"/>
      <w:lvlJc w:val="left"/>
      <w:pPr>
        <w:tabs>
          <w:tab w:val="left" w:pos="540"/>
        </w:tabs>
        <w:ind w:left="540" w:hanging="540"/>
      </w:pPr>
      <w:rPr>
        <w:rFonts w:hint="default"/>
      </w:r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646260FA"/>
    <w:multiLevelType w:val="multilevel"/>
    <w:tmpl w:val="646260FA"/>
    <w:lvl w:ilvl="0" w:tentative="0">
      <w:start w:val="1"/>
      <w:numFmt w:val="decimal"/>
      <w:pStyle w:val="10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z w:val="21"/>
      </w:rPr>
    </w:lvl>
    <w:lvl w:ilvl="2" w:tentative="0">
      <w:start w:val="1"/>
      <w:numFmt w:val="decimal"/>
      <w:pStyle w:val="59"/>
      <w:suff w:val="nothing"/>
      <w:lvlText w:val="%1%2.%3　"/>
      <w:lvlJc w:val="left"/>
      <w:pPr>
        <w:ind w:left="425" w:firstLine="0"/>
      </w:pPr>
      <w:rPr>
        <w:rFonts w:hint="eastAsia" w:ascii="黑体" w:hAnsi="Times New Roman" w:eastAsia="黑体"/>
        <w:b w:val="0"/>
        <w:i w:val="0"/>
        <w:sz w:val="21"/>
      </w:rPr>
    </w:lvl>
    <w:lvl w:ilvl="3" w:tentative="0">
      <w:start w:val="1"/>
      <w:numFmt w:val="decimal"/>
      <w:pStyle w:val="60"/>
      <w:suff w:val="nothing"/>
      <w:lvlText w:val="%1%2.%3.%4　"/>
      <w:lvlJc w:val="left"/>
      <w:pPr>
        <w:ind w:left="156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2"/>
  </w:num>
  <w:num w:numId="3">
    <w:abstractNumId w:val="9"/>
  </w:num>
  <w:num w:numId="4">
    <w:abstractNumId w:val="12"/>
  </w:num>
  <w:num w:numId="5">
    <w:abstractNumId w:val="4"/>
  </w:num>
  <w:num w:numId="6">
    <w:abstractNumId w:val="3"/>
  </w:num>
  <w:num w:numId="7">
    <w:abstractNumId w:val="8"/>
  </w:num>
  <w:num w:numId="8">
    <w:abstractNumId w:val="6"/>
  </w:num>
  <w:num w:numId="9">
    <w:abstractNumId w:val="11"/>
  </w:num>
  <w:num w:numId="10">
    <w:abstractNumId w:val="5"/>
  </w:num>
  <w:num w:numId="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zE2MDMzMmZhNjZmODRjODA2NDU3Mjk4YmExNDAifQ=="/>
  </w:docVars>
  <w:rsids>
    <w:rsidRoot w:val="00CD74EC"/>
    <w:rsid w:val="000019CA"/>
    <w:rsid w:val="000054E0"/>
    <w:rsid w:val="00007921"/>
    <w:rsid w:val="00014C4E"/>
    <w:rsid w:val="0001797D"/>
    <w:rsid w:val="000220F1"/>
    <w:rsid w:val="00025E5B"/>
    <w:rsid w:val="000312C6"/>
    <w:rsid w:val="00033431"/>
    <w:rsid w:val="00037ABC"/>
    <w:rsid w:val="00045440"/>
    <w:rsid w:val="00045DA8"/>
    <w:rsid w:val="0004722C"/>
    <w:rsid w:val="00050086"/>
    <w:rsid w:val="00050231"/>
    <w:rsid w:val="00055CA5"/>
    <w:rsid w:val="0006441E"/>
    <w:rsid w:val="00064641"/>
    <w:rsid w:val="00065F6D"/>
    <w:rsid w:val="000743D6"/>
    <w:rsid w:val="00075BDE"/>
    <w:rsid w:val="00076B2E"/>
    <w:rsid w:val="000818AC"/>
    <w:rsid w:val="00081CA1"/>
    <w:rsid w:val="00090D83"/>
    <w:rsid w:val="00093D3B"/>
    <w:rsid w:val="00093EE3"/>
    <w:rsid w:val="000A14EB"/>
    <w:rsid w:val="000A2293"/>
    <w:rsid w:val="000A2352"/>
    <w:rsid w:val="000A4084"/>
    <w:rsid w:val="000B04A8"/>
    <w:rsid w:val="000B6602"/>
    <w:rsid w:val="000B69A2"/>
    <w:rsid w:val="000C02AD"/>
    <w:rsid w:val="000C0AE7"/>
    <w:rsid w:val="000C31C8"/>
    <w:rsid w:val="000C45A0"/>
    <w:rsid w:val="000C4A36"/>
    <w:rsid w:val="000D1FF0"/>
    <w:rsid w:val="000D5390"/>
    <w:rsid w:val="000D7E2F"/>
    <w:rsid w:val="000E12E8"/>
    <w:rsid w:val="000F0A85"/>
    <w:rsid w:val="000F6CE1"/>
    <w:rsid w:val="00103621"/>
    <w:rsid w:val="00106167"/>
    <w:rsid w:val="00114921"/>
    <w:rsid w:val="001151A7"/>
    <w:rsid w:val="00120AB8"/>
    <w:rsid w:val="0012157F"/>
    <w:rsid w:val="00121ED5"/>
    <w:rsid w:val="001237D8"/>
    <w:rsid w:val="001303A8"/>
    <w:rsid w:val="00131A02"/>
    <w:rsid w:val="00132A28"/>
    <w:rsid w:val="00135D08"/>
    <w:rsid w:val="001445E4"/>
    <w:rsid w:val="00147B1E"/>
    <w:rsid w:val="00151075"/>
    <w:rsid w:val="001535B0"/>
    <w:rsid w:val="00163042"/>
    <w:rsid w:val="0016381E"/>
    <w:rsid w:val="00163B2B"/>
    <w:rsid w:val="00173A6A"/>
    <w:rsid w:val="00175794"/>
    <w:rsid w:val="00176FD0"/>
    <w:rsid w:val="001850D0"/>
    <w:rsid w:val="00187311"/>
    <w:rsid w:val="001873EF"/>
    <w:rsid w:val="001878CB"/>
    <w:rsid w:val="001906F6"/>
    <w:rsid w:val="00191A93"/>
    <w:rsid w:val="00192827"/>
    <w:rsid w:val="00194F97"/>
    <w:rsid w:val="0019571D"/>
    <w:rsid w:val="001962ED"/>
    <w:rsid w:val="001B0052"/>
    <w:rsid w:val="001B2B59"/>
    <w:rsid w:val="001B3692"/>
    <w:rsid w:val="001B63FB"/>
    <w:rsid w:val="001C3769"/>
    <w:rsid w:val="001C3F70"/>
    <w:rsid w:val="001C671B"/>
    <w:rsid w:val="001C7916"/>
    <w:rsid w:val="001D0500"/>
    <w:rsid w:val="001D1322"/>
    <w:rsid w:val="001D4943"/>
    <w:rsid w:val="001D5273"/>
    <w:rsid w:val="001D613D"/>
    <w:rsid w:val="001D7DBE"/>
    <w:rsid w:val="001E4CE3"/>
    <w:rsid w:val="001E6316"/>
    <w:rsid w:val="001F7810"/>
    <w:rsid w:val="00201137"/>
    <w:rsid w:val="0020287A"/>
    <w:rsid w:val="0020361C"/>
    <w:rsid w:val="002055DF"/>
    <w:rsid w:val="00206BD7"/>
    <w:rsid w:val="002071F9"/>
    <w:rsid w:val="00207972"/>
    <w:rsid w:val="00207EBE"/>
    <w:rsid w:val="0021033F"/>
    <w:rsid w:val="00212625"/>
    <w:rsid w:val="002129B7"/>
    <w:rsid w:val="002176F0"/>
    <w:rsid w:val="002244EE"/>
    <w:rsid w:val="002253D7"/>
    <w:rsid w:val="00227480"/>
    <w:rsid w:val="002279AE"/>
    <w:rsid w:val="00227B72"/>
    <w:rsid w:val="00230592"/>
    <w:rsid w:val="002306CE"/>
    <w:rsid w:val="0023231C"/>
    <w:rsid w:val="00233A69"/>
    <w:rsid w:val="00237698"/>
    <w:rsid w:val="00254CFA"/>
    <w:rsid w:val="002550F4"/>
    <w:rsid w:val="0025550B"/>
    <w:rsid w:val="00256D2E"/>
    <w:rsid w:val="00263425"/>
    <w:rsid w:val="002650B2"/>
    <w:rsid w:val="002654AE"/>
    <w:rsid w:val="00273FDD"/>
    <w:rsid w:val="00276929"/>
    <w:rsid w:val="002814BB"/>
    <w:rsid w:val="002832A8"/>
    <w:rsid w:val="002868E1"/>
    <w:rsid w:val="002869C7"/>
    <w:rsid w:val="002911DD"/>
    <w:rsid w:val="00291844"/>
    <w:rsid w:val="002934D5"/>
    <w:rsid w:val="002975A4"/>
    <w:rsid w:val="00297EDD"/>
    <w:rsid w:val="002A1315"/>
    <w:rsid w:val="002A282E"/>
    <w:rsid w:val="002A320B"/>
    <w:rsid w:val="002A3564"/>
    <w:rsid w:val="002A3663"/>
    <w:rsid w:val="002A6C46"/>
    <w:rsid w:val="002A784F"/>
    <w:rsid w:val="002B42CE"/>
    <w:rsid w:val="002C0E89"/>
    <w:rsid w:val="002C36D3"/>
    <w:rsid w:val="002C3795"/>
    <w:rsid w:val="002C5662"/>
    <w:rsid w:val="002C5FA7"/>
    <w:rsid w:val="002D1C29"/>
    <w:rsid w:val="002D1F3E"/>
    <w:rsid w:val="002D39BE"/>
    <w:rsid w:val="002F42C1"/>
    <w:rsid w:val="002F56B3"/>
    <w:rsid w:val="002F69A0"/>
    <w:rsid w:val="002F6E42"/>
    <w:rsid w:val="003009DC"/>
    <w:rsid w:val="00303478"/>
    <w:rsid w:val="00306918"/>
    <w:rsid w:val="00313544"/>
    <w:rsid w:val="00313B4D"/>
    <w:rsid w:val="00315DB8"/>
    <w:rsid w:val="00322790"/>
    <w:rsid w:val="003233D7"/>
    <w:rsid w:val="0032560F"/>
    <w:rsid w:val="00326493"/>
    <w:rsid w:val="0033129C"/>
    <w:rsid w:val="00331D10"/>
    <w:rsid w:val="003322B9"/>
    <w:rsid w:val="003472E9"/>
    <w:rsid w:val="00354EDC"/>
    <w:rsid w:val="00355D8E"/>
    <w:rsid w:val="00357E8B"/>
    <w:rsid w:val="003644E9"/>
    <w:rsid w:val="00365A23"/>
    <w:rsid w:val="00366B3E"/>
    <w:rsid w:val="00367693"/>
    <w:rsid w:val="00367931"/>
    <w:rsid w:val="0037315E"/>
    <w:rsid w:val="00375F03"/>
    <w:rsid w:val="00377BC4"/>
    <w:rsid w:val="00381527"/>
    <w:rsid w:val="003875FA"/>
    <w:rsid w:val="003943F6"/>
    <w:rsid w:val="003949DC"/>
    <w:rsid w:val="00397A64"/>
    <w:rsid w:val="003A1771"/>
    <w:rsid w:val="003A6400"/>
    <w:rsid w:val="003A71DB"/>
    <w:rsid w:val="003B4B22"/>
    <w:rsid w:val="003B581D"/>
    <w:rsid w:val="003C1123"/>
    <w:rsid w:val="003C1855"/>
    <w:rsid w:val="003C4240"/>
    <w:rsid w:val="003C56E3"/>
    <w:rsid w:val="003D0791"/>
    <w:rsid w:val="003D2903"/>
    <w:rsid w:val="003D3582"/>
    <w:rsid w:val="003D436F"/>
    <w:rsid w:val="003E1126"/>
    <w:rsid w:val="003E4118"/>
    <w:rsid w:val="003E55F4"/>
    <w:rsid w:val="003F06E2"/>
    <w:rsid w:val="003F4F29"/>
    <w:rsid w:val="003F7E07"/>
    <w:rsid w:val="0040090C"/>
    <w:rsid w:val="004012E6"/>
    <w:rsid w:val="00401E7E"/>
    <w:rsid w:val="0040288E"/>
    <w:rsid w:val="00407B22"/>
    <w:rsid w:val="0041446D"/>
    <w:rsid w:val="00414927"/>
    <w:rsid w:val="004159B2"/>
    <w:rsid w:val="00416E91"/>
    <w:rsid w:val="00416F1F"/>
    <w:rsid w:val="004207E1"/>
    <w:rsid w:val="00422C8C"/>
    <w:rsid w:val="004252BE"/>
    <w:rsid w:val="004321DE"/>
    <w:rsid w:val="0043296C"/>
    <w:rsid w:val="00432D6B"/>
    <w:rsid w:val="00433DB6"/>
    <w:rsid w:val="00434FB4"/>
    <w:rsid w:val="00436ADA"/>
    <w:rsid w:val="004411F0"/>
    <w:rsid w:val="00441DF2"/>
    <w:rsid w:val="00445C5A"/>
    <w:rsid w:val="00446D44"/>
    <w:rsid w:val="004529F6"/>
    <w:rsid w:val="00456A54"/>
    <w:rsid w:val="00465111"/>
    <w:rsid w:val="00467999"/>
    <w:rsid w:val="00472DBB"/>
    <w:rsid w:val="0048290A"/>
    <w:rsid w:val="00491EB5"/>
    <w:rsid w:val="0049526C"/>
    <w:rsid w:val="004A06AD"/>
    <w:rsid w:val="004A119C"/>
    <w:rsid w:val="004A18F8"/>
    <w:rsid w:val="004A1B6F"/>
    <w:rsid w:val="004A3261"/>
    <w:rsid w:val="004A3817"/>
    <w:rsid w:val="004A464B"/>
    <w:rsid w:val="004A642C"/>
    <w:rsid w:val="004A746D"/>
    <w:rsid w:val="004B2D72"/>
    <w:rsid w:val="004B39E1"/>
    <w:rsid w:val="004B3EDC"/>
    <w:rsid w:val="004B46E9"/>
    <w:rsid w:val="004B68EA"/>
    <w:rsid w:val="004C1405"/>
    <w:rsid w:val="004C29F8"/>
    <w:rsid w:val="004C5F10"/>
    <w:rsid w:val="004C71D1"/>
    <w:rsid w:val="004D1DB4"/>
    <w:rsid w:val="004D67E3"/>
    <w:rsid w:val="004E275C"/>
    <w:rsid w:val="004E36F5"/>
    <w:rsid w:val="004E3C16"/>
    <w:rsid w:val="004E51A8"/>
    <w:rsid w:val="004F138B"/>
    <w:rsid w:val="004F3116"/>
    <w:rsid w:val="004F3DE5"/>
    <w:rsid w:val="004F7991"/>
    <w:rsid w:val="005025A1"/>
    <w:rsid w:val="0050391C"/>
    <w:rsid w:val="00503FF3"/>
    <w:rsid w:val="0050642C"/>
    <w:rsid w:val="0050784A"/>
    <w:rsid w:val="00511ABF"/>
    <w:rsid w:val="00515244"/>
    <w:rsid w:val="00522046"/>
    <w:rsid w:val="005224AA"/>
    <w:rsid w:val="00522595"/>
    <w:rsid w:val="005247D0"/>
    <w:rsid w:val="00526DBE"/>
    <w:rsid w:val="00527B61"/>
    <w:rsid w:val="005307C3"/>
    <w:rsid w:val="00537161"/>
    <w:rsid w:val="005376CD"/>
    <w:rsid w:val="00541E16"/>
    <w:rsid w:val="005429C5"/>
    <w:rsid w:val="00544DC1"/>
    <w:rsid w:val="00547115"/>
    <w:rsid w:val="005537BB"/>
    <w:rsid w:val="0056142E"/>
    <w:rsid w:val="005622FC"/>
    <w:rsid w:val="00572D64"/>
    <w:rsid w:val="00572E27"/>
    <w:rsid w:val="00573DBD"/>
    <w:rsid w:val="00574817"/>
    <w:rsid w:val="005751BE"/>
    <w:rsid w:val="005777D6"/>
    <w:rsid w:val="0058755B"/>
    <w:rsid w:val="00591BBB"/>
    <w:rsid w:val="005938D1"/>
    <w:rsid w:val="005A0B54"/>
    <w:rsid w:val="005A100D"/>
    <w:rsid w:val="005A2C70"/>
    <w:rsid w:val="005A3EB0"/>
    <w:rsid w:val="005A62E4"/>
    <w:rsid w:val="005A7942"/>
    <w:rsid w:val="005A79E3"/>
    <w:rsid w:val="005B1117"/>
    <w:rsid w:val="005B14D0"/>
    <w:rsid w:val="005B17E5"/>
    <w:rsid w:val="005B2707"/>
    <w:rsid w:val="005B4F8F"/>
    <w:rsid w:val="005B6D72"/>
    <w:rsid w:val="005C0332"/>
    <w:rsid w:val="005C2B84"/>
    <w:rsid w:val="005C305E"/>
    <w:rsid w:val="005C3504"/>
    <w:rsid w:val="005C6554"/>
    <w:rsid w:val="005C67FC"/>
    <w:rsid w:val="005C6A71"/>
    <w:rsid w:val="005D08AC"/>
    <w:rsid w:val="005D5E5B"/>
    <w:rsid w:val="005D6EDC"/>
    <w:rsid w:val="005D7E22"/>
    <w:rsid w:val="005E1468"/>
    <w:rsid w:val="005E3E63"/>
    <w:rsid w:val="005E7197"/>
    <w:rsid w:val="005F0861"/>
    <w:rsid w:val="005F489D"/>
    <w:rsid w:val="0060150F"/>
    <w:rsid w:val="00603280"/>
    <w:rsid w:val="0061115E"/>
    <w:rsid w:val="00612415"/>
    <w:rsid w:val="006141DE"/>
    <w:rsid w:val="00615D88"/>
    <w:rsid w:val="00617E10"/>
    <w:rsid w:val="00617FBD"/>
    <w:rsid w:val="0062153C"/>
    <w:rsid w:val="006217AF"/>
    <w:rsid w:val="00624374"/>
    <w:rsid w:val="006314C8"/>
    <w:rsid w:val="006344B1"/>
    <w:rsid w:val="00635E67"/>
    <w:rsid w:val="00640161"/>
    <w:rsid w:val="00640DB9"/>
    <w:rsid w:val="006418C2"/>
    <w:rsid w:val="006422D8"/>
    <w:rsid w:val="00642C8C"/>
    <w:rsid w:val="0064636E"/>
    <w:rsid w:val="006512EF"/>
    <w:rsid w:val="006542B7"/>
    <w:rsid w:val="00654C32"/>
    <w:rsid w:val="00661942"/>
    <w:rsid w:val="00663F27"/>
    <w:rsid w:val="00664650"/>
    <w:rsid w:val="0066525A"/>
    <w:rsid w:val="00672F3E"/>
    <w:rsid w:val="00694807"/>
    <w:rsid w:val="00695327"/>
    <w:rsid w:val="0069568A"/>
    <w:rsid w:val="006A0D02"/>
    <w:rsid w:val="006A33C4"/>
    <w:rsid w:val="006A5128"/>
    <w:rsid w:val="006A6240"/>
    <w:rsid w:val="006B6740"/>
    <w:rsid w:val="006B6EA7"/>
    <w:rsid w:val="006C0951"/>
    <w:rsid w:val="006C3548"/>
    <w:rsid w:val="006C560B"/>
    <w:rsid w:val="006C5895"/>
    <w:rsid w:val="006D587C"/>
    <w:rsid w:val="006D7433"/>
    <w:rsid w:val="006E0302"/>
    <w:rsid w:val="006E20F2"/>
    <w:rsid w:val="006E39B6"/>
    <w:rsid w:val="006E41A0"/>
    <w:rsid w:val="006E4222"/>
    <w:rsid w:val="006F6F04"/>
    <w:rsid w:val="007005B7"/>
    <w:rsid w:val="007009C8"/>
    <w:rsid w:val="00703C34"/>
    <w:rsid w:val="00707A87"/>
    <w:rsid w:val="00710176"/>
    <w:rsid w:val="007119D1"/>
    <w:rsid w:val="007121C0"/>
    <w:rsid w:val="00714BDA"/>
    <w:rsid w:val="00716117"/>
    <w:rsid w:val="007234AC"/>
    <w:rsid w:val="0072682D"/>
    <w:rsid w:val="00727CA9"/>
    <w:rsid w:val="00731B48"/>
    <w:rsid w:val="00731EA4"/>
    <w:rsid w:val="00732FA9"/>
    <w:rsid w:val="00734830"/>
    <w:rsid w:val="00734920"/>
    <w:rsid w:val="007364E2"/>
    <w:rsid w:val="0075041A"/>
    <w:rsid w:val="00750B8B"/>
    <w:rsid w:val="007549D0"/>
    <w:rsid w:val="00754A45"/>
    <w:rsid w:val="00755437"/>
    <w:rsid w:val="007576F2"/>
    <w:rsid w:val="0075788A"/>
    <w:rsid w:val="00760EE1"/>
    <w:rsid w:val="007634EE"/>
    <w:rsid w:val="00764465"/>
    <w:rsid w:val="00776134"/>
    <w:rsid w:val="00777A00"/>
    <w:rsid w:val="0078216E"/>
    <w:rsid w:val="00783461"/>
    <w:rsid w:val="00786E3A"/>
    <w:rsid w:val="007906D0"/>
    <w:rsid w:val="0079603F"/>
    <w:rsid w:val="007A2BA4"/>
    <w:rsid w:val="007A4F94"/>
    <w:rsid w:val="007A7F55"/>
    <w:rsid w:val="007B15D8"/>
    <w:rsid w:val="007B3ECA"/>
    <w:rsid w:val="007B55EB"/>
    <w:rsid w:val="007B5BD8"/>
    <w:rsid w:val="007B7B6F"/>
    <w:rsid w:val="007C2704"/>
    <w:rsid w:val="007C2CDD"/>
    <w:rsid w:val="007C3E07"/>
    <w:rsid w:val="007C6C86"/>
    <w:rsid w:val="007C6EE5"/>
    <w:rsid w:val="007E3E4A"/>
    <w:rsid w:val="007E4583"/>
    <w:rsid w:val="007E6B4D"/>
    <w:rsid w:val="007F5050"/>
    <w:rsid w:val="007F607D"/>
    <w:rsid w:val="007F6C8F"/>
    <w:rsid w:val="00801A11"/>
    <w:rsid w:val="00802CAB"/>
    <w:rsid w:val="00803318"/>
    <w:rsid w:val="008041B1"/>
    <w:rsid w:val="00811706"/>
    <w:rsid w:val="008121B0"/>
    <w:rsid w:val="00812575"/>
    <w:rsid w:val="00812804"/>
    <w:rsid w:val="0081298B"/>
    <w:rsid w:val="00813C77"/>
    <w:rsid w:val="00816557"/>
    <w:rsid w:val="0082040A"/>
    <w:rsid w:val="008246A4"/>
    <w:rsid w:val="00827167"/>
    <w:rsid w:val="00831779"/>
    <w:rsid w:val="00831CEF"/>
    <w:rsid w:val="00833545"/>
    <w:rsid w:val="00833FDA"/>
    <w:rsid w:val="008351D9"/>
    <w:rsid w:val="0083688B"/>
    <w:rsid w:val="00837FB0"/>
    <w:rsid w:val="0084494A"/>
    <w:rsid w:val="008451BA"/>
    <w:rsid w:val="008473AC"/>
    <w:rsid w:val="00850738"/>
    <w:rsid w:val="00850B63"/>
    <w:rsid w:val="0085347F"/>
    <w:rsid w:val="008559E1"/>
    <w:rsid w:val="00860E81"/>
    <w:rsid w:val="008630D6"/>
    <w:rsid w:val="00863A9B"/>
    <w:rsid w:val="00864BEB"/>
    <w:rsid w:val="00867E46"/>
    <w:rsid w:val="008759A8"/>
    <w:rsid w:val="00877487"/>
    <w:rsid w:val="00877801"/>
    <w:rsid w:val="00880A50"/>
    <w:rsid w:val="0088533D"/>
    <w:rsid w:val="008872B3"/>
    <w:rsid w:val="00891BE7"/>
    <w:rsid w:val="0089517D"/>
    <w:rsid w:val="008A2CCE"/>
    <w:rsid w:val="008A7B75"/>
    <w:rsid w:val="008B1C79"/>
    <w:rsid w:val="008B613E"/>
    <w:rsid w:val="008B6EB8"/>
    <w:rsid w:val="008B70E3"/>
    <w:rsid w:val="008C1259"/>
    <w:rsid w:val="008C7907"/>
    <w:rsid w:val="008E1262"/>
    <w:rsid w:val="008E2B3F"/>
    <w:rsid w:val="008F6646"/>
    <w:rsid w:val="009022BE"/>
    <w:rsid w:val="00911316"/>
    <w:rsid w:val="009136F7"/>
    <w:rsid w:val="00915605"/>
    <w:rsid w:val="0092483D"/>
    <w:rsid w:val="00931114"/>
    <w:rsid w:val="00933DC5"/>
    <w:rsid w:val="009340AB"/>
    <w:rsid w:val="00935107"/>
    <w:rsid w:val="0093714A"/>
    <w:rsid w:val="00946797"/>
    <w:rsid w:val="0095003F"/>
    <w:rsid w:val="00953661"/>
    <w:rsid w:val="009574FD"/>
    <w:rsid w:val="009614D1"/>
    <w:rsid w:val="00961D02"/>
    <w:rsid w:val="00962B54"/>
    <w:rsid w:val="00964775"/>
    <w:rsid w:val="00965731"/>
    <w:rsid w:val="0097436E"/>
    <w:rsid w:val="0097516A"/>
    <w:rsid w:val="00975EE8"/>
    <w:rsid w:val="00976CDD"/>
    <w:rsid w:val="00977A23"/>
    <w:rsid w:val="00981F12"/>
    <w:rsid w:val="0099466F"/>
    <w:rsid w:val="0099779F"/>
    <w:rsid w:val="009A0068"/>
    <w:rsid w:val="009A237D"/>
    <w:rsid w:val="009A3666"/>
    <w:rsid w:val="009A5F55"/>
    <w:rsid w:val="009B4D37"/>
    <w:rsid w:val="009B4DEF"/>
    <w:rsid w:val="009B5BC4"/>
    <w:rsid w:val="009B5C10"/>
    <w:rsid w:val="009C00DF"/>
    <w:rsid w:val="009C1B64"/>
    <w:rsid w:val="009C204F"/>
    <w:rsid w:val="009C3D8E"/>
    <w:rsid w:val="009C53F4"/>
    <w:rsid w:val="009C6586"/>
    <w:rsid w:val="009C6875"/>
    <w:rsid w:val="009D0CAD"/>
    <w:rsid w:val="009D36CB"/>
    <w:rsid w:val="009E3035"/>
    <w:rsid w:val="009E45FC"/>
    <w:rsid w:val="009E5424"/>
    <w:rsid w:val="009F0507"/>
    <w:rsid w:val="009F49CF"/>
    <w:rsid w:val="009F5817"/>
    <w:rsid w:val="009F5CEC"/>
    <w:rsid w:val="009F7F85"/>
    <w:rsid w:val="00A02577"/>
    <w:rsid w:val="00A05952"/>
    <w:rsid w:val="00A06E7C"/>
    <w:rsid w:val="00A129F4"/>
    <w:rsid w:val="00A12F44"/>
    <w:rsid w:val="00A1373D"/>
    <w:rsid w:val="00A14078"/>
    <w:rsid w:val="00A22916"/>
    <w:rsid w:val="00A31768"/>
    <w:rsid w:val="00A31C92"/>
    <w:rsid w:val="00A34DFD"/>
    <w:rsid w:val="00A3777C"/>
    <w:rsid w:val="00A44348"/>
    <w:rsid w:val="00A4692A"/>
    <w:rsid w:val="00A52AC9"/>
    <w:rsid w:val="00A52F72"/>
    <w:rsid w:val="00A535E9"/>
    <w:rsid w:val="00A57CCB"/>
    <w:rsid w:val="00A61E0C"/>
    <w:rsid w:val="00A633CA"/>
    <w:rsid w:val="00A64833"/>
    <w:rsid w:val="00A64D18"/>
    <w:rsid w:val="00A65D42"/>
    <w:rsid w:val="00A6763D"/>
    <w:rsid w:val="00A67DE1"/>
    <w:rsid w:val="00A71AAC"/>
    <w:rsid w:val="00A755B7"/>
    <w:rsid w:val="00A80C79"/>
    <w:rsid w:val="00A82198"/>
    <w:rsid w:val="00A82ED0"/>
    <w:rsid w:val="00A8579B"/>
    <w:rsid w:val="00A85ACD"/>
    <w:rsid w:val="00A90115"/>
    <w:rsid w:val="00A9669D"/>
    <w:rsid w:val="00AA0648"/>
    <w:rsid w:val="00AB048D"/>
    <w:rsid w:val="00AB1772"/>
    <w:rsid w:val="00AB6C71"/>
    <w:rsid w:val="00AC7245"/>
    <w:rsid w:val="00AD0E6A"/>
    <w:rsid w:val="00AD1A52"/>
    <w:rsid w:val="00AD6F64"/>
    <w:rsid w:val="00AE0858"/>
    <w:rsid w:val="00AE377A"/>
    <w:rsid w:val="00AE55B8"/>
    <w:rsid w:val="00AE785A"/>
    <w:rsid w:val="00AE7FDF"/>
    <w:rsid w:val="00AF27CD"/>
    <w:rsid w:val="00B01ED2"/>
    <w:rsid w:val="00B06EE2"/>
    <w:rsid w:val="00B11175"/>
    <w:rsid w:val="00B12453"/>
    <w:rsid w:val="00B2012E"/>
    <w:rsid w:val="00B21117"/>
    <w:rsid w:val="00B21306"/>
    <w:rsid w:val="00B21373"/>
    <w:rsid w:val="00B2307F"/>
    <w:rsid w:val="00B23F53"/>
    <w:rsid w:val="00B244D8"/>
    <w:rsid w:val="00B24E93"/>
    <w:rsid w:val="00B30862"/>
    <w:rsid w:val="00B33D1E"/>
    <w:rsid w:val="00B3547C"/>
    <w:rsid w:val="00B37E20"/>
    <w:rsid w:val="00B46FAF"/>
    <w:rsid w:val="00B630F4"/>
    <w:rsid w:val="00B63C64"/>
    <w:rsid w:val="00B64347"/>
    <w:rsid w:val="00B74C74"/>
    <w:rsid w:val="00B756E7"/>
    <w:rsid w:val="00B76E36"/>
    <w:rsid w:val="00B7724E"/>
    <w:rsid w:val="00B77CC6"/>
    <w:rsid w:val="00B812D5"/>
    <w:rsid w:val="00B818E6"/>
    <w:rsid w:val="00B86E0E"/>
    <w:rsid w:val="00B94E34"/>
    <w:rsid w:val="00B96D03"/>
    <w:rsid w:val="00BA3894"/>
    <w:rsid w:val="00BA668E"/>
    <w:rsid w:val="00BA686B"/>
    <w:rsid w:val="00BB00B9"/>
    <w:rsid w:val="00BB4797"/>
    <w:rsid w:val="00BB5EF8"/>
    <w:rsid w:val="00BB6E6E"/>
    <w:rsid w:val="00BC3B0B"/>
    <w:rsid w:val="00BC3CA9"/>
    <w:rsid w:val="00BC6876"/>
    <w:rsid w:val="00BD1C9B"/>
    <w:rsid w:val="00BD3862"/>
    <w:rsid w:val="00BD4758"/>
    <w:rsid w:val="00BE4555"/>
    <w:rsid w:val="00BE4E3E"/>
    <w:rsid w:val="00BE6123"/>
    <w:rsid w:val="00BE655D"/>
    <w:rsid w:val="00BF0260"/>
    <w:rsid w:val="00BF5196"/>
    <w:rsid w:val="00BF56F6"/>
    <w:rsid w:val="00BF5C95"/>
    <w:rsid w:val="00BF6B0E"/>
    <w:rsid w:val="00C05CC5"/>
    <w:rsid w:val="00C064D4"/>
    <w:rsid w:val="00C12938"/>
    <w:rsid w:val="00C13ACB"/>
    <w:rsid w:val="00C211A0"/>
    <w:rsid w:val="00C2250B"/>
    <w:rsid w:val="00C24E84"/>
    <w:rsid w:val="00C313D6"/>
    <w:rsid w:val="00C31C87"/>
    <w:rsid w:val="00C34DC7"/>
    <w:rsid w:val="00C35F12"/>
    <w:rsid w:val="00C41FD4"/>
    <w:rsid w:val="00C50456"/>
    <w:rsid w:val="00C5053C"/>
    <w:rsid w:val="00C51885"/>
    <w:rsid w:val="00C53830"/>
    <w:rsid w:val="00C57C2B"/>
    <w:rsid w:val="00C612C3"/>
    <w:rsid w:val="00C61A8E"/>
    <w:rsid w:val="00C6354A"/>
    <w:rsid w:val="00C63AAF"/>
    <w:rsid w:val="00C6464E"/>
    <w:rsid w:val="00C66CB4"/>
    <w:rsid w:val="00C6746E"/>
    <w:rsid w:val="00C701DD"/>
    <w:rsid w:val="00C70DA6"/>
    <w:rsid w:val="00C73B9E"/>
    <w:rsid w:val="00C75A78"/>
    <w:rsid w:val="00C75F68"/>
    <w:rsid w:val="00C7601C"/>
    <w:rsid w:val="00C7674B"/>
    <w:rsid w:val="00C77CB4"/>
    <w:rsid w:val="00C83528"/>
    <w:rsid w:val="00C862BB"/>
    <w:rsid w:val="00C86944"/>
    <w:rsid w:val="00C97A60"/>
    <w:rsid w:val="00CA0052"/>
    <w:rsid w:val="00CA1325"/>
    <w:rsid w:val="00CA1FF8"/>
    <w:rsid w:val="00CB097E"/>
    <w:rsid w:val="00CB1834"/>
    <w:rsid w:val="00CB4EE0"/>
    <w:rsid w:val="00CB6214"/>
    <w:rsid w:val="00CC5FD3"/>
    <w:rsid w:val="00CC6B6D"/>
    <w:rsid w:val="00CD6DDF"/>
    <w:rsid w:val="00CD74EC"/>
    <w:rsid w:val="00CE0CD8"/>
    <w:rsid w:val="00CE175E"/>
    <w:rsid w:val="00CE3F93"/>
    <w:rsid w:val="00CE57B1"/>
    <w:rsid w:val="00CE58F9"/>
    <w:rsid w:val="00CF2F61"/>
    <w:rsid w:val="00CF3C0E"/>
    <w:rsid w:val="00CF59E3"/>
    <w:rsid w:val="00CF6DF3"/>
    <w:rsid w:val="00D05304"/>
    <w:rsid w:val="00D10B5A"/>
    <w:rsid w:val="00D12B87"/>
    <w:rsid w:val="00D130F9"/>
    <w:rsid w:val="00D15309"/>
    <w:rsid w:val="00D1744E"/>
    <w:rsid w:val="00D17D91"/>
    <w:rsid w:val="00D20DF5"/>
    <w:rsid w:val="00D21013"/>
    <w:rsid w:val="00D21079"/>
    <w:rsid w:val="00D21D3C"/>
    <w:rsid w:val="00D22F01"/>
    <w:rsid w:val="00D24101"/>
    <w:rsid w:val="00D3094A"/>
    <w:rsid w:val="00D3247E"/>
    <w:rsid w:val="00D346FA"/>
    <w:rsid w:val="00D36521"/>
    <w:rsid w:val="00D37F4E"/>
    <w:rsid w:val="00D41648"/>
    <w:rsid w:val="00D47827"/>
    <w:rsid w:val="00D509BC"/>
    <w:rsid w:val="00D547DE"/>
    <w:rsid w:val="00D56103"/>
    <w:rsid w:val="00D569CE"/>
    <w:rsid w:val="00D5730D"/>
    <w:rsid w:val="00D627FF"/>
    <w:rsid w:val="00D62BCB"/>
    <w:rsid w:val="00D643C2"/>
    <w:rsid w:val="00D66464"/>
    <w:rsid w:val="00D66B84"/>
    <w:rsid w:val="00D8447A"/>
    <w:rsid w:val="00D86C21"/>
    <w:rsid w:val="00D910B2"/>
    <w:rsid w:val="00D94529"/>
    <w:rsid w:val="00D94CBF"/>
    <w:rsid w:val="00DA529A"/>
    <w:rsid w:val="00DB6DC2"/>
    <w:rsid w:val="00DC1ABA"/>
    <w:rsid w:val="00DC787A"/>
    <w:rsid w:val="00DC795B"/>
    <w:rsid w:val="00DD2FFE"/>
    <w:rsid w:val="00DD3E08"/>
    <w:rsid w:val="00DD63EC"/>
    <w:rsid w:val="00DD65AB"/>
    <w:rsid w:val="00DE042B"/>
    <w:rsid w:val="00DE2C78"/>
    <w:rsid w:val="00DF6D79"/>
    <w:rsid w:val="00E01E55"/>
    <w:rsid w:val="00E028BD"/>
    <w:rsid w:val="00E032B9"/>
    <w:rsid w:val="00E05464"/>
    <w:rsid w:val="00E1525C"/>
    <w:rsid w:val="00E17F97"/>
    <w:rsid w:val="00E27E91"/>
    <w:rsid w:val="00E301A3"/>
    <w:rsid w:val="00E30F5D"/>
    <w:rsid w:val="00E33B07"/>
    <w:rsid w:val="00E359A0"/>
    <w:rsid w:val="00E42C56"/>
    <w:rsid w:val="00E43C0A"/>
    <w:rsid w:val="00E47D82"/>
    <w:rsid w:val="00E51748"/>
    <w:rsid w:val="00E52391"/>
    <w:rsid w:val="00E554D8"/>
    <w:rsid w:val="00E55653"/>
    <w:rsid w:val="00E55A50"/>
    <w:rsid w:val="00E57C96"/>
    <w:rsid w:val="00E60E05"/>
    <w:rsid w:val="00E627B4"/>
    <w:rsid w:val="00E64B30"/>
    <w:rsid w:val="00E65A09"/>
    <w:rsid w:val="00E70BCD"/>
    <w:rsid w:val="00E71346"/>
    <w:rsid w:val="00E74236"/>
    <w:rsid w:val="00E754BD"/>
    <w:rsid w:val="00E807EF"/>
    <w:rsid w:val="00E80E69"/>
    <w:rsid w:val="00E84586"/>
    <w:rsid w:val="00E87133"/>
    <w:rsid w:val="00E93D57"/>
    <w:rsid w:val="00E9731C"/>
    <w:rsid w:val="00EA032E"/>
    <w:rsid w:val="00EA1706"/>
    <w:rsid w:val="00EA47CD"/>
    <w:rsid w:val="00EA7EA0"/>
    <w:rsid w:val="00EB5A5B"/>
    <w:rsid w:val="00EB6E14"/>
    <w:rsid w:val="00EC745E"/>
    <w:rsid w:val="00ED105F"/>
    <w:rsid w:val="00ED3E96"/>
    <w:rsid w:val="00ED7543"/>
    <w:rsid w:val="00EE1CED"/>
    <w:rsid w:val="00EE2A4B"/>
    <w:rsid w:val="00EE5029"/>
    <w:rsid w:val="00EF0E97"/>
    <w:rsid w:val="00EF19B7"/>
    <w:rsid w:val="00EF7B14"/>
    <w:rsid w:val="00F021DD"/>
    <w:rsid w:val="00F02F6C"/>
    <w:rsid w:val="00F03C5C"/>
    <w:rsid w:val="00F046D9"/>
    <w:rsid w:val="00F04AB1"/>
    <w:rsid w:val="00F05C5E"/>
    <w:rsid w:val="00F11B1B"/>
    <w:rsid w:val="00F128B3"/>
    <w:rsid w:val="00F1769C"/>
    <w:rsid w:val="00F25BC3"/>
    <w:rsid w:val="00F2791E"/>
    <w:rsid w:val="00F31DFA"/>
    <w:rsid w:val="00F35284"/>
    <w:rsid w:val="00F42BC2"/>
    <w:rsid w:val="00F44338"/>
    <w:rsid w:val="00F5534F"/>
    <w:rsid w:val="00F558BC"/>
    <w:rsid w:val="00F57608"/>
    <w:rsid w:val="00F61381"/>
    <w:rsid w:val="00F66C65"/>
    <w:rsid w:val="00F71E72"/>
    <w:rsid w:val="00F75929"/>
    <w:rsid w:val="00F81A9E"/>
    <w:rsid w:val="00F82313"/>
    <w:rsid w:val="00F9096A"/>
    <w:rsid w:val="00F93EF7"/>
    <w:rsid w:val="00F95040"/>
    <w:rsid w:val="00FB33F2"/>
    <w:rsid w:val="00FB3589"/>
    <w:rsid w:val="00FC442D"/>
    <w:rsid w:val="00FC717F"/>
    <w:rsid w:val="00FD4164"/>
    <w:rsid w:val="00FD470A"/>
    <w:rsid w:val="00FD4C2B"/>
    <w:rsid w:val="00FD57B7"/>
    <w:rsid w:val="00FD6011"/>
    <w:rsid w:val="00FD64A5"/>
    <w:rsid w:val="00FD7F29"/>
    <w:rsid w:val="00FE0957"/>
    <w:rsid w:val="00FE3DE7"/>
    <w:rsid w:val="00FE78FF"/>
    <w:rsid w:val="00FF20D7"/>
    <w:rsid w:val="00FF23B9"/>
    <w:rsid w:val="00FF366E"/>
    <w:rsid w:val="00FF5C3D"/>
    <w:rsid w:val="075023AB"/>
    <w:rsid w:val="13681DBA"/>
    <w:rsid w:val="1BE67105"/>
    <w:rsid w:val="379C64F6"/>
    <w:rsid w:val="39B841E7"/>
    <w:rsid w:val="504A4535"/>
    <w:rsid w:val="5B1C009C"/>
    <w:rsid w:val="5DF82EE2"/>
    <w:rsid w:val="68B40936"/>
    <w:rsid w:val="724C3E5E"/>
    <w:rsid w:val="793D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uiPriority w:val="0"/>
  </w:style>
  <w:style w:type="paragraph" w:styleId="16">
    <w:name w:val="toc 2"/>
    <w:basedOn w:val="1"/>
    <w:next w:val="1"/>
    <w:semiHidden/>
    <w:uiPriority w:val="0"/>
  </w:style>
  <w:style w:type="paragraph" w:styleId="17">
    <w:name w:val="annotation text"/>
    <w:basedOn w:val="1"/>
    <w:link w:val="120"/>
    <w:qFormat/>
    <w:uiPriority w:val="0"/>
    <w:pPr>
      <w:jc w:val="left"/>
    </w:pPr>
  </w:style>
  <w:style w:type="paragraph" w:styleId="18">
    <w:name w:val="Body Text Indent"/>
    <w:basedOn w:val="1"/>
    <w:qFormat/>
    <w:uiPriority w:val="0"/>
    <w:pPr>
      <w:ind w:left="1040"/>
    </w:pPr>
    <w:rPr>
      <w:sz w:val="24"/>
    </w:rPr>
  </w:style>
  <w:style w:type="paragraph" w:styleId="19">
    <w:name w:val="HTML Address"/>
    <w:basedOn w:val="1"/>
    <w:qFormat/>
    <w:uiPriority w:val="0"/>
    <w:rPr>
      <w:i/>
      <w:iCs/>
    </w:rPr>
  </w:style>
  <w:style w:type="paragraph" w:styleId="20">
    <w:name w:val="toc 8"/>
    <w:basedOn w:val="11"/>
    <w:next w:val="1"/>
    <w:semiHidden/>
    <w:uiPriority w:val="0"/>
  </w:style>
  <w:style w:type="paragraph" w:styleId="21">
    <w:name w:val="Date"/>
    <w:basedOn w:val="1"/>
    <w:next w:val="1"/>
    <w:link w:val="118"/>
    <w:qFormat/>
    <w:uiPriority w:val="0"/>
    <w:pPr>
      <w:ind w:left="100" w:leftChars="2500"/>
    </w:pPr>
  </w:style>
  <w:style w:type="paragraph" w:styleId="22">
    <w:name w:val="Balloon Text"/>
    <w:basedOn w:val="1"/>
    <w:link w:val="122"/>
    <w:qFormat/>
    <w:uiPriority w:val="0"/>
    <w:rPr>
      <w:sz w:val="18"/>
      <w:szCs w:val="18"/>
    </w:rPr>
  </w:style>
  <w:style w:type="paragraph" w:styleId="23">
    <w:name w:val="footer"/>
    <w:basedOn w:val="1"/>
    <w:qFormat/>
    <w:uiPriority w:val="0"/>
    <w:pPr>
      <w:tabs>
        <w:tab w:val="center" w:pos="4153"/>
        <w:tab w:val="right" w:pos="8306"/>
      </w:tabs>
      <w:snapToGrid w:val="0"/>
      <w:ind w:right="210" w:rightChars="100"/>
      <w:jc w:val="righ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next w:val="1"/>
    <w:semiHidden/>
    <w:uiPriority w:val="0"/>
    <w:pPr>
      <w:jc w:val="both"/>
    </w:pPr>
    <w:rPr>
      <w:rFonts w:ascii="宋体" w:hAnsi="Times New Roman" w:eastAsia="宋体" w:cs="Times New Roman"/>
      <w:sz w:val="21"/>
      <w:lang w:val="en-US" w:eastAsia="zh-CN" w:bidi="ar-SA"/>
    </w:rPr>
  </w:style>
  <w:style w:type="paragraph" w:styleId="26">
    <w:name w:val="footnote text"/>
    <w:basedOn w:val="1"/>
    <w:semiHidden/>
    <w:uiPriority w:val="0"/>
    <w:pPr>
      <w:snapToGrid w:val="0"/>
      <w:jc w:val="left"/>
    </w:pPr>
    <w:rPr>
      <w:sz w:val="18"/>
      <w:szCs w:val="18"/>
    </w:rPr>
  </w:style>
  <w:style w:type="paragraph" w:styleId="27">
    <w:name w:val="toc 9"/>
    <w:basedOn w:val="20"/>
    <w:next w:val="1"/>
    <w:semiHidden/>
    <w:uiPriority w:val="0"/>
  </w:style>
  <w:style w:type="paragraph" w:styleId="28">
    <w:name w:val="HTML Preformatted"/>
    <w:basedOn w:val="1"/>
    <w:qFormat/>
    <w:uiPriority w:val="0"/>
    <w:rPr>
      <w:rFonts w:ascii="Courier New" w:hAnsi="Courier New" w:cs="Courier New"/>
      <w:sz w:val="20"/>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7"/>
    <w:next w:val="17"/>
    <w:link w:val="121"/>
    <w:qFormat/>
    <w:uiPriority w:val="0"/>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rFonts w:cs="Times New Roman"/>
      <w:b/>
      <w:bCs/>
    </w:rPr>
  </w:style>
  <w:style w:type="character" w:styleId="35">
    <w:name w:val="page number"/>
    <w:uiPriority w:val="0"/>
    <w:rPr>
      <w:rFonts w:ascii="Times New Roman" w:hAnsi="Times New Roman" w:eastAsia="宋体"/>
      <w:sz w:val="18"/>
    </w:rPr>
  </w:style>
  <w:style w:type="character" w:styleId="36">
    <w:name w:val="Emphasis"/>
    <w:qFormat/>
    <w:uiPriority w:val="20"/>
    <w:rPr>
      <w:color w:val="CC0000"/>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3"/>
    <w:uiPriority w:val="0"/>
  </w:style>
  <w:style w:type="character" w:styleId="40">
    <w:name w:val="HTML Variable"/>
    <w:qFormat/>
    <w:uiPriority w:val="0"/>
    <w:rPr>
      <w:i/>
      <w:iCs/>
    </w:rPr>
  </w:style>
  <w:style w:type="character" w:styleId="41">
    <w:name w:val="Hyperlink"/>
    <w:uiPriority w:val="0"/>
    <w:rPr>
      <w:rFonts w:ascii="Times New Roman" w:hAnsi="Times New Roman" w:eastAsia="宋体"/>
      <w:color w:val="auto"/>
      <w:spacing w:val="0"/>
      <w:w w:val="100"/>
      <w:position w:val="0"/>
      <w:sz w:val="21"/>
      <w:u w:val="none"/>
      <w:vertAlign w:val="baseline"/>
    </w:rPr>
  </w:style>
  <w:style w:type="character" w:styleId="42">
    <w:name w:val="HTML Code"/>
    <w:qFormat/>
    <w:uiPriority w:val="0"/>
    <w:rPr>
      <w:rFonts w:ascii="Courier New" w:hAnsi="Courier New"/>
      <w:sz w:val="20"/>
      <w:szCs w:val="20"/>
    </w:rPr>
  </w:style>
  <w:style w:type="character" w:styleId="43">
    <w:name w:val="annotation reference"/>
    <w:basedOn w:val="33"/>
    <w:qFormat/>
    <w:uiPriority w:val="0"/>
    <w:rPr>
      <w:sz w:val="21"/>
      <w:szCs w:val="21"/>
    </w:rPr>
  </w:style>
  <w:style w:type="character" w:styleId="44">
    <w:name w:val="HTML Cite"/>
    <w:uiPriority w:val="0"/>
    <w:rPr>
      <w:i/>
      <w:iCs/>
    </w:rPr>
  </w:style>
  <w:style w:type="character" w:styleId="45">
    <w:name w:val="footnote reference"/>
    <w:semiHidden/>
    <w:uiPriority w:val="0"/>
    <w:rPr>
      <w:vertAlign w:val="superscript"/>
    </w:rPr>
  </w:style>
  <w:style w:type="character" w:styleId="46">
    <w:name w:val="HTML Keyboard"/>
    <w:qFormat/>
    <w:uiPriority w:val="0"/>
    <w:rPr>
      <w:rFonts w:ascii="Courier New" w:hAnsi="Courier New"/>
      <w:sz w:val="20"/>
      <w:szCs w:val="20"/>
    </w:rPr>
  </w:style>
  <w:style w:type="character" w:styleId="47">
    <w:name w:val="HTML Sample"/>
    <w:qFormat/>
    <w:uiPriority w:val="0"/>
    <w:rPr>
      <w:rFonts w:ascii="Courier New" w:hAnsi="Courier New"/>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标准书眉_偶数页"/>
    <w:basedOn w:val="52"/>
    <w:next w:val="1"/>
    <w:qFormat/>
    <w:uiPriority w:val="0"/>
    <w:pPr>
      <w:jc w:val="lef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参考文献、索引标题"/>
    <w:basedOn w:val="55"/>
    <w:next w:val="1"/>
    <w:qFormat/>
    <w:uiPriority w:val="0"/>
    <w:pPr>
      <w:numPr>
        <w:numId w:val="0"/>
      </w:numPr>
      <w:spacing w:after="200"/>
    </w:pPr>
    <w:rPr>
      <w:sz w:val="21"/>
    </w:rPr>
  </w:style>
  <w:style w:type="paragraph" w:customStyle="1" w:styleId="57">
    <w:name w:val="段"/>
    <w:link w:val="1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章标题"/>
    <w:next w:val="57"/>
    <w:link w:val="11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9">
    <w:name w:val="一级条标题"/>
    <w:basedOn w:val="58"/>
    <w:next w:val="57"/>
    <w:link w:val="116"/>
    <w:qFormat/>
    <w:uiPriority w:val="0"/>
    <w:pPr>
      <w:numPr>
        <w:ilvl w:val="2"/>
      </w:numPr>
      <w:spacing w:beforeLines="0" w:afterLines="0"/>
      <w:ind w:left="0"/>
      <w:outlineLvl w:val="2"/>
    </w:pPr>
  </w:style>
  <w:style w:type="paragraph" w:customStyle="1" w:styleId="60">
    <w:name w:val="二级条标题"/>
    <w:basedOn w:val="59"/>
    <w:next w:val="57"/>
    <w:link w:val="117"/>
    <w:qFormat/>
    <w:uiPriority w:val="0"/>
    <w:pPr>
      <w:numPr>
        <w:ilvl w:val="3"/>
      </w:numPr>
      <w:ind w:left="0"/>
      <w:outlineLvl w:val="3"/>
    </w:pPr>
  </w:style>
  <w:style w:type="paragraph" w:customStyle="1" w:styleId="61">
    <w:name w:val="二级无标题条"/>
    <w:basedOn w:val="1"/>
    <w:qFormat/>
    <w:uiPriority w:val="0"/>
    <w:pPr>
      <w:numPr>
        <w:ilvl w:val="3"/>
        <w:numId w:val="2"/>
      </w:numPr>
    </w:pPr>
  </w:style>
  <w:style w:type="character" w:customStyle="1" w:styleId="62">
    <w:name w:val="发布"/>
    <w:uiPriority w:val="0"/>
    <w:rPr>
      <w:rFonts w:ascii="黑体" w:eastAsia="黑体"/>
      <w:spacing w:val="22"/>
      <w:w w:val="100"/>
      <w:position w:val="3"/>
      <w:sz w:val="28"/>
    </w:rPr>
  </w:style>
  <w:style w:type="paragraph" w:customStyle="1" w:styleId="63">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round" w:vAnchor="page" w:hAnchor="margin" w:y="2908"/>
      <w:adjustRightInd w:val="0"/>
      <w:spacing w:before="357" w:line="280" w:lineRule="exact"/>
    </w:pPr>
  </w:style>
  <w:style w:type="paragraph" w:customStyle="1" w:styleId="67">
    <w:name w:val="封面标准代替信息"/>
    <w:basedOn w:val="66"/>
    <w:qFormat/>
    <w:uiPriority w:val="0"/>
    <w:pPr>
      <w:framePr w:wrap="around"/>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5"/>
    <w:qFormat/>
    <w:uiPriority w:val="0"/>
    <w:pPr>
      <w:numPr>
        <w:ilvl w:val="0"/>
        <w:numId w:val="3"/>
      </w:numPr>
      <w:tabs>
        <w:tab w:val="left" w:pos="6405"/>
      </w:tabs>
      <w:spacing w:after="200"/>
    </w:pPr>
    <w:rPr>
      <w:sz w:val="21"/>
    </w:rPr>
  </w:style>
  <w:style w:type="paragraph" w:customStyle="1" w:styleId="75">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7"/>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7"/>
    <w:qFormat/>
    <w:uiPriority w:val="0"/>
    <w:pPr>
      <w:numPr>
        <w:ilvl w:val="2"/>
      </w:numPr>
      <w:autoSpaceDN w:val="0"/>
      <w:spacing w:beforeLines="0" w:afterLines="0"/>
      <w:outlineLvl w:val="2"/>
    </w:pPr>
  </w:style>
  <w:style w:type="paragraph" w:customStyle="1" w:styleId="78">
    <w:name w:val="附录二级条标题"/>
    <w:basedOn w:val="77"/>
    <w:next w:val="57"/>
    <w:qFormat/>
    <w:uiPriority w:val="0"/>
    <w:pPr>
      <w:numPr>
        <w:ilvl w:val="3"/>
      </w:numPr>
      <w:outlineLvl w:val="3"/>
    </w:pPr>
  </w:style>
  <w:style w:type="paragraph" w:customStyle="1" w:styleId="79">
    <w:name w:val="附录三级条标题"/>
    <w:basedOn w:val="78"/>
    <w:next w:val="57"/>
    <w:qFormat/>
    <w:uiPriority w:val="0"/>
    <w:pPr>
      <w:numPr>
        <w:ilvl w:val="4"/>
      </w:numPr>
      <w:outlineLvl w:val="4"/>
    </w:pPr>
  </w:style>
  <w:style w:type="paragraph" w:customStyle="1" w:styleId="80">
    <w:name w:val="附录四级条标题"/>
    <w:basedOn w:val="79"/>
    <w:next w:val="57"/>
    <w:qFormat/>
    <w:uiPriority w:val="0"/>
    <w:pPr>
      <w:numPr>
        <w:ilvl w:val="5"/>
      </w:numPr>
      <w:outlineLvl w:val="5"/>
    </w:pPr>
  </w:style>
  <w:style w:type="paragraph" w:customStyle="1" w:styleId="81">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82">
    <w:name w:val="附录五级条标题"/>
    <w:basedOn w:val="80"/>
    <w:next w:val="57"/>
    <w:qFormat/>
    <w:uiPriority w:val="0"/>
    <w:pPr>
      <w:numPr>
        <w:ilvl w:val="6"/>
      </w:numPr>
      <w:outlineLvl w:val="6"/>
    </w:pPr>
  </w:style>
  <w:style w:type="character" w:customStyle="1" w:styleId="83">
    <w:name w:val="个人答复风格"/>
    <w:qFormat/>
    <w:uiPriority w:val="0"/>
    <w:rPr>
      <w:rFonts w:ascii="Arial" w:hAnsi="Arial" w:eastAsia="宋体" w:cs="Arial"/>
      <w:color w:val="auto"/>
      <w:sz w:val="20"/>
    </w:rPr>
  </w:style>
  <w:style w:type="character" w:customStyle="1" w:styleId="84">
    <w:name w:val="个人撰写风格"/>
    <w:qFormat/>
    <w:uiPriority w:val="0"/>
    <w:rPr>
      <w:rFonts w:ascii="Arial" w:hAnsi="Arial" w:eastAsia="宋体" w:cs="Arial"/>
      <w:color w:val="auto"/>
      <w:sz w:val="20"/>
    </w:rPr>
  </w:style>
  <w:style w:type="paragraph" w:customStyle="1" w:styleId="85">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6">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7">
    <w:name w:val="目次、标准名称标题"/>
    <w:basedOn w:val="55"/>
    <w:next w:val="57"/>
    <w:qFormat/>
    <w:uiPriority w:val="0"/>
    <w:pPr>
      <w:numPr>
        <w:numId w:val="0"/>
      </w:numPr>
      <w:spacing w:line="460" w:lineRule="exact"/>
    </w:pPr>
  </w:style>
  <w:style w:type="paragraph" w:customStyle="1" w:styleId="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63"/>
    <w:qFormat/>
    <w:uiPriority w:val="0"/>
    <w:pPr>
      <w:framePr w:wrap="around"/>
      <w:spacing w:line="0" w:lineRule="atLeast"/>
    </w:pPr>
    <w:rPr>
      <w:rFonts w:ascii="黑体" w:eastAsia="黑体"/>
      <w:b w:val="0"/>
    </w:rPr>
  </w:style>
  <w:style w:type="paragraph" w:customStyle="1" w:styleId="91">
    <w:name w:val="三级条标题"/>
    <w:basedOn w:val="60"/>
    <w:next w:val="57"/>
    <w:qFormat/>
    <w:uiPriority w:val="0"/>
    <w:pPr>
      <w:numPr>
        <w:ilvl w:val="4"/>
      </w:numPr>
      <w:outlineLvl w:val="4"/>
    </w:pPr>
  </w:style>
  <w:style w:type="paragraph" w:customStyle="1" w:styleId="92">
    <w:name w:val="三级无标题条"/>
    <w:basedOn w:val="1"/>
    <w:qFormat/>
    <w:uiPriority w:val="0"/>
    <w:pPr>
      <w:numPr>
        <w:ilvl w:val="4"/>
        <w:numId w:val="2"/>
      </w:numPr>
    </w:pPr>
  </w:style>
  <w:style w:type="paragraph" w:customStyle="1" w:styleId="93">
    <w:name w:val="实施日期"/>
    <w:basedOn w:val="64"/>
    <w:qFormat/>
    <w:uiPriority w:val="0"/>
    <w:pPr>
      <w:framePr w:hSpace="0" w:wrap="around" w:xAlign="right"/>
      <w:jc w:val="right"/>
    </w:pPr>
  </w:style>
  <w:style w:type="paragraph" w:customStyle="1" w:styleId="94">
    <w:name w:val="示例"/>
    <w:next w:val="57"/>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6">
    <w:name w:val="四级条标题"/>
    <w:basedOn w:val="91"/>
    <w:next w:val="57"/>
    <w:qFormat/>
    <w:uiPriority w:val="0"/>
    <w:pPr>
      <w:numPr>
        <w:ilvl w:val="5"/>
      </w:numPr>
      <w:outlineLvl w:val="5"/>
    </w:pPr>
  </w:style>
  <w:style w:type="paragraph" w:customStyle="1" w:styleId="97">
    <w:name w:val="四级无标题条"/>
    <w:basedOn w:val="1"/>
    <w:qFormat/>
    <w:uiPriority w:val="0"/>
    <w:pPr>
      <w:numPr>
        <w:ilvl w:val="5"/>
        <w:numId w:val="2"/>
      </w:numPr>
    </w:pPr>
  </w:style>
  <w:style w:type="paragraph" w:customStyle="1" w:styleId="98">
    <w:name w:val="条文脚注"/>
    <w:basedOn w:val="26"/>
    <w:qFormat/>
    <w:uiPriority w:val="0"/>
    <w:pPr>
      <w:ind w:left="780" w:leftChars="200" w:hanging="360" w:hangingChars="200"/>
      <w:jc w:val="both"/>
    </w:pPr>
    <w:rPr>
      <w:rFonts w:ascii="宋体"/>
    </w:rPr>
  </w:style>
  <w:style w:type="paragraph" w:customStyle="1" w:styleId="99">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1">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102">
    <w:name w:val="五级条标题"/>
    <w:basedOn w:val="96"/>
    <w:next w:val="57"/>
    <w:qFormat/>
    <w:uiPriority w:val="0"/>
    <w:pPr>
      <w:numPr>
        <w:ilvl w:val="6"/>
      </w:numPr>
      <w:outlineLvl w:val="6"/>
    </w:pPr>
  </w:style>
  <w:style w:type="paragraph" w:customStyle="1" w:styleId="103">
    <w:name w:val="五级无标题条"/>
    <w:basedOn w:val="1"/>
    <w:qFormat/>
    <w:uiPriority w:val="0"/>
    <w:pPr>
      <w:numPr>
        <w:ilvl w:val="6"/>
        <w:numId w:val="2"/>
      </w:numPr>
    </w:pPr>
  </w:style>
  <w:style w:type="paragraph" w:customStyle="1" w:styleId="104">
    <w:name w:val="一级无标题条"/>
    <w:basedOn w:val="1"/>
    <w:qFormat/>
    <w:uiPriority w:val="0"/>
    <w:pPr>
      <w:numPr>
        <w:ilvl w:val="2"/>
        <w:numId w:val="2"/>
      </w:numPr>
    </w:pPr>
  </w:style>
  <w:style w:type="paragraph" w:customStyle="1" w:styleId="105">
    <w:name w:val="正文表标题"/>
    <w:next w:val="57"/>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6">
    <w:name w:val="正文图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注："/>
    <w:next w:val="57"/>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8">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0">
    <w:name w:val="标准文件_一级条标题"/>
    <w:basedOn w:val="1"/>
    <w:next w:val="1"/>
    <w:qFormat/>
    <w:uiPriority w:val="0"/>
    <w:pPr>
      <w:widowControl/>
      <w:ind w:left="-50" w:leftChars="-50" w:right="-50" w:rightChars="-50"/>
      <w:outlineLvl w:val="2"/>
    </w:pPr>
    <w:rPr>
      <w:rFonts w:ascii="黑体" w:eastAsia="黑体"/>
      <w:spacing w:val="2"/>
      <w:kern w:val="0"/>
    </w:rPr>
  </w:style>
  <w:style w:type="paragraph" w:customStyle="1" w:styleId="111">
    <w:name w:val="标准文件_正文表标题"/>
    <w:next w:val="1"/>
    <w:qFormat/>
    <w:uiPriority w:val="0"/>
    <w:pPr>
      <w:tabs>
        <w:tab w:val="left" w:pos="0"/>
      </w:tabs>
      <w:ind w:left="1575"/>
      <w:jc w:val="center"/>
    </w:pPr>
    <w:rPr>
      <w:rFonts w:ascii="黑体" w:hAnsi="Times New Roman" w:eastAsia="黑体" w:cs="Times New Roman"/>
      <w:sz w:val="21"/>
      <w:lang w:val="en-US" w:eastAsia="zh-CN" w:bidi="ar-SA"/>
    </w:rPr>
  </w:style>
  <w:style w:type="paragraph" w:customStyle="1" w:styleId="112">
    <w:name w:val="标准文件_二级条标题"/>
    <w:basedOn w:val="110"/>
    <w:next w:val="1"/>
    <w:qFormat/>
    <w:uiPriority w:val="0"/>
    <w:pPr>
      <w:ind w:left="0"/>
      <w:outlineLvl w:val="3"/>
    </w:pPr>
  </w:style>
  <w:style w:type="character" w:customStyle="1" w:styleId="113">
    <w:name w:val="访问过的超链接1"/>
    <w:qFormat/>
    <w:uiPriority w:val="0"/>
    <w:rPr>
      <w:color w:val="800080"/>
      <w:u w:val="single"/>
    </w:rPr>
  </w:style>
  <w:style w:type="paragraph" w:customStyle="1" w:styleId="114">
    <w:name w:val="标准文件_段"/>
    <w:qFormat/>
    <w:uiPriority w:val="0"/>
    <w:pPr>
      <w:widowControl w:val="0"/>
      <w:autoSpaceDE w:val="0"/>
      <w:autoSpaceDN w:val="0"/>
      <w:adjustRightInd w:val="0"/>
      <w:snapToGrid w:val="0"/>
      <w:spacing w:line="310" w:lineRule="exact"/>
      <w:ind w:right="-105" w:rightChars="-50"/>
      <w:jc w:val="both"/>
    </w:pPr>
    <w:rPr>
      <w:rFonts w:ascii="宋体" w:hAnsi="宋体" w:eastAsia="宋体" w:cs="Times New Roman"/>
      <w:kern w:val="2"/>
      <w:sz w:val="21"/>
      <w:szCs w:val="24"/>
      <w:lang w:val="en-US" w:eastAsia="zh-CN" w:bidi="ar-SA"/>
    </w:rPr>
  </w:style>
  <w:style w:type="character" w:customStyle="1" w:styleId="115">
    <w:name w:val="章标题 Char"/>
    <w:link w:val="58"/>
    <w:qFormat/>
    <w:uiPriority w:val="0"/>
    <w:rPr>
      <w:rFonts w:ascii="黑体" w:eastAsia="黑体"/>
      <w:sz w:val="21"/>
      <w:lang w:val="en-US" w:eastAsia="zh-CN" w:bidi="ar-SA"/>
    </w:rPr>
  </w:style>
  <w:style w:type="character" w:customStyle="1" w:styleId="116">
    <w:name w:val="一级条标题 Char"/>
    <w:basedOn w:val="115"/>
    <w:link w:val="59"/>
    <w:qFormat/>
    <w:uiPriority w:val="0"/>
    <w:rPr>
      <w:rFonts w:ascii="黑体" w:eastAsia="黑体"/>
      <w:sz w:val="21"/>
      <w:lang w:val="en-US" w:eastAsia="zh-CN" w:bidi="ar-SA"/>
    </w:rPr>
  </w:style>
  <w:style w:type="character" w:customStyle="1" w:styleId="117">
    <w:name w:val="二级条标题 Char"/>
    <w:basedOn w:val="116"/>
    <w:link w:val="60"/>
    <w:qFormat/>
    <w:uiPriority w:val="0"/>
    <w:rPr>
      <w:rFonts w:ascii="黑体" w:eastAsia="黑体"/>
      <w:sz w:val="21"/>
      <w:lang w:val="en-US" w:eastAsia="zh-CN" w:bidi="ar-SA"/>
    </w:rPr>
  </w:style>
  <w:style w:type="character" w:customStyle="1" w:styleId="118">
    <w:name w:val="日期 字符"/>
    <w:link w:val="21"/>
    <w:qFormat/>
    <w:uiPriority w:val="0"/>
    <w:rPr>
      <w:kern w:val="2"/>
      <w:sz w:val="21"/>
    </w:rPr>
  </w:style>
  <w:style w:type="character" w:customStyle="1" w:styleId="119">
    <w:name w:val="段 Char"/>
    <w:link w:val="57"/>
    <w:qFormat/>
    <w:uiPriority w:val="0"/>
    <w:rPr>
      <w:rFonts w:ascii="宋体"/>
      <w:sz w:val="21"/>
      <w:lang w:bidi="ar-SA"/>
    </w:rPr>
  </w:style>
  <w:style w:type="character" w:customStyle="1" w:styleId="120">
    <w:name w:val="批注文字 字符"/>
    <w:basedOn w:val="33"/>
    <w:link w:val="17"/>
    <w:qFormat/>
    <w:uiPriority w:val="0"/>
    <w:rPr>
      <w:kern w:val="2"/>
      <w:sz w:val="21"/>
    </w:rPr>
  </w:style>
  <w:style w:type="character" w:customStyle="1" w:styleId="121">
    <w:name w:val="批注主题 字符"/>
    <w:basedOn w:val="120"/>
    <w:link w:val="30"/>
    <w:qFormat/>
    <w:uiPriority w:val="0"/>
    <w:rPr>
      <w:b/>
      <w:bCs/>
      <w:kern w:val="2"/>
      <w:sz w:val="21"/>
    </w:rPr>
  </w:style>
  <w:style w:type="character" w:customStyle="1" w:styleId="122">
    <w:name w:val="批注框文本 字符"/>
    <w:basedOn w:val="33"/>
    <w:link w:val="22"/>
    <w:qFormat/>
    <w:uiPriority w:val="0"/>
    <w:rPr>
      <w:kern w:val="2"/>
      <w:sz w:val="18"/>
      <w:szCs w:val="18"/>
    </w:rPr>
  </w:style>
  <w:style w:type="paragraph" w:customStyle="1" w:styleId="123">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70970-0AC2-448B-8305-2489D5FEFEC5}">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11</Pages>
  <Words>2980</Words>
  <Characters>3329</Characters>
  <Lines>29</Lines>
  <Paragraphs>8</Paragraphs>
  <TotalTime>13</TotalTime>
  <ScaleCrop>false</ScaleCrop>
  <LinksUpToDate>false</LinksUpToDate>
  <CharactersWithSpaces>3646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2022-05-28T15:19:00Z</dcterms:created>
  <dc:creator>G</dc:creator>
  <cp:lastModifiedBy>杨丽娟</cp:lastModifiedBy>
  <cp:lastPrinted>2021-12-14T12:56:00Z</cp:lastPrinted>
  <dcterms:modified xsi:type="dcterms:W3CDTF">2022-08-05T03:17:15Z</dcterms:modified>
  <dc:title>集成电路用磷铜阳极</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7C960A5823DE442BAE87B33BA8B02EBC</vt:lpwstr>
  </property>
</Properties>
</file>