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szCs w:val="28"/>
        </w:rPr>
      </w:pPr>
      <w:r>
        <w:rPr>
          <w:rFonts w:hint="eastAsia" w:eastAsia="黑体"/>
          <w:sz w:val="28"/>
          <w:szCs w:val="28"/>
        </w:rPr>
        <w:t>铜及铜合金加工产品制造生命周期评价技术规范</w:t>
      </w:r>
    </w:p>
    <w:p>
      <w:pPr>
        <w:jc w:val="center"/>
        <w:rPr>
          <w:rFonts w:ascii="宋体"/>
          <w:sz w:val="28"/>
          <w:szCs w:val="28"/>
          <w:lang w:val="de-DE"/>
        </w:rPr>
      </w:pPr>
      <w:r>
        <w:rPr>
          <w:rFonts w:hint="eastAsia" w:eastAsia="黑体"/>
          <w:sz w:val="28"/>
          <w:szCs w:val="28"/>
        </w:rPr>
        <w:t>（</w:t>
      </w:r>
      <w:bookmarkStart w:id="9" w:name="_GoBack"/>
      <w:r>
        <w:rPr>
          <w:rFonts w:hint="eastAsia" w:eastAsia="黑体"/>
          <w:sz w:val="28"/>
          <w:szCs w:val="28"/>
        </w:rPr>
        <w:t>产品种类规范则</w:t>
      </w:r>
      <w:bookmarkEnd w:id="9"/>
      <w:r>
        <w:rPr>
          <w:rFonts w:hint="eastAsia" w:eastAsia="黑体"/>
          <w:sz w:val="28"/>
          <w:szCs w:val="28"/>
        </w:rPr>
        <w:t>）—编制说明（预审稿）</w:t>
      </w:r>
    </w:p>
    <w:p>
      <w:pPr>
        <w:pStyle w:val="7"/>
        <w:spacing w:before="0" w:beforeAutospacing="0" w:after="0" w:afterAutospacing="0" w:line="440" w:lineRule="exact"/>
        <w:jc w:val="both"/>
        <w:rPr>
          <w:rFonts w:ascii="黑体" w:eastAsia="黑体" w:cs="Arial"/>
          <w:sz w:val="21"/>
          <w:szCs w:val="21"/>
        </w:rPr>
      </w:pPr>
      <w:r>
        <w:rPr>
          <w:rFonts w:hint="eastAsia" w:ascii="黑体" w:eastAsia="黑体" w:cs="Arial"/>
          <w:sz w:val="21"/>
          <w:szCs w:val="21"/>
        </w:rPr>
        <w:t>一、工作简况</w:t>
      </w:r>
    </w:p>
    <w:p>
      <w:pPr>
        <w:pStyle w:val="7"/>
        <w:spacing w:before="0" w:beforeAutospacing="0" w:after="0" w:afterAutospacing="0" w:line="400" w:lineRule="exact"/>
        <w:jc w:val="both"/>
        <w:rPr>
          <w:rFonts w:ascii="黑体" w:eastAsia="黑体" w:cs="Arial"/>
          <w:sz w:val="21"/>
          <w:szCs w:val="21"/>
        </w:rPr>
      </w:pPr>
      <w:r>
        <w:rPr>
          <w:rFonts w:hint="eastAsia" w:ascii="黑体" w:eastAsia="黑体" w:cs="Arial"/>
          <w:sz w:val="21"/>
          <w:szCs w:val="21"/>
        </w:rPr>
        <w:t>1.1任务来源</w:t>
      </w:r>
    </w:p>
    <w:p>
      <w:pPr>
        <w:spacing w:line="400" w:lineRule="exact"/>
        <w:ind w:firstLine="420" w:firstLineChars="200"/>
        <w:rPr>
          <w:rFonts w:ascii="宋体" w:hAnsi="宋体"/>
          <w:szCs w:val="21"/>
        </w:rPr>
      </w:pPr>
      <w:r>
        <w:rPr>
          <w:rFonts w:hint="eastAsia" w:ascii="宋体" w:hAnsi="宋体"/>
          <w:szCs w:val="21"/>
        </w:rPr>
        <w:t>根据有色标委[2021]108号《</w:t>
      </w:r>
      <w:r>
        <w:rPr>
          <w:rFonts w:ascii="宋体" w:hAnsi="宋体"/>
          <w:szCs w:val="21"/>
        </w:rPr>
        <w:t>关于转发20</w:t>
      </w:r>
      <w:r>
        <w:rPr>
          <w:rFonts w:hint="eastAsia" w:ascii="宋体" w:hAnsi="宋体"/>
          <w:szCs w:val="21"/>
        </w:rPr>
        <w:t>21</w:t>
      </w:r>
      <w:r>
        <w:rPr>
          <w:rFonts w:ascii="宋体" w:hAnsi="宋体"/>
          <w:szCs w:val="21"/>
        </w:rPr>
        <w:t>年第</w:t>
      </w:r>
      <w:r>
        <w:rPr>
          <w:rFonts w:hint="eastAsia" w:ascii="宋体" w:hAnsi="宋体"/>
          <w:szCs w:val="21"/>
        </w:rPr>
        <w:t>二</w:t>
      </w:r>
      <w:r>
        <w:rPr>
          <w:rFonts w:ascii="宋体" w:hAnsi="宋体"/>
          <w:szCs w:val="21"/>
        </w:rPr>
        <w:t>批有色金属国家、行业</w:t>
      </w:r>
      <w:r>
        <w:rPr>
          <w:rFonts w:hint="eastAsia" w:ascii="宋体" w:hAnsi="宋体"/>
          <w:szCs w:val="21"/>
        </w:rPr>
        <w:t>、协会</w:t>
      </w:r>
      <w:r>
        <w:rPr>
          <w:rFonts w:ascii="宋体" w:hAnsi="宋体"/>
          <w:szCs w:val="21"/>
        </w:rPr>
        <w:t>标准制（修）订项目计划的通知</w:t>
      </w:r>
      <w:r>
        <w:rPr>
          <w:rFonts w:hint="eastAsia" w:ascii="宋体" w:hAnsi="宋体"/>
          <w:szCs w:val="21"/>
        </w:rPr>
        <w:t>》，其中协会标准（项目编号“</w:t>
      </w:r>
      <w:r>
        <w:rPr>
          <w:rFonts w:ascii="宋体" w:hAnsi="宋体"/>
          <w:szCs w:val="21"/>
        </w:rPr>
        <w:t>2021-010-T/CNIA</w:t>
      </w:r>
      <w:r>
        <w:rPr>
          <w:rFonts w:hint="eastAsia" w:ascii="宋体" w:hAnsi="宋体"/>
          <w:szCs w:val="21"/>
        </w:rPr>
        <w:t>” ）《铜及铜合金加工产品制造生命周期评价技术规范（产品种类规范则）》协会标准由中铝洛阳铜加工有限公司、浙江海亮股份有限公司、安徽鑫科新材料股份有限公司等单位负责起草，完成时间2022年。</w:t>
      </w:r>
    </w:p>
    <w:p>
      <w:pPr>
        <w:pStyle w:val="13"/>
        <w:spacing w:beforeLines="0" w:afterLines="0" w:line="400" w:lineRule="exact"/>
        <w:outlineLvl w:val="9"/>
        <w:rPr>
          <w:rFonts w:hAnsi="黑体" w:cs="黑体"/>
          <w:szCs w:val="21"/>
        </w:rPr>
      </w:pPr>
      <w:r>
        <w:rPr>
          <w:rFonts w:hint="eastAsia" w:hAnsi="黑体" w:cs="黑体"/>
          <w:szCs w:val="21"/>
        </w:rPr>
        <w:t>1.2立项目的和意义</w:t>
      </w:r>
    </w:p>
    <w:p>
      <w:pPr>
        <w:pStyle w:val="7"/>
        <w:shd w:val="clear" w:color="auto" w:fill="FFFFFF"/>
        <w:spacing w:before="0" w:beforeAutospacing="0" w:after="0" w:afterAutospacing="0" w:line="400" w:lineRule="exact"/>
        <w:ind w:firstLine="482"/>
        <w:rPr>
          <w:sz w:val="21"/>
          <w:szCs w:val="21"/>
        </w:rPr>
      </w:pPr>
      <w:r>
        <w:rPr>
          <w:sz w:val="21"/>
          <w:szCs w:val="21"/>
        </w:rPr>
        <w:t>生命周期评价作为全面评估产品绿色水平的工具，最早起源于1969年美国中西部研究所受可口可乐委托对饮料容器从原材料采掘到废弃物最终处理的全过程进行的跟踪与定量分析，目前已在全球范围内获得认可，并且成为各国制造绿色贸易政策的重要支撑。</w:t>
      </w:r>
      <w:r>
        <w:rPr>
          <w:rFonts w:hint="eastAsia"/>
          <w:sz w:val="21"/>
          <w:szCs w:val="21"/>
        </w:rPr>
        <w:t>我国是世界上铜加工材生产和消费大国，铜及铜合金加工行业</w:t>
      </w:r>
      <w:r>
        <w:rPr>
          <w:sz w:val="21"/>
          <w:szCs w:val="21"/>
        </w:rPr>
        <w:t>发展也伴随着大量的能源消耗和污染物排放</w:t>
      </w:r>
      <w:r>
        <w:rPr>
          <w:rFonts w:hint="eastAsia"/>
          <w:sz w:val="21"/>
          <w:szCs w:val="21"/>
        </w:rPr>
        <w:t>，</w:t>
      </w:r>
      <w:r>
        <w:rPr>
          <w:sz w:val="21"/>
          <w:szCs w:val="21"/>
        </w:rPr>
        <w:t>面临的环保压力逐步加大。随着环保问题在社会可持续发展中的重要性日益体现，全面推进绿色制造，加快绿色转型已成为</w:t>
      </w:r>
      <w:r>
        <w:rPr>
          <w:rFonts w:hint="eastAsia"/>
          <w:sz w:val="21"/>
          <w:szCs w:val="21"/>
        </w:rPr>
        <w:t>铜及铜合金加工行业</w:t>
      </w:r>
      <w:r>
        <w:rPr>
          <w:sz w:val="21"/>
          <w:szCs w:val="21"/>
        </w:rPr>
        <w:t xml:space="preserve"> “绿色发展”的重要使命。</w:t>
      </w:r>
    </w:p>
    <w:p>
      <w:pPr>
        <w:pStyle w:val="7"/>
        <w:shd w:val="clear" w:color="auto" w:fill="FFFFFF"/>
        <w:spacing w:before="0" w:beforeAutospacing="0" w:after="0" w:afterAutospacing="0" w:line="400" w:lineRule="exact"/>
        <w:ind w:firstLine="482"/>
        <w:rPr>
          <w:sz w:val="21"/>
          <w:szCs w:val="21"/>
        </w:rPr>
      </w:pPr>
      <w:r>
        <w:rPr>
          <w:rFonts w:hint="eastAsia"/>
          <w:sz w:val="21"/>
          <w:szCs w:val="21"/>
        </w:rPr>
        <w:t>生命周期评价评价技术规范，又称为产品种类规范</w:t>
      </w:r>
      <w:r>
        <w:rPr>
          <w:sz w:val="21"/>
          <w:szCs w:val="21"/>
        </w:rPr>
        <w:t>（PCR, product category rules）</w:t>
      </w:r>
      <w:r>
        <w:rPr>
          <w:rFonts w:hint="eastAsia"/>
          <w:sz w:val="21"/>
          <w:szCs w:val="21"/>
        </w:rPr>
        <w:t>，是</w:t>
      </w:r>
      <w:r>
        <w:rPr>
          <w:sz w:val="21"/>
          <w:szCs w:val="21"/>
        </w:rPr>
        <w:t>以生命周期概念为基础，</w:t>
      </w:r>
      <w:r>
        <w:rPr>
          <w:rFonts w:hint="eastAsia"/>
          <w:sz w:val="21"/>
          <w:szCs w:val="21"/>
        </w:rPr>
        <w:t>对一个或多个产品种类进行</w:t>
      </w:r>
      <w:r>
        <w:rPr>
          <w:sz w:val="21"/>
          <w:szCs w:val="21"/>
        </w:rPr>
        <w:t>III 型环境声明（EPD）所应遵循的一套规则、要求和指南。</w:t>
      </w:r>
      <w:r>
        <w:rPr>
          <w:rFonts w:hint="eastAsia"/>
          <w:sz w:val="21"/>
          <w:szCs w:val="21"/>
        </w:rPr>
        <w:t>为充分发挥标准对有色金属工业节能与绿色发展的引领、规范作用，有效应对和解决铜及铜合金加工行业环保压力问题，急需制定铜及铜合金加工产品制造生命周期评价技术规范，</w:t>
      </w:r>
      <w:r>
        <w:rPr>
          <w:sz w:val="21"/>
          <w:szCs w:val="21"/>
        </w:rPr>
        <w:t>推动</w:t>
      </w:r>
      <w:r>
        <w:rPr>
          <w:rFonts w:hint="eastAsia"/>
          <w:sz w:val="21"/>
          <w:szCs w:val="21"/>
        </w:rPr>
        <w:t>铜及铜合金加工</w:t>
      </w:r>
      <w:r>
        <w:rPr>
          <w:sz w:val="21"/>
          <w:szCs w:val="21"/>
        </w:rPr>
        <w:t>产品的绿色设计和行业的绿色转型。</w:t>
      </w:r>
    </w:p>
    <w:p>
      <w:pPr>
        <w:pStyle w:val="7"/>
        <w:shd w:val="clear" w:color="auto" w:fill="FFFFFF"/>
        <w:spacing w:before="0" w:beforeAutospacing="0" w:after="0" w:afterAutospacing="0" w:line="400" w:lineRule="exact"/>
        <w:ind w:firstLine="482"/>
        <w:rPr>
          <w:sz w:val="21"/>
          <w:szCs w:val="21"/>
        </w:rPr>
      </w:pPr>
      <w:r>
        <w:rPr>
          <w:rFonts w:hint="eastAsia"/>
          <w:sz w:val="21"/>
          <w:szCs w:val="21"/>
        </w:rPr>
        <w:t>本标准</w:t>
      </w:r>
      <w:r>
        <w:rPr>
          <w:sz w:val="21"/>
          <w:szCs w:val="21"/>
        </w:rPr>
        <w:t>结合</w:t>
      </w:r>
      <w:r>
        <w:rPr>
          <w:rFonts w:hint="eastAsia"/>
          <w:sz w:val="21"/>
          <w:szCs w:val="21"/>
        </w:rPr>
        <w:t>铜及铜合金加工产品</w:t>
      </w:r>
      <w:r>
        <w:rPr>
          <w:sz w:val="21"/>
          <w:szCs w:val="21"/>
        </w:rPr>
        <w:t>的特点，通过确定和评价产品生命周期对环境的影响，为产品环境声明与环境标识的评价提供数据，为产品设计、工艺技术评价、生产管理、原料采购等工作提供评价依据和改进建议，进一步完善</w:t>
      </w:r>
      <w:r>
        <w:rPr>
          <w:rFonts w:hint="eastAsia"/>
          <w:sz w:val="21"/>
          <w:szCs w:val="21"/>
        </w:rPr>
        <w:t>铜及铜合金加工产品</w:t>
      </w:r>
      <w:r>
        <w:rPr>
          <w:sz w:val="21"/>
          <w:szCs w:val="21"/>
        </w:rPr>
        <w:t>生态设计评价标准体系。</w:t>
      </w:r>
    </w:p>
    <w:p>
      <w:pPr>
        <w:pStyle w:val="13"/>
        <w:spacing w:beforeLines="0" w:afterLines="0" w:line="400" w:lineRule="exact"/>
        <w:outlineLvl w:val="9"/>
        <w:rPr>
          <w:rFonts w:hAnsi="黑体" w:cs="黑体"/>
          <w:szCs w:val="21"/>
        </w:rPr>
      </w:pPr>
      <w:r>
        <w:rPr>
          <w:rFonts w:hint="eastAsia" w:hAnsi="黑体" w:cs="黑体"/>
          <w:szCs w:val="21"/>
        </w:rPr>
        <w:t>1.3项目编制组及工作基础</w:t>
      </w:r>
    </w:p>
    <w:p>
      <w:pPr>
        <w:spacing w:line="400" w:lineRule="exact"/>
        <w:ind w:firstLine="420"/>
        <w:rPr>
          <w:rFonts w:ascii="宋体" w:hAnsi="宋体" w:eastAsia="宋体"/>
          <w:szCs w:val="21"/>
        </w:rPr>
      </w:pPr>
      <w:r>
        <w:rPr>
          <w:rFonts w:hint="eastAsia" w:ascii="宋体" w:hAnsi="宋体" w:eastAsia="宋体"/>
          <w:szCs w:val="21"/>
        </w:rPr>
        <w:t>由于项目任务重，标准制订计划任务正式下达后，立即成立了标准编制组，并落实起草任务，确定标准的主要起草人，拟定该标准的工作计划。具体分工为：中铝洛阳铜加工有限公司总负责，市场和同行业信息收集、资料汇总及执笔；浙江海亮股份有限公司、安徽鑫科新材料股份有限公司等</w:t>
      </w:r>
      <w:r>
        <w:rPr>
          <w:rFonts w:hint="eastAsia" w:ascii="宋体" w:hAnsi="宋体" w:eastAsia="宋体"/>
          <w:spacing w:val="10"/>
          <w:szCs w:val="21"/>
        </w:rPr>
        <w:t>等</w:t>
      </w:r>
      <w:r>
        <w:rPr>
          <w:rFonts w:hint="eastAsia" w:ascii="宋体" w:hAnsi="宋体" w:eastAsia="宋体"/>
          <w:szCs w:val="21"/>
        </w:rPr>
        <w:t>负责补充市场信息、标准及其指标验证完善和征求意见。各企业分工明确，紧密合作，共同完成标准的编制工作。</w:t>
      </w:r>
      <w:r>
        <w:rPr>
          <w:rFonts w:ascii="宋体" w:hAnsi="宋体" w:eastAsia="宋体"/>
          <w:szCs w:val="21"/>
        </w:rPr>
        <w:t xml:space="preserve"> </w:t>
      </w:r>
    </w:p>
    <w:p>
      <w:pPr>
        <w:spacing w:line="400" w:lineRule="exact"/>
        <w:ind w:firstLine="420"/>
        <w:rPr>
          <w:rFonts w:ascii="宋体" w:hAnsi="宋体" w:eastAsia="宋体"/>
          <w:bCs/>
          <w:szCs w:val="21"/>
        </w:rPr>
      </w:pPr>
      <w:r>
        <w:rPr>
          <w:rFonts w:hint="eastAsia" w:ascii="宋体" w:hAnsi="宋体" w:eastAsia="宋体" w:cs="宋体"/>
          <w:szCs w:val="21"/>
        </w:rPr>
        <w:t>中铝洛阳铜加工有限公司是综合性有色金属加工企业，拥有铜及铜合金高精度电子</w:t>
      </w:r>
      <w:r>
        <w:rPr>
          <w:rFonts w:hint="eastAsia" w:ascii="宋体" w:hAnsi="宋体" w:eastAsia="宋体"/>
          <w:szCs w:val="21"/>
        </w:rPr>
        <w:t>带、大管大棒、弥散强化无氧铜、宽厚板等多条生产线，产品涉及铜及铜合金板、带、箔、管、棒、型材，广泛应用于电子信息通讯、新能源、汽车、海洋工程、轨道交通等领域。拥有国家级企业技术中心、国家实验室认证认可监督管理委员会认可的实验室、中国有色金属工业重金属加工材质检站、河南省铜镁材料和加工技术工程研究中心、中铝集团高性能铜板带加工技术重点实验室、有色行业铜及铜合金材料与加工工程技术研究中心。先后从德国、美国、法国、日本、英国、意大利等十二个国家引进了</w:t>
      </w:r>
      <w:r>
        <w:rPr>
          <w:rFonts w:ascii="宋体" w:hAnsi="宋体" w:eastAsia="宋体"/>
          <w:szCs w:val="21"/>
        </w:rPr>
        <w:t>80</w:t>
      </w:r>
      <w:r>
        <w:rPr>
          <w:rFonts w:hint="eastAsia" w:ascii="宋体" w:hAnsi="宋体" w:eastAsia="宋体"/>
          <w:szCs w:val="21"/>
        </w:rPr>
        <w:t>台</w:t>
      </w:r>
      <w:r>
        <w:rPr>
          <w:rFonts w:ascii="宋体" w:hAnsi="宋体" w:eastAsia="宋体"/>
          <w:szCs w:val="21"/>
        </w:rPr>
        <w:t>(</w:t>
      </w:r>
      <w:r>
        <w:rPr>
          <w:rFonts w:hint="eastAsia" w:ascii="宋体" w:hAnsi="宋体" w:eastAsia="宋体"/>
          <w:szCs w:val="21"/>
        </w:rPr>
        <w:t>套</w:t>
      </w:r>
      <w:r>
        <w:rPr>
          <w:rFonts w:ascii="宋体" w:hAnsi="宋体" w:eastAsia="宋体"/>
          <w:szCs w:val="21"/>
        </w:rPr>
        <w:t>)</w:t>
      </w:r>
      <w:r>
        <w:rPr>
          <w:rFonts w:hint="eastAsia" w:ascii="宋体" w:hAnsi="宋体" w:eastAsia="宋体"/>
          <w:szCs w:val="21"/>
        </w:rPr>
        <w:t>先进的设备和检测仪器，为有色金属产品的研制和生产打下了坚实的基础。公司拥有一支高素质的科研技术研发队伍，具备丰富的生产技术经验和技术能力。牵头或参加起草了《</w:t>
      </w:r>
      <w:r>
        <w:rPr>
          <w:rFonts w:hint="eastAsia" w:ascii="宋体" w:hAnsi="宋体" w:eastAsia="宋体" w:cs="宋体"/>
          <w:bCs/>
          <w:szCs w:val="21"/>
        </w:rPr>
        <w:t>铜及铜合金加工行业绿色工厂评价导则》、《</w:t>
      </w:r>
      <w:r>
        <w:rPr>
          <w:rFonts w:hint="eastAsia" w:ascii="宋体" w:hAnsi="宋体" w:eastAsia="宋体" w:cs="Times New Roman"/>
          <w:szCs w:val="21"/>
        </w:rPr>
        <w:t>铜及铜合金板、带、箔材生产绿色工厂评价要求</w:t>
      </w:r>
      <w:r>
        <w:rPr>
          <w:rFonts w:hint="eastAsia" w:ascii="宋体" w:hAnsi="宋体" w:eastAsia="宋体" w:cs="宋体"/>
          <w:bCs/>
          <w:szCs w:val="21"/>
        </w:rPr>
        <w:t>》</w:t>
      </w:r>
      <w:r>
        <w:rPr>
          <w:rFonts w:hint="eastAsia" w:ascii="宋体" w:hAnsi="宋体" w:eastAsia="宋体"/>
          <w:bCs/>
          <w:szCs w:val="21"/>
        </w:rPr>
        <w:t>、《</w:t>
      </w:r>
      <w:r>
        <w:rPr>
          <w:rFonts w:hint="eastAsia" w:ascii="宋体" w:hAnsi="宋体" w:eastAsia="宋体"/>
          <w:szCs w:val="21"/>
        </w:rPr>
        <w:t>铜及铜合金管材生产绿色工厂评价要求</w:t>
      </w:r>
      <w:r>
        <w:rPr>
          <w:rFonts w:hint="eastAsia" w:ascii="宋体" w:hAnsi="宋体" w:eastAsia="宋体"/>
          <w:bCs/>
          <w:szCs w:val="21"/>
        </w:rPr>
        <w:t>》等标准。</w:t>
      </w:r>
    </w:p>
    <w:p>
      <w:pPr>
        <w:spacing w:line="400" w:lineRule="exact"/>
        <w:ind w:firstLine="420"/>
        <w:rPr>
          <w:rFonts w:ascii="宋体" w:hAnsi="宋体" w:eastAsia="宋体"/>
          <w:szCs w:val="21"/>
        </w:rPr>
      </w:pPr>
      <w:r>
        <w:rPr>
          <w:rFonts w:hint="eastAsia" w:ascii="宋体" w:hAnsi="宋体" w:eastAsia="宋体"/>
          <w:szCs w:val="21"/>
        </w:rPr>
        <w:t>浙江海亮股份有限公司（以下简称海亮股份）是海亮集团有限公司(中国企业500强第110位)控股的中外合资股份有限公司，成立于1989年，目前总资产154亿元，现有员工5300余名。公司现拥有浙江海亮、上海海亮、安徽海亮、越南海亮、广东海亮、中山海亮奥托、泰国海亮、重庆海亮、美国海亮等十个产地，下属浙江科宇金属材料有限公司、浙江铜加工研究院有限公司等10多家控股子公司。企业连续年荣获浙江省信用AAA级企业，公司是高新技术企业，全国企事业知识产权试点单位，国家级博士后科研工作站设站单位，省级创新型企业，省级三名示范企业、省级标准创新型企业，省绿色企业，省工业循环经济示范企业，拥有国家企业技术中心、浙江省首批省级企业研究院、省级高新技术研发中心、教育部重点实验室“海亮铜加工技术开发实验室”、省级重点创新团队。公司主要分为三大系列（铜管、铜棒和管件；铝型材；铜铝复合材）、八大主导产品（铜合金管、制冷用空调管、无缝铜水（气）管、精密铜棒、管件、微通道铝扁管、铝型材、铜铝复合材）。产品广泛用于核电、航空航天、舰船及海洋工程、海水淡化、空调和冰箱制冷、建筑水管、装备制造、汽车工业、电子信息等军工和民用行业。已牵头起草制定和计划起草制定的国家行业标准共44项，其中行业标准15项。</w:t>
      </w:r>
    </w:p>
    <w:p>
      <w:pPr>
        <w:pStyle w:val="7"/>
        <w:spacing w:before="0" w:beforeAutospacing="0" w:after="0" w:afterAutospacing="0" w:line="400" w:lineRule="exact"/>
        <w:ind w:firstLine="420"/>
        <w:jc w:val="both"/>
        <w:rPr>
          <w:sz w:val="21"/>
          <w:szCs w:val="21"/>
        </w:rPr>
      </w:pPr>
      <w:r>
        <w:rPr>
          <w:rFonts w:hint="eastAsia" w:cs="Times New Roman"/>
          <w:sz w:val="21"/>
          <w:szCs w:val="21"/>
        </w:rPr>
        <w:t>安徽鑫科铜业有限公司拥有国家级高新技术企业、安徽省企业技术中心，2017年被中国有色金属加工工业协会评为中国铜板带前三强企业。公司主要从事铜及铜合金板材、</w:t>
      </w:r>
      <w:r>
        <w:rPr>
          <w:rFonts w:hint="eastAsia"/>
          <w:sz w:val="21"/>
          <w:szCs w:val="21"/>
        </w:rPr>
        <w:t>带材、辐照交联电缆、特种电缆等产品的开发、生产与销售，承担并完成多项国家和安徽省重大科技攻关项目，主持和参与起草多项国家及行业标准，其中国家标准16项，行业标准11项，主导起草的《GB/T 37568-2019铜及铜合金镀锡带》和《GB/T 26007-2017弹性元件和接插件用铜合金带箔材》被全国有色金属标准化技术委员会评为技术标准优秀奖二等奖和叁等奖。公司拥有50多项国家级科研成果和国家授权专利，多项产品获国家级荣誉称号，产品在国内、外市场拥有较高的美誉度，并出口至东南亚、日本和欧美等国家。</w:t>
      </w:r>
    </w:p>
    <w:p>
      <w:pPr>
        <w:pStyle w:val="13"/>
        <w:spacing w:beforeLines="0" w:afterLines="0" w:line="400" w:lineRule="exact"/>
        <w:outlineLvl w:val="9"/>
        <w:rPr>
          <w:rFonts w:hAnsi="黑体" w:cs="黑体"/>
          <w:szCs w:val="21"/>
        </w:rPr>
      </w:pPr>
      <w:r>
        <w:rPr>
          <w:rFonts w:hint="eastAsia" w:hAnsi="黑体" w:cs="黑体"/>
          <w:szCs w:val="21"/>
        </w:rPr>
        <w:t>1.4 主要工作过程</w:t>
      </w:r>
    </w:p>
    <w:p>
      <w:pPr>
        <w:pStyle w:val="13"/>
        <w:spacing w:beforeLines="0" w:afterLines="0" w:line="400" w:lineRule="exact"/>
        <w:outlineLvl w:val="9"/>
        <w:rPr>
          <w:rFonts w:hAnsi="黑体" w:cs="黑体"/>
          <w:szCs w:val="21"/>
        </w:rPr>
      </w:pPr>
      <w:r>
        <w:rPr>
          <w:rFonts w:hint="eastAsia" w:hAnsi="黑体" w:cs="黑体"/>
          <w:szCs w:val="21"/>
        </w:rPr>
        <w:t>1.4.1标准起草阶段</w:t>
      </w:r>
    </w:p>
    <w:p>
      <w:pPr>
        <w:pStyle w:val="3"/>
        <w:spacing w:line="360" w:lineRule="exact"/>
        <w:ind w:firstLineChars="200"/>
        <w:rPr>
          <w:rFonts w:ascii="宋体" w:hAnsi="宋体" w:cs="宋体"/>
          <w:sz w:val="21"/>
          <w:szCs w:val="21"/>
        </w:rPr>
      </w:pPr>
      <w:r>
        <w:rPr>
          <w:rFonts w:hint="eastAsia" w:ascii="宋体" w:hAnsi="宋体" w:cs="宋体"/>
          <w:sz w:val="21"/>
          <w:szCs w:val="21"/>
        </w:rPr>
        <w:t>接到标准修订任务后，立即成立了标准编制组，并落实起草任务，确定标准的主要起草人，拟定该标准的工作计划。编制组分工明确，紧密合作，共同完成标准的修订工作。</w:t>
      </w:r>
    </w:p>
    <w:p>
      <w:pPr>
        <w:pStyle w:val="3"/>
        <w:spacing w:line="360" w:lineRule="exact"/>
        <w:ind w:firstLineChars="200"/>
        <w:rPr>
          <w:rFonts w:ascii="宋体" w:hAnsi="宋体"/>
          <w:sz w:val="21"/>
          <w:szCs w:val="21"/>
        </w:rPr>
      </w:pPr>
      <w:r>
        <w:rPr>
          <w:rFonts w:hint="eastAsia" w:ascii="宋体" w:hAnsi="宋体"/>
          <w:sz w:val="21"/>
          <w:szCs w:val="21"/>
        </w:rPr>
        <w:t>在标准编制过程中，</w:t>
      </w:r>
      <w:r>
        <w:rPr>
          <w:rFonts w:hint="eastAsia" w:ascii="宋体" w:hAnsi="宋体" w:cs="宋体"/>
          <w:sz w:val="21"/>
          <w:szCs w:val="21"/>
        </w:rPr>
        <w:t>编制组</w:t>
      </w:r>
      <w:r>
        <w:rPr>
          <w:rFonts w:hint="eastAsia" w:ascii="宋体" w:hAnsi="宋体"/>
          <w:sz w:val="21"/>
          <w:szCs w:val="21"/>
        </w:rPr>
        <w:t>查阅了国内外加工铜及铜合金生命周期技术规范的信息和相关标准，</w:t>
      </w:r>
      <w:r>
        <w:rPr>
          <w:rFonts w:hint="eastAsia" w:ascii="宋体" w:hAnsi="宋体" w:cs="宋体"/>
          <w:sz w:val="21"/>
          <w:szCs w:val="21"/>
        </w:rPr>
        <w:t>结合我国铜及铜合金加工厂产品生产实际，以国家标准</w:t>
      </w:r>
      <w:r>
        <w:rPr>
          <w:rFonts w:hint="eastAsia" w:ascii="宋体" w:hAnsi="宋体"/>
          <w:sz w:val="21"/>
          <w:szCs w:val="21"/>
        </w:rPr>
        <w:t>GB/T 24040-2008《环境管理 生命周期评价 原则与框架》、GB/T 24044-2008《环境管理 生命周期评价 要求与指南》国家现有要求为基础，于2021年12月形成标准讨论稿初稿，发相关单位进行征求意见。根据反馈意见，对标准稿进行修改和完善，形成标准《讨论稿》及《编制说明》。</w:t>
      </w:r>
    </w:p>
    <w:p>
      <w:pPr>
        <w:spacing w:line="400" w:lineRule="exact"/>
        <w:ind w:firstLine="420" w:firstLineChars="200"/>
        <w:rPr>
          <w:rFonts w:ascii="宋体" w:hAnsi="宋体"/>
          <w:szCs w:val="21"/>
        </w:rPr>
      </w:pPr>
      <w:r>
        <w:rPr>
          <w:rFonts w:hint="eastAsia" w:ascii="宋体" w:hAnsi="宋体"/>
          <w:szCs w:val="21"/>
        </w:rPr>
        <w:t>2022年1月6日由</w:t>
      </w:r>
      <w:r>
        <w:rPr>
          <w:rFonts w:ascii="宋体" w:hAnsi="宋体"/>
          <w:szCs w:val="21"/>
        </w:rPr>
        <w:t>全国有色金属标准化技术委员会</w:t>
      </w:r>
      <w:r>
        <w:rPr>
          <w:rFonts w:hint="eastAsia" w:ascii="宋体" w:hAnsi="宋体"/>
          <w:szCs w:val="21"/>
        </w:rPr>
        <w:t>主持召开该标准网络讨论会，与会专家对标准进行了认真讨论，提出了意见和建议。编制组</w:t>
      </w:r>
      <w:r>
        <w:rPr>
          <w:rFonts w:hint="eastAsia" w:ascii="宋体" w:hAnsi="宋体"/>
          <w:bCs/>
          <w:szCs w:val="21"/>
        </w:rPr>
        <w:t>根据</w:t>
      </w:r>
      <w:r>
        <w:rPr>
          <w:rFonts w:hint="eastAsia" w:ascii="宋体" w:hAnsi="宋体"/>
          <w:szCs w:val="21"/>
        </w:rPr>
        <w:t>标准讨论会会议精神和各专家意见，对标准进行修改</w:t>
      </w:r>
      <w:r>
        <w:rPr>
          <w:rFonts w:hint="eastAsia" w:ascii="宋体" w:hAnsi="宋体"/>
          <w:bCs/>
          <w:szCs w:val="21"/>
        </w:rPr>
        <w:t>，形成了标准《征求意见稿》，于5月发出征求意见。</w:t>
      </w:r>
      <w:r>
        <w:rPr>
          <w:rFonts w:hint="eastAsia" w:ascii="宋体" w:hAnsi="宋体"/>
          <w:szCs w:val="21"/>
        </w:rPr>
        <w:t>编制组</w:t>
      </w:r>
      <w:r>
        <w:rPr>
          <w:rFonts w:hint="eastAsia" w:ascii="宋体" w:hAnsi="宋体"/>
          <w:bCs/>
          <w:szCs w:val="21"/>
        </w:rPr>
        <w:t>根据</w:t>
      </w:r>
      <w:r>
        <w:rPr>
          <w:rFonts w:hint="eastAsia" w:ascii="宋体" w:hAnsi="宋体"/>
          <w:szCs w:val="21"/>
        </w:rPr>
        <w:t>征求意见情况，对标准进行修改和完善</w:t>
      </w:r>
      <w:r>
        <w:rPr>
          <w:rFonts w:hint="eastAsia" w:ascii="宋体" w:hAnsi="宋体"/>
          <w:bCs/>
          <w:szCs w:val="21"/>
        </w:rPr>
        <w:t>，形成了标准《预审稿》</w:t>
      </w:r>
      <w:r>
        <w:rPr>
          <w:rFonts w:hint="eastAsia" w:asciiTheme="minorEastAsia" w:hAnsiTheme="minorEastAsia"/>
          <w:bCs/>
          <w:szCs w:val="21"/>
        </w:rPr>
        <w:t>及《编制说明》。</w:t>
      </w:r>
    </w:p>
    <w:p>
      <w:pPr>
        <w:pStyle w:val="7"/>
        <w:spacing w:before="0" w:beforeAutospacing="0" w:after="0" w:afterAutospacing="0" w:line="440" w:lineRule="exact"/>
        <w:jc w:val="both"/>
        <w:rPr>
          <w:rFonts w:ascii="黑体" w:eastAsia="黑体" w:cs="Arial"/>
          <w:sz w:val="21"/>
          <w:szCs w:val="21"/>
        </w:rPr>
      </w:pPr>
      <w:r>
        <w:rPr>
          <w:rFonts w:hint="eastAsia" w:ascii="黑体" w:eastAsia="黑体" w:cs="Arial"/>
          <w:sz w:val="21"/>
          <w:szCs w:val="21"/>
        </w:rPr>
        <w:t>二、编制原则</w:t>
      </w:r>
    </w:p>
    <w:p>
      <w:pPr>
        <w:spacing w:line="360" w:lineRule="exact"/>
        <w:ind w:firstLine="480"/>
        <w:rPr>
          <w:rFonts w:ascii="宋体" w:hAnsi="宋体" w:eastAsia="宋体" w:cs="宋体"/>
          <w:bCs/>
          <w:szCs w:val="21"/>
        </w:rPr>
      </w:pPr>
      <w:r>
        <w:rPr>
          <w:rFonts w:hint="eastAsia"/>
          <w:szCs w:val="21"/>
        </w:rPr>
        <w:t>本标准</w:t>
      </w:r>
      <w:r>
        <w:rPr>
          <w:szCs w:val="21"/>
        </w:rPr>
        <w:t>保持和国标</w:t>
      </w:r>
      <w:r>
        <w:rPr>
          <w:rFonts w:hint="eastAsia"/>
          <w:szCs w:val="21"/>
        </w:rPr>
        <w:t>生命周期评价的原则与框架、要求与指南</w:t>
      </w:r>
      <w:r>
        <w:rPr>
          <w:szCs w:val="21"/>
        </w:rPr>
        <w:t>一致性，</w:t>
      </w:r>
      <w:r>
        <w:rPr>
          <w:rFonts w:hint="eastAsia" w:ascii="宋体" w:hAnsi="宋体" w:eastAsia="宋体"/>
          <w:szCs w:val="21"/>
        </w:rPr>
        <w:t>GB/T 24040-2008、 GB/T 24044-2008</w:t>
      </w:r>
      <w:r>
        <w:rPr>
          <w:rFonts w:ascii="Helvetica" w:hAnsi="Helvetica"/>
          <w:szCs w:val="21"/>
        </w:rPr>
        <w:t>是本标准编制的最重要依据。</w:t>
      </w:r>
      <w:r>
        <w:rPr>
          <w:rFonts w:hint="eastAsia" w:cs="宋体"/>
          <w:szCs w:val="21"/>
        </w:rPr>
        <w:t>铜及铜合金加工行业</w:t>
      </w:r>
      <w:r>
        <w:rPr>
          <w:rFonts w:hint="eastAsia"/>
          <w:szCs w:val="21"/>
        </w:rPr>
        <w:t>作</w:t>
      </w:r>
      <w:r>
        <w:rPr>
          <w:szCs w:val="21"/>
        </w:rPr>
        <w:t>为规模</w:t>
      </w:r>
      <w:r>
        <w:rPr>
          <w:rFonts w:hint="eastAsia"/>
          <w:szCs w:val="21"/>
        </w:rPr>
        <w:t>较</w:t>
      </w:r>
      <w:r>
        <w:rPr>
          <w:szCs w:val="21"/>
        </w:rPr>
        <w:t>大、应用</w:t>
      </w:r>
      <w:r>
        <w:rPr>
          <w:rFonts w:hint="eastAsia"/>
          <w:szCs w:val="21"/>
        </w:rPr>
        <w:t>广泛</w:t>
      </w:r>
      <w:r>
        <w:rPr>
          <w:szCs w:val="21"/>
        </w:rPr>
        <w:t>的原材料</w:t>
      </w:r>
      <w:r>
        <w:rPr>
          <w:rFonts w:hint="eastAsia"/>
          <w:szCs w:val="21"/>
        </w:rPr>
        <w:t>加工行业</w:t>
      </w:r>
      <w:r>
        <w:rPr>
          <w:szCs w:val="21"/>
        </w:rPr>
        <w:t>，</w:t>
      </w:r>
      <w:r>
        <w:rPr>
          <w:rFonts w:hint="eastAsia"/>
          <w:szCs w:val="21"/>
        </w:rPr>
        <w:t>经过标准编制组及有关人员的共同努力，通过对国内铜及铜合金加工产品现状的调研及发展趋势的分析，</w:t>
      </w:r>
      <w:r>
        <w:rPr>
          <w:rFonts w:hint="eastAsia" w:ascii="宋体" w:hAnsi="宋体" w:eastAsia="宋体" w:cs="宋体"/>
          <w:szCs w:val="21"/>
        </w:rPr>
        <w:t>以国家标准</w:t>
      </w:r>
      <w:r>
        <w:rPr>
          <w:rFonts w:hint="eastAsia" w:ascii="宋体" w:hAnsi="宋体" w:eastAsia="宋体"/>
          <w:szCs w:val="21"/>
        </w:rPr>
        <w:t>GB/T 24040-2008《环境管理 生命周期评价 原则与框架》、GB/T 24044-2008《环境管理 生命周期评价 要求与指南》和国家现有要求为依据，</w:t>
      </w:r>
      <w:r>
        <w:rPr>
          <w:rFonts w:hint="eastAsia" w:ascii="宋体" w:hAnsi="宋体" w:cs="宋体"/>
          <w:szCs w:val="21"/>
        </w:rPr>
        <w:t>结合国内铜及铜合金加工产品制造实际情况进行标准编制。</w:t>
      </w:r>
      <w:r>
        <w:rPr>
          <w:rFonts w:hint="eastAsia" w:ascii="宋体" w:hAnsi="宋体" w:eastAsia="宋体" w:cs="宋体"/>
          <w:bCs/>
          <w:szCs w:val="21"/>
        </w:rPr>
        <w:t>编制原则如下：</w:t>
      </w:r>
    </w:p>
    <w:p>
      <w:pPr>
        <w:spacing w:line="360" w:lineRule="exact"/>
        <w:rPr>
          <w:rFonts w:ascii="黑体" w:hAnsi="黑体" w:eastAsia="黑体" w:cs="黑体"/>
          <w:bCs/>
          <w:szCs w:val="21"/>
        </w:rPr>
      </w:pPr>
      <w:r>
        <w:rPr>
          <w:rFonts w:hint="eastAsia" w:ascii="黑体" w:hAnsi="黑体" w:eastAsia="黑体" w:cs="黑体"/>
          <w:bCs/>
          <w:szCs w:val="21"/>
        </w:rPr>
        <w:t>2.1一致性原则</w:t>
      </w:r>
    </w:p>
    <w:p>
      <w:pPr>
        <w:spacing w:line="360" w:lineRule="exact"/>
        <w:ind w:firstLine="420" w:firstLineChars="200"/>
        <w:rPr>
          <w:rFonts w:ascii="宋体" w:cs="宋体"/>
          <w:bCs/>
          <w:szCs w:val="21"/>
        </w:rPr>
      </w:pPr>
      <w:r>
        <w:rPr>
          <w:rFonts w:hint="eastAsia" w:ascii="宋体" w:hAnsi="宋体" w:cs="宋体"/>
          <w:bCs/>
          <w:szCs w:val="21"/>
        </w:rPr>
        <w:t>标准尽可能与以下内容协调一致：</w:t>
      </w:r>
    </w:p>
    <w:p>
      <w:pPr>
        <w:spacing w:line="360" w:lineRule="exact"/>
        <w:ind w:firstLine="420" w:firstLineChars="200"/>
        <w:rPr>
          <w:rFonts w:ascii="宋体" w:cs="宋体"/>
          <w:bCs/>
          <w:szCs w:val="21"/>
        </w:rPr>
      </w:pPr>
      <w:r>
        <w:rPr>
          <w:rFonts w:ascii="宋体" w:hAnsi="宋体" w:cs="宋体"/>
          <w:bCs/>
          <w:szCs w:val="21"/>
        </w:rPr>
        <w:t>a)</w:t>
      </w:r>
      <w:r>
        <w:rPr>
          <w:rFonts w:hint="eastAsia" w:ascii="宋体" w:hAnsi="宋体" w:eastAsia="宋体"/>
          <w:szCs w:val="21"/>
        </w:rPr>
        <w:t>生命周期评价</w:t>
      </w:r>
      <w:r>
        <w:rPr>
          <w:rFonts w:hint="eastAsia" w:ascii="宋体" w:hAnsi="宋体" w:cs="宋体"/>
          <w:bCs/>
          <w:szCs w:val="21"/>
        </w:rPr>
        <w:t>体系要求；</w:t>
      </w:r>
    </w:p>
    <w:p>
      <w:pPr>
        <w:spacing w:line="360" w:lineRule="exact"/>
        <w:ind w:firstLine="420" w:firstLineChars="200"/>
        <w:rPr>
          <w:rFonts w:ascii="宋体" w:cs="宋体"/>
          <w:bCs/>
          <w:szCs w:val="21"/>
        </w:rPr>
      </w:pPr>
      <w:r>
        <w:rPr>
          <w:rFonts w:ascii="宋体" w:hAnsi="宋体" w:cs="宋体"/>
          <w:bCs/>
          <w:szCs w:val="21"/>
        </w:rPr>
        <w:t>b)</w:t>
      </w:r>
      <w:r>
        <w:rPr>
          <w:rFonts w:hint="eastAsia" w:ascii="宋体" w:hAnsi="宋体" w:cs="宋体"/>
          <w:bCs/>
          <w:szCs w:val="21"/>
        </w:rPr>
        <w:t>相关法律、法规、政策、标准、管理办法；</w:t>
      </w:r>
    </w:p>
    <w:p>
      <w:pPr>
        <w:spacing w:line="360" w:lineRule="exact"/>
        <w:ind w:firstLine="420" w:firstLineChars="200"/>
        <w:rPr>
          <w:rFonts w:ascii="宋体" w:cs="宋体"/>
          <w:bCs/>
          <w:szCs w:val="21"/>
        </w:rPr>
      </w:pPr>
      <w:r>
        <w:rPr>
          <w:rFonts w:hint="eastAsia" w:ascii="宋体" w:hAnsi="宋体" w:cs="宋体"/>
          <w:bCs/>
          <w:szCs w:val="21"/>
        </w:rPr>
        <w:t>c</w:t>
      </w:r>
      <w:r>
        <w:rPr>
          <w:rFonts w:ascii="宋体" w:hAnsi="宋体" w:cs="宋体"/>
          <w:bCs/>
          <w:szCs w:val="21"/>
        </w:rPr>
        <w:t>)</w:t>
      </w:r>
      <w:r>
        <w:rPr>
          <w:rFonts w:hint="eastAsia" w:ascii="宋体" w:hAnsi="宋体" w:eastAsia="宋体"/>
          <w:szCs w:val="21"/>
        </w:rPr>
        <w:t xml:space="preserve"> GB/T 24040-2008《环境管理 生命周期评价 原则与框架》、GB/T 24044-2008《环境管理 生命周期评价 要求与指南》</w:t>
      </w:r>
      <w:r>
        <w:rPr>
          <w:rFonts w:hint="eastAsia" w:ascii="宋体" w:hAnsi="宋体" w:cs="宋体"/>
          <w:bCs/>
          <w:szCs w:val="21"/>
        </w:rPr>
        <w:t>。</w:t>
      </w:r>
    </w:p>
    <w:p>
      <w:pPr>
        <w:spacing w:line="360" w:lineRule="exact"/>
        <w:rPr>
          <w:rFonts w:ascii="黑体" w:hAnsi="黑体" w:eastAsia="黑体" w:cs="黑体"/>
          <w:bCs/>
          <w:szCs w:val="21"/>
        </w:rPr>
      </w:pPr>
      <w:r>
        <w:rPr>
          <w:rFonts w:hint="eastAsia" w:ascii="黑体" w:hAnsi="黑体" w:eastAsia="黑体" w:cs="黑体"/>
          <w:bCs/>
          <w:szCs w:val="21"/>
        </w:rPr>
        <w:t>2.2全面系统</w:t>
      </w:r>
    </w:p>
    <w:p>
      <w:pPr>
        <w:spacing w:line="360" w:lineRule="exact"/>
        <w:ind w:firstLine="420" w:firstLineChars="200"/>
        <w:rPr>
          <w:rFonts w:ascii="宋体" w:cs="宋体"/>
          <w:bCs/>
          <w:szCs w:val="21"/>
        </w:rPr>
      </w:pPr>
      <w:r>
        <w:rPr>
          <w:rFonts w:ascii="宋体" w:hAnsi="宋体" w:cs="宋体"/>
          <w:bCs/>
          <w:szCs w:val="21"/>
        </w:rPr>
        <w:t>a)</w:t>
      </w:r>
      <w:r>
        <w:rPr>
          <w:rFonts w:hint="eastAsia" w:ascii="宋体" w:hAnsi="宋体" w:cs="宋体"/>
          <w:bCs/>
          <w:szCs w:val="21"/>
        </w:rPr>
        <w:t>涵盖产品</w:t>
      </w:r>
      <w:r>
        <w:rPr>
          <w:rFonts w:hint="eastAsia" w:asciiTheme="minorEastAsia" w:hAnsiTheme="minorEastAsia"/>
          <w:szCs w:val="21"/>
        </w:rPr>
        <w:t>系统边界中的每一个单元过程</w:t>
      </w:r>
      <w:r>
        <w:rPr>
          <w:rFonts w:hint="eastAsia" w:ascii="宋体" w:hAnsi="宋体" w:cs="宋体"/>
          <w:bCs/>
          <w:szCs w:val="21"/>
        </w:rPr>
        <w:t>；</w:t>
      </w:r>
      <w:r>
        <w:rPr>
          <w:rFonts w:ascii="宋体" w:cs="宋体"/>
          <w:bCs/>
          <w:szCs w:val="21"/>
        </w:rPr>
        <w:t xml:space="preserve"> </w:t>
      </w:r>
    </w:p>
    <w:p>
      <w:pPr>
        <w:spacing w:line="360" w:lineRule="exact"/>
        <w:ind w:firstLine="420" w:firstLineChars="200"/>
        <w:rPr>
          <w:rFonts w:ascii="宋体" w:cs="宋体"/>
          <w:bCs/>
          <w:szCs w:val="21"/>
        </w:rPr>
      </w:pPr>
      <w:r>
        <w:rPr>
          <w:rFonts w:ascii="宋体" w:hAnsi="宋体" w:cs="宋体"/>
          <w:bCs/>
          <w:szCs w:val="21"/>
        </w:rPr>
        <w:t>b)</w:t>
      </w:r>
      <w:r>
        <w:rPr>
          <w:rFonts w:hint="eastAsia" w:ascii="宋体" w:hAnsi="宋体" w:cs="宋体"/>
          <w:bCs/>
          <w:szCs w:val="21"/>
        </w:rPr>
        <w:t>全面、系统建立产品生命周期评价</w:t>
      </w:r>
      <w:r>
        <w:rPr>
          <w:rFonts w:hint="eastAsia" w:asciiTheme="minorEastAsia" w:hAnsiTheme="minorEastAsia"/>
          <w:szCs w:val="21"/>
        </w:rPr>
        <w:t>的基本规则和要求。</w:t>
      </w:r>
    </w:p>
    <w:p>
      <w:pPr>
        <w:spacing w:line="360" w:lineRule="exact"/>
        <w:rPr>
          <w:rFonts w:ascii="黑体" w:hAnsi="黑体" w:eastAsia="黑体" w:cs="黑体"/>
          <w:bCs/>
          <w:szCs w:val="21"/>
        </w:rPr>
      </w:pPr>
      <w:r>
        <w:rPr>
          <w:rFonts w:hint="eastAsia" w:ascii="黑体" w:hAnsi="黑体" w:eastAsia="黑体" w:cs="黑体"/>
          <w:bCs/>
          <w:szCs w:val="21"/>
        </w:rPr>
        <w:t>2.3突出行业特点</w:t>
      </w:r>
    </w:p>
    <w:p>
      <w:pPr>
        <w:spacing w:line="360" w:lineRule="exact"/>
        <w:ind w:firstLine="420" w:firstLineChars="200"/>
        <w:rPr>
          <w:rFonts w:ascii="宋体" w:cs="宋体"/>
          <w:bCs/>
          <w:szCs w:val="21"/>
        </w:rPr>
      </w:pPr>
      <w:r>
        <w:rPr>
          <w:rFonts w:hint="eastAsia" w:ascii="宋体" w:hAnsi="宋体" w:eastAsia="宋体"/>
          <w:szCs w:val="21"/>
        </w:rPr>
        <w:t>GB/T 24040-2008和 GB/T 24044-2008</w:t>
      </w:r>
      <w:r>
        <w:rPr>
          <w:rFonts w:hint="eastAsia" w:ascii="宋体" w:hAnsi="宋体" w:cs="宋体"/>
          <w:bCs/>
          <w:szCs w:val="21"/>
        </w:rPr>
        <w:t>的基础上突出</w:t>
      </w:r>
      <w:r>
        <w:rPr>
          <w:rFonts w:hint="eastAsia" w:cs="宋体"/>
          <w:szCs w:val="21"/>
        </w:rPr>
        <w:t>铜及铜合金加工产品</w:t>
      </w:r>
      <w:r>
        <w:rPr>
          <w:rFonts w:hint="eastAsia" w:ascii="宋体" w:hAnsi="宋体" w:cs="宋体"/>
          <w:bCs/>
          <w:szCs w:val="21"/>
        </w:rPr>
        <w:t>的特点，重点关注</w:t>
      </w:r>
      <w:r>
        <w:rPr>
          <w:rFonts w:hint="eastAsia" w:cs="宋体"/>
          <w:szCs w:val="21"/>
        </w:rPr>
        <w:t>铜及铜合金加工</w:t>
      </w:r>
      <w:r>
        <w:rPr>
          <w:rFonts w:hint="eastAsia" w:ascii="宋体" w:hAnsi="宋体" w:cs="宋体"/>
          <w:bCs/>
          <w:szCs w:val="21"/>
        </w:rPr>
        <w:t>产品的生命周期</w:t>
      </w:r>
      <w:r>
        <w:rPr>
          <w:rFonts w:hint="eastAsia" w:asciiTheme="minorEastAsia" w:hAnsiTheme="minorEastAsia"/>
          <w:szCs w:val="21"/>
        </w:rPr>
        <w:t>影响评价</w:t>
      </w:r>
      <w:r>
        <w:rPr>
          <w:rFonts w:hint="eastAsia" w:ascii="宋体" w:hAnsi="宋体" w:cs="宋体"/>
          <w:bCs/>
          <w:szCs w:val="21"/>
        </w:rPr>
        <w:t>。</w:t>
      </w:r>
    </w:p>
    <w:p>
      <w:pPr>
        <w:spacing w:line="360" w:lineRule="exact"/>
        <w:rPr>
          <w:rFonts w:ascii="黑体" w:hAnsi="黑体" w:eastAsia="黑体" w:cs="黑体"/>
          <w:bCs/>
          <w:szCs w:val="21"/>
        </w:rPr>
      </w:pPr>
      <w:r>
        <w:rPr>
          <w:rFonts w:hint="eastAsia" w:ascii="黑体" w:hAnsi="黑体" w:eastAsia="黑体" w:cs="黑体"/>
          <w:bCs/>
          <w:szCs w:val="21"/>
        </w:rPr>
        <w:t>2.4 适用可操作</w:t>
      </w:r>
    </w:p>
    <w:p>
      <w:pPr>
        <w:spacing w:line="360" w:lineRule="exact"/>
        <w:ind w:firstLine="420" w:firstLineChars="200"/>
        <w:rPr>
          <w:rFonts w:ascii="宋体" w:hAnsi="宋体" w:cs="宋体"/>
          <w:szCs w:val="21"/>
        </w:rPr>
      </w:pPr>
      <w:r>
        <w:rPr>
          <w:rFonts w:hint="eastAsia" w:ascii="宋体" w:hAnsi="宋体" w:cs="宋体"/>
          <w:bCs/>
          <w:szCs w:val="21"/>
        </w:rPr>
        <w:t>立足国内企业铜及铜合金加工产品实际和国家标准对产品生命周期评价要求，确保标准的可操作性。</w:t>
      </w:r>
    </w:p>
    <w:p>
      <w:pPr>
        <w:spacing w:line="360" w:lineRule="exact"/>
        <w:rPr>
          <w:rFonts w:ascii="黑体" w:hAnsi="黑体" w:eastAsia="黑体" w:cs="黑体"/>
          <w:szCs w:val="21"/>
        </w:rPr>
      </w:pPr>
      <w:bookmarkStart w:id="0" w:name="OLE_LINK7"/>
      <w:r>
        <w:rPr>
          <w:rFonts w:hint="eastAsia" w:ascii="黑体" w:hAnsi="黑体" w:eastAsia="黑体" w:cs="黑体"/>
          <w:szCs w:val="21"/>
        </w:rPr>
        <w:t>2.5 规范编写:</w:t>
      </w:r>
    </w:p>
    <w:p>
      <w:pPr>
        <w:spacing w:line="360" w:lineRule="exact"/>
        <w:ind w:firstLine="420" w:firstLineChars="200"/>
        <w:rPr>
          <w:rFonts w:ascii="宋体" w:hAnsi="宋体"/>
          <w:szCs w:val="21"/>
        </w:rPr>
      </w:pPr>
      <w:r>
        <w:rPr>
          <w:rFonts w:hint="eastAsia" w:ascii="宋体" w:hAnsi="宋体"/>
          <w:szCs w:val="21"/>
        </w:rPr>
        <w:t>完全按照GB/T 1.1-2020和《有色金属标准编写示例》的要求进行格式和结构编写。</w:t>
      </w:r>
      <w:bookmarkEnd w:id="0"/>
    </w:p>
    <w:p>
      <w:pPr>
        <w:pStyle w:val="7"/>
        <w:spacing w:before="0" w:beforeAutospacing="0" w:after="0" w:afterAutospacing="0" w:line="440" w:lineRule="exact"/>
        <w:jc w:val="both"/>
        <w:rPr>
          <w:rFonts w:ascii="黑体" w:eastAsia="黑体" w:cs="Arial"/>
          <w:sz w:val="21"/>
          <w:szCs w:val="21"/>
        </w:rPr>
      </w:pPr>
      <w:r>
        <w:rPr>
          <w:rFonts w:hint="eastAsia" w:ascii="黑体" w:eastAsia="黑体" w:cs="Arial"/>
          <w:sz w:val="21"/>
          <w:szCs w:val="21"/>
        </w:rPr>
        <w:t>三、标准主要技术内容</w:t>
      </w:r>
    </w:p>
    <w:p>
      <w:pPr>
        <w:spacing w:line="360" w:lineRule="exact"/>
        <w:ind w:firstLine="420" w:firstLineChars="200"/>
        <w:rPr>
          <w:rFonts w:hAnsiTheme="minorEastAsia"/>
          <w:szCs w:val="21"/>
        </w:rPr>
      </w:pPr>
      <w:r>
        <w:rPr>
          <w:rFonts w:hint="eastAsia" w:ascii="宋体" w:hAnsi="宋体" w:cs="宋体"/>
          <w:szCs w:val="21"/>
        </w:rPr>
        <w:t>本标准主要包含了九个部分内容:范围、</w:t>
      </w:r>
      <w:r>
        <w:rPr>
          <w:rFonts w:hint="eastAsia" w:ascii="宋体" w:hAnsi="宋体" w:cs="宋体"/>
          <w:bCs/>
          <w:szCs w:val="21"/>
        </w:rPr>
        <w:t>规范性引用标准</w:t>
      </w:r>
      <w:r>
        <w:rPr>
          <w:rFonts w:hint="eastAsia" w:ascii="黑体" w:hAnsi="宋体" w:eastAsia="黑体" w:cs="宋体"/>
          <w:bCs/>
          <w:szCs w:val="21"/>
        </w:rPr>
        <w:t>、</w:t>
      </w:r>
      <w:r>
        <w:rPr>
          <w:rFonts w:hint="eastAsia"/>
        </w:rPr>
        <w:t>术语和定义、</w:t>
      </w:r>
      <w:r>
        <w:rPr>
          <w:rFonts w:hint="eastAsia" w:ascii="宋体" w:hAnsi="宋体"/>
          <w:szCs w:val="21"/>
        </w:rPr>
        <w:t>产品描述</w:t>
      </w:r>
      <w:r>
        <w:rPr>
          <w:rFonts w:hint="eastAsia"/>
        </w:rPr>
        <w:t>、</w:t>
      </w:r>
      <w:r>
        <w:rPr>
          <w:rFonts w:hint="eastAsia" w:hAnsiTheme="minorEastAsia"/>
          <w:szCs w:val="21"/>
        </w:rPr>
        <w:t>产品生命周期评价</w:t>
      </w:r>
      <w:r>
        <w:rPr>
          <w:rFonts w:hint="eastAsia"/>
        </w:rPr>
        <w:t>、</w:t>
      </w:r>
      <w:r>
        <w:rPr>
          <w:rFonts w:hint="eastAsia" w:hAnsiTheme="minorEastAsia"/>
          <w:szCs w:val="21"/>
        </w:rPr>
        <w:t>附加环境信息、可比性、支持Ⅲ型环境声明报告的要求、验证。</w:t>
      </w:r>
    </w:p>
    <w:p>
      <w:pPr>
        <w:spacing w:line="360" w:lineRule="exact"/>
        <w:rPr>
          <w:rFonts w:ascii="黑体" w:hAnsi="宋体" w:eastAsia="黑体" w:cs="Arial"/>
          <w:kern w:val="0"/>
          <w:szCs w:val="21"/>
        </w:rPr>
      </w:pPr>
      <w:r>
        <w:rPr>
          <w:rFonts w:hint="eastAsia" w:ascii="黑体" w:hAnsi="宋体" w:eastAsia="黑体" w:cs="Arial"/>
          <w:kern w:val="0"/>
          <w:szCs w:val="21"/>
        </w:rPr>
        <w:t>3.1 范围</w:t>
      </w:r>
    </w:p>
    <w:p>
      <w:pPr>
        <w:spacing w:line="400" w:lineRule="exact"/>
        <w:ind w:firstLine="405"/>
        <w:rPr>
          <w:rFonts w:hAnsiTheme="minorEastAsia"/>
          <w:szCs w:val="21"/>
        </w:rPr>
      </w:pPr>
      <w:r>
        <w:rPr>
          <w:rFonts w:hint="eastAsia" w:hAnsiTheme="minorEastAsia"/>
          <w:szCs w:val="21"/>
        </w:rPr>
        <w:t>本标准规定如下：</w:t>
      </w:r>
    </w:p>
    <w:p>
      <w:pPr>
        <w:spacing w:line="400" w:lineRule="exact"/>
        <w:ind w:firstLine="405"/>
        <w:rPr>
          <w:rFonts w:ascii="宋体" w:hAnsi="宋体" w:eastAsia="宋体" w:cs="Times New Roman"/>
          <w:iCs/>
          <w:sz w:val="28"/>
          <w:szCs w:val="28"/>
        </w:rPr>
      </w:pPr>
      <w:r>
        <w:rPr>
          <w:rFonts w:hint="eastAsia" w:ascii="宋体" w:hAnsi="宋体" w:eastAsia="宋体" w:cs="Times New Roman"/>
        </w:rPr>
        <w:t>本文件规定了</w:t>
      </w:r>
      <w:r>
        <w:rPr>
          <w:rFonts w:hint="eastAsia" w:ascii="宋体" w:hAnsi="宋体" w:eastAsia="宋体" w:cs="Times New Roman"/>
          <w:szCs w:val="21"/>
        </w:rPr>
        <w:t>铜及铜合金加工产品制造生命周期评价的基本规则和要求。</w:t>
      </w:r>
      <w:r>
        <w:rPr>
          <w:rFonts w:hint="eastAsia" w:ascii="宋体" w:hAnsi="宋体" w:eastAsia="宋体" w:cs="Times New Roman"/>
        </w:rPr>
        <w:t>本文件适用于具有全流程的铜及铜合金加工行业生产的铜及铜合金加工产品，也适用于仅有某一个或部分工序的铜及铜合金加工企业生产的产品。</w:t>
      </w:r>
    </w:p>
    <w:p>
      <w:pPr>
        <w:spacing w:line="400" w:lineRule="exact"/>
        <w:rPr>
          <w:rFonts w:hAnsiTheme="minorEastAsia"/>
          <w:szCs w:val="21"/>
        </w:rPr>
      </w:pPr>
      <w:r>
        <w:rPr>
          <w:rFonts w:hint="eastAsia" w:hAnsiTheme="minorEastAsia"/>
          <w:szCs w:val="21"/>
        </w:rPr>
        <w:t xml:space="preserve">    目的在于评价铜及铜合金加工产品生命周期的环境影响，为绿色设计产品和Ⅲ型环境声明（EPD）的指标参数提供要求。</w:t>
      </w:r>
    </w:p>
    <w:p>
      <w:pPr>
        <w:spacing w:line="400" w:lineRule="exact"/>
        <w:rPr>
          <w:rFonts w:ascii="黑体" w:hAnsi="宋体" w:eastAsia="黑体" w:cs="Arial"/>
          <w:kern w:val="0"/>
          <w:szCs w:val="21"/>
        </w:rPr>
      </w:pPr>
      <w:r>
        <w:rPr>
          <w:rFonts w:hint="eastAsia" w:ascii="黑体" w:hAnsi="宋体" w:eastAsia="黑体" w:cs="Arial"/>
          <w:kern w:val="0"/>
          <w:szCs w:val="21"/>
        </w:rPr>
        <w:t>3.2 规范性引用文件</w:t>
      </w:r>
    </w:p>
    <w:p>
      <w:pPr>
        <w:spacing w:line="400" w:lineRule="exact"/>
        <w:ind w:firstLine="420" w:firstLineChars="200"/>
        <w:rPr>
          <w:szCs w:val="21"/>
        </w:rPr>
      </w:pPr>
      <w:r>
        <w:rPr>
          <w:szCs w:val="21"/>
        </w:rPr>
        <w:t>考虑到标准间的协调一致，本</w:t>
      </w:r>
      <w:r>
        <w:rPr>
          <w:rFonts w:hint="eastAsia"/>
          <w:szCs w:val="21"/>
        </w:rPr>
        <w:t>标准主要从铜及铜合金加工产品、生命周期评价、</w:t>
      </w:r>
      <w:r>
        <w:rPr>
          <w:rFonts w:hint="eastAsia" w:hAnsiTheme="minorEastAsia"/>
          <w:szCs w:val="21"/>
        </w:rPr>
        <w:t>Ⅲ型环境声明</w:t>
      </w:r>
      <w:r>
        <w:rPr>
          <w:rFonts w:hint="eastAsia"/>
          <w:szCs w:val="21"/>
        </w:rPr>
        <w:t>等方面</w:t>
      </w:r>
      <w:r>
        <w:rPr>
          <w:szCs w:val="21"/>
        </w:rPr>
        <w:t>引用了下</w:t>
      </w:r>
      <w:r>
        <w:rPr>
          <w:rFonts w:hint="eastAsia"/>
          <w:szCs w:val="21"/>
        </w:rPr>
        <w:t>列</w:t>
      </w:r>
      <w:r>
        <w:rPr>
          <w:szCs w:val="21"/>
        </w:rPr>
        <w:t>现行标准：</w:t>
      </w:r>
    </w:p>
    <w:p>
      <w:pPr>
        <w:spacing w:line="400" w:lineRule="exact"/>
        <w:ind w:firstLine="405"/>
        <w:rPr>
          <w:rFonts w:ascii="宋体" w:hAnsi="宋体" w:eastAsia="宋体"/>
          <w:szCs w:val="21"/>
        </w:rPr>
      </w:pPr>
      <w:r>
        <w:rPr>
          <w:rFonts w:hint="eastAsia" w:ascii="宋体" w:hAnsi="宋体" w:eastAsia="宋体"/>
          <w:szCs w:val="21"/>
        </w:rPr>
        <w:t>GB/T 11086-2013  铜及铜合金术语</w:t>
      </w:r>
    </w:p>
    <w:p>
      <w:pPr>
        <w:spacing w:line="400" w:lineRule="exact"/>
        <w:ind w:firstLine="405"/>
        <w:rPr>
          <w:rFonts w:ascii="宋体" w:hAnsi="宋体" w:eastAsia="宋体"/>
          <w:szCs w:val="21"/>
        </w:rPr>
      </w:pPr>
      <w:r>
        <w:rPr>
          <w:rFonts w:hint="eastAsia" w:ascii="宋体" w:hAnsi="宋体" w:eastAsia="宋体"/>
          <w:szCs w:val="21"/>
        </w:rPr>
        <w:t>GB/T 24020-2000  环境管理 环境标志和声明 通用原则</w:t>
      </w:r>
    </w:p>
    <w:p>
      <w:pPr>
        <w:spacing w:line="400" w:lineRule="exact"/>
        <w:ind w:firstLine="405"/>
        <w:rPr>
          <w:rFonts w:ascii="宋体" w:hAnsi="宋体" w:eastAsia="宋体"/>
          <w:szCs w:val="21"/>
        </w:rPr>
      </w:pPr>
      <w:r>
        <w:rPr>
          <w:rFonts w:hint="eastAsia" w:ascii="宋体" w:hAnsi="宋体" w:eastAsia="宋体"/>
          <w:szCs w:val="21"/>
        </w:rPr>
        <w:t>GB/T 24024-2001  环境管理和声明 Ⅰ型环境声明 原则和程序</w:t>
      </w:r>
    </w:p>
    <w:p>
      <w:pPr>
        <w:spacing w:line="400" w:lineRule="exact"/>
        <w:ind w:firstLine="405"/>
        <w:rPr>
          <w:rFonts w:ascii="宋体" w:hAnsi="宋体" w:eastAsia="宋体"/>
          <w:szCs w:val="21"/>
        </w:rPr>
      </w:pPr>
      <w:r>
        <w:rPr>
          <w:rFonts w:hint="eastAsia" w:ascii="宋体" w:hAnsi="宋体" w:eastAsia="宋体"/>
          <w:szCs w:val="21"/>
        </w:rPr>
        <w:t>GB/T 24025-2009  环境管理和声明 Ⅲ型环境声明 原则和程序</w:t>
      </w:r>
    </w:p>
    <w:p>
      <w:pPr>
        <w:spacing w:line="400" w:lineRule="exact"/>
        <w:ind w:firstLine="405"/>
        <w:rPr>
          <w:rFonts w:ascii="宋体" w:hAnsi="宋体" w:eastAsia="宋体"/>
          <w:szCs w:val="21"/>
        </w:rPr>
      </w:pPr>
      <w:r>
        <w:rPr>
          <w:rFonts w:hint="eastAsia" w:ascii="宋体" w:hAnsi="宋体" w:eastAsia="宋体"/>
          <w:szCs w:val="21"/>
        </w:rPr>
        <w:t>GB/T 24040-2008  环境管理 生命周期评价 原则与框架</w:t>
      </w:r>
    </w:p>
    <w:p>
      <w:pPr>
        <w:spacing w:line="400" w:lineRule="exact"/>
        <w:ind w:firstLine="405"/>
        <w:rPr>
          <w:rFonts w:ascii="宋体" w:hAnsi="宋体" w:eastAsia="宋体"/>
          <w:szCs w:val="21"/>
        </w:rPr>
      </w:pPr>
      <w:r>
        <w:rPr>
          <w:rFonts w:hint="eastAsia" w:ascii="宋体" w:hAnsi="宋体" w:eastAsia="宋体"/>
          <w:szCs w:val="21"/>
        </w:rPr>
        <w:t>GB/T 24044-2008  环境管理 生命周期评价 要求与指南</w:t>
      </w:r>
    </w:p>
    <w:p>
      <w:pPr>
        <w:spacing w:line="360" w:lineRule="exact"/>
        <w:rPr>
          <w:rFonts w:ascii="黑体" w:hAnsi="宋体" w:eastAsia="黑体" w:cs="宋体"/>
          <w:bCs/>
          <w:szCs w:val="21"/>
        </w:rPr>
      </w:pPr>
      <w:r>
        <w:rPr>
          <w:rFonts w:hint="eastAsia" w:ascii="黑体" w:hAnsi="宋体" w:eastAsia="黑体" w:cs="宋体"/>
          <w:bCs/>
          <w:szCs w:val="21"/>
        </w:rPr>
        <w:t>3</w:t>
      </w:r>
      <w:r>
        <w:rPr>
          <w:rFonts w:ascii="黑体" w:hAnsi="宋体" w:eastAsia="黑体" w:cs="宋体"/>
          <w:bCs/>
          <w:szCs w:val="21"/>
        </w:rPr>
        <w:t xml:space="preserve">.3 </w:t>
      </w:r>
      <w:r>
        <w:rPr>
          <w:rFonts w:hint="eastAsia" w:ascii="黑体" w:hAnsi="宋体" w:eastAsia="黑体" w:cs="宋体"/>
          <w:bCs/>
          <w:szCs w:val="21"/>
        </w:rPr>
        <w:t>术语和定义</w:t>
      </w:r>
    </w:p>
    <w:p>
      <w:pPr>
        <w:spacing w:line="360" w:lineRule="exact"/>
        <w:ind w:firstLine="420" w:firstLineChars="200"/>
        <w:rPr>
          <w:rFonts w:ascii="宋体" w:hAnsi="宋体" w:cs="宋体"/>
          <w:szCs w:val="21"/>
        </w:rPr>
      </w:pPr>
      <w:r>
        <w:rPr>
          <w:rFonts w:hint="eastAsia" w:ascii="宋体" w:hAnsi="宋体" w:cs="宋体"/>
          <w:szCs w:val="21"/>
        </w:rPr>
        <w:t>根据</w:t>
      </w:r>
      <w:r>
        <w:rPr>
          <w:rFonts w:hint="eastAsia" w:ascii="宋体" w:hAnsi="宋体"/>
          <w:szCs w:val="21"/>
        </w:rPr>
        <w:t>GB/T 24025-</w:t>
      </w:r>
      <w:r>
        <w:rPr>
          <w:rFonts w:hint="eastAsia" w:ascii="宋体" w:hAnsi="宋体"/>
        </w:rPr>
        <w:t>2009</w:t>
      </w:r>
      <w:r>
        <w:rPr>
          <w:rFonts w:hint="eastAsia" w:ascii="宋体" w:hAnsi="宋体"/>
          <w:szCs w:val="21"/>
        </w:rPr>
        <w:t>、</w:t>
      </w:r>
      <w:r>
        <w:rPr>
          <w:rFonts w:ascii="宋体" w:hAnsi="宋体" w:cs="宋体"/>
          <w:szCs w:val="21"/>
        </w:rPr>
        <w:t xml:space="preserve">GB/T </w:t>
      </w:r>
      <w:r>
        <w:rPr>
          <w:rFonts w:hint="eastAsia" w:ascii="宋体" w:hAnsi="宋体" w:cs="宋体"/>
          <w:szCs w:val="21"/>
        </w:rPr>
        <w:t>24040</w:t>
      </w:r>
      <w:r>
        <w:rPr>
          <w:rFonts w:hint="eastAsia" w:ascii="宋体" w:hAnsi="宋体"/>
        </w:rPr>
        <w:t>-2008、</w:t>
      </w:r>
      <w:r>
        <w:rPr>
          <w:rFonts w:ascii="宋体" w:hAnsi="宋体" w:cs="宋体"/>
          <w:szCs w:val="21"/>
        </w:rPr>
        <w:t xml:space="preserve">GB/T </w:t>
      </w:r>
      <w:r>
        <w:rPr>
          <w:rFonts w:hint="eastAsia" w:ascii="宋体" w:hAnsi="宋体" w:cs="宋体"/>
          <w:szCs w:val="21"/>
        </w:rPr>
        <w:t>24044</w:t>
      </w:r>
      <w:r>
        <w:rPr>
          <w:rFonts w:hint="eastAsia" w:ascii="宋体" w:hAnsi="宋体"/>
        </w:rPr>
        <w:t xml:space="preserve">-2008和 GB/T 11086-2013 </w:t>
      </w:r>
      <w:r>
        <w:rPr>
          <w:rFonts w:hint="eastAsia" w:ascii="宋体" w:hAnsi="宋体" w:cs="宋体"/>
          <w:szCs w:val="21"/>
        </w:rPr>
        <w:t>对生命周期评价</w:t>
      </w:r>
      <w:r>
        <w:rPr>
          <w:rFonts w:hint="eastAsia" w:ascii="宋体" w:hAnsi="宋体"/>
          <w:szCs w:val="21"/>
        </w:rPr>
        <w:t>、铜及铜合金加工产品、环境声明</w:t>
      </w:r>
      <w:r>
        <w:rPr>
          <w:rFonts w:hint="eastAsia" w:ascii="宋体" w:hAnsi="宋体" w:cs="宋体"/>
          <w:szCs w:val="21"/>
        </w:rPr>
        <w:t>相关术语做出规定。</w:t>
      </w:r>
    </w:p>
    <w:p>
      <w:pPr>
        <w:spacing w:line="360" w:lineRule="exact"/>
        <w:rPr>
          <w:rFonts w:ascii="黑体" w:hAnsi="宋体" w:eastAsia="黑体" w:cs="宋体"/>
          <w:bCs/>
          <w:szCs w:val="21"/>
        </w:rPr>
      </w:pPr>
      <w:r>
        <w:rPr>
          <w:rFonts w:hint="eastAsia" w:ascii="黑体" w:hAnsi="宋体" w:eastAsia="黑体" w:cs="宋体"/>
          <w:bCs/>
          <w:szCs w:val="21"/>
        </w:rPr>
        <w:t>4</w:t>
      </w:r>
      <w:r>
        <w:rPr>
          <w:rFonts w:ascii="黑体" w:hAnsi="宋体" w:eastAsia="黑体" w:cs="宋体"/>
          <w:bCs/>
          <w:szCs w:val="21"/>
        </w:rPr>
        <w:t xml:space="preserve">.4 </w:t>
      </w:r>
      <w:r>
        <w:rPr>
          <w:rFonts w:hint="eastAsia" w:ascii="黑体" w:hAnsi="宋体" w:eastAsia="黑体" w:cs="宋体"/>
          <w:bCs/>
          <w:szCs w:val="21"/>
        </w:rPr>
        <w:t>产品描述</w:t>
      </w:r>
    </w:p>
    <w:p>
      <w:pPr>
        <w:spacing w:line="360" w:lineRule="exact"/>
        <w:ind w:firstLine="420" w:firstLineChars="200"/>
        <w:rPr>
          <w:rFonts w:ascii="宋体" w:hAnsi="宋体" w:cs="宋体"/>
          <w:szCs w:val="21"/>
        </w:rPr>
      </w:pPr>
      <w:r>
        <w:rPr>
          <w:rFonts w:hint="eastAsia" w:ascii="宋体" w:hAnsi="宋体" w:cs="宋体"/>
          <w:szCs w:val="21"/>
        </w:rPr>
        <w:t>对</w:t>
      </w:r>
      <w:r>
        <w:rPr>
          <w:rFonts w:hint="eastAsia" w:ascii="宋体" w:hAnsi="宋体"/>
          <w:szCs w:val="21"/>
        </w:rPr>
        <w:t>生命周期评价的铜合金加工</w:t>
      </w:r>
      <w:r>
        <w:rPr>
          <w:rFonts w:hint="eastAsia" w:asciiTheme="minorEastAsia" w:hAnsiTheme="minorEastAsia"/>
          <w:szCs w:val="21"/>
        </w:rPr>
        <w:t>产品描述应使用户能够明确识别产品的名称、牌号、成分等相关信息</w:t>
      </w:r>
      <w:r>
        <w:rPr>
          <w:rFonts w:hint="eastAsia" w:ascii="宋体" w:hAnsi="宋体" w:cs="宋体"/>
          <w:szCs w:val="21"/>
        </w:rPr>
        <w:t>。</w:t>
      </w:r>
    </w:p>
    <w:p>
      <w:pPr>
        <w:spacing w:line="360" w:lineRule="auto"/>
        <w:rPr>
          <w:rFonts w:ascii="黑体" w:eastAsia="黑体" w:hAnsiTheme="minorEastAsia"/>
          <w:szCs w:val="21"/>
        </w:rPr>
      </w:pPr>
      <w:r>
        <w:rPr>
          <w:rFonts w:hint="eastAsia" w:ascii="黑体" w:eastAsia="黑体" w:hAnsiTheme="minorEastAsia"/>
          <w:szCs w:val="21"/>
        </w:rPr>
        <w:t>4</w:t>
      </w:r>
      <w:r>
        <w:rPr>
          <w:rFonts w:ascii="黑体" w:eastAsia="黑体" w:hAnsiTheme="minorEastAsia"/>
          <w:szCs w:val="21"/>
        </w:rPr>
        <w:t>.</w:t>
      </w:r>
      <w:r>
        <w:rPr>
          <w:rFonts w:hint="eastAsia" w:ascii="黑体" w:eastAsia="黑体" w:hAnsiTheme="minorEastAsia"/>
          <w:szCs w:val="21"/>
        </w:rPr>
        <w:t>5产品生命周期评价</w:t>
      </w:r>
    </w:p>
    <w:p>
      <w:pPr>
        <w:spacing w:line="360" w:lineRule="exact"/>
        <w:ind w:firstLine="420" w:firstLineChars="200"/>
        <w:rPr>
          <w:rFonts w:ascii="宋体" w:hAnsi="宋体" w:eastAsia="宋体" w:cs="宋体"/>
          <w:szCs w:val="21"/>
        </w:rPr>
      </w:pPr>
      <w:r>
        <w:rPr>
          <w:rFonts w:hint="eastAsia" w:ascii="宋体" w:hAnsi="宋体" w:eastAsia="宋体" w:cs="宋体"/>
          <w:szCs w:val="21"/>
        </w:rPr>
        <w:t>此部分内容是本标准的主要内容，主要包括</w:t>
      </w:r>
      <w:r>
        <w:rPr>
          <w:rFonts w:hint="eastAsia" w:ascii="宋体" w:hAnsi="宋体" w:eastAsia="宋体"/>
          <w:szCs w:val="21"/>
        </w:rPr>
        <w:t>产品生命周期评价流程、目的、范围、生命周期清单分析、生命周期影响评价、</w:t>
      </w:r>
      <w:r>
        <w:rPr>
          <w:rFonts w:hint="eastAsia" w:ascii="黑体" w:eastAsia="黑体" w:hAnsiTheme="minorEastAsia"/>
          <w:szCs w:val="21"/>
        </w:rPr>
        <w:t>生命周期评价报告的编制</w:t>
      </w:r>
      <w:r>
        <w:rPr>
          <w:rFonts w:hint="eastAsia" w:ascii="宋体" w:hAnsi="宋体" w:eastAsia="宋体"/>
          <w:szCs w:val="21"/>
        </w:rPr>
        <w:t>。</w:t>
      </w:r>
    </w:p>
    <w:p>
      <w:pPr>
        <w:spacing w:line="360" w:lineRule="exact"/>
        <w:rPr>
          <w:rFonts w:ascii="黑体" w:hAnsi="宋体" w:eastAsia="黑体" w:cs="宋体"/>
          <w:bCs/>
          <w:szCs w:val="21"/>
        </w:rPr>
      </w:pPr>
      <w:r>
        <w:rPr>
          <w:rFonts w:hint="eastAsia" w:ascii="黑体" w:hAnsi="宋体" w:eastAsia="黑体" w:cs="宋体"/>
          <w:bCs/>
          <w:szCs w:val="21"/>
        </w:rPr>
        <w:t>4.5.1 生命周期评价流程</w:t>
      </w:r>
    </w:p>
    <w:p>
      <w:pPr>
        <w:spacing w:line="360" w:lineRule="exact"/>
        <w:ind w:firstLine="420" w:firstLineChars="200"/>
        <w:rPr>
          <w:rFonts w:ascii="宋体" w:hAnsi="宋体" w:eastAsia="宋体" w:cs="宋体"/>
          <w:szCs w:val="21"/>
        </w:rPr>
      </w:pPr>
      <w:r>
        <w:rPr>
          <w:rFonts w:hint="eastAsia" w:ascii="宋体" w:hAnsi="宋体" w:eastAsia="宋体" w:cs="宋体"/>
          <w:szCs w:val="21"/>
        </w:rPr>
        <w:t>依据GB/T 24040</w:t>
      </w:r>
      <w:r>
        <w:rPr>
          <w:rFonts w:hint="eastAsia" w:ascii="宋体" w:hAnsi="宋体"/>
        </w:rPr>
        <w:t>-2008</w:t>
      </w:r>
      <w:r>
        <w:rPr>
          <w:rFonts w:hint="eastAsia" w:ascii="宋体" w:hAnsi="宋体" w:eastAsia="宋体" w:cs="宋体"/>
          <w:szCs w:val="21"/>
        </w:rPr>
        <w:t>、GB/T 24044</w:t>
      </w:r>
      <w:r>
        <w:rPr>
          <w:rFonts w:hint="eastAsia" w:ascii="宋体" w:hAnsi="宋体"/>
        </w:rPr>
        <w:t>-2008</w:t>
      </w:r>
      <w:r>
        <w:rPr>
          <w:rFonts w:hint="eastAsia" w:ascii="宋体" w:hAnsi="宋体" w:eastAsia="宋体" w:cs="宋体"/>
          <w:szCs w:val="21"/>
        </w:rPr>
        <w:t>确定生命周期评价程序。</w:t>
      </w:r>
    </w:p>
    <w:p>
      <w:pPr>
        <w:spacing w:line="400" w:lineRule="exact"/>
        <w:ind w:firstLine="405"/>
        <w:rPr>
          <w:rFonts w:ascii="仿宋_GB2312" w:eastAsia="仿宋_GB2312" w:hAnsiTheme="minorEastAsia"/>
          <w:szCs w:val="21"/>
        </w:rPr>
      </w:pPr>
      <w:r>
        <w:rPr>
          <w:rFonts w:hint="eastAsia" w:ascii="仿宋_GB2312" w:eastAsia="仿宋_GB2312" w:hAnsiTheme="minorEastAsia"/>
          <w:szCs w:val="21"/>
        </w:rPr>
        <w:t>铜及铜合金加工产品生命周期评价的基本程序包括：目的和范围的定义，生命周期清单分析，生命周期影响评价。</w:t>
      </w:r>
    </w:p>
    <w:p>
      <w:pPr>
        <w:spacing w:line="360" w:lineRule="auto"/>
        <w:rPr>
          <w:rFonts w:ascii="黑体" w:eastAsia="黑体" w:hAnsiTheme="minorEastAsia"/>
          <w:szCs w:val="21"/>
        </w:rPr>
      </w:pPr>
      <w:r>
        <w:rPr>
          <w:rFonts w:hint="eastAsia" w:ascii="黑体" w:eastAsia="黑体" w:hAnsiTheme="minorEastAsia"/>
          <w:szCs w:val="21"/>
        </w:rPr>
        <w:t>4.5.2目的</w:t>
      </w:r>
    </w:p>
    <w:p>
      <w:pPr>
        <w:spacing w:line="400" w:lineRule="exact"/>
        <w:ind w:firstLine="420"/>
        <w:rPr>
          <w:rFonts w:asciiTheme="minorEastAsia" w:hAnsiTheme="minorEastAsia"/>
          <w:szCs w:val="21"/>
        </w:rPr>
      </w:pPr>
      <w:r>
        <w:rPr>
          <w:rFonts w:hint="eastAsia" w:asciiTheme="minorEastAsia" w:hAnsiTheme="minorEastAsia"/>
          <w:szCs w:val="21"/>
        </w:rPr>
        <w:t>铜及铜合金加工产品生命周期评价的目的铜及铜合金加工产品生命周期的环境影响，为</w:t>
      </w:r>
      <w:r>
        <w:rPr>
          <w:rFonts w:hint="eastAsia" w:hAnsiTheme="minorEastAsia"/>
          <w:szCs w:val="21"/>
        </w:rPr>
        <w:t>Ⅲ型</w:t>
      </w:r>
      <w:r>
        <w:rPr>
          <w:rFonts w:hint="eastAsia" w:asciiTheme="minorEastAsia" w:hAnsiTheme="minorEastAsia"/>
          <w:szCs w:val="21"/>
        </w:rPr>
        <w:t>环境声明提供要求。</w:t>
      </w:r>
    </w:p>
    <w:p>
      <w:pPr>
        <w:spacing w:line="400" w:lineRule="exact"/>
        <w:rPr>
          <w:rFonts w:ascii="黑体" w:hAnsi="宋体" w:eastAsia="黑体" w:cs="宋体"/>
          <w:bCs/>
          <w:szCs w:val="21"/>
        </w:rPr>
      </w:pPr>
      <w:r>
        <w:rPr>
          <w:rFonts w:hint="eastAsia" w:ascii="黑体" w:hAnsi="宋体" w:eastAsia="黑体" w:cs="宋体"/>
          <w:bCs/>
          <w:szCs w:val="21"/>
        </w:rPr>
        <w:t>4.5.3 范围</w:t>
      </w:r>
    </w:p>
    <w:p>
      <w:pPr>
        <w:spacing w:line="400" w:lineRule="exact"/>
        <w:rPr>
          <w:rFonts w:ascii="黑体" w:hAnsi="宋体" w:eastAsia="黑体" w:cs="Arial"/>
          <w:kern w:val="0"/>
          <w:szCs w:val="21"/>
        </w:rPr>
      </w:pPr>
      <w:r>
        <w:rPr>
          <w:rFonts w:hint="eastAsia" w:ascii="黑体" w:hAnsi="宋体" w:eastAsia="黑体" w:cs="Arial"/>
          <w:kern w:val="0"/>
          <w:szCs w:val="21"/>
        </w:rPr>
        <w:t xml:space="preserve">    </w:t>
      </w:r>
      <w:r>
        <w:rPr>
          <w:rFonts w:hint="eastAsia" w:asciiTheme="minorEastAsia" w:hAnsiTheme="minorEastAsia"/>
          <w:szCs w:val="21"/>
        </w:rPr>
        <w:t>铜及铜合金加工产品生命周期评价范围主要包括功能单位、系统边界、数据描述、数据的取舍准则、数据质量要求等内容。</w:t>
      </w:r>
    </w:p>
    <w:p>
      <w:pPr>
        <w:spacing w:line="400" w:lineRule="exact"/>
        <w:rPr>
          <w:rFonts w:asciiTheme="minorEastAsia" w:hAnsiTheme="minorEastAsia"/>
          <w:szCs w:val="21"/>
        </w:rPr>
      </w:pPr>
      <w:r>
        <w:rPr>
          <w:rFonts w:hint="eastAsia" w:ascii="宋体" w:hAnsi="宋体" w:eastAsia="宋体" w:cs="Arial"/>
          <w:kern w:val="0"/>
          <w:szCs w:val="21"/>
        </w:rPr>
        <w:t xml:space="preserve">  </w:t>
      </w:r>
      <w:r>
        <w:rPr>
          <w:rFonts w:hint="eastAsia" w:asciiTheme="minorEastAsia" w:hAnsiTheme="minorEastAsia"/>
          <w:szCs w:val="21"/>
        </w:rPr>
        <w:t xml:space="preserve">  （1）功能单位</w:t>
      </w:r>
    </w:p>
    <w:p>
      <w:pPr>
        <w:spacing w:line="400" w:lineRule="exact"/>
        <w:ind w:firstLine="420" w:firstLineChars="200"/>
        <w:rPr>
          <w:rFonts w:asciiTheme="minorEastAsia" w:hAnsiTheme="minorEastAsia"/>
          <w:szCs w:val="21"/>
        </w:rPr>
      </w:pPr>
      <w:r>
        <w:rPr>
          <w:rFonts w:hint="eastAsia" w:asciiTheme="minorEastAsia" w:hAnsiTheme="minorEastAsia"/>
          <w:szCs w:val="21"/>
        </w:rPr>
        <w:t>功能单位定义为1吨</w:t>
      </w:r>
      <w:bookmarkStart w:id="1" w:name="OLE_LINK1"/>
      <w:bookmarkStart w:id="2" w:name="OLE_LINK2"/>
      <w:r>
        <w:rPr>
          <w:rFonts w:hint="eastAsia" w:asciiTheme="minorEastAsia" w:hAnsiTheme="minorEastAsia"/>
          <w:szCs w:val="21"/>
        </w:rPr>
        <w:t>铜及铜合金加工产品</w:t>
      </w:r>
      <w:bookmarkEnd w:id="1"/>
      <w:bookmarkEnd w:id="2"/>
      <w:r>
        <w:rPr>
          <w:rFonts w:hint="eastAsia" w:asciiTheme="minorEastAsia" w:hAnsiTheme="minorEastAsia"/>
          <w:szCs w:val="21"/>
        </w:rPr>
        <w:t>，即反映1吨铜及铜合金加工产品的环境绩效。</w:t>
      </w:r>
    </w:p>
    <w:p>
      <w:pPr>
        <w:spacing w:line="400" w:lineRule="exact"/>
        <w:ind w:firstLine="420" w:firstLineChars="200"/>
        <w:rPr>
          <w:rFonts w:asciiTheme="minorEastAsia" w:hAnsiTheme="minorEastAsia"/>
          <w:szCs w:val="21"/>
        </w:rPr>
      </w:pPr>
      <w:r>
        <w:rPr>
          <w:rFonts w:hint="eastAsia" w:asciiTheme="minorEastAsia" w:hAnsiTheme="minorEastAsia"/>
          <w:szCs w:val="21"/>
        </w:rPr>
        <w:t>（2）系统边界</w:t>
      </w:r>
    </w:p>
    <w:p>
      <w:pPr>
        <w:spacing w:line="400" w:lineRule="exact"/>
        <w:ind w:firstLine="420" w:firstLineChars="200"/>
        <w:rPr>
          <w:rFonts w:asciiTheme="minorEastAsia" w:hAnsiTheme="minorEastAsia"/>
          <w:szCs w:val="21"/>
        </w:rPr>
      </w:pPr>
      <w:r>
        <w:rPr>
          <w:rFonts w:hint="eastAsia" w:asciiTheme="minorEastAsia" w:hAnsiTheme="minorEastAsia"/>
          <w:szCs w:val="21"/>
        </w:rPr>
        <w:t>根据铜及铜合金加工产品生产工艺和实际情况，铜及铜合金加工产品的生命周期系统边界分三个阶段：原辅料购入和能源生产、运输阶段，产品的生产和包装阶段，循环再利用阶段，不包含下游使用阶段。加入循环利用阶段的目的是为了反映本标准的导向性，促进废铜的回收再利用、铜渣尘等副产品的循环再利用。</w:t>
      </w:r>
    </w:p>
    <w:p>
      <w:pPr>
        <w:spacing w:line="400" w:lineRule="exact"/>
        <w:ind w:firstLine="420" w:firstLineChars="200"/>
        <w:rPr>
          <w:rFonts w:asciiTheme="minorEastAsia" w:hAnsiTheme="minorEastAsia"/>
          <w:szCs w:val="21"/>
        </w:rPr>
      </w:pPr>
      <w:r>
        <w:rPr>
          <w:rFonts w:hint="eastAsia" w:asciiTheme="minorEastAsia" w:hAnsiTheme="minorEastAsia"/>
          <w:szCs w:val="21"/>
        </w:rPr>
        <w:t>（3）数据的描述</w:t>
      </w:r>
    </w:p>
    <w:p>
      <w:pPr>
        <w:spacing w:line="400" w:lineRule="exact"/>
        <w:ind w:firstLine="420" w:firstLineChars="200"/>
        <w:rPr>
          <w:rFonts w:asciiTheme="minorEastAsia" w:hAnsiTheme="minorEastAsia"/>
          <w:szCs w:val="21"/>
        </w:rPr>
      </w:pPr>
      <w:r>
        <w:rPr>
          <w:rFonts w:hint="eastAsia" w:asciiTheme="minorEastAsia" w:hAnsiTheme="minorEastAsia"/>
          <w:szCs w:val="21"/>
        </w:rPr>
        <w:t>铜及铜合金加工产品LCA所需数据包括企业现场数据和背景数据。</w:t>
      </w:r>
    </w:p>
    <w:p>
      <w:pPr>
        <w:spacing w:line="400" w:lineRule="exact"/>
        <w:ind w:firstLine="420" w:firstLineChars="200"/>
        <w:rPr>
          <w:rFonts w:asciiTheme="minorEastAsia" w:hAnsiTheme="minorEastAsia"/>
          <w:szCs w:val="21"/>
        </w:rPr>
      </w:pPr>
      <w:r>
        <w:rPr>
          <w:rFonts w:hint="eastAsia" w:asciiTheme="minorEastAsia" w:hAnsiTheme="minorEastAsia"/>
          <w:szCs w:val="21"/>
        </w:rPr>
        <w:t>企业现场数据包括铜及铜合金加工产品生产阶段的原材料消耗、能耗、污染排放、废弃循环再利用率及运输等数据。背景数据包括原辅材料与能源开采生产的生命周期清单数据及原材料运输所需的运输生命周期清单数据。</w:t>
      </w:r>
    </w:p>
    <w:p>
      <w:pPr>
        <w:spacing w:line="400" w:lineRule="exact"/>
        <w:ind w:firstLine="420" w:firstLineChars="200"/>
        <w:rPr>
          <w:rFonts w:ascii="宋体" w:hAnsi="宋体" w:eastAsia="宋体"/>
          <w:szCs w:val="21"/>
        </w:rPr>
      </w:pPr>
      <w:r>
        <w:rPr>
          <w:rFonts w:hint="eastAsia" w:ascii="宋体" w:hAnsi="宋体" w:eastAsia="宋体"/>
          <w:szCs w:val="21"/>
        </w:rPr>
        <w:t>（4）数据取舍准则</w:t>
      </w:r>
    </w:p>
    <w:p>
      <w:pPr>
        <w:spacing w:line="400" w:lineRule="exact"/>
        <w:ind w:firstLine="420" w:firstLineChars="200"/>
        <w:rPr>
          <w:rFonts w:ascii="宋体" w:hAnsi="宋体" w:eastAsia="宋体"/>
          <w:szCs w:val="21"/>
        </w:rPr>
      </w:pPr>
      <w:r>
        <w:rPr>
          <w:rFonts w:hint="eastAsia" w:ascii="宋体" w:hAnsi="宋体" w:eastAsia="宋体"/>
          <w:szCs w:val="21"/>
        </w:rPr>
        <w:t>根据GB/T 24040-2008和GB/T 24044-2008国家标准，结合铜及铜合金加工产品制造特点，确定本标准数据取舍准则：能源的所有输入均列出；原料的所有输入均列出；辅助材料质量小于原料总消耗0.1%的项目输入可忽略；大气、水体的各种排放均列出；小于固体废弃物排放总量1%的一般性固体废弃物可忽略；道路与厂房的基础设施、各工序的设备、厂区内人员及生活设施的消耗和排放，均忽略；取舍原则不适用于有毒有害物质，任何有毒有害的材料和物质均应包含于清单中。</w:t>
      </w:r>
    </w:p>
    <w:p>
      <w:pPr>
        <w:spacing w:line="400" w:lineRule="exact"/>
        <w:ind w:firstLine="420" w:firstLineChars="200"/>
        <w:rPr>
          <w:rFonts w:ascii="宋体" w:hAnsi="宋体" w:eastAsia="宋体"/>
          <w:szCs w:val="21"/>
        </w:rPr>
      </w:pPr>
      <w:r>
        <w:rPr>
          <w:rFonts w:hint="eastAsia" w:ascii="宋体" w:hAnsi="宋体" w:eastAsia="宋体"/>
          <w:szCs w:val="21"/>
        </w:rPr>
        <w:t>（5）数据质量要求</w:t>
      </w:r>
    </w:p>
    <w:p>
      <w:pPr>
        <w:spacing w:line="400" w:lineRule="exact"/>
        <w:ind w:firstLine="420" w:firstLineChars="200"/>
        <w:rPr>
          <w:rFonts w:ascii="宋体" w:hAnsi="宋体" w:eastAsia="宋体"/>
          <w:szCs w:val="21"/>
        </w:rPr>
      </w:pPr>
      <w:r>
        <w:rPr>
          <w:rFonts w:hint="eastAsia" w:ascii="宋体" w:hAnsi="宋体" w:eastAsia="宋体"/>
          <w:szCs w:val="21"/>
        </w:rPr>
        <w:t>数据质量要求包括企业现场数据的质量要求、背景数据的质量要求。数据亚欧具有代表性、完整性、准确性、一致性等。本标准中提出了数据质量评价体系，用于评价数据质量。该评价体系的数据评价指标为3个：来源、类型和时间，并用5级分制来定义数据质量。</w:t>
      </w:r>
    </w:p>
    <w:p>
      <w:pPr>
        <w:spacing w:line="400" w:lineRule="exact"/>
        <w:rPr>
          <w:rFonts w:ascii="黑体" w:hAnsi="宋体" w:eastAsia="黑体"/>
          <w:szCs w:val="21"/>
        </w:rPr>
      </w:pPr>
      <w:r>
        <w:rPr>
          <w:rFonts w:hint="eastAsia" w:ascii="黑体" w:hAnsi="宋体" w:eastAsia="黑体"/>
          <w:szCs w:val="21"/>
        </w:rPr>
        <w:t>4.5.4生命周期清单分析</w:t>
      </w:r>
    </w:p>
    <w:p>
      <w:pPr>
        <w:spacing w:line="400" w:lineRule="exact"/>
        <w:ind w:firstLine="420" w:firstLineChars="200"/>
        <w:rPr>
          <w:rFonts w:ascii="宋体" w:hAnsi="宋体" w:eastAsia="宋体"/>
          <w:szCs w:val="21"/>
        </w:rPr>
      </w:pPr>
      <w:r>
        <w:rPr>
          <w:rFonts w:hint="eastAsia" w:ascii="宋体" w:hAnsi="宋体" w:eastAsia="宋体"/>
          <w:szCs w:val="21"/>
        </w:rPr>
        <w:t>生命周期清单分析是LCA数据建模与计算过程，是本标准的核心部分，主要包括：</w:t>
      </w:r>
    </w:p>
    <w:p>
      <w:pPr>
        <w:spacing w:line="400" w:lineRule="exact"/>
        <w:ind w:firstLine="420" w:firstLineChars="200"/>
        <w:rPr>
          <w:rFonts w:ascii="宋体" w:hAnsi="宋体" w:eastAsia="宋体"/>
          <w:szCs w:val="21"/>
        </w:rPr>
      </w:pPr>
      <w:r>
        <w:rPr>
          <w:rFonts w:hint="eastAsia" w:ascii="宋体" w:hAnsi="宋体" w:eastAsia="宋体"/>
          <w:szCs w:val="21"/>
        </w:rPr>
        <w:t>（1）数据收集。确定数据收集范围，规定数据收集程序。根据评价的目的与范围确定的单元过程，进行收据收集的准备（如绘制图表流程等），根据数据收集准备的的要求，由生产部门的技术人员完成数据收集工作。利用金属</w:t>
      </w:r>
      <w:r>
        <w:rPr>
          <w:rFonts w:hint="eastAsia" w:ascii="宋体" w:hAnsi="宋体" w:eastAsia="宋体"/>
          <w:color w:val="FF0000"/>
          <w:szCs w:val="21"/>
        </w:rPr>
        <w:t>平衡</w:t>
      </w:r>
      <w:r>
        <w:rPr>
          <w:rFonts w:hint="eastAsia" w:ascii="宋体" w:hAnsi="宋体" w:eastAsia="宋体"/>
          <w:szCs w:val="21"/>
        </w:rPr>
        <w:t>、碳平衡、工序能耗、水平衡等方法进行数据审定。数据与功能单位的关联，即将收集的实物流的输入输出处理为功能单位的输入输出。</w:t>
      </w:r>
    </w:p>
    <w:p>
      <w:pPr>
        <w:spacing w:line="400" w:lineRule="exact"/>
        <w:ind w:firstLine="420" w:firstLineChars="200"/>
        <w:rPr>
          <w:rFonts w:ascii="宋体" w:hAnsi="宋体" w:eastAsia="宋体"/>
          <w:szCs w:val="21"/>
        </w:rPr>
      </w:pPr>
      <w:r>
        <w:rPr>
          <w:rFonts w:hint="eastAsia" w:ascii="宋体" w:hAnsi="宋体" w:eastAsia="宋体"/>
          <w:szCs w:val="21"/>
        </w:rPr>
        <w:t>（2）生命周期清单因子。生命周期清单因子应包括：阴极铜消耗、总能耗、粉尘排放、二氧化硫；氮氧化物；二氧化碳、悬浮物排放等指标。</w:t>
      </w:r>
    </w:p>
    <w:p>
      <w:pPr>
        <w:spacing w:line="400" w:lineRule="exact"/>
        <w:ind w:firstLine="420"/>
        <w:rPr>
          <w:rFonts w:ascii="宋体" w:hAnsi="宋体" w:eastAsia="宋体"/>
          <w:szCs w:val="21"/>
        </w:rPr>
      </w:pPr>
      <w:r>
        <w:rPr>
          <w:rFonts w:hint="eastAsia" w:ascii="宋体" w:hAnsi="宋体" w:eastAsia="宋体"/>
          <w:szCs w:val="21"/>
        </w:rPr>
        <w:t>（3）计算程序。数据收集完成后，对该产品系统中每一单元过程与功能单位计算清单结果。计算应以统一的功能单位作为该系统所有单元过程物流、能留的共同基础，计算系统中所有的输入和输出数据。在此过程中，如发现不合理数据，应予以替换。生产工序有多种产品，对一个单元过程确定适宜的基准流，如1吨产品，并计算单元过程的定量输入和输出数据。</w:t>
      </w:r>
    </w:p>
    <w:p>
      <w:pPr>
        <w:spacing w:line="400" w:lineRule="exact"/>
        <w:ind w:firstLine="420"/>
        <w:rPr>
          <w:rFonts w:ascii="宋体" w:hAnsi="宋体" w:eastAsia="宋体"/>
          <w:szCs w:val="21"/>
        </w:rPr>
      </w:pPr>
      <w:r>
        <w:rPr>
          <w:rFonts w:hint="eastAsia" w:ascii="宋体" w:hAnsi="宋体" w:eastAsia="宋体"/>
          <w:szCs w:val="21"/>
        </w:rPr>
        <w:t>数据与功能单位的关联的计算方法是将各个工序或单元过程的投入产出数据除以产品的产量，记即得到单位产品(功能单位)的原辅材料消耗、能源消耗和环境排放。仅当数据类型是设计等价物质并具有类似的环境影响时才允许数据合并。同一工序的不同设备，若生产技术水平相当，输入输出基本相同，则可采取数据合并，</w:t>
      </w:r>
      <w:r>
        <w:rPr>
          <w:rFonts w:hint="eastAsia" w:asciiTheme="minorEastAsia" w:hAnsiTheme="minorEastAsia"/>
          <w:szCs w:val="21"/>
        </w:rPr>
        <w:t>如冷轧工序有2台轧机水平相当，可进行数据合并。</w:t>
      </w:r>
    </w:p>
    <w:p>
      <w:pPr>
        <w:spacing w:line="400" w:lineRule="exact"/>
        <w:ind w:firstLine="420"/>
        <w:rPr>
          <w:rFonts w:asciiTheme="minorEastAsia" w:hAnsiTheme="minorEastAsia"/>
          <w:szCs w:val="21"/>
        </w:rPr>
      </w:pPr>
      <w:r>
        <w:rPr>
          <w:rFonts w:hint="eastAsia" w:ascii="宋体" w:hAnsi="宋体" w:eastAsia="宋体"/>
          <w:szCs w:val="21"/>
        </w:rPr>
        <w:t>生命周期清单计算。生</w:t>
      </w:r>
      <w:r>
        <w:rPr>
          <w:rFonts w:hint="eastAsia" w:asciiTheme="minorEastAsia" w:hAnsiTheme="minorEastAsia"/>
          <w:szCs w:val="21"/>
        </w:rPr>
        <w:t>命周期清单数据是基本流在所定义的生命周期过程的累积，基本流是以功能单位为基准的环境负荷。基本流g（如CO</w:t>
      </w:r>
      <w:r>
        <w:rPr>
          <w:rFonts w:hint="eastAsia" w:asciiTheme="minorEastAsia" w:hAnsiTheme="minorEastAsia"/>
          <w:szCs w:val="21"/>
          <w:vertAlign w:val="subscript"/>
        </w:rPr>
        <w:t>2</w:t>
      </w:r>
      <w:r>
        <w:rPr>
          <w:rFonts w:hint="eastAsia" w:asciiTheme="minorEastAsia" w:hAnsiTheme="minorEastAsia"/>
          <w:szCs w:val="21"/>
        </w:rPr>
        <w:t>的排放）的累积量按式（1）计算：</w:t>
      </w:r>
    </w:p>
    <w:p>
      <w:pPr>
        <w:spacing w:line="400" w:lineRule="exact"/>
        <w:ind w:right="210"/>
        <w:jc w:val="right"/>
        <w:rPr>
          <w:rFonts w:asciiTheme="minorEastAsia" w:hAnsiTheme="minorEastAsia"/>
          <w:szCs w:val="21"/>
        </w:rPr>
      </w:pPr>
      <w:r>
        <w:rPr>
          <w:rFonts w:hint="eastAsia" w:asciiTheme="minorEastAsia" w:hAnsiTheme="minorEastAsia"/>
          <w:i/>
          <w:szCs w:val="21"/>
        </w:rPr>
        <w:t>b</w:t>
      </w:r>
      <w:r>
        <w:rPr>
          <w:rFonts w:hint="eastAsia" w:asciiTheme="minorEastAsia" w:hAnsiTheme="minorEastAsia"/>
          <w:i/>
          <w:szCs w:val="21"/>
          <w:vertAlign w:val="subscript"/>
        </w:rPr>
        <w:t>T，F,g</w:t>
      </w:r>
      <w:r>
        <w:rPr>
          <w:rFonts w:hint="eastAsia" w:asciiTheme="minorEastAsia" w:hAnsiTheme="minorEastAsia"/>
          <w:szCs w:val="21"/>
        </w:rPr>
        <w:t>=</w:t>
      </w:r>
      <w:r>
        <w:rPr>
          <w:rFonts w:hint="eastAsia" w:asciiTheme="minorEastAsia" w:hAnsiTheme="minorEastAsia"/>
          <w:i/>
          <w:szCs w:val="21"/>
        </w:rPr>
        <w:t>b</w:t>
      </w:r>
      <w:r>
        <w:rPr>
          <w:rFonts w:hint="eastAsia" w:asciiTheme="minorEastAsia" w:hAnsiTheme="minorEastAsia"/>
          <w:i/>
          <w:szCs w:val="21"/>
          <w:vertAlign w:val="subscript"/>
        </w:rPr>
        <w:t>F,g</w:t>
      </w:r>
      <w:r>
        <w:rPr>
          <w:rFonts w:hint="eastAsia" w:asciiTheme="minorEastAsia" w:hAnsiTheme="minorEastAsia"/>
          <w:szCs w:val="21"/>
        </w:rPr>
        <w:t>+∑</w:t>
      </w:r>
      <w:r>
        <w:rPr>
          <w:rFonts w:hint="eastAsia" w:asciiTheme="minorEastAsia" w:hAnsiTheme="minorEastAsia"/>
          <w:i/>
          <w:szCs w:val="21"/>
        </w:rPr>
        <w:t>a</w:t>
      </w:r>
      <w:r>
        <w:rPr>
          <w:rFonts w:hint="eastAsia" w:asciiTheme="minorEastAsia" w:hAnsiTheme="minorEastAsia"/>
          <w:i/>
          <w:szCs w:val="21"/>
          <w:vertAlign w:val="subscript"/>
        </w:rPr>
        <w:t>i</w:t>
      </w:r>
      <w:r>
        <w:rPr>
          <w:rFonts w:hint="eastAsia" w:asciiTheme="minorEastAsia" w:hAnsiTheme="minorEastAsia"/>
          <w:i/>
          <w:szCs w:val="21"/>
        </w:rPr>
        <w:t>b</w:t>
      </w:r>
      <w:r>
        <w:rPr>
          <w:rFonts w:hint="eastAsia" w:asciiTheme="minorEastAsia" w:hAnsiTheme="minorEastAsia"/>
          <w:i/>
          <w:szCs w:val="21"/>
          <w:vertAlign w:val="subscript"/>
        </w:rPr>
        <w:t>i，g</w:t>
      </w:r>
      <w:r>
        <w:rPr>
          <w:rFonts w:hint="eastAsia" w:asciiTheme="minorEastAsia" w:hAnsiTheme="minorEastAsia"/>
          <w:szCs w:val="21"/>
        </w:rPr>
        <w:t xml:space="preserve">   </w:t>
      </w:r>
      <w:r>
        <w:rPr>
          <w:rFonts w:asciiTheme="minorEastAsia" w:hAnsiTheme="minorEastAsia"/>
          <w:szCs w:val="21"/>
        </w:rPr>
        <w:t>…………………………………</w:t>
      </w:r>
      <w:r>
        <w:rPr>
          <w:rFonts w:hint="eastAsia" w:asciiTheme="minorEastAsia" w:hAnsiTheme="minorEastAsia"/>
          <w:szCs w:val="21"/>
        </w:rPr>
        <w:t>（1）</w:t>
      </w:r>
    </w:p>
    <w:p>
      <w:pPr>
        <w:spacing w:line="400" w:lineRule="exact"/>
        <w:ind w:firstLine="420"/>
        <w:rPr>
          <w:rFonts w:asciiTheme="minorEastAsia" w:hAnsiTheme="minorEastAsia"/>
          <w:szCs w:val="21"/>
        </w:rPr>
      </w:pPr>
      <w:r>
        <w:rPr>
          <w:rFonts w:hint="eastAsia" w:asciiTheme="minorEastAsia" w:hAnsiTheme="minorEastAsia"/>
          <w:szCs w:val="21"/>
        </w:rPr>
        <w:t>式中：</w:t>
      </w:r>
    </w:p>
    <w:p>
      <w:pPr>
        <w:spacing w:line="400" w:lineRule="exact"/>
        <w:ind w:firstLine="420"/>
        <w:rPr>
          <w:rFonts w:asciiTheme="minorEastAsia" w:hAnsiTheme="minorEastAsia"/>
          <w:szCs w:val="21"/>
        </w:rPr>
      </w:pPr>
      <w:r>
        <w:rPr>
          <w:rFonts w:hint="eastAsia" w:asciiTheme="minorEastAsia" w:hAnsiTheme="minorEastAsia"/>
          <w:i/>
          <w:szCs w:val="21"/>
        </w:rPr>
        <w:t>b</w:t>
      </w:r>
      <w:r>
        <w:rPr>
          <w:rFonts w:hint="eastAsia" w:asciiTheme="minorEastAsia" w:hAnsiTheme="minorEastAsia"/>
          <w:i/>
          <w:szCs w:val="21"/>
          <w:vertAlign w:val="subscript"/>
        </w:rPr>
        <w:t>T，F,g</w:t>
      </w:r>
      <w:r>
        <w:rPr>
          <w:rFonts w:hint="eastAsia" w:asciiTheme="minorEastAsia" w:hAnsiTheme="minorEastAsia"/>
          <w:szCs w:val="21"/>
        </w:rPr>
        <w:t xml:space="preserve">    ——以功能单位</w:t>
      </w:r>
      <w:r>
        <w:rPr>
          <w:rFonts w:hint="eastAsia" w:asciiTheme="minorEastAsia" w:hAnsiTheme="minorEastAsia"/>
          <w:i/>
          <w:szCs w:val="21"/>
        </w:rPr>
        <w:t>F</w:t>
      </w:r>
      <w:r>
        <w:rPr>
          <w:rFonts w:hint="eastAsia" w:asciiTheme="minorEastAsia" w:hAnsiTheme="minorEastAsia"/>
          <w:szCs w:val="21"/>
        </w:rPr>
        <w:t>为基准的基本流</w:t>
      </w:r>
      <w:r>
        <w:rPr>
          <w:rFonts w:hint="eastAsia" w:asciiTheme="minorEastAsia" w:hAnsiTheme="minorEastAsia"/>
          <w:i/>
          <w:szCs w:val="21"/>
        </w:rPr>
        <w:t>g</w:t>
      </w:r>
      <w:r>
        <w:rPr>
          <w:rFonts w:hint="eastAsia" w:asciiTheme="minorEastAsia" w:hAnsiTheme="minorEastAsia"/>
          <w:szCs w:val="21"/>
        </w:rPr>
        <w:t>的累积量</w:t>
      </w:r>
      <w:r>
        <w:rPr>
          <w:rFonts w:hint="eastAsia" w:asciiTheme="minorEastAsia" w:hAnsiTheme="minorEastAsia"/>
          <w:i/>
          <w:szCs w:val="21"/>
        </w:rPr>
        <w:t>T</w:t>
      </w:r>
      <w:r>
        <w:rPr>
          <w:rFonts w:hint="eastAsia" w:asciiTheme="minorEastAsia" w:hAnsiTheme="minorEastAsia"/>
          <w:szCs w:val="21"/>
        </w:rPr>
        <w:t>；</w:t>
      </w:r>
    </w:p>
    <w:p>
      <w:pPr>
        <w:spacing w:line="400" w:lineRule="exact"/>
        <w:ind w:firstLine="420"/>
        <w:rPr>
          <w:rFonts w:asciiTheme="minorEastAsia" w:hAnsiTheme="minorEastAsia"/>
          <w:szCs w:val="21"/>
        </w:rPr>
      </w:pPr>
      <w:r>
        <w:rPr>
          <w:rFonts w:hint="eastAsia" w:asciiTheme="minorEastAsia" w:hAnsiTheme="minorEastAsia"/>
          <w:i/>
          <w:szCs w:val="21"/>
        </w:rPr>
        <w:t>b</w:t>
      </w:r>
      <w:r>
        <w:rPr>
          <w:rFonts w:hint="eastAsia" w:asciiTheme="minorEastAsia" w:hAnsiTheme="minorEastAsia"/>
          <w:i/>
          <w:szCs w:val="21"/>
          <w:vertAlign w:val="subscript"/>
        </w:rPr>
        <w:t xml:space="preserve">F,g </w:t>
      </w:r>
      <w:r>
        <w:rPr>
          <w:rFonts w:hint="eastAsia" w:asciiTheme="minorEastAsia" w:hAnsiTheme="minorEastAsia"/>
          <w:szCs w:val="21"/>
        </w:rPr>
        <w:t xml:space="preserve">     ——以功能单位</w:t>
      </w:r>
      <w:r>
        <w:rPr>
          <w:rFonts w:hint="eastAsia" w:asciiTheme="minorEastAsia" w:hAnsiTheme="minorEastAsia"/>
          <w:i/>
          <w:szCs w:val="21"/>
        </w:rPr>
        <w:t>F</w:t>
      </w:r>
      <w:r>
        <w:rPr>
          <w:rFonts w:hint="eastAsia" w:asciiTheme="minorEastAsia" w:hAnsiTheme="minorEastAsia"/>
          <w:szCs w:val="21"/>
        </w:rPr>
        <w:t>为基准的基本流</w:t>
      </w:r>
      <w:r>
        <w:rPr>
          <w:rFonts w:hint="eastAsia" w:asciiTheme="minorEastAsia" w:hAnsiTheme="minorEastAsia"/>
          <w:i/>
          <w:szCs w:val="21"/>
        </w:rPr>
        <w:t>g</w:t>
      </w:r>
      <w:r>
        <w:rPr>
          <w:rFonts w:hint="eastAsia" w:asciiTheme="minorEastAsia" w:hAnsiTheme="minorEastAsia"/>
          <w:szCs w:val="21"/>
        </w:rPr>
        <w:t>的在产品生产过程的直接流量；</w:t>
      </w:r>
    </w:p>
    <w:p>
      <w:pPr>
        <w:spacing w:line="400" w:lineRule="exact"/>
        <w:ind w:firstLine="420"/>
        <w:rPr>
          <w:rFonts w:asciiTheme="minorEastAsia" w:hAnsiTheme="minorEastAsia"/>
          <w:szCs w:val="21"/>
        </w:rPr>
      </w:pPr>
      <w:r>
        <w:rPr>
          <w:rFonts w:hint="eastAsia" w:asciiTheme="minorEastAsia" w:hAnsiTheme="minorEastAsia"/>
          <w:i/>
          <w:szCs w:val="21"/>
        </w:rPr>
        <w:t>a</w:t>
      </w:r>
      <w:r>
        <w:rPr>
          <w:rFonts w:hint="eastAsia" w:asciiTheme="minorEastAsia" w:hAnsiTheme="minorEastAsia"/>
          <w:i/>
          <w:szCs w:val="21"/>
          <w:vertAlign w:val="subscript"/>
        </w:rPr>
        <w:t xml:space="preserve">i   </w:t>
      </w:r>
      <w:r>
        <w:rPr>
          <w:rFonts w:hint="eastAsia" w:asciiTheme="minorEastAsia" w:hAnsiTheme="minorEastAsia"/>
          <w:szCs w:val="21"/>
        </w:rPr>
        <w:t xml:space="preserve">     ——原辅材料、能源等在产品系统中单元过程</w:t>
      </w:r>
      <w:r>
        <w:rPr>
          <w:rFonts w:hint="eastAsia" w:asciiTheme="minorEastAsia" w:hAnsiTheme="minorEastAsia"/>
          <w:i/>
          <w:szCs w:val="21"/>
        </w:rPr>
        <w:t>i</w:t>
      </w:r>
      <w:r>
        <w:rPr>
          <w:rFonts w:hint="eastAsia" w:asciiTheme="minorEastAsia" w:hAnsiTheme="minorEastAsia"/>
          <w:szCs w:val="21"/>
        </w:rPr>
        <w:t>每功能单位的直接消耗量；</w:t>
      </w:r>
    </w:p>
    <w:p>
      <w:pPr>
        <w:spacing w:line="400" w:lineRule="exact"/>
        <w:ind w:firstLine="420"/>
        <w:rPr>
          <w:rFonts w:asciiTheme="minorEastAsia" w:hAnsiTheme="minorEastAsia"/>
          <w:szCs w:val="21"/>
        </w:rPr>
      </w:pPr>
      <w:r>
        <w:rPr>
          <w:rFonts w:hint="eastAsia" w:asciiTheme="minorEastAsia" w:hAnsiTheme="minorEastAsia"/>
          <w:i/>
          <w:szCs w:val="21"/>
        </w:rPr>
        <w:t>b</w:t>
      </w:r>
      <w:r>
        <w:rPr>
          <w:rFonts w:hint="eastAsia" w:asciiTheme="minorEastAsia" w:hAnsiTheme="minorEastAsia"/>
          <w:i/>
          <w:szCs w:val="21"/>
          <w:vertAlign w:val="subscript"/>
        </w:rPr>
        <w:t xml:space="preserve">i，g    </w:t>
      </w:r>
      <w:r>
        <w:rPr>
          <w:rFonts w:hint="eastAsia" w:asciiTheme="minorEastAsia" w:hAnsiTheme="minorEastAsia"/>
          <w:szCs w:val="21"/>
        </w:rPr>
        <w:t xml:space="preserve">   ——基本流</w:t>
      </w:r>
      <w:r>
        <w:rPr>
          <w:rFonts w:hint="eastAsia" w:asciiTheme="minorEastAsia" w:hAnsiTheme="minorEastAsia"/>
          <w:i/>
          <w:szCs w:val="21"/>
        </w:rPr>
        <w:t>g</w:t>
      </w:r>
      <w:r>
        <w:rPr>
          <w:rFonts w:hint="eastAsia" w:asciiTheme="minorEastAsia" w:hAnsiTheme="minorEastAsia"/>
          <w:szCs w:val="21"/>
        </w:rPr>
        <w:t>在单元过程</w:t>
      </w:r>
      <w:r>
        <w:rPr>
          <w:rFonts w:hint="eastAsia" w:asciiTheme="minorEastAsia" w:hAnsiTheme="minorEastAsia"/>
          <w:i/>
          <w:szCs w:val="21"/>
        </w:rPr>
        <w:t>i</w:t>
      </w:r>
      <w:r>
        <w:rPr>
          <w:rFonts w:hint="eastAsia" w:asciiTheme="minorEastAsia" w:hAnsiTheme="minorEastAsia"/>
          <w:szCs w:val="21"/>
        </w:rPr>
        <w:t>的直接流量；</w:t>
      </w:r>
    </w:p>
    <w:p>
      <w:pPr>
        <w:spacing w:line="400" w:lineRule="exact"/>
        <w:ind w:left="1680" w:leftChars="200" w:hanging="1260" w:hangingChars="600"/>
        <w:jc w:val="left"/>
        <w:rPr>
          <w:rFonts w:asciiTheme="minorEastAsia" w:hAnsiTheme="minorEastAsia"/>
          <w:szCs w:val="21"/>
        </w:rPr>
      </w:pPr>
      <w:r>
        <w:rPr>
          <w:rFonts w:hint="eastAsia" w:asciiTheme="minorEastAsia" w:hAnsiTheme="minorEastAsia"/>
          <w:szCs w:val="21"/>
        </w:rPr>
        <w:t>∑</w:t>
      </w:r>
      <w:r>
        <w:rPr>
          <w:rFonts w:hint="eastAsia" w:asciiTheme="minorEastAsia" w:hAnsiTheme="minorEastAsia"/>
          <w:i/>
          <w:szCs w:val="21"/>
        </w:rPr>
        <w:t>a</w:t>
      </w:r>
      <w:r>
        <w:rPr>
          <w:rFonts w:hint="eastAsia" w:asciiTheme="minorEastAsia" w:hAnsiTheme="minorEastAsia"/>
          <w:i/>
          <w:szCs w:val="21"/>
          <w:vertAlign w:val="subscript"/>
        </w:rPr>
        <w:t>i</w:t>
      </w:r>
      <w:r>
        <w:rPr>
          <w:rFonts w:hint="eastAsia" w:asciiTheme="minorEastAsia" w:hAnsiTheme="minorEastAsia"/>
          <w:i/>
          <w:szCs w:val="21"/>
        </w:rPr>
        <w:t>b</w:t>
      </w:r>
      <w:r>
        <w:rPr>
          <w:rFonts w:hint="eastAsia" w:asciiTheme="minorEastAsia" w:hAnsiTheme="minorEastAsia"/>
          <w:i/>
          <w:szCs w:val="21"/>
          <w:vertAlign w:val="subscript"/>
        </w:rPr>
        <w:t xml:space="preserve">i，g </w:t>
      </w:r>
      <w:r>
        <w:rPr>
          <w:rFonts w:hint="eastAsia" w:asciiTheme="minorEastAsia" w:hAnsiTheme="minorEastAsia"/>
          <w:szCs w:val="21"/>
        </w:rPr>
        <w:t xml:space="preserve"> ——以功能单位为基准的基本流</w:t>
      </w:r>
      <w:r>
        <w:rPr>
          <w:rFonts w:hint="eastAsia" w:asciiTheme="minorEastAsia" w:hAnsiTheme="minorEastAsia"/>
          <w:i/>
          <w:szCs w:val="21"/>
        </w:rPr>
        <w:t>g</w:t>
      </w:r>
      <w:r>
        <w:rPr>
          <w:rFonts w:hint="eastAsia" w:asciiTheme="minorEastAsia" w:hAnsiTheme="minorEastAsia"/>
          <w:szCs w:val="21"/>
        </w:rPr>
        <w:t>在上游过程和下游过程的累积量，主要根据研究边界所包含的单元过程确定。</w:t>
      </w:r>
    </w:p>
    <w:p>
      <w:pPr>
        <w:spacing w:line="400" w:lineRule="exact"/>
        <w:ind w:firstLine="420"/>
        <w:jc w:val="left"/>
        <w:rPr>
          <w:rFonts w:ascii="宋体" w:hAnsi="宋体" w:eastAsia="宋体"/>
          <w:szCs w:val="21"/>
        </w:rPr>
      </w:pPr>
      <w:r>
        <w:rPr>
          <w:rFonts w:hint="eastAsia" w:ascii="宋体" w:hAnsi="宋体" w:eastAsia="宋体"/>
          <w:szCs w:val="21"/>
        </w:rPr>
        <w:t>（4）数据分配</w:t>
      </w:r>
    </w:p>
    <w:p>
      <w:pPr>
        <w:spacing w:line="400" w:lineRule="exact"/>
        <w:ind w:firstLine="420"/>
        <w:jc w:val="left"/>
        <w:rPr>
          <w:rFonts w:asciiTheme="minorEastAsia" w:hAnsiTheme="minorEastAsia"/>
          <w:szCs w:val="21"/>
        </w:rPr>
      </w:pPr>
      <w:r>
        <w:rPr>
          <w:rFonts w:hint="eastAsia" w:asciiTheme="minorEastAsia" w:hAnsiTheme="minorEastAsia"/>
          <w:szCs w:val="21"/>
        </w:rPr>
        <w:t>铜及铜合金加工产品生产工序中存在一个单元过程同时产出两种或多种产品，投入的原材料和能源又没有分开的情况（如熔铸工序同时生产铜锭等产品）。也会在输入渠道有多重，输出只有一种的情况（如废水处理工序的废水来源渠道多种多样）。在这些情况下，不能直接得到清单计算所需的数据，应根据一定的关系对这些过程的数据进行分配。分配的主要原则为：应识别与其他产品系统公用的过程，并按分配程序加以处理；单位过程中分配前与分配后的输入与输出的总和应相等；如果存在若干个可采用的分配程序，应进行敏感性分析，以说明采用其他方法与所选用方法在结果上的差别。</w:t>
      </w:r>
    </w:p>
    <w:p>
      <w:pPr>
        <w:spacing w:line="400" w:lineRule="exact"/>
        <w:ind w:firstLine="420"/>
        <w:jc w:val="left"/>
        <w:rPr>
          <w:rFonts w:ascii="宋体" w:hAnsi="宋体" w:eastAsia="宋体"/>
          <w:szCs w:val="21"/>
        </w:rPr>
      </w:pPr>
      <w:r>
        <w:rPr>
          <w:rFonts w:hint="eastAsia" w:ascii="宋体" w:hAnsi="宋体" w:eastAsia="宋体"/>
          <w:szCs w:val="21"/>
        </w:rPr>
        <w:t>处理分配问题一般按以下程序进行：a）尽量避免或减少出现分配。如：①将原来收集数据划分的单元过程在进一步分解，以便将那些与系统功能无关的单元排除在外；②扩展产品系统边界，把原来排除在系统之外的一些单元包括进来。b) 使用能反映其物理关系的方式来进行分配。如产品的质量、数量、体积、热值等比例关系。c）当物理关系不能确定或不能用作分配依据时，用其经济关系来进行分配，如产品产值或或利润比例关系。</w:t>
      </w:r>
    </w:p>
    <w:p>
      <w:pPr>
        <w:spacing w:line="400" w:lineRule="exact"/>
        <w:ind w:firstLine="420"/>
        <w:jc w:val="left"/>
        <w:rPr>
          <w:rFonts w:ascii="宋体" w:hAnsi="宋体" w:eastAsia="宋体"/>
          <w:szCs w:val="21"/>
        </w:rPr>
      </w:pPr>
      <w:r>
        <w:rPr>
          <w:rFonts w:hint="eastAsia" w:ascii="宋体" w:hAnsi="宋体" w:eastAsia="宋体"/>
          <w:szCs w:val="21"/>
        </w:rPr>
        <w:t>铜及铜合金加工生产系统中的分配为类似功能系统和多功能系统分配。产品的功能相近的单元过程（类似功能系统），产品单元的输入和输出按照产品的质量、能量或其他当量关系分摊给不同的产品。在铜及铜合金加工生产系统中，类似功能系统通常包括：制水系统的产品有工业水、过滤水、软水和纯水；制氮系统的产品有氮气、氢气和氧气；熔铸工序的产品有连铸坯和铸锭。单元过程的产品功能差距较大的系统成为多功能系统，如熔炼炉熔化铜工序，该工序主要消耗阴极铜、天然气、其他金属等，产品有铜水、铜渣、金属粉等，是典型的多功能系统。多功能系统的数据分配比较复杂，需按副产品的实际用途，扩展产品系统边界，把原来排除在系统之外的一些单元包括进来。</w:t>
      </w:r>
    </w:p>
    <w:p>
      <w:pPr>
        <w:spacing w:line="400" w:lineRule="exact"/>
        <w:ind w:firstLine="315" w:firstLineChars="150"/>
        <w:rPr>
          <w:rFonts w:asciiTheme="minorEastAsia" w:hAnsiTheme="minorEastAsia"/>
          <w:szCs w:val="21"/>
        </w:rPr>
      </w:pPr>
      <w:r>
        <w:rPr>
          <w:rFonts w:hint="eastAsia" w:ascii="宋体" w:hAnsi="宋体" w:eastAsia="宋体"/>
          <w:szCs w:val="21"/>
        </w:rPr>
        <w:t>（5） 循环再利用环境收益计算。</w:t>
      </w:r>
      <w:r>
        <w:rPr>
          <w:rFonts w:hint="eastAsia" w:asciiTheme="minorEastAsia" w:hAnsiTheme="minorEastAsia"/>
          <w:szCs w:val="21"/>
        </w:rPr>
        <w:t>铜及铜合金加工产品废弃后考虑废铜循环利用后的生命周期清单按式（2）计算：</w:t>
      </w:r>
    </w:p>
    <w:p>
      <w:pPr>
        <w:spacing w:line="400" w:lineRule="exact"/>
        <w:ind w:firstLine="420"/>
        <w:jc w:val="right"/>
        <w:rPr>
          <w:rFonts w:asciiTheme="minorEastAsia" w:hAnsiTheme="minorEastAsia"/>
          <w:szCs w:val="21"/>
        </w:rPr>
      </w:pPr>
      <w:r>
        <w:rPr>
          <w:rFonts w:hint="eastAsia" w:asciiTheme="minorEastAsia" w:hAnsiTheme="minorEastAsia"/>
          <w:i/>
          <w:szCs w:val="21"/>
        </w:rPr>
        <w:t>LCI</w:t>
      </w:r>
      <w:r>
        <w:rPr>
          <w:rFonts w:hint="eastAsia" w:asciiTheme="minorEastAsia" w:hAnsiTheme="minorEastAsia"/>
          <w:szCs w:val="21"/>
          <w:vertAlign w:val="subscript"/>
        </w:rPr>
        <w:t>includingEOL</w:t>
      </w:r>
      <w:r>
        <w:rPr>
          <w:rFonts w:hint="eastAsia" w:asciiTheme="minorEastAsia" w:hAnsiTheme="minorEastAsia"/>
          <w:szCs w:val="21"/>
        </w:rPr>
        <w:t>=</w:t>
      </w:r>
      <w:r>
        <w:rPr>
          <w:rFonts w:hint="eastAsia" w:asciiTheme="minorEastAsia" w:hAnsiTheme="minorEastAsia"/>
          <w:i/>
          <w:szCs w:val="21"/>
        </w:rPr>
        <w:t>X-（RR-S）（X</w:t>
      </w:r>
      <w:r>
        <w:rPr>
          <w:rFonts w:hint="eastAsia" w:asciiTheme="minorEastAsia" w:hAnsiTheme="minorEastAsia"/>
          <w:szCs w:val="21"/>
          <w:vertAlign w:val="subscript"/>
        </w:rPr>
        <w:t>pr</w:t>
      </w:r>
      <w:r>
        <w:rPr>
          <w:rFonts w:hint="eastAsia" w:asciiTheme="minorEastAsia" w:hAnsiTheme="minorEastAsia"/>
          <w:i/>
          <w:szCs w:val="21"/>
        </w:rPr>
        <w:t>-X</w:t>
      </w:r>
      <w:r>
        <w:rPr>
          <w:rFonts w:hint="eastAsia" w:asciiTheme="minorEastAsia" w:hAnsiTheme="minorEastAsia"/>
          <w:szCs w:val="21"/>
          <w:vertAlign w:val="subscript"/>
        </w:rPr>
        <w:t>re</w:t>
      </w:r>
      <w:r>
        <w:rPr>
          <w:rFonts w:hint="eastAsia" w:asciiTheme="minorEastAsia" w:hAnsiTheme="minorEastAsia"/>
          <w:i/>
          <w:szCs w:val="21"/>
        </w:rPr>
        <w:t xml:space="preserve">）·Y </w:t>
      </w:r>
      <w:r>
        <w:rPr>
          <w:rFonts w:hint="eastAsia" w:asciiTheme="minorEastAsia" w:hAnsiTheme="minorEastAsia"/>
          <w:szCs w:val="21"/>
        </w:rPr>
        <w:t xml:space="preserve">  </w:t>
      </w:r>
      <w:r>
        <w:rPr>
          <w:rFonts w:asciiTheme="minorEastAsia" w:hAnsiTheme="minorEastAsia"/>
          <w:szCs w:val="21"/>
        </w:rPr>
        <w:t>…………………………</w:t>
      </w:r>
      <w:r>
        <w:rPr>
          <w:rFonts w:hint="eastAsia" w:asciiTheme="minorEastAsia" w:hAnsiTheme="minorEastAsia"/>
          <w:szCs w:val="21"/>
        </w:rPr>
        <w:t>（2）</w:t>
      </w:r>
    </w:p>
    <w:p>
      <w:pPr>
        <w:spacing w:line="400" w:lineRule="exact"/>
        <w:ind w:firstLine="420"/>
        <w:jc w:val="left"/>
        <w:rPr>
          <w:rFonts w:asciiTheme="minorEastAsia" w:hAnsiTheme="minorEastAsia"/>
          <w:szCs w:val="21"/>
        </w:rPr>
      </w:pPr>
      <w:r>
        <w:rPr>
          <w:rFonts w:hint="eastAsia" w:asciiTheme="minorEastAsia" w:hAnsiTheme="minorEastAsia"/>
          <w:szCs w:val="21"/>
        </w:rPr>
        <w:t>式中：</w:t>
      </w:r>
    </w:p>
    <w:p>
      <w:pPr>
        <w:spacing w:line="400" w:lineRule="exact"/>
        <w:ind w:firstLine="420"/>
        <w:jc w:val="left"/>
        <w:rPr>
          <w:rFonts w:asciiTheme="minorEastAsia" w:hAnsiTheme="minorEastAsia"/>
          <w:szCs w:val="21"/>
        </w:rPr>
      </w:pPr>
      <w:r>
        <w:rPr>
          <w:rFonts w:hint="eastAsia" w:asciiTheme="minorEastAsia" w:hAnsiTheme="minorEastAsia"/>
          <w:i/>
          <w:szCs w:val="21"/>
        </w:rPr>
        <w:t xml:space="preserve">X   </w:t>
      </w:r>
      <w:r>
        <w:rPr>
          <w:rFonts w:hint="eastAsia" w:asciiTheme="minorEastAsia" w:hAnsiTheme="minorEastAsia"/>
          <w:szCs w:val="21"/>
        </w:rPr>
        <w:t>——未考虑废铜循环的清单结果；</w:t>
      </w:r>
    </w:p>
    <w:p>
      <w:pPr>
        <w:spacing w:line="400" w:lineRule="exact"/>
        <w:ind w:firstLine="420"/>
        <w:jc w:val="left"/>
        <w:rPr>
          <w:rFonts w:asciiTheme="minorEastAsia" w:hAnsiTheme="minorEastAsia"/>
          <w:szCs w:val="21"/>
        </w:rPr>
      </w:pPr>
      <w:r>
        <w:rPr>
          <w:rFonts w:hint="eastAsia" w:asciiTheme="minorEastAsia" w:hAnsiTheme="minorEastAsia"/>
          <w:i/>
          <w:szCs w:val="21"/>
        </w:rPr>
        <w:t>X</w:t>
      </w:r>
      <w:r>
        <w:rPr>
          <w:rFonts w:hint="eastAsia" w:asciiTheme="minorEastAsia" w:hAnsiTheme="minorEastAsia"/>
          <w:szCs w:val="21"/>
          <w:vertAlign w:val="subscript"/>
        </w:rPr>
        <w:t>pr</w:t>
      </w:r>
      <w:r>
        <w:rPr>
          <w:rFonts w:hint="eastAsia" w:asciiTheme="minorEastAsia" w:hAnsiTheme="minorEastAsia"/>
          <w:szCs w:val="21"/>
        </w:rPr>
        <w:t xml:space="preserve"> </w:t>
      </w:r>
      <w:r>
        <w:rPr>
          <w:rFonts w:hint="eastAsia" w:asciiTheme="minorEastAsia" w:hAnsiTheme="minorEastAsia"/>
          <w:i/>
          <w:szCs w:val="21"/>
        </w:rPr>
        <w:t xml:space="preserve"> </w:t>
      </w:r>
      <w:r>
        <w:rPr>
          <w:rFonts w:hint="eastAsia" w:asciiTheme="minorEastAsia" w:hAnsiTheme="minorEastAsia"/>
          <w:szCs w:val="21"/>
        </w:rPr>
        <w:t>——利用阴极铜生产铜及铜合金产品的清单结果（未考虑废铜循环）；</w:t>
      </w:r>
    </w:p>
    <w:p>
      <w:pPr>
        <w:spacing w:line="400" w:lineRule="exact"/>
        <w:ind w:firstLine="420"/>
        <w:jc w:val="left"/>
        <w:rPr>
          <w:rFonts w:asciiTheme="minorEastAsia" w:hAnsiTheme="minorEastAsia"/>
          <w:szCs w:val="21"/>
        </w:rPr>
      </w:pPr>
      <w:r>
        <w:rPr>
          <w:rFonts w:hint="eastAsia" w:asciiTheme="minorEastAsia" w:hAnsiTheme="minorEastAsia"/>
          <w:i/>
          <w:szCs w:val="21"/>
        </w:rPr>
        <w:t>X</w:t>
      </w:r>
      <w:r>
        <w:rPr>
          <w:rFonts w:hint="eastAsia" w:asciiTheme="minorEastAsia" w:hAnsiTheme="minorEastAsia"/>
          <w:szCs w:val="21"/>
          <w:vertAlign w:val="subscript"/>
        </w:rPr>
        <w:t>re</w:t>
      </w:r>
      <w:r>
        <w:rPr>
          <w:rFonts w:hint="eastAsia" w:asciiTheme="minorEastAsia" w:hAnsiTheme="minorEastAsia"/>
          <w:i/>
          <w:szCs w:val="21"/>
        </w:rPr>
        <w:t xml:space="preserve">  </w:t>
      </w:r>
      <w:r>
        <w:rPr>
          <w:rFonts w:hint="eastAsia" w:asciiTheme="minorEastAsia" w:hAnsiTheme="minorEastAsia"/>
          <w:szCs w:val="21"/>
        </w:rPr>
        <w:t>——利用废铜生产铜及铜合金产品的清单结果（未考虑废铜循环）；</w:t>
      </w:r>
    </w:p>
    <w:p>
      <w:pPr>
        <w:spacing w:line="400" w:lineRule="exact"/>
        <w:ind w:firstLine="420"/>
        <w:jc w:val="left"/>
        <w:rPr>
          <w:rFonts w:asciiTheme="minorEastAsia" w:hAnsiTheme="minorEastAsia"/>
          <w:szCs w:val="21"/>
        </w:rPr>
      </w:pPr>
      <w:r>
        <w:rPr>
          <w:rFonts w:hint="eastAsia" w:asciiTheme="minorEastAsia" w:hAnsiTheme="minorEastAsia"/>
          <w:i/>
          <w:szCs w:val="21"/>
        </w:rPr>
        <w:t xml:space="preserve">RR </w:t>
      </w:r>
      <w:r>
        <w:rPr>
          <w:rFonts w:hint="eastAsia" w:asciiTheme="minorEastAsia" w:hAnsiTheme="minorEastAsia"/>
          <w:szCs w:val="21"/>
        </w:rPr>
        <w:t xml:space="preserve"> ——1吨铜及铜合金废弃后回收的废铜量（即废铜回收率）；</w:t>
      </w:r>
    </w:p>
    <w:p>
      <w:pPr>
        <w:spacing w:line="400" w:lineRule="exact"/>
        <w:ind w:firstLine="420"/>
        <w:jc w:val="left"/>
        <w:rPr>
          <w:rFonts w:asciiTheme="minorEastAsia" w:hAnsiTheme="minorEastAsia"/>
          <w:szCs w:val="21"/>
        </w:rPr>
      </w:pPr>
      <w:r>
        <w:rPr>
          <w:rFonts w:hint="eastAsia" w:asciiTheme="minorEastAsia" w:hAnsiTheme="minorEastAsia"/>
          <w:i/>
          <w:szCs w:val="21"/>
        </w:rPr>
        <w:t>S</w:t>
      </w:r>
      <w:r>
        <w:rPr>
          <w:rFonts w:hint="eastAsia" w:asciiTheme="minorEastAsia" w:hAnsiTheme="minorEastAsia"/>
          <w:szCs w:val="21"/>
        </w:rPr>
        <w:t xml:space="preserve">   ——熔铸铜及铜合金废铜加入量；</w:t>
      </w:r>
    </w:p>
    <w:p>
      <w:pPr>
        <w:spacing w:line="400" w:lineRule="exact"/>
        <w:ind w:firstLine="420"/>
        <w:jc w:val="left"/>
        <w:rPr>
          <w:rFonts w:asciiTheme="minorEastAsia" w:hAnsiTheme="minorEastAsia"/>
          <w:szCs w:val="21"/>
        </w:rPr>
      </w:pPr>
      <w:r>
        <w:rPr>
          <w:rFonts w:hint="eastAsia" w:asciiTheme="minorEastAsia" w:hAnsiTheme="minorEastAsia"/>
          <w:i/>
          <w:szCs w:val="21"/>
        </w:rPr>
        <w:t>Y</w:t>
      </w:r>
      <w:r>
        <w:rPr>
          <w:rFonts w:hint="eastAsia" w:asciiTheme="minorEastAsia" w:hAnsiTheme="minorEastAsia"/>
          <w:szCs w:val="21"/>
        </w:rPr>
        <w:t xml:space="preserve">   ——废铜利用率，即全废铜熔铸生产中废铜转化为铜的效率。</w:t>
      </w:r>
    </w:p>
    <w:p>
      <w:pPr>
        <w:spacing w:line="400" w:lineRule="exact"/>
        <w:rPr>
          <w:rFonts w:ascii="黑体" w:hAnsi="宋体" w:eastAsia="黑体"/>
          <w:szCs w:val="21"/>
        </w:rPr>
      </w:pPr>
      <w:r>
        <w:rPr>
          <w:rFonts w:hint="eastAsia" w:ascii="黑体" w:hAnsi="宋体" w:eastAsia="黑体"/>
          <w:szCs w:val="21"/>
        </w:rPr>
        <w:t>4.5.5生命周期影响评价</w:t>
      </w:r>
    </w:p>
    <w:p>
      <w:pPr>
        <w:spacing w:line="400" w:lineRule="exact"/>
        <w:ind w:firstLine="420"/>
        <w:jc w:val="left"/>
        <w:rPr>
          <w:rFonts w:ascii="宋体" w:hAnsi="宋体" w:eastAsia="宋体"/>
          <w:szCs w:val="21"/>
        </w:rPr>
      </w:pPr>
      <w:r>
        <w:rPr>
          <w:rFonts w:hint="eastAsia" w:ascii="宋体" w:hAnsi="宋体" w:eastAsia="宋体"/>
          <w:szCs w:val="21"/>
        </w:rPr>
        <w:t>（1）选取影响类型</w:t>
      </w:r>
    </w:p>
    <w:p>
      <w:pPr>
        <w:spacing w:line="400" w:lineRule="exact"/>
        <w:ind w:firstLine="420"/>
        <w:jc w:val="left"/>
        <w:rPr>
          <w:rFonts w:asciiTheme="minorEastAsia" w:hAnsiTheme="minorEastAsia"/>
          <w:szCs w:val="21"/>
        </w:rPr>
      </w:pPr>
      <w:r>
        <w:rPr>
          <w:rFonts w:hint="eastAsia" w:asciiTheme="minorEastAsia" w:hAnsiTheme="minorEastAsia"/>
          <w:szCs w:val="21"/>
        </w:rPr>
        <w:t>根据铜及铜合金加工产品生产系统的特点和实际情况，铜及铜合金加工产品生命周期影响评价的影响类型应包括气候变化、水体富营养化、酸雨、光化学氧化作用、固体废物、资源消耗、能源消耗等7种。</w:t>
      </w:r>
    </w:p>
    <w:p>
      <w:pPr>
        <w:spacing w:line="400" w:lineRule="exact"/>
        <w:ind w:firstLine="420"/>
        <w:jc w:val="left"/>
        <w:rPr>
          <w:rFonts w:ascii="宋体" w:hAnsi="宋体" w:eastAsia="宋体"/>
          <w:szCs w:val="21"/>
        </w:rPr>
      </w:pPr>
      <w:r>
        <w:rPr>
          <w:rFonts w:hint="eastAsia" w:ascii="宋体" w:hAnsi="宋体" w:eastAsia="宋体"/>
          <w:szCs w:val="21"/>
        </w:rPr>
        <w:t>（2）生命周期清单因子归类</w:t>
      </w:r>
    </w:p>
    <w:p>
      <w:pPr>
        <w:spacing w:afterLines="50" w:line="400" w:lineRule="exact"/>
        <w:ind w:firstLine="420"/>
        <w:jc w:val="left"/>
        <w:rPr>
          <w:rFonts w:asciiTheme="minorEastAsia" w:hAnsiTheme="minorEastAsia"/>
          <w:szCs w:val="21"/>
        </w:rPr>
      </w:pPr>
      <w:r>
        <w:rPr>
          <w:rFonts w:hint="eastAsia" w:ascii="宋体" w:hAnsi="宋体" w:eastAsia="宋体"/>
          <w:szCs w:val="21"/>
        </w:rPr>
        <w:t xml:space="preserve"> </w:t>
      </w:r>
      <w:r>
        <w:rPr>
          <w:rFonts w:hint="eastAsia" w:asciiTheme="minorEastAsia" w:hAnsiTheme="minorEastAsia"/>
          <w:szCs w:val="21"/>
        </w:rPr>
        <w:t>归类是根据清单因子的物理化学性质，将对某影响类型有贡献的因子归到一起的过程。根据通及铜合金加工行业生产特点，生命周期清单因子按下表归入各影类型。</w:t>
      </w:r>
    </w:p>
    <w:tbl>
      <w:tblPr>
        <w:tblStyle w:val="8"/>
        <w:tblpPr w:leftFromText="180" w:rightFromText="180" w:vertAnchor="text" w:horzAnchor="margin" w:tblpY="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4"/>
        <w:gridCol w:w="6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764" w:type="dxa"/>
            <w:vAlign w:val="center"/>
          </w:tcPr>
          <w:p>
            <w:pPr>
              <w:jc w:val="center"/>
              <w:rPr>
                <w:sz w:val="18"/>
                <w:szCs w:val="18"/>
              </w:rPr>
            </w:pPr>
            <w:r>
              <w:rPr>
                <w:rFonts w:hint="eastAsia"/>
                <w:sz w:val="18"/>
                <w:szCs w:val="18"/>
              </w:rPr>
              <w:t>影响类型</w:t>
            </w:r>
          </w:p>
        </w:tc>
        <w:tc>
          <w:tcPr>
            <w:tcW w:w="6416" w:type="dxa"/>
            <w:vAlign w:val="center"/>
          </w:tcPr>
          <w:p>
            <w:pPr>
              <w:jc w:val="center"/>
              <w:rPr>
                <w:sz w:val="18"/>
                <w:szCs w:val="18"/>
              </w:rPr>
            </w:pPr>
            <w:r>
              <w:rPr>
                <w:rFonts w:hint="eastAsia"/>
                <w:sz w:val="18"/>
                <w:szCs w:val="18"/>
              </w:rPr>
              <w:t>清单因子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764" w:type="dxa"/>
            <w:vAlign w:val="center"/>
          </w:tcPr>
          <w:p>
            <w:pPr>
              <w:jc w:val="center"/>
              <w:rPr>
                <w:sz w:val="18"/>
                <w:szCs w:val="18"/>
              </w:rPr>
            </w:pPr>
            <w:r>
              <w:rPr>
                <w:rFonts w:hint="eastAsia"/>
                <w:sz w:val="18"/>
                <w:szCs w:val="18"/>
              </w:rPr>
              <w:t>气候变化</w:t>
            </w:r>
          </w:p>
        </w:tc>
        <w:tc>
          <w:tcPr>
            <w:tcW w:w="6416" w:type="dxa"/>
            <w:vAlign w:val="center"/>
          </w:tcPr>
          <w:p>
            <w:pPr>
              <w:jc w:val="left"/>
              <w:rPr>
                <w:sz w:val="18"/>
                <w:szCs w:val="18"/>
              </w:rPr>
            </w:pPr>
            <w:r>
              <w:rPr>
                <w:sz w:val="18"/>
                <w:szCs w:val="18"/>
              </w:rPr>
              <w:t>CO</w:t>
            </w:r>
            <w:r>
              <w:rPr>
                <w:sz w:val="18"/>
                <w:szCs w:val="18"/>
                <w:vertAlign w:val="subscript"/>
              </w:rPr>
              <w:t>2</w:t>
            </w:r>
            <w:r>
              <w:rPr>
                <w:rFonts w:hint="eastAsia"/>
                <w:sz w:val="18"/>
                <w:szCs w:val="18"/>
              </w:rPr>
              <w:t>；</w:t>
            </w:r>
            <w:r>
              <w:rPr>
                <w:sz w:val="18"/>
                <w:szCs w:val="18"/>
              </w:rPr>
              <w:t>CO</w:t>
            </w:r>
            <w:r>
              <w:rPr>
                <w:rFonts w:hint="eastAsia"/>
                <w:sz w:val="18"/>
                <w:szCs w:val="18"/>
              </w:rPr>
              <w:t>；</w:t>
            </w:r>
            <w:r>
              <w:rPr>
                <w:sz w:val="18"/>
                <w:szCs w:val="18"/>
              </w:rPr>
              <w:t>CH</w:t>
            </w:r>
            <w:r>
              <w:rPr>
                <w:sz w:val="18"/>
                <w:szCs w:val="18"/>
                <w:vertAlign w:val="subscript"/>
              </w:rPr>
              <w:t>4</w:t>
            </w:r>
            <w:r>
              <w:rPr>
                <w:rFonts w:hint="eastAsia"/>
                <w:sz w:val="18"/>
                <w:szCs w:val="18"/>
              </w:rPr>
              <w:t>；</w:t>
            </w:r>
            <w:r>
              <w:rPr>
                <w:sz w:val="18"/>
                <w:szCs w:val="18"/>
              </w:rPr>
              <w:t>NO</w:t>
            </w:r>
            <w:r>
              <w:rPr>
                <w:sz w:val="18"/>
                <w:szCs w:val="18"/>
                <w:vertAlign w:val="subscript"/>
              </w:rPr>
              <w:t>x</w:t>
            </w:r>
            <w:r>
              <w:rPr>
                <w:rFonts w:hint="eastAsia"/>
                <w:sz w:val="18"/>
                <w:szCs w:val="18"/>
              </w:rPr>
              <w:t>；</w:t>
            </w:r>
            <w:r>
              <w:rPr>
                <w:rFonts w:hint="eastAsia" w:asciiTheme="minorEastAsia" w:hAnsiTheme="minorEastAsia"/>
                <w:sz w:val="18"/>
                <w:szCs w:val="18"/>
              </w:rPr>
              <w:t>CH</w:t>
            </w:r>
            <w:r>
              <w:rPr>
                <w:rFonts w:hint="eastAsia" w:asciiTheme="minorEastAsia" w:hAnsiTheme="minorEastAsia"/>
                <w:sz w:val="18"/>
                <w:szCs w:val="18"/>
                <w:vertAlign w:val="subscript"/>
              </w:rPr>
              <w:t>4</w:t>
            </w:r>
            <w:r>
              <w:rPr>
                <w:rFonts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764" w:type="dxa"/>
            <w:vAlign w:val="center"/>
          </w:tcPr>
          <w:p>
            <w:pPr>
              <w:jc w:val="center"/>
              <w:rPr>
                <w:sz w:val="18"/>
                <w:szCs w:val="18"/>
              </w:rPr>
            </w:pPr>
            <w:r>
              <w:rPr>
                <w:rFonts w:hint="eastAsia"/>
                <w:sz w:val="18"/>
                <w:szCs w:val="18"/>
              </w:rPr>
              <w:t>酸化</w:t>
            </w:r>
          </w:p>
        </w:tc>
        <w:tc>
          <w:tcPr>
            <w:tcW w:w="6416" w:type="dxa"/>
            <w:vAlign w:val="center"/>
          </w:tcPr>
          <w:p>
            <w:pPr>
              <w:jc w:val="left"/>
              <w:rPr>
                <w:sz w:val="18"/>
                <w:szCs w:val="18"/>
              </w:rPr>
            </w:pPr>
            <w:r>
              <w:rPr>
                <w:sz w:val="18"/>
                <w:szCs w:val="18"/>
              </w:rPr>
              <w:t>SO</w:t>
            </w:r>
            <w:r>
              <w:rPr>
                <w:sz w:val="18"/>
                <w:szCs w:val="18"/>
                <w:vertAlign w:val="subscript"/>
              </w:rPr>
              <w:t>2</w:t>
            </w:r>
            <w:r>
              <w:rPr>
                <w:rFonts w:hint="eastAsia"/>
                <w:sz w:val="18"/>
                <w:szCs w:val="18"/>
              </w:rPr>
              <w:t>；</w:t>
            </w:r>
            <w:r>
              <w:rPr>
                <w:sz w:val="18"/>
                <w:szCs w:val="18"/>
              </w:rPr>
              <w:t>NO</w:t>
            </w:r>
            <w:r>
              <w:rPr>
                <w:sz w:val="18"/>
                <w:szCs w:val="18"/>
                <w:vertAlign w:val="subscript"/>
              </w:rPr>
              <w:t>x</w:t>
            </w:r>
            <w:r>
              <w:rPr>
                <w:rFonts w:hint="eastAsia"/>
                <w:sz w:val="18"/>
                <w:szCs w:val="18"/>
              </w:rPr>
              <w:t>；</w:t>
            </w:r>
            <w:r>
              <w:rPr>
                <w:sz w:val="18"/>
                <w:szCs w:val="18"/>
              </w:rPr>
              <w:t>H</w:t>
            </w:r>
            <w:r>
              <w:rPr>
                <w:sz w:val="18"/>
                <w:szCs w:val="18"/>
                <w:vertAlign w:val="subscript"/>
              </w:rPr>
              <w:t>3</w:t>
            </w:r>
            <w:r>
              <w:rPr>
                <w:sz w:val="18"/>
                <w:szCs w:val="18"/>
              </w:rPr>
              <w:t>PO</w:t>
            </w:r>
            <w:r>
              <w:rPr>
                <w:sz w:val="18"/>
                <w:szCs w:val="18"/>
                <w:vertAlign w:val="subscript"/>
              </w:rPr>
              <w:t>4</w:t>
            </w:r>
            <w:r>
              <w:rPr>
                <w:rFonts w:hint="eastAsia"/>
                <w:sz w:val="18"/>
                <w:szCs w:val="18"/>
              </w:rPr>
              <w:t>；</w:t>
            </w:r>
            <w:r>
              <w:rPr>
                <w:sz w:val="18"/>
                <w:szCs w:val="18"/>
              </w:rPr>
              <w:t>NH</w:t>
            </w:r>
            <w:r>
              <w:rPr>
                <w:sz w:val="18"/>
                <w:szCs w:val="18"/>
                <w:vertAlign w:val="subscript"/>
              </w:rPr>
              <w:t>3</w:t>
            </w:r>
            <w:r>
              <w:rPr>
                <w:rFonts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2764" w:type="dxa"/>
            <w:vAlign w:val="center"/>
          </w:tcPr>
          <w:p>
            <w:pPr>
              <w:jc w:val="center"/>
              <w:rPr>
                <w:sz w:val="18"/>
                <w:szCs w:val="18"/>
              </w:rPr>
            </w:pPr>
            <w:r>
              <w:rPr>
                <w:rFonts w:hint="eastAsia"/>
                <w:sz w:val="18"/>
                <w:szCs w:val="18"/>
              </w:rPr>
              <w:t>水体富营养化</w:t>
            </w:r>
          </w:p>
        </w:tc>
        <w:tc>
          <w:tcPr>
            <w:tcW w:w="6416" w:type="dxa"/>
            <w:vAlign w:val="center"/>
          </w:tcPr>
          <w:p>
            <w:pPr>
              <w:jc w:val="left"/>
              <w:rPr>
                <w:sz w:val="18"/>
                <w:szCs w:val="18"/>
              </w:rPr>
            </w:pPr>
            <w:r>
              <w:rPr>
                <w:sz w:val="18"/>
                <w:szCs w:val="18"/>
              </w:rPr>
              <w:t>PO</w:t>
            </w:r>
            <w:r>
              <w:rPr>
                <w:sz w:val="18"/>
                <w:szCs w:val="18"/>
                <w:vertAlign w:val="subscript"/>
              </w:rPr>
              <w:t>4</w:t>
            </w:r>
            <w:r>
              <w:rPr>
                <w:sz w:val="18"/>
                <w:szCs w:val="18"/>
                <w:vertAlign w:val="superscript"/>
              </w:rPr>
              <w:t>3-</w:t>
            </w:r>
            <w:r>
              <w:rPr>
                <w:rFonts w:hint="eastAsia"/>
                <w:sz w:val="18"/>
                <w:szCs w:val="18"/>
              </w:rPr>
              <w:t>；</w:t>
            </w:r>
            <w:r>
              <w:rPr>
                <w:sz w:val="18"/>
                <w:szCs w:val="18"/>
              </w:rPr>
              <w:t>NO</w:t>
            </w:r>
            <w:r>
              <w:rPr>
                <w:sz w:val="18"/>
                <w:szCs w:val="18"/>
                <w:vertAlign w:val="subscript"/>
              </w:rPr>
              <w:t>x</w:t>
            </w:r>
            <w:r>
              <w:rPr>
                <w:rFonts w:hint="eastAsia"/>
                <w:sz w:val="18"/>
                <w:szCs w:val="18"/>
              </w:rPr>
              <w:t>；</w:t>
            </w:r>
            <w:r>
              <w:rPr>
                <w:sz w:val="18"/>
                <w:szCs w:val="18"/>
              </w:rPr>
              <w:t>N</w:t>
            </w:r>
            <w:r>
              <w:rPr>
                <w:rFonts w:hint="eastAsia"/>
                <w:sz w:val="18"/>
                <w:szCs w:val="18"/>
              </w:rPr>
              <w:t>；化学需氧量（COD）；总氮；氨氮；总磷；硝酸雾</w:t>
            </w:r>
            <w:r>
              <w:rPr>
                <w:rFonts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2764" w:type="dxa"/>
            <w:vAlign w:val="center"/>
          </w:tcPr>
          <w:p>
            <w:pPr>
              <w:jc w:val="center"/>
              <w:rPr>
                <w:sz w:val="18"/>
                <w:szCs w:val="18"/>
              </w:rPr>
            </w:pPr>
            <w:r>
              <w:rPr>
                <w:rFonts w:hint="eastAsia"/>
                <w:sz w:val="18"/>
                <w:szCs w:val="18"/>
              </w:rPr>
              <w:t>光化学氧化作用</w:t>
            </w:r>
          </w:p>
        </w:tc>
        <w:tc>
          <w:tcPr>
            <w:tcW w:w="6416" w:type="dxa"/>
            <w:vAlign w:val="center"/>
          </w:tcPr>
          <w:p>
            <w:pPr>
              <w:jc w:val="left"/>
              <w:rPr>
                <w:sz w:val="18"/>
                <w:szCs w:val="18"/>
              </w:rPr>
            </w:pPr>
            <w:r>
              <w:rPr>
                <w:sz w:val="18"/>
                <w:szCs w:val="18"/>
              </w:rPr>
              <w:t>CO</w:t>
            </w:r>
            <w:r>
              <w:rPr>
                <w:rFonts w:hint="eastAsia"/>
                <w:sz w:val="18"/>
                <w:szCs w:val="18"/>
              </w:rPr>
              <w:t>；</w:t>
            </w:r>
            <w:r>
              <w:rPr>
                <w:sz w:val="18"/>
                <w:szCs w:val="18"/>
              </w:rPr>
              <w:t>NO</w:t>
            </w:r>
            <w:r>
              <w:rPr>
                <w:sz w:val="18"/>
                <w:szCs w:val="18"/>
                <w:vertAlign w:val="subscript"/>
              </w:rPr>
              <w:t>x</w:t>
            </w:r>
            <w:r>
              <w:rPr>
                <w:rFonts w:hint="eastAsia"/>
                <w:sz w:val="18"/>
                <w:szCs w:val="18"/>
              </w:rPr>
              <w:t>；</w:t>
            </w:r>
            <w:r>
              <w:rPr>
                <w:sz w:val="18"/>
                <w:szCs w:val="18"/>
              </w:rPr>
              <w:t>SO</w:t>
            </w:r>
            <w:r>
              <w:rPr>
                <w:sz w:val="18"/>
                <w:szCs w:val="18"/>
                <w:vertAlign w:val="subscript"/>
              </w:rPr>
              <w:t>2</w:t>
            </w:r>
            <w:r>
              <w:rPr>
                <w:rFonts w:hint="eastAsia"/>
                <w:sz w:val="18"/>
                <w:szCs w:val="18"/>
              </w:rPr>
              <w:t>；</w:t>
            </w:r>
            <w:r>
              <w:rPr>
                <w:sz w:val="18"/>
                <w:szCs w:val="18"/>
              </w:rPr>
              <w:t>CH</w:t>
            </w:r>
            <w:r>
              <w:rPr>
                <w:sz w:val="18"/>
                <w:szCs w:val="18"/>
                <w:vertAlign w:val="subscript"/>
              </w:rPr>
              <w:t>4</w:t>
            </w:r>
            <w:r>
              <w:rPr>
                <w:rFonts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2764" w:type="dxa"/>
            <w:vAlign w:val="center"/>
          </w:tcPr>
          <w:p>
            <w:pPr>
              <w:jc w:val="center"/>
              <w:rPr>
                <w:sz w:val="18"/>
                <w:szCs w:val="18"/>
              </w:rPr>
            </w:pPr>
            <w:r>
              <w:rPr>
                <w:rFonts w:hint="eastAsia"/>
                <w:sz w:val="18"/>
                <w:szCs w:val="18"/>
              </w:rPr>
              <w:t>固体废物</w:t>
            </w:r>
          </w:p>
        </w:tc>
        <w:tc>
          <w:tcPr>
            <w:tcW w:w="6416" w:type="dxa"/>
            <w:vAlign w:val="center"/>
          </w:tcPr>
          <w:p>
            <w:pPr>
              <w:jc w:val="left"/>
              <w:rPr>
                <w:sz w:val="18"/>
                <w:szCs w:val="18"/>
              </w:rPr>
            </w:pPr>
            <w:r>
              <w:rPr>
                <w:rFonts w:hint="eastAsia"/>
                <w:sz w:val="18"/>
                <w:szCs w:val="18"/>
              </w:rPr>
              <w:t>炉渣、泥</w:t>
            </w:r>
            <w:r>
              <w:rPr>
                <w:rFonts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764" w:type="dxa"/>
            <w:vAlign w:val="center"/>
          </w:tcPr>
          <w:p>
            <w:pPr>
              <w:jc w:val="center"/>
              <w:rPr>
                <w:sz w:val="18"/>
                <w:szCs w:val="18"/>
              </w:rPr>
            </w:pPr>
            <w:r>
              <w:rPr>
                <w:rFonts w:hint="eastAsia"/>
                <w:sz w:val="18"/>
                <w:szCs w:val="18"/>
              </w:rPr>
              <w:t>能源消耗</w:t>
            </w:r>
          </w:p>
        </w:tc>
        <w:tc>
          <w:tcPr>
            <w:tcW w:w="6416" w:type="dxa"/>
            <w:vAlign w:val="center"/>
          </w:tcPr>
          <w:p>
            <w:pPr>
              <w:jc w:val="left"/>
              <w:rPr>
                <w:sz w:val="18"/>
                <w:szCs w:val="18"/>
              </w:rPr>
            </w:pPr>
            <w:r>
              <w:rPr>
                <w:rFonts w:hint="eastAsia"/>
                <w:sz w:val="18"/>
                <w:szCs w:val="18"/>
              </w:rPr>
              <w:t>天然气、H</w:t>
            </w:r>
            <w:r>
              <w:rPr>
                <w:sz w:val="18"/>
                <w:szCs w:val="18"/>
                <w:vertAlign w:val="subscript"/>
              </w:rPr>
              <w:t>2</w:t>
            </w:r>
            <w:r>
              <w:rPr>
                <w:rFonts w:hint="eastAsia"/>
                <w:sz w:val="18"/>
                <w:szCs w:val="18"/>
              </w:rPr>
              <w:t>O</w:t>
            </w:r>
            <w:r>
              <w:rPr>
                <w:rFonts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764" w:type="dxa"/>
            <w:vAlign w:val="center"/>
          </w:tcPr>
          <w:p>
            <w:pPr>
              <w:jc w:val="center"/>
              <w:rPr>
                <w:sz w:val="18"/>
                <w:szCs w:val="18"/>
              </w:rPr>
            </w:pPr>
            <w:r>
              <w:rPr>
                <w:rFonts w:hint="eastAsia"/>
                <w:sz w:val="18"/>
                <w:szCs w:val="18"/>
              </w:rPr>
              <w:t>光化学作用</w:t>
            </w:r>
          </w:p>
        </w:tc>
        <w:tc>
          <w:tcPr>
            <w:tcW w:w="6416" w:type="dxa"/>
            <w:vAlign w:val="center"/>
          </w:tcPr>
          <w:p>
            <w:pPr>
              <w:jc w:val="left"/>
              <w:rPr>
                <w:sz w:val="18"/>
                <w:szCs w:val="18"/>
              </w:rPr>
            </w:pPr>
            <w:r>
              <w:rPr>
                <w:sz w:val="18"/>
                <w:szCs w:val="18"/>
              </w:rPr>
              <w:t>O</w:t>
            </w:r>
            <w:r>
              <w:rPr>
                <w:sz w:val="18"/>
                <w:szCs w:val="18"/>
                <w:vertAlign w:val="subscript"/>
              </w:rPr>
              <w:t>2</w:t>
            </w:r>
            <w:r>
              <w:rPr>
                <w:rFonts w:hint="eastAsia"/>
                <w:sz w:val="18"/>
                <w:szCs w:val="18"/>
              </w:rPr>
              <w:t>；</w:t>
            </w:r>
            <w:r>
              <w:rPr>
                <w:sz w:val="18"/>
                <w:szCs w:val="18"/>
              </w:rPr>
              <w:t>NO</w:t>
            </w:r>
            <w:r>
              <w:rPr>
                <w:sz w:val="18"/>
                <w:szCs w:val="18"/>
                <w:vertAlign w:val="subscript"/>
              </w:rPr>
              <w:t>x</w:t>
            </w:r>
            <w:r>
              <w:rPr>
                <w:rFonts w:hint="eastAsia"/>
                <w:sz w:val="18"/>
                <w:szCs w:val="18"/>
              </w:rPr>
              <w:t>、</w:t>
            </w:r>
            <w:r>
              <w:rPr>
                <w:sz w:val="18"/>
                <w:szCs w:val="18"/>
              </w:rPr>
              <w:t>CO</w:t>
            </w:r>
            <w:r>
              <w:rPr>
                <w:rFonts w:hint="eastAsia"/>
                <w:sz w:val="18"/>
                <w:szCs w:val="18"/>
              </w:rPr>
              <w:t>；</w:t>
            </w:r>
            <w:r>
              <w:rPr>
                <w:sz w:val="18"/>
                <w:szCs w:val="18"/>
              </w:rPr>
              <w:t>CH</w:t>
            </w:r>
            <w:r>
              <w:rPr>
                <w:sz w:val="18"/>
                <w:szCs w:val="18"/>
                <w:vertAlign w:val="subscript"/>
              </w:rPr>
              <w:t>4</w:t>
            </w:r>
            <w:r>
              <w:rPr>
                <w:rFonts w:hint="eastAsia"/>
                <w:sz w:val="18"/>
                <w:szCs w:val="18"/>
              </w:rPr>
              <w:t>、挥发性有机化合物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764" w:type="dxa"/>
            <w:vAlign w:val="center"/>
          </w:tcPr>
          <w:p>
            <w:pPr>
              <w:jc w:val="center"/>
              <w:rPr>
                <w:sz w:val="18"/>
                <w:szCs w:val="18"/>
              </w:rPr>
            </w:pPr>
            <w:r>
              <w:rPr>
                <w:rFonts w:hint="eastAsia"/>
                <w:sz w:val="18"/>
                <w:szCs w:val="18"/>
              </w:rPr>
              <w:t>人体毒性</w:t>
            </w:r>
          </w:p>
        </w:tc>
        <w:tc>
          <w:tcPr>
            <w:tcW w:w="6416" w:type="dxa"/>
            <w:vAlign w:val="center"/>
          </w:tcPr>
          <w:p>
            <w:pPr>
              <w:jc w:val="left"/>
              <w:rPr>
                <w:sz w:val="18"/>
                <w:szCs w:val="18"/>
              </w:rPr>
            </w:pPr>
            <w:r>
              <w:rPr>
                <w:rFonts w:hint="eastAsia"/>
                <w:sz w:val="18"/>
                <w:szCs w:val="18"/>
              </w:rPr>
              <w:t>硫化氢、二氧化硫、氯化氢、氟化物、二氧化氮、挥发性有机化合物、PM10、PM2.5、总砷、总镉、总铬、六价铬、总铅、总锌、总铜、总镍、总汞、硫化物</w:t>
            </w:r>
            <w:r>
              <w:rPr>
                <w:sz w:val="18"/>
                <w:szCs w:val="18"/>
              </w:rPr>
              <w:t>……</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764" w:type="dxa"/>
            <w:vAlign w:val="center"/>
          </w:tcPr>
          <w:p>
            <w:pPr>
              <w:jc w:val="center"/>
              <w:rPr>
                <w:sz w:val="18"/>
                <w:szCs w:val="18"/>
              </w:rPr>
            </w:pPr>
            <w:r>
              <w:rPr>
                <w:rFonts w:hint="eastAsia"/>
                <w:sz w:val="18"/>
                <w:szCs w:val="18"/>
              </w:rPr>
              <w:t>生态毒性</w:t>
            </w:r>
          </w:p>
        </w:tc>
        <w:tc>
          <w:tcPr>
            <w:tcW w:w="6416" w:type="dxa"/>
            <w:vAlign w:val="center"/>
          </w:tcPr>
          <w:p>
            <w:pPr>
              <w:jc w:val="left"/>
              <w:rPr>
                <w:sz w:val="18"/>
                <w:szCs w:val="18"/>
              </w:rPr>
            </w:pPr>
            <w:r>
              <w:rPr>
                <w:rFonts w:hint="eastAsia"/>
                <w:sz w:val="18"/>
                <w:szCs w:val="18"/>
              </w:rPr>
              <w:t>硫化氢、氯化氢、氟化物、氮氧化物、挥发性有机化合物、总砷、总镉、总铬、六价铬、总铅、总锌、总铜、总镍、总汞、硫化物</w:t>
            </w:r>
            <w:r>
              <w:rPr>
                <w:sz w:val="18"/>
                <w:szCs w:val="18"/>
              </w:rPr>
              <w:t>……</w:t>
            </w:r>
            <w:r>
              <w:rPr>
                <w:rFonts w:hint="eastAsia"/>
                <w:sz w:val="18"/>
                <w:szCs w:val="18"/>
              </w:rPr>
              <w:t>.</w:t>
            </w:r>
          </w:p>
        </w:tc>
      </w:tr>
    </w:tbl>
    <w:p>
      <w:pPr>
        <w:spacing w:beforeLines="50" w:line="400" w:lineRule="atLeast"/>
        <w:ind w:firstLine="420" w:firstLineChars="200"/>
        <w:rPr>
          <w:rFonts w:ascii="宋体" w:hAnsi="宋体" w:eastAsia="宋体"/>
          <w:szCs w:val="21"/>
        </w:rPr>
      </w:pPr>
      <w:r>
        <w:rPr>
          <w:rFonts w:hint="eastAsia" w:ascii="宋体" w:hAnsi="宋体" w:eastAsia="宋体"/>
          <w:szCs w:val="21"/>
        </w:rPr>
        <w:t>（3）分类评价</w:t>
      </w:r>
    </w:p>
    <w:p>
      <w:pPr>
        <w:autoSpaceDE w:val="0"/>
        <w:autoSpaceDN w:val="0"/>
        <w:adjustRightInd w:val="0"/>
        <w:spacing w:line="400" w:lineRule="atLeast"/>
        <w:ind w:firstLine="420" w:firstLineChars="200"/>
        <w:jc w:val="left"/>
        <w:rPr>
          <w:rFonts w:hAnsi="宋体" w:cs="宋体"/>
        </w:rPr>
      </w:pPr>
      <w:r>
        <w:rPr>
          <w:rFonts w:hint="eastAsia" w:asciiTheme="minorEastAsia" w:hAnsiTheme="minorEastAsia"/>
          <w:szCs w:val="21"/>
        </w:rPr>
        <w:t>分类评价是定量计算不同影响类型的特征化值。分类评价结果采用</w:t>
      </w:r>
      <w:r>
        <w:rPr>
          <w:rFonts w:hAnsi="宋体" w:cs="宋体"/>
        </w:rPr>
        <w:t>当量物质表示</w:t>
      </w:r>
      <w:r>
        <w:rPr>
          <w:rFonts w:hint="eastAsia" w:hAnsi="宋体" w:cs="宋体"/>
        </w:rPr>
        <w:t>。根据参考文献给出的特征化因子</w:t>
      </w:r>
      <w:r>
        <w:rPr>
          <w:rFonts w:hAnsi="宋体" w:cs="宋体"/>
          <w:spacing w:val="-2"/>
        </w:rPr>
        <w:t>采</w:t>
      </w:r>
      <w:r>
        <w:rPr>
          <w:rFonts w:hAnsi="宋体" w:cs="宋体"/>
        </w:rPr>
        <w:t>用式</w:t>
      </w:r>
      <w:r>
        <w:rPr>
          <w:rFonts w:hAnsi="宋体" w:cs="宋体"/>
          <w:spacing w:val="-2"/>
        </w:rPr>
        <w:t>（</w:t>
      </w:r>
      <w:r>
        <w:rPr>
          <w:rFonts w:hint="eastAsia" w:ascii="Calibri" w:hAnsi="Calibri" w:cs="Calibri"/>
          <w:spacing w:val="3"/>
        </w:rPr>
        <w:t>3</w:t>
      </w:r>
      <w:r>
        <w:rPr>
          <w:rFonts w:hAnsi="宋体" w:cs="宋体"/>
          <w:spacing w:val="-2"/>
        </w:rPr>
        <w:t>）计</w:t>
      </w:r>
      <w:r>
        <w:rPr>
          <w:rFonts w:hAnsi="宋体" w:cs="宋体"/>
        </w:rPr>
        <w:t>算</w:t>
      </w:r>
      <w:r>
        <w:rPr>
          <w:rFonts w:hAnsi="宋体" w:cs="宋体"/>
          <w:spacing w:val="-2"/>
        </w:rPr>
        <w:t>出</w:t>
      </w:r>
      <w:r>
        <w:rPr>
          <w:rFonts w:hAnsi="宋体" w:cs="宋体"/>
        </w:rPr>
        <w:t>不</w:t>
      </w:r>
      <w:r>
        <w:rPr>
          <w:rFonts w:hAnsi="宋体" w:cs="宋体"/>
          <w:spacing w:val="-2"/>
        </w:rPr>
        <w:t>同</w:t>
      </w:r>
      <w:r>
        <w:rPr>
          <w:rFonts w:hAnsi="宋体" w:cs="宋体"/>
        </w:rPr>
        <w:t>影</w:t>
      </w:r>
      <w:r>
        <w:rPr>
          <w:rFonts w:hAnsi="宋体" w:cs="宋体"/>
          <w:spacing w:val="-2"/>
        </w:rPr>
        <w:t>响</w:t>
      </w:r>
      <w:r>
        <w:rPr>
          <w:rFonts w:hAnsi="宋体" w:cs="宋体"/>
        </w:rPr>
        <w:t>类</w:t>
      </w:r>
      <w:r>
        <w:rPr>
          <w:rFonts w:hAnsi="宋体" w:cs="宋体"/>
          <w:spacing w:val="-2"/>
        </w:rPr>
        <w:t>型</w:t>
      </w:r>
      <w:r>
        <w:rPr>
          <w:rFonts w:hAnsi="宋体" w:cs="宋体"/>
        </w:rPr>
        <w:t>的</w:t>
      </w:r>
      <w:r>
        <w:rPr>
          <w:rFonts w:hAnsi="宋体" w:cs="宋体"/>
          <w:spacing w:val="-2"/>
        </w:rPr>
        <w:t>特</w:t>
      </w:r>
      <w:r>
        <w:rPr>
          <w:rFonts w:hAnsi="宋体" w:cs="宋体"/>
        </w:rPr>
        <w:t>征化</w:t>
      </w:r>
      <w:r>
        <w:rPr>
          <w:rFonts w:hAnsi="宋体" w:cs="宋体"/>
          <w:spacing w:val="-2"/>
        </w:rPr>
        <w:t>值。</w:t>
      </w:r>
      <w:r>
        <w:rPr>
          <w:rFonts w:hAnsi="宋体" w:cs="宋体"/>
        </w:rPr>
        <w:t>分</w:t>
      </w:r>
      <w:r>
        <w:rPr>
          <w:rFonts w:hAnsi="宋体" w:cs="宋体"/>
          <w:spacing w:val="-2"/>
        </w:rPr>
        <w:t>类</w:t>
      </w:r>
      <w:r>
        <w:rPr>
          <w:rFonts w:hAnsi="宋体" w:cs="宋体"/>
        </w:rPr>
        <w:t>评</w:t>
      </w:r>
      <w:r>
        <w:rPr>
          <w:rFonts w:hAnsi="宋体" w:cs="宋体"/>
          <w:spacing w:val="-2"/>
        </w:rPr>
        <w:t>价</w:t>
      </w:r>
      <w:r>
        <w:rPr>
          <w:rFonts w:hAnsi="宋体" w:cs="宋体"/>
        </w:rPr>
        <w:t>的</w:t>
      </w:r>
      <w:r>
        <w:rPr>
          <w:rFonts w:hAnsi="宋体" w:cs="宋体"/>
          <w:spacing w:val="-2"/>
        </w:rPr>
        <w:t>结</w:t>
      </w:r>
      <w:r>
        <w:rPr>
          <w:rFonts w:hAnsi="宋体" w:cs="宋体"/>
        </w:rPr>
        <w:t>果采</w:t>
      </w:r>
      <w:r>
        <w:rPr>
          <w:rFonts w:hAnsi="宋体" w:cs="宋体"/>
          <w:spacing w:val="-2"/>
        </w:rPr>
        <w:t>用</w:t>
      </w:r>
      <w:r>
        <w:rPr>
          <w:rFonts w:hAnsi="宋体" w:cs="宋体"/>
          <w:spacing w:val="25"/>
        </w:rPr>
        <w:t>表</w:t>
      </w:r>
      <w:r>
        <w:rPr>
          <w:rFonts w:hint="eastAsia" w:ascii="Calibri" w:hAnsi="Calibri" w:cs="Calibri"/>
          <w:spacing w:val="3"/>
        </w:rPr>
        <w:t>5</w:t>
      </w:r>
      <w:r>
        <w:rPr>
          <w:rFonts w:hAnsi="宋体" w:cs="宋体"/>
          <w:spacing w:val="-2"/>
        </w:rPr>
        <w:t>中</w:t>
      </w:r>
      <w:r>
        <w:rPr>
          <w:rFonts w:hAnsi="宋体" w:cs="宋体"/>
        </w:rPr>
        <w:t>的当量物质表示。</w:t>
      </w:r>
      <w:r>
        <w:rPr>
          <w:rFonts w:hint="eastAsia" w:hAnsi="宋体" w:cs="宋体"/>
        </w:rPr>
        <w:t>固体废物的环境影响较单一，无需进行特征化处理。</w:t>
      </w:r>
    </w:p>
    <w:p>
      <w:pPr>
        <w:autoSpaceDE w:val="0"/>
        <w:autoSpaceDN w:val="0"/>
        <w:adjustRightInd w:val="0"/>
        <w:spacing w:line="400" w:lineRule="atLeast"/>
        <w:ind w:firstLine="420" w:firstLineChars="200"/>
        <w:jc w:val="left"/>
        <w:rPr>
          <w:rFonts w:hAnsi="宋体" w:cs="宋体"/>
        </w:rPr>
      </w:pPr>
    </w:p>
    <w:p>
      <w:pPr>
        <w:spacing w:line="400" w:lineRule="atLeast"/>
        <w:jc w:val="right"/>
        <w:rPr>
          <w:rFonts w:hAnsi="宋体"/>
          <w:iCs/>
          <w:szCs w:val="21"/>
        </w:rPr>
      </w:pPr>
      <w:r>
        <w:rPr>
          <w:rFonts w:hint="eastAsia" w:hAnsi="宋体"/>
          <w:i/>
          <w:iCs/>
          <w:color w:val="FF0000"/>
          <w:szCs w:val="21"/>
        </w:rPr>
        <w:t>EP</w:t>
      </w:r>
      <w:r>
        <w:rPr>
          <w:rFonts w:hint="eastAsia" w:hAnsi="宋体"/>
          <w:i/>
          <w:iCs/>
          <w:color w:val="FF0000"/>
          <w:szCs w:val="21"/>
          <w:vertAlign w:val="subscript"/>
        </w:rPr>
        <w:t>i</w:t>
      </w:r>
      <w:r>
        <w:rPr>
          <w:rFonts w:hint="eastAsia" w:hAnsi="宋体"/>
          <w:color w:val="FF0000"/>
          <w:szCs w:val="21"/>
        </w:rPr>
        <w:t>=∑</w:t>
      </w:r>
      <w:r>
        <w:rPr>
          <w:rFonts w:hint="eastAsia" w:hAnsi="宋体"/>
          <w:i/>
          <w:iCs/>
          <w:color w:val="FF0000"/>
          <w:szCs w:val="21"/>
        </w:rPr>
        <w:t>EP</w:t>
      </w:r>
      <w:r>
        <w:rPr>
          <w:rFonts w:hint="eastAsia" w:hAnsi="宋体"/>
          <w:i/>
          <w:iCs/>
          <w:color w:val="FF0000"/>
          <w:szCs w:val="21"/>
          <w:vertAlign w:val="subscript"/>
        </w:rPr>
        <w:t>ij</w:t>
      </w:r>
      <w:r>
        <w:rPr>
          <w:rFonts w:hint="eastAsia" w:hAnsi="宋体"/>
          <w:color w:val="FF0000"/>
          <w:szCs w:val="21"/>
        </w:rPr>
        <w:t>=∑（</w:t>
      </w:r>
      <w:r>
        <w:rPr>
          <w:rFonts w:hint="eastAsia" w:hAnsi="宋体"/>
          <w:i/>
          <w:iCs/>
          <w:color w:val="FF0000"/>
          <w:szCs w:val="21"/>
        </w:rPr>
        <w:t>Q</w:t>
      </w:r>
      <w:r>
        <w:rPr>
          <w:rFonts w:hint="eastAsia" w:hAnsi="宋体"/>
          <w:i/>
          <w:iCs/>
          <w:color w:val="FF0000"/>
          <w:szCs w:val="21"/>
          <w:vertAlign w:val="subscript"/>
        </w:rPr>
        <w:t>j</w:t>
      </w:r>
      <w:r>
        <w:rPr>
          <w:rFonts w:hint="eastAsia" w:ascii="黑体" w:eastAsia="黑体" w:hAnsiTheme="minorEastAsia"/>
          <w:color w:val="FF0000"/>
          <w:szCs w:val="21"/>
        </w:rPr>
        <w:t>·</w:t>
      </w:r>
      <w:r>
        <w:rPr>
          <w:rFonts w:hint="eastAsia" w:hAnsi="宋体"/>
          <w:i/>
          <w:iCs/>
          <w:color w:val="FF0000"/>
          <w:szCs w:val="21"/>
        </w:rPr>
        <w:t>EF</w:t>
      </w:r>
      <w:r>
        <w:rPr>
          <w:rFonts w:hint="eastAsia" w:hAnsi="宋体"/>
          <w:i/>
          <w:iCs/>
          <w:color w:val="FF0000"/>
          <w:szCs w:val="21"/>
          <w:vertAlign w:val="subscript"/>
        </w:rPr>
        <w:t>ij</w:t>
      </w:r>
      <w:r>
        <w:rPr>
          <w:rFonts w:hint="eastAsia" w:hAnsi="宋体"/>
          <w:color w:val="FF0000"/>
          <w:szCs w:val="21"/>
        </w:rPr>
        <w:t>）</w:t>
      </w:r>
      <w:r>
        <w:rPr>
          <w:rFonts w:hint="eastAsia" w:hAnsi="宋体"/>
          <w:i/>
          <w:iCs/>
          <w:color w:val="FF0000"/>
          <w:szCs w:val="21"/>
          <w:vertAlign w:val="subscript"/>
        </w:rPr>
        <w:t xml:space="preserve">  </w:t>
      </w:r>
      <w:r>
        <w:rPr>
          <w:rFonts w:asciiTheme="minorEastAsia" w:hAnsiTheme="minorEastAsia"/>
          <w:szCs w:val="21"/>
        </w:rPr>
        <w:t>………………………………</w:t>
      </w:r>
      <w:r>
        <w:rPr>
          <w:rFonts w:hint="eastAsia" w:asciiTheme="minorEastAsia" w:hAnsiTheme="minorEastAsia"/>
          <w:szCs w:val="21"/>
        </w:rPr>
        <w:t>（2）</w:t>
      </w:r>
    </w:p>
    <w:p>
      <w:pPr>
        <w:spacing w:line="400" w:lineRule="atLeast"/>
        <w:ind w:firstLine="420"/>
        <w:rPr>
          <w:rFonts w:hAnsi="宋体"/>
        </w:rPr>
      </w:pPr>
      <w:r>
        <w:rPr>
          <w:rFonts w:hint="eastAsia" w:hAnsi="宋体"/>
        </w:rPr>
        <w:t>式中：</w:t>
      </w:r>
    </w:p>
    <w:p>
      <w:pPr>
        <w:spacing w:line="400" w:lineRule="atLeast"/>
        <w:ind w:firstLine="420"/>
        <w:rPr>
          <w:rFonts w:hAnsi="宋体"/>
        </w:rPr>
      </w:pPr>
      <w:r>
        <w:rPr>
          <w:rFonts w:hint="eastAsia" w:hAnsi="宋体"/>
          <w:i/>
          <w:iCs/>
        </w:rPr>
        <w:t>EP</w:t>
      </w:r>
      <w:r>
        <w:rPr>
          <w:rFonts w:hint="eastAsia" w:hAnsi="宋体"/>
          <w:i/>
          <w:iCs/>
          <w:vertAlign w:val="subscript"/>
        </w:rPr>
        <w:t xml:space="preserve">i  </w:t>
      </w:r>
      <w:r>
        <w:rPr>
          <w:rFonts w:hint="eastAsia" w:asciiTheme="minorEastAsia" w:hAnsiTheme="minorEastAsia"/>
          <w:szCs w:val="21"/>
        </w:rPr>
        <w:t>——</w:t>
      </w:r>
      <w:r>
        <w:rPr>
          <w:rFonts w:hint="eastAsia" w:hAnsi="宋体"/>
        </w:rPr>
        <w:t>第</w:t>
      </w:r>
      <w:r>
        <w:rPr>
          <w:rFonts w:hint="eastAsia" w:hAnsi="宋体"/>
          <w:i/>
          <w:iCs/>
        </w:rPr>
        <w:t>i</w:t>
      </w:r>
      <w:r>
        <w:rPr>
          <w:rFonts w:hint="eastAsia" w:hAnsi="宋体"/>
        </w:rPr>
        <w:t>种环境类别特征化值；</w:t>
      </w:r>
    </w:p>
    <w:p>
      <w:pPr>
        <w:spacing w:line="400" w:lineRule="atLeast"/>
        <w:ind w:firstLine="420"/>
        <w:rPr>
          <w:rFonts w:hAnsi="宋体"/>
          <w:i/>
          <w:iCs/>
        </w:rPr>
      </w:pPr>
      <w:r>
        <w:rPr>
          <w:rFonts w:hint="eastAsia" w:hAnsi="宋体"/>
          <w:i/>
          <w:iCs/>
        </w:rPr>
        <w:t>EP</w:t>
      </w:r>
      <w:r>
        <w:rPr>
          <w:rFonts w:hint="eastAsia" w:hAnsi="宋体"/>
          <w:i/>
          <w:iCs/>
          <w:vertAlign w:val="subscript"/>
        </w:rPr>
        <w:t>ij</w:t>
      </w:r>
      <w:r>
        <w:rPr>
          <w:rFonts w:hint="eastAsia" w:hAnsi="宋体"/>
          <w:i/>
          <w:iCs/>
        </w:rPr>
        <w:t xml:space="preserve"> </w:t>
      </w:r>
      <w:r>
        <w:rPr>
          <w:rFonts w:hint="eastAsia" w:asciiTheme="minorEastAsia" w:hAnsiTheme="minorEastAsia"/>
          <w:szCs w:val="21"/>
        </w:rPr>
        <w:t>——</w:t>
      </w:r>
      <w:r>
        <w:rPr>
          <w:rFonts w:hint="eastAsia" w:hAnsi="宋体"/>
        </w:rPr>
        <w:t>第</w:t>
      </w:r>
      <w:r>
        <w:rPr>
          <w:rFonts w:hint="eastAsia" w:hAnsi="宋体"/>
          <w:i/>
          <w:iCs/>
        </w:rPr>
        <w:t>i</w:t>
      </w:r>
      <w:r>
        <w:rPr>
          <w:rFonts w:hint="eastAsia" w:hAnsi="宋体"/>
        </w:rPr>
        <w:t>种环境类别中第</w:t>
      </w:r>
      <w:r>
        <w:rPr>
          <w:rFonts w:hint="eastAsia" w:hAnsi="宋体"/>
          <w:i/>
          <w:iCs/>
        </w:rPr>
        <w:t xml:space="preserve">j </w:t>
      </w:r>
      <w:r>
        <w:rPr>
          <w:rFonts w:hint="eastAsia" w:hAnsi="宋体"/>
        </w:rPr>
        <w:t>种污染物的贡献；</w:t>
      </w:r>
    </w:p>
    <w:p>
      <w:pPr>
        <w:spacing w:line="400" w:lineRule="atLeast"/>
        <w:ind w:firstLine="420"/>
        <w:rPr>
          <w:rFonts w:hAnsi="宋体"/>
        </w:rPr>
      </w:pPr>
      <w:r>
        <w:rPr>
          <w:rFonts w:hint="eastAsia" w:hAnsi="宋体"/>
          <w:i/>
          <w:iCs/>
        </w:rPr>
        <w:t>Q</w:t>
      </w:r>
      <w:r>
        <w:rPr>
          <w:rFonts w:hint="eastAsia" w:hAnsi="宋体"/>
          <w:i/>
          <w:iCs/>
          <w:vertAlign w:val="subscript"/>
        </w:rPr>
        <w:t xml:space="preserve">j   </w:t>
      </w:r>
      <w:r>
        <w:rPr>
          <w:rFonts w:hint="eastAsia" w:asciiTheme="minorEastAsia" w:hAnsiTheme="minorEastAsia"/>
          <w:szCs w:val="21"/>
        </w:rPr>
        <w:t>——</w:t>
      </w:r>
      <w:r>
        <w:rPr>
          <w:rFonts w:hint="eastAsia" w:hAnsi="宋体"/>
        </w:rPr>
        <w:t>第</w:t>
      </w:r>
      <w:r>
        <w:rPr>
          <w:rFonts w:hint="eastAsia" w:hAnsi="宋体"/>
          <w:i/>
          <w:iCs/>
        </w:rPr>
        <w:t xml:space="preserve">j </w:t>
      </w:r>
      <w:r>
        <w:rPr>
          <w:rFonts w:hint="eastAsia" w:hAnsi="宋体"/>
        </w:rPr>
        <w:t>种污染物的排放量；</w:t>
      </w:r>
    </w:p>
    <w:p>
      <w:pPr>
        <w:spacing w:line="400" w:lineRule="atLeast"/>
        <w:ind w:firstLine="420"/>
        <w:rPr>
          <w:rFonts w:asciiTheme="minorEastAsia" w:hAnsiTheme="minorEastAsia"/>
          <w:szCs w:val="21"/>
        </w:rPr>
      </w:pPr>
      <w:r>
        <w:rPr>
          <w:rFonts w:hint="eastAsia" w:hAnsi="宋体"/>
          <w:i/>
          <w:iCs/>
        </w:rPr>
        <w:t>EF</w:t>
      </w:r>
      <w:r>
        <w:rPr>
          <w:rFonts w:hint="eastAsia" w:hAnsi="宋体"/>
          <w:i/>
          <w:iCs/>
          <w:vertAlign w:val="subscript"/>
        </w:rPr>
        <w:t xml:space="preserve">ij  </w:t>
      </w:r>
      <w:r>
        <w:rPr>
          <w:rFonts w:hint="eastAsia" w:asciiTheme="minorEastAsia" w:hAnsiTheme="minorEastAsia"/>
          <w:szCs w:val="21"/>
        </w:rPr>
        <w:t>——</w:t>
      </w:r>
      <w:r>
        <w:rPr>
          <w:rFonts w:hint="eastAsia" w:hAnsi="宋体"/>
        </w:rPr>
        <w:t>第</w:t>
      </w:r>
      <w:r>
        <w:rPr>
          <w:rFonts w:hint="eastAsia" w:hAnsi="宋体"/>
          <w:i/>
          <w:iCs/>
        </w:rPr>
        <w:t>i</w:t>
      </w:r>
      <w:r>
        <w:rPr>
          <w:rFonts w:hint="eastAsia" w:hAnsi="宋体"/>
        </w:rPr>
        <w:t>种环境类别中第</w:t>
      </w:r>
      <w:r>
        <w:rPr>
          <w:rFonts w:hint="eastAsia" w:hAnsi="宋体"/>
          <w:i/>
          <w:iCs/>
        </w:rPr>
        <w:t>j</w:t>
      </w:r>
      <w:r>
        <w:rPr>
          <w:rFonts w:hint="eastAsia" w:hAnsi="宋体"/>
        </w:rPr>
        <w:t>种污染物的特征化因子。</w:t>
      </w:r>
    </w:p>
    <w:p>
      <w:pPr>
        <w:spacing w:beforeLines="50" w:line="400" w:lineRule="atLeast"/>
        <w:rPr>
          <w:rFonts w:asciiTheme="minorEastAsia" w:hAnsiTheme="minorEastAsia"/>
          <w:szCs w:val="21"/>
        </w:rPr>
      </w:pPr>
      <w:r>
        <w:rPr>
          <w:rFonts w:hint="eastAsia" w:ascii="宋体" w:hAnsi="Calibri" w:cs="宋体"/>
          <w:kern w:val="0"/>
          <w:szCs w:val="21"/>
        </w:rPr>
        <w:t xml:space="preserve">   </w:t>
      </w:r>
      <w:r>
        <w:rPr>
          <w:rFonts w:hint="eastAsia" w:hAnsi="宋体"/>
        </w:rPr>
        <w:t xml:space="preserve"> 铜及铜合金加工产品</w:t>
      </w:r>
      <w:r>
        <w:rPr>
          <w:rFonts w:hAnsi="宋体"/>
        </w:rPr>
        <w:t>LCA</w:t>
      </w:r>
      <w:r>
        <w:rPr>
          <w:rFonts w:hint="eastAsia" w:hAnsi="宋体"/>
        </w:rPr>
        <w:t>报告可用于绿色设计产品评价，也可用于产品碳足迹、水足迹、欧盟产品环境足迹（</w:t>
      </w:r>
      <w:r>
        <w:rPr>
          <w:rFonts w:hAnsi="宋体"/>
        </w:rPr>
        <w:t>PEF</w:t>
      </w:r>
      <w:r>
        <w:rPr>
          <w:rFonts w:hint="eastAsia" w:hAnsi="宋体"/>
        </w:rPr>
        <w:t>）、环境产品声明（</w:t>
      </w:r>
      <w:r>
        <w:rPr>
          <w:rFonts w:hAnsi="宋体"/>
        </w:rPr>
        <w:t>EPD</w:t>
      </w:r>
      <w:r>
        <w:rPr>
          <w:rFonts w:hint="eastAsia" w:hAnsi="宋体"/>
        </w:rPr>
        <w:t>）等</w:t>
      </w:r>
      <w:r>
        <w:rPr>
          <w:rFonts w:hAnsi="宋体"/>
        </w:rPr>
        <w:t>LCA</w:t>
      </w:r>
      <w:r>
        <w:rPr>
          <w:rFonts w:hint="eastAsia" w:hAnsi="宋体"/>
        </w:rPr>
        <w:t>评价，具体要求可参见相关标准和评价体系的规</w:t>
      </w:r>
      <w:r>
        <w:rPr>
          <w:rFonts w:hint="eastAsia" w:ascii="宋体" w:hAnsi="Calibri" w:cs="宋体"/>
          <w:kern w:val="0"/>
          <w:szCs w:val="21"/>
        </w:rPr>
        <w:t>定。</w:t>
      </w:r>
    </w:p>
    <w:p>
      <w:pPr>
        <w:spacing w:line="400" w:lineRule="exact"/>
        <w:rPr>
          <w:rFonts w:ascii="黑体" w:eastAsia="黑体" w:hAnsiTheme="minorEastAsia"/>
          <w:szCs w:val="21"/>
        </w:rPr>
      </w:pPr>
      <w:r>
        <w:rPr>
          <w:rFonts w:hint="eastAsia" w:ascii="黑体" w:eastAsia="黑体" w:hAnsiTheme="minorEastAsia"/>
          <w:szCs w:val="21"/>
        </w:rPr>
        <w:t>4.6 产品环境声明报告</w:t>
      </w:r>
    </w:p>
    <w:p>
      <w:pPr>
        <w:spacing w:line="400" w:lineRule="exact"/>
        <w:ind w:firstLine="420"/>
        <w:rPr>
          <w:rFonts w:asciiTheme="minorEastAsia" w:hAnsiTheme="minorEastAsia"/>
          <w:szCs w:val="21"/>
        </w:rPr>
      </w:pPr>
      <w:r>
        <w:rPr>
          <w:rFonts w:hint="eastAsia" w:asciiTheme="minorEastAsia" w:hAnsiTheme="minorEastAsia"/>
          <w:szCs w:val="21"/>
        </w:rPr>
        <w:t>除上述报告的指标外，其他相关的重要环境信息，如采用的清洁生产工艺、节能减排技术、产品环境特性、企业环境管理等可在附加信息中进行描述。</w:t>
      </w:r>
    </w:p>
    <w:p>
      <w:pPr>
        <w:spacing w:line="400" w:lineRule="exact"/>
        <w:ind w:firstLine="420"/>
        <w:rPr>
          <w:rFonts w:asciiTheme="minorEastAsia" w:hAnsiTheme="minorEastAsia"/>
          <w:szCs w:val="21"/>
        </w:rPr>
      </w:pPr>
      <w:r>
        <w:rPr>
          <w:rFonts w:hint="eastAsia" w:asciiTheme="minorEastAsia" w:hAnsiTheme="minorEastAsia"/>
          <w:szCs w:val="21"/>
        </w:rPr>
        <w:t>应用本文件可进行铜及铜合金加工产品的Ⅲ型环境声明报告，Ⅲ型环境声明报告应符合GB/T 24025-2009的要求。依据本文件制作的Ⅲ型环境声明报告包括以下内容：</w:t>
      </w:r>
    </w:p>
    <w:p>
      <w:pPr>
        <w:spacing w:line="400" w:lineRule="exact"/>
        <w:ind w:firstLine="420"/>
        <w:rPr>
          <w:rFonts w:asciiTheme="minorEastAsia" w:hAnsiTheme="minorEastAsia"/>
          <w:szCs w:val="21"/>
        </w:rPr>
      </w:pPr>
      <w:r>
        <w:rPr>
          <w:rFonts w:hint="eastAsia" w:asciiTheme="minorEastAsia" w:hAnsiTheme="minorEastAsia"/>
          <w:szCs w:val="21"/>
        </w:rPr>
        <w:t>1）公司/组织的描述：联系人、地址、电话、传真、e-mail，生产过程或环境工作特别信息。</w:t>
      </w:r>
    </w:p>
    <w:p>
      <w:pPr>
        <w:spacing w:line="400" w:lineRule="exact"/>
        <w:ind w:firstLine="420"/>
        <w:rPr>
          <w:rFonts w:asciiTheme="minorEastAsia" w:hAnsiTheme="minorEastAsia"/>
          <w:szCs w:val="21"/>
        </w:rPr>
      </w:pPr>
      <w:r>
        <w:rPr>
          <w:rFonts w:hint="eastAsia" w:asciiTheme="minorEastAsia" w:hAnsiTheme="minorEastAsia"/>
          <w:szCs w:val="21"/>
        </w:rPr>
        <w:t>2）产品或服务的描述：产品名称、产品功能用途、产品化学成分、产品技术性能（规格、热处理方式、交货状态）、产品制造、运输和安全使用信息。</w:t>
      </w:r>
    </w:p>
    <w:p>
      <w:pPr>
        <w:spacing w:line="400" w:lineRule="exact"/>
        <w:ind w:firstLine="420"/>
        <w:rPr>
          <w:rFonts w:asciiTheme="minorEastAsia" w:hAnsiTheme="minorEastAsia"/>
          <w:szCs w:val="21"/>
        </w:rPr>
      </w:pPr>
      <w:r>
        <w:rPr>
          <w:rFonts w:hint="eastAsia" w:asciiTheme="minorEastAsia" w:hAnsiTheme="minorEastAsia"/>
          <w:szCs w:val="21"/>
        </w:rPr>
        <w:t>3）报告的有效日期。</w:t>
      </w:r>
    </w:p>
    <w:p>
      <w:pPr>
        <w:spacing w:line="400" w:lineRule="exact"/>
        <w:ind w:firstLine="420"/>
        <w:rPr>
          <w:rFonts w:asciiTheme="minorEastAsia" w:hAnsiTheme="minorEastAsia"/>
          <w:szCs w:val="21"/>
        </w:rPr>
      </w:pPr>
      <w:r>
        <w:rPr>
          <w:rFonts w:hint="eastAsia" w:asciiTheme="minorEastAsia" w:hAnsiTheme="minorEastAsia"/>
          <w:szCs w:val="21"/>
        </w:rPr>
        <w:t>4）产品的可追溯性（产品编号，能够辨识生产批次，追溯生产信息、质量记录等信息）。</w:t>
      </w:r>
    </w:p>
    <w:p>
      <w:pPr>
        <w:spacing w:line="400" w:lineRule="exact"/>
        <w:ind w:firstLine="420"/>
        <w:rPr>
          <w:rFonts w:asciiTheme="minorEastAsia" w:hAnsiTheme="minorEastAsia"/>
          <w:szCs w:val="21"/>
        </w:rPr>
      </w:pPr>
      <w:r>
        <w:rPr>
          <w:rFonts w:hint="eastAsia" w:asciiTheme="minorEastAsia" w:hAnsiTheme="minorEastAsia"/>
          <w:szCs w:val="21"/>
        </w:rPr>
        <w:t>5）生命周期评价信息：功能单位、系统边界、数据的描述、数据的取舍准则、数据质量、数据收集、计算程序、环境影响（可以报告LCI结果，也可以报告LCIA结果，但应明确描述考虑了哪些清单因子和环境影响类型）、附加环境信息。</w:t>
      </w:r>
    </w:p>
    <w:p>
      <w:pPr>
        <w:spacing w:line="400" w:lineRule="exact"/>
        <w:ind w:firstLine="420"/>
        <w:rPr>
          <w:rFonts w:asciiTheme="minorEastAsia" w:hAnsiTheme="minorEastAsia"/>
          <w:szCs w:val="21"/>
        </w:rPr>
      </w:pPr>
      <w:r>
        <w:rPr>
          <w:rFonts w:hint="eastAsia" w:asciiTheme="minorEastAsia" w:hAnsiTheme="minorEastAsia"/>
          <w:szCs w:val="21"/>
        </w:rPr>
        <w:t>f）评价的验证：验证机构、验证结论。</w:t>
      </w:r>
    </w:p>
    <w:p>
      <w:pPr>
        <w:spacing w:beforeLines="50" w:afterLines="50" w:line="400" w:lineRule="exact"/>
        <w:rPr>
          <w:rFonts w:ascii="黑体" w:hAnsi="宋体" w:eastAsia="黑体" w:cs="宋体"/>
          <w:bCs/>
          <w:szCs w:val="21"/>
        </w:rPr>
      </w:pPr>
      <w:r>
        <w:rPr>
          <w:rFonts w:hint="eastAsia" w:ascii="黑体" w:hAnsi="宋体" w:eastAsia="黑体" w:cs="宋体"/>
          <w:bCs/>
          <w:szCs w:val="21"/>
        </w:rPr>
        <w:t>五、与现行法律、法规、强制性国家标准及相关标准协调配套情况</w:t>
      </w:r>
    </w:p>
    <w:p>
      <w:pPr>
        <w:pStyle w:val="2"/>
        <w:spacing w:line="400" w:lineRule="exact"/>
        <w:ind w:firstLine="420" w:firstLineChars="200"/>
      </w:pPr>
      <w:r>
        <w:rPr>
          <w:rFonts w:hint="eastAsia"/>
          <w:szCs w:val="21"/>
        </w:rPr>
        <w:t>本标准以GB/T 24040-2008《环境管理 生命周期评价 原则与框架》、GB/T 24044-2008《环境管理 生命周期评价 要求与指南》国家标准现有要求为依据，结合铜及铜合金加工产品制造特点进行的制定。本标准符合铜及铜合金加工行业绿色工厂发展需求和</w:t>
      </w:r>
      <w:r>
        <w:rPr>
          <w:szCs w:val="21"/>
        </w:rPr>
        <w:t>绿色产品子体系生命周期的要求</w:t>
      </w:r>
      <w:r>
        <w:rPr>
          <w:rFonts w:hint="eastAsia"/>
          <w:szCs w:val="21"/>
        </w:rPr>
        <w:t>，给出</w:t>
      </w:r>
      <w:r>
        <w:rPr>
          <w:rFonts w:hint="eastAsia" w:asciiTheme="minorEastAsia" w:hAnsiTheme="minorEastAsia"/>
          <w:szCs w:val="21"/>
        </w:rPr>
        <w:t>铜及铜合金加工产品制造生命周期评价的基本规则和要求</w:t>
      </w:r>
      <w:r>
        <w:rPr>
          <w:rFonts w:hint="eastAsia"/>
          <w:szCs w:val="21"/>
        </w:rPr>
        <w:t>，</w:t>
      </w:r>
      <w:r>
        <w:rPr>
          <w:rFonts w:hint="eastAsia"/>
        </w:rPr>
        <w:t xml:space="preserve">适用于具有全流程的铜及铜合金加工行业生产的铜及铜合金加工产品，也适用于仅有某一个或部分工序的铜及铜合金加工企业生产的产品。  </w:t>
      </w:r>
    </w:p>
    <w:p>
      <w:pPr>
        <w:spacing w:line="400" w:lineRule="exact"/>
        <w:ind w:firstLine="420" w:firstLineChars="200"/>
        <w:rPr>
          <w:rFonts w:ascii="宋体" w:hAnsi="宋体"/>
          <w:szCs w:val="21"/>
        </w:rPr>
      </w:pPr>
      <w:r>
        <w:rPr>
          <w:rFonts w:hint="eastAsia" w:ascii="宋体" w:hAnsi="宋体"/>
          <w:szCs w:val="21"/>
        </w:rPr>
        <w:t>本标准符合现行法律、法规的要求，并与其他同类国家标准、国家J用标准、行业标准无冲突、重叠和不协调之处。</w:t>
      </w:r>
    </w:p>
    <w:p>
      <w:pPr>
        <w:spacing w:beforeLines="50" w:afterLines="50" w:line="400" w:lineRule="exact"/>
        <w:rPr>
          <w:rFonts w:ascii="黑体" w:hAnsi="宋体" w:eastAsia="黑体" w:cs="宋体"/>
          <w:bCs/>
          <w:szCs w:val="21"/>
        </w:rPr>
      </w:pPr>
      <w:bookmarkStart w:id="3" w:name="_Toc32100"/>
      <w:r>
        <w:rPr>
          <w:rFonts w:hint="eastAsia" w:ascii="黑体" w:hAnsi="宋体" w:eastAsia="黑体" w:cs="宋体"/>
          <w:bCs/>
          <w:szCs w:val="21"/>
        </w:rPr>
        <w:t>六、重大分歧意见的处理经过和依据</w:t>
      </w:r>
      <w:bookmarkEnd w:id="3"/>
    </w:p>
    <w:p>
      <w:pPr>
        <w:spacing w:line="400" w:lineRule="exact"/>
        <w:ind w:firstLine="420" w:firstLineChars="200"/>
        <w:rPr>
          <w:rFonts w:ascii="宋体" w:hAnsi="宋体"/>
          <w:szCs w:val="21"/>
        </w:rPr>
      </w:pPr>
      <w:r>
        <w:rPr>
          <w:rFonts w:hint="eastAsia" w:ascii="宋体" w:hAnsi="宋体"/>
          <w:szCs w:val="21"/>
        </w:rPr>
        <w:t>暂无。</w:t>
      </w:r>
    </w:p>
    <w:p>
      <w:pPr>
        <w:spacing w:beforeLines="50" w:afterLines="50" w:line="400" w:lineRule="exact"/>
        <w:rPr>
          <w:rFonts w:ascii="黑体" w:hAnsi="宋体" w:eastAsia="黑体" w:cs="宋体"/>
          <w:bCs/>
          <w:szCs w:val="21"/>
        </w:rPr>
      </w:pPr>
      <w:bookmarkStart w:id="4" w:name="_Toc15989"/>
      <w:r>
        <w:rPr>
          <w:rFonts w:hint="eastAsia" w:ascii="黑体" w:hAnsi="宋体" w:eastAsia="黑体" w:cs="宋体"/>
          <w:bCs/>
          <w:szCs w:val="21"/>
        </w:rPr>
        <w:t>七、作为强制性或推荐性国家标准的建议</w:t>
      </w:r>
      <w:bookmarkEnd w:id="4"/>
    </w:p>
    <w:p>
      <w:pPr>
        <w:spacing w:line="400" w:lineRule="exact"/>
        <w:ind w:firstLine="420" w:firstLineChars="200"/>
        <w:rPr>
          <w:rFonts w:ascii="宋体" w:hAnsi="宋体"/>
          <w:szCs w:val="21"/>
        </w:rPr>
      </w:pPr>
      <w:r>
        <w:rPr>
          <w:rFonts w:hint="eastAsia" w:ascii="宋体" w:hAnsi="宋体" w:eastAsia="宋体" w:cs="宋体"/>
          <w:szCs w:val="21"/>
        </w:rPr>
        <w:t>本标准建议作为推荐性行业标准发布。</w:t>
      </w:r>
      <w:r>
        <w:rPr>
          <w:rFonts w:hint="eastAsia" w:ascii="宋体" w:hAnsi="宋体" w:eastAsia="宋体"/>
          <w:szCs w:val="21"/>
        </w:rPr>
        <w:t>我国对</w:t>
      </w:r>
      <w:r>
        <w:rPr>
          <w:rFonts w:ascii="宋体" w:hAnsi="宋体" w:eastAsia="宋体"/>
          <w:szCs w:val="21"/>
        </w:rPr>
        <w:t>ISO14040</w:t>
      </w:r>
      <w:r>
        <w:rPr>
          <w:rFonts w:hint="eastAsia" w:ascii="宋体" w:hAnsi="宋体" w:eastAsia="宋体"/>
          <w:szCs w:val="21"/>
        </w:rPr>
        <w:t>和</w:t>
      </w:r>
      <w:r>
        <w:rPr>
          <w:rFonts w:ascii="宋体" w:hAnsi="宋体" w:eastAsia="宋体"/>
          <w:szCs w:val="21"/>
        </w:rPr>
        <w:t>ISO14044</w:t>
      </w:r>
      <w:r>
        <w:rPr>
          <w:rFonts w:hint="eastAsia" w:ascii="宋体" w:hAnsi="宋体" w:eastAsia="宋体"/>
          <w:szCs w:val="21"/>
        </w:rPr>
        <w:t>等同转化为国家标准</w:t>
      </w:r>
      <w:r>
        <w:rPr>
          <w:rFonts w:ascii="宋体" w:hAnsi="宋体" w:eastAsia="宋体"/>
          <w:szCs w:val="21"/>
        </w:rPr>
        <w:t>GB/T 24040-2008</w:t>
      </w:r>
      <w:r>
        <w:rPr>
          <w:rFonts w:hint="eastAsia" w:ascii="宋体" w:hAnsi="宋体" w:eastAsia="宋体"/>
          <w:szCs w:val="21"/>
        </w:rPr>
        <w:t>《环境管理</w:t>
      </w:r>
      <w:r>
        <w:rPr>
          <w:rFonts w:ascii="宋体" w:hAnsi="宋体" w:eastAsia="宋体"/>
          <w:szCs w:val="21"/>
        </w:rPr>
        <w:t xml:space="preserve"> </w:t>
      </w:r>
      <w:r>
        <w:rPr>
          <w:rFonts w:hint="eastAsia" w:ascii="宋体" w:hAnsi="宋体" w:eastAsia="宋体"/>
          <w:szCs w:val="21"/>
        </w:rPr>
        <w:t>生命周期评价</w:t>
      </w:r>
      <w:r>
        <w:rPr>
          <w:rFonts w:ascii="宋体" w:hAnsi="宋体" w:eastAsia="宋体"/>
          <w:szCs w:val="21"/>
        </w:rPr>
        <w:t xml:space="preserve"> </w:t>
      </w:r>
      <w:r>
        <w:rPr>
          <w:rFonts w:hint="eastAsia" w:ascii="宋体" w:hAnsi="宋体" w:eastAsia="宋体"/>
          <w:szCs w:val="21"/>
        </w:rPr>
        <w:t>原则和框架》、</w:t>
      </w:r>
      <w:r>
        <w:rPr>
          <w:rFonts w:ascii="宋体" w:hAnsi="宋体" w:eastAsia="宋体"/>
          <w:szCs w:val="21"/>
        </w:rPr>
        <w:t>GB/T 24044-2008</w:t>
      </w:r>
      <w:r>
        <w:rPr>
          <w:rFonts w:hint="eastAsia" w:ascii="宋体" w:hAnsi="宋体" w:eastAsia="宋体"/>
          <w:szCs w:val="21"/>
        </w:rPr>
        <w:t>《环境管理</w:t>
      </w:r>
      <w:r>
        <w:rPr>
          <w:rFonts w:ascii="宋体" w:hAnsi="宋体" w:eastAsia="宋体"/>
          <w:szCs w:val="21"/>
        </w:rPr>
        <w:t xml:space="preserve"> </w:t>
      </w:r>
      <w:r>
        <w:rPr>
          <w:rFonts w:hint="eastAsia" w:ascii="宋体" w:hAnsi="宋体" w:eastAsia="宋体"/>
          <w:szCs w:val="21"/>
        </w:rPr>
        <w:t>生命周期评价</w:t>
      </w:r>
      <w:r>
        <w:rPr>
          <w:rFonts w:ascii="宋体" w:hAnsi="宋体" w:eastAsia="宋体"/>
          <w:szCs w:val="21"/>
        </w:rPr>
        <w:t xml:space="preserve"> </w:t>
      </w:r>
      <w:r>
        <w:rPr>
          <w:rFonts w:hint="eastAsia" w:ascii="宋体" w:hAnsi="宋体" w:eastAsia="宋体"/>
          <w:szCs w:val="21"/>
        </w:rPr>
        <w:t>要求与指南》，为我国产品生命周期评价提供指导，也为制定各行业产品生命周期评价技术规范提供了总体技术框架和编制提供参考和依据。本标准的发布，可以推进铜及铜合金加工行业加工产品绿色制造，引导铜及铜合金加工产品</w:t>
      </w:r>
      <w:r>
        <w:rPr>
          <w:rFonts w:ascii="宋体" w:hAnsi="宋体" w:eastAsia="宋体"/>
          <w:szCs w:val="21"/>
        </w:rPr>
        <w:t>确定和评价产品生命周期对环境的影响，为产品环境声明与环境标识的评价提供数据</w:t>
      </w:r>
      <w:r>
        <w:rPr>
          <w:rFonts w:hint="eastAsia" w:ascii="宋体" w:hAnsi="宋体" w:eastAsia="宋体"/>
          <w:szCs w:val="21"/>
        </w:rPr>
        <w:t>。</w:t>
      </w:r>
    </w:p>
    <w:p>
      <w:pPr>
        <w:spacing w:beforeLines="50" w:afterLines="50" w:line="360" w:lineRule="exact"/>
        <w:rPr>
          <w:rFonts w:ascii="黑体" w:hAnsi="宋体" w:eastAsia="黑体" w:cs="宋体"/>
          <w:bCs/>
          <w:szCs w:val="21"/>
        </w:rPr>
      </w:pPr>
      <w:bookmarkStart w:id="5" w:name="_Toc15588"/>
      <w:r>
        <w:rPr>
          <w:rFonts w:hint="eastAsia" w:ascii="黑体" w:hAnsi="宋体" w:eastAsia="黑体" w:cs="宋体"/>
          <w:bCs/>
          <w:szCs w:val="21"/>
        </w:rPr>
        <w:t>八、贯彻标准的要求和措施建议</w:t>
      </w:r>
      <w:bookmarkEnd w:id="5"/>
    </w:p>
    <w:p>
      <w:pPr>
        <w:pStyle w:val="17"/>
        <w:spacing w:line="360" w:lineRule="exact"/>
        <w:ind w:firstLine="420"/>
        <w:rPr>
          <w:rFonts w:hAnsi="宋体" w:cs="宋体"/>
          <w:szCs w:val="21"/>
        </w:rPr>
      </w:pPr>
      <w:r>
        <w:rPr>
          <w:rFonts w:hint="eastAsia" w:hAnsi="宋体" w:cs="宋体"/>
          <w:szCs w:val="21"/>
        </w:rPr>
        <w:t>本标准</w:t>
      </w:r>
      <w:r>
        <w:rPr>
          <w:rFonts w:hint="eastAsia"/>
          <w:szCs w:val="21"/>
        </w:rPr>
        <w:t>以</w:t>
      </w:r>
      <w:r>
        <w:rPr>
          <w:rFonts w:hint="eastAsia" w:hAnsi="宋体"/>
          <w:szCs w:val="21"/>
        </w:rPr>
        <w:t>GB/T 24040-2008《环境管理 生命周期评价 原则与框架》、GB/T 24044-2008《环境管理 生命周期评价 要求与指南》国家现有要求为依据</w:t>
      </w:r>
      <w:r>
        <w:rPr>
          <w:rFonts w:hint="eastAsia" w:hAnsi="宋体" w:cs="宋体"/>
          <w:bCs/>
          <w:szCs w:val="21"/>
        </w:rPr>
        <w:t>，参考国家、行业的相关标准和规范，建立针对铜及铜合金加工产品制造的生命周期评价体系标准。</w:t>
      </w:r>
      <w:r>
        <w:rPr>
          <w:rFonts w:hint="eastAsia" w:hAnsi="宋体" w:cs="宋体"/>
          <w:szCs w:val="21"/>
        </w:rPr>
        <w:t>本标准的技术内容是推荐性的，</w:t>
      </w:r>
      <w:r>
        <w:rPr>
          <w:rFonts w:hint="eastAsia" w:hAnsi="宋体"/>
          <w:szCs w:val="21"/>
        </w:rPr>
        <w:t>标准发布后即可实施，建议</w:t>
      </w:r>
      <w:r>
        <w:rPr>
          <w:rFonts w:hint="eastAsia" w:hAnsi="宋体"/>
          <w:kern w:val="2"/>
          <w:szCs w:val="21"/>
        </w:rPr>
        <w:t>各铜加工产品制造企业应积极宣传</w:t>
      </w:r>
      <w:r>
        <w:rPr>
          <w:rFonts w:hint="eastAsia" w:hAnsi="宋体"/>
          <w:szCs w:val="21"/>
        </w:rPr>
        <w:t>、</w:t>
      </w:r>
      <w:r>
        <w:rPr>
          <w:rFonts w:hint="eastAsia" w:hAnsi="宋体"/>
          <w:kern w:val="2"/>
          <w:szCs w:val="21"/>
        </w:rPr>
        <w:t>贯彻</w:t>
      </w:r>
      <w:r>
        <w:rPr>
          <w:rFonts w:hint="eastAsia" w:hAnsi="宋体"/>
          <w:szCs w:val="21"/>
        </w:rPr>
        <w:t>和实施</w:t>
      </w:r>
      <w:r>
        <w:rPr>
          <w:rFonts w:hint="eastAsia" w:hAnsi="宋体"/>
          <w:kern w:val="2"/>
          <w:szCs w:val="21"/>
        </w:rPr>
        <w:t>，</w:t>
      </w:r>
      <w:r>
        <w:rPr>
          <w:rFonts w:hint="eastAsia" w:hAnsi="宋体"/>
          <w:szCs w:val="21"/>
        </w:rPr>
        <w:t>建议各级人民政府的工业和信息化行政主管部门负责监督实施。</w:t>
      </w:r>
    </w:p>
    <w:p>
      <w:pPr>
        <w:spacing w:beforeLines="50" w:afterLines="50" w:line="360" w:lineRule="exact"/>
        <w:rPr>
          <w:rFonts w:ascii="黑体" w:hAnsi="宋体" w:eastAsia="黑体" w:cs="宋体"/>
          <w:bCs/>
          <w:szCs w:val="21"/>
        </w:rPr>
      </w:pPr>
      <w:bookmarkStart w:id="6" w:name="_Toc7802"/>
      <w:r>
        <w:rPr>
          <w:rFonts w:hint="eastAsia" w:ascii="黑体" w:hAnsi="宋体" w:eastAsia="黑体" w:cs="宋体"/>
          <w:bCs/>
          <w:szCs w:val="21"/>
        </w:rPr>
        <w:t>九、废止现行有关标准的建议</w:t>
      </w:r>
      <w:bookmarkEnd w:id="6"/>
    </w:p>
    <w:p>
      <w:pPr>
        <w:spacing w:line="360" w:lineRule="exact"/>
        <w:ind w:firstLine="420" w:firstLineChars="200"/>
        <w:rPr>
          <w:rFonts w:ascii="宋体" w:hAnsi="宋体" w:cs="宋体"/>
          <w:szCs w:val="21"/>
        </w:rPr>
      </w:pPr>
      <w:r>
        <w:rPr>
          <w:rFonts w:hint="eastAsia" w:ascii="宋体" w:hAnsi="宋体" w:cs="宋体"/>
          <w:szCs w:val="21"/>
        </w:rPr>
        <w:t>无。</w:t>
      </w:r>
    </w:p>
    <w:p>
      <w:pPr>
        <w:spacing w:beforeLines="50" w:afterLines="50" w:line="360" w:lineRule="exact"/>
        <w:rPr>
          <w:rFonts w:ascii="黑体" w:hAnsi="宋体" w:eastAsia="黑体" w:cs="宋体"/>
          <w:bCs/>
          <w:szCs w:val="21"/>
        </w:rPr>
      </w:pPr>
      <w:bookmarkStart w:id="7" w:name="_Toc406"/>
      <w:r>
        <w:rPr>
          <w:rFonts w:hint="eastAsia" w:ascii="黑体" w:hAnsi="宋体" w:eastAsia="黑体" w:cs="宋体"/>
          <w:bCs/>
          <w:szCs w:val="21"/>
        </w:rPr>
        <w:t>十、预期的经济效果</w:t>
      </w:r>
      <w:bookmarkEnd w:id="7"/>
    </w:p>
    <w:p>
      <w:pPr>
        <w:spacing w:line="400" w:lineRule="exact"/>
        <w:ind w:firstLine="420" w:firstLineChars="200"/>
        <w:jc w:val="left"/>
        <w:rPr>
          <w:rFonts w:ascii="宋体" w:hAnsi="宋体" w:cs="宋体"/>
          <w:bCs/>
          <w:szCs w:val="21"/>
        </w:rPr>
      </w:pPr>
      <w:r>
        <w:rPr>
          <w:rFonts w:hint="eastAsia" w:ascii="宋体" w:hAnsi="宋体" w:cs="宋体"/>
          <w:bCs/>
          <w:szCs w:val="21"/>
        </w:rPr>
        <w:t>本标准通过在</w:t>
      </w:r>
      <w:r>
        <w:rPr>
          <w:rFonts w:hint="eastAsia" w:ascii="宋体" w:hAnsi="宋体" w:cs="宋体"/>
          <w:szCs w:val="21"/>
        </w:rPr>
        <w:t>铜及铜合金加工产品制造</w:t>
      </w:r>
      <w:r>
        <w:rPr>
          <w:rFonts w:hint="eastAsia" w:ascii="宋体" w:hAnsi="宋体" w:cs="宋体"/>
          <w:bCs/>
          <w:szCs w:val="21"/>
        </w:rPr>
        <w:t>的实际验证和调研，用于</w:t>
      </w:r>
      <w:r>
        <w:rPr>
          <w:rFonts w:hint="eastAsia" w:ascii="宋体" w:hAnsi="宋体" w:cs="宋体"/>
          <w:szCs w:val="21"/>
        </w:rPr>
        <w:t>铜及铜合金加工产品</w:t>
      </w:r>
      <w:r>
        <w:rPr>
          <w:rFonts w:hint="eastAsia" w:ascii="宋体" w:hAnsi="宋体" w:eastAsia="宋体"/>
          <w:szCs w:val="21"/>
        </w:rPr>
        <w:t>制造生命周期对环境影响的评价</w:t>
      </w:r>
      <w:r>
        <w:rPr>
          <w:rFonts w:hint="eastAsia" w:ascii="宋体" w:hAnsi="宋体" w:cs="宋体"/>
          <w:bCs/>
          <w:szCs w:val="21"/>
        </w:rPr>
        <w:t>工作。</w:t>
      </w:r>
      <w:r>
        <w:rPr>
          <w:szCs w:val="21"/>
        </w:rPr>
        <w:t>通过确定和评价产品生命周期对环境的影响，为产品环境声明与环境标识的评价提供数据，为产品设计、工艺技术评价、生产管理、原料采购等工作提供评价依据和改进建议，进一步完善</w:t>
      </w:r>
      <w:r>
        <w:rPr>
          <w:rFonts w:hint="eastAsia"/>
          <w:szCs w:val="21"/>
        </w:rPr>
        <w:t>铜及铜合金加工产品</w:t>
      </w:r>
      <w:r>
        <w:rPr>
          <w:szCs w:val="21"/>
        </w:rPr>
        <w:t>生态设计评价标准体系。</w:t>
      </w:r>
    </w:p>
    <w:p>
      <w:pPr>
        <w:spacing w:beforeLines="50" w:afterLines="50" w:line="360" w:lineRule="exact"/>
        <w:rPr>
          <w:rFonts w:ascii="黑体" w:hAnsi="宋体" w:eastAsia="黑体" w:cs="宋体"/>
          <w:bCs/>
          <w:szCs w:val="21"/>
        </w:rPr>
      </w:pPr>
      <w:bookmarkStart w:id="8" w:name="_Toc22451"/>
      <w:r>
        <w:rPr>
          <w:rFonts w:hint="eastAsia" w:ascii="黑体" w:hAnsi="宋体" w:eastAsia="黑体" w:cs="宋体"/>
          <w:bCs/>
          <w:szCs w:val="21"/>
        </w:rPr>
        <w:t>十一、其他主要内容的解释和其他需要说明的事项。</w:t>
      </w:r>
      <w:bookmarkEnd w:id="8"/>
    </w:p>
    <w:p>
      <w:pPr>
        <w:spacing w:line="360" w:lineRule="exact"/>
        <w:ind w:firstLine="420" w:firstLineChars="200"/>
        <w:rPr>
          <w:rFonts w:ascii="宋体" w:hAnsi="宋体" w:cs="宋体"/>
          <w:szCs w:val="21"/>
        </w:rPr>
      </w:pPr>
      <w:r>
        <w:rPr>
          <w:rFonts w:hint="eastAsia" w:ascii="宋体" w:hAnsi="宋体" w:cs="宋体"/>
          <w:szCs w:val="21"/>
        </w:rPr>
        <w:t>无。</w:t>
      </w:r>
    </w:p>
    <w:p>
      <w:pPr>
        <w:spacing w:beforeLines="400"/>
        <w:jc w:val="center"/>
        <w:rPr>
          <w:rFonts w:ascii="宋体" w:hAnsi="宋体" w:eastAsia="宋体"/>
          <w:szCs w:val="21"/>
        </w:rPr>
      </w:pPr>
      <w:r>
        <w:rPr>
          <w:rFonts w:hint="eastAsia"/>
        </w:rPr>
        <w:t xml:space="preserve">                             《</w:t>
      </w:r>
      <w:r>
        <w:rPr>
          <w:rFonts w:hint="eastAsia" w:ascii="宋体" w:hAnsi="宋体" w:eastAsia="宋体"/>
          <w:szCs w:val="21"/>
        </w:rPr>
        <w:t>铜及铜合金加工产品制造生命周期评价</w:t>
      </w:r>
    </w:p>
    <w:p>
      <w:pPr>
        <w:jc w:val="center"/>
        <w:rPr>
          <w:rFonts w:ascii="宋体" w:hAnsi="宋体" w:eastAsia="宋体"/>
          <w:szCs w:val="21"/>
        </w:rPr>
      </w:pPr>
      <w:r>
        <w:rPr>
          <w:rFonts w:hint="eastAsia" w:ascii="宋体" w:hAnsi="宋体" w:eastAsia="宋体"/>
          <w:szCs w:val="21"/>
        </w:rPr>
        <w:t xml:space="preserve">                              技术规范（产品种类规范则）</w:t>
      </w:r>
      <w:r>
        <w:rPr>
          <w:rFonts w:hint="eastAsia"/>
        </w:rPr>
        <w:t>》</w:t>
      </w:r>
      <w:r>
        <w:rPr>
          <w:rFonts w:hint="eastAsia" w:ascii="宋体" w:hAnsi="宋体" w:eastAsia="宋体"/>
          <w:szCs w:val="21"/>
        </w:rPr>
        <w:t>编制组</w:t>
      </w:r>
    </w:p>
    <w:p>
      <w:pPr>
        <w:spacing w:beforeLines="100"/>
        <w:jc w:val="center"/>
        <w:rPr>
          <w:rFonts w:ascii="宋体" w:hAnsi="宋体" w:eastAsia="宋体"/>
          <w:szCs w:val="21"/>
        </w:rPr>
      </w:pPr>
      <w:r>
        <w:rPr>
          <w:rFonts w:hint="eastAsia" w:ascii="宋体" w:hAnsi="宋体" w:eastAsia="宋体"/>
          <w:szCs w:val="21"/>
        </w:rPr>
        <w:t xml:space="preserve">                             2022年7月31日</w:t>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NlMzE2MDMzMmZhNjZmODRjODA2NDU3Mjk4YmExNDAifQ=="/>
  </w:docVars>
  <w:rsids>
    <w:rsidRoot w:val="0049152D"/>
    <w:rsid w:val="00000899"/>
    <w:rsid w:val="00002C81"/>
    <w:rsid w:val="0000483E"/>
    <w:rsid w:val="0000533A"/>
    <w:rsid w:val="00006069"/>
    <w:rsid w:val="00007345"/>
    <w:rsid w:val="0000734E"/>
    <w:rsid w:val="000119A5"/>
    <w:rsid w:val="00011F52"/>
    <w:rsid w:val="0001287D"/>
    <w:rsid w:val="00013051"/>
    <w:rsid w:val="00013700"/>
    <w:rsid w:val="00014230"/>
    <w:rsid w:val="000142A3"/>
    <w:rsid w:val="0001434A"/>
    <w:rsid w:val="000146E1"/>
    <w:rsid w:val="00015683"/>
    <w:rsid w:val="00015B66"/>
    <w:rsid w:val="00016452"/>
    <w:rsid w:val="00016C1B"/>
    <w:rsid w:val="000174E9"/>
    <w:rsid w:val="00017703"/>
    <w:rsid w:val="00020B8D"/>
    <w:rsid w:val="00020E6C"/>
    <w:rsid w:val="0002350F"/>
    <w:rsid w:val="00025C36"/>
    <w:rsid w:val="00026B44"/>
    <w:rsid w:val="00026C0C"/>
    <w:rsid w:val="000312D7"/>
    <w:rsid w:val="00032958"/>
    <w:rsid w:val="00033C9E"/>
    <w:rsid w:val="00035A30"/>
    <w:rsid w:val="000362EA"/>
    <w:rsid w:val="0003648A"/>
    <w:rsid w:val="000370C9"/>
    <w:rsid w:val="000376FC"/>
    <w:rsid w:val="00041459"/>
    <w:rsid w:val="000425E5"/>
    <w:rsid w:val="00043943"/>
    <w:rsid w:val="00047256"/>
    <w:rsid w:val="00047897"/>
    <w:rsid w:val="00047C97"/>
    <w:rsid w:val="000538E0"/>
    <w:rsid w:val="00053978"/>
    <w:rsid w:val="000543AE"/>
    <w:rsid w:val="00056B2E"/>
    <w:rsid w:val="00057549"/>
    <w:rsid w:val="00060E9C"/>
    <w:rsid w:val="00061A95"/>
    <w:rsid w:val="00061BAC"/>
    <w:rsid w:val="00062BA9"/>
    <w:rsid w:val="000630E4"/>
    <w:rsid w:val="0006311A"/>
    <w:rsid w:val="000632D5"/>
    <w:rsid w:val="000634E4"/>
    <w:rsid w:val="00063E72"/>
    <w:rsid w:val="000647B0"/>
    <w:rsid w:val="000647D1"/>
    <w:rsid w:val="000648D5"/>
    <w:rsid w:val="00064F0E"/>
    <w:rsid w:val="0006509C"/>
    <w:rsid w:val="000661DC"/>
    <w:rsid w:val="0006634E"/>
    <w:rsid w:val="00067F99"/>
    <w:rsid w:val="0007025D"/>
    <w:rsid w:val="0007113B"/>
    <w:rsid w:val="00072938"/>
    <w:rsid w:val="00072B7E"/>
    <w:rsid w:val="00073823"/>
    <w:rsid w:val="000738A3"/>
    <w:rsid w:val="00073EA4"/>
    <w:rsid w:val="00074BD0"/>
    <w:rsid w:val="00075228"/>
    <w:rsid w:val="00076905"/>
    <w:rsid w:val="00083504"/>
    <w:rsid w:val="00083671"/>
    <w:rsid w:val="0008539E"/>
    <w:rsid w:val="0008748A"/>
    <w:rsid w:val="00087579"/>
    <w:rsid w:val="00090932"/>
    <w:rsid w:val="0009564E"/>
    <w:rsid w:val="000956AA"/>
    <w:rsid w:val="00095716"/>
    <w:rsid w:val="00095B00"/>
    <w:rsid w:val="000968E7"/>
    <w:rsid w:val="000A25DA"/>
    <w:rsid w:val="000A2674"/>
    <w:rsid w:val="000A46E3"/>
    <w:rsid w:val="000A68B0"/>
    <w:rsid w:val="000A68DC"/>
    <w:rsid w:val="000B0288"/>
    <w:rsid w:val="000B12AD"/>
    <w:rsid w:val="000B20BA"/>
    <w:rsid w:val="000C2E3D"/>
    <w:rsid w:val="000C4435"/>
    <w:rsid w:val="000C7BE6"/>
    <w:rsid w:val="000D004B"/>
    <w:rsid w:val="000D146E"/>
    <w:rsid w:val="000D255F"/>
    <w:rsid w:val="000D2968"/>
    <w:rsid w:val="000D3C54"/>
    <w:rsid w:val="000D419A"/>
    <w:rsid w:val="000D6C50"/>
    <w:rsid w:val="000E0E5D"/>
    <w:rsid w:val="000E12A2"/>
    <w:rsid w:val="000E2F2B"/>
    <w:rsid w:val="000E3BE4"/>
    <w:rsid w:val="000E5601"/>
    <w:rsid w:val="000E5B35"/>
    <w:rsid w:val="000E7291"/>
    <w:rsid w:val="000E7398"/>
    <w:rsid w:val="000E7492"/>
    <w:rsid w:val="000E75F6"/>
    <w:rsid w:val="000F0726"/>
    <w:rsid w:val="000F21CD"/>
    <w:rsid w:val="000F2931"/>
    <w:rsid w:val="000F60BA"/>
    <w:rsid w:val="000F7EE8"/>
    <w:rsid w:val="0010164F"/>
    <w:rsid w:val="00103B79"/>
    <w:rsid w:val="00103F5A"/>
    <w:rsid w:val="001043C6"/>
    <w:rsid w:val="0011080B"/>
    <w:rsid w:val="00112E27"/>
    <w:rsid w:val="001133B5"/>
    <w:rsid w:val="0011342C"/>
    <w:rsid w:val="00115E89"/>
    <w:rsid w:val="001169BC"/>
    <w:rsid w:val="001172DB"/>
    <w:rsid w:val="0011791C"/>
    <w:rsid w:val="0011799D"/>
    <w:rsid w:val="00117A27"/>
    <w:rsid w:val="00120FE8"/>
    <w:rsid w:val="001215B6"/>
    <w:rsid w:val="00122E35"/>
    <w:rsid w:val="00123CA5"/>
    <w:rsid w:val="00125817"/>
    <w:rsid w:val="00125CAC"/>
    <w:rsid w:val="00126111"/>
    <w:rsid w:val="001268D7"/>
    <w:rsid w:val="00130CC9"/>
    <w:rsid w:val="0013566C"/>
    <w:rsid w:val="001360C1"/>
    <w:rsid w:val="001421CF"/>
    <w:rsid w:val="00142C75"/>
    <w:rsid w:val="00143A39"/>
    <w:rsid w:val="00144F28"/>
    <w:rsid w:val="00145147"/>
    <w:rsid w:val="00145188"/>
    <w:rsid w:val="001455A0"/>
    <w:rsid w:val="00147858"/>
    <w:rsid w:val="001502D3"/>
    <w:rsid w:val="0015114D"/>
    <w:rsid w:val="001517E4"/>
    <w:rsid w:val="00151DFA"/>
    <w:rsid w:val="00152A50"/>
    <w:rsid w:val="00152CEE"/>
    <w:rsid w:val="00152F27"/>
    <w:rsid w:val="001531DA"/>
    <w:rsid w:val="0016143F"/>
    <w:rsid w:val="00161FB3"/>
    <w:rsid w:val="00162FCD"/>
    <w:rsid w:val="00164041"/>
    <w:rsid w:val="00164320"/>
    <w:rsid w:val="0016453D"/>
    <w:rsid w:val="00165B11"/>
    <w:rsid w:val="00167FF7"/>
    <w:rsid w:val="001710BE"/>
    <w:rsid w:val="001728AD"/>
    <w:rsid w:val="00173330"/>
    <w:rsid w:val="00175F20"/>
    <w:rsid w:val="0017788A"/>
    <w:rsid w:val="00180F34"/>
    <w:rsid w:val="00181FDF"/>
    <w:rsid w:val="00183DBE"/>
    <w:rsid w:val="00183F8C"/>
    <w:rsid w:val="00184A11"/>
    <w:rsid w:val="00185294"/>
    <w:rsid w:val="00186327"/>
    <w:rsid w:val="001866BE"/>
    <w:rsid w:val="001868B2"/>
    <w:rsid w:val="0019074F"/>
    <w:rsid w:val="001909E7"/>
    <w:rsid w:val="0019306C"/>
    <w:rsid w:val="001936E4"/>
    <w:rsid w:val="001945B5"/>
    <w:rsid w:val="00194AB3"/>
    <w:rsid w:val="00195204"/>
    <w:rsid w:val="0019675D"/>
    <w:rsid w:val="00196900"/>
    <w:rsid w:val="00196D91"/>
    <w:rsid w:val="0019747E"/>
    <w:rsid w:val="001976D2"/>
    <w:rsid w:val="00197920"/>
    <w:rsid w:val="001A0EA6"/>
    <w:rsid w:val="001A2F17"/>
    <w:rsid w:val="001A577D"/>
    <w:rsid w:val="001B1F37"/>
    <w:rsid w:val="001B2EA2"/>
    <w:rsid w:val="001B548E"/>
    <w:rsid w:val="001B6C1B"/>
    <w:rsid w:val="001B7E54"/>
    <w:rsid w:val="001C010F"/>
    <w:rsid w:val="001C1800"/>
    <w:rsid w:val="001C1A61"/>
    <w:rsid w:val="001C1C7F"/>
    <w:rsid w:val="001C3BD9"/>
    <w:rsid w:val="001C3C44"/>
    <w:rsid w:val="001C5F5B"/>
    <w:rsid w:val="001C63FA"/>
    <w:rsid w:val="001C6400"/>
    <w:rsid w:val="001C64E2"/>
    <w:rsid w:val="001D1CBF"/>
    <w:rsid w:val="001D29BF"/>
    <w:rsid w:val="001D2E17"/>
    <w:rsid w:val="001D3A88"/>
    <w:rsid w:val="001D4C7B"/>
    <w:rsid w:val="001D50AF"/>
    <w:rsid w:val="001E0750"/>
    <w:rsid w:val="001E1C8D"/>
    <w:rsid w:val="001E2613"/>
    <w:rsid w:val="001E35D2"/>
    <w:rsid w:val="001E5CB5"/>
    <w:rsid w:val="001E7143"/>
    <w:rsid w:val="001E77A0"/>
    <w:rsid w:val="001F0609"/>
    <w:rsid w:val="001F1028"/>
    <w:rsid w:val="001F18F7"/>
    <w:rsid w:val="001F21E5"/>
    <w:rsid w:val="001F3BE7"/>
    <w:rsid w:val="001F4570"/>
    <w:rsid w:val="001F64BD"/>
    <w:rsid w:val="001F7AA9"/>
    <w:rsid w:val="001F7D16"/>
    <w:rsid w:val="001F7D87"/>
    <w:rsid w:val="002007E1"/>
    <w:rsid w:val="00201957"/>
    <w:rsid w:val="002028F6"/>
    <w:rsid w:val="00202F21"/>
    <w:rsid w:val="00203916"/>
    <w:rsid w:val="00204E1B"/>
    <w:rsid w:val="00205696"/>
    <w:rsid w:val="00210806"/>
    <w:rsid w:val="00210D97"/>
    <w:rsid w:val="00211DAA"/>
    <w:rsid w:val="00212C2F"/>
    <w:rsid w:val="00213C05"/>
    <w:rsid w:val="00213CB8"/>
    <w:rsid w:val="002149D3"/>
    <w:rsid w:val="00215CF2"/>
    <w:rsid w:val="00217EB2"/>
    <w:rsid w:val="00221A02"/>
    <w:rsid w:val="00221D88"/>
    <w:rsid w:val="0022398D"/>
    <w:rsid w:val="002252C9"/>
    <w:rsid w:val="00230C35"/>
    <w:rsid w:val="00231422"/>
    <w:rsid w:val="00232045"/>
    <w:rsid w:val="002320C8"/>
    <w:rsid w:val="00233226"/>
    <w:rsid w:val="00233A1C"/>
    <w:rsid w:val="0023455B"/>
    <w:rsid w:val="00234F74"/>
    <w:rsid w:val="00234FE4"/>
    <w:rsid w:val="00235328"/>
    <w:rsid w:val="002356F0"/>
    <w:rsid w:val="00240E23"/>
    <w:rsid w:val="00246A1A"/>
    <w:rsid w:val="00251FCE"/>
    <w:rsid w:val="002531B1"/>
    <w:rsid w:val="0025380C"/>
    <w:rsid w:val="00254BF3"/>
    <w:rsid w:val="002601E8"/>
    <w:rsid w:val="00260A33"/>
    <w:rsid w:val="00260CFE"/>
    <w:rsid w:val="0026166B"/>
    <w:rsid w:val="0026175A"/>
    <w:rsid w:val="00262CCF"/>
    <w:rsid w:val="00262E37"/>
    <w:rsid w:val="0026368F"/>
    <w:rsid w:val="00263946"/>
    <w:rsid w:val="00264E80"/>
    <w:rsid w:val="002653CB"/>
    <w:rsid w:val="002662BE"/>
    <w:rsid w:val="00267B20"/>
    <w:rsid w:val="00271A24"/>
    <w:rsid w:val="002727E2"/>
    <w:rsid w:val="002727F2"/>
    <w:rsid w:val="00276418"/>
    <w:rsid w:val="002766E1"/>
    <w:rsid w:val="00277D55"/>
    <w:rsid w:val="00277DE9"/>
    <w:rsid w:val="00280742"/>
    <w:rsid w:val="00281A43"/>
    <w:rsid w:val="002870F4"/>
    <w:rsid w:val="002931B8"/>
    <w:rsid w:val="00293432"/>
    <w:rsid w:val="00293797"/>
    <w:rsid w:val="002A119B"/>
    <w:rsid w:val="002A1596"/>
    <w:rsid w:val="002A39FC"/>
    <w:rsid w:val="002A477A"/>
    <w:rsid w:val="002A52DB"/>
    <w:rsid w:val="002A5373"/>
    <w:rsid w:val="002A61D8"/>
    <w:rsid w:val="002A7451"/>
    <w:rsid w:val="002B0BEE"/>
    <w:rsid w:val="002B12B9"/>
    <w:rsid w:val="002B1C35"/>
    <w:rsid w:val="002B2BCB"/>
    <w:rsid w:val="002B33F4"/>
    <w:rsid w:val="002B351D"/>
    <w:rsid w:val="002B45E4"/>
    <w:rsid w:val="002B4A70"/>
    <w:rsid w:val="002B6C88"/>
    <w:rsid w:val="002C11C3"/>
    <w:rsid w:val="002C33FD"/>
    <w:rsid w:val="002C3F54"/>
    <w:rsid w:val="002C6308"/>
    <w:rsid w:val="002C7E20"/>
    <w:rsid w:val="002D16DB"/>
    <w:rsid w:val="002D29B7"/>
    <w:rsid w:val="002D6F42"/>
    <w:rsid w:val="002D75D7"/>
    <w:rsid w:val="002E22A3"/>
    <w:rsid w:val="002E34A8"/>
    <w:rsid w:val="002E3C9C"/>
    <w:rsid w:val="002E7402"/>
    <w:rsid w:val="002E743E"/>
    <w:rsid w:val="002F0868"/>
    <w:rsid w:val="002F0A63"/>
    <w:rsid w:val="002F18EC"/>
    <w:rsid w:val="002F3E1F"/>
    <w:rsid w:val="002F3FA9"/>
    <w:rsid w:val="002F4638"/>
    <w:rsid w:val="002F47B1"/>
    <w:rsid w:val="002F56D7"/>
    <w:rsid w:val="002F6351"/>
    <w:rsid w:val="002F6E9F"/>
    <w:rsid w:val="002F7378"/>
    <w:rsid w:val="00300AFD"/>
    <w:rsid w:val="00301047"/>
    <w:rsid w:val="00304AE0"/>
    <w:rsid w:val="003058A9"/>
    <w:rsid w:val="00306204"/>
    <w:rsid w:val="00310C92"/>
    <w:rsid w:val="00311726"/>
    <w:rsid w:val="00311A03"/>
    <w:rsid w:val="00311EF2"/>
    <w:rsid w:val="00311F46"/>
    <w:rsid w:val="00321BF3"/>
    <w:rsid w:val="003222DE"/>
    <w:rsid w:val="00323A14"/>
    <w:rsid w:val="00326E25"/>
    <w:rsid w:val="00327C26"/>
    <w:rsid w:val="0033114F"/>
    <w:rsid w:val="00332590"/>
    <w:rsid w:val="0033375D"/>
    <w:rsid w:val="003341F6"/>
    <w:rsid w:val="00334FD6"/>
    <w:rsid w:val="0033778F"/>
    <w:rsid w:val="00337C4B"/>
    <w:rsid w:val="00340915"/>
    <w:rsid w:val="00340C08"/>
    <w:rsid w:val="00340C89"/>
    <w:rsid w:val="0034101B"/>
    <w:rsid w:val="00341EAD"/>
    <w:rsid w:val="0034335F"/>
    <w:rsid w:val="0034452B"/>
    <w:rsid w:val="00344AA8"/>
    <w:rsid w:val="00345E08"/>
    <w:rsid w:val="00350386"/>
    <w:rsid w:val="003520BC"/>
    <w:rsid w:val="003530CC"/>
    <w:rsid w:val="00353342"/>
    <w:rsid w:val="00353EE8"/>
    <w:rsid w:val="0035503B"/>
    <w:rsid w:val="00357AB2"/>
    <w:rsid w:val="0036126F"/>
    <w:rsid w:val="0036236D"/>
    <w:rsid w:val="0036516E"/>
    <w:rsid w:val="0036648C"/>
    <w:rsid w:val="0036699F"/>
    <w:rsid w:val="00366FD6"/>
    <w:rsid w:val="00370D90"/>
    <w:rsid w:val="00371730"/>
    <w:rsid w:val="0037462A"/>
    <w:rsid w:val="00376214"/>
    <w:rsid w:val="003764C4"/>
    <w:rsid w:val="00376D7D"/>
    <w:rsid w:val="0038013C"/>
    <w:rsid w:val="0038064F"/>
    <w:rsid w:val="003807E6"/>
    <w:rsid w:val="003829D3"/>
    <w:rsid w:val="003854A7"/>
    <w:rsid w:val="003859E4"/>
    <w:rsid w:val="00387C73"/>
    <w:rsid w:val="00390678"/>
    <w:rsid w:val="003907CF"/>
    <w:rsid w:val="00395D8B"/>
    <w:rsid w:val="003966FD"/>
    <w:rsid w:val="003A004A"/>
    <w:rsid w:val="003A0A71"/>
    <w:rsid w:val="003A0D28"/>
    <w:rsid w:val="003A0E43"/>
    <w:rsid w:val="003A0F8D"/>
    <w:rsid w:val="003A226A"/>
    <w:rsid w:val="003A3735"/>
    <w:rsid w:val="003A3C95"/>
    <w:rsid w:val="003B0813"/>
    <w:rsid w:val="003B159B"/>
    <w:rsid w:val="003B1D01"/>
    <w:rsid w:val="003B2710"/>
    <w:rsid w:val="003B30B6"/>
    <w:rsid w:val="003B5DA9"/>
    <w:rsid w:val="003B6FED"/>
    <w:rsid w:val="003C0561"/>
    <w:rsid w:val="003C0C3F"/>
    <w:rsid w:val="003C1DF8"/>
    <w:rsid w:val="003C259D"/>
    <w:rsid w:val="003C4551"/>
    <w:rsid w:val="003C45CD"/>
    <w:rsid w:val="003C5329"/>
    <w:rsid w:val="003D00B3"/>
    <w:rsid w:val="003D078B"/>
    <w:rsid w:val="003D23D7"/>
    <w:rsid w:val="003D2D50"/>
    <w:rsid w:val="003D2E34"/>
    <w:rsid w:val="003D3021"/>
    <w:rsid w:val="003D3613"/>
    <w:rsid w:val="003D6715"/>
    <w:rsid w:val="003D697A"/>
    <w:rsid w:val="003D70CD"/>
    <w:rsid w:val="003D763B"/>
    <w:rsid w:val="003D77DA"/>
    <w:rsid w:val="003E0B81"/>
    <w:rsid w:val="003E1850"/>
    <w:rsid w:val="003E28B7"/>
    <w:rsid w:val="003E29D5"/>
    <w:rsid w:val="003E57D1"/>
    <w:rsid w:val="003E6ADF"/>
    <w:rsid w:val="003E6EF7"/>
    <w:rsid w:val="003F49C6"/>
    <w:rsid w:val="003F555E"/>
    <w:rsid w:val="003F614E"/>
    <w:rsid w:val="003F7502"/>
    <w:rsid w:val="003F7BA1"/>
    <w:rsid w:val="00406567"/>
    <w:rsid w:val="0040765C"/>
    <w:rsid w:val="004076E2"/>
    <w:rsid w:val="0040773D"/>
    <w:rsid w:val="00407C11"/>
    <w:rsid w:val="00410088"/>
    <w:rsid w:val="004116FB"/>
    <w:rsid w:val="00412931"/>
    <w:rsid w:val="00414A71"/>
    <w:rsid w:val="004153B6"/>
    <w:rsid w:val="00416FB1"/>
    <w:rsid w:val="00417CE4"/>
    <w:rsid w:val="00421809"/>
    <w:rsid w:val="00422048"/>
    <w:rsid w:val="00424370"/>
    <w:rsid w:val="00425776"/>
    <w:rsid w:val="00425D82"/>
    <w:rsid w:val="004261BD"/>
    <w:rsid w:val="00427873"/>
    <w:rsid w:val="00430126"/>
    <w:rsid w:val="004301D5"/>
    <w:rsid w:val="004304B8"/>
    <w:rsid w:val="00432144"/>
    <w:rsid w:val="00435E7B"/>
    <w:rsid w:val="0043627F"/>
    <w:rsid w:val="0043704E"/>
    <w:rsid w:val="00440278"/>
    <w:rsid w:val="004405DE"/>
    <w:rsid w:val="0044264F"/>
    <w:rsid w:val="00442AA5"/>
    <w:rsid w:val="0044332E"/>
    <w:rsid w:val="00444E84"/>
    <w:rsid w:val="0044667C"/>
    <w:rsid w:val="00446C4C"/>
    <w:rsid w:val="004514C8"/>
    <w:rsid w:val="00451F87"/>
    <w:rsid w:val="00452906"/>
    <w:rsid w:val="004529DD"/>
    <w:rsid w:val="00452DAC"/>
    <w:rsid w:val="00453850"/>
    <w:rsid w:val="00454EB1"/>
    <w:rsid w:val="004565BC"/>
    <w:rsid w:val="004576A5"/>
    <w:rsid w:val="00460FA1"/>
    <w:rsid w:val="00462143"/>
    <w:rsid w:val="0046322F"/>
    <w:rsid w:val="004666E1"/>
    <w:rsid w:val="0046734F"/>
    <w:rsid w:val="004720CB"/>
    <w:rsid w:val="004728DF"/>
    <w:rsid w:val="00473AA0"/>
    <w:rsid w:val="0047455F"/>
    <w:rsid w:val="00474C54"/>
    <w:rsid w:val="004765D1"/>
    <w:rsid w:val="004767A9"/>
    <w:rsid w:val="00476BD5"/>
    <w:rsid w:val="00480137"/>
    <w:rsid w:val="00480F80"/>
    <w:rsid w:val="00480FD3"/>
    <w:rsid w:val="00481581"/>
    <w:rsid w:val="0048184E"/>
    <w:rsid w:val="00482782"/>
    <w:rsid w:val="004840FC"/>
    <w:rsid w:val="00486195"/>
    <w:rsid w:val="004863ED"/>
    <w:rsid w:val="00486436"/>
    <w:rsid w:val="004869D0"/>
    <w:rsid w:val="00487974"/>
    <w:rsid w:val="004900F7"/>
    <w:rsid w:val="0049152D"/>
    <w:rsid w:val="00494307"/>
    <w:rsid w:val="004943AB"/>
    <w:rsid w:val="00495C7F"/>
    <w:rsid w:val="00496CFF"/>
    <w:rsid w:val="00497207"/>
    <w:rsid w:val="004A1953"/>
    <w:rsid w:val="004A28E4"/>
    <w:rsid w:val="004A2B95"/>
    <w:rsid w:val="004B0F1A"/>
    <w:rsid w:val="004B12D0"/>
    <w:rsid w:val="004C37E3"/>
    <w:rsid w:val="004C5DDC"/>
    <w:rsid w:val="004C639B"/>
    <w:rsid w:val="004C7324"/>
    <w:rsid w:val="004D0ACA"/>
    <w:rsid w:val="004D29DA"/>
    <w:rsid w:val="004D3777"/>
    <w:rsid w:val="004E166F"/>
    <w:rsid w:val="004E1E35"/>
    <w:rsid w:val="004E353D"/>
    <w:rsid w:val="004E4B54"/>
    <w:rsid w:val="004E5227"/>
    <w:rsid w:val="004E555F"/>
    <w:rsid w:val="004E6E7F"/>
    <w:rsid w:val="004F40C5"/>
    <w:rsid w:val="004F4C96"/>
    <w:rsid w:val="004F69A5"/>
    <w:rsid w:val="004F76C2"/>
    <w:rsid w:val="00500130"/>
    <w:rsid w:val="00504978"/>
    <w:rsid w:val="0050730B"/>
    <w:rsid w:val="00511BD6"/>
    <w:rsid w:val="0051428E"/>
    <w:rsid w:val="005147F3"/>
    <w:rsid w:val="00515D70"/>
    <w:rsid w:val="00517579"/>
    <w:rsid w:val="005176CE"/>
    <w:rsid w:val="005200E9"/>
    <w:rsid w:val="00522BD3"/>
    <w:rsid w:val="00523E5C"/>
    <w:rsid w:val="00524C16"/>
    <w:rsid w:val="005254B4"/>
    <w:rsid w:val="00525782"/>
    <w:rsid w:val="005267EB"/>
    <w:rsid w:val="00526A34"/>
    <w:rsid w:val="00526AAF"/>
    <w:rsid w:val="005276A6"/>
    <w:rsid w:val="00531DC8"/>
    <w:rsid w:val="00532265"/>
    <w:rsid w:val="00533A74"/>
    <w:rsid w:val="0053413C"/>
    <w:rsid w:val="00534433"/>
    <w:rsid w:val="00535449"/>
    <w:rsid w:val="00535487"/>
    <w:rsid w:val="00536839"/>
    <w:rsid w:val="00540BF2"/>
    <w:rsid w:val="0054112B"/>
    <w:rsid w:val="0054246B"/>
    <w:rsid w:val="005425CC"/>
    <w:rsid w:val="0054373A"/>
    <w:rsid w:val="005446B5"/>
    <w:rsid w:val="0054479D"/>
    <w:rsid w:val="00544E4C"/>
    <w:rsid w:val="005452B7"/>
    <w:rsid w:val="005464CA"/>
    <w:rsid w:val="00550C8A"/>
    <w:rsid w:val="00550D1E"/>
    <w:rsid w:val="00552199"/>
    <w:rsid w:val="0055331E"/>
    <w:rsid w:val="005562D8"/>
    <w:rsid w:val="00557088"/>
    <w:rsid w:val="00561B33"/>
    <w:rsid w:val="00563071"/>
    <w:rsid w:val="005652D7"/>
    <w:rsid w:val="00573390"/>
    <w:rsid w:val="005757B3"/>
    <w:rsid w:val="0057757C"/>
    <w:rsid w:val="0058145D"/>
    <w:rsid w:val="00582510"/>
    <w:rsid w:val="00582834"/>
    <w:rsid w:val="005829BF"/>
    <w:rsid w:val="00582FD9"/>
    <w:rsid w:val="00583048"/>
    <w:rsid w:val="00583845"/>
    <w:rsid w:val="00583960"/>
    <w:rsid w:val="005849A6"/>
    <w:rsid w:val="005859AF"/>
    <w:rsid w:val="00590E7B"/>
    <w:rsid w:val="00591422"/>
    <w:rsid w:val="005940E3"/>
    <w:rsid w:val="005946AF"/>
    <w:rsid w:val="005947B8"/>
    <w:rsid w:val="0059508E"/>
    <w:rsid w:val="00595137"/>
    <w:rsid w:val="00595729"/>
    <w:rsid w:val="00596591"/>
    <w:rsid w:val="005A0829"/>
    <w:rsid w:val="005A0EB2"/>
    <w:rsid w:val="005A1119"/>
    <w:rsid w:val="005A264C"/>
    <w:rsid w:val="005A3477"/>
    <w:rsid w:val="005A366C"/>
    <w:rsid w:val="005A3B0F"/>
    <w:rsid w:val="005A3B3F"/>
    <w:rsid w:val="005B1210"/>
    <w:rsid w:val="005B15F5"/>
    <w:rsid w:val="005B2378"/>
    <w:rsid w:val="005B58D2"/>
    <w:rsid w:val="005B6AD4"/>
    <w:rsid w:val="005B6B92"/>
    <w:rsid w:val="005B7284"/>
    <w:rsid w:val="005C0088"/>
    <w:rsid w:val="005C0357"/>
    <w:rsid w:val="005C0611"/>
    <w:rsid w:val="005C0980"/>
    <w:rsid w:val="005C0D65"/>
    <w:rsid w:val="005C0EE2"/>
    <w:rsid w:val="005C14A3"/>
    <w:rsid w:val="005C153A"/>
    <w:rsid w:val="005C1E43"/>
    <w:rsid w:val="005C40D0"/>
    <w:rsid w:val="005C566E"/>
    <w:rsid w:val="005D069C"/>
    <w:rsid w:val="005D179F"/>
    <w:rsid w:val="005D1EDE"/>
    <w:rsid w:val="005D489F"/>
    <w:rsid w:val="005D6DF8"/>
    <w:rsid w:val="005E200B"/>
    <w:rsid w:val="005E2355"/>
    <w:rsid w:val="005E3A3E"/>
    <w:rsid w:val="005E6CA1"/>
    <w:rsid w:val="005E702C"/>
    <w:rsid w:val="005E73C2"/>
    <w:rsid w:val="005E7C44"/>
    <w:rsid w:val="005F197A"/>
    <w:rsid w:val="005F2927"/>
    <w:rsid w:val="005F2DF7"/>
    <w:rsid w:val="005F3007"/>
    <w:rsid w:val="005F304B"/>
    <w:rsid w:val="005F5F6F"/>
    <w:rsid w:val="005F698A"/>
    <w:rsid w:val="00600538"/>
    <w:rsid w:val="00605CDD"/>
    <w:rsid w:val="00605EA7"/>
    <w:rsid w:val="0060674D"/>
    <w:rsid w:val="00606A00"/>
    <w:rsid w:val="00607A0D"/>
    <w:rsid w:val="006107CF"/>
    <w:rsid w:val="006110A4"/>
    <w:rsid w:val="0061333F"/>
    <w:rsid w:val="0061335C"/>
    <w:rsid w:val="00613FB1"/>
    <w:rsid w:val="006147B6"/>
    <w:rsid w:val="006155CA"/>
    <w:rsid w:val="0061668E"/>
    <w:rsid w:val="00616F62"/>
    <w:rsid w:val="006170F3"/>
    <w:rsid w:val="0061742C"/>
    <w:rsid w:val="006179B6"/>
    <w:rsid w:val="00621FD6"/>
    <w:rsid w:val="00624E56"/>
    <w:rsid w:val="00625A71"/>
    <w:rsid w:val="00627441"/>
    <w:rsid w:val="006316F9"/>
    <w:rsid w:val="006325B0"/>
    <w:rsid w:val="0063264C"/>
    <w:rsid w:val="006328AF"/>
    <w:rsid w:val="006331CE"/>
    <w:rsid w:val="00633980"/>
    <w:rsid w:val="00633EE8"/>
    <w:rsid w:val="006350C0"/>
    <w:rsid w:val="00636185"/>
    <w:rsid w:val="0063664A"/>
    <w:rsid w:val="0063792B"/>
    <w:rsid w:val="006425BC"/>
    <w:rsid w:val="00644904"/>
    <w:rsid w:val="00644F62"/>
    <w:rsid w:val="006451CB"/>
    <w:rsid w:val="00645383"/>
    <w:rsid w:val="00646E4E"/>
    <w:rsid w:val="0064758B"/>
    <w:rsid w:val="0064769A"/>
    <w:rsid w:val="00650546"/>
    <w:rsid w:val="006518DC"/>
    <w:rsid w:val="006519D0"/>
    <w:rsid w:val="00652836"/>
    <w:rsid w:val="0065321E"/>
    <w:rsid w:val="006533FD"/>
    <w:rsid w:val="00653D6B"/>
    <w:rsid w:val="006550B2"/>
    <w:rsid w:val="0065605D"/>
    <w:rsid w:val="006570C7"/>
    <w:rsid w:val="006577D8"/>
    <w:rsid w:val="00657B29"/>
    <w:rsid w:val="00657B50"/>
    <w:rsid w:val="006602A7"/>
    <w:rsid w:val="00660496"/>
    <w:rsid w:val="00660F14"/>
    <w:rsid w:val="0066162E"/>
    <w:rsid w:val="006617FA"/>
    <w:rsid w:val="00661B7A"/>
    <w:rsid w:val="00663325"/>
    <w:rsid w:val="006636FE"/>
    <w:rsid w:val="00664255"/>
    <w:rsid w:val="00664476"/>
    <w:rsid w:val="00664A10"/>
    <w:rsid w:val="0066541E"/>
    <w:rsid w:val="006654CA"/>
    <w:rsid w:val="00665C20"/>
    <w:rsid w:val="00673DCE"/>
    <w:rsid w:val="006749E5"/>
    <w:rsid w:val="00675C9D"/>
    <w:rsid w:val="00675DA5"/>
    <w:rsid w:val="00676165"/>
    <w:rsid w:val="00676CB1"/>
    <w:rsid w:val="00686291"/>
    <w:rsid w:val="00686FA4"/>
    <w:rsid w:val="00691E65"/>
    <w:rsid w:val="00691EA1"/>
    <w:rsid w:val="00693886"/>
    <w:rsid w:val="00694BE9"/>
    <w:rsid w:val="00696114"/>
    <w:rsid w:val="0069667F"/>
    <w:rsid w:val="00696D4A"/>
    <w:rsid w:val="006974AF"/>
    <w:rsid w:val="00697728"/>
    <w:rsid w:val="006A03C8"/>
    <w:rsid w:val="006A07EB"/>
    <w:rsid w:val="006A1279"/>
    <w:rsid w:val="006A1CD6"/>
    <w:rsid w:val="006A362D"/>
    <w:rsid w:val="006A5E39"/>
    <w:rsid w:val="006A615E"/>
    <w:rsid w:val="006A641C"/>
    <w:rsid w:val="006B048C"/>
    <w:rsid w:val="006B210C"/>
    <w:rsid w:val="006B2C4A"/>
    <w:rsid w:val="006B2D1C"/>
    <w:rsid w:val="006B35DA"/>
    <w:rsid w:val="006B53F6"/>
    <w:rsid w:val="006B655F"/>
    <w:rsid w:val="006C11BE"/>
    <w:rsid w:val="006C1F06"/>
    <w:rsid w:val="006C2DB2"/>
    <w:rsid w:val="006C43B5"/>
    <w:rsid w:val="006C5E78"/>
    <w:rsid w:val="006C615F"/>
    <w:rsid w:val="006C6E2E"/>
    <w:rsid w:val="006C773D"/>
    <w:rsid w:val="006D28A5"/>
    <w:rsid w:val="006D2F81"/>
    <w:rsid w:val="006D3518"/>
    <w:rsid w:val="006D3F0C"/>
    <w:rsid w:val="006D4494"/>
    <w:rsid w:val="006D4AFF"/>
    <w:rsid w:val="006D53EB"/>
    <w:rsid w:val="006D67E7"/>
    <w:rsid w:val="006D6A30"/>
    <w:rsid w:val="006D76DB"/>
    <w:rsid w:val="006E1599"/>
    <w:rsid w:val="006E3F66"/>
    <w:rsid w:val="006E58C8"/>
    <w:rsid w:val="006E669A"/>
    <w:rsid w:val="006E7C7B"/>
    <w:rsid w:val="006F1F44"/>
    <w:rsid w:val="006F2ADA"/>
    <w:rsid w:val="006F2AE7"/>
    <w:rsid w:val="006F2D52"/>
    <w:rsid w:val="006F3591"/>
    <w:rsid w:val="006F7B7C"/>
    <w:rsid w:val="0070002A"/>
    <w:rsid w:val="00700DAE"/>
    <w:rsid w:val="007015A1"/>
    <w:rsid w:val="0070297A"/>
    <w:rsid w:val="00704090"/>
    <w:rsid w:val="00706102"/>
    <w:rsid w:val="00711461"/>
    <w:rsid w:val="0071373D"/>
    <w:rsid w:val="00713758"/>
    <w:rsid w:val="00715907"/>
    <w:rsid w:val="00720307"/>
    <w:rsid w:val="00722D85"/>
    <w:rsid w:val="007236C0"/>
    <w:rsid w:val="00724361"/>
    <w:rsid w:val="00724564"/>
    <w:rsid w:val="007255E3"/>
    <w:rsid w:val="007265F0"/>
    <w:rsid w:val="007269E3"/>
    <w:rsid w:val="00732460"/>
    <w:rsid w:val="00733D7B"/>
    <w:rsid w:val="00735881"/>
    <w:rsid w:val="00735F13"/>
    <w:rsid w:val="007364A0"/>
    <w:rsid w:val="007408D5"/>
    <w:rsid w:val="0074154C"/>
    <w:rsid w:val="00741FDE"/>
    <w:rsid w:val="00742757"/>
    <w:rsid w:val="007430B3"/>
    <w:rsid w:val="007453E5"/>
    <w:rsid w:val="00746363"/>
    <w:rsid w:val="007464AF"/>
    <w:rsid w:val="00746C27"/>
    <w:rsid w:val="00750371"/>
    <w:rsid w:val="00750941"/>
    <w:rsid w:val="00750BF7"/>
    <w:rsid w:val="0075108D"/>
    <w:rsid w:val="007557DC"/>
    <w:rsid w:val="00760148"/>
    <w:rsid w:val="007611F3"/>
    <w:rsid w:val="00762451"/>
    <w:rsid w:val="007656EE"/>
    <w:rsid w:val="00766B87"/>
    <w:rsid w:val="00767F5A"/>
    <w:rsid w:val="00771493"/>
    <w:rsid w:val="00771A62"/>
    <w:rsid w:val="0077338A"/>
    <w:rsid w:val="00773A59"/>
    <w:rsid w:val="00774701"/>
    <w:rsid w:val="007771DC"/>
    <w:rsid w:val="00777F89"/>
    <w:rsid w:val="00782574"/>
    <w:rsid w:val="007831CE"/>
    <w:rsid w:val="0078347B"/>
    <w:rsid w:val="00784F06"/>
    <w:rsid w:val="00790B45"/>
    <w:rsid w:val="0079220D"/>
    <w:rsid w:val="00792719"/>
    <w:rsid w:val="00792749"/>
    <w:rsid w:val="007928CE"/>
    <w:rsid w:val="00792ADA"/>
    <w:rsid w:val="00793ECE"/>
    <w:rsid w:val="00796E22"/>
    <w:rsid w:val="0079778C"/>
    <w:rsid w:val="00797E1A"/>
    <w:rsid w:val="007A35C4"/>
    <w:rsid w:val="007A3CC4"/>
    <w:rsid w:val="007A4418"/>
    <w:rsid w:val="007A45F1"/>
    <w:rsid w:val="007A56FF"/>
    <w:rsid w:val="007A5B54"/>
    <w:rsid w:val="007A766F"/>
    <w:rsid w:val="007B1B31"/>
    <w:rsid w:val="007B2921"/>
    <w:rsid w:val="007B392C"/>
    <w:rsid w:val="007B4388"/>
    <w:rsid w:val="007B45BA"/>
    <w:rsid w:val="007B49CE"/>
    <w:rsid w:val="007B4E9A"/>
    <w:rsid w:val="007B5474"/>
    <w:rsid w:val="007B5E52"/>
    <w:rsid w:val="007B69A9"/>
    <w:rsid w:val="007B79BB"/>
    <w:rsid w:val="007C0298"/>
    <w:rsid w:val="007C08B0"/>
    <w:rsid w:val="007C1163"/>
    <w:rsid w:val="007C1847"/>
    <w:rsid w:val="007C2376"/>
    <w:rsid w:val="007C23F5"/>
    <w:rsid w:val="007C45B1"/>
    <w:rsid w:val="007C482F"/>
    <w:rsid w:val="007C6371"/>
    <w:rsid w:val="007C672B"/>
    <w:rsid w:val="007D2756"/>
    <w:rsid w:val="007D280C"/>
    <w:rsid w:val="007D3C02"/>
    <w:rsid w:val="007D4395"/>
    <w:rsid w:val="007D4964"/>
    <w:rsid w:val="007D49A6"/>
    <w:rsid w:val="007D4B36"/>
    <w:rsid w:val="007D70B2"/>
    <w:rsid w:val="007D7313"/>
    <w:rsid w:val="007E0FC8"/>
    <w:rsid w:val="007E12FA"/>
    <w:rsid w:val="007E1C58"/>
    <w:rsid w:val="007E1D94"/>
    <w:rsid w:val="007E29EB"/>
    <w:rsid w:val="007E2B9F"/>
    <w:rsid w:val="007E4197"/>
    <w:rsid w:val="007E59FE"/>
    <w:rsid w:val="007E5C58"/>
    <w:rsid w:val="007E6320"/>
    <w:rsid w:val="007E640E"/>
    <w:rsid w:val="007E72D7"/>
    <w:rsid w:val="007F11F4"/>
    <w:rsid w:val="007F2366"/>
    <w:rsid w:val="007F2A06"/>
    <w:rsid w:val="007F4F74"/>
    <w:rsid w:val="007F5A11"/>
    <w:rsid w:val="007F62FA"/>
    <w:rsid w:val="007F6887"/>
    <w:rsid w:val="00801520"/>
    <w:rsid w:val="008020B9"/>
    <w:rsid w:val="0080321B"/>
    <w:rsid w:val="008057DB"/>
    <w:rsid w:val="00807805"/>
    <w:rsid w:val="00810C47"/>
    <w:rsid w:val="00810DC1"/>
    <w:rsid w:val="008122E0"/>
    <w:rsid w:val="0081279E"/>
    <w:rsid w:val="008139A3"/>
    <w:rsid w:val="008139C1"/>
    <w:rsid w:val="00813A79"/>
    <w:rsid w:val="0081473C"/>
    <w:rsid w:val="0081684A"/>
    <w:rsid w:val="00816BB8"/>
    <w:rsid w:val="00817F38"/>
    <w:rsid w:val="00820E4E"/>
    <w:rsid w:val="0082207A"/>
    <w:rsid w:val="00823429"/>
    <w:rsid w:val="008309E3"/>
    <w:rsid w:val="008314BA"/>
    <w:rsid w:val="00832337"/>
    <w:rsid w:val="00832B7B"/>
    <w:rsid w:val="00832FFA"/>
    <w:rsid w:val="008347F7"/>
    <w:rsid w:val="008353FC"/>
    <w:rsid w:val="00837C2E"/>
    <w:rsid w:val="00837FDA"/>
    <w:rsid w:val="00841543"/>
    <w:rsid w:val="00841833"/>
    <w:rsid w:val="008418E3"/>
    <w:rsid w:val="00842E49"/>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608E6"/>
    <w:rsid w:val="00860B78"/>
    <w:rsid w:val="00860BCC"/>
    <w:rsid w:val="00861880"/>
    <w:rsid w:val="0086195A"/>
    <w:rsid w:val="00861B47"/>
    <w:rsid w:val="0086229E"/>
    <w:rsid w:val="00862CED"/>
    <w:rsid w:val="0086480A"/>
    <w:rsid w:val="00864CD8"/>
    <w:rsid w:val="00867F87"/>
    <w:rsid w:val="00870279"/>
    <w:rsid w:val="00870603"/>
    <w:rsid w:val="0087096F"/>
    <w:rsid w:val="008755BA"/>
    <w:rsid w:val="00881208"/>
    <w:rsid w:val="00884FC6"/>
    <w:rsid w:val="0089080C"/>
    <w:rsid w:val="00890C8E"/>
    <w:rsid w:val="00895D8D"/>
    <w:rsid w:val="008A172E"/>
    <w:rsid w:val="008A1F51"/>
    <w:rsid w:val="008A2695"/>
    <w:rsid w:val="008A33D5"/>
    <w:rsid w:val="008A45E8"/>
    <w:rsid w:val="008A5D75"/>
    <w:rsid w:val="008A7719"/>
    <w:rsid w:val="008A7A9A"/>
    <w:rsid w:val="008B0AFD"/>
    <w:rsid w:val="008B3B41"/>
    <w:rsid w:val="008B44DA"/>
    <w:rsid w:val="008B4D42"/>
    <w:rsid w:val="008B5CA8"/>
    <w:rsid w:val="008B6FB0"/>
    <w:rsid w:val="008C1AB9"/>
    <w:rsid w:val="008C32CD"/>
    <w:rsid w:val="008C4891"/>
    <w:rsid w:val="008C64BD"/>
    <w:rsid w:val="008C7A4C"/>
    <w:rsid w:val="008C7F9B"/>
    <w:rsid w:val="008D1583"/>
    <w:rsid w:val="008D38F1"/>
    <w:rsid w:val="008D509B"/>
    <w:rsid w:val="008D53A8"/>
    <w:rsid w:val="008D716B"/>
    <w:rsid w:val="008E047F"/>
    <w:rsid w:val="008E0678"/>
    <w:rsid w:val="008E110C"/>
    <w:rsid w:val="008E11F8"/>
    <w:rsid w:val="008E4D3C"/>
    <w:rsid w:val="008E4E14"/>
    <w:rsid w:val="008E7F39"/>
    <w:rsid w:val="008F0A69"/>
    <w:rsid w:val="008F102D"/>
    <w:rsid w:val="008F14A2"/>
    <w:rsid w:val="008F4D5D"/>
    <w:rsid w:val="008F7204"/>
    <w:rsid w:val="009047FC"/>
    <w:rsid w:val="0090530E"/>
    <w:rsid w:val="009058EC"/>
    <w:rsid w:val="00905CA5"/>
    <w:rsid w:val="009064C3"/>
    <w:rsid w:val="00906858"/>
    <w:rsid w:val="00906E4E"/>
    <w:rsid w:val="00907177"/>
    <w:rsid w:val="009071AD"/>
    <w:rsid w:val="00907A06"/>
    <w:rsid w:val="00907A43"/>
    <w:rsid w:val="009131C0"/>
    <w:rsid w:val="0091413D"/>
    <w:rsid w:val="009155A6"/>
    <w:rsid w:val="00916FAC"/>
    <w:rsid w:val="009175F1"/>
    <w:rsid w:val="00920DC1"/>
    <w:rsid w:val="00920F09"/>
    <w:rsid w:val="00922FA5"/>
    <w:rsid w:val="00923B5B"/>
    <w:rsid w:val="00923DD8"/>
    <w:rsid w:val="00924FEC"/>
    <w:rsid w:val="009250A2"/>
    <w:rsid w:val="00926375"/>
    <w:rsid w:val="00930551"/>
    <w:rsid w:val="00931EF1"/>
    <w:rsid w:val="00932C17"/>
    <w:rsid w:val="0093307B"/>
    <w:rsid w:val="009331B2"/>
    <w:rsid w:val="009351F3"/>
    <w:rsid w:val="00937229"/>
    <w:rsid w:val="00941C1D"/>
    <w:rsid w:val="00941EF0"/>
    <w:rsid w:val="009423AA"/>
    <w:rsid w:val="009423AC"/>
    <w:rsid w:val="00943218"/>
    <w:rsid w:val="009453A2"/>
    <w:rsid w:val="00946AB1"/>
    <w:rsid w:val="009504B8"/>
    <w:rsid w:val="009517F6"/>
    <w:rsid w:val="00953281"/>
    <w:rsid w:val="00953B8E"/>
    <w:rsid w:val="00956565"/>
    <w:rsid w:val="00957FDC"/>
    <w:rsid w:val="009601AB"/>
    <w:rsid w:val="00960D92"/>
    <w:rsid w:val="00961947"/>
    <w:rsid w:val="00962C7C"/>
    <w:rsid w:val="00962F2C"/>
    <w:rsid w:val="0096331D"/>
    <w:rsid w:val="00963579"/>
    <w:rsid w:val="00963C26"/>
    <w:rsid w:val="00963D08"/>
    <w:rsid w:val="00963E4F"/>
    <w:rsid w:val="00965CA7"/>
    <w:rsid w:val="00966160"/>
    <w:rsid w:val="009672AC"/>
    <w:rsid w:val="00967EDD"/>
    <w:rsid w:val="00971910"/>
    <w:rsid w:val="00972B8E"/>
    <w:rsid w:val="00973A55"/>
    <w:rsid w:val="00974C45"/>
    <w:rsid w:val="00975A1E"/>
    <w:rsid w:val="00975C75"/>
    <w:rsid w:val="00980B13"/>
    <w:rsid w:val="00980F6D"/>
    <w:rsid w:val="00982E2D"/>
    <w:rsid w:val="00982F94"/>
    <w:rsid w:val="00983EDA"/>
    <w:rsid w:val="00985422"/>
    <w:rsid w:val="009867CF"/>
    <w:rsid w:val="00986DCF"/>
    <w:rsid w:val="00991021"/>
    <w:rsid w:val="00992A6C"/>
    <w:rsid w:val="00992B39"/>
    <w:rsid w:val="00996DF4"/>
    <w:rsid w:val="009A02E4"/>
    <w:rsid w:val="009A0A3D"/>
    <w:rsid w:val="009A1442"/>
    <w:rsid w:val="009A1C7C"/>
    <w:rsid w:val="009A2D3A"/>
    <w:rsid w:val="009A3F87"/>
    <w:rsid w:val="009A4F82"/>
    <w:rsid w:val="009A5325"/>
    <w:rsid w:val="009A659A"/>
    <w:rsid w:val="009A67B4"/>
    <w:rsid w:val="009A7570"/>
    <w:rsid w:val="009B475F"/>
    <w:rsid w:val="009B4A1E"/>
    <w:rsid w:val="009C0E14"/>
    <w:rsid w:val="009C1DA6"/>
    <w:rsid w:val="009C32A2"/>
    <w:rsid w:val="009C3472"/>
    <w:rsid w:val="009C6B17"/>
    <w:rsid w:val="009D2013"/>
    <w:rsid w:val="009D203D"/>
    <w:rsid w:val="009D558F"/>
    <w:rsid w:val="009E0477"/>
    <w:rsid w:val="009E0E03"/>
    <w:rsid w:val="009E12AC"/>
    <w:rsid w:val="009E1533"/>
    <w:rsid w:val="009E196E"/>
    <w:rsid w:val="009E1CB5"/>
    <w:rsid w:val="009E32E0"/>
    <w:rsid w:val="009E40D0"/>
    <w:rsid w:val="009E4365"/>
    <w:rsid w:val="009E4C53"/>
    <w:rsid w:val="009E52D8"/>
    <w:rsid w:val="009E5AB1"/>
    <w:rsid w:val="009E5CBB"/>
    <w:rsid w:val="009F096D"/>
    <w:rsid w:val="009F394D"/>
    <w:rsid w:val="009F3CC4"/>
    <w:rsid w:val="009F43BE"/>
    <w:rsid w:val="009F44E0"/>
    <w:rsid w:val="009F571B"/>
    <w:rsid w:val="009F5B90"/>
    <w:rsid w:val="009F6357"/>
    <w:rsid w:val="009F6C02"/>
    <w:rsid w:val="009F74B2"/>
    <w:rsid w:val="009F7D94"/>
    <w:rsid w:val="00A0147C"/>
    <w:rsid w:val="00A01902"/>
    <w:rsid w:val="00A02DC2"/>
    <w:rsid w:val="00A03480"/>
    <w:rsid w:val="00A04AF7"/>
    <w:rsid w:val="00A070B7"/>
    <w:rsid w:val="00A11CA2"/>
    <w:rsid w:val="00A12756"/>
    <w:rsid w:val="00A13D77"/>
    <w:rsid w:val="00A1573B"/>
    <w:rsid w:val="00A15EFB"/>
    <w:rsid w:val="00A230A8"/>
    <w:rsid w:val="00A246A8"/>
    <w:rsid w:val="00A2660D"/>
    <w:rsid w:val="00A2730C"/>
    <w:rsid w:val="00A27CF3"/>
    <w:rsid w:val="00A30BC4"/>
    <w:rsid w:val="00A30C4E"/>
    <w:rsid w:val="00A32843"/>
    <w:rsid w:val="00A33131"/>
    <w:rsid w:val="00A40C00"/>
    <w:rsid w:val="00A4126E"/>
    <w:rsid w:val="00A42D32"/>
    <w:rsid w:val="00A43BE4"/>
    <w:rsid w:val="00A46A63"/>
    <w:rsid w:val="00A47F91"/>
    <w:rsid w:val="00A520A0"/>
    <w:rsid w:val="00A54547"/>
    <w:rsid w:val="00A547CF"/>
    <w:rsid w:val="00A54B05"/>
    <w:rsid w:val="00A55E9E"/>
    <w:rsid w:val="00A56B65"/>
    <w:rsid w:val="00A57154"/>
    <w:rsid w:val="00A574FC"/>
    <w:rsid w:val="00A60A2E"/>
    <w:rsid w:val="00A60D3C"/>
    <w:rsid w:val="00A60F66"/>
    <w:rsid w:val="00A628C6"/>
    <w:rsid w:val="00A62AB4"/>
    <w:rsid w:val="00A63BA4"/>
    <w:rsid w:val="00A653EC"/>
    <w:rsid w:val="00A6711F"/>
    <w:rsid w:val="00A67BD6"/>
    <w:rsid w:val="00A70051"/>
    <w:rsid w:val="00A72527"/>
    <w:rsid w:val="00A727F9"/>
    <w:rsid w:val="00A72AD6"/>
    <w:rsid w:val="00A72EDD"/>
    <w:rsid w:val="00A75BF2"/>
    <w:rsid w:val="00A824D5"/>
    <w:rsid w:val="00A8270A"/>
    <w:rsid w:val="00A86745"/>
    <w:rsid w:val="00A928A8"/>
    <w:rsid w:val="00A93F20"/>
    <w:rsid w:val="00A94AAE"/>
    <w:rsid w:val="00A94C7E"/>
    <w:rsid w:val="00A9692C"/>
    <w:rsid w:val="00A97F66"/>
    <w:rsid w:val="00AA324F"/>
    <w:rsid w:val="00AA539D"/>
    <w:rsid w:val="00AA56B6"/>
    <w:rsid w:val="00AA763A"/>
    <w:rsid w:val="00AA7A54"/>
    <w:rsid w:val="00AB046D"/>
    <w:rsid w:val="00AB074C"/>
    <w:rsid w:val="00AB1416"/>
    <w:rsid w:val="00AB29C1"/>
    <w:rsid w:val="00AB50CF"/>
    <w:rsid w:val="00AC0055"/>
    <w:rsid w:val="00AC007F"/>
    <w:rsid w:val="00AC0677"/>
    <w:rsid w:val="00AC2558"/>
    <w:rsid w:val="00AC2F81"/>
    <w:rsid w:val="00AC3B25"/>
    <w:rsid w:val="00AC4DB2"/>
    <w:rsid w:val="00AC5119"/>
    <w:rsid w:val="00AC59E2"/>
    <w:rsid w:val="00AC6BA8"/>
    <w:rsid w:val="00AC711A"/>
    <w:rsid w:val="00AD046A"/>
    <w:rsid w:val="00AD258F"/>
    <w:rsid w:val="00AD3BBA"/>
    <w:rsid w:val="00AD3C09"/>
    <w:rsid w:val="00AD3C7F"/>
    <w:rsid w:val="00AD48C6"/>
    <w:rsid w:val="00AD4B16"/>
    <w:rsid w:val="00AD528D"/>
    <w:rsid w:val="00AD6C53"/>
    <w:rsid w:val="00AE433E"/>
    <w:rsid w:val="00AF1E7D"/>
    <w:rsid w:val="00AF26BD"/>
    <w:rsid w:val="00AF51F2"/>
    <w:rsid w:val="00B000EC"/>
    <w:rsid w:val="00B017D4"/>
    <w:rsid w:val="00B01EA1"/>
    <w:rsid w:val="00B03376"/>
    <w:rsid w:val="00B043A6"/>
    <w:rsid w:val="00B0560D"/>
    <w:rsid w:val="00B05895"/>
    <w:rsid w:val="00B05FC1"/>
    <w:rsid w:val="00B101C3"/>
    <w:rsid w:val="00B1049D"/>
    <w:rsid w:val="00B112A3"/>
    <w:rsid w:val="00B11A4B"/>
    <w:rsid w:val="00B120FE"/>
    <w:rsid w:val="00B12BC6"/>
    <w:rsid w:val="00B17AF0"/>
    <w:rsid w:val="00B239A7"/>
    <w:rsid w:val="00B245DB"/>
    <w:rsid w:val="00B26620"/>
    <w:rsid w:val="00B27045"/>
    <w:rsid w:val="00B27C98"/>
    <w:rsid w:val="00B300F4"/>
    <w:rsid w:val="00B30765"/>
    <w:rsid w:val="00B31DD6"/>
    <w:rsid w:val="00B32630"/>
    <w:rsid w:val="00B34CAA"/>
    <w:rsid w:val="00B412DC"/>
    <w:rsid w:val="00B41CD9"/>
    <w:rsid w:val="00B41DD3"/>
    <w:rsid w:val="00B426B4"/>
    <w:rsid w:val="00B46CCD"/>
    <w:rsid w:val="00B5039F"/>
    <w:rsid w:val="00B51FC9"/>
    <w:rsid w:val="00B5314F"/>
    <w:rsid w:val="00B54DDA"/>
    <w:rsid w:val="00B54F3A"/>
    <w:rsid w:val="00B567B2"/>
    <w:rsid w:val="00B56A7D"/>
    <w:rsid w:val="00B571FF"/>
    <w:rsid w:val="00B60946"/>
    <w:rsid w:val="00B6558E"/>
    <w:rsid w:val="00B67193"/>
    <w:rsid w:val="00B67D35"/>
    <w:rsid w:val="00B67E9F"/>
    <w:rsid w:val="00B70F4B"/>
    <w:rsid w:val="00B718C4"/>
    <w:rsid w:val="00B71B75"/>
    <w:rsid w:val="00B74F18"/>
    <w:rsid w:val="00B77617"/>
    <w:rsid w:val="00B77CBF"/>
    <w:rsid w:val="00B80F2E"/>
    <w:rsid w:val="00B829AB"/>
    <w:rsid w:val="00B82F45"/>
    <w:rsid w:val="00B83405"/>
    <w:rsid w:val="00B83F20"/>
    <w:rsid w:val="00B84E6B"/>
    <w:rsid w:val="00B86A84"/>
    <w:rsid w:val="00B9018E"/>
    <w:rsid w:val="00B903A5"/>
    <w:rsid w:val="00B905C3"/>
    <w:rsid w:val="00B92054"/>
    <w:rsid w:val="00B920B7"/>
    <w:rsid w:val="00B9478E"/>
    <w:rsid w:val="00B9488C"/>
    <w:rsid w:val="00B95859"/>
    <w:rsid w:val="00B96A70"/>
    <w:rsid w:val="00B97FB6"/>
    <w:rsid w:val="00BA05ED"/>
    <w:rsid w:val="00BA062A"/>
    <w:rsid w:val="00BA46D7"/>
    <w:rsid w:val="00BA48AB"/>
    <w:rsid w:val="00BA5670"/>
    <w:rsid w:val="00BA66CE"/>
    <w:rsid w:val="00BA7712"/>
    <w:rsid w:val="00BA7B09"/>
    <w:rsid w:val="00BB2044"/>
    <w:rsid w:val="00BB432B"/>
    <w:rsid w:val="00BB4DA6"/>
    <w:rsid w:val="00BC02C5"/>
    <w:rsid w:val="00BC2CDB"/>
    <w:rsid w:val="00BC371D"/>
    <w:rsid w:val="00BC4A6E"/>
    <w:rsid w:val="00BC548D"/>
    <w:rsid w:val="00BC6356"/>
    <w:rsid w:val="00BC6621"/>
    <w:rsid w:val="00BC6D78"/>
    <w:rsid w:val="00BD0BA6"/>
    <w:rsid w:val="00BD1290"/>
    <w:rsid w:val="00BD1A8F"/>
    <w:rsid w:val="00BD24D4"/>
    <w:rsid w:val="00BD4E7A"/>
    <w:rsid w:val="00BD5E18"/>
    <w:rsid w:val="00BD6E7A"/>
    <w:rsid w:val="00BE01B3"/>
    <w:rsid w:val="00BE09B6"/>
    <w:rsid w:val="00BE3B1F"/>
    <w:rsid w:val="00BE4F7B"/>
    <w:rsid w:val="00BE5598"/>
    <w:rsid w:val="00BE5A42"/>
    <w:rsid w:val="00BE6C70"/>
    <w:rsid w:val="00BE6DA3"/>
    <w:rsid w:val="00BE7612"/>
    <w:rsid w:val="00BF109A"/>
    <w:rsid w:val="00BF3586"/>
    <w:rsid w:val="00C03BA0"/>
    <w:rsid w:val="00C078B4"/>
    <w:rsid w:val="00C07D37"/>
    <w:rsid w:val="00C1073D"/>
    <w:rsid w:val="00C123A9"/>
    <w:rsid w:val="00C131D6"/>
    <w:rsid w:val="00C13379"/>
    <w:rsid w:val="00C13F24"/>
    <w:rsid w:val="00C15DA6"/>
    <w:rsid w:val="00C165DE"/>
    <w:rsid w:val="00C214C2"/>
    <w:rsid w:val="00C25ED7"/>
    <w:rsid w:val="00C26002"/>
    <w:rsid w:val="00C26983"/>
    <w:rsid w:val="00C274C9"/>
    <w:rsid w:val="00C30622"/>
    <w:rsid w:val="00C31586"/>
    <w:rsid w:val="00C31ADD"/>
    <w:rsid w:val="00C3339F"/>
    <w:rsid w:val="00C34EA3"/>
    <w:rsid w:val="00C3551D"/>
    <w:rsid w:val="00C35FC9"/>
    <w:rsid w:val="00C3704C"/>
    <w:rsid w:val="00C377C5"/>
    <w:rsid w:val="00C43BE1"/>
    <w:rsid w:val="00C44DBD"/>
    <w:rsid w:val="00C461DC"/>
    <w:rsid w:val="00C46671"/>
    <w:rsid w:val="00C46E46"/>
    <w:rsid w:val="00C50BA4"/>
    <w:rsid w:val="00C52F3F"/>
    <w:rsid w:val="00C55615"/>
    <w:rsid w:val="00C57FA6"/>
    <w:rsid w:val="00C60DFE"/>
    <w:rsid w:val="00C611F1"/>
    <w:rsid w:val="00C616EE"/>
    <w:rsid w:val="00C63123"/>
    <w:rsid w:val="00C640E1"/>
    <w:rsid w:val="00C6449E"/>
    <w:rsid w:val="00C64727"/>
    <w:rsid w:val="00C655DD"/>
    <w:rsid w:val="00C668FA"/>
    <w:rsid w:val="00C72066"/>
    <w:rsid w:val="00C74A04"/>
    <w:rsid w:val="00C81BE8"/>
    <w:rsid w:val="00C825D1"/>
    <w:rsid w:val="00C82BDE"/>
    <w:rsid w:val="00C84386"/>
    <w:rsid w:val="00C84DA9"/>
    <w:rsid w:val="00C8690B"/>
    <w:rsid w:val="00C872CC"/>
    <w:rsid w:val="00C875A8"/>
    <w:rsid w:val="00C8771D"/>
    <w:rsid w:val="00C87997"/>
    <w:rsid w:val="00C9040C"/>
    <w:rsid w:val="00C904F3"/>
    <w:rsid w:val="00C91D12"/>
    <w:rsid w:val="00C9646E"/>
    <w:rsid w:val="00CA164D"/>
    <w:rsid w:val="00CA3BD2"/>
    <w:rsid w:val="00CA429B"/>
    <w:rsid w:val="00CA6B0F"/>
    <w:rsid w:val="00CA7768"/>
    <w:rsid w:val="00CA792E"/>
    <w:rsid w:val="00CA7EF2"/>
    <w:rsid w:val="00CB162D"/>
    <w:rsid w:val="00CB1736"/>
    <w:rsid w:val="00CB5EF9"/>
    <w:rsid w:val="00CB77E9"/>
    <w:rsid w:val="00CC0327"/>
    <w:rsid w:val="00CC1E9D"/>
    <w:rsid w:val="00CC3C57"/>
    <w:rsid w:val="00CC4EE1"/>
    <w:rsid w:val="00CC6124"/>
    <w:rsid w:val="00CC671A"/>
    <w:rsid w:val="00CC72F2"/>
    <w:rsid w:val="00CC76BC"/>
    <w:rsid w:val="00CD01B1"/>
    <w:rsid w:val="00CD07D4"/>
    <w:rsid w:val="00CD12BB"/>
    <w:rsid w:val="00CD6611"/>
    <w:rsid w:val="00CD6966"/>
    <w:rsid w:val="00CE11ED"/>
    <w:rsid w:val="00CE1291"/>
    <w:rsid w:val="00CE2583"/>
    <w:rsid w:val="00CE289E"/>
    <w:rsid w:val="00CE3A9F"/>
    <w:rsid w:val="00CE3C02"/>
    <w:rsid w:val="00CE587F"/>
    <w:rsid w:val="00CE5A82"/>
    <w:rsid w:val="00CE6ED1"/>
    <w:rsid w:val="00CE72FB"/>
    <w:rsid w:val="00CE7DF7"/>
    <w:rsid w:val="00CF16E4"/>
    <w:rsid w:val="00CF31CB"/>
    <w:rsid w:val="00CF44DA"/>
    <w:rsid w:val="00D003B0"/>
    <w:rsid w:val="00D029DE"/>
    <w:rsid w:val="00D03BD1"/>
    <w:rsid w:val="00D06D79"/>
    <w:rsid w:val="00D10277"/>
    <w:rsid w:val="00D107FE"/>
    <w:rsid w:val="00D10961"/>
    <w:rsid w:val="00D14AB0"/>
    <w:rsid w:val="00D1521D"/>
    <w:rsid w:val="00D169BB"/>
    <w:rsid w:val="00D212C5"/>
    <w:rsid w:val="00D2148D"/>
    <w:rsid w:val="00D22C7B"/>
    <w:rsid w:val="00D23904"/>
    <w:rsid w:val="00D23B55"/>
    <w:rsid w:val="00D24065"/>
    <w:rsid w:val="00D24DCE"/>
    <w:rsid w:val="00D256AC"/>
    <w:rsid w:val="00D26994"/>
    <w:rsid w:val="00D320AC"/>
    <w:rsid w:val="00D3304B"/>
    <w:rsid w:val="00D359BF"/>
    <w:rsid w:val="00D36DB4"/>
    <w:rsid w:val="00D371D3"/>
    <w:rsid w:val="00D37299"/>
    <w:rsid w:val="00D4083C"/>
    <w:rsid w:val="00D42141"/>
    <w:rsid w:val="00D42448"/>
    <w:rsid w:val="00D42D11"/>
    <w:rsid w:val="00D430A0"/>
    <w:rsid w:val="00D44EEB"/>
    <w:rsid w:val="00D45141"/>
    <w:rsid w:val="00D4564B"/>
    <w:rsid w:val="00D47251"/>
    <w:rsid w:val="00D50B05"/>
    <w:rsid w:val="00D513C2"/>
    <w:rsid w:val="00D51EB8"/>
    <w:rsid w:val="00D53469"/>
    <w:rsid w:val="00D53C4A"/>
    <w:rsid w:val="00D55B61"/>
    <w:rsid w:val="00D56420"/>
    <w:rsid w:val="00D578D6"/>
    <w:rsid w:val="00D60251"/>
    <w:rsid w:val="00D61BA1"/>
    <w:rsid w:val="00D61EC4"/>
    <w:rsid w:val="00D63B93"/>
    <w:rsid w:val="00D644F7"/>
    <w:rsid w:val="00D64D43"/>
    <w:rsid w:val="00D6533E"/>
    <w:rsid w:val="00D66304"/>
    <w:rsid w:val="00D66B6B"/>
    <w:rsid w:val="00D675A8"/>
    <w:rsid w:val="00D67794"/>
    <w:rsid w:val="00D7004B"/>
    <w:rsid w:val="00D7190C"/>
    <w:rsid w:val="00D7207F"/>
    <w:rsid w:val="00D72152"/>
    <w:rsid w:val="00D72F0A"/>
    <w:rsid w:val="00D75AFF"/>
    <w:rsid w:val="00D75EC4"/>
    <w:rsid w:val="00D7634D"/>
    <w:rsid w:val="00D830F3"/>
    <w:rsid w:val="00D84245"/>
    <w:rsid w:val="00D84264"/>
    <w:rsid w:val="00D85B2B"/>
    <w:rsid w:val="00D86727"/>
    <w:rsid w:val="00D941C7"/>
    <w:rsid w:val="00D94661"/>
    <w:rsid w:val="00D94930"/>
    <w:rsid w:val="00D95A89"/>
    <w:rsid w:val="00D95D4E"/>
    <w:rsid w:val="00D966A4"/>
    <w:rsid w:val="00D966F4"/>
    <w:rsid w:val="00D97FC7"/>
    <w:rsid w:val="00DA1558"/>
    <w:rsid w:val="00DA1891"/>
    <w:rsid w:val="00DA31A6"/>
    <w:rsid w:val="00DA3763"/>
    <w:rsid w:val="00DA6543"/>
    <w:rsid w:val="00DB0A43"/>
    <w:rsid w:val="00DB6BA8"/>
    <w:rsid w:val="00DB7F50"/>
    <w:rsid w:val="00DC0AFF"/>
    <w:rsid w:val="00DC0D5D"/>
    <w:rsid w:val="00DC0F59"/>
    <w:rsid w:val="00DC1118"/>
    <w:rsid w:val="00DC1B4D"/>
    <w:rsid w:val="00DC278C"/>
    <w:rsid w:val="00DC315C"/>
    <w:rsid w:val="00DC35F5"/>
    <w:rsid w:val="00DC3D99"/>
    <w:rsid w:val="00DC3E2F"/>
    <w:rsid w:val="00DC5106"/>
    <w:rsid w:val="00DC63B9"/>
    <w:rsid w:val="00DC7379"/>
    <w:rsid w:val="00DD08E9"/>
    <w:rsid w:val="00DD334E"/>
    <w:rsid w:val="00DD4B17"/>
    <w:rsid w:val="00DD53B0"/>
    <w:rsid w:val="00DD5B2C"/>
    <w:rsid w:val="00DD5CAA"/>
    <w:rsid w:val="00DE06BD"/>
    <w:rsid w:val="00DE1107"/>
    <w:rsid w:val="00DE2848"/>
    <w:rsid w:val="00DE3511"/>
    <w:rsid w:val="00DE3CCF"/>
    <w:rsid w:val="00DE403C"/>
    <w:rsid w:val="00DE459E"/>
    <w:rsid w:val="00DE5FE8"/>
    <w:rsid w:val="00DE66E7"/>
    <w:rsid w:val="00DE7104"/>
    <w:rsid w:val="00DF2795"/>
    <w:rsid w:val="00DF4176"/>
    <w:rsid w:val="00DF4C0F"/>
    <w:rsid w:val="00DF5045"/>
    <w:rsid w:val="00DF5BB3"/>
    <w:rsid w:val="00DF62F9"/>
    <w:rsid w:val="00DF7057"/>
    <w:rsid w:val="00DF7937"/>
    <w:rsid w:val="00E0023D"/>
    <w:rsid w:val="00E0111A"/>
    <w:rsid w:val="00E01169"/>
    <w:rsid w:val="00E02E01"/>
    <w:rsid w:val="00E04563"/>
    <w:rsid w:val="00E07309"/>
    <w:rsid w:val="00E07C98"/>
    <w:rsid w:val="00E1281A"/>
    <w:rsid w:val="00E14896"/>
    <w:rsid w:val="00E1628E"/>
    <w:rsid w:val="00E208B5"/>
    <w:rsid w:val="00E20BEE"/>
    <w:rsid w:val="00E21947"/>
    <w:rsid w:val="00E21C42"/>
    <w:rsid w:val="00E225FB"/>
    <w:rsid w:val="00E22E25"/>
    <w:rsid w:val="00E22F70"/>
    <w:rsid w:val="00E2655E"/>
    <w:rsid w:val="00E32CEB"/>
    <w:rsid w:val="00E337BC"/>
    <w:rsid w:val="00E34B24"/>
    <w:rsid w:val="00E35CAB"/>
    <w:rsid w:val="00E35CAD"/>
    <w:rsid w:val="00E37145"/>
    <w:rsid w:val="00E40019"/>
    <w:rsid w:val="00E40492"/>
    <w:rsid w:val="00E4058F"/>
    <w:rsid w:val="00E40F2A"/>
    <w:rsid w:val="00E42948"/>
    <w:rsid w:val="00E42DC1"/>
    <w:rsid w:val="00E44814"/>
    <w:rsid w:val="00E44FFF"/>
    <w:rsid w:val="00E4610E"/>
    <w:rsid w:val="00E4738F"/>
    <w:rsid w:val="00E51633"/>
    <w:rsid w:val="00E5245D"/>
    <w:rsid w:val="00E549AA"/>
    <w:rsid w:val="00E54B99"/>
    <w:rsid w:val="00E55819"/>
    <w:rsid w:val="00E560F1"/>
    <w:rsid w:val="00E6161B"/>
    <w:rsid w:val="00E61FCC"/>
    <w:rsid w:val="00E62057"/>
    <w:rsid w:val="00E6290C"/>
    <w:rsid w:val="00E62ED4"/>
    <w:rsid w:val="00E6334B"/>
    <w:rsid w:val="00E651D0"/>
    <w:rsid w:val="00E653C7"/>
    <w:rsid w:val="00E67634"/>
    <w:rsid w:val="00E701CD"/>
    <w:rsid w:val="00E731A1"/>
    <w:rsid w:val="00E81BCB"/>
    <w:rsid w:val="00E82AD6"/>
    <w:rsid w:val="00E82E2C"/>
    <w:rsid w:val="00E8477B"/>
    <w:rsid w:val="00E84C73"/>
    <w:rsid w:val="00E91F16"/>
    <w:rsid w:val="00EA0835"/>
    <w:rsid w:val="00EA12F8"/>
    <w:rsid w:val="00EA219D"/>
    <w:rsid w:val="00EA2B7E"/>
    <w:rsid w:val="00EA6CBC"/>
    <w:rsid w:val="00EB0229"/>
    <w:rsid w:val="00EB0BA2"/>
    <w:rsid w:val="00EB113C"/>
    <w:rsid w:val="00EB178D"/>
    <w:rsid w:val="00EB2177"/>
    <w:rsid w:val="00EB225D"/>
    <w:rsid w:val="00EB3C97"/>
    <w:rsid w:val="00EB497E"/>
    <w:rsid w:val="00EB658B"/>
    <w:rsid w:val="00EB69C2"/>
    <w:rsid w:val="00EB74C1"/>
    <w:rsid w:val="00EC18F1"/>
    <w:rsid w:val="00EC2B47"/>
    <w:rsid w:val="00EC2C8C"/>
    <w:rsid w:val="00EC3079"/>
    <w:rsid w:val="00EC44CD"/>
    <w:rsid w:val="00EC454B"/>
    <w:rsid w:val="00EC4D79"/>
    <w:rsid w:val="00EC511E"/>
    <w:rsid w:val="00EC5F37"/>
    <w:rsid w:val="00ED1496"/>
    <w:rsid w:val="00ED187D"/>
    <w:rsid w:val="00ED27CB"/>
    <w:rsid w:val="00ED3B99"/>
    <w:rsid w:val="00ED5530"/>
    <w:rsid w:val="00ED67F0"/>
    <w:rsid w:val="00ED7DAF"/>
    <w:rsid w:val="00ED7F88"/>
    <w:rsid w:val="00EE3498"/>
    <w:rsid w:val="00EE3BB1"/>
    <w:rsid w:val="00EE50B9"/>
    <w:rsid w:val="00EE5257"/>
    <w:rsid w:val="00EE7488"/>
    <w:rsid w:val="00EE7EA8"/>
    <w:rsid w:val="00EF04A1"/>
    <w:rsid w:val="00EF1488"/>
    <w:rsid w:val="00EF1E76"/>
    <w:rsid w:val="00EF3FF1"/>
    <w:rsid w:val="00EF4571"/>
    <w:rsid w:val="00EF564A"/>
    <w:rsid w:val="00EF778C"/>
    <w:rsid w:val="00F02D20"/>
    <w:rsid w:val="00F03EAC"/>
    <w:rsid w:val="00F0584C"/>
    <w:rsid w:val="00F05FB0"/>
    <w:rsid w:val="00F10080"/>
    <w:rsid w:val="00F113B0"/>
    <w:rsid w:val="00F1264C"/>
    <w:rsid w:val="00F1534B"/>
    <w:rsid w:val="00F16179"/>
    <w:rsid w:val="00F17F04"/>
    <w:rsid w:val="00F20246"/>
    <w:rsid w:val="00F22756"/>
    <w:rsid w:val="00F233D8"/>
    <w:rsid w:val="00F25618"/>
    <w:rsid w:val="00F2761F"/>
    <w:rsid w:val="00F312FC"/>
    <w:rsid w:val="00F31D7C"/>
    <w:rsid w:val="00F31EB6"/>
    <w:rsid w:val="00F34DC7"/>
    <w:rsid w:val="00F358A8"/>
    <w:rsid w:val="00F363B9"/>
    <w:rsid w:val="00F40BFC"/>
    <w:rsid w:val="00F41101"/>
    <w:rsid w:val="00F42C31"/>
    <w:rsid w:val="00F432B1"/>
    <w:rsid w:val="00F4350A"/>
    <w:rsid w:val="00F44A8B"/>
    <w:rsid w:val="00F45328"/>
    <w:rsid w:val="00F508A3"/>
    <w:rsid w:val="00F51096"/>
    <w:rsid w:val="00F517C3"/>
    <w:rsid w:val="00F51CD7"/>
    <w:rsid w:val="00F52075"/>
    <w:rsid w:val="00F52EEF"/>
    <w:rsid w:val="00F5330E"/>
    <w:rsid w:val="00F551D5"/>
    <w:rsid w:val="00F57548"/>
    <w:rsid w:val="00F605E4"/>
    <w:rsid w:val="00F606ED"/>
    <w:rsid w:val="00F60856"/>
    <w:rsid w:val="00F63CFD"/>
    <w:rsid w:val="00F63D21"/>
    <w:rsid w:val="00F64434"/>
    <w:rsid w:val="00F64482"/>
    <w:rsid w:val="00F64498"/>
    <w:rsid w:val="00F64579"/>
    <w:rsid w:val="00F65568"/>
    <w:rsid w:val="00F65623"/>
    <w:rsid w:val="00F65B8F"/>
    <w:rsid w:val="00F66B71"/>
    <w:rsid w:val="00F67A22"/>
    <w:rsid w:val="00F67D08"/>
    <w:rsid w:val="00F67EFB"/>
    <w:rsid w:val="00F7083B"/>
    <w:rsid w:val="00F70CBA"/>
    <w:rsid w:val="00F7168B"/>
    <w:rsid w:val="00F742F1"/>
    <w:rsid w:val="00F74832"/>
    <w:rsid w:val="00F759F4"/>
    <w:rsid w:val="00F7660E"/>
    <w:rsid w:val="00F77803"/>
    <w:rsid w:val="00F77947"/>
    <w:rsid w:val="00F805C2"/>
    <w:rsid w:val="00F810C0"/>
    <w:rsid w:val="00F81430"/>
    <w:rsid w:val="00F818E2"/>
    <w:rsid w:val="00F86DAF"/>
    <w:rsid w:val="00F90F78"/>
    <w:rsid w:val="00F92C1F"/>
    <w:rsid w:val="00F93877"/>
    <w:rsid w:val="00F93EB8"/>
    <w:rsid w:val="00F93EF3"/>
    <w:rsid w:val="00F945CD"/>
    <w:rsid w:val="00F96986"/>
    <w:rsid w:val="00FA27DF"/>
    <w:rsid w:val="00FA33A5"/>
    <w:rsid w:val="00FA4826"/>
    <w:rsid w:val="00FA4EE7"/>
    <w:rsid w:val="00FA74C7"/>
    <w:rsid w:val="00FA7CC4"/>
    <w:rsid w:val="00FB3C03"/>
    <w:rsid w:val="00FB65AE"/>
    <w:rsid w:val="00FC060E"/>
    <w:rsid w:val="00FC159E"/>
    <w:rsid w:val="00FC1EFA"/>
    <w:rsid w:val="00FC2CB8"/>
    <w:rsid w:val="00FC3698"/>
    <w:rsid w:val="00FC3E35"/>
    <w:rsid w:val="00FC429E"/>
    <w:rsid w:val="00FC42D5"/>
    <w:rsid w:val="00FC661B"/>
    <w:rsid w:val="00FC7C0C"/>
    <w:rsid w:val="00FC7FD0"/>
    <w:rsid w:val="00FD0408"/>
    <w:rsid w:val="00FD1841"/>
    <w:rsid w:val="00FD24FF"/>
    <w:rsid w:val="00FD39DE"/>
    <w:rsid w:val="00FD49D7"/>
    <w:rsid w:val="00FD6082"/>
    <w:rsid w:val="00FD69C9"/>
    <w:rsid w:val="00FD7D68"/>
    <w:rsid w:val="00FE0469"/>
    <w:rsid w:val="00FE0A11"/>
    <w:rsid w:val="00FE0D9F"/>
    <w:rsid w:val="00FE1194"/>
    <w:rsid w:val="00FE1381"/>
    <w:rsid w:val="00FE20C4"/>
    <w:rsid w:val="00FE2AF3"/>
    <w:rsid w:val="00FE3D79"/>
    <w:rsid w:val="00FE4718"/>
    <w:rsid w:val="00FE79C3"/>
    <w:rsid w:val="00FE7A1F"/>
    <w:rsid w:val="00FF1726"/>
    <w:rsid w:val="00FF34B2"/>
    <w:rsid w:val="00FF42EE"/>
    <w:rsid w:val="00FF5BB4"/>
    <w:rsid w:val="7BE64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spacing w:line="360" w:lineRule="auto"/>
      <w:jc w:val="left"/>
    </w:pPr>
    <w:rPr>
      <w:rFonts w:ascii="宋体" w:hAnsi="宋体" w:eastAsia="宋体" w:cs="Times New Roman"/>
      <w:szCs w:val="24"/>
    </w:rPr>
  </w:style>
  <w:style w:type="paragraph" w:styleId="3">
    <w:name w:val="Body Text Indent"/>
    <w:basedOn w:val="1"/>
    <w:link w:val="14"/>
    <w:qFormat/>
    <w:uiPriority w:val="0"/>
    <w:pPr>
      <w:ind w:firstLine="420"/>
    </w:pPr>
    <w:rPr>
      <w:rFonts w:ascii="Times New Roman" w:hAnsi="Times New Roman" w:eastAsia="宋体" w:cs="Times New Roman"/>
      <w:sz w:val="24"/>
      <w:szCs w:val="24"/>
    </w:rPr>
  </w:style>
  <w:style w:type="paragraph" w:styleId="4">
    <w:name w:val="Balloon Text"/>
    <w:basedOn w:val="1"/>
    <w:link w:val="10"/>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批注框文本 Char"/>
    <w:basedOn w:val="9"/>
    <w:link w:val="4"/>
    <w:semiHidden/>
    <w:qFormat/>
    <w:uiPriority w:val="99"/>
    <w:rPr>
      <w:sz w:val="18"/>
      <w:szCs w:val="18"/>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paragraph" w:customStyle="1" w:styleId="13">
    <w:name w:val="章标题"/>
    <w:next w:val="1"/>
    <w:qFormat/>
    <w:uiPriority w:val="0"/>
    <w:pPr>
      <w:spacing w:beforeLines="50" w:afterLines="50"/>
      <w:jc w:val="both"/>
      <w:outlineLvl w:val="1"/>
    </w:pPr>
    <w:rPr>
      <w:rFonts w:ascii="黑体" w:hAnsi="Times New Roman" w:eastAsia="黑体" w:cs="Times New Roman"/>
      <w:kern w:val="0"/>
      <w:sz w:val="21"/>
      <w:szCs w:val="20"/>
      <w:lang w:val="en-US" w:eastAsia="zh-CN" w:bidi="ar-SA"/>
    </w:rPr>
  </w:style>
  <w:style w:type="character" w:customStyle="1" w:styleId="14">
    <w:name w:val="正文文本缩进 Char"/>
    <w:basedOn w:val="9"/>
    <w:link w:val="3"/>
    <w:uiPriority w:val="0"/>
    <w:rPr>
      <w:rFonts w:ascii="Times New Roman" w:hAnsi="Times New Roman" w:eastAsia="宋体" w:cs="Times New Roman"/>
      <w:sz w:val="24"/>
      <w:szCs w:val="24"/>
    </w:rPr>
  </w:style>
  <w:style w:type="character" w:customStyle="1" w:styleId="15">
    <w:name w:val="批注文字 Char"/>
    <w:basedOn w:val="9"/>
    <w:link w:val="2"/>
    <w:qFormat/>
    <w:uiPriority w:val="0"/>
    <w:rPr>
      <w:rFonts w:ascii="宋体" w:hAnsi="宋体" w:eastAsia="宋体" w:cs="Times New Roman"/>
      <w:szCs w:val="24"/>
    </w:rPr>
  </w:style>
  <w:style w:type="paragraph" w:styleId="16">
    <w:name w:val="List Paragraph"/>
    <w:basedOn w:val="1"/>
    <w:qFormat/>
    <w:uiPriority w:val="34"/>
    <w:pPr>
      <w:ind w:firstLine="420" w:firstLineChars="200"/>
    </w:pPr>
  </w:style>
  <w:style w:type="paragraph" w:customStyle="1" w:styleId="17">
    <w:name w:val="段"/>
    <w:link w:val="18"/>
    <w:qFormat/>
    <w:uiPriority w:val="0"/>
    <w:pPr>
      <w:autoSpaceDE w:val="0"/>
      <w:autoSpaceDN w:val="0"/>
      <w:ind w:firstLine="200" w:firstLineChars="200"/>
      <w:jc w:val="both"/>
    </w:pPr>
    <w:rPr>
      <w:rFonts w:ascii="宋体" w:hAnsi="Times New Roman" w:eastAsia="宋体" w:cs="Times New Roman"/>
      <w:kern w:val="0"/>
      <w:sz w:val="21"/>
      <w:szCs w:val="22"/>
      <w:lang w:val="en-US" w:eastAsia="zh-CN" w:bidi="ar-SA"/>
    </w:rPr>
  </w:style>
  <w:style w:type="character" w:customStyle="1" w:styleId="18">
    <w:name w:val="段 Char"/>
    <w:link w:val="17"/>
    <w:qFormat/>
    <w:uiPriority w:val="0"/>
    <w:rPr>
      <w:rFonts w:ascii="宋体" w:hAnsi="Times New Roman" w:eastAsia="宋体" w:cs="Times New Roman"/>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2C55B-7085-467F-ABDB-CBEB33EA782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8492</Words>
  <Characters>9219</Characters>
  <Lines>68</Lines>
  <Paragraphs>19</Paragraphs>
  <TotalTime>7</TotalTime>
  <ScaleCrop>false</ScaleCrop>
  <LinksUpToDate>false</LinksUpToDate>
  <CharactersWithSpaces>9491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2022-08-03T02:17:00Z</dcterms:created>
  <dc:creator>Sky123.Org</dc:creator>
  <cp:lastModifiedBy>杨丽娟</cp:lastModifiedBy>
  <dcterms:modified xsi:type="dcterms:W3CDTF">2022-08-03T02:53:39Z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436A0A0DC2904BB9A02A7FB231C8A2C4</vt:lpwstr>
  </property>
</Properties>
</file>