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ascii="黑体" w:hAnsi="黑体" w:eastAsia="黑体"/>
          <w:color w:val="auto"/>
          <w:sz w:val="21"/>
          <w:szCs w:val="21"/>
        </w:rPr>
      </w:pPr>
      <w:r>
        <w:rPr>
          <w:rFonts w:ascii="黑体" w:hAnsi="黑体" w:eastAsia="黑体"/>
          <w:color w:val="auto"/>
          <w:sz w:val="21"/>
          <w:szCs w:val="21"/>
        </w:rPr>
        <w:t xml:space="preserve">ICS </w:t>
      </w:r>
      <w:r>
        <w:rPr>
          <w:rFonts w:hint="eastAsia" w:ascii="黑体" w:hAnsi="黑体" w:eastAsia="黑体"/>
          <w:color w:val="auto"/>
          <w:sz w:val="21"/>
          <w:szCs w:val="21"/>
        </w:rPr>
        <w:t>77</w:t>
      </w:r>
      <w:r>
        <w:rPr>
          <w:rFonts w:ascii="黑体" w:hAnsi="黑体" w:eastAsia="黑体"/>
          <w:color w:val="auto"/>
          <w:sz w:val="21"/>
          <w:szCs w:val="21"/>
        </w:rPr>
        <w:t>.</w:t>
      </w:r>
      <w:r>
        <w:rPr>
          <w:rFonts w:hint="eastAsia" w:ascii="黑体" w:hAnsi="黑体" w:eastAsia="黑体"/>
          <w:color w:val="auto"/>
          <w:sz w:val="21"/>
          <w:szCs w:val="21"/>
        </w:rPr>
        <w:t>150.30</w:t>
      </w:r>
    </w:p>
    <w:p>
      <w:pPr>
        <w:pStyle w:val="37"/>
        <w:adjustRightInd/>
        <w:spacing w:after="0" w:line="240" w:lineRule="auto"/>
        <w:rPr>
          <w:rFonts w:eastAsia="黑体"/>
          <w:color w:val="auto"/>
          <w:sz w:val="21"/>
          <w:szCs w:val="21"/>
        </w:rPr>
      </w:pPr>
      <w:r>
        <w:rPr>
          <w:rFonts w:hint="eastAsia" w:ascii="黑体" w:hAnsi="黑体" w:eastAsia="黑体"/>
          <w:color w:val="auto"/>
          <w:sz w:val="21"/>
          <w:szCs w:val="21"/>
        </w:rPr>
        <w:t xml:space="preserve">CCS H </w:t>
      </w:r>
      <w:r>
        <w:rPr>
          <w:rFonts w:ascii="黑体" w:hAnsi="黑体" w:eastAsia="黑体"/>
          <w:color w:val="auto"/>
          <w:sz w:val="21"/>
          <w:szCs w:val="21"/>
        </w:rPr>
        <w:t>01</w:t>
      </w:r>
    </w:p>
    <w:p>
      <w:pPr>
        <w:pStyle w:val="37"/>
        <w:adjustRightInd/>
        <w:spacing w:after="0" w:line="240" w:lineRule="auto"/>
        <w:rPr>
          <w:color w:val="000000" w:themeColor="text1"/>
          <w:sz w:val="32"/>
          <w:szCs w:val="32"/>
          <w14:textFill>
            <w14:solidFill>
              <w14:schemeClr w14:val="tx1"/>
            </w14:solidFill>
          </w14:textFill>
        </w:rPr>
      </w:pPr>
    </w:p>
    <w:p>
      <w:pPr>
        <w:pStyle w:val="37"/>
        <w:adjustRightInd/>
        <w:spacing w:after="0" w:line="240" w:lineRule="auto"/>
        <w:jc w:val="center"/>
        <w:rPr>
          <w:rFonts w:eastAsia="黑体"/>
          <w:color w:val="000000" w:themeColor="text1"/>
          <w:sz w:val="48"/>
          <w:szCs w:val="48"/>
          <w14:textFill>
            <w14:solidFill>
              <w14:schemeClr w14:val="tx1"/>
            </w14:solidFill>
          </w14:textFill>
        </w:rPr>
      </w:pPr>
      <w:r>
        <w:rPr>
          <w:rFonts w:eastAsia="黑体"/>
          <w:bCs/>
          <w:color w:val="000000" w:themeColor="text1"/>
          <w:sz w:val="84"/>
          <w:szCs w:val="84"/>
          <w14:textFill>
            <w14:solidFill>
              <w14:schemeClr w14:val="tx1"/>
            </w14:solidFill>
          </w14:textFill>
        </w:rPr>
        <w:t>团  体  标  准</w:t>
      </w:r>
    </w:p>
    <w:p>
      <w:pPr>
        <w:pStyle w:val="37"/>
        <w:adjustRightInd/>
        <w:spacing w:after="0" w:line="240" w:lineRule="auto"/>
        <w:jc w:val="center"/>
        <w:rPr>
          <w:rFonts w:eastAsia="黑体"/>
          <w:color w:val="000000" w:themeColor="text1"/>
          <w:sz w:val="48"/>
          <w:szCs w:val="4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0288;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14:textFill>
            <w14:solidFill>
              <w14:schemeClr w14:val="tx1"/>
            </w14:solidFill>
          </w14:textFill>
        </w:rPr>
        <w:t xml:space="preserve">                          </w:t>
      </w:r>
      <w:r>
        <w:rPr>
          <w:rFonts w:eastAsia="黑体"/>
          <w:color w:val="000000" w:themeColor="text1"/>
          <w:sz w:val="28"/>
          <w:szCs w:val="28"/>
          <w14:textFill>
            <w14:solidFill>
              <w14:schemeClr w14:val="tx1"/>
            </w14:solidFill>
          </w14:textFill>
        </w:rPr>
        <w:t>T/XXXX</w:t>
      </w:r>
      <w:r>
        <w:rPr>
          <w:rFonts w:hint="eastAsia" w:eastAsia="黑体"/>
          <w:color w:val="000000" w:themeColor="text1"/>
          <w:sz w:val="28"/>
          <w:szCs w:val="28"/>
          <w14:textFill>
            <w14:solidFill>
              <w14:schemeClr w14:val="tx1"/>
            </w14:solidFill>
          </w14:textFill>
        </w:rPr>
        <w:t xml:space="preserve"> xxxx</w:t>
      </w:r>
      <w:r>
        <w:rPr>
          <w:rFonts w:eastAsia="黑体"/>
          <w:color w:val="000000" w:themeColor="text1"/>
          <w:sz w:val="28"/>
          <w:szCs w:val="28"/>
          <w14:textFill>
            <w14:solidFill>
              <w14:schemeClr w14:val="tx1"/>
            </w14:solidFill>
          </w14:textFill>
        </w:rPr>
        <w:t>－</w:t>
      </w:r>
      <w:r>
        <w:rPr>
          <w:rFonts w:hint="eastAsia" w:eastAsia="黑体"/>
          <w:color w:val="000000" w:themeColor="text1"/>
          <w:sz w:val="28"/>
          <w:szCs w:val="28"/>
          <w14:textFill>
            <w14:solidFill>
              <w14:schemeClr w14:val="tx1"/>
            </w14:solidFill>
          </w14:textFill>
        </w:rPr>
        <w:t>xxxx</w:t>
      </w:r>
    </w:p>
    <w:p>
      <w:pPr>
        <w:pStyle w:val="37"/>
        <w:adjustRightInd/>
        <w:spacing w:before="240" w:after="0"/>
        <w:jc w:val="center"/>
        <w:rPr>
          <w:rFonts w:eastAsia="黑体"/>
          <w:bCs/>
          <w:color w:val="000000" w:themeColor="text1"/>
          <w:sz w:val="52"/>
          <w:szCs w:val="52"/>
          <w14:textFill>
            <w14:solidFill>
              <w14:schemeClr w14:val="tx1"/>
            </w14:solidFill>
          </w14:textFill>
        </w:rPr>
      </w:pPr>
    </w:p>
    <w:p>
      <w:pPr>
        <w:pStyle w:val="37"/>
        <w:adjustRightInd/>
        <w:spacing w:before="240" w:after="0"/>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绿色设计产品评价技术规范</w:t>
      </w:r>
    </w:p>
    <w:p>
      <w:pPr>
        <w:pStyle w:val="37"/>
        <w:adjustRightInd/>
        <w:spacing w:after="0" w:line="240" w:lineRule="auto"/>
        <w:jc w:val="center"/>
        <w:rPr>
          <w:rFonts w:eastAsia="黑体"/>
          <w:bCs/>
          <w:color w:val="000000" w:themeColor="text1"/>
          <w:sz w:val="52"/>
          <w:szCs w:val="52"/>
          <w14:textFill>
            <w14:solidFill>
              <w14:schemeClr w14:val="tx1"/>
            </w14:solidFill>
          </w14:textFill>
        </w:rPr>
      </w:pPr>
      <w:r>
        <w:rPr>
          <w:rFonts w:hint="eastAsia" w:eastAsia="黑体"/>
          <w:bCs/>
          <w:color w:val="000000" w:themeColor="text1"/>
          <w:sz w:val="52"/>
          <w:szCs w:val="52"/>
          <w14:textFill>
            <w14:solidFill>
              <w14:schemeClr w14:val="tx1"/>
            </w14:solidFill>
          </w14:textFill>
        </w:rPr>
        <w:t>铜及铜合金盘管</w:t>
      </w:r>
    </w:p>
    <w:p>
      <w:pPr>
        <w:pStyle w:val="37"/>
        <w:adjustRightInd/>
        <w:spacing w:after="0" w:line="240" w:lineRule="auto"/>
        <w:jc w:val="center"/>
        <w:rPr>
          <w:sz w:val="28"/>
          <w:szCs w:val="28"/>
        </w:rPr>
      </w:pPr>
      <w:r>
        <w:rPr>
          <w:sz w:val="28"/>
          <w:szCs w:val="28"/>
        </w:rPr>
        <w:t>Technical specification for green-design product assessment—</w:t>
      </w:r>
    </w:p>
    <w:p>
      <w:pPr>
        <w:pStyle w:val="37"/>
        <w:adjustRightInd/>
        <w:spacing w:after="0" w:line="240" w:lineRule="auto"/>
        <w:jc w:val="center"/>
        <w:rPr>
          <w:rFonts w:ascii="黑体" w:hAnsi="黑体" w:eastAsia="黑体"/>
          <w:color w:val="000000" w:themeColor="text1"/>
          <w14:textFill>
            <w14:solidFill>
              <w14:schemeClr w14:val="tx1"/>
            </w14:solidFill>
          </w14:textFill>
        </w:rPr>
      </w:pPr>
      <w:r>
        <w:rPr>
          <w:rFonts w:hint="eastAsia"/>
        </w:rPr>
        <w:t xml:space="preserve"> </w:t>
      </w:r>
      <w:r>
        <w:t xml:space="preserve">copper and copper alloy </w:t>
      </w:r>
      <w:r>
        <w:rPr>
          <w:rFonts w:hint="eastAsia"/>
        </w:rPr>
        <w:t xml:space="preserve">cool </w:t>
      </w:r>
      <w:r>
        <w:t>tube</w:t>
      </w:r>
    </w:p>
    <w:p>
      <w:pPr>
        <w:pStyle w:val="37"/>
        <w:adjustRightInd/>
        <w:spacing w:before="120" w:after="12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（预审稿）</w:t>
      </w:r>
    </w:p>
    <w:p>
      <w:pPr>
        <w:pStyle w:val="37"/>
        <w:adjustRightInd/>
        <w:spacing w:before="120" w:after="120"/>
        <w:jc w:val="center"/>
        <w:rPr>
          <w:color w:val="000000" w:themeColor="text1"/>
          <w:sz w:val="28"/>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tabs>
          <w:tab w:val="right" w:pos="9637"/>
        </w:tabs>
        <w:adjustRightInd/>
        <w:spacing w:before="120" w:after="120"/>
        <w:rPr>
          <w:rFonts w:eastAsia="黑体"/>
          <w:b/>
          <w:bCs/>
          <w:color w:val="000000" w:themeColor="text1"/>
          <w:sz w:val="28"/>
          <w:szCs w:val="28"/>
          <w14:textFill>
            <w14:solidFill>
              <w14:schemeClr w14:val="tx1"/>
            </w14:solidFill>
          </w14:textFill>
        </w:rPr>
        <w:sectPr>
          <w:pgSz w:w="11906" w:h="16838"/>
          <w:pgMar w:top="1412" w:right="1140" w:bottom="1412" w:left="1412" w:header="851" w:footer="992" w:gutter="0"/>
          <w:pgNumType w:fmt="upperRoman" w:start="1"/>
          <w:cols w:space="425" w:num="1"/>
          <w:docGrid w:type="lines" w:linePitch="312" w:charSpace="0"/>
        </w:sectPr>
      </w:pPr>
      <w:r>
        <w:rPr>
          <w:rFonts w:eastAsia="黑体"/>
          <w:color w:val="000000" w:themeColor="text1"/>
          <w:sz w:val="28"/>
          <w:szCs w:val="28"/>
          <w14:textFill>
            <w14:solidFill>
              <w14:schemeClr w14:val="tx1"/>
            </w14:solidFill>
          </w14:textFill>
        </w:rPr>
        <w:t>xxxx-xx-xx发布</w:t>
      </w:r>
      <w:r>
        <w:rPr>
          <w:rFonts w:hint="eastAsia"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xxxx-xx-xx实施</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508000</wp:posOffset>
                </wp:positionV>
                <wp:extent cx="6119495" cy="635"/>
                <wp:effectExtent l="0" t="0" r="14605" b="3746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40pt;height:0.05pt;width:481.85pt;z-index:251659264;mso-width-relative:page;mso-height-relative:page;" filled="f" stroked="t" coordsize="21600,21600" o:gfxdata="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&#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UbS1QAAAAgBAAAPAAAAAAAAAAEAIAAAACIAAABk&#10;cnMvZG93bnJldi54bWxQSwECFAAUAAAACACHTuJArTP2gtABAACwAwAADgAAAAAAAAABACAAAAAk&#10;AQAAZHJzL2Uyb0RvYy54bWxQSwUGAAAAAAYABgBZAQAAZgU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91008" behindDoc="0" locked="1" layoutInCell="1" allowOverlap="1">
                <wp:simplePos x="0" y="0"/>
                <wp:positionH relativeFrom="margin">
                  <wp:posOffset>1396365</wp:posOffset>
                </wp:positionH>
                <wp:positionV relativeFrom="margin">
                  <wp:posOffset>8173085</wp:posOffset>
                </wp:positionV>
                <wp:extent cx="3075305" cy="78613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075305" cy="786130"/>
                        </a:xfrm>
                        <a:prstGeom prst="rect">
                          <a:avLst/>
                        </a:prstGeom>
                        <a:solidFill>
                          <a:srgbClr val="FFFFFF"/>
                        </a:solidFill>
                        <a:ln>
                          <a:noFill/>
                        </a:ln>
                        <a:effectLst/>
                      </wps:spPr>
                      <wps:txbx>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9.95pt;margin-top:643.55pt;height:61.9pt;width:242.15pt;mso-position-horizontal-relative:margin;mso-position-vertical-relative:margin;z-index:251691008;mso-width-relative:page;mso-height-relative:page;" fillcolor="#FFFFFF" filled="t" stroked="f" coordsize="21600,21600" o:gfxdata="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0uryTbAAAADQEAAA8AAAAAAAAAAQAgAAAAIgAAAGRycy9kb3ducmV2LnhtbFBLAQIU&#10;ABQAAAAIAIdO4kDjWsanKQIAAD4EAAAOAAAAAAAAAAEAIAAAACoBAABkcnMvZTJvRG9jLnhtbFBL&#10;BQYAAAAABgAGAFkBAADFBQAAAAA=&#10;">
                <v:fill on="t" focussize="0,0"/>
                <v:stroke on="f"/>
                <v:imagedata o:title=""/>
                <o:lock v:ext="edit" aspectratio="f"/>
                <v:textbox inset="0mm,0mm,0mm,0mm">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v:textbox>
                <w10:anchorlock/>
              </v:shape>
            </w:pict>
          </mc:Fallback>
        </mc:AlternateContent>
      </w:r>
      <w:r>
        <w:rPr>
          <w:rFonts w:hint="eastAsia" w:eastAsia="黑体"/>
          <w:color w:val="000000" w:themeColor="text1"/>
          <w:sz w:val="28"/>
          <w14:textFill>
            <w14:solidFill>
              <w14:schemeClr w14:val="tx1"/>
            </w14:solidFill>
          </w14:textFill>
        </w:rPr>
        <w:t xml:space="preserve">                                          </w:t>
      </w:r>
    </w:p>
    <w:p>
      <w:pPr>
        <w:widowControl/>
        <w:spacing w:before="851" w:after="680"/>
        <w:rPr>
          <w:rFonts w:ascii="Times New Roman" w:hAnsi="Times New Roman" w:eastAsia="黑体"/>
          <w:color w:val="000000" w:themeColor="text1"/>
          <w:sz w:val="32"/>
          <w:szCs w:val="32"/>
          <w14:textFill>
            <w14:solidFill>
              <w14:schemeClr w14:val="tx1"/>
            </w14:solidFill>
          </w14:textFill>
        </w:rPr>
      </w:pPr>
      <w:bookmarkStart w:id="0" w:name="_Toc502323709"/>
      <w:bookmarkStart w:id="1" w:name="_Toc501375669"/>
      <w:bookmarkStart w:id="2" w:name="_Toc501375506"/>
      <w:bookmarkStart w:id="3" w:name="_Hlk505608967"/>
    </w:p>
    <w:p>
      <w:pPr>
        <w:pStyle w:val="2"/>
        <w:rPr>
          <w:color w:val="000000" w:themeColor="text1"/>
          <w:lang w:val="en-US"/>
          <w14:textFill>
            <w14:solidFill>
              <w14:schemeClr w14:val="tx1"/>
            </w14:solidFill>
          </w14:textFill>
        </w:rPr>
      </w:pPr>
      <w:bookmarkStart w:id="4" w:name="_Toc513714623"/>
      <w:bookmarkStart w:id="5" w:name="_Toc50380972"/>
      <w:r>
        <w:rPr>
          <w:color w:val="000000" w:themeColor="text1"/>
          <w14:textFill>
            <w14:solidFill>
              <w14:schemeClr w14:val="tx1"/>
            </w14:solidFill>
          </w14:textFill>
        </w:rPr>
        <w:t>前</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言</w:t>
      </w:r>
      <w:bookmarkEnd w:id="0"/>
      <w:bookmarkEnd w:id="1"/>
      <w:bookmarkEnd w:id="2"/>
      <w:bookmarkEnd w:id="4"/>
      <w:bookmarkEnd w:id="5"/>
    </w:p>
    <w:p>
      <w:pPr>
        <w:pStyle w:val="2"/>
        <w:rPr>
          <w:color w:val="000000" w:themeColor="text1"/>
          <w:lang w:val="en-US"/>
          <w14:textFill>
            <w14:solidFill>
              <w14:schemeClr w14:val="tx1"/>
            </w14:solidFill>
          </w14:textFill>
        </w:rPr>
      </w:pPr>
    </w:p>
    <w:bookmarkEnd w:id="3"/>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起草单位：金龙精密铜管集团股份有限公司、浙江海亮股份有限公司、芜湖精艺铜业有限公司</w:t>
      </w:r>
    </w:p>
    <w:p>
      <w:pPr>
        <w:ind w:firstLine="420" w:firstLineChars="200"/>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p>
    <w:p>
      <w:pPr>
        <w:pStyle w:val="2"/>
        <w:rPr>
          <w:color w:val="000000" w:themeColor="text1"/>
          <w:lang w:val="en-US"/>
          <w14:textFill>
            <w14:solidFill>
              <w14:schemeClr w14:val="tx1"/>
            </w14:solidFill>
          </w14:textFill>
        </w:rPr>
        <w:sectPr>
          <w:headerReference r:id="rId3" w:type="default"/>
          <w:footerReference r:id="rId4" w:type="default"/>
          <w:pgSz w:w="11906" w:h="16838"/>
          <w:pgMar w:top="1412" w:right="1140" w:bottom="1412" w:left="1412" w:header="851" w:footer="992" w:gutter="0"/>
          <w:pgNumType w:fmt="upperRoman" w:start="1"/>
          <w:cols w:space="425" w:num="1"/>
          <w:docGrid w:type="lines" w:linePitch="312" w:charSpace="0"/>
        </w:sectPr>
      </w:pPr>
    </w:p>
    <w:p>
      <w:pPr>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绿色设计产品评价技术规范 </w:t>
      </w:r>
    </w:p>
    <w:p>
      <w:pPr>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铜及铜合金盘管</w:t>
      </w:r>
    </w:p>
    <w:p>
      <w:pPr>
        <w:pStyle w:val="4"/>
        <w:spacing w:before="240" w:line="360" w:lineRule="auto"/>
        <w:rPr>
          <w:color w:val="000000" w:themeColor="text1"/>
          <w14:textFill>
            <w14:solidFill>
              <w14:schemeClr w14:val="tx1"/>
            </w14:solidFill>
          </w14:textFill>
        </w:rPr>
      </w:pPr>
      <w:bookmarkStart w:id="6" w:name="_Toc50380973"/>
      <w:r>
        <w:rPr>
          <w:rFonts w:ascii="Times New Roman" w:hAnsi="Times New Roman" w:eastAsia="宋体"/>
          <w:bCs w:val="0"/>
          <w:color w:val="000000" w:themeColor="text1"/>
          <w:sz w:val="24"/>
          <w:szCs w:val="24"/>
          <w:lang w:val="en-US"/>
          <w14:textFill>
            <w14:solidFill>
              <w14:schemeClr w14:val="tx1"/>
            </w14:solidFill>
          </w14:textFill>
        </w:rPr>
        <w:t>1</w:t>
      </w:r>
      <w:r>
        <w:rPr>
          <w:rFonts w:hint="eastAsia" w:ascii="Times New Roman" w:hAnsi="Times New Roman" w:eastAsia="宋体"/>
          <w:bCs w:val="0"/>
          <w:color w:val="000000" w:themeColor="text1"/>
          <w:sz w:val="24"/>
          <w:szCs w:val="24"/>
          <w:lang w:val="en-US"/>
          <w14:textFill>
            <w14:solidFill>
              <w14:schemeClr w14:val="tx1"/>
            </w14:solidFill>
          </w14:textFill>
        </w:rPr>
        <w:t xml:space="preserve"> </w:t>
      </w:r>
      <w:r>
        <w:rPr>
          <w:color w:val="000000" w:themeColor="text1"/>
          <w14:textFill>
            <w14:solidFill>
              <w14:schemeClr w14:val="tx1"/>
            </w14:solidFill>
          </w14:textFill>
        </w:rPr>
        <w:t>范围</w:t>
      </w:r>
      <w:bookmarkEnd w:id="6"/>
    </w:p>
    <w:p>
      <w:pPr>
        <w:spacing w:line="360" w:lineRule="auto"/>
        <w:ind w:firstLine="420" w:firstLineChars="200"/>
        <w:rPr>
          <w:rFonts w:ascii="宋体" w:hAnsi="宋体"/>
          <w:szCs w:val="21"/>
        </w:rPr>
      </w:pPr>
      <w:r>
        <w:rPr>
          <w:rFonts w:hint="eastAsia" w:ascii="宋体" w:hAnsi="宋体"/>
          <w:szCs w:val="21"/>
        </w:rPr>
        <w:t>本文件规定了铜及铜合金盘管绿色设计产品评价的术语和定义、评价要求、评价方法和判定依据等内容。</w:t>
      </w:r>
    </w:p>
    <w:p>
      <w:pPr>
        <w:pStyle w:val="61"/>
        <w:spacing w:line="360" w:lineRule="auto"/>
        <w:ind w:left="420" w:firstLine="0" w:firstLineChars="0"/>
        <w:rPr>
          <w:rFonts w:ascii="宋体" w:hAnsi="宋体"/>
          <w:szCs w:val="21"/>
        </w:rPr>
      </w:pPr>
      <w:r>
        <w:rPr>
          <w:rFonts w:hint="eastAsia" w:ascii="宋体" w:hAnsi="宋体"/>
          <w:szCs w:val="21"/>
        </w:rPr>
        <w:t>本文件适用于</w:t>
      </w:r>
      <w:r>
        <w:rPr>
          <w:rFonts w:hint="eastAsia"/>
          <w:szCs w:val="21"/>
        </w:rPr>
        <w:t>铜及铜合金盘管绿色设计产品的评价</w:t>
      </w:r>
      <w:r>
        <w:rPr>
          <w:rFonts w:hint="eastAsia" w:ascii="宋体" w:hAnsi="宋体"/>
          <w:szCs w:val="21"/>
        </w:rPr>
        <w:t>。</w:t>
      </w:r>
    </w:p>
    <w:p>
      <w:pPr>
        <w:pStyle w:val="61"/>
        <w:spacing w:line="360" w:lineRule="auto"/>
        <w:ind w:left="420" w:firstLine="0" w:firstLineChars="0"/>
        <w:rPr>
          <w:rFonts w:ascii="宋体" w:hAnsi="宋体"/>
          <w:szCs w:val="21"/>
        </w:rPr>
      </w:pPr>
    </w:p>
    <w:p>
      <w:pPr>
        <w:rPr>
          <w:rFonts w:ascii="黑体" w:hAnsi="黑体" w:eastAsia="黑体"/>
          <w:sz w:val="18"/>
        </w:rPr>
      </w:pPr>
      <w:r>
        <w:rPr>
          <w:rFonts w:hint="eastAsia" w:ascii="黑体" w:hAnsi="黑体" w:eastAsia="黑体"/>
          <w:sz w:val="18"/>
        </w:rPr>
        <w:t xml:space="preserve">2 </w:t>
      </w:r>
      <w:bookmarkStart w:id="7" w:name="_Toc50380974"/>
      <w:r>
        <w:rPr>
          <w:rFonts w:ascii="黑体" w:hAnsi="黑体" w:eastAsia="黑体"/>
          <w:color w:val="000000" w:themeColor="text1"/>
          <w14:textFill>
            <w14:solidFill>
              <w14:schemeClr w14:val="tx1"/>
            </w14:solidFill>
          </w14:textFill>
        </w:rPr>
        <w:t>规范性引用文件</w:t>
      </w:r>
      <w:bookmarkEnd w:id="7"/>
    </w:p>
    <w:p>
      <w:pPr>
        <w:spacing w:line="360" w:lineRule="auto"/>
        <w:ind w:firstLine="420" w:firstLineChars="200"/>
        <w:rPr>
          <w:color w:val="000000" w:themeColor="text1"/>
          <w14:textFill>
            <w14:solidFill>
              <w14:schemeClr w14:val="tx1"/>
            </w14:solidFill>
          </w14:textFill>
        </w:rPr>
      </w:pPr>
      <w:bookmarkStart w:id="8" w:name="_Hlk6908502"/>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rFonts w:ascii="宋体" w:hAnsi="宋体"/>
          <w:color w:val="000000" w:themeColor="text1"/>
          <w:szCs w:val="21"/>
          <w14:textFill>
            <w14:solidFill>
              <w14:schemeClr w14:val="tx1"/>
            </w14:solidFill>
          </w14:textFill>
        </w:rPr>
      </w:pPr>
      <w:bookmarkStart w:id="9" w:name="_Hlk110347573"/>
      <w:bookmarkStart w:id="10" w:name="_Hlk6905106"/>
      <w:r>
        <w:rPr>
          <w:rFonts w:hint="eastAsia" w:ascii="宋体" w:hAnsi="宋体"/>
          <w:color w:val="000000" w:themeColor="text1"/>
          <w:szCs w:val="21"/>
          <w14:textFill>
            <w14:solidFill>
              <w14:schemeClr w14:val="tx1"/>
            </w14:solidFill>
          </w14:textFill>
        </w:rPr>
        <w:t>GB/T 1531-2020铜及铜合金毛细管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8890-2015热交换器用铜合金无缝管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11086 铜及铜合金术语</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17791-2017空调与制冷设备用铜及铜合金无缝管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18033-2017无缝铜水管和铜气管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19849-2005电缆用无缝铜管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19850-2013导电用无缝铜管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质量管理体系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20928-2020无缝内螺纹铜管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能源管理体系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要求及使用指南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环境管理体系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要求及使用指南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25467 铜、镍、钴工业污染物排放标准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26302-2020热管用铜及铜合金无缝管</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27681 铜及铜合金熔铸冷却水零排放和循环利用规范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31574 再生铜、铝、铅、锌工业污染物排放标准</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生态设计产品评价通则</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GB/T 33000</w:t>
      </w:r>
      <w:r>
        <w:rPr>
          <w:rFonts w:ascii="宋体" w:hAnsi="宋体"/>
          <w:bCs/>
          <w:color w:val="000000" w:themeColor="text1"/>
          <w:szCs w:val="21"/>
          <w14:textFill>
            <w14:solidFill>
              <w14:schemeClr w14:val="tx1"/>
            </w14:solidFill>
          </w14:textFill>
        </w:rPr>
        <w:t>企业安全生产标准化基本规范</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GB/T 36132-2018 绿色工厂评价通则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w:t>
      </w:r>
      <w:r>
        <w:rPr>
          <w:rFonts w:hint="eastAsia" w:ascii="宋体" w:hAnsi="宋体"/>
          <w:color w:val="000000" w:themeColor="text1"/>
          <w:szCs w:val="21"/>
          <w14:textFill>
            <w14:solidFill>
              <w14:schemeClr w14:val="tx1"/>
            </w14:solidFill>
          </w14:textFill>
        </w:rPr>
        <w:t xml:space="preserve"> 45</w:t>
      </w:r>
      <w:r>
        <w:rPr>
          <w:rFonts w:ascii="宋体" w:hAnsi="宋体"/>
          <w:color w:val="000000" w:themeColor="text1"/>
          <w:szCs w:val="21"/>
          <w14:textFill>
            <w14:solidFill>
              <w14:schemeClr w14:val="tx1"/>
            </w14:solidFill>
          </w14:textFill>
        </w:rPr>
        <w:t xml:space="preserve">001 </w:t>
      </w:r>
      <w:r>
        <w:rPr>
          <w:rFonts w:hint="eastAsia" w:ascii="宋体" w:hAnsi="宋体"/>
          <w:color w:val="000000" w:themeColor="text1"/>
          <w:szCs w:val="21"/>
          <w14:textFill>
            <w14:solidFill>
              <w14:schemeClr w14:val="tx1"/>
            </w14:solidFill>
          </w14:textFill>
        </w:rPr>
        <w:t xml:space="preserve">职业健康安全管理体系 </w:t>
      </w:r>
      <w:r>
        <w:rPr>
          <w:rFonts w:ascii="宋体" w:hAnsi="宋体"/>
          <w:color w:val="000000" w:themeColor="text1"/>
          <w:szCs w:val="21"/>
          <w14:textFill>
            <w14:solidFill>
              <w14:schemeClr w14:val="tx1"/>
            </w14:solidFill>
          </w14:textFill>
        </w:rPr>
        <w:t xml:space="preserve">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XXXX铜及铜合金加工材单位产品能源消耗限额</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XXXX铜及铜合金加工产品制造生命周期评价技术规范</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YS/T XXXX 铜及铜合金管材生产绿色工厂评价要求</w:t>
      </w:r>
    </w:p>
    <w:bookmarkEnd w:id="9"/>
    <w:p>
      <w:pPr>
        <w:spacing w:line="360" w:lineRule="auto"/>
        <w:ind w:firstLine="420" w:firstLineChars="200"/>
        <w:rPr>
          <w:lang w:val="zh-CN"/>
        </w:rPr>
      </w:pPr>
    </w:p>
    <w:bookmarkEnd w:id="8"/>
    <w:bookmarkEnd w:id="10"/>
    <w:p>
      <w:pPr>
        <w:pStyle w:val="61"/>
        <w:spacing w:line="360" w:lineRule="auto"/>
        <w:ind w:firstLine="0" w:firstLineChars="0"/>
        <w:rPr>
          <w:rFonts w:ascii="黑体" w:hAnsi="黑体" w:eastAsia="黑体"/>
          <w:color w:val="000000" w:themeColor="text1"/>
          <w14:textFill>
            <w14:solidFill>
              <w14:schemeClr w14:val="tx1"/>
            </w14:solidFill>
          </w14:textFill>
        </w:rPr>
      </w:pPr>
      <w:bookmarkStart w:id="11" w:name="_Toc50380975"/>
      <w:r>
        <w:rPr>
          <w:rFonts w:hint="eastAsia" w:ascii="黑体" w:hAnsi="黑体" w:eastAsia="黑体"/>
          <w:color w:val="000000" w:themeColor="text1"/>
          <w14:textFill>
            <w14:solidFill>
              <w14:schemeClr w14:val="tx1"/>
            </w14:solidFill>
          </w14:textFill>
        </w:rPr>
        <w:t xml:space="preserve">3 </w:t>
      </w:r>
      <w:r>
        <w:rPr>
          <w:rFonts w:ascii="黑体" w:hAnsi="黑体" w:eastAsia="黑体"/>
          <w:color w:val="000000" w:themeColor="text1"/>
          <w14:textFill>
            <w14:solidFill>
              <w14:schemeClr w14:val="tx1"/>
            </w14:solidFill>
          </w14:textFill>
        </w:rPr>
        <w:t>术语和定义</w:t>
      </w:r>
      <w:bookmarkEnd w:id="11"/>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GB/T11086界定的</w:t>
      </w:r>
      <w:r>
        <w:rPr>
          <w:rFonts w:ascii="Times New Roman" w:hAnsi="Times New Roman"/>
          <w:color w:val="000000" w:themeColor="text1"/>
          <w:szCs w:val="21"/>
          <w14:textFill>
            <w14:solidFill>
              <w14:schemeClr w14:val="tx1"/>
            </w14:solidFill>
          </w14:textFill>
        </w:rPr>
        <w:t>术语和定义适用于本文件。</w:t>
      </w:r>
      <w:bookmarkStart w:id="12" w:name="_Toc50380976"/>
    </w:p>
    <w:p>
      <w:pPr>
        <w:spacing w:line="360" w:lineRule="auto"/>
        <w:rPr>
          <w:rFonts w:ascii="Times New Roman" w:hAnsi="Times New Roman"/>
          <w:color w:val="000000" w:themeColor="text1"/>
          <w:szCs w:val="21"/>
          <w14:textFill>
            <w14:solidFill>
              <w14:schemeClr w14:val="tx1"/>
            </w14:solidFill>
          </w14:textFill>
        </w:rPr>
      </w:pPr>
    </w:p>
    <w:p>
      <w:pPr>
        <w:pStyle w:val="61"/>
        <w:spacing w:line="360" w:lineRule="auto"/>
        <w:ind w:firstLine="0"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4 评价要求</w:t>
      </w:r>
      <w:bookmarkEnd w:id="12"/>
      <w:bookmarkStart w:id="13" w:name="_Toc50380977"/>
    </w:p>
    <w:p>
      <w:pPr>
        <w:spacing w:line="360" w:lineRule="auto"/>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4.1基本要求</w:t>
      </w:r>
      <w:bookmarkEnd w:id="13"/>
    </w:p>
    <w:p>
      <w:pPr>
        <w:pStyle w:val="61"/>
        <w:spacing w:line="360" w:lineRule="auto"/>
        <w:ind w:firstLine="0" w:firstLineChars="0"/>
        <w:rPr>
          <w:rFonts w:ascii="宋体" w:hAnsi="宋体"/>
          <w:color w:val="000000" w:themeColor="text1"/>
          <w:szCs w:val="21"/>
          <w14:textFill>
            <w14:solidFill>
              <w14:schemeClr w14:val="tx1"/>
            </w14:solidFill>
          </w14:textFill>
        </w:rPr>
      </w:pPr>
      <w:bookmarkStart w:id="14" w:name="_Hlk6909234"/>
      <w:r>
        <w:rPr>
          <w:rFonts w:hint="eastAsia" w:ascii="宋体" w:hAnsi="宋体"/>
          <w:color w:val="000000" w:themeColor="text1"/>
          <w:szCs w:val="21"/>
          <w14:textFill>
            <w14:solidFill>
              <w14:schemeClr w14:val="tx1"/>
            </w14:solidFill>
          </w14:textFill>
        </w:rPr>
        <w:t>4.1.1 企业近三年无重大质量、安全和环境事故。</w:t>
      </w:r>
    </w:p>
    <w:p>
      <w:pPr>
        <w:pStyle w:val="61"/>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4.1.2 企业安全管理应达到GB/T 33000的要求。</w:t>
      </w:r>
    </w:p>
    <w:bookmarkEnd w:id="14"/>
    <w:p>
      <w:pPr>
        <w:pStyle w:val="61"/>
        <w:spacing w:line="360" w:lineRule="auto"/>
        <w:ind w:firstLine="0" w:firstLineChars="0"/>
        <w:rPr>
          <w:rFonts w:ascii="宋体" w:hAnsi="宋体"/>
          <w:color w:val="000000" w:themeColor="text1"/>
          <w:szCs w:val="21"/>
          <w14:textFill>
            <w14:solidFill>
              <w14:schemeClr w14:val="tx1"/>
            </w14:solidFill>
          </w14:textFill>
        </w:rPr>
      </w:pPr>
      <w:bookmarkStart w:id="15" w:name="_Hlk6909301"/>
      <w:r>
        <w:rPr>
          <w:rFonts w:hint="eastAsia" w:ascii="宋体" w:hAnsi="宋体"/>
          <w:color w:val="000000" w:themeColor="text1"/>
          <w:szCs w:val="21"/>
          <w14:textFill>
            <w14:solidFill>
              <w14:schemeClr w14:val="tx1"/>
            </w14:solidFill>
          </w14:textFill>
        </w:rPr>
        <w:t>4.1.3 企业的污染物排放，应符合相关环境保护法律法规，达到国家和地方相关污染物排放标准的要求。</w:t>
      </w:r>
    </w:p>
    <w:p>
      <w:pPr>
        <w:pStyle w:val="61"/>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 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45</w:t>
      </w:r>
      <w:r>
        <w:rPr>
          <w:rFonts w:ascii="宋体" w:hAnsi="宋体"/>
          <w:color w:val="000000" w:themeColor="text1"/>
          <w:szCs w:val="21"/>
          <w14:textFill>
            <w14:solidFill>
              <w14:schemeClr w14:val="tx1"/>
            </w14:solidFill>
          </w14:textFill>
        </w:rPr>
        <w:t>001</w:t>
      </w:r>
      <w:r>
        <w:rPr>
          <w:rFonts w:hint="eastAsia" w:ascii="宋体" w:hAnsi="宋体"/>
          <w:color w:val="000000" w:themeColor="text1"/>
          <w:szCs w:val="21"/>
          <w14:textFill>
            <w14:solidFill>
              <w14:schemeClr w14:val="tx1"/>
            </w14:solidFill>
          </w14:textFill>
        </w:rPr>
        <w:t>分别建立、实施、保持并持续改进质量管理体系、能源管理体系、环境管理体系、职业健康安全管理体系</w:t>
      </w:r>
      <w:bookmarkEnd w:id="15"/>
      <w:r>
        <w:rPr>
          <w:rFonts w:hint="eastAsia" w:ascii="宋体" w:hAnsi="宋体"/>
          <w:color w:val="000000" w:themeColor="text1"/>
          <w:szCs w:val="21"/>
          <w14:textFill>
            <w14:solidFill>
              <w14:schemeClr w14:val="tx1"/>
            </w14:solidFill>
          </w14:textFill>
        </w:rPr>
        <w:t>。</w:t>
      </w:r>
    </w:p>
    <w:p>
      <w:pPr>
        <w:pStyle w:val="61"/>
        <w:spacing w:line="360" w:lineRule="auto"/>
        <w:ind w:firstLine="0" w:firstLineChars="0"/>
        <w:rPr>
          <w:rFonts w:ascii="宋体" w:hAnsi="宋体"/>
          <w:color w:val="000000" w:themeColor="text1"/>
          <w:szCs w:val="21"/>
          <w14:textFill>
            <w14:solidFill>
              <w14:schemeClr w14:val="tx1"/>
            </w14:solidFill>
          </w14:textFill>
        </w:rPr>
      </w:pPr>
      <w:bookmarkStart w:id="16" w:name="_Hlk6909520"/>
      <w:r>
        <w:rPr>
          <w:rFonts w:hint="eastAsia" w:ascii="宋体" w:hAnsi="宋体"/>
          <w:color w:val="000000" w:themeColor="text1"/>
          <w:szCs w:val="21"/>
          <w14:textFill>
            <w14:solidFill>
              <w14:schemeClr w14:val="tx1"/>
            </w14:solidFill>
          </w14:textFill>
        </w:rPr>
        <w:t>4.1.5 企业宜采用国家鼓励的先进技术和工艺，不应使用国家有关部门发布的淘汰或禁止的技术、工艺、装备及相关物质；设计、生产过程中应以节约材料为原则制定要求</w:t>
      </w:r>
      <w:bookmarkEnd w:id="16"/>
      <w:r>
        <w:rPr>
          <w:rFonts w:hint="eastAsia" w:ascii="宋体" w:hAnsi="宋体"/>
          <w:color w:val="000000" w:themeColor="text1"/>
          <w:szCs w:val="21"/>
          <w14:textFill>
            <w14:solidFill>
              <w14:schemeClr w14:val="tx1"/>
            </w14:solidFill>
          </w14:textFill>
        </w:rPr>
        <w:t>。</w:t>
      </w:r>
    </w:p>
    <w:p>
      <w:pPr>
        <w:pStyle w:val="61"/>
        <w:spacing w:line="360" w:lineRule="auto"/>
        <w:ind w:firstLine="0" w:firstLineChars="0"/>
        <w:rPr>
          <w:rFonts w:ascii="宋体" w:hAnsi="宋体"/>
          <w:color w:val="000000" w:themeColor="text1"/>
          <w:szCs w:val="21"/>
          <w14:textFill>
            <w14:solidFill>
              <w14:schemeClr w14:val="tx1"/>
            </w14:solidFill>
          </w14:textFill>
        </w:rPr>
      </w:pPr>
      <w:bookmarkStart w:id="17" w:name="_Hlk6928135"/>
      <w:r>
        <w:rPr>
          <w:rFonts w:hint="eastAsia" w:ascii="宋体" w:hAnsi="宋体"/>
          <w:color w:val="000000" w:themeColor="text1"/>
          <w:szCs w:val="21"/>
          <w14:textFill>
            <w14:solidFill>
              <w14:schemeClr w14:val="tx1"/>
            </w14:solidFill>
          </w14:textFill>
        </w:rPr>
        <w:t>4.1.6 所产生危险废物的处置应符合GB 18597相关要求。</w:t>
      </w:r>
    </w:p>
    <w:p>
      <w:pPr>
        <w:pStyle w:val="61"/>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4.1.7 所生产产品宜采用国家标准、国际标准、行业标准或团体标准，并符合相关要求。</w:t>
      </w:r>
    </w:p>
    <w:p>
      <w:pPr>
        <w:pStyle w:val="61"/>
        <w:spacing w:line="360" w:lineRule="auto"/>
        <w:ind w:firstLine="0"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4.1.8 产品包装材料应采用可循环利用或可降解材料。</w:t>
      </w:r>
    </w:p>
    <w:bookmarkEnd w:id="17"/>
    <w:p>
      <w:pPr>
        <w:pStyle w:val="4"/>
        <w:spacing w:line="360" w:lineRule="auto"/>
        <w:rPr>
          <w:color w:val="000000" w:themeColor="text1"/>
          <w14:textFill>
            <w14:solidFill>
              <w14:schemeClr w14:val="tx1"/>
            </w14:solidFill>
          </w14:textFill>
        </w:rPr>
      </w:pPr>
      <w:bookmarkStart w:id="18" w:name="_Toc50380978"/>
      <w:r>
        <w:rPr>
          <w:rFonts w:hint="eastAsia"/>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评价指标要求</w:t>
      </w:r>
      <w:bookmarkEnd w:id="18"/>
    </w:p>
    <w:p>
      <w:pPr>
        <w:spacing w:line="360" w:lineRule="auto"/>
        <w:ind w:firstLine="420" w:firstLineChars="200"/>
        <w:rPr>
          <w:rFonts w:ascii="宋体" w:hAnsi="宋体"/>
          <w:color w:val="000000" w:themeColor="text1"/>
          <w:szCs w:val="21"/>
          <w14:textFill>
            <w14:solidFill>
              <w14:schemeClr w14:val="tx1"/>
            </w14:solidFill>
          </w14:textFill>
        </w:rPr>
      </w:pPr>
      <w:bookmarkStart w:id="19" w:name="_Hlk6928801"/>
      <w:r>
        <w:rPr>
          <w:rFonts w:hint="eastAsia" w:ascii="宋体" w:hAnsi="宋体"/>
          <w:color w:val="000000" w:themeColor="text1"/>
          <w:szCs w:val="21"/>
          <w14:textFill>
            <w14:solidFill>
              <w14:schemeClr w14:val="tx1"/>
            </w14:solidFill>
          </w14:textFill>
        </w:rPr>
        <w:t>铜及铜合金盘管产品的评价指标由一级指标和二级指标组成，一级指标包括资源属性、能源属性、环境属性和产品属性，二级指标是对一级指标的内容分列，</w:t>
      </w:r>
      <w:bookmarkEnd w:id="19"/>
      <w:r>
        <w:rPr>
          <w:rFonts w:hint="eastAsia" w:ascii="宋体" w:hAnsi="宋体"/>
          <w:color w:val="000000" w:themeColor="text1"/>
          <w:szCs w:val="21"/>
          <w14:textFill>
            <w14:solidFill>
              <w14:schemeClr w14:val="tx1"/>
            </w14:solidFill>
          </w14:textFill>
        </w:rPr>
        <w:t>分别规定基准值、判定依据等要求，见表1。</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 xml:space="preserve">    铜及铜合金盘管绿色设计产品评价指标要求</w:t>
      </w:r>
    </w:p>
    <w:tbl>
      <w:tblPr>
        <w:tblStyle w:val="16"/>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34"/>
        <w:gridCol w:w="1275"/>
        <w:gridCol w:w="846"/>
        <w:gridCol w:w="719"/>
        <w:gridCol w:w="249"/>
        <w:gridCol w:w="284"/>
        <w:gridCol w:w="25"/>
        <w:gridCol w:w="652"/>
        <w:gridCol w:w="1304"/>
        <w:gridCol w:w="1563"/>
        <w:gridCol w:w="1303"/>
        <w:tblGridChange w:id="0">
          <w:tblGrid>
            <w:gridCol w:w="850"/>
            <w:gridCol w:w="17"/>
            <w:gridCol w:w="717"/>
            <w:gridCol w:w="28"/>
            <w:gridCol w:w="1247"/>
            <w:gridCol w:w="57"/>
            <w:gridCol w:w="706"/>
            <w:gridCol w:w="83"/>
            <w:gridCol w:w="719"/>
            <w:gridCol w:w="249"/>
            <w:gridCol w:w="284"/>
            <w:gridCol w:w="1981"/>
            <w:gridCol w:w="1563"/>
            <w:gridCol w:w="130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一级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2009" w:type="dxa"/>
            <w:gridSpan w:val="2"/>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二级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w:t>
            </w:r>
          </w:p>
        </w:tc>
        <w:tc>
          <w:tcPr>
            <w:tcW w:w="3233" w:type="dxa"/>
            <w:gridSpan w:val="6"/>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基准值</w:t>
            </w:r>
          </w:p>
        </w:tc>
        <w:tc>
          <w:tcPr>
            <w:tcW w:w="1563"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判定依据</w:t>
            </w:r>
          </w:p>
        </w:tc>
        <w:tc>
          <w:tcPr>
            <w:tcW w:w="1303"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资源</w:t>
            </w:r>
          </w:p>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734"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原材料</w:t>
            </w:r>
          </w:p>
        </w:tc>
        <w:tc>
          <w:tcPr>
            <w:tcW w:w="1275"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原材料损耗率</w:t>
            </w:r>
          </w:p>
        </w:tc>
        <w:tc>
          <w:tcPr>
            <w:tcW w:w="846"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719" w:type="dxa"/>
            <w:vMerge w:val="restart"/>
            <w:shd w:val="clear" w:color="auto" w:fill="auto"/>
            <w:vAlign w:val="center"/>
          </w:tcPr>
          <w:p>
            <w:pPr>
              <w:snapToGrid w:val="0"/>
              <w:ind w:firstLine="0"/>
              <w:jc w:val="center"/>
              <w:rPr>
                <w:rFonts w:ascii="Times New Roman" w:hAnsi="Times New Roman"/>
                <w:color w:val="000000" w:themeColor="text1"/>
                <w:sz w:val="18"/>
                <w:szCs w:val="18"/>
                <w14:textFill>
                  <w14:solidFill>
                    <w14:schemeClr w14:val="tx1"/>
                  </w14:solidFill>
                </w14:textFill>
              </w:rPr>
            </w:pPr>
            <w:r>
              <w:rPr>
                <w:rFonts w:ascii="Times New Roman" w:hAnsi="Times New Roman"/>
                <w:bCs/>
                <w:color w:val="000000"/>
                <w:sz w:val="18"/>
                <w:szCs w:val="18"/>
              </w:rPr>
              <w:t>紫铜</w:t>
            </w:r>
          </w:p>
        </w:tc>
        <w:tc>
          <w:tcPr>
            <w:tcW w:w="1210" w:type="dxa"/>
            <w:gridSpan w:val="4"/>
            <w:shd w:val="clear" w:color="auto" w:fill="auto"/>
            <w:vAlign w:val="center"/>
          </w:tcPr>
          <w:p>
            <w:pPr>
              <w:snapToGrid w:val="0"/>
              <w:ind w:firstLine="210"/>
              <w:jc w:val="center"/>
              <w:rPr>
                <w:rFonts w:ascii="Times New Roman" w:hAnsi="Times New Roman"/>
                <w:color w:val="000000" w:themeColor="text1"/>
                <w:sz w:val="18"/>
                <w:szCs w:val="18"/>
                <w14:textFill>
                  <w14:solidFill>
                    <w14:schemeClr w14:val="tx1"/>
                  </w14:solidFill>
                </w14:textFill>
              </w:rPr>
            </w:pPr>
            <w:r>
              <w:rPr>
                <w:rFonts w:ascii="Times New Roman" w:hAnsi="Times New Roman"/>
                <w:bCs/>
                <w:color w:val="000000"/>
                <w:sz w:val="18"/>
                <w:szCs w:val="18"/>
              </w:rPr>
              <w:t>铸轧法</w:t>
            </w:r>
          </w:p>
        </w:tc>
        <w:tc>
          <w:tcPr>
            <w:tcW w:w="1304" w:type="dxa"/>
            <w:shd w:val="clear" w:color="auto" w:fill="auto"/>
            <w:vAlign w:val="center"/>
          </w:tcPr>
          <w:p>
            <w:pPr>
              <w:snapToGrid w:val="0"/>
              <w:ind w:firstLine="210"/>
              <w:jc w:val="center"/>
              <w:rPr>
                <w:rFonts w:ascii="Times New Roman" w:hAnsi="Times New Roman"/>
                <w:color w:val="000000" w:themeColor="text1"/>
                <w:sz w:val="18"/>
                <w:szCs w:val="18"/>
                <w14:textFill>
                  <w14:solidFill>
                    <w14:schemeClr w14:val="tx1"/>
                  </w14:solidFill>
                </w14:textFill>
              </w:rPr>
            </w:pPr>
            <w:r>
              <w:rPr>
                <w:rFonts w:hint="eastAsia" w:ascii="宋体" w:hAnsi="宋体" w:cs="宋体"/>
                <w:bCs/>
                <w:color w:val="000000"/>
                <w:sz w:val="18"/>
                <w:szCs w:val="18"/>
              </w:rPr>
              <w:t>≤0.</w:t>
            </w:r>
            <w:r>
              <w:rPr>
                <w:rFonts w:ascii="宋体" w:hAnsi="宋体" w:cs="宋体"/>
                <w:bCs/>
                <w:color w:val="000000"/>
                <w:sz w:val="18"/>
                <w:szCs w:val="18"/>
              </w:rPr>
              <w:t>15</w:t>
            </w:r>
            <w:r>
              <w:rPr>
                <w:rFonts w:hint="eastAsia" w:ascii="宋体" w:hAnsi="宋体" w:cs="宋体"/>
                <w:bCs/>
                <w:color w:val="000000"/>
                <w:sz w:val="18"/>
                <w:szCs w:val="18"/>
              </w:rPr>
              <w:t>%</w:t>
            </w:r>
          </w:p>
        </w:tc>
        <w:tc>
          <w:tcPr>
            <w:tcW w:w="1563"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03"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pPr>
          </w:p>
        </w:tc>
        <w:tc>
          <w:tcPr>
            <w:tcW w:w="734" w:type="dxa"/>
            <w:vMerge w:val="continue"/>
            <w:vAlign w:val="center"/>
          </w:tcPr>
          <w:p>
            <w:pPr>
              <w:snapToGrid w:val="0"/>
              <w:jc w:val="center"/>
            </w:pPr>
          </w:p>
        </w:tc>
        <w:tc>
          <w:tcPr>
            <w:tcW w:w="1275" w:type="dxa"/>
            <w:vMerge w:val="continue"/>
            <w:shd w:val="clear" w:color="auto" w:fill="auto"/>
            <w:vAlign w:val="center"/>
          </w:tcPr>
          <w:p>
            <w:pPr>
              <w:snapToGrid w:val="0"/>
              <w:jc w:val="center"/>
            </w:pPr>
          </w:p>
        </w:tc>
        <w:tc>
          <w:tcPr>
            <w:tcW w:w="846" w:type="dxa"/>
            <w:vMerge w:val="continue"/>
            <w:shd w:val="clear" w:color="auto" w:fill="auto"/>
            <w:vAlign w:val="center"/>
          </w:tcPr>
          <w:p>
            <w:pPr>
              <w:snapToGrid w:val="0"/>
              <w:jc w:val="center"/>
            </w:pPr>
          </w:p>
        </w:tc>
        <w:tc>
          <w:tcPr>
            <w:tcW w:w="719" w:type="dxa"/>
            <w:vMerge w:val="continue"/>
            <w:shd w:val="clear" w:color="auto" w:fill="auto"/>
            <w:vAlign w:val="center"/>
          </w:tcPr>
          <w:p>
            <w:pPr>
              <w:snapToGrid w:val="0"/>
              <w:ind w:firstLine="210"/>
              <w:jc w:val="center"/>
            </w:pPr>
          </w:p>
        </w:tc>
        <w:tc>
          <w:tcPr>
            <w:tcW w:w="1210" w:type="dxa"/>
            <w:gridSpan w:val="4"/>
            <w:shd w:val="clear" w:color="auto" w:fill="auto"/>
            <w:vAlign w:val="center"/>
          </w:tcPr>
          <w:p>
            <w:pPr>
              <w:snapToGrid w:val="0"/>
              <w:ind w:firstLine="210"/>
              <w:jc w:val="center"/>
            </w:pPr>
            <w:r>
              <w:rPr>
                <w:rFonts w:ascii="Times New Roman" w:hAnsi="Times New Roman"/>
                <w:bCs/>
                <w:color w:val="000000"/>
                <w:sz w:val="18"/>
                <w:szCs w:val="18"/>
              </w:rPr>
              <w:t>挤压法</w:t>
            </w:r>
          </w:p>
        </w:tc>
        <w:tc>
          <w:tcPr>
            <w:tcW w:w="1304" w:type="dxa"/>
            <w:shd w:val="clear" w:color="auto" w:fill="auto"/>
            <w:vAlign w:val="center"/>
          </w:tcPr>
          <w:p>
            <w:pPr>
              <w:snapToGrid w:val="0"/>
              <w:ind w:firstLine="210"/>
              <w:jc w:val="center"/>
              <w:rPr>
                <w:i/>
                <w:iCs/>
                <w:color w:val="FF0000"/>
              </w:rPr>
            </w:pPr>
            <w:r>
              <w:rPr>
                <w:rFonts w:hint="eastAsia" w:ascii="宋体" w:hAnsi="宋体" w:cs="宋体"/>
                <w:bCs/>
                <w:i/>
                <w:iCs/>
                <w:color w:val="FF0000"/>
                <w:sz w:val="18"/>
                <w:szCs w:val="18"/>
              </w:rPr>
              <w:t>≤</w:t>
            </w:r>
            <w:r>
              <w:rPr>
                <w:rFonts w:ascii="宋体" w:hAnsi="宋体" w:cs="宋体"/>
                <w:bCs/>
                <w:i/>
                <w:iCs/>
                <w:color w:val="FF0000"/>
                <w:sz w:val="18"/>
                <w:szCs w:val="18"/>
              </w:rPr>
              <w:t>1.60%</w:t>
            </w:r>
          </w:p>
        </w:tc>
        <w:tc>
          <w:tcPr>
            <w:tcW w:w="1563" w:type="dxa"/>
            <w:vMerge w:val="continue"/>
            <w:shd w:val="clear" w:color="auto" w:fill="auto"/>
            <w:vAlign w:val="center"/>
          </w:tcPr>
          <w:p>
            <w:pPr>
              <w:snapToGrid w:val="0"/>
              <w:jc w:val="center"/>
            </w:pPr>
          </w:p>
        </w:tc>
        <w:tc>
          <w:tcPr>
            <w:tcW w:w="1303"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pPr>
          </w:p>
        </w:tc>
        <w:tc>
          <w:tcPr>
            <w:tcW w:w="734" w:type="dxa"/>
            <w:vMerge w:val="continue"/>
            <w:vAlign w:val="center"/>
          </w:tcPr>
          <w:p>
            <w:pPr>
              <w:snapToGrid w:val="0"/>
              <w:jc w:val="center"/>
            </w:pPr>
          </w:p>
        </w:tc>
        <w:tc>
          <w:tcPr>
            <w:tcW w:w="1275" w:type="dxa"/>
            <w:vMerge w:val="continue"/>
            <w:shd w:val="clear" w:color="auto" w:fill="auto"/>
            <w:vAlign w:val="center"/>
          </w:tcPr>
          <w:p>
            <w:pPr>
              <w:snapToGrid w:val="0"/>
              <w:jc w:val="center"/>
            </w:pPr>
          </w:p>
        </w:tc>
        <w:tc>
          <w:tcPr>
            <w:tcW w:w="846" w:type="dxa"/>
            <w:vMerge w:val="continue"/>
            <w:shd w:val="clear" w:color="auto" w:fill="auto"/>
            <w:vAlign w:val="center"/>
          </w:tcPr>
          <w:p>
            <w:pPr>
              <w:snapToGrid w:val="0"/>
              <w:jc w:val="center"/>
            </w:pPr>
          </w:p>
        </w:tc>
        <w:tc>
          <w:tcPr>
            <w:tcW w:w="1929" w:type="dxa"/>
            <w:gridSpan w:val="5"/>
            <w:shd w:val="clear" w:color="auto" w:fill="auto"/>
            <w:vAlign w:val="center"/>
          </w:tcPr>
          <w:p>
            <w:pPr>
              <w:snapToGrid w:val="0"/>
              <w:ind w:firstLine="210"/>
              <w:jc w:val="center"/>
            </w:pPr>
            <w:r>
              <w:rPr>
                <w:rFonts w:ascii="Times New Roman" w:hAnsi="Times New Roman"/>
                <w:bCs/>
                <w:color w:val="000000"/>
                <w:sz w:val="18"/>
                <w:szCs w:val="18"/>
              </w:rPr>
              <w:t>简单黄铜</w:t>
            </w:r>
          </w:p>
        </w:tc>
        <w:tc>
          <w:tcPr>
            <w:tcW w:w="1304" w:type="dxa"/>
            <w:shd w:val="clear" w:color="auto" w:fill="auto"/>
            <w:vAlign w:val="center"/>
          </w:tcPr>
          <w:p>
            <w:pPr>
              <w:snapToGrid w:val="0"/>
              <w:ind w:firstLine="210"/>
              <w:jc w:val="center"/>
              <w:rPr>
                <w:i/>
                <w:iCs/>
                <w:color w:val="FF0000"/>
              </w:rPr>
            </w:pPr>
            <w:r>
              <w:rPr>
                <w:rFonts w:hint="eastAsia" w:ascii="宋体" w:hAnsi="宋体" w:cs="宋体"/>
                <w:bCs/>
                <w:i/>
                <w:iCs/>
                <w:color w:val="FF0000"/>
                <w:sz w:val="18"/>
                <w:szCs w:val="18"/>
              </w:rPr>
              <w:t>≤</w:t>
            </w:r>
            <w:r>
              <w:rPr>
                <w:rFonts w:ascii="宋体" w:hAnsi="宋体" w:cs="宋体"/>
                <w:bCs/>
                <w:i/>
                <w:iCs/>
                <w:color w:val="FF0000"/>
                <w:sz w:val="18"/>
                <w:szCs w:val="18"/>
              </w:rPr>
              <w:t>2.50%</w:t>
            </w:r>
          </w:p>
        </w:tc>
        <w:tc>
          <w:tcPr>
            <w:tcW w:w="1563" w:type="dxa"/>
            <w:vMerge w:val="continue"/>
            <w:shd w:val="clear" w:color="auto" w:fill="auto"/>
            <w:vAlign w:val="center"/>
          </w:tcPr>
          <w:p>
            <w:pPr>
              <w:snapToGrid w:val="0"/>
              <w:jc w:val="center"/>
            </w:pPr>
          </w:p>
        </w:tc>
        <w:tc>
          <w:tcPr>
            <w:tcW w:w="1303"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pPr>
          </w:p>
        </w:tc>
        <w:tc>
          <w:tcPr>
            <w:tcW w:w="734" w:type="dxa"/>
            <w:vMerge w:val="continue"/>
            <w:vAlign w:val="center"/>
          </w:tcPr>
          <w:p>
            <w:pPr>
              <w:snapToGrid w:val="0"/>
              <w:jc w:val="center"/>
            </w:pPr>
          </w:p>
        </w:tc>
        <w:tc>
          <w:tcPr>
            <w:tcW w:w="1275" w:type="dxa"/>
            <w:vMerge w:val="continue"/>
            <w:shd w:val="clear" w:color="auto" w:fill="auto"/>
            <w:vAlign w:val="center"/>
          </w:tcPr>
          <w:p>
            <w:pPr>
              <w:snapToGrid w:val="0"/>
              <w:jc w:val="center"/>
            </w:pPr>
          </w:p>
        </w:tc>
        <w:tc>
          <w:tcPr>
            <w:tcW w:w="846" w:type="dxa"/>
            <w:vMerge w:val="continue"/>
            <w:shd w:val="clear" w:color="auto" w:fill="auto"/>
            <w:vAlign w:val="center"/>
          </w:tcPr>
          <w:p>
            <w:pPr>
              <w:snapToGrid w:val="0"/>
              <w:jc w:val="center"/>
            </w:pPr>
          </w:p>
        </w:tc>
        <w:tc>
          <w:tcPr>
            <w:tcW w:w="1929" w:type="dxa"/>
            <w:gridSpan w:val="5"/>
            <w:shd w:val="clear" w:color="auto" w:fill="auto"/>
            <w:vAlign w:val="center"/>
          </w:tcPr>
          <w:p>
            <w:pPr>
              <w:snapToGrid w:val="0"/>
              <w:ind w:firstLine="210"/>
              <w:jc w:val="center"/>
            </w:pPr>
            <w:r>
              <w:rPr>
                <w:rFonts w:ascii="Times New Roman" w:hAnsi="Times New Roman"/>
                <w:bCs/>
                <w:color w:val="000000"/>
                <w:sz w:val="18"/>
                <w:szCs w:val="18"/>
              </w:rPr>
              <w:t>复杂黄铜</w:t>
            </w:r>
          </w:p>
        </w:tc>
        <w:tc>
          <w:tcPr>
            <w:tcW w:w="1304" w:type="dxa"/>
            <w:shd w:val="clear" w:color="auto" w:fill="auto"/>
            <w:vAlign w:val="center"/>
          </w:tcPr>
          <w:p>
            <w:pPr>
              <w:snapToGrid w:val="0"/>
              <w:ind w:firstLine="210"/>
              <w:jc w:val="center"/>
              <w:rPr>
                <w:i/>
                <w:iCs/>
                <w:color w:val="FF0000"/>
              </w:rPr>
            </w:pPr>
            <w:r>
              <w:rPr>
                <w:rFonts w:hint="eastAsia" w:ascii="宋体" w:hAnsi="宋体" w:cs="宋体"/>
                <w:bCs/>
                <w:i/>
                <w:iCs/>
                <w:color w:val="FF0000"/>
                <w:sz w:val="18"/>
                <w:szCs w:val="18"/>
              </w:rPr>
              <w:t>≤</w:t>
            </w:r>
            <w:r>
              <w:rPr>
                <w:rFonts w:ascii="宋体" w:hAnsi="宋体" w:cs="宋体"/>
                <w:bCs/>
                <w:i/>
                <w:iCs/>
                <w:color w:val="FF0000"/>
                <w:sz w:val="18"/>
                <w:szCs w:val="18"/>
              </w:rPr>
              <w:t>4.70%</w:t>
            </w:r>
          </w:p>
        </w:tc>
        <w:tc>
          <w:tcPr>
            <w:tcW w:w="1563" w:type="dxa"/>
            <w:vMerge w:val="continue"/>
            <w:shd w:val="clear" w:color="auto" w:fill="auto"/>
            <w:vAlign w:val="center"/>
          </w:tcPr>
          <w:p>
            <w:pPr>
              <w:snapToGrid w:val="0"/>
              <w:jc w:val="center"/>
            </w:pPr>
          </w:p>
        </w:tc>
        <w:tc>
          <w:tcPr>
            <w:tcW w:w="1303"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pPr>
          </w:p>
        </w:tc>
        <w:tc>
          <w:tcPr>
            <w:tcW w:w="734" w:type="dxa"/>
            <w:vMerge w:val="continue"/>
            <w:vAlign w:val="center"/>
          </w:tcPr>
          <w:p>
            <w:pPr>
              <w:snapToGrid w:val="0"/>
              <w:jc w:val="center"/>
            </w:pPr>
          </w:p>
        </w:tc>
        <w:tc>
          <w:tcPr>
            <w:tcW w:w="1275" w:type="dxa"/>
            <w:vMerge w:val="continue"/>
            <w:shd w:val="clear" w:color="auto" w:fill="auto"/>
            <w:vAlign w:val="center"/>
          </w:tcPr>
          <w:p>
            <w:pPr>
              <w:snapToGrid w:val="0"/>
              <w:jc w:val="center"/>
            </w:pPr>
          </w:p>
        </w:tc>
        <w:tc>
          <w:tcPr>
            <w:tcW w:w="846" w:type="dxa"/>
            <w:vMerge w:val="continue"/>
            <w:shd w:val="clear" w:color="auto" w:fill="auto"/>
            <w:vAlign w:val="center"/>
          </w:tcPr>
          <w:p>
            <w:pPr>
              <w:snapToGrid w:val="0"/>
              <w:jc w:val="center"/>
            </w:pPr>
          </w:p>
        </w:tc>
        <w:tc>
          <w:tcPr>
            <w:tcW w:w="1929" w:type="dxa"/>
            <w:gridSpan w:val="5"/>
            <w:shd w:val="clear" w:color="auto" w:fill="auto"/>
            <w:vAlign w:val="center"/>
          </w:tcPr>
          <w:p>
            <w:pPr>
              <w:snapToGrid w:val="0"/>
              <w:ind w:firstLine="210"/>
              <w:jc w:val="center"/>
            </w:pPr>
            <w:r>
              <w:rPr>
                <w:rFonts w:ascii="Times New Roman" w:hAnsi="Times New Roman"/>
                <w:bCs/>
                <w:color w:val="000000"/>
                <w:sz w:val="18"/>
                <w:szCs w:val="18"/>
              </w:rPr>
              <w:t>青铜</w:t>
            </w:r>
          </w:p>
        </w:tc>
        <w:tc>
          <w:tcPr>
            <w:tcW w:w="1304" w:type="dxa"/>
            <w:shd w:val="clear" w:color="auto" w:fill="auto"/>
            <w:vAlign w:val="center"/>
          </w:tcPr>
          <w:p>
            <w:pPr>
              <w:snapToGrid w:val="0"/>
              <w:ind w:firstLine="210"/>
              <w:jc w:val="center"/>
              <w:rPr>
                <w:i/>
                <w:iCs/>
                <w:color w:val="FF0000"/>
              </w:rPr>
            </w:pPr>
            <w:r>
              <w:rPr>
                <w:rFonts w:hint="eastAsia" w:ascii="宋体" w:hAnsi="宋体" w:cs="宋体"/>
                <w:bCs/>
                <w:i/>
                <w:iCs/>
                <w:color w:val="FF0000"/>
                <w:sz w:val="18"/>
                <w:szCs w:val="18"/>
              </w:rPr>
              <w:t>≤</w:t>
            </w:r>
            <w:r>
              <w:rPr>
                <w:rFonts w:ascii="宋体" w:hAnsi="宋体" w:cs="宋体"/>
                <w:bCs/>
                <w:i/>
                <w:iCs/>
                <w:color w:val="FF0000"/>
                <w:sz w:val="18"/>
                <w:szCs w:val="18"/>
              </w:rPr>
              <w:t>4.00%</w:t>
            </w:r>
          </w:p>
        </w:tc>
        <w:tc>
          <w:tcPr>
            <w:tcW w:w="1563" w:type="dxa"/>
            <w:vMerge w:val="continue"/>
            <w:shd w:val="clear" w:color="auto" w:fill="auto"/>
            <w:vAlign w:val="center"/>
          </w:tcPr>
          <w:p>
            <w:pPr>
              <w:snapToGrid w:val="0"/>
              <w:jc w:val="center"/>
            </w:pPr>
          </w:p>
        </w:tc>
        <w:tc>
          <w:tcPr>
            <w:tcW w:w="1303"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pPr>
          </w:p>
        </w:tc>
        <w:tc>
          <w:tcPr>
            <w:tcW w:w="734" w:type="dxa"/>
            <w:vMerge w:val="continue"/>
            <w:vAlign w:val="center"/>
          </w:tcPr>
          <w:p>
            <w:pPr>
              <w:snapToGrid w:val="0"/>
              <w:jc w:val="center"/>
            </w:pPr>
          </w:p>
        </w:tc>
        <w:tc>
          <w:tcPr>
            <w:tcW w:w="1275" w:type="dxa"/>
            <w:vMerge w:val="continue"/>
            <w:shd w:val="clear" w:color="auto" w:fill="auto"/>
            <w:vAlign w:val="center"/>
          </w:tcPr>
          <w:p>
            <w:pPr>
              <w:snapToGrid w:val="0"/>
              <w:jc w:val="center"/>
            </w:pPr>
          </w:p>
        </w:tc>
        <w:tc>
          <w:tcPr>
            <w:tcW w:w="846" w:type="dxa"/>
            <w:vMerge w:val="continue"/>
            <w:shd w:val="clear" w:color="auto" w:fill="auto"/>
            <w:vAlign w:val="center"/>
          </w:tcPr>
          <w:p>
            <w:pPr>
              <w:snapToGrid w:val="0"/>
              <w:jc w:val="center"/>
            </w:pPr>
          </w:p>
        </w:tc>
        <w:tc>
          <w:tcPr>
            <w:tcW w:w="719" w:type="dxa"/>
            <w:vMerge w:val="restart"/>
            <w:shd w:val="clear" w:color="auto" w:fill="auto"/>
            <w:vAlign w:val="center"/>
          </w:tcPr>
          <w:p>
            <w:pPr>
              <w:snapToGrid w:val="0"/>
              <w:ind w:firstLine="210"/>
              <w:jc w:val="center"/>
              <w:rPr>
                <w:rFonts w:ascii="Times New Roman" w:hAnsi="Times New Roman"/>
                <w:bCs/>
                <w:color w:val="000000"/>
                <w:sz w:val="18"/>
                <w:szCs w:val="18"/>
              </w:rPr>
            </w:pPr>
            <w:r>
              <w:rPr>
                <w:rFonts w:ascii="Times New Roman" w:hAnsi="Times New Roman"/>
                <w:bCs/>
                <w:color w:val="000000"/>
                <w:sz w:val="18"/>
                <w:szCs w:val="18"/>
              </w:rPr>
              <w:t>白</w:t>
            </w:r>
          </w:p>
          <w:p>
            <w:pPr>
              <w:snapToGrid w:val="0"/>
              <w:ind w:firstLine="210"/>
              <w:jc w:val="center"/>
            </w:pPr>
            <w:r>
              <w:rPr>
                <w:rFonts w:ascii="Times New Roman" w:hAnsi="Times New Roman"/>
                <w:bCs/>
                <w:color w:val="000000"/>
                <w:sz w:val="18"/>
                <w:szCs w:val="18"/>
              </w:rPr>
              <w:t>铜</w:t>
            </w:r>
          </w:p>
        </w:tc>
        <w:tc>
          <w:tcPr>
            <w:tcW w:w="1210" w:type="dxa"/>
            <w:gridSpan w:val="4"/>
            <w:shd w:val="clear" w:color="auto" w:fill="auto"/>
            <w:vAlign w:val="center"/>
          </w:tcPr>
          <w:p>
            <w:pPr>
              <w:snapToGrid w:val="0"/>
              <w:ind w:firstLine="210"/>
              <w:jc w:val="center"/>
            </w:pPr>
            <w:r>
              <w:rPr>
                <w:rFonts w:ascii="Times New Roman" w:hAnsi="Times New Roman"/>
                <w:bCs/>
                <w:color w:val="000000"/>
                <w:sz w:val="18"/>
                <w:szCs w:val="18"/>
              </w:rPr>
              <w:t>铸轧法</w:t>
            </w:r>
          </w:p>
        </w:tc>
        <w:tc>
          <w:tcPr>
            <w:tcW w:w="1304" w:type="dxa"/>
            <w:shd w:val="clear" w:color="auto" w:fill="auto"/>
            <w:vAlign w:val="center"/>
          </w:tcPr>
          <w:p>
            <w:pPr>
              <w:snapToGrid w:val="0"/>
              <w:ind w:firstLine="210"/>
              <w:jc w:val="center"/>
              <w:rPr>
                <w:i/>
                <w:iCs/>
                <w:color w:val="FF0000"/>
              </w:rPr>
            </w:pPr>
            <w:r>
              <w:rPr>
                <w:rFonts w:hint="eastAsia" w:ascii="宋体" w:hAnsi="宋体" w:cs="宋体"/>
                <w:bCs/>
                <w:i/>
                <w:iCs/>
                <w:color w:val="FF0000"/>
                <w:sz w:val="18"/>
                <w:szCs w:val="18"/>
              </w:rPr>
              <w:t>≤</w:t>
            </w:r>
            <w:r>
              <w:rPr>
                <w:rFonts w:ascii="宋体" w:hAnsi="宋体" w:cs="宋体"/>
                <w:bCs/>
                <w:i/>
                <w:iCs/>
                <w:color w:val="FF0000"/>
                <w:sz w:val="18"/>
                <w:szCs w:val="18"/>
              </w:rPr>
              <w:t>0.30%</w:t>
            </w:r>
          </w:p>
        </w:tc>
        <w:tc>
          <w:tcPr>
            <w:tcW w:w="1563" w:type="dxa"/>
            <w:vMerge w:val="continue"/>
            <w:shd w:val="clear" w:color="auto" w:fill="auto"/>
            <w:vAlign w:val="center"/>
          </w:tcPr>
          <w:p>
            <w:pPr>
              <w:snapToGrid w:val="0"/>
              <w:jc w:val="center"/>
            </w:pPr>
          </w:p>
        </w:tc>
        <w:tc>
          <w:tcPr>
            <w:tcW w:w="1303"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850" w:type="dxa"/>
            <w:vMerge w:val="continue"/>
            <w:shd w:val="clear" w:color="auto" w:fill="auto"/>
            <w:vAlign w:val="center"/>
          </w:tcPr>
          <w:p>
            <w:pPr>
              <w:snapToGrid w:val="0"/>
              <w:jc w:val="center"/>
            </w:pPr>
          </w:p>
        </w:tc>
        <w:tc>
          <w:tcPr>
            <w:tcW w:w="734" w:type="dxa"/>
            <w:vMerge w:val="continue"/>
            <w:vAlign w:val="center"/>
          </w:tcPr>
          <w:p>
            <w:pPr>
              <w:snapToGrid w:val="0"/>
              <w:jc w:val="center"/>
            </w:pPr>
          </w:p>
        </w:tc>
        <w:tc>
          <w:tcPr>
            <w:tcW w:w="1275" w:type="dxa"/>
            <w:vMerge w:val="continue"/>
            <w:shd w:val="clear" w:color="auto" w:fill="auto"/>
            <w:vAlign w:val="center"/>
          </w:tcPr>
          <w:p>
            <w:pPr>
              <w:snapToGrid w:val="0"/>
              <w:jc w:val="center"/>
            </w:pPr>
          </w:p>
        </w:tc>
        <w:tc>
          <w:tcPr>
            <w:tcW w:w="846" w:type="dxa"/>
            <w:vMerge w:val="continue"/>
            <w:shd w:val="clear" w:color="auto" w:fill="auto"/>
            <w:vAlign w:val="center"/>
          </w:tcPr>
          <w:p>
            <w:pPr>
              <w:snapToGrid w:val="0"/>
              <w:jc w:val="center"/>
            </w:pPr>
          </w:p>
        </w:tc>
        <w:tc>
          <w:tcPr>
            <w:tcW w:w="719" w:type="dxa"/>
            <w:vMerge w:val="continue"/>
            <w:shd w:val="clear" w:color="auto" w:fill="auto"/>
            <w:vAlign w:val="center"/>
          </w:tcPr>
          <w:p>
            <w:pPr>
              <w:snapToGrid w:val="0"/>
              <w:ind w:firstLine="210"/>
              <w:jc w:val="center"/>
            </w:pPr>
          </w:p>
        </w:tc>
        <w:tc>
          <w:tcPr>
            <w:tcW w:w="1210" w:type="dxa"/>
            <w:gridSpan w:val="4"/>
            <w:shd w:val="clear" w:color="auto" w:fill="auto"/>
            <w:vAlign w:val="center"/>
          </w:tcPr>
          <w:p>
            <w:pPr>
              <w:snapToGrid w:val="0"/>
              <w:ind w:firstLine="210"/>
              <w:jc w:val="center"/>
            </w:pPr>
            <w:r>
              <w:rPr>
                <w:rFonts w:ascii="Times New Roman" w:hAnsi="Times New Roman"/>
                <w:bCs/>
                <w:color w:val="000000"/>
                <w:sz w:val="18"/>
                <w:szCs w:val="18"/>
              </w:rPr>
              <w:t>挤压法</w:t>
            </w:r>
          </w:p>
        </w:tc>
        <w:tc>
          <w:tcPr>
            <w:tcW w:w="1304" w:type="dxa"/>
            <w:shd w:val="clear" w:color="auto" w:fill="auto"/>
            <w:vAlign w:val="center"/>
          </w:tcPr>
          <w:p>
            <w:pPr>
              <w:snapToGrid w:val="0"/>
              <w:ind w:firstLine="210"/>
              <w:jc w:val="center"/>
              <w:rPr>
                <w:i/>
                <w:iCs/>
                <w:color w:val="FF0000"/>
              </w:rPr>
            </w:pPr>
            <w:r>
              <w:rPr>
                <w:rFonts w:hint="eastAsia" w:ascii="宋体" w:hAnsi="宋体" w:cs="宋体"/>
                <w:bCs/>
                <w:i/>
                <w:iCs/>
                <w:color w:val="FF0000"/>
                <w:sz w:val="18"/>
                <w:szCs w:val="18"/>
              </w:rPr>
              <w:t>≤</w:t>
            </w:r>
            <w:r>
              <w:rPr>
                <w:rFonts w:ascii="宋体" w:hAnsi="宋体" w:cs="宋体"/>
                <w:bCs/>
                <w:i/>
                <w:iCs/>
                <w:color w:val="FF0000"/>
                <w:sz w:val="18"/>
                <w:szCs w:val="18"/>
              </w:rPr>
              <w:t>1.60%</w:t>
            </w:r>
          </w:p>
        </w:tc>
        <w:tc>
          <w:tcPr>
            <w:tcW w:w="1563" w:type="dxa"/>
            <w:vMerge w:val="continue"/>
            <w:shd w:val="clear" w:color="auto" w:fill="auto"/>
            <w:vAlign w:val="center"/>
          </w:tcPr>
          <w:p>
            <w:pPr>
              <w:snapToGrid w:val="0"/>
              <w:jc w:val="center"/>
            </w:pPr>
          </w:p>
        </w:tc>
        <w:tc>
          <w:tcPr>
            <w:tcW w:w="1303" w:type="dxa"/>
            <w:vMerge w:val="continue"/>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34"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75"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可利用再生原料率</w:t>
            </w:r>
          </w:p>
        </w:tc>
        <w:tc>
          <w:tcPr>
            <w:tcW w:w="846"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1277"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紫、高铜</w:t>
            </w:r>
          </w:p>
        </w:tc>
        <w:tc>
          <w:tcPr>
            <w:tcW w:w="1956" w:type="dxa"/>
            <w:gridSpan w:val="2"/>
            <w:shd w:val="clear" w:color="auto" w:fill="auto"/>
            <w:vAlign w:val="center"/>
          </w:tcPr>
          <w:p>
            <w:pPr>
              <w:snapToGrid w:val="0"/>
              <w:jc w:val="center"/>
              <w:rPr>
                <w:rFonts w:ascii="Times New Roman" w:hAnsi="Times New Roman"/>
                <w:b w:val="0"/>
                <w:bCs/>
                <w:color w:val="000000" w:themeColor="text1"/>
                <w:sz w:val="18"/>
                <w:szCs w:val="18"/>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w:t>
            </w:r>
            <w:r>
              <w:rPr>
                <w:rFonts w:ascii="Times New Roman" w:hAnsi="Times New Roman"/>
                <w:b w:val="0"/>
                <w:bCs/>
                <w:color w:val="000000" w:themeColor="text1"/>
                <w:sz w:val="18"/>
                <w:szCs w:val="18"/>
                <w14:textFill>
                  <w14:solidFill>
                    <w14:schemeClr w14:val="tx1"/>
                  </w14:solidFill>
                </w14:textFill>
              </w:rPr>
              <w:t>10%</w:t>
            </w:r>
            <w:r>
              <w:rPr>
                <w:rFonts w:hint="eastAsia" w:ascii="Times New Roman" w:hAnsi="Times New Roman"/>
                <w:b w:val="0"/>
                <w:bCs/>
                <w:color w:val="000000" w:themeColor="text1"/>
                <w:sz w:val="18"/>
                <w:szCs w:val="18"/>
                <w14:textFill>
                  <w14:solidFill>
                    <w14:schemeClr w14:val="tx1"/>
                  </w14:solidFill>
                </w14:textFill>
              </w:rPr>
              <w:t>（待调研）</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bookmarkStart w:id="29" w:name="_GoBack" w:colFirst="5" w:colLast="6"/>
          </w:p>
        </w:tc>
        <w:tc>
          <w:tcPr>
            <w:tcW w:w="734"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75"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77"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黄铜</w:t>
            </w:r>
          </w:p>
        </w:tc>
        <w:tc>
          <w:tcPr>
            <w:tcW w:w="1956" w:type="dxa"/>
            <w:gridSpan w:val="2"/>
            <w:shd w:val="clear" w:color="auto" w:fill="auto"/>
            <w:vAlign w:val="center"/>
          </w:tcPr>
          <w:p>
            <w:pPr>
              <w:snapToGrid w:val="0"/>
              <w:jc w:val="cente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w:t>
            </w:r>
            <w:r>
              <w:rPr>
                <w:rFonts w:hint="eastAsia" w:ascii="Times New Roman" w:hAnsi="Times New Roman"/>
                <w:b/>
                <w:color w:val="000000" w:themeColor="text1"/>
                <w:sz w:val="18"/>
                <w:szCs w:val="18"/>
                <w14:textFill>
                  <w14:solidFill>
                    <w14:schemeClr w14:val="tx1"/>
                  </w14:solidFill>
                </w14:textFill>
              </w:rPr>
              <w:t>20%（待调研）</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50" w:type="dxa"/>
            <w:vMerge w:val="continue"/>
            <w:tcBorders>
              <w:bottom w:val="single" w:color="auto" w:sz="4" w:space="0"/>
            </w:tcBorders>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34" w:type="dxa"/>
            <w:vMerge w:val="continue"/>
            <w:tcBorders>
              <w:bottom w:val="single" w:color="auto" w:sz="4" w:space="0"/>
            </w:tcBorders>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75" w:type="dxa"/>
            <w:vMerge w:val="continue"/>
            <w:tcBorders>
              <w:bottom w:val="single" w:color="auto" w:sz="4" w:space="0"/>
            </w:tcBorders>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vMerge w:val="continue"/>
            <w:tcBorders>
              <w:bottom w:val="single" w:color="auto" w:sz="4" w:space="0"/>
            </w:tcBorders>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77" w:type="dxa"/>
            <w:gridSpan w:val="4"/>
            <w:tcBorders>
              <w:bottom w:val="single" w:color="auto" w:sz="4" w:space="0"/>
            </w:tcBorders>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青铜、白铜</w:t>
            </w:r>
          </w:p>
        </w:tc>
        <w:tc>
          <w:tcPr>
            <w:tcW w:w="1956" w:type="dxa"/>
            <w:gridSpan w:val="2"/>
            <w:tcBorders>
              <w:bottom w:val="single" w:color="auto" w:sz="4" w:space="0"/>
            </w:tcBorders>
            <w:shd w:val="clear" w:color="auto" w:fill="auto"/>
            <w:vAlign w:val="center"/>
          </w:tcPr>
          <w:p>
            <w:pPr>
              <w:snapToGrid w:val="0"/>
              <w:jc w:val="center"/>
              <w:rPr>
                <w:rFonts w:ascii="Times New Roman" w:hAnsi="Times New Roman"/>
                <w:b/>
                <w:color w:val="000000" w:themeColor="text1"/>
                <w:sz w:val="18"/>
                <w:szCs w:val="18"/>
                <w14:textFill>
                  <w14:solidFill>
                    <w14:schemeClr w14:val="tx1"/>
                  </w14:solidFill>
                </w14:textFill>
              </w:rPr>
            </w:pPr>
            <w:r>
              <w:rPr>
                <w:rFonts w:ascii="Times New Roman" w:hAnsi="Times New Roman"/>
                <w:b/>
                <w:color w:val="000000" w:themeColor="text1"/>
                <w:sz w:val="18"/>
                <w:szCs w:val="18"/>
                <w14:textFill>
                  <w14:solidFill>
                    <w14:schemeClr w14:val="tx1"/>
                  </w14:solidFill>
                </w14:textFill>
              </w:rPr>
              <w:t>≥</w:t>
            </w:r>
            <w:r>
              <w:rPr>
                <w:rFonts w:hint="eastAsia" w:ascii="Times New Roman" w:hAnsi="Times New Roman"/>
                <w:b/>
                <w:color w:val="000000" w:themeColor="text1"/>
                <w:sz w:val="18"/>
                <w:szCs w:val="18"/>
                <w14:textFill>
                  <w14:solidFill>
                    <w14:schemeClr w14:val="tx1"/>
                  </w14:solidFill>
                </w14:textFill>
              </w:rPr>
              <w:t>3</w:t>
            </w:r>
            <w:r>
              <w:rPr>
                <w:rFonts w:ascii="Times New Roman" w:hAnsi="Times New Roman"/>
                <w:b/>
                <w:color w:val="000000" w:themeColor="text1"/>
                <w:sz w:val="18"/>
                <w:szCs w:val="18"/>
                <w14:textFill>
                  <w14:solidFill>
                    <w14:schemeClr w14:val="tx1"/>
                  </w14:solidFill>
                </w14:textFill>
              </w:rPr>
              <w:t>0</w:t>
            </w:r>
            <w:r>
              <w:rPr>
                <w:rFonts w:hint="eastAsia" w:ascii="Times New Roman" w:hAnsi="Times New Roman"/>
                <w:b/>
                <w:color w:val="000000" w:themeColor="text1"/>
                <w:sz w:val="18"/>
                <w:szCs w:val="18"/>
                <w14:textFill>
                  <w14:solidFill>
                    <w14:schemeClr w14:val="tx1"/>
                  </w14:solidFill>
                </w14:textFill>
              </w:rPr>
              <w:t>%（待调研）</w:t>
            </w:r>
          </w:p>
        </w:tc>
        <w:tc>
          <w:tcPr>
            <w:tcW w:w="1563" w:type="dxa"/>
            <w:vMerge w:val="continue"/>
            <w:tcBorders>
              <w:bottom w:val="single" w:color="auto" w:sz="4" w:space="0"/>
            </w:tcBorders>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tcBorders>
              <w:bottom w:val="single" w:color="auto" w:sz="4" w:space="0"/>
            </w:tcBorders>
            <w:vAlign w:val="center"/>
          </w:tcPr>
          <w:p>
            <w:pPr>
              <w:snapToGrid w:val="0"/>
              <w:jc w:val="center"/>
              <w:rPr>
                <w:rFonts w:ascii="Times New Roman" w:hAnsi="Times New Roman"/>
                <w:color w:val="000000" w:themeColor="text1"/>
                <w:sz w:val="18"/>
                <w:szCs w:val="18"/>
                <w14:textFill>
                  <w14:solidFill>
                    <w14:schemeClr w14:val="tx1"/>
                  </w14:solidFill>
                </w14:textFill>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734"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275"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水重复利用率</w:t>
            </w: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3233" w:type="dxa"/>
            <w:gridSpan w:val="6"/>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＞9</w:t>
            </w:r>
            <w:r>
              <w:rPr>
                <w:rFonts w:ascii="Times New Roman" w:hAnsi="Times New Roman"/>
                <w:color w:val="000000" w:themeColor="text1"/>
                <w:sz w:val="18"/>
                <w:szCs w:val="18"/>
                <w14:textFill>
                  <w14:solidFill>
                    <w14:schemeClr w14:val="tx1"/>
                  </w14:solidFill>
                </w14:textFill>
              </w:rPr>
              <w:t>4</w:t>
            </w:r>
          </w:p>
        </w:tc>
        <w:tc>
          <w:tcPr>
            <w:tcW w:w="1563"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提供</w:t>
            </w:r>
            <w:r>
              <w:rPr>
                <w:rFonts w:ascii="Times New Roman" w:hAnsi="Times New Roman"/>
                <w:color w:val="000000" w:themeColor="text1"/>
                <w:sz w:val="18"/>
                <w:szCs w:val="18"/>
                <w14:textFill>
                  <w14:solidFill>
                    <w14:schemeClr w14:val="tx1"/>
                  </w14:solidFill>
                </w14:textFill>
              </w:rPr>
              <w:t>证明材料（按照1年生产为周期计算）</w:t>
            </w:r>
          </w:p>
        </w:tc>
        <w:tc>
          <w:tcPr>
            <w:tcW w:w="1303"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能源</w:t>
            </w:r>
          </w:p>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009" w:type="dxa"/>
            <w:gridSpan w:val="2"/>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单位产品综合能耗</w:t>
            </w:r>
          </w:p>
        </w:tc>
        <w:tc>
          <w:tcPr>
            <w:tcW w:w="846"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bookmarkStart w:id="20" w:name="_Hlk6935038"/>
            <w:r>
              <w:rPr>
                <w:rFonts w:hint="eastAsia" w:ascii="Times New Roman" w:hAnsi="Times New Roman"/>
                <w:color w:val="000000" w:themeColor="text1"/>
                <w:sz w:val="18"/>
                <w:szCs w:val="18"/>
                <w14:textFill>
                  <w14:solidFill>
                    <w14:schemeClr w14:val="tx1"/>
                  </w14:solidFill>
                </w14:textFill>
              </w:rPr>
              <w:t>kg</w:t>
            </w:r>
            <w:r>
              <w:rPr>
                <w:rFonts w:ascii="Times New Roman" w:hAnsi="Times New Roman"/>
                <w:color w:val="000000" w:themeColor="text1"/>
                <w:sz w:val="18"/>
                <w:szCs w:val="18"/>
                <w14:textFill>
                  <w14:solidFill>
                    <w14:schemeClr w14:val="tx1"/>
                  </w14:solidFill>
                </w14:textFill>
              </w:rPr>
              <w:t>ce/t</w:t>
            </w:r>
            <w:bookmarkEnd w:id="20"/>
          </w:p>
        </w:tc>
        <w:tc>
          <w:tcPr>
            <w:tcW w:w="1252" w:type="dxa"/>
            <w:gridSpan w:val="3"/>
            <w:shd w:val="clear" w:color="auto" w:fill="auto"/>
            <w:vAlign w:val="center"/>
          </w:tcPr>
          <w:p>
            <w:pPr>
              <w:snapToGrid w:val="0"/>
              <w:jc w:val="both"/>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紫铜</w:t>
            </w:r>
          </w:p>
        </w:tc>
        <w:tc>
          <w:tcPr>
            <w:tcW w:w="1981" w:type="dxa"/>
            <w:gridSpan w:val="3"/>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≤1</w:t>
            </w:r>
            <w:r>
              <w:rPr>
                <w:rFonts w:ascii="Times New Roman" w:hAnsi="Times New Roman"/>
                <w:color w:val="000000"/>
                <w:sz w:val="18"/>
                <w:szCs w:val="18"/>
              </w:rPr>
              <w:t>90</w:t>
            </w:r>
          </w:p>
        </w:tc>
        <w:tc>
          <w:tcPr>
            <w:tcW w:w="1563" w:type="dxa"/>
            <w:vMerge w:val="restart"/>
            <w:shd w:val="clear" w:color="auto" w:fill="auto"/>
            <w:vAlign w:val="center"/>
          </w:tcPr>
          <w:p>
            <w:pPr>
              <w:snapToGrid w:val="0"/>
              <w:jc w:val="center"/>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提供证明材料（按照1年生产为周期计算）</w:t>
            </w:r>
          </w:p>
        </w:tc>
        <w:tc>
          <w:tcPr>
            <w:tcW w:w="1303"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846" w:type="dxa"/>
            <w:vMerge w:val="continue"/>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1252" w:type="dxa"/>
            <w:gridSpan w:val="3"/>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简单黄铜</w:t>
            </w:r>
          </w:p>
        </w:tc>
        <w:tc>
          <w:tcPr>
            <w:tcW w:w="1981" w:type="dxa"/>
            <w:gridSpan w:val="3"/>
            <w:shd w:val="clear" w:color="auto" w:fill="auto"/>
            <w:vAlign w:val="center"/>
          </w:tcPr>
          <w:p>
            <w:pPr>
              <w:snapToGrid w:val="0"/>
              <w:jc w:val="center"/>
              <w:rPr>
                <w:rFonts w:hint="eastAsia" w:ascii="Times New Roman" w:hAnsi="Times New Roman"/>
                <w:i w:val="0"/>
                <w:iCs w:val="0"/>
                <w:color w:val="000000" w:themeColor="text1"/>
                <w:sz w:val="18"/>
                <w:szCs w:val="18"/>
                <w:u w:val="none"/>
                <w14:textFill>
                  <w14:solidFill>
                    <w14:schemeClr w14:val="tx1"/>
                  </w14:solidFill>
                </w14:textFill>
              </w:rPr>
            </w:pPr>
            <w:r>
              <w:rPr>
                <w:rFonts w:hint="eastAsia" w:ascii="Times New Roman" w:hAnsi="Times New Roman"/>
                <w:color w:val="000000"/>
                <w:sz w:val="18"/>
                <w:szCs w:val="18"/>
              </w:rPr>
              <w:t>≤2</w:t>
            </w:r>
            <w:r>
              <w:rPr>
                <w:rFonts w:ascii="Times New Roman" w:hAnsi="Times New Roman"/>
                <w:color w:val="000000"/>
                <w:sz w:val="18"/>
                <w:szCs w:val="18"/>
              </w:rPr>
              <w:t>70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846" w:type="dxa"/>
            <w:vMerge w:val="continue"/>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1252" w:type="dxa"/>
            <w:gridSpan w:val="3"/>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复杂黄铜</w:t>
            </w:r>
          </w:p>
        </w:tc>
        <w:tc>
          <w:tcPr>
            <w:tcW w:w="1981" w:type="dxa"/>
            <w:gridSpan w:val="3"/>
            <w:shd w:val="clear" w:color="auto" w:fill="auto"/>
            <w:vAlign w:val="center"/>
          </w:tcPr>
          <w:p>
            <w:pPr>
              <w:snapToGrid w:val="0"/>
              <w:jc w:val="center"/>
              <w:rPr>
                <w:rFonts w:hint="eastAsia" w:ascii="Times New Roman" w:hAnsi="Times New Roman"/>
                <w:i w:val="0"/>
                <w:iCs w:val="0"/>
                <w:color w:val="000000" w:themeColor="text1"/>
                <w:sz w:val="18"/>
                <w:szCs w:val="18"/>
                <w:u w:val="none"/>
                <w14:textFill>
                  <w14:solidFill>
                    <w14:schemeClr w14:val="tx1"/>
                  </w14:solidFill>
                </w14:textFill>
              </w:rPr>
            </w:pPr>
            <w:r>
              <w:rPr>
                <w:rFonts w:hint="eastAsia" w:ascii="Times New Roman" w:hAnsi="Times New Roman"/>
                <w:color w:val="000000"/>
                <w:sz w:val="18"/>
                <w:szCs w:val="18"/>
              </w:rPr>
              <w:t>≤4</w:t>
            </w:r>
            <w:r>
              <w:rPr>
                <w:rFonts w:ascii="Times New Roman" w:hAnsi="Times New Roman"/>
                <w:color w:val="000000"/>
                <w:sz w:val="18"/>
                <w:szCs w:val="18"/>
              </w:rPr>
              <w:t>00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846" w:type="dxa"/>
            <w:vMerge w:val="continue"/>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1252" w:type="dxa"/>
            <w:gridSpan w:val="3"/>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青铜、高铜</w:t>
            </w:r>
          </w:p>
        </w:tc>
        <w:tc>
          <w:tcPr>
            <w:tcW w:w="1981" w:type="dxa"/>
            <w:gridSpan w:val="3"/>
            <w:shd w:val="clear" w:color="auto" w:fill="auto"/>
            <w:vAlign w:val="center"/>
          </w:tcPr>
          <w:p>
            <w:pPr>
              <w:snapToGrid w:val="0"/>
              <w:jc w:val="center"/>
              <w:rPr>
                <w:rFonts w:hint="eastAsia" w:ascii="Times New Roman" w:hAnsi="Times New Roman"/>
                <w:i w:val="0"/>
                <w:iCs w:val="0"/>
                <w:color w:val="000000" w:themeColor="text1"/>
                <w:sz w:val="18"/>
                <w:szCs w:val="18"/>
                <w:u w:val="none"/>
                <w14:textFill>
                  <w14:solidFill>
                    <w14:schemeClr w14:val="tx1"/>
                  </w14:solidFill>
                </w14:textFill>
              </w:rPr>
            </w:pPr>
            <w:r>
              <w:rPr>
                <w:rFonts w:hint="eastAsia" w:ascii="Times New Roman" w:hAnsi="Times New Roman"/>
                <w:color w:val="000000"/>
                <w:sz w:val="18"/>
                <w:szCs w:val="18"/>
              </w:rPr>
              <w:t>≤1</w:t>
            </w:r>
            <w:r>
              <w:rPr>
                <w:rFonts w:ascii="Times New Roman" w:hAnsi="Times New Roman"/>
                <w:color w:val="000000"/>
                <w:sz w:val="18"/>
                <w:szCs w:val="18"/>
              </w:rPr>
              <w:t>75</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846" w:type="dxa"/>
            <w:vMerge w:val="continue"/>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c>
          <w:tcPr>
            <w:tcW w:w="1252" w:type="dxa"/>
            <w:gridSpan w:val="3"/>
            <w:shd w:val="clear" w:color="auto" w:fill="auto"/>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白铜</w:t>
            </w:r>
          </w:p>
        </w:tc>
        <w:tc>
          <w:tcPr>
            <w:tcW w:w="1981" w:type="dxa"/>
            <w:gridSpan w:val="3"/>
            <w:shd w:val="clear" w:color="auto" w:fill="auto"/>
            <w:vAlign w:val="center"/>
          </w:tcPr>
          <w:p>
            <w:pPr>
              <w:snapToGrid w:val="0"/>
              <w:jc w:val="center"/>
              <w:rPr>
                <w:rFonts w:hint="eastAsia" w:ascii="Times New Roman" w:hAnsi="Times New Roman"/>
                <w:i w:val="0"/>
                <w:iCs w:val="0"/>
                <w:color w:val="000000" w:themeColor="text1"/>
                <w:sz w:val="18"/>
                <w:szCs w:val="18"/>
                <w:u w:val="none"/>
                <w14:textFill>
                  <w14:solidFill>
                    <w14:schemeClr w14:val="tx1"/>
                  </w14:solidFill>
                </w14:textFill>
              </w:rPr>
            </w:pPr>
            <w:r>
              <w:rPr>
                <w:rFonts w:hint="eastAsia" w:ascii="Times New Roman" w:hAnsi="Times New Roman"/>
                <w:color w:val="000000"/>
                <w:sz w:val="18"/>
                <w:szCs w:val="18"/>
              </w:rPr>
              <w:t>≤4</w:t>
            </w:r>
            <w:r>
              <w:rPr>
                <w:rFonts w:ascii="Times New Roman" w:hAnsi="Times New Roman"/>
                <w:color w:val="000000"/>
                <w:sz w:val="18"/>
                <w:szCs w:val="18"/>
              </w:rPr>
              <w:t>00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Align w:val="center"/>
          </w:tcPr>
          <w:p>
            <w:pPr>
              <w:snapToGrid w:val="0"/>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50"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环境</w:t>
            </w:r>
          </w:p>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009" w:type="dxa"/>
            <w:gridSpan w:val="2"/>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废水排放限值</w:t>
            </w: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968" w:type="dxa"/>
            <w:gridSpan w:val="2"/>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PH值</w:t>
            </w:r>
          </w:p>
        </w:tc>
        <w:tc>
          <w:tcPr>
            <w:tcW w:w="2265"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6</w:t>
            </w:r>
            <w:r>
              <w:rPr>
                <w:rFonts w:ascii="Times New Roman" w:hAnsi="Times New Roman"/>
                <w:color w:val="000000"/>
                <w:sz w:val="18"/>
                <w:szCs w:val="18"/>
              </w:rPr>
              <w:t>.5~8.5</w:t>
            </w:r>
          </w:p>
        </w:tc>
        <w:tc>
          <w:tcPr>
            <w:tcW w:w="1563" w:type="dxa"/>
            <w:vMerge w:val="restart"/>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提供检测报告</w:t>
            </w:r>
          </w:p>
        </w:tc>
        <w:tc>
          <w:tcPr>
            <w:tcW w:w="1303" w:type="dxa"/>
            <w:vMerge w:val="restart"/>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mg</w:t>
            </w:r>
            <w:r>
              <w:rPr>
                <w:rFonts w:ascii="Times New Roman" w:hAnsi="Times New Roman"/>
                <w:color w:val="000000" w:themeColor="text1"/>
                <w:sz w:val="18"/>
                <w:szCs w:val="18"/>
                <w14:textFill>
                  <w14:solidFill>
                    <w14:schemeClr w14:val="tx1"/>
                  </w14:solidFill>
                </w14:textFill>
              </w:rPr>
              <w:t>/L</w:t>
            </w:r>
          </w:p>
        </w:tc>
        <w:tc>
          <w:tcPr>
            <w:tcW w:w="968" w:type="dxa"/>
            <w:gridSpan w:val="2"/>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悬浮物</w:t>
            </w:r>
          </w:p>
        </w:tc>
        <w:tc>
          <w:tcPr>
            <w:tcW w:w="2265"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≤5</w:t>
            </w:r>
            <w:r>
              <w:rPr>
                <w:rFonts w:ascii="Times New Roman" w:hAnsi="Times New Roman"/>
                <w:color w:val="000000"/>
                <w:sz w:val="18"/>
                <w:szCs w:val="18"/>
              </w:rPr>
              <w:t>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mg</w:t>
            </w:r>
            <w:r>
              <w:rPr>
                <w:rFonts w:ascii="Times New Roman" w:hAnsi="Times New Roman"/>
                <w:color w:val="000000" w:themeColor="text1"/>
                <w:sz w:val="18"/>
                <w:szCs w:val="18"/>
                <w14:textFill>
                  <w14:solidFill>
                    <w14:schemeClr w14:val="tx1"/>
                  </w14:solidFill>
                </w14:textFill>
              </w:rPr>
              <w:t>/L</w:t>
            </w:r>
          </w:p>
        </w:tc>
        <w:tc>
          <w:tcPr>
            <w:tcW w:w="968" w:type="dxa"/>
            <w:gridSpan w:val="2"/>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化学需氧量</w:t>
            </w:r>
          </w:p>
        </w:tc>
        <w:tc>
          <w:tcPr>
            <w:tcW w:w="2265"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≤5</w:t>
            </w:r>
            <w:r>
              <w:rPr>
                <w:rFonts w:ascii="Times New Roman" w:hAnsi="Times New Roman"/>
                <w:color w:val="000000"/>
                <w:sz w:val="18"/>
                <w:szCs w:val="18"/>
              </w:rPr>
              <w:t>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m</w:t>
            </w:r>
            <w:r>
              <w:rPr>
                <w:rFonts w:hint="eastAsia" w:ascii="Times New Roman" w:hAnsi="Times New Roman"/>
                <w:color w:val="000000"/>
                <w:sz w:val="18"/>
                <w:szCs w:val="18"/>
              </w:rPr>
              <w:t>g</w:t>
            </w:r>
            <w:r>
              <w:rPr>
                <w:rFonts w:ascii="Times New Roman" w:hAnsi="Times New Roman"/>
                <w:color w:val="000000"/>
                <w:sz w:val="18"/>
                <w:szCs w:val="18"/>
              </w:rPr>
              <w:t>/</w:t>
            </w:r>
            <w:r>
              <w:rPr>
                <w:rFonts w:hint="eastAsia" w:ascii="Times New Roman" w:hAnsi="Times New Roman"/>
                <w:color w:val="000000"/>
                <w:sz w:val="18"/>
                <w:szCs w:val="18"/>
              </w:rPr>
              <w:t>L</w:t>
            </w:r>
          </w:p>
        </w:tc>
        <w:tc>
          <w:tcPr>
            <w:tcW w:w="968" w:type="dxa"/>
            <w:gridSpan w:val="2"/>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氨氮</w:t>
            </w:r>
          </w:p>
        </w:tc>
        <w:tc>
          <w:tcPr>
            <w:tcW w:w="2265"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≤5</w:t>
            </w:r>
            <w:r>
              <w:rPr>
                <w:rFonts w:ascii="Times New Roman" w:hAnsi="Times New Roman"/>
                <w:color w:val="000000"/>
                <w:sz w:val="18"/>
                <w:szCs w:val="18"/>
              </w:rPr>
              <w:t>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m</w:t>
            </w:r>
            <w:r>
              <w:rPr>
                <w:rFonts w:hint="eastAsia" w:ascii="Times New Roman" w:hAnsi="Times New Roman"/>
                <w:color w:val="000000"/>
                <w:sz w:val="18"/>
                <w:szCs w:val="18"/>
              </w:rPr>
              <w:t>g</w:t>
            </w:r>
            <w:r>
              <w:rPr>
                <w:rFonts w:ascii="Times New Roman" w:hAnsi="Times New Roman"/>
                <w:color w:val="000000"/>
                <w:sz w:val="18"/>
                <w:szCs w:val="18"/>
              </w:rPr>
              <w:t>/</w:t>
            </w:r>
            <w:r>
              <w:rPr>
                <w:rFonts w:hint="eastAsia" w:ascii="Times New Roman" w:hAnsi="Times New Roman"/>
                <w:color w:val="000000"/>
                <w:sz w:val="18"/>
                <w:szCs w:val="18"/>
              </w:rPr>
              <w:t>L</w:t>
            </w:r>
          </w:p>
        </w:tc>
        <w:tc>
          <w:tcPr>
            <w:tcW w:w="968" w:type="dxa"/>
            <w:gridSpan w:val="2"/>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总铜</w:t>
            </w:r>
          </w:p>
        </w:tc>
        <w:tc>
          <w:tcPr>
            <w:tcW w:w="2265"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≤2</w:t>
            </w:r>
            <w:r>
              <w:rPr>
                <w:rFonts w:ascii="Times New Roman" w:hAnsi="Times New Roman"/>
                <w:color w:val="000000"/>
                <w:sz w:val="18"/>
                <w:szCs w:val="18"/>
              </w:rPr>
              <w:t>.0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m</w:t>
            </w:r>
            <w:r>
              <w:rPr>
                <w:rFonts w:hint="eastAsia" w:ascii="Times New Roman" w:hAnsi="Times New Roman"/>
                <w:color w:val="000000"/>
                <w:sz w:val="18"/>
                <w:szCs w:val="18"/>
              </w:rPr>
              <w:t>g</w:t>
            </w:r>
            <w:r>
              <w:rPr>
                <w:rFonts w:ascii="Times New Roman" w:hAnsi="Times New Roman"/>
                <w:color w:val="000000"/>
                <w:sz w:val="18"/>
                <w:szCs w:val="18"/>
              </w:rPr>
              <w:t>/</w:t>
            </w:r>
            <w:r>
              <w:rPr>
                <w:rFonts w:hint="eastAsia" w:ascii="Times New Roman" w:hAnsi="Times New Roman"/>
                <w:color w:val="000000"/>
                <w:sz w:val="18"/>
                <w:szCs w:val="18"/>
              </w:rPr>
              <w:t>L</w:t>
            </w:r>
          </w:p>
        </w:tc>
        <w:tc>
          <w:tcPr>
            <w:tcW w:w="968" w:type="dxa"/>
            <w:gridSpan w:val="2"/>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总磷</w:t>
            </w:r>
          </w:p>
        </w:tc>
        <w:tc>
          <w:tcPr>
            <w:tcW w:w="2265" w:type="dxa"/>
            <w:gridSpan w:val="4"/>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sz w:val="18"/>
                <w:szCs w:val="18"/>
              </w:rPr>
              <w:t>≤8</w:t>
            </w:r>
            <w:r>
              <w:rPr>
                <w:rFonts w:ascii="Times New Roman" w:hAnsi="Times New Roman"/>
                <w:color w:val="000000"/>
                <w:sz w:val="18"/>
                <w:szCs w:val="18"/>
              </w:rPr>
              <w:t>.0</w:t>
            </w:r>
          </w:p>
        </w:tc>
        <w:tc>
          <w:tcPr>
            <w:tcW w:w="1563"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1303" w:type="dxa"/>
            <w:vMerge w:val="continue"/>
            <w:vAlign w:val="center"/>
          </w:tcPr>
          <w:p>
            <w:pPr>
              <w:snapToGrid w:val="0"/>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废气排放元素限值</w:t>
            </w: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sz w:val="18"/>
                <w:szCs w:val="18"/>
              </w:rPr>
              <w:t>m</w:t>
            </w:r>
            <w:r>
              <w:rPr>
                <w:rFonts w:hint="eastAsia" w:ascii="Times New Roman" w:hAnsi="Times New Roman"/>
                <w:color w:val="000000"/>
                <w:sz w:val="18"/>
                <w:szCs w:val="18"/>
              </w:rPr>
              <w:t>g</w:t>
            </w:r>
            <w:r>
              <w:rPr>
                <w:rFonts w:ascii="Times New Roman" w:hAnsi="Times New Roman"/>
                <w:color w:val="000000"/>
                <w:sz w:val="18"/>
                <w:szCs w:val="18"/>
              </w:rPr>
              <w:t>/</w:t>
            </w:r>
            <w:r>
              <w:rPr>
                <w:rFonts w:hint="eastAsia" w:ascii="Times New Roman" w:hAnsi="Times New Roman"/>
                <w:color w:val="000000"/>
                <w:sz w:val="18"/>
                <w:szCs w:val="18"/>
              </w:rPr>
              <w:t>m</w:t>
            </w:r>
            <w:r>
              <w:rPr>
                <w:rFonts w:ascii="Times New Roman" w:hAnsi="Times New Roman"/>
                <w:color w:val="000000"/>
                <w:sz w:val="18"/>
                <w:szCs w:val="18"/>
                <w:vertAlign w:val="superscript"/>
              </w:rPr>
              <w:t>3</w:t>
            </w:r>
          </w:p>
        </w:tc>
        <w:tc>
          <w:tcPr>
            <w:tcW w:w="3233" w:type="dxa"/>
            <w:gridSpan w:val="6"/>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颗粒物</w:t>
            </w:r>
            <w:r>
              <w:rPr>
                <w:rFonts w:hint="eastAsia" w:ascii="Times New Roman" w:hAnsi="Times New Roman"/>
                <w:color w:val="000000"/>
                <w:sz w:val="18"/>
                <w:szCs w:val="18"/>
              </w:rPr>
              <w:t>≤1</w:t>
            </w:r>
            <w:r>
              <w:rPr>
                <w:rFonts w:ascii="Times New Roman" w:hAnsi="Times New Roman"/>
                <w:color w:val="000000"/>
                <w:sz w:val="18"/>
                <w:szCs w:val="18"/>
              </w:rPr>
              <w:t>0</w:t>
            </w:r>
          </w:p>
        </w:tc>
        <w:tc>
          <w:tcPr>
            <w:tcW w:w="1563" w:type="dxa"/>
            <w:shd w:val="clear" w:color="auto" w:fill="auto"/>
            <w:vAlign w:val="center"/>
          </w:tcPr>
          <w:p>
            <w:pPr>
              <w:snapToGrid w:val="0"/>
              <w:jc w:val="center"/>
              <w:rPr>
                <w:rFonts w:ascii="Times New Roman" w:hAnsi="Times New Roman"/>
                <w:color w:val="auto"/>
                <w:sz w:val="18"/>
                <w:szCs w:val="18"/>
              </w:rPr>
            </w:pPr>
            <w:r>
              <w:rPr>
                <w:rFonts w:hint="eastAsia" w:ascii="Times New Roman" w:hAnsi="Times New Roman"/>
                <w:color w:val="auto"/>
                <w:sz w:val="18"/>
                <w:szCs w:val="18"/>
              </w:rPr>
              <w:t>提供检测报告</w:t>
            </w:r>
          </w:p>
        </w:tc>
        <w:tc>
          <w:tcPr>
            <w:tcW w:w="1303"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0" w:type="dxa"/>
            <w:vMerge w:val="continue"/>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2009" w:type="dxa"/>
            <w:gridSpan w:val="2"/>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危险废物</w:t>
            </w:r>
          </w:p>
        </w:tc>
        <w:tc>
          <w:tcPr>
            <w:tcW w:w="846" w:type="dxa"/>
            <w:shd w:val="clear" w:color="auto" w:fill="auto"/>
            <w:vAlign w:val="center"/>
          </w:tcPr>
          <w:p>
            <w:pPr>
              <w:snapToGrid w:val="0"/>
              <w:jc w:val="center"/>
              <w:rPr>
                <w:rFonts w:ascii="Times New Roman" w:hAnsi="Times New Roman"/>
                <w:color w:val="000000"/>
                <w:sz w:val="18"/>
                <w:szCs w:val="18"/>
              </w:rPr>
            </w:pPr>
          </w:p>
        </w:tc>
        <w:tc>
          <w:tcPr>
            <w:tcW w:w="3233" w:type="dxa"/>
            <w:gridSpan w:val="6"/>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处置符合GB</w:t>
            </w:r>
            <w:r>
              <w:t xml:space="preserve"> </w:t>
            </w:r>
            <w:r>
              <w:rPr>
                <w:rFonts w:ascii="Times New Roman" w:hAnsi="Times New Roman"/>
                <w:color w:val="000000" w:themeColor="text1"/>
                <w:sz w:val="18"/>
                <w:szCs w:val="18"/>
                <w14:textFill>
                  <w14:solidFill>
                    <w14:schemeClr w14:val="tx1"/>
                  </w14:solidFill>
                </w14:textFill>
              </w:rPr>
              <w:t>18597</w:t>
            </w:r>
            <w:r>
              <w:rPr>
                <w:rFonts w:hint="eastAsia" w:ascii="Times New Roman" w:hAnsi="Times New Roman"/>
                <w:color w:val="000000" w:themeColor="text1"/>
                <w:sz w:val="18"/>
                <w:szCs w:val="18"/>
                <w14:textFill>
                  <w14:solidFill>
                    <w14:schemeClr w14:val="tx1"/>
                  </w14:solidFill>
                </w14:textFill>
              </w:rPr>
              <w:t>要求</w:t>
            </w:r>
          </w:p>
        </w:tc>
        <w:tc>
          <w:tcPr>
            <w:tcW w:w="1563" w:type="dxa"/>
            <w:shd w:val="clear" w:color="auto" w:fill="auto"/>
            <w:vAlign w:val="center"/>
          </w:tcPr>
          <w:p>
            <w:pPr>
              <w:snapToGrid w:val="0"/>
              <w:jc w:val="center"/>
              <w:rPr>
                <w:rFonts w:ascii="Times New Roman" w:hAnsi="Times New Roman"/>
                <w:sz w:val="18"/>
                <w:szCs w:val="18"/>
              </w:rPr>
            </w:pPr>
            <w:r>
              <w:rPr>
                <w:rFonts w:hint="eastAsia" w:ascii="Times New Roman" w:hAnsi="Times New Roman"/>
                <w:sz w:val="18"/>
                <w:szCs w:val="18"/>
              </w:rPr>
              <w:t>提供证明材料（按照1年生产为周期计算）</w:t>
            </w:r>
          </w:p>
        </w:tc>
        <w:tc>
          <w:tcPr>
            <w:tcW w:w="1303" w:type="dxa"/>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0"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w:t>
            </w:r>
          </w:p>
          <w:p>
            <w:pPr>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2009" w:type="dxa"/>
            <w:gridSpan w:val="2"/>
            <w:vAlign w:val="center"/>
          </w:tcPr>
          <w:p>
            <w:pPr>
              <w:snapToGrid w:val="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产品质量</w:t>
            </w:r>
          </w:p>
        </w:tc>
        <w:tc>
          <w:tcPr>
            <w:tcW w:w="846" w:type="dxa"/>
            <w:shd w:val="clear" w:color="auto" w:fill="auto"/>
            <w:vAlign w:val="center"/>
          </w:tcPr>
          <w:p>
            <w:pPr>
              <w:snapToGrid w:val="0"/>
              <w:jc w:val="center"/>
              <w:rPr>
                <w:rFonts w:ascii="Times New Roman" w:hAnsi="Times New Roman"/>
                <w:color w:val="000000" w:themeColor="text1"/>
                <w:sz w:val="18"/>
                <w:szCs w:val="18"/>
                <w14:textFill>
                  <w14:solidFill>
                    <w14:schemeClr w14:val="tx1"/>
                  </w14:solidFill>
                </w14:textFill>
              </w:rPr>
            </w:pPr>
          </w:p>
        </w:tc>
        <w:tc>
          <w:tcPr>
            <w:tcW w:w="3233" w:type="dxa"/>
            <w:gridSpan w:val="6"/>
            <w:shd w:val="clear" w:color="auto" w:fill="auto"/>
            <w:vAlign w:val="center"/>
          </w:tcPr>
          <w:p>
            <w:pPr>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符合以下标准：</w:t>
            </w:r>
          </w:p>
          <w:p>
            <w:pPr>
              <w:snapToGrid w:val="0"/>
              <w:rPr>
                <w:rFonts w:ascii="Times New Roman" w:hAnsi="Times New Roman"/>
                <w:color w:val="000000" w:themeColor="text1"/>
                <w:sz w:val="18"/>
                <w:szCs w:val="18"/>
                <w14:textFill>
                  <w14:solidFill>
                    <w14:schemeClr w14:val="tx1"/>
                  </w14:solidFill>
                </w14:textFill>
              </w:rPr>
            </w:pPr>
            <w:bookmarkStart w:id="21" w:name="_Hlk110344609"/>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1531-2020铜及铜合金毛细管</w:t>
            </w:r>
          </w:p>
          <w:p>
            <w:pPr>
              <w:snapToGrid w:val="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8890-2015热交换器用铜合金无缝管</w:t>
            </w:r>
          </w:p>
          <w:p>
            <w:pPr>
              <w:snapToGrid w:val="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17791</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2017空调与制冷设备用铜及铜合金无缝管</w:t>
            </w:r>
          </w:p>
          <w:p>
            <w:pPr>
              <w:snapToGrid w:val="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18033-2017无缝铜水管和铜气管</w:t>
            </w:r>
          </w:p>
          <w:p>
            <w:pPr>
              <w:snapToGrid w:val="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19849-2005电缆用无缝铜管</w:t>
            </w:r>
          </w:p>
          <w:p>
            <w:pPr>
              <w:snapToGrid w:val="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19850-2013导电用无缝铜管</w:t>
            </w:r>
          </w:p>
          <w:p>
            <w:pPr>
              <w:snapToGrid w:val="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20928-2020无缝内螺纹铜管</w:t>
            </w:r>
          </w:p>
          <w:p>
            <w:pPr>
              <w:snapToGrid w:val="0"/>
              <w:ind w:firstLine="0" w:firstLineChars="0"/>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GB</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T 26302-2020热管用铜及铜合金无缝管</w:t>
            </w:r>
            <w:bookmarkEnd w:id="21"/>
          </w:p>
        </w:tc>
        <w:tc>
          <w:tcPr>
            <w:tcW w:w="1563" w:type="dxa"/>
            <w:shd w:val="clear" w:color="auto" w:fill="auto"/>
            <w:vAlign w:val="center"/>
          </w:tcPr>
          <w:p>
            <w:pPr>
              <w:snapToGrid w:val="0"/>
              <w:rPr>
                <w:rFonts w:ascii="Times New Roman" w:hAnsi="Times New Roman"/>
                <w:color w:val="auto"/>
                <w:sz w:val="18"/>
                <w:szCs w:val="18"/>
              </w:rPr>
            </w:pPr>
            <w:r>
              <w:rPr>
                <w:rFonts w:hint="eastAsia" w:ascii="Times New Roman" w:hAnsi="Times New Roman"/>
                <w:color w:val="auto"/>
                <w:sz w:val="18"/>
                <w:szCs w:val="18"/>
              </w:rPr>
              <w:t>提供检测报告</w:t>
            </w:r>
          </w:p>
        </w:tc>
        <w:tc>
          <w:tcPr>
            <w:tcW w:w="1303" w:type="dxa"/>
            <w:vAlign w:val="center"/>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产品使用阶段</w:t>
            </w:r>
          </w:p>
        </w:tc>
      </w:tr>
    </w:tbl>
    <w:p>
      <w:pPr>
        <w:pStyle w:val="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 xml:space="preserve"> </w:t>
      </w:r>
      <w:bookmarkStart w:id="22" w:name="_Toc50380979"/>
      <w:r>
        <w:rPr>
          <w:rFonts w:hint="eastAsia"/>
          <w:color w:val="000000" w:themeColor="text1"/>
          <w14:textFill>
            <w14:solidFill>
              <w14:schemeClr w14:val="tx1"/>
            </w14:solidFill>
          </w14:textFill>
        </w:rPr>
        <w:t>数据来源</w:t>
      </w:r>
      <w:bookmarkEnd w:id="22"/>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统计数据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企业的原辅材料及能源使用量、产品产量、废水、废气和危废产生量及相关技术经济指标等，以月报表或年报表为准。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实测数据</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企业的原辅材料及能源使用量、产品产量、废水、废气和危废产生量及相关技术经济指标等，相关数据可以在一定计量时间内用实测方法取得，计量时间一般不少于1个月。</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采样和监测</w:t>
      </w:r>
    </w:p>
    <w:p>
      <w:pPr>
        <w:spacing w:line="360" w:lineRule="auto"/>
        <w:ind w:left="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污染物排放指标的采样和监测按照相关技术规范执行，并采用国家或行业标准监测分析方法。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定性指标</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定性指标一般采取企业提供文件证明资料的方式提供。文件证明可以是成文制度、管理记录、监测报告、监管部门信息查询结果、认证证书、企业承诺和说明等。</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数据处理和计算方法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本文件中每个指标的计算方法或检测方法，应优先采用GB/T 36132等国家或行业标准。</w:t>
      </w:r>
    </w:p>
    <w:p>
      <w:pPr>
        <w:pStyle w:val="4"/>
        <w:spacing w:line="360" w:lineRule="auto"/>
        <w:rPr>
          <w:color w:val="000000" w:themeColor="text1"/>
          <w:lang w:val="en-US"/>
          <w14:textFill>
            <w14:solidFill>
              <w14:schemeClr w14:val="tx1"/>
            </w14:solidFill>
          </w14:textFill>
        </w:rPr>
      </w:pPr>
      <w:bookmarkStart w:id="23" w:name="_Toc50380980"/>
    </w:p>
    <w:p>
      <w:pPr>
        <w:pStyle w:val="4"/>
        <w:spacing w:line="360" w:lineRule="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 xml:space="preserve">5 </w:t>
      </w:r>
      <w:r>
        <w:rPr>
          <w:color w:val="000000" w:themeColor="text1"/>
          <w14:textFill>
            <w14:solidFill>
              <w14:schemeClr w14:val="tx1"/>
            </w14:solidFill>
          </w14:textFill>
        </w:rPr>
        <w:t>产品生命周期评价</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报告</w:t>
      </w:r>
      <w:bookmarkEnd w:id="23"/>
      <w:bookmarkStart w:id="24" w:name="_Toc50380981"/>
    </w:p>
    <w:p>
      <w:pPr>
        <w:ind w:firstLine="420" w:firstLineChars="200"/>
        <w:rPr>
          <w:lang w:val="zh-CN"/>
        </w:rPr>
      </w:pPr>
      <w:r>
        <w:rPr>
          <w:rFonts w:hint="eastAsia"/>
          <w:lang w:val="zh-CN"/>
        </w:rPr>
        <w:t>产品生命周期评价与报告按照GB/T**** 铜及铜合金加工产品制造生命周期评价技术规范要求进行评价和报告。</w:t>
      </w:r>
    </w:p>
    <w:bookmarkEnd w:id="24"/>
    <w:p>
      <w:pPr>
        <w:pStyle w:val="4"/>
        <w:spacing w:line="360" w:lineRule="auto"/>
        <w:rPr>
          <w:color w:val="000000" w:themeColor="text1"/>
          <w14:textFill>
            <w14:solidFill>
              <w14:schemeClr w14:val="tx1"/>
            </w14:solidFill>
          </w14:textFill>
        </w:rPr>
      </w:pPr>
      <w:bookmarkStart w:id="25" w:name="_Toc50380989"/>
      <w:bookmarkStart w:id="26" w:name="_Toc514086410"/>
    </w:p>
    <w:p>
      <w:pPr>
        <w:pStyle w:val="4"/>
        <w:spacing w:line="360" w:lineRule="auto"/>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 xml:space="preserve">6 </w:t>
      </w:r>
      <w:r>
        <w:rPr>
          <w:color w:val="000000" w:themeColor="text1"/>
          <w14:textFill>
            <w14:solidFill>
              <w14:schemeClr w14:val="tx1"/>
            </w14:solidFill>
          </w14:textFill>
        </w:rPr>
        <w:t>评价方法</w:t>
      </w:r>
      <w:r>
        <w:rPr>
          <w:rFonts w:hint="eastAsia"/>
          <w:color w:val="000000" w:themeColor="text1"/>
          <w14:textFill>
            <w14:solidFill>
              <w14:schemeClr w14:val="tx1"/>
            </w14:solidFill>
          </w14:textFill>
        </w:rPr>
        <w:t>和流程</w:t>
      </w:r>
      <w:bookmarkEnd w:id="25"/>
      <w:bookmarkEnd w:id="26"/>
    </w:p>
    <w:p>
      <w:pPr>
        <w:pStyle w:val="4"/>
        <w:spacing w:line="360" w:lineRule="auto"/>
        <w:rPr>
          <w:color w:val="000000" w:themeColor="text1"/>
          <w14:textFill>
            <w14:solidFill>
              <w14:schemeClr w14:val="tx1"/>
            </w14:solidFill>
          </w14:textFill>
        </w:rPr>
      </w:pPr>
      <w:bookmarkStart w:id="27" w:name="_Toc50380990"/>
      <w:r>
        <w:rPr>
          <w:rFonts w:hint="eastAsia"/>
          <w:color w:val="000000" w:themeColor="text1"/>
          <w14:textFill>
            <w14:solidFill>
              <w14:schemeClr w14:val="tx1"/>
            </w14:solidFill>
          </w14:textFill>
        </w:rPr>
        <w:t>6.</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评价方法</w:t>
      </w:r>
      <w:bookmarkEnd w:id="27"/>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本标准采用指标评价和生命周期评价相结合的方法，可按照4.1基本要求和4.2评价指标要求开展自我评价或第三方评价，产品应同时满足以下两个条件，可判定为绿色设计产品：</w:t>
      </w:r>
    </w:p>
    <w:p>
      <w:pPr>
        <w:numPr>
          <w:ilvl w:val="0"/>
          <w:numId w:val="6"/>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满足基本要求（见4.1）和评价指标要求（见4.2）；</w:t>
      </w:r>
    </w:p>
    <w:p>
      <w:pPr>
        <w:numPr>
          <w:ilvl w:val="0"/>
          <w:numId w:val="6"/>
        </w:numPr>
        <w:spacing w:line="360" w:lineRule="auto"/>
        <w:ind w:left="0"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提供产品生命周期评价报告。</w:t>
      </w:r>
    </w:p>
    <w:p>
      <w:pPr>
        <w:pStyle w:val="3"/>
        <w:spacing w:before="120" w:after="120"/>
        <w:rPr>
          <w:color w:val="000000" w:themeColor="text1"/>
          <w14:textFill>
            <w14:solidFill>
              <w14:schemeClr w14:val="tx1"/>
            </w14:solidFill>
          </w14:textFill>
        </w:rPr>
      </w:pPr>
      <w:bookmarkStart w:id="28" w:name="_Toc50380991"/>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评价流程</w:t>
      </w:r>
      <w:bookmarkEnd w:id="28"/>
    </w:p>
    <w:p>
      <w:pPr>
        <w:widowControl/>
        <w:ind w:firstLine="420" w:firstLineChars="200"/>
        <w:jc w:val="lef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根据产品的生产特点，评价流程见图1。</w:t>
      </w: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p>
    <w:p>
      <w:pPr>
        <w:widowControl/>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mc:AlternateContent>
          <mc:Choice Requires="wps">
            <w:drawing>
              <wp:anchor distT="45720" distB="45720" distL="114300" distR="114300" simplePos="0" relativeHeight="251689984" behindDoc="0" locked="0" layoutInCell="1" allowOverlap="1">
                <wp:simplePos x="0" y="0"/>
                <wp:positionH relativeFrom="column">
                  <wp:posOffset>1470660</wp:posOffset>
                </wp:positionH>
                <wp:positionV relativeFrom="paragraph">
                  <wp:posOffset>5731510</wp:posOffset>
                </wp:positionV>
                <wp:extent cx="2360930" cy="1404620"/>
                <wp:effectExtent l="0" t="0" r="5080" b="6350"/>
                <wp:wrapSquare wrapText="bothSides"/>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5.8pt;margin-top:451.3pt;height:110.6pt;width:185.9pt;mso-wrap-distance-bottom:3.6pt;mso-wrap-distance-left:9pt;mso-wrap-distance-right:9pt;mso-wrap-distance-top:3.6pt;z-index:251689984;mso-width-relative:margin;mso-height-relative:margin;mso-width-percent:400;mso-height-percent:200;" fillcolor="#FFFFFF" filled="t" stroked="f" coordsize="21600,21600" o:gfxdata="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Ajn/2gAAAAwBAAAPAAAAAAAAAAEAIAAAACIAAABkcnMv&#10;ZG93bnJldi54bWxQSwECFAAUAAAACACHTuJA69fiszoCAABUBAAADgAAAAAAAAABACAAAAApAQAA&#10;ZHJzL2Uyb0RvYy54bWxQSwUGAAAAAAYABgBZAQAA1QUAAAAA&#10;">
                <v:fill on="t" focussize="0,0"/>
                <v:stroke on="f" miterlimit="8" joinstyle="miter"/>
                <v:imagedata o:title=""/>
                <o:lock v:ext="edit" aspectratio="f"/>
                <v:textbox style="mso-fit-shape-to-text:t;">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382" cy="65151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25pt;margin-top:367.25pt;height:51.3pt;width:99.65pt;z-index:251670528;v-text-anchor:middle;mso-width-relative:page;mso-height-relative:page;" fillcolor="#FFFFFF [3201]" filled="t" stroked="t" coordsize="21600,21600" o:gfxdata="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idT43AAAAAsBAAAPAAAAAAAAAAEAIAAA&#10;ACIAAABkcnMvZG93bnJldi54bWxQSwECFAAUAAAACACHTuJA7zj/CHoCAAAEBQAADgAAAAAAAAAB&#10;ACAAAAArAQAAZHJzL2Uyb0RvYy54bWxQSwUGAAAAAAYABgBZAQAAFw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3pt;margin-top:329pt;height:38.1pt;width:0pt;z-index:251677696;mso-width-relative:page;mso-height-relative:page;" filled="f" stroked="t" coordsize="21600,21600" o:gfxdata="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4//HzaAAAACwEAAA8AAAAAAAAAAQAgAAAA&#10;IgAAAGRycy9kb3ducmV2LnhtbFBLAQIUABQAAAAIAIdO4kAo31oCCQIAAOIDAAAOAAAAAAAAAAEA&#10;IAAAACk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25pt;margin-top:285.7pt;height:24.5pt;width:58.9pt;z-index:251687936;mso-width-relative:page;mso-height-relative:page;" filled="f" stroked="f" coordsize="21600,21600" o:gfxdata="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NVh7YAAAACwEAAA8AAAAAAAAAAQAgAAAAIgAAAGRycy9kb3ducmV2&#10;LnhtbFBLAQIUABQAAAAIAIdO4kC2bebK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858520</wp:posOffset>
                </wp:positionH>
                <wp:positionV relativeFrom="paragraph">
                  <wp:posOffset>3153410</wp:posOffset>
                </wp:positionV>
                <wp:extent cx="657225" cy="713740"/>
                <wp:effectExtent l="19050" t="0" r="67310" b="8636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35" o:spid="_x0000_s1026" o:spt="34" type="#_x0000_t34" style="position:absolute;left:0pt;margin-left:67.6pt;margin-top:248.3pt;height:56.2pt;width:51.75pt;z-index:251681792;mso-width-relative:page;mso-height-relative:page;" filled="f" stroked="t" coordsize="21600,21600" o:gfxdata="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3T&#10;dt3aAAAACwEAAA8AAAAAAAAAAQAgAAAAIgAAAGRycy9kb3ducmV2LnhtbFBLAQIUABQAAAAIAIdO&#10;4kDU7/kzIQIAAAwEAAAOAAAAAAAAAAEAIAAAACkBAABkcnMvZTJvRG9jLnhtbFBLBQYAAAAABgAG&#10;AFkBAAC8BQAAAAA=&#10;" adj="-54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9.5pt;margin-top:280.55pt;height:48.6pt;width:104.6pt;z-index:251669504;v-text-anchor:middle;mso-width-relative:page;mso-height-relative:page;" fillcolor="#FFFFFF [3201]" filled="t" stroked="t" coordsize="21600,21600" o:gfxdata="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5yncJ&#10;2wAAAAsBAAAPAAAAAAAAAAEAIAAAACIAAABkcnMvZG93bnJldi54bWxQSwECFAAUAAAACACHTuJA&#10;bRuB/pACAAAZBQAADgAAAAAAAAABACAAAAAqAQAAZHJzL2Uyb0RvYy54bWxQSwUGAAAAAAYABgBZ&#10;AQAALA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同时满足</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1456055</wp:posOffset>
                </wp:positionH>
                <wp:positionV relativeFrom="paragraph">
                  <wp:posOffset>1232535</wp:posOffset>
                </wp:positionV>
                <wp:extent cx="749935" cy="493395"/>
                <wp:effectExtent l="0" t="0" r="69850" b="59690"/>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9" o:spid="_x0000_s1026" o:spt="34" type="#_x0000_t34" style="position:absolute;left:0pt;margin-left:114.65pt;margin-top:97.05pt;height:38.85pt;width:59.05pt;z-index:251678720;mso-width-relative:page;mso-height-relative:page;" filled="f" stroked="t" coordsize="21600,21600" o:gfxdata="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yvbbtkAAAALAQAADwAAAAAAAAABACAAAAAiAAAAZHJzL2Rvd25yZXYueG1sUEsBAhQAFAAAAAgA&#10;h07iQFNb9IokAgAADQQAAA4AAAAAAAAAAQAgAAAAKAEAAGRycy9lMm9Eb2MueG1sUEsFBgAAAAAG&#10;AAYAWQEAAL4FAAAAAA==&#10;" adj="21634">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1445260</wp:posOffset>
                </wp:positionH>
                <wp:positionV relativeFrom="paragraph">
                  <wp:posOffset>2402840</wp:posOffset>
                </wp:positionV>
                <wp:extent cx="760095" cy="549910"/>
                <wp:effectExtent l="0" t="38100" r="78105" b="2159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8" o:spid="_x0000_s1026" o:spt="34" type="#_x0000_t34" style="position:absolute;left:0pt;flip:y;margin-left:113.8pt;margin-top:189.2pt;height:43.3pt;width:59.85pt;z-index:251679744;mso-width-relative:page;mso-height-relative:page;" filled="f" stroked="t" coordsize="21600,21600" o:gfxdata="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GVIIDbAAAACwEAAA8AAAAAAAAAAQAgAAAAIgAAAGRycy9kb3ducmV2LnhtbFBLAQIU&#10;ABQAAAAIAIdO4kAawRWRKQIAABYEAAAOAAAAAAAAAAEAIAAAACoBAABkcnMvZTJvRG9jLnhtbFBL&#10;BQYAAAAABgAGAFkBAADFBQAAAAA=&#10;" adj="21555">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15pt;margin-top:135.85pt;height:53.4pt;width:89.6pt;z-index:251668480;v-text-anchor:middle;mso-width-relative:page;mso-height-relative:page;" fillcolor="#FFFFFF [3201]" filled="t" stroked="t" coordsize="21600,21600" o:gfxdata="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vC1ytwAAAALAQAADwAAAAAAAAABACAAAAAi&#10;AAAAZHJzL2Rvd25yZXYueG1sUEsBAhQAFAAAAAgAh07iQICLsdR4AgAABAUAAA4AAAAAAAAAAQAg&#10;AAAAKwEAAGRycy9lMm9Eb2MueG1sUEsFBgAAAAAGAAYAWQEAABU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非绿色设计产品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85.8pt;height:24.5pt;width:58.9pt;z-index:251688960;mso-width-relative:page;mso-height-relative:page;" filled="f" stroked="f" coordsize="21600,21600" o:gfxdata="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cY2ijYAAAACwEAAA8AAAAAAAAAAQAgAAAAIgAAAGRycy9kb3ducmV2&#10;LnhtbFBLAQIUABQAAAAIAIdO4kBlcRwj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9pt;margin-top:170.25pt;height:62.95pt;width:30.5pt;z-index:251686912;mso-width-relative:page;mso-height-relative:page;" filled="f" stroked="f" coordsize="21600,21600" o:gfxdata="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kpce9wAAAALAQAADwAAAAAAAAABACAAAAAiAAAAZHJz&#10;L2Rvd25yZXYueG1sUEsBAhQAFAAAAAgAh07iQHKojx85AgAAYAQAAA4AAAAAAAAAAQAgAAAAKwEA&#10;AGRycy9lMm9Eb2MueG1sUEsFBgAAAAAGAAYAWQEAANYFAAAAAA==&#10;">
                <v:fill on="f" focussize="0,0"/>
                <v:stroke on="f"/>
                <v:imagedata o:title=""/>
                <o:lock v:ext="edit" aspectratio="f"/>
                <v:textbox style="layout-flow:vertical-ideographic;">
                  <w:txbxContent>
                    <w:p>
                      <w:pPr>
                        <w:rPr>
                          <w:sz w:val="18"/>
                          <w:szCs w:val="18"/>
                        </w:rPr>
                      </w:pPr>
                      <w:r>
                        <w:rPr>
                          <w:rFonts w:hint="eastAsia"/>
                          <w:sz w:val="18"/>
                          <w:szCs w:val="18"/>
                        </w:rPr>
                        <w:t>未通过审核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143.4pt;height:62.95pt;width:30.5pt;z-index:251684864;mso-width-relative:page;mso-height-relative:page;" filled="f" stroked="f" coordsize="21600,21600" o:gfxdata="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I2DR2QAAAAsBAAAPAAAAAAAAAAEAIAAAACIAAABkcnMvZG93&#10;bnJldi54bWxQSwECFAAUAAAACACHTuJAyMcmsjgCAABgBAAADgAAAAAAAAABACAAAAAoAQAAZHJz&#10;L2Uyb0RvYy54bWxQSwUGAAAAAAYABgBZAQAA0gUAAAAA&#10;">
                <v:fill on="f" focussize="0,0"/>
                <v:stroke on="f"/>
                <v:imagedata o:title=""/>
                <o:lock v:ext="edit" aspectratio="f"/>
                <v:textbox style="layout-flow:vertical-ideographic;">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5pt;margin-top:213.8pt;height:24.5pt;width:69.1pt;z-index:251685888;mso-width-relative:page;mso-height-relative:page;" filled="f" stroked="f" coordsize="21600,21600" o:gfxdata="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Jsul3YAAAACwEAAA8AAAAAAAAAAQAgAAAAIgAAAGRycy9kb3ducmV2&#10;LnhtbFBLAQIUABQAAAAIAIdO4kChVY2V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80.8pt;height:24.5pt;width:69.1pt;z-index:251682816;mso-width-relative:page;mso-height-relative:page;" filled="f" stroked="f" coordsize="21600,21600" o:gfxdata="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MXLNYAAAALAQAADwAAAAAAAAABACAAAAAiAAAAZHJzL2Rvd25yZXYu&#10;eG1sUEsBAhQAFAAAAAgAh07iQDw8qLY2AgAAXgQAAA4AAAAAAAAAAQAgAAAAJQEAAGRycy9lMm9E&#10;b2MueG1sUEsFBgAAAAAGAAYAWQEAAM0FA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2849245</wp:posOffset>
                </wp:positionH>
                <wp:positionV relativeFrom="paragraph">
                  <wp:posOffset>3153410</wp:posOffset>
                </wp:positionV>
                <wp:extent cx="1198245" cy="713740"/>
                <wp:effectExtent l="38100" t="0" r="21590" b="8636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6" o:spid="_x0000_s1026" o:spt="34" type="#_x0000_t34" style="position:absolute;left:0pt;flip:x;margin-left:224.35pt;margin-top:248.3pt;height:56.2pt;width:94.35pt;z-index:251683840;mso-width-relative:page;mso-height-relative:page;" filled="f" stroked="t" coordsize="21600,21600" o:gfxdata="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A1LGr2gAAAAsBAAAPAAAAAAAAAAEAIAAAACIAAABkcnMvZG93bnJldi54bWxQSwECFAAU&#10;AAAACACHTuJAEyGFJygCAAAVBAAADgAAAAAAAAABACAAAAApAQAAZHJzL2Uyb0RvYy54bWxQSwUG&#10;AAAAAAYABgBZAQAAwwUAAAAA&#10;" adj="178">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2722880</wp:posOffset>
                </wp:positionH>
                <wp:positionV relativeFrom="paragraph">
                  <wp:posOffset>1998980</wp:posOffset>
                </wp:positionV>
                <wp:extent cx="728980" cy="962025"/>
                <wp:effectExtent l="38100" t="76200" r="13970" b="2857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7" o:spid="_x0000_s1026" o:spt="34" type="#_x0000_t34" style="position:absolute;left:0pt;flip:x y;margin-left:214.4pt;margin-top:157.4pt;height:75.75pt;width:57.4pt;z-index:251680768;mso-width-relative:page;mso-height-relative:page;" filled="f" stroked="t" coordsize="21600,21600" o:gfxdata="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mX5DDaAAAACwEA&#10;AA8AAAAAAAAAAQAgAAAAIgAAAGRycy9kb3ducmV2LnhtbFBLAQIUABQAAAAIAIdO4kAz0NHAGAIA&#10;APMDAAAOAAAAAAAAAAEAIAAAACkBAABkcnMvZTJvRG9jLnhtbFBLBQYAAAAABgAGAFkBAACzBQAA&#10;AAA=&#10;" adj="1080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4042410</wp:posOffset>
                </wp:positionH>
                <wp:positionV relativeFrom="paragraph">
                  <wp:posOffset>1418590</wp:posOffset>
                </wp:positionV>
                <wp:extent cx="0" cy="661670"/>
                <wp:effectExtent l="0" t="0" r="38100" b="24130"/>
                <wp:wrapNone/>
                <wp:docPr id="51" name="直接连接符 51"/>
                <wp:cNvGraphicFramePr/>
                <a:graphic xmlns:a="http://schemas.openxmlformats.org/drawingml/2006/main">
                  <a:graphicData uri="http://schemas.microsoft.com/office/word/2010/wordprocessingShape">
                    <wps:wsp>
                      <wps:cNvCnPr/>
                      <wps:spPr>
                        <a:xfrm>
                          <a:off x="0" y="0"/>
                          <a:ext cx="0" cy="661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3pt;margin-top:111.7pt;height:52.1pt;width:0pt;z-index:251676672;mso-width-relative:page;mso-height-relative:page;" filled="f" stroked="t" coordsize="21600,21600" o:gfxdata="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AT&#10;zMLZAAAACwEAAA8AAAAAAAAAAQAgAAAAIgAAAGRycy9kb3ducmV2LnhtbFBLAQIUABQAAAAIAIdO&#10;4kCKeHka6QEAALIDAAAOAAAAAAAAAAEAIAAAACgBAABkcnMvZTJvRG9jLnhtbFBLBQYAAAAABgAG&#10;AFkBAACDBQAAAAA=&#10;">
                <v:fill on="f" focussize="0,0"/>
                <v:stroke weight="0.5pt" color="#4472C4 [3204]"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4042410</wp:posOffset>
                </wp:positionH>
                <wp:positionV relativeFrom="paragraph">
                  <wp:posOffset>2458720</wp:posOffset>
                </wp:positionV>
                <wp:extent cx="0" cy="318770"/>
                <wp:effectExtent l="76200" t="0" r="76200" b="62230"/>
                <wp:wrapNone/>
                <wp:docPr id="52" name="直接箭头连接符 5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3pt;margin-top:193.6pt;height:25.1pt;width:0pt;z-index:251675648;mso-width-relative:page;mso-height-relative:page;" filled="f" stroked="t" coordsize="21600,21600" o:gfxdata="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8gf02gAAAAsBAAAPAAAAAAAAAAEAIAAA&#10;ACIAAABkcnMvZG93bnJldi54bWxQSwECFAAUAAAACACHTuJAeQjoHQoCAADiAwAADgAAAAAAAAAB&#10;ACAAAAApAQAAZHJzL2Uyb0RvYy54bWxQSwUGAAAAAAYABgBZAQAApQU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864870</wp:posOffset>
                </wp:positionH>
                <wp:positionV relativeFrom="paragraph">
                  <wp:posOffset>1418590</wp:posOffset>
                </wp:positionV>
                <wp:extent cx="0" cy="1358900"/>
                <wp:effectExtent l="76200" t="0" r="57150" b="508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1pt;margin-top:111.7pt;height:107pt;width:0pt;z-index:251674624;mso-width-relative:page;mso-height-relative:page;" filled="f" stroked="t" coordsize="21600,21600" o:gfxdata="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1kpSDZAAAACwEAAA8AAAAAAAAAAQAgAAAA&#10;IgAAAGRycy9kb3ducmV2LnhtbFBLAQIUABQAAAAIAIdO4kDVCFuQCgIAAOMDAAAOAAAAAAAAAAEA&#10;IAAAACg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3451860</wp:posOffset>
                </wp:positionH>
                <wp:positionV relativeFrom="paragraph">
                  <wp:posOffset>2080260</wp:posOffset>
                </wp:positionV>
                <wp:extent cx="1211580" cy="378460"/>
                <wp:effectExtent l="0" t="0" r="26670" b="21590"/>
                <wp:wrapNone/>
                <wp:docPr id="54" name="矩形 54"/>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163.8pt;height:29.8pt;width:95.4pt;z-index:251665408;v-text-anchor:middle;mso-width-relative:page;mso-height-relative:page;" fillcolor="#FFFFFF [3201]" filled="t" stroked="t" coordsize="21600,21600" o:gfxdata="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RR6UnYAAAACwEAAA8AAAAAAAAAAQAgAAAAIgAAAGRy&#10;cy9kb3ducmV2LnhtbFBLAQIUABQAAAAIAIdO4kCGxmWFdwIAAAEFAAAOAAAAAAAAAAEAIAAAACcB&#10;AABkcnMvZTJvRG9jLnhtbFBLBQYAAAAABgAGAFkBAAAQ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生命周期解释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4046220</wp:posOffset>
                </wp:positionH>
                <wp:positionV relativeFrom="paragraph">
                  <wp:posOffset>641350</wp:posOffset>
                </wp:positionV>
                <wp:extent cx="0" cy="398780"/>
                <wp:effectExtent l="76200" t="0" r="57150" b="58420"/>
                <wp:wrapNone/>
                <wp:docPr id="55" name="直接箭头连接符 55"/>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8.6pt;margin-top:50.5pt;height:31.4pt;width:0pt;z-index:251673600;mso-width-relative:page;mso-height-relative:page;" filled="f" stroked="t" coordsize="21600,21600" o:gfxdata="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tqFWnYAAAACwEAAA8AAAAAAAAAAQAgAAAA&#10;IgAAAGRycy9kb3ducmV2LnhtbFBLAQIUABQAAAAIAIdO4kDBwrBECwIAAOIDAAAOAAAAAAAAAAEA&#10;IAAAACcBAABkcnMvZTJvRG9jLnhtbFBLBQYAAAAABgAGAFkBAACkBQ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868680</wp:posOffset>
                </wp:positionH>
                <wp:positionV relativeFrom="paragraph">
                  <wp:posOffset>641350</wp:posOffset>
                </wp:positionV>
                <wp:extent cx="0" cy="3987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8.4pt;margin-top:50.5pt;height:31.4pt;width:0pt;z-index:251672576;mso-width-relative:page;mso-height-relative:page;" filled="f" stroked="t" coordsize="21600,21600" o:gfxdata="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BZP6NcAAAALAQAADwAAAAAAAAABACAAAAAi&#10;AAAAZHJzL2Rvd25yZXYueG1sUEsBAhQAFAAAAAgAh07iQH2QaiILAgAA4gMAAA4AAAAAAAAAAQAg&#10;AAAAJgEAAGRycy9lMm9Eb2MueG1sUEsFBgAAAAAGAAYAWQEAAKM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1451610</wp:posOffset>
                </wp:positionH>
                <wp:positionV relativeFrom="paragraph">
                  <wp:posOffset>468630</wp:posOffset>
                </wp:positionV>
                <wp:extent cx="2000250" cy="0"/>
                <wp:effectExtent l="0" t="76200" r="19050" b="9525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4.3pt;margin-top:36.9pt;height:0pt;width:157.5pt;z-index:251671552;mso-width-relative:page;mso-height-relative:page;" filled="f" stroked="t" coordsize="21600,21600" o:gfxdata="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n5q79cAAAAJAQAADwAAAAAAAAABACAAAAAiAAAA&#10;ZHJzL2Rvd25yZXYueG1sUEsBAhQAFAAAAAgAh07iQPYPwLcIAgAA4wMAAA4AAAAAAAAAAQAgAAAA&#10;JgEAAGRycy9lMm9Eb2MueG1sUEsFBgAAAAAGAAYAWQEAAKAFAAAAAA==&#10;">
                <v:fill on="f" focussize="0,0"/>
                <v:stroke weight="0.5pt" color="#4472C4 [3204]"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3451860</wp:posOffset>
                </wp:positionH>
                <wp:positionV relativeFrom="paragraph">
                  <wp:posOffset>262890</wp:posOffset>
                </wp:positionV>
                <wp:extent cx="1211580" cy="378460"/>
                <wp:effectExtent l="0" t="0" r="26670" b="21590"/>
                <wp:wrapNone/>
                <wp:docPr id="58" name="矩形 58"/>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生命周期清单分析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0.7pt;height:29.8pt;width:95.4pt;z-index:251662336;v-text-anchor:middle;mso-width-relative:page;mso-height-relative:page;" fillcolor="#FFFFFF [3201]" filled="t" stroked="t" coordsize="21600,21600" o:gfxdata="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cgkxNcAAAAKAQAADwAAAAAAAAABACAAAAAiAAAAZHJz&#10;L2Rvd25yZXYueG1sUEsBAhQAFAAAAAgAh07iQOTXdmF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生命周期清单分析</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3451860</wp:posOffset>
                </wp:positionH>
                <wp:positionV relativeFrom="paragraph">
                  <wp:posOffset>1040130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81.9pt;height:29.8pt;width:95.4pt;z-index:251664384;v-text-anchor:middle;mso-width-relative:page;mso-height-relative:page;" fillcolor="#FFFFFF [3201]" filled="t" stroked="t" coordsize="21600,21600" o:gfxdata="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vm/G9cAAAALAQAADwAAAAAAAAABACAAAAAiAAAAZHJz&#10;L2Rvd25yZXYueG1sUEsBAhQAFAAAAAgAh07iQPPozZt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18.7pt;height:29.8pt;width:95.4pt;z-index:251666432;v-text-anchor:middle;mso-width-relative:page;mso-height-relative:page;" fillcolor="#FFFFFF [3201]" filled="t" stroked="t" coordsize="21600,21600" o:gfxdata="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o6e6nXAAAACwEAAA8AAAAAAAAAAQAgAAAAIgAAAGRycy9k&#10;b3ducmV2LnhtbFBLAQIUABQAAAAIAIdO4kARc2GH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18.7pt;height:29.8pt;width:91.8pt;z-index:251667456;v-text-anchor:middle;mso-width-relative:page;mso-height-relative:page;" fillcolor="#FFFFFF [3201]" filled="t" stroked="t" coordsize="21600,21600" o:gfxdata="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q19N7YAAAACgEAAA8AAAAAAAAAAQAgAAAAIgAAAGRycy9k&#10;b3ducmV2LnhtbFBLAQIUABQAAAAIAIdO4kBSYNjsdAIAAAEFAAAOAAAAAAAAAAEAIAAAACc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评价指标要求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81.9pt;height:29.8pt;width:91.8pt;z-index:251663360;v-text-anchor:middle;mso-width-relative:page;mso-height-relative:page;" fillcolor="#FFFFFF [3201]" filled="t" stroked="t" coordsize="21600,21600" o:gfxdata="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2MGzXAAAACgEAAA8AAAAAAAAAAQAgAAAAIgAAAGRycy9k&#10;b3ducmV2LnhtbFBLAQIUABQAAAAIAIdO4kAqJ2Q4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基本要求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0.7pt;height:29.8pt;width:91.8pt;z-index:251661312;v-text-anchor:middle;mso-width-relative:page;mso-height-relative:page;" fillcolor="#FFFFFF [3201]" filled="t" stroked="t" coordsize="21600,21600" o:gfxdata="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lfex9YAAAAJAQAADwAAAAAAAAABACAAAAAiAAAAZHJzL2Rv&#10;d25yZXYueG1sUEsBAhQAFAAAAAgAh07iQD0Y38J1AgAAAQUAAA4AAAAAAAAAAQAgAAAAJQEAAGRy&#10;cy9lMm9Eb2MueG1sUEsFBgAAAAAGAAYAWQEAAAw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目的和范围确定</w:t>
                      </w:r>
                    </w:p>
                  </w:txbxContent>
                </v:textbox>
              </v:rect>
            </w:pict>
          </mc:Fallback>
        </mc:AlternateContent>
      </w:r>
    </w:p>
    <w:sectPr>
      <w:footerReference r:id="rId5" w:type="default"/>
      <w:pgSz w:w="11906" w:h="16838"/>
      <w:pgMar w:top="1412" w:right="1140" w:bottom="1412"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0" w:line="240" w:lineRule="auto"/>
      <w:jc w:val="right"/>
    </w:pPr>
    <w:r>
      <w:rPr>
        <w:rFonts w:eastAsia="黑体"/>
        <w:color w:val="auto"/>
        <w:sz w:val="21"/>
        <w:szCs w:val="21"/>
      </w:rPr>
      <w:t>T/XXXX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zE2MDMzMmZhNjZmODRjODA2NDU3Mjk4YmExNDAifQ=="/>
  </w:docVars>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3156"/>
    <w:rsid w:val="000344F4"/>
    <w:rsid w:val="000348D8"/>
    <w:rsid w:val="00041400"/>
    <w:rsid w:val="000468D9"/>
    <w:rsid w:val="00047EC2"/>
    <w:rsid w:val="00050F37"/>
    <w:rsid w:val="0005161D"/>
    <w:rsid w:val="00052CD4"/>
    <w:rsid w:val="00052F19"/>
    <w:rsid w:val="00055A9E"/>
    <w:rsid w:val="000572D4"/>
    <w:rsid w:val="00057C79"/>
    <w:rsid w:val="00060572"/>
    <w:rsid w:val="0006089F"/>
    <w:rsid w:val="00061224"/>
    <w:rsid w:val="000615EE"/>
    <w:rsid w:val="000638C7"/>
    <w:rsid w:val="00064939"/>
    <w:rsid w:val="000651A4"/>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BFD"/>
    <w:rsid w:val="000960C7"/>
    <w:rsid w:val="000977EA"/>
    <w:rsid w:val="000A05AA"/>
    <w:rsid w:val="000A2A32"/>
    <w:rsid w:val="000A529F"/>
    <w:rsid w:val="000A6631"/>
    <w:rsid w:val="000A7C9B"/>
    <w:rsid w:val="000B0A74"/>
    <w:rsid w:val="000B1124"/>
    <w:rsid w:val="000B231C"/>
    <w:rsid w:val="000B27F1"/>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2F6A"/>
    <w:rsid w:val="000F3143"/>
    <w:rsid w:val="000F5DE7"/>
    <w:rsid w:val="000F69AC"/>
    <w:rsid w:val="001005D8"/>
    <w:rsid w:val="001046BB"/>
    <w:rsid w:val="00104E41"/>
    <w:rsid w:val="001051FE"/>
    <w:rsid w:val="00110838"/>
    <w:rsid w:val="00111996"/>
    <w:rsid w:val="001127FA"/>
    <w:rsid w:val="00113A2B"/>
    <w:rsid w:val="00113F73"/>
    <w:rsid w:val="00116E39"/>
    <w:rsid w:val="00121119"/>
    <w:rsid w:val="00122611"/>
    <w:rsid w:val="0012291C"/>
    <w:rsid w:val="001238AD"/>
    <w:rsid w:val="00124864"/>
    <w:rsid w:val="00125041"/>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6B5A"/>
    <w:rsid w:val="00187AFD"/>
    <w:rsid w:val="00190FA6"/>
    <w:rsid w:val="001920AE"/>
    <w:rsid w:val="0019260A"/>
    <w:rsid w:val="001930C8"/>
    <w:rsid w:val="00193404"/>
    <w:rsid w:val="00193AE0"/>
    <w:rsid w:val="00194979"/>
    <w:rsid w:val="00195385"/>
    <w:rsid w:val="001955BE"/>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5683"/>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7184"/>
    <w:rsid w:val="00260F69"/>
    <w:rsid w:val="002618AF"/>
    <w:rsid w:val="00262ED4"/>
    <w:rsid w:val="00263BBE"/>
    <w:rsid w:val="00264B89"/>
    <w:rsid w:val="00266E07"/>
    <w:rsid w:val="00267033"/>
    <w:rsid w:val="00273AB3"/>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D0"/>
    <w:rsid w:val="002D3EAB"/>
    <w:rsid w:val="002E035C"/>
    <w:rsid w:val="002E32C4"/>
    <w:rsid w:val="002E3445"/>
    <w:rsid w:val="002E4F63"/>
    <w:rsid w:val="002E6BF2"/>
    <w:rsid w:val="002E788E"/>
    <w:rsid w:val="002F2432"/>
    <w:rsid w:val="002F25D0"/>
    <w:rsid w:val="002F307E"/>
    <w:rsid w:val="002F393A"/>
    <w:rsid w:val="002F45CD"/>
    <w:rsid w:val="002F527A"/>
    <w:rsid w:val="002F572D"/>
    <w:rsid w:val="002F6561"/>
    <w:rsid w:val="002F683D"/>
    <w:rsid w:val="002F72A7"/>
    <w:rsid w:val="002F750D"/>
    <w:rsid w:val="003055A5"/>
    <w:rsid w:val="003058FB"/>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1EF3"/>
    <w:rsid w:val="00333B4B"/>
    <w:rsid w:val="00334F47"/>
    <w:rsid w:val="00335B19"/>
    <w:rsid w:val="0033750A"/>
    <w:rsid w:val="00337ED8"/>
    <w:rsid w:val="00340BBC"/>
    <w:rsid w:val="0034279B"/>
    <w:rsid w:val="00343239"/>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97D26"/>
    <w:rsid w:val="003A3CCD"/>
    <w:rsid w:val="003A6F23"/>
    <w:rsid w:val="003B45C8"/>
    <w:rsid w:val="003B7606"/>
    <w:rsid w:val="003B762E"/>
    <w:rsid w:val="003C0916"/>
    <w:rsid w:val="003C16AE"/>
    <w:rsid w:val="003C1F2D"/>
    <w:rsid w:val="003C2C3F"/>
    <w:rsid w:val="003C4CC7"/>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64CE"/>
    <w:rsid w:val="0045701A"/>
    <w:rsid w:val="0046101B"/>
    <w:rsid w:val="00461E72"/>
    <w:rsid w:val="00461F1B"/>
    <w:rsid w:val="004639BF"/>
    <w:rsid w:val="00465ADB"/>
    <w:rsid w:val="0047062F"/>
    <w:rsid w:val="004733D9"/>
    <w:rsid w:val="00475E0E"/>
    <w:rsid w:val="00476502"/>
    <w:rsid w:val="00476701"/>
    <w:rsid w:val="004812E6"/>
    <w:rsid w:val="004907AD"/>
    <w:rsid w:val="0049262F"/>
    <w:rsid w:val="004931EC"/>
    <w:rsid w:val="00493A01"/>
    <w:rsid w:val="004959B1"/>
    <w:rsid w:val="00496076"/>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E17"/>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42AC"/>
    <w:rsid w:val="00501134"/>
    <w:rsid w:val="00506D1F"/>
    <w:rsid w:val="00510528"/>
    <w:rsid w:val="0051161B"/>
    <w:rsid w:val="0051287B"/>
    <w:rsid w:val="00514EED"/>
    <w:rsid w:val="00515FF5"/>
    <w:rsid w:val="0051707C"/>
    <w:rsid w:val="0052059F"/>
    <w:rsid w:val="0052145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6021"/>
    <w:rsid w:val="00547AC3"/>
    <w:rsid w:val="00547DED"/>
    <w:rsid w:val="00547FA6"/>
    <w:rsid w:val="0055085B"/>
    <w:rsid w:val="00550AB7"/>
    <w:rsid w:val="00550BC3"/>
    <w:rsid w:val="00550D2C"/>
    <w:rsid w:val="005525EB"/>
    <w:rsid w:val="005530AD"/>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0114"/>
    <w:rsid w:val="005D3BDB"/>
    <w:rsid w:val="005D5B38"/>
    <w:rsid w:val="005D785B"/>
    <w:rsid w:val="005E091C"/>
    <w:rsid w:val="005E5947"/>
    <w:rsid w:val="005E5A84"/>
    <w:rsid w:val="005E5DBA"/>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4B12"/>
    <w:rsid w:val="00624E28"/>
    <w:rsid w:val="006258FE"/>
    <w:rsid w:val="00626FA0"/>
    <w:rsid w:val="00631BC0"/>
    <w:rsid w:val="00632A4A"/>
    <w:rsid w:val="006353DA"/>
    <w:rsid w:val="00635E02"/>
    <w:rsid w:val="00636486"/>
    <w:rsid w:val="00640580"/>
    <w:rsid w:val="0064486F"/>
    <w:rsid w:val="00645268"/>
    <w:rsid w:val="00647A83"/>
    <w:rsid w:val="00650A67"/>
    <w:rsid w:val="00650F13"/>
    <w:rsid w:val="00652288"/>
    <w:rsid w:val="00652447"/>
    <w:rsid w:val="0065334B"/>
    <w:rsid w:val="00655416"/>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A690D"/>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5B5B"/>
    <w:rsid w:val="0076615B"/>
    <w:rsid w:val="007663B1"/>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5AD5"/>
    <w:rsid w:val="0078659E"/>
    <w:rsid w:val="00787FBD"/>
    <w:rsid w:val="0079170B"/>
    <w:rsid w:val="007918EF"/>
    <w:rsid w:val="00792016"/>
    <w:rsid w:val="00792B44"/>
    <w:rsid w:val="00792E9A"/>
    <w:rsid w:val="0079336C"/>
    <w:rsid w:val="00794155"/>
    <w:rsid w:val="007946EA"/>
    <w:rsid w:val="0079476F"/>
    <w:rsid w:val="00794A7A"/>
    <w:rsid w:val="007961FD"/>
    <w:rsid w:val="00796FBD"/>
    <w:rsid w:val="007A2D4D"/>
    <w:rsid w:val="007A5C00"/>
    <w:rsid w:val="007A6020"/>
    <w:rsid w:val="007B149E"/>
    <w:rsid w:val="007B1DF5"/>
    <w:rsid w:val="007B27AA"/>
    <w:rsid w:val="007B3324"/>
    <w:rsid w:val="007B3A66"/>
    <w:rsid w:val="007B3A71"/>
    <w:rsid w:val="007B654D"/>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2B0"/>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093A"/>
    <w:rsid w:val="00841315"/>
    <w:rsid w:val="00842438"/>
    <w:rsid w:val="00843B30"/>
    <w:rsid w:val="00843C81"/>
    <w:rsid w:val="00845EA3"/>
    <w:rsid w:val="0084759F"/>
    <w:rsid w:val="008476C0"/>
    <w:rsid w:val="00852AA4"/>
    <w:rsid w:val="00852F22"/>
    <w:rsid w:val="0085333A"/>
    <w:rsid w:val="00861910"/>
    <w:rsid w:val="00861BAF"/>
    <w:rsid w:val="0086266A"/>
    <w:rsid w:val="00864F9D"/>
    <w:rsid w:val="00865258"/>
    <w:rsid w:val="00865500"/>
    <w:rsid w:val="00867AA3"/>
    <w:rsid w:val="008702BE"/>
    <w:rsid w:val="00870840"/>
    <w:rsid w:val="008708D2"/>
    <w:rsid w:val="008720DB"/>
    <w:rsid w:val="00874454"/>
    <w:rsid w:val="00874B2D"/>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0F6"/>
    <w:rsid w:val="008D147F"/>
    <w:rsid w:val="008D235E"/>
    <w:rsid w:val="008D404C"/>
    <w:rsid w:val="008D4056"/>
    <w:rsid w:val="008D5020"/>
    <w:rsid w:val="008D5E95"/>
    <w:rsid w:val="008D6049"/>
    <w:rsid w:val="008D6F13"/>
    <w:rsid w:val="008E3D3E"/>
    <w:rsid w:val="008E460E"/>
    <w:rsid w:val="008E5C70"/>
    <w:rsid w:val="008E6B19"/>
    <w:rsid w:val="008F1766"/>
    <w:rsid w:val="008F1EE0"/>
    <w:rsid w:val="008F4E40"/>
    <w:rsid w:val="008F5CD8"/>
    <w:rsid w:val="008F6A3B"/>
    <w:rsid w:val="008F731C"/>
    <w:rsid w:val="00900BB8"/>
    <w:rsid w:val="00901E0A"/>
    <w:rsid w:val="009038B2"/>
    <w:rsid w:val="0090504A"/>
    <w:rsid w:val="00905D9E"/>
    <w:rsid w:val="009103C0"/>
    <w:rsid w:val="00911370"/>
    <w:rsid w:val="00911D7E"/>
    <w:rsid w:val="00912C3A"/>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5FBC"/>
    <w:rsid w:val="009361B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2DFA"/>
    <w:rsid w:val="009A35E6"/>
    <w:rsid w:val="009A4885"/>
    <w:rsid w:val="009A4C34"/>
    <w:rsid w:val="009A4D1A"/>
    <w:rsid w:val="009B0A6A"/>
    <w:rsid w:val="009B0B32"/>
    <w:rsid w:val="009B0EF5"/>
    <w:rsid w:val="009B45B1"/>
    <w:rsid w:val="009B54DC"/>
    <w:rsid w:val="009B551A"/>
    <w:rsid w:val="009B73B1"/>
    <w:rsid w:val="009B7A20"/>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518E"/>
    <w:rsid w:val="00A25245"/>
    <w:rsid w:val="00A26DBD"/>
    <w:rsid w:val="00A316A0"/>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6B5E"/>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D20"/>
    <w:rsid w:val="00AB58AC"/>
    <w:rsid w:val="00AB58BB"/>
    <w:rsid w:val="00AB64B0"/>
    <w:rsid w:val="00AB653A"/>
    <w:rsid w:val="00AB6DBE"/>
    <w:rsid w:val="00AB72EC"/>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5F7D"/>
    <w:rsid w:val="00AF7E45"/>
    <w:rsid w:val="00B006E4"/>
    <w:rsid w:val="00B02EDD"/>
    <w:rsid w:val="00B05585"/>
    <w:rsid w:val="00B063CF"/>
    <w:rsid w:val="00B07CCF"/>
    <w:rsid w:val="00B1007C"/>
    <w:rsid w:val="00B10DF3"/>
    <w:rsid w:val="00B112D7"/>
    <w:rsid w:val="00B11DA8"/>
    <w:rsid w:val="00B125EC"/>
    <w:rsid w:val="00B1317A"/>
    <w:rsid w:val="00B13A5C"/>
    <w:rsid w:val="00B14097"/>
    <w:rsid w:val="00B16A16"/>
    <w:rsid w:val="00B17F67"/>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10D5B"/>
    <w:rsid w:val="00D10FC6"/>
    <w:rsid w:val="00D12965"/>
    <w:rsid w:val="00D13E62"/>
    <w:rsid w:val="00D15F30"/>
    <w:rsid w:val="00D16553"/>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B7D42"/>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4D27"/>
    <w:rsid w:val="00ED65C0"/>
    <w:rsid w:val="00EE3800"/>
    <w:rsid w:val="00EE6FA9"/>
    <w:rsid w:val="00EF0E41"/>
    <w:rsid w:val="00EF49A2"/>
    <w:rsid w:val="00EF4A2C"/>
    <w:rsid w:val="00EF5028"/>
    <w:rsid w:val="00EF5A0B"/>
    <w:rsid w:val="00EF63CC"/>
    <w:rsid w:val="00F009A1"/>
    <w:rsid w:val="00F00B7E"/>
    <w:rsid w:val="00F01F78"/>
    <w:rsid w:val="00F02A80"/>
    <w:rsid w:val="00F038B1"/>
    <w:rsid w:val="00F0446A"/>
    <w:rsid w:val="00F05156"/>
    <w:rsid w:val="00F05AE4"/>
    <w:rsid w:val="00F05EE0"/>
    <w:rsid w:val="00F06A0F"/>
    <w:rsid w:val="00F1065E"/>
    <w:rsid w:val="00F11552"/>
    <w:rsid w:val="00F124EF"/>
    <w:rsid w:val="00F137D5"/>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A88"/>
    <w:rsid w:val="00FB2CE8"/>
    <w:rsid w:val="00FB44AB"/>
    <w:rsid w:val="00FB55D4"/>
    <w:rsid w:val="00FB7F1C"/>
    <w:rsid w:val="00FC06AA"/>
    <w:rsid w:val="00FC08C9"/>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01632D87"/>
    <w:rsid w:val="094F6AD4"/>
    <w:rsid w:val="104221B7"/>
    <w:rsid w:val="149A4376"/>
    <w:rsid w:val="159C1619"/>
    <w:rsid w:val="1B040FB8"/>
    <w:rsid w:val="21A85E0A"/>
    <w:rsid w:val="29224A0E"/>
    <w:rsid w:val="2D972B69"/>
    <w:rsid w:val="34002F00"/>
    <w:rsid w:val="35E710DD"/>
    <w:rsid w:val="45AF2EB8"/>
    <w:rsid w:val="4B837AC0"/>
    <w:rsid w:val="535B0710"/>
    <w:rsid w:val="56CF7B91"/>
    <w:rsid w:val="57391DAE"/>
    <w:rsid w:val="5BA306CE"/>
    <w:rsid w:val="65785965"/>
    <w:rsid w:val="74E8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字符1"/>
    <w:link w:val="12"/>
    <w:qFormat/>
    <w:uiPriority w:val="99"/>
    <w:rPr>
      <w:sz w:val="18"/>
      <w:szCs w:val="18"/>
    </w:rPr>
  </w:style>
  <w:style w:type="character" w:customStyle="1" w:styleId="33">
    <w:name w:val="页脚 字符1"/>
    <w:link w:val="11"/>
    <w:qFormat/>
    <w:uiPriority w:val="99"/>
    <w:rPr>
      <w:sz w:val="18"/>
      <w:szCs w:val="18"/>
    </w:rPr>
  </w:style>
  <w:style w:type="character" w:customStyle="1" w:styleId="34">
    <w:name w:val="批注框文本 字符"/>
    <w:link w:val="10"/>
    <w:semiHidden/>
    <w:qFormat/>
    <w:uiPriority w:val="99"/>
    <w:rPr>
      <w:kern w:val="2"/>
      <w:sz w:val="18"/>
      <w:szCs w:val="18"/>
    </w:rPr>
  </w:style>
  <w:style w:type="character" w:customStyle="1" w:styleId="35">
    <w:name w:val="批注文字 字符"/>
    <w:link w:val="8"/>
    <w:semiHidden/>
    <w:qFormat/>
    <w:uiPriority w:val="99"/>
    <w:rPr>
      <w:kern w:val="2"/>
      <w:sz w:val="21"/>
      <w:szCs w:val="22"/>
    </w:rPr>
  </w:style>
  <w:style w:type="character" w:customStyle="1" w:styleId="36">
    <w:name w:val="批注主题 字符"/>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字符"/>
    <w:link w:val="2"/>
    <w:qFormat/>
    <w:uiPriority w:val="9"/>
    <w:rPr>
      <w:rFonts w:ascii="黑体" w:hAnsi="黑体" w:eastAsia="黑体"/>
      <w:bCs/>
      <w:kern w:val="44"/>
      <w:sz w:val="32"/>
      <w:szCs w:val="32"/>
      <w:lang w:val="zh-CN" w:eastAsia="zh-CN"/>
    </w:rPr>
  </w:style>
  <w:style w:type="character" w:customStyle="1" w:styleId="39">
    <w:name w:val="标题 6 字符"/>
    <w:link w:val="6"/>
    <w:qFormat/>
    <w:uiPriority w:val="9"/>
    <w:rPr>
      <w:rFonts w:ascii="Cambria" w:hAnsi="Cambria"/>
      <w:b/>
      <w:bCs/>
      <w:kern w:val="2"/>
      <w:sz w:val="24"/>
      <w:szCs w:val="24"/>
    </w:rPr>
  </w:style>
  <w:style w:type="character" w:customStyle="1" w:styleId="40">
    <w:name w:val="标题 2 字符"/>
    <w:link w:val="3"/>
    <w:qFormat/>
    <w:uiPriority w:val="0"/>
    <w:rPr>
      <w:rFonts w:ascii="黑体" w:hAnsi="黑体"/>
      <w:bCs/>
      <w:kern w:val="2"/>
      <w:sz w:val="24"/>
      <w:szCs w:val="32"/>
      <w:lang w:val="zh-CN" w:eastAsia="zh-CN"/>
    </w:rPr>
  </w:style>
  <w:style w:type="character" w:customStyle="1" w:styleId="41">
    <w:name w:val="标题 3 字符"/>
    <w:link w:val="4"/>
    <w:qFormat/>
    <w:uiPriority w:val="9"/>
    <w:rPr>
      <w:rFonts w:ascii="黑体" w:hAnsi="黑体" w:eastAsia="黑体"/>
      <w:bCs/>
      <w:kern w:val="2"/>
      <w:sz w:val="21"/>
      <w:szCs w:val="32"/>
    </w:rPr>
  </w:style>
  <w:style w:type="character" w:customStyle="1" w:styleId="42">
    <w:name w:val="标题 4 字符"/>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字符"/>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0" w:beforeLines="0" w:after="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5">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0A718-7655-4A84-960B-CE40C075F670}">
  <ds:schemaRefs/>
</ds:datastoreItem>
</file>

<file path=docProps/app.xml><?xml version="1.0" encoding="utf-8"?>
<Properties xmlns="http://schemas.openxmlformats.org/officeDocument/2006/extended-properties" xmlns:vt="http://schemas.openxmlformats.org/officeDocument/2006/docPropsVTypes">
  <Template>Normal</Template>
  <Pages>7</Pages>
  <Words>2474</Words>
  <Characters>3198</Characters>
  <Lines>27</Lines>
  <Paragraphs>7</Paragraphs>
  <TotalTime>447</TotalTime>
  <ScaleCrop>false</ScaleCrop>
  <LinksUpToDate>false</LinksUpToDate>
  <CharactersWithSpaces>3426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2022-08-01T08:26:00Z</dcterms:created>
  <dc:creator>金龙</dc:creator>
  <cp:lastModifiedBy>杨丽娟</cp:lastModifiedBy>
  <cp:lastPrinted>2021-03-26T06:02:00Z</cp:lastPrinted>
  <dcterms:modified xsi:type="dcterms:W3CDTF">2022-08-03T03:08:40Z</dcterms:modified>
  <dc:title>绿色设计产品评价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ACD640C69E264D5B8664A1B2030F7FD1</vt:lpwstr>
  </property>
</Properties>
</file>