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09"/>
        <w:spacing w:before="0" w:line="300" w:lineRule="auto"/>
        <w:ind w:firstLineChars="0" w:firstLine="0"/>
        <w:rPr>
          <w:rFonts w:ascii="黑体" w:eastAsia="黑体"/>
          <w:sz w:val="30"/>
          <w:szCs w:val="30"/>
        </w:rPr>
      </w:pPr>
    </w:p>
    <w:p>
      <w:pPr>
        <w:pStyle w:val="109"/>
        <w:spacing w:before="0" w:line="300" w:lineRule="auto"/>
        <w:ind w:firstLineChars="0" w:firstLine="0"/>
        <w:rPr>
          <w:rFonts w:ascii="黑体" w:eastAsia="黑体"/>
          <w:sz w:val="36"/>
          <w:szCs w:val="36"/>
        </w:rPr>
      </w:pPr>
    </w:p>
    <w:p>
      <w:pPr>
        <w:pStyle w:val="109"/>
        <w:spacing w:before="0" w:line="300" w:lineRule="auto"/>
        <w:ind w:firstLineChars="0" w:firstLine="0"/>
        <w:rPr>
          <w:rFonts w:ascii="黑体" w:eastAsia="黑体"/>
          <w:sz w:val="36"/>
          <w:szCs w:val="36"/>
        </w:rPr>
      </w:pPr>
    </w:p>
    <w:p>
      <w:pPr>
        <w:widowControl/>
        <w:spacing w:line="300" w:lineRule="auto"/>
        <w:jc w:val="center"/>
        <w:rPr>
          <w:rFonts w:ascii="宋体" w:cs="宋体"/>
          <w:kern w:val="0"/>
          <w:sz w:val="36"/>
          <w:szCs w:val="36"/>
        </w:rPr>
      </w:pPr>
      <w:r>
        <w:rPr>
          <w:rFonts w:ascii="宋体" w:cs="宋体" w:hint="eastAsia"/>
          <w:kern w:val="0"/>
          <w:sz w:val="36"/>
          <w:szCs w:val="36"/>
        </w:rPr>
        <w:t>离子型稀土矿混合稀土氧化物化学分析方法</w:t>
      </w:r>
    </w:p>
    <w:p>
      <w:pPr>
        <w:widowControl/>
        <w:spacing w:line="300" w:lineRule="auto"/>
        <w:jc w:val="center"/>
        <w:rPr>
          <w:rFonts w:ascii="宋体" w:cs="宋体"/>
          <w:kern w:val="0"/>
          <w:sz w:val="36"/>
          <w:szCs w:val="36"/>
        </w:rPr>
      </w:pPr>
      <w:r>
        <w:rPr>
          <w:rFonts w:ascii="宋体" w:cs="宋体" w:hint="eastAsia"/>
          <w:kern w:val="0"/>
          <w:sz w:val="36"/>
          <w:szCs w:val="36"/>
        </w:rPr>
        <w:t>第</w:t>
      </w:r>
      <w:r>
        <w:rPr>
          <w:rFonts w:ascii="宋体" w:cs="宋体"/>
          <w:kern w:val="0"/>
          <w:sz w:val="36"/>
          <w:szCs w:val="36"/>
        </w:rPr>
        <w:t>1</w:t>
      </w:r>
      <w:r>
        <w:rPr>
          <w:rFonts w:ascii="宋体" w:cs="宋体" w:hint="eastAsia"/>
          <w:kern w:val="0"/>
          <w:sz w:val="36"/>
          <w:szCs w:val="36"/>
        </w:rPr>
        <w:t>部分：十五个稀土元素氧化物配分量的测定　</w:t>
      </w:r>
    </w:p>
    <w:p>
      <w:pPr>
        <w:pStyle w:val="109"/>
        <w:spacing w:before="0" w:line="300" w:lineRule="auto"/>
        <w:ind w:firstLineChars="0" w:firstLine="0"/>
        <w:rPr>
          <w:rFonts w:ascii="宋体" w:cs="宋体"/>
          <w:sz w:val="44"/>
          <w:szCs w:val="44"/>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0"/>
          <w:szCs w:val="30"/>
        </w:rPr>
      </w:pPr>
    </w:p>
    <w:p>
      <w:pPr>
        <w:widowControl/>
        <w:spacing w:line="300" w:lineRule="auto"/>
        <w:jc w:val="center"/>
        <w:rPr>
          <w:rFonts w:ascii="宋体" w:cs="宋体"/>
          <w:kern w:val="0"/>
          <w:sz w:val="36"/>
          <w:szCs w:val="36"/>
        </w:rPr>
      </w:pPr>
      <w:r>
        <w:rPr>
          <w:rFonts w:ascii="宋体" w:cs="宋体" w:hint="eastAsia"/>
          <w:kern w:val="0"/>
          <w:sz w:val="36"/>
          <w:szCs w:val="36"/>
        </w:rPr>
        <w:t>编制说明(</w:t>
      </w:r>
      <w:r>
        <w:rPr>
          <w:rFonts w:ascii="宋体" w:cs="宋体"/>
          <w:kern w:val="0"/>
          <w:sz w:val="36"/>
          <w:szCs w:val="36"/>
        </w:rPr>
        <w:t>预审</w:t>
      </w:r>
      <w:bookmarkStart w:id="0" w:name="_GoBack"/>
      <w:bookmarkEnd w:id="0"/>
      <w:r>
        <w:rPr>
          <w:rFonts w:ascii="宋体" w:cs="宋体" w:hint="eastAsia"/>
          <w:kern w:val="0"/>
          <w:sz w:val="36"/>
          <w:szCs w:val="36"/>
        </w:rPr>
        <w:t>稿）</w:t>
      </w: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r>
        <w:rPr>
          <w:rFonts w:ascii="宋体" w:cs="宋体" w:hint="eastAsia"/>
          <w:sz w:val="30"/>
          <w:szCs w:val="30"/>
        </w:rPr>
        <w:t>赣州有色冶金研究所有限公司分析检测中心</w:t>
      </w:r>
    </w:p>
    <w:p>
      <w:pPr>
        <w:pStyle w:val="109"/>
        <w:spacing w:before="0" w:line="300" w:lineRule="auto"/>
        <w:ind w:firstLineChars="0" w:firstLine="0"/>
        <w:rPr>
          <w:rFonts w:ascii="宋体" w:cs="宋体"/>
          <w:sz w:val="30"/>
          <w:szCs w:val="30"/>
        </w:rPr>
      </w:pPr>
      <w:r>
        <w:rPr>
          <w:rFonts w:ascii="宋体" w:cs="宋体" w:hint="eastAsia"/>
          <w:sz w:val="30"/>
          <w:szCs w:val="30"/>
        </w:rPr>
        <w:t>202</w:t>
      </w:r>
      <w:r>
        <w:rPr>
          <w:rFonts w:ascii="宋体" w:cs="宋体"/>
          <w:sz w:val="30"/>
          <w:szCs w:val="30"/>
        </w:rPr>
        <w:t>2</w:t>
      </w:r>
      <w:r>
        <w:rPr>
          <w:rFonts w:ascii="宋体" w:cs="宋体" w:hint="eastAsia"/>
          <w:sz w:val="30"/>
          <w:szCs w:val="30"/>
        </w:rPr>
        <w:t>年0</w:t>
      </w:r>
      <w:r>
        <w:rPr>
          <w:rFonts w:ascii="宋体" w:cs="宋体"/>
          <w:sz w:val="30"/>
          <w:szCs w:val="30"/>
        </w:rPr>
        <w:t>7</w:t>
      </w:r>
      <w:r>
        <w:rPr>
          <w:rFonts w:ascii="宋体" w:cs="宋体" w:hint="eastAsia"/>
          <w:sz w:val="30"/>
          <w:szCs w:val="30"/>
        </w:rPr>
        <w:t>月1</w:t>
      </w:r>
      <w:r>
        <w:rPr>
          <w:rFonts w:ascii="宋体" w:cs="宋体"/>
          <w:sz w:val="30"/>
          <w:szCs w:val="30"/>
        </w:rPr>
        <w:t>5</w:t>
      </w:r>
      <w:r>
        <w:rPr>
          <w:rFonts w:ascii="宋体" w:cs="宋体" w:hint="eastAsia"/>
          <w:sz w:val="30"/>
          <w:szCs w:val="30"/>
        </w:rPr>
        <w:t>日</w:t>
      </w: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widowControl/>
        <w:spacing w:line="300" w:lineRule="auto"/>
        <w:jc w:val="left"/>
        <w:rPr>
          <w:rFonts w:ascii="宋体" w:cs="宋体"/>
          <w:sz w:val="30"/>
          <w:szCs w:val="30"/>
        </w:rPr>
        <w:sectPr>
          <w:headerReference w:type="default" r:id="rId2"/>
          <w:footerReference w:type="default" r:id="rId3"/>
          <w:pgSz w:w="11906" w:h="16838"/>
          <w:pgMar w:top="1134" w:right="1077" w:bottom="1213" w:left="1077" w:header="851" w:footer="992" w:gutter="0"/>
          <w:docGrid w:type="lines" w:linePitch="312" w:charSpace="0"/>
        </w:sectPr>
      </w:pPr>
    </w:p>
    <w:p>
      <w:pPr>
        <w:spacing w:beforeLines="100" w:before="312"/>
        <w:jc w:val="center"/>
        <w:rPr>
          <w:rFonts w:ascii="宋体" w:cs="宋体"/>
          <w:b/>
          <w:w w:val="90"/>
          <w:sz w:val="30"/>
          <w:szCs w:val="30"/>
        </w:rPr>
      </w:pPr>
      <w:r>
        <w:rPr>
          <w:rFonts w:ascii="宋体" w:cs="宋体" w:hint="eastAsia"/>
          <w:b/>
          <w:w w:val="90"/>
          <w:sz w:val="30"/>
          <w:szCs w:val="30"/>
        </w:rPr>
        <w:t>《离子型稀土矿混合稀土氧化物化学方法 第</w:t>
      </w:r>
      <w:r>
        <w:rPr>
          <w:rFonts w:ascii="宋体" w:cs="宋体"/>
          <w:b/>
          <w:w w:val="90"/>
          <w:sz w:val="30"/>
          <w:szCs w:val="30"/>
        </w:rPr>
        <w:t>1</w:t>
      </w:r>
      <w:r>
        <w:rPr>
          <w:rFonts w:ascii="宋体" w:cs="宋体" w:hint="eastAsia"/>
          <w:b/>
          <w:w w:val="90"/>
          <w:sz w:val="30"/>
          <w:szCs w:val="30"/>
        </w:rPr>
        <w:t>部分：十五个稀土元素氧化物配分量的测定》编制说明（</w:t>
      </w:r>
      <w:r>
        <w:rPr>
          <w:rFonts w:ascii="宋体" w:cs="宋体"/>
          <w:b/>
          <w:w w:val="90"/>
          <w:sz w:val="30"/>
          <w:szCs w:val="30"/>
        </w:rPr>
        <w:t>预审</w:t>
      </w:r>
      <w:r>
        <w:rPr>
          <w:rFonts w:ascii="宋体" w:cs="宋体" w:hint="eastAsia"/>
          <w:b/>
          <w:w w:val="90"/>
          <w:sz w:val="30"/>
          <w:szCs w:val="30"/>
        </w:rPr>
        <w:t>稿）</w:t>
      </w:r>
    </w:p>
    <w:p>
      <w:pPr>
        <w:numPr>
          <w:ilvl w:val="0"/>
          <w:numId w:val="1"/>
        </w:numPr>
        <w:spacing w:beforeLines="50" w:before="156" w:afterLines="50" w:after="156" w:line="300" w:lineRule="auto"/>
        <w:rPr>
          <w:rFonts w:ascii="宋体" w:cs="宋体"/>
          <w:b/>
          <w:sz w:val="24"/>
        </w:rPr>
      </w:pPr>
      <w:r>
        <w:rPr>
          <w:rFonts w:ascii="宋体" w:cs="宋体" w:hint="eastAsia"/>
          <w:b/>
          <w:sz w:val="24"/>
        </w:rPr>
        <w:t>工作简况</w:t>
      </w:r>
    </w:p>
    <w:p>
      <w:pPr>
        <w:pStyle w:val="112"/>
        <w:tabs>
          <w:tab w:val="clear" w:pos="675"/>
        </w:tabs>
        <w:spacing w:beforeLines="50" w:before="156" w:afterLines="50" w:after="156"/>
        <w:ind w:left="0" w:firstLine="0"/>
        <w:jc w:val="left"/>
        <w:rPr>
          <w:rFonts w:ascii="宋体" w:eastAsia="宋体" w:cs="宋体"/>
          <w:b/>
          <w:sz w:val="24"/>
          <w:szCs w:val="24"/>
        </w:rPr>
      </w:pPr>
      <w:r>
        <w:rPr>
          <w:rFonts w:ascii="宋体" w:eastAsia="宋体" w:cs="宋体" w:hint="eastAsia"/>
          <w:b/>
          <w:sz w:val="24"/>
          <w:szCs w:val="24"/>
        </w:rPr>
        <w:t>（一）任务来源</w:t>
      </w:r>
    </w:p>
    <w:p>
      <w:pPr>
        <w:ind w:firstLine="420"/>
        <w:rPr>
          <w:rFonts w:ascii="宋体" w:cs="宋体"/>
          <w:szCs w:val="20"/>
        </w:rPr>
      </w:pPr>
      <w:r>
        <w:rPr>
          <w:rFonts w:ascii="宋体" w:cs="宋体" w:hint="eastAsia"/>
          <w:szCs w:val="20"/>
        </w:rPr>
        <w:t>202</w:t>
      </w:r>
      <w:r>
        <w:rPr>
          <w:rFonts w:ascii="宋体" w:cs="宋体"/>
          <w:szCs w:val="20"/>
        </w:rPr>
        <w:t>1</w:t>
      </w:r>
      <w:r>
        <w:rPr>
          <w:rFonts w:ascii="宋体" w:cs="宋体" w:hint="eastAsia"/>
          <w:szCs w:val="20"/>
        </w:rPr>
        <w:t>年9月26日</w:t>
      </w:r>
      <w:r>
        <w:rPr>
          <w:rFonts w:ascii="宋体" w:cs="宋体"/>
          <w:szCs w:val="20"/>
        </w:rPr>
        <w:t>-</w:t>
      </w:r>
      <w:r>
        <w:rPr>
          <w:rFonts w:ascii="宋体" w:cs="宋体" w:hint="eastAsia"/>
          <w:szCs w:val="20"/>
        </w:rPr>
        <w:t>2</w:t>
      </w:r>
      <w:r>
        <w:rPr>
          <w:rFonts w:ascii="宋体" w:cs="宋体"/>
          <w:szCs w:val="20"/>
        </w:rPr>
        <w:t>9</w:t>
      </w:r>
      <w:r>
        <w:rPr>
          <w:rFonts w:ascii="宋体" w:cs="宋体" w:hint="eastAsia"/>
          <w:szCs w:val="20"/>
        </w:rPr>
        <w:t>日，全国稀土标准化技术委员会在山东省济宁市召开了202</w:t>
      </w:r>
      <w:r>
        <w:rPr>
          <w:rFonts w:ascii="宋体" w:cs="宋体"/>
          <w:szCs w:val="20"/>
        </w:rPr>
        <w:t>1</w:t>
      </w:r>
      <w:r>
        <w:rPr>
          <w:rFonts w:ascii="宋体" w:cs="宋体" w:hint="eastAsia"/>
          <w:szCs w:val="20"/>
        </w:rPr>
        <w:t>年第四次稀土标准工作会议，落实工信部下达的行业标准《离子型稀土矿混合稀土氧化物化学方法 第</w:t>
      </w:r>
      <w:r>
        <w:rPr>
          <w:rFonts w:ascii="宋体" w:cs="宋体"/>
          <w:szCs w:val="20"/>
        </w:rPr>
        <w:t>1</w:t>
      </w:r>
      <w:r>
        <w:rPr>
          <w:rFonts w:ascii="宋体" w:cs="宋体" w:hint="eastAsia"/>
          <w:szCs w:val="20"/>
        </w:rPr>
        <w:t>部分：十五个稀土元素氧化物配分量的测定》的修定计划，由赣州有色冶金研究所有限公司负责修订草。</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主要参加单位和工作成员及其所作的工作</w:t>
      </w:r>
    </w:p>
    <w:p>
      <w:pPr>
        <w:pStyle w:val="119"/>
        <w:numPr>
          <w:ilvl w:val="0"/>
          <w:numId w:val="3"/>
        </w:numPr>
        <w:ind w:firstLineChars="0"/>
        <w:rPr>
          <w:b/>
        </w:rPr>
      </w:pPr>
      <w:r>
        <w:rPr>
          <w:rFonts w:hint="eastAsia"/>
          <w:b/>
        </w:rPr>
        <w:t>标准项目编制单位简介及在本标准中所承担的工作</w:t>
      </w:r>
    </w:p>
    <w:p>
      <w:pPr>
        <w:ind w:firstLine="420"/>
        <w:rPr>
          <w:rFonts w:ascii="宋体" w:cs="宋体"/>
        </w:rPr>
      </w:pPr>
      <w:r>
        <w:rPr>
          <w:rFonts w:ascii="宋体" w:cs="宋体" w:hint="eastAsia"/>
        </w:rPr>
        <w:t>编制组由赣州有色冶金研究所有限公司、虔东稀土集团股份有限公司、</w:t>
      </w:r>
      <w:r>
        <w:rPr>
          <w:rFonts w:ascii="宋体" w:cs="宋体"/>
        </w:rPr>
        <w:t>国家</w:t>
      </w:r>
      <w:r>
        <w:rPr>
          <w:rFonts w:ascii="宋体" w:cs="宋体" w:hint="eastAsia"/>
        </w:rPr>
        <w:t>钨</w:t>
      </w:r>
      <w:r>
        <w:rPr>
          <w:rFonts w:ascii="宋体" w:cs="宋体"/>
        </w:rPr>
        <w:t>与稀土产品质量监督检验检测</w:t>
      </w:r>
      <w:r>
        <w:rPr>
          <w:rFonts w:ascii="宋体" w:cs="宋体" w:hint="eastAsia"/>
        </w:rPr>
        <w:t>中心</w:t>
      </w:r>
      <w:r>
        <w:rPr>
          <w:rFonts w:ascii="宋体" w:cs="宋体"/>
        </w:rPr>
        <w:t>、</w:t>
      </w:r>
      <w:r>
        <w:rPr>
          <w:rFonts w:ascii="宋体" w:cs="宋体" w:hint="eastAsia"/>
        </w:rPr>
        <w:t>中国科学院海西研究院厦门稀土材料研究中心、包头稀土研究院、湖南稀土金属材料研究院有限责任公司、江西理工大学分析测试中心、包头天和磁材科技</w:t>
      </w:r>
      <w:r>
        <w:rPr>
          <w:rFonts w:ascii="宋体" w:cs="宋体"/>
        </w:rPr>
        <w:t>股份有限公司</w:t>
      </w:r>
      <w:r>
        <w:rPr>
          <w:rFonts w:ascii="宋体" w:cs="宋体" w:hint="eastAsia"/>
        </w:rPr>
        <w:t>、江阴加华</w:t>
      </w:r>
      <w:r>
        <w:rPr>
          <w:rFonts w:ascii="宋体" w:cs="宋体"/>
        </w:rPr>
        <w:t>新材料资源有限公司</w:t>
      </w:r>
      <w:r>
        <w:rPr>
          <w:rFonts w:ascii="宋体" w:cs="宋体" w:hint="eastAsia"/>
        </w:rPr>
        <w:t>、赣州</w:t>
      </w:r>
      <w:r>
        <w:rPr>
          <w:rFonts w:ascii="宋体" w:cs="宋体"/>
        </w:rPr>
        <w:t>湛</w:t>
      </w:r>
      <w:r>
        <w:rPr>
          <w:rFonts w:ascii="宋体" w:cs="宋体" w:hint="eastAsia"/>
        </w:rPr>
        <w:t>海新</w:t>
      </w:r>
      <w:r>
        <w:rPr>
          <w:rFonts w:ascii="宋体" w:cs="宋体"/>
        </w:rPr>
        <w:t>材料有限公司</w:t>
      </w:r>
      <w:r>
        <w:rPr>
          <w:rFonts w:ascii="宋体" w:cs="宋体" w:hint="eastAsia"/>
        </w:rPr>
        <w:t>、包头</w:t>
      </w:r>
      <w:r>
        <w:rPr>
          <w:rFonts w:ascii="宋体" w:cs="宋体"/>
        </w:rPr>
        <w:t>华美稀土高科有限公司和北方稀土</w:t>
      </w:r>
      <w:r>
        <w:rPr>
          <w:rFonts w:ascii="宋体" w:cs="宋体" w:hint="eastAsia"/>
        </w:rPr>
        <w:t>（集团</w:t>
      </w:r>
      <w:r>
        <w:rPr>
          <w:rFonts w:ascii="宋体" w:cs="宋体"/>
        </w:rPr>
        <w:t>）</w:t>
      </w:r>
      <w:r>
        <w:rPr>
          <w:rFonts w:ascii="宋体" w:cs="宋体" w:hint="eastAsia"/>
        </w:rPr>
        <w:t>高科技</w:t>
      </w:r>
      <w:r>
        <w:rPr>
          <w:rFonts w:ascii="宋体" w:cs="宋体"/>
        </w:rPr>
        <w:t>股份有限公司</w:t>
      </w:r>
      <w:r>
        <w:rPr>
          <w:rFonts w:ascii="宋体" w:cs="宋体" w:hint="eastAsia"/>
        </w:rPr>
        <w:t>等1</w:t>
      </w:r>
      <w:r>
        <w:rPr>
          <w:rFonts w:ascii="宋体" w:cs="宋体"/>
        </w:rPr>
        <w:t>2</w:t>
      </w:r>
      <w:r>
        <w:rPr>
          <w:rFonts w:ascii="宋体" w:cs="宋体" w:hint="eastAsia"/>
        </w:rPr>
        <w:t>家单位组成。本项目组起草人员长期从事化学分析检测工作，擅长X- 射线荧光光谱、电感耦合等离子体质谱、电感耦合等离子体光谱等设备的应用及方法开发，多次参与国家、行业标准的制修订工作，能够保证本项目计划的顺利完成。</w:t>
      </w:r>
    </w:p>
    <w:p>
      <w:r>
        <w:rPr>
          <w:rFonts w:ascii="宋体" w:eastAsia="宋体" w:cs="宋体" w:hint="eastAsia"/>
          <w:b/>
          <w:szCs w:val="20"/>
        </w:rPr>
        <w:t>1.1赣州有色冶金研究所有限公司：</w:t>
      </w:r>
      <w:r>
        <w:rPr>
          <w:rFonts w:ascii="宋体" w:cs="宋体" w:hint="eastAsia"/>
        </w:rPr>
        <w:t>(以下</w:t>
      </w:r>
      <w:r>
        <w:rPr>
          <w:rFonts w:ascii="宋体" w:cs="宋体"/>
        </w:rPr>
        <w:t>简称</w:t>
      </w:r>
      <w:r>
        <w:rPr>
          <w:rFonts w:ascii="宋体" w:cs="宋体" w:hint="eastAsia"/>
        </w:rPr>
        <w:t>赣研所)赣研所</w:t>
      </w:r>
      <w:r>
        <w:rPr>
          <w:rFonts w:hint="eastAsia"/>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先后</w:t>
      </w:r>
      <w:r>
        <w:rPr>
          <w:rFonts w:hint="eastAsia"/>
          <w:color w:val="000000"/>
        </w:rPr>
        <w:t>完成各类科研课题、工程试验项目2300多项，取得科研成果1200余项，其中获国家发明奖6项，国家科技进步奖8项，省部级科技奖励300多项；授权专利99件，其中，发明专利31件；主持和参与制（修）订钨、稀土、钽铌等有色金属矿及其制品和分析检测</w:t>
      </w:r>
      <w:r>
        <w:rPr>
          <w:rFonts w:hint="eastAsia"/>
        </w:rPr>
        <w:t>方法国家标准107项，行业标准40项，团体标准5项，研制国家标准物质/标准样品6个。在编制组主要负责样品准备、试验方法起草、</w:t>
      </w:r>
      <w:r>
        <w:t>文本编辑和数据统计等工作</w:t>
      </w:r>
      <w:r>
        <w:rPr>
          <w:rFonts w:hint="eastAsia"/>
        </w:rPr>
        <w:t>。</w:t>
      </w:r>
    </w:p>
    <w:p>
      <w:r>
        <w:rPr>
          <w:rFonts w:ascii="宋体" w:eastAsia="宋体" w:cs="宋体" w:hint="eastAsia"/>
          <w:b/>
          <w:szCs w:val="20"/>
        </w:rPr>
        <w:t>1.2</w:t>
      </w:r>
      <w:r>
        <w:rPr>
          <w:rFonts w:ascii="宋体" w:cs="宋体" w:hint="eastAsia"/>
          <w:b/>
          <w:bCs/>
        </w:rPr>
        <w:t>虔东稀土集团股份有限公司</w:t>
      </w:r>
      <w:r>
        <w:rPr>
          <w:rFonts w:ascii="宋体" w:cs="宋体" w:hint="eastAsia"/>
        </w:rPr>
        <w:t>(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Pr>
          <w:rFonts w:hint="eastAsia"/>
          <w:color w:val="000000"/>
        </w:rPr>
        <w:t>。</w:t>
      </w:r>
    </w:p>
    <w:p>
      <w:pPr>
        <w:rPr>
          <w:rFonts w:ascii="宋体" w:cs="宋体"/>
        </w:rPr>
      </w:pPr>
      <w:r>
        <w:rPr>
          <w:rFonts w:ascii="宋体" w:eastAsia="宋体" w:cs="宋体" w:hint="eastAsia"/>
          <w:b/>
          <w:szCs w:val="20"/>
        </w:rPr>
        <w:t>1.3</w:t>
      </w:r>
      <w:r>
        <w:rPr>
          <w:rFonts w:ascii="宋体" w:cs="宋体"/>
          <w:b/>
          <w:bCs/>
        </w:rPr>
        <w:t>国家</w:t>
      </w:r>
      <w:r>
        <w:rPr>
          <w:rFonts w:ascii="宋体" w:cs="宋体" w:hint="eastAsia"/>
          <w:b/>
          <w:bCs/>
        </w:rPr>
        <w:t>钨</w:t>
      </w:r>
      <w:r>
        <w:rPr>
          <w:rFonts w:ascii="宋体" w:cs="宋体"/>
          <w:b/>
          <w:bCs/>
        </w:rPr>
        <w:t>与稀土产品质量监督检验检测</w:t>
      </w:r>
      <w:r>
        <w:rPr>
          <w:rFonts w:ascii="宋体" w:cs="宋体" w:hint="eastAsia"/>
          <w:b/>
          <w:bCs/>
        </w:rPr>
        <w:t>中心：</w:t>
      </w:r>
      <w:r>
        <w:rPr>
          <w:rFonts w:ascii="宋体" w:cs="宋体" w:hint="eastAsia"/>
        </w:rPr>
        <w:t>。</w:t>
      </w:r>
    </w:p>
    <w:p>
      <w:pPr>
        <w:rPr>
          <w:rFonts w:ascii="宋体" w:cs="宋体"/>
        </w:rPr>
      </w:pPr>
      <w:r>
        <w:rPr>
          <w:rFonts w:ascii="宋体" w:cs="宋体" w:hint="eastAsia"/>
          <w:b/>
          <w:bCs/>
        </w:rPr>
        <w:t>1.4中国科学院海西研究院厦门稀土材料研究中心</w:t>
      </w:r>
      <w:r>
        <w:rPr>
          <w:rFonts w:ascii="宋体" w:cs="宋体" w:hint="eastAsia"/>
        </w:rPr>
        <w:t>:为中国科学院海西研究院、厦门市人民政府与厦门钨业股份有限公司三方，于2012年签约共建成立的地方事业法人单位。厦门稀土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厦门稀土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厦门稀土所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p>
    <w:p>
      <w:pPr>
        <w:rPr>
          <w:rFonts w:ascii="宋体" w:eastAsia="宋体" w:cs="宋体"/>
          <w:b/>
          <w:szCs w:val="20"/>
        </w:rPr>
      </w:pPr>
      <w:r>
        <w:rPr>
          <w:rFonts w:ascii="宋体" w:eastAsia="宋体" w:cs="宋体" w:hint="eastAsia"/>
          <w:b/>
          <w:szCs w:val="20"/>
        </w:rPr>
        <w:t>1.5</w:t>
      </w:r>
      <w:r>
        <w:rPr>
          <w:b/>
          <w:bCs/>
        </w:rPr>
        <w:t>包头稀土研究院</w:t>
      </w:r>
      <w:r>
        <w:rPr>
          <w:rFonts w:hint="eastAsia"/>
          <w:b/>
          <w:bCs/>
        </w:rPr>
        <w:t>：</w:t>
      </w:r>
      <w:r>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CNAS）和内蒙古市场监督管理局实验室认定（CMA）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r>
        <w:rPr>
          <w:rFonts w:ascii="宋体" w:cs="宋体"/>
          <w:szCs w:val="20"/>
        </w:rPr>
        <w:t>。</w:t>
      </w:r>
    </w:p>
    <w:p>
      <w:pPr>
        <w:jc w:val="left"/>
        <w:rPr>
          <w:rFonts w:ascii="宋体" w:cs="宋体"/>
        </w:rPr>
      </w:pPr>
      <w:r>
        <w:rPr>
          <w:rFonts w:ascii="宋体" w:hint="eastAsia"/>
          <w:b/>
        </w:rPr>
        <w:t>1.6</w:t>
      </w:r>
      <w:r>
        <w:rPr>
          <w:rFonts w:ascii="宋体" w:hint="eastAsia"/>
          <w:b/>
          <w:bCs/>
        </w:rPr>
        <w:t>湖南稀土金属材料研究院有限责任公司</w:t>
      </w:r>
      <w:r>
        <w:rPr>
          <w:rFonts w:ascii="宋体" w:hint="eastAsia"/>
        </w:rPr>
        <w:t>：</w:t>
      </w:r>
      <w:r>
        <w:rPr>
          <w:rFonts w:ascii="宋体" w:cs="宋体" w:hint="eastAsia"/>
        </w:rPr>
        <w:t>创建于</w:t>
      </w:r>
      <w:r>
        <w:rPr>
          <w:rFonts w:ascii="宋体" w:cs="宋体"/>
        </w:rPr>
        <w:t>1958</w:t>
      </w:r>
      <w:r>
        <w:rPr>
          <w:rFonts w:ascii="宋体" w:cs="宋体" w:hint="eastAsia"/>
        </w:rPr>
        <w:t>年，一直从事稀土科研和军用稀土新材料研制工作，是我国最早从事稀土材料应用研究开发的科研单位，同时也是有色军工稀土新材料研制开发的定点单位。我院现有在职职工260人，其中：教授级高级工程师7人、高级工程师48人、工程师等技术骨干77人、享受政府津贴的专家7人，技术力量雄厚，在氧化钪与金属钪、铝钪中间合金，高纯中重稀土氧化物、稀土超细微粉、高纯稀土金属和合金型材(棒、片、粉、粒、丝、管、箔)、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31项稀土标准的修制订工作。</w:t>
      </w:r>
    </w:p>
    <w:p>
      <w:pPr>
        <w:jc w:val="left"/>
        <w:rPr>
          <w:rFonts w:ascii="宋体" w:cs="宋体"/>
        </w:rPr>
      </w:pPr>
      <w:r>
        <w:rPr>
          <w:rFonts w:ascii="宋体" w:cs="宋体" w:hint="eastAsia"/>
          <w:b/>
        </w:rPr>
        <w:t>1.7</w:t>
      </w:r>
      <w:r>
        <w:rPr>
          <w:rFonts w:ascii="宋体" w:cs="宋体" w:hint="eastAsia"/>
          <w:b/>
          <w:bCs/>
        </w:rPr>
        <w:t>江西理工大学分析测试中心：</w:t>
      </w:r>
      <w:r>
        <w:rPr>
          <w:rFonts w:ascii="宋体" w:cs="宋体" w:hint="eastAsia"/>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测试中心特别在稀土元素的检测方面，做了大量的工作。能够从开采、提取生产到冶炼，以及后面的稀土新材料，提供全面的检测服务。可以测定微量到超高纯的稀土元素产品的成分检测和稀土新材料的表面结构、微区分析和磁性能等的检测。特别是超高纯稀土元素的检测，是中心在稀土检测领域首次完成不需分离，直接测定。基于中心对学校科研和生产单位稀土元素检测过去所做过的工作，江西理工大学分析测试中心有能力保证项目顺利完成。</w:t>
      </w:r>
    </w:p>
    <w:p>
      <w:r>
        <w:rPr>
          <w:rFonts w:ascii="宋体" w:cs="宋体" w:hint="eastAsia"/>
          <w:b/>
        </w:rPr>
        <w:t>1.8</w:t>
      </w:r>
      <w:r>
        <w:rPr>
          <w:rFonts w:hint="eastAsia"/>
          <w:b/>
          <w:bCs/>
        </w:rPr>
        <w:t>包头天和磁材科技股份有限公司：</w:t>
      </w:r>
      <w:r>
        <w:rPr>
          <w:rFonts w:hint="eastAsia"/>
        </w:rPr>
        <w:t>（以下简称天和磁材</w:t>
      </w:r>
      <w:r>
        <w:t>）</w:t>
      </w:r>
      <w:r>
        <w:rPr>
          <w:rFonts w:hint="eastAsia"/>
        </w:rPr>
        <w:t>，创立于2008年，坐落于世界稀土之都包头，是专业研发、生产和销售高性能稀土永磁材料的重点高新技术企业、科技创新型企业。天和磁材主营稀土永磁钕铁硼（NdFeB）和钐钴（SmCo），具备年产10000吨烧结稀土永磁钕铁硼、500吨烧结稀土永磁钐钴的生产能力。2018年公司被评为包头市科技小巨人企业、内蒙古自治区优秀民营企业；2019年获评为包头市智能制造科技型示范企业、包头市首批创新引领民营企业、内蒙古自治区知识产权优势企业等；2020年被国家工信部认定为绿色工厂；2021年获内蒙古自治区主席质量奖；2021年荣获内蒙古高质量发展重点工业企业；2021年度稳外贸工作突出贡献企业。</w:t>
      </w:r>
    </w:p>
    <w:p>
      <w:pPr>
        <w:rPr>
          <w:b/>
          <w:bCs/>
        </w:rPr>
      </w:pPr>
      <w:r>
        <w:rPr>
          <w:rFonts w:hint="eastAsia"/>
          <w:b/>
          <w:bCs/>
        </w:rPr>
        <w:t>1.9江阴加华</w:t>
      </w:r>
      <w:r>
        <w:rPr>
          <w:b/>
          <w:bCs/>
        </w:rPr>
        <w:t>新材料资源有限公司</w:t>
      </w:r>
      <w:r>
        <w:rPr>
          <w:rFonts w:hint="eastAsia"/>
          <w:b/>
          <w:bCs/>
        </w:rPr>
        <w:t>：</w:t>
      </w:r>
    </w:p>
    <w:p>
      <w:pPr>
        <w:rPr>
          <w:b/>
          <w:bCs/>
        </w:rPr>
      </w:pPr>
      <w:r>
        <w:rPr>
          <w:rFonts w:hint="eastAsia"/>
          <w:b/>
          <w:bCs/>
        </w:rPr>
        <w:t>1.10赣州</w:t>
      </w:r>
      <w:r>
        <w:rPr>
          <w:b/>
          <w:bCs/>
        </w:rPr>
        <w:t>湛</w:t>
      </w:r>
      <w:r>
        <w:rPr>
          <w:rFonts w:hint="eastAsia"/>
          <w:b/>
          <w:bCs/>
        </w:rPr>
        <w:t>海新</w:t>
      </w:r>
      <w:r>
        <w:rPr>
          <w:b/>
          <w:bCs/>
        </w:rPr>
        <w:t>材料有限公司</w:t>
      </w:r>
      <w:r>
        <w:rPr>
          <w:rFonts w:hint="eastAsia"/>
          <w:b/>
          <w:bCs/>
        </w:rPr>
        <w:t>：</w:t>
      </w:r>
    </w:p>
    <w:p>
      <w:pPr>
        <w:rPr>
          <w:b/>
          <w:bCs/>
        </w:rPr>
      </w:pPr>
      <w:r>
        <w:rPr>
          <w:rFonts w:hint="eastAsia"/>
          <w:b/>
          <w:bCs/>
        </w:rPr>
        <w:t>1.11包头</w:t>
      </w:r>
      <w:r>
        <w:rPr>
          <w:b/>
          <w:bCs/>
        </w:rPr>
        <w:t>华美稀土高科有限公司：</w:t>
      </w:r>
    </w:p>
    <w:p>
      <w:pPr>
        <w:rPr>
          <w:b/>
          <w:bCs/>
        </w:rPr>
      </w:pPr>
      <w:r>
        <w:rPr>
          <w:b/>
          <w:bCs/>
        </w:rPr>
        <w:t>1.12北方稀土</w:t>
      </w:r>
      <w:r>
        <w:rPr>
          <w:rFonts w:hint="eastAsia"/>
          <w:b/>
          <w:bCs/>
        </w:rPr>
        <w:t>（集团</w:t>
      </w:r>
      <w:r>
        <w:rPr>
          <w:b/>
          <w:bCs/>
        </w:rPr>
        <w:t>）</w:t>
      </w:r>
      <w:r>
        <w:rPr>
          <w:rFonts w:hint="eastAsia"/>
          <w:b/>
          <w:bCs/>
        </w:rPr>
        <w:t>高科技</w:t>
      </w:r>
      <w:r>
        <w:rPr>
          <w:b/>
          <w:bCs/>
        </w:rPr>
        <w:t>股份有限公司：</w:t>
      </w:r>
    </w:p>
    <w:p>
      <w:pPr>
        <w:pStyle w:val="119"/>
        <w:numPr>
          <w:ilvl w:val="0"/>
          <w:numId w:val="4"/>
        </w:numPr>
        <w:ind w:firstLineChars="0"/>
        <w:rPr>
          <w:rFonts w:cs="宋体"/>
          <w:b/>
        </w:rPr>
      </w:pPr>
      <w:r>
        <w:rPr>
          <w:rFonts w:cs="宋体" w:hint="eastAsia"/>
          <w:b/>
        </w:rPr>
        <w:t>标准主要起草人姓名及其负责的工作</w:t>
      </w:r>
    </w:p>
    <w:p>
      <w:pPr>
        <w:ind w:firstLineChars="200" w:firstLine="420"/>
        <w:rPr>
          <w:rFonts w:ascii="宋体" w:cs="宋体"/>
        </w:rPr>
      </w:pPr>
      <w:r>
        <w:rPr>
          <w:rFonts w:ascii="宋体" w:cs="宋体" w:hint="eastAsia"/>
        </w:rPr>
        <w:t>起草人主要工作如下：</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研制背景</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项目的必要性简述</w:t>
      </w:r>
    </w:p>
    <w:p>
      <w:pPr>
        <w:ind w:firstLineChars="200" w:firstLine="420"/>
        <w:jc w:val="left"/>
      </w:pPr>
      <w:r>
        <w:rPr>
          <w:rFonts w:hint="eastAsia"/>
        </w:rPr>
        <w:t>国家标准《离子型稀土矿混合稀土氧化物化学分析方法  第1部分：十五个稀土元素氧化物配分量的测定》（GB/T 188882.1-2008）从2008年发布实施已经11年了，对我国稀土行业的发展起到了积极的推动作用。但随着行业科技进步、行业稀土产品与销售的新要求，现行标准在使用过程逐渐出现了以下问题：</w:t>
      </w:r>
    </w:p>
    <w:p>
      <w:pPr>
        <w:ind w:left="0" w:firstLineChars="200" w:firstLine="420"/>
        <w:jc w:val="left"/>
      </w:pPr>
      <w:r>
        <w:rPr>
          <w:rFonts w:hint="eastAsia"/>
        </w:rPr>
        <w:t>1.近年来离子型稀土矿中特有的铽、镥和铕等资源广泛应用于激光、永磁、核反应堆、光敏电阻器和荧光粉前驱体等高端新材料领域，原标准方法的检测下限偏高，已不能满足现有稀有资源储量勘探和开采以及稀土氧化物生产和交易的要求。</w:t>
      </w:r>
    </w:p>
    <w:p>
      <w:pPr>
        <w:ind w:left="0" w:firstLineChars="200" w:firstLine="420"/>
        <w:jc w:val="left"/>
        <w:rPr>
          <w:color w:val="000000"/>
          <w:szCs w:val="21"/>
        </w:rPr>
      </w:pPr>
      <w:r>
        <w:rPr>
          <w:rFonts w:hint="eastAsia"/>
          <w:color w:val="000000"/>
          <w:szCs w:val="21"/>
        </w:rPr>
        <w:t>2.离子型稀土矿山企业以往主要是生产混合稀土氧化物，提供给下游企业使用。随着技术进步，近年来离子型矿山企业主要是生产碳酸稀土供给下游企业使用，目前离子型稀土矿碳酸稀土产品产量已达2万吨/年（以REO计），碳酸稀土已占离子型稀土矿产品交易量</w:t>
      </w:r>
      <w:r>
        <w:rPr>
          <w:color w:val="000000"/>
          <w:szCs w:val="21"/>
        </w:rPr>
        <w:t>的</w:t>
      </w:r>
      <w:r>
        <w:rPr>
          <w:rFonts w:hint="eastAsia"/>
          <w:color w:val="000000"/>
          <w:szCs w:val="21"/>
        </w:rPr>
        <w:t>70%以上，</w:t>
      </w:r>
      <w:r>
        <w:rPr>
          <w:color w:val="000000"/>
          <w:szCs w:val="21"/>
        </w:rPr>
        <w:t>原检测方法</w:t>
      </w:r>
      <w:r>
        <w:rPr>
          <w:rFonts w:hint="eastAsia"/>
          <w:color w:val="000000"/>
          <w:szCs w:val="21"/>
        </w:rPr>
        <w:t>的检测</w:t>
      </w:r>
      <w:r>
        <w:rPr>
          <w:color w:val="000000"/>
          <w:szCs w:val="21"/>
        </w:rPr>
        <w:t>范围没有涵盖离子型碳酸稀土</w:t>
      </w:r>
      <w:r>
        <w:rPr>
          <w:rFonts w:hint="eastAsia"/>
          <w:color w:val="000000"/>
          <w:szCs w:val="21"/>
        </w:rPr>
        <w:t>。</w:t>
      </w:r>
    </w:p>
    <w:p>
      <w:pPr>
        <w:ind w:left="0" w:firstLineChars="200" w:firstLine="420"/>
        <w:jc w:val="left"/>
        <w:rPr>
          <w:color w:val="000000"/>
          <w:szCs w:val="21"/>
        </w:rPr>
      </w:pPr>
      <w:r>
        <w:rPr>
          <w:rFonts w:hint="eastAsia"/>
          <w:color w:val="000000"/>
          <w:szCs w:val="21"/>
        </w:rPr>
        <w:t>3.起草</w:t>
      </w:r>
      <w:r>
        <w:rPr>
          <w:color w:val="000000"/>
          <w:szCs w:val="21"/>
        </w:rPr>
        <w:t>单位</w:t>
      </w:r>
      <w:r>
        <w:rPr>
          <w:rFonts w:hint="eastAsia"/>
          <w:color w:val="000000"/>
          <w:szCs w:val="21"/>
        </w:rPr>
        <w:t>在</w:t>
      </w:r>
      <w:r>
        <w:rPr>
          <w:color w:val="000000"/>
          <w:szCs w:val="21"/>
        </w:rPr>
        <w:t>原标准实施</w:t>
      </w:r>
      <w:r>
        <w:rPr>
          <w:rFonts w:hint="eastAsia"/>
          <w:color w:val="000000"/>
          <w:szCs w:val="21"/>
        </w:rPr>
        <w:t>后</w:t>
      </w:r>
      <w:r>
        <w:rPr>
          <w:color w:val="000000"/>
          <w:szCs w:val="21"/>
        </w:rPr>
        <w:t>的</w:t>
      </w:r>
      <w:r>
        <w:rPr>
          <w:rFonts w:hint="eastAsia"/>
          <w:color w:val="000000"/>
          <w:szCs w:val="21"/>
        </w:rPr>
        <w:t>11年中，</w:t>
      </w:r>
      <w:r>
        <w:rPr>
          <w:color w:val="000000"/>
          <w:szCs w:val="21"/>
        </w:rPr>
        <w:t>对</w:t>
      </w:r>
      <w:r>
        <w:rPr>
          <w:rFonts w:hint="eastAsia"/>
          <w:color w:val="000000"/>
          <w:szCs w:val="21"/>
        </w:rPr>
        <w:t>已检测</w:t>
      </w:r>
      <w:r>
        <w:rPr>
          <w:color w:val="000000"/>
          <w:szCs w:val="21"/>
        </w:rPr>
        <w:t>的样品数据</w:t>
      </w:r>
      <w:r>
        <w:rPr>
          <w:rFonts w:hint="eastAsia"/>
          <w:color w:val="000000"/>
          <w:szCs w:val="21"/>
        </w:rPr>
        <w:t>进行统计</w:t>
      </w:r>
      <w:r>
        <w:rPr>
          <w:color w:val="000000"/>
          <w:szCs w:val="21"/>
        </w:rPr>
        <w:t>分析</w:t>
      </w:r>
      <w:r>
        <w:rPr>
          <w:rFonts w:hint="eastAsia"/>
          <w:color w:val="000000"/>
          <w:szCs w:val="21"/>
        </w:rPr>
        <w:t>，同时还调研了行业内多家检测机构发现，</w:t>
      </w:r>
      <w:r>
        <w:rPr>
          <w:color w:val="000000"/>
          <w:szCs w:val="21"/>
        </w:rPr>
        <w:t>原标准的标准系列配置</w:t>
      </w:r>
      <w:r>
        <w:rPr>
          <w:rFonts w:hint="eastAsia"/>
          <w:color w:val="000000"/>
          <w:szCs w:val="21"/>
        </w:rPr>
        <w:t>方式，不能</w:t>
      </w:r>
      <w:r>
        <w:rPr>
          <w:color w:val="000000"/>
          <w:szCs w:val="21"/>
        </w:rPr>
        <w:t>充分</w:t>
      </w:r>
      <w:r>
        <w:rPr>
          <w:rFonts w:hint="eastAsia"/>
          <w:color w:val="000000"/>
          <w:szCs w:val="21"/>
        </w:rPr>
        <w:t>满足符合离子型</w:t>
      </w:r>
      <w:r>
        <w:rPr>
          <w:color w:val="000000"/>
          <w:szCs w:val="21"/>
        </w:rPr>
        <w:t>稀土矿</w:t>
      </w:r>
      <w:r>
        <w:rPr>
          <w:rFonts w:hint="eastAsia"/>
          <w:color w:val="000000"/>
          <w:szCs w:val="21"/>
        </w:rPr>
        <w:t>自身</w:t>
      </w:r>
      <w:r>
        <w:rPr>
          <w:color w:val="000000"/>
          <w:szCs w:val="21"/>
        </w:rPr>
        <w:t>特</w:t>
      </w:r>
      <w:r>
        <w:rPr>
          <w:rFonts w:hint="eastAsia"/>
          <w:color w:val="000000"/>
          <w:szCs w:val="21"/>
        </w:rPr>
        <w:t>点的技术要求</w:t>
      </w:r>
      <w:r>
        <w:rPr>
          <w:color w:val="000000"/>
          <w:szCs w:val="21"/>
        </w:rPr>
        <w:t>。</w:t>
      </w:r>
      <w:r>
        <w:rPr>
          <w:rFonts w:hint="eastAsia"/>
          <w:color w:val="000000"/>
          <w:szCs w:val="21"/>
        </w:rPr>
        <w:t>如：</w:t>
      </w:r>
      <w:r>
        <w:rPr>
          <w:color w:val="000000"/>
          <w:szCs w:val="21"/>
        </w:rPr>
        <w:t>原标准方法</w:t>
      </w:r>
      <w:r>
        <w:rPr>
          <w:rFonts w:hint="eastAsia"/>
          <w:color w:val="000000"/>
          <w:szCs w:val="21"/>
        </w:rPr>
        <w:t>1中15种</w:t>
      </w:r>
      <w:r>
        <w:rPr>
          <w:color w:val="000000"/>
          <w:szCs w:val="21"/>
        </w:rPr>
        <w:t>稀土氧化物</w:t>
      </w:r>
      <w:r>
        <w:rPr>
          <w:rFonts w:hint="eastAsia"/>
          <w:color w:val="000000"/>
          <w:szCs w:val="21"/>
        </w:rPr>
        <w:t>标准的</w:t>
      </w:r>
      <w:r>
        <w:rPr>
          <w:color w:val="000000"/>
          <w:szCs w:val="21"/>
        </w:rPr>
        <w:t>配置</w:t>
      </w:r>
      <w:r>
        <w:rPr>
          <w:rFonts w:hint="eastAsia"/>
          <w:color w:val="000000"/>
          <w:szCs w:val="21"/>
        </w:rPr>
        <w:t>方式</w:t>
      </w:r>
      <w:r>
        <w:rPr>
          <w:color w:val="000000"/>
          <w:szCs w:val="21"/>
        </w:rPr>
        <w:t>主要是采用</w:t>
      </w:r>
      <w:r>
        <w:rPr>
          <w:rFonts w:hint="eastAsia"/>
          <w:color w:val="000000"/>
          <w:szCs w:val="21"/>
        </w:rPr>
        <w:t>数学</w:t>
      </w:r>
      <w:r>
        <w:rPr>
          <w:color w:val="000000"/>
          <w:szCs w:val="21"/>
        </w:rPr>
        <w:t>排列，没有</w:t>
      </w:r>
      <w:r>
        <w:rPr>
          <w:rFonts w:hint="eastAsia"/>
          <w:color w:val="000000"/>
          <w:szCs w:val="21"/>
        </w:rPr>
        <w:t>充分</w:t>
      </w:r>
      <w:r>
        <w:rPr>
          <w:color w:val="000000"/>
          <w:szCs w:val="21"/>
        </w:rPr>
        <w:t>体现离子型稀土矿轻中重</w:t>
      </w:r>
      <w:r>
        <w:rPr>
          <w:rFonts w:hint="eastAsia"/>
          <w:color w:val="000000"/>
          <w:szCs w:val="21"/>
        </w:rPr>
        <w:t>元素</w:t>
      </w:r>
      <w:r>
        <w:rPr>
          <w:color w:val="000000"/>
          <w:szCs w:val="21"/>
        </w:rPr>
        <w:t>含量分布的特点</w:t>
      </w:r>
      <w:r>
        <w:rPr>
          <w:rFonts w:hint="eastAsia"/>
          <w:color w:val="000000"/>
          <w:szCs w:val="21"/>
        </w:rPr>
        <w:t>；</w:t>
      </w:r>
      <w:r>
        <w:rPr>
          <w:color w:val="000000"/>
          <w:szCs w:val="21"/>
        </w:rPr>
        <w:t>方法</w:t>
      </w:r>
      <w:r>
        <w:rPr>
          <w:rFonts w:hint="eastAsia"/>
          <w:color w:val="000000"/>
          <w:szCs w:val="21"/>
        </w:rPr>
        <w:t>2中L</w:t>
      </w:r>
      <w:r>
        <w:rPr>
          <w:color w:val="000000"/>
          <w:szCs w:val="21"/>
        </w:rPr>
        <w:t>a</w:t>
      </w:r>
      <w:r>
        <w:rPr>
          <w:color w:val="000000"/>
          <w:szCs w:val="21"/>
          <w:vertAlign w:val="subscript"/>
        </w:rPr>
        <w:t>2</w:t>
      </w:r>
      <w:r>
        <w:rPr>
          <w:color w:val="000000"/>
          <w:szCs w:val="21"/>
        </w:rPr>
        <w:t>O</w:t>
      </w:r>
      <w:r>
        <w:rPr>
          <w:color w:val="000000"/>
          <w:szCs w:val="21"/>
          <w:vertAlign w:val="subscript"/>
        </w:rPr>
        <w:t>3</w:t>
      </w:r>
      <w:r>
        <w:rPr>
          <w:rFonts w:hint="eastAsia"/>
          <w:color w:val="000000"/>
          <w:szCs w:val="21"/>
        </w:rPr>
        <w:t>、C</w:t>
      </w:r>
      <w:r>
        <w:rPr>
          <w:color w:val="000000"/>
          <w:szCs w:val="21"/>
        </w:rPr>
        <w:t>eO</w:t>
      </w:r>
      <w:r>
        <w:rPr>
          <w:color w:val="000000"/>
          <w:szCs w:val="21"/>
          <w:vertAlign w:val="subscript"/>
        </w:rPr>
        <w:t>2</w:t>
      </w:r>
      <w:r>
        <w:rPr>
          <w:rFonts w:hint="eastAsia"/>
          <w:color w:val="000000"/>
          <w:szCs w:val="21"/>
        </w:rPr>
        <w:t>和</w:t>
      </w:r>
      <w:r>
        <w:rPr>
          <w:color w:val="000000"/>
          <w:szCs w:val="21"/>
        </w:rPr>
        <w:t>Nd</w:t>
      </w:r>
      <w:r>
        <w:rPr>
          <w:color w:val="000000"/>
          <w:szCs w:val="21"/>
          <w:vertAlign w:val="subscript"/>
        </w:rPr>
        <w:t>2</w:t>
      </w:r>
      <w:r>
        <w:rPr>
          <w:color w:val="000000"/>
          <w:szCs w:val="21"/>
        </w:rPr>
        <w:t>O</w:t>
      </w:r>
      <w:r>
        <w:rPr>
          <w:color w:val="000000"/>
          <w:szCs w:val="21"/>
          <w:vertAlign w:val="subscript"/>
        </w:rPr>
        <w:t>3</w:t>
      </w:r>
      <w:r>
        <w:rPr>
          <w:rFonts w:hint="eastAsia"/>
          <w:color w:val="000000"/>
          <w:szCs w:val="21"/>
        </w:rPr>
        <w:t>的系列标准曲线</w:t>
      </w:r>
      <w:r>
        <w:rPr>
          <w:color w:val="000000"/>
          <w:szCs w:val="21"/>
        </w:rPr>
        <w:t>上限</w:t>
      </w:r>
      <w:r>
        <w:rPr>
          <w:rFonts w:hint="eastAsia"/>
          <w:color w:val="000000"/>
          <w:szCs w:val="21"/>
        </w:rPr>
        <w:t>分别为4</w:t>
      </w:r>
      <w:r>
        <w:rPr>
          <w:color w:val="000000"/>
          <w:szCs w:val="21"/>
        </w:rPr>
        <w:t>0%</w:t>
      </w:r>
      <w:r>
        <w:rPr>
          <w:rFonts w:hint="eastAsia"/>
          <w:color w:val="000000"/>
          <w:szCs w:val="21"/>
        </w:rPr>
        <w:t>、4</w:t>
      </w:r>
      <w:r>
        <w:rPr>
          <w:color w:val="000000"/>
          <w:szCs w:val="21"/>
        </w:rPr>
        <w:t>%和</w:t>
      </w:r>
      <w:r>
        <w:rPr>
          <w:rFonts w:hint="eastAsia"/>
          <w:color w:val="000000"/>
          <w:szCs w:val="21"/>
        </w:rPr>
        <w:t>35</w:t>
      </w:r>
      <w:r>
        <w:rPr>
          <w:color w:val="000000"/>
          <w:szCs w:val="21"/>
        </w:rPr>
        <w:t>%，</w:t>
      </w:r>
      <w:r>
        <w:rPr>
          <w:rFonts w:hint="eastAsia"/>
          <w:color w:val="000000"/>
          <w:szCs w:val="21"/>
        </w:rPr>
        <w:t>实际样品</w:t>
      </w:r>
      <w:r>
        <w:rPr>
          <w:color w:val="000000"/>
          <w:szCs w:val="21"/>
        </w:rPr>
        <w:t>可达</w:t>
      </w:r>
      <w:r>
        <w:rPr>
          <w:rFonts w:hint="eastAsia"/>
          <w:color w:val="000000"/>
          <w:szCs w:val="21"/>
        </w:rPr>
        <w:t>4</w:t>
      </w:r>
      <w:r>
        <w:rPr>
          <w:color w:val="000000"/>
          <w:szCs w:val="21"/>
        </w:rPr>
        <w:t>5%</w:t>
      </w:r>
      <w:r>
        <w:rPr>
          <w:rFonts w:hint="eastAsia"/>
          <w:color w:val="000000"/>
          <w:szCs w:val="21"/>
        </w:rPr>
        <w:t>、</w:t>
      </w:r>
      <w:r>
        <w:rPr>
          <w:color w:val="000000"/>
          <w:szCs w:val="21"/>
        </w:rPr>
        <w:t>20%和40%</w:t>
      </w:r>
      <w:r>
        <w:rPr>
          <w:rFonts w:hint="eastAsia"/>
          <w:color w:val="000000"/>
          <w:szCs w:val="21"/>
        </w:rPr>
        <w:t>，等等</w:t>
      </w:r>
      <w:r>
        <w:rPr>
          <w:color w:val="000000"/>
          <w:szCs w:val="21"/>
        </w:rPr>
        <w:t>。</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项目的可行性简述</w:t>
      </w:r>
    </w:p>
    <w:p>
      <w:pPr>
        <w:widowControl/>
        <w:ind w:left="0" w:firstLineChars="200" w:firstLine="420"/>
      </w:pPr>
      <w:r>
        <w:rPr>
          <w:rFonts w:ascii="宋体" w:cs="宋体" w:hint="eastAsia"/>
        </w:rPr>
        <w:t>本标准用于</w:t>
      </w:r>
      <w:r>
        <w:rPr>
          <w:rFonts w:hint="eastAsia"/>
        </w:rPr>
        <w:t>离子型稀土矿混合稀土氧化物</w:t>
      </w:r>
      <w:r>
        <w:rPr>
          <w:rFonts w:ascii="宋体" w:cs="宋体" w:hint="eastAsia"/>
        </w:rPr>
        <w:t>中十五个稀土元素氧化物配分量，测定范围0.</w:t>
      </w:r>
      <w:r>
        <w:rPr>
          <w:rFonts w:ascii="宋体" w:cs="宋体"/>
        </w:rPr>
        <w:t>05</w:t>
      </w:r>
      <w:r>
        <w:rPr>
          <w:rFonts w:ascii="宋体" w:cs="宋体" w:hint="eastAsia"/>
        </w:rPr>
        <w:t>%～</w:t>
      </w:r>
      <w:r>
        <w:rPr>
          <w:rFonts w:ascii="宋体" w:cs="宋体"/>
        </w:rPr>
        <w:t>68.00</w:t>
      </w:r>
      <w:r>
        <w:rPr>
          <w:rFonts w:ascii="宋体" w:cs="宋体" w:hint="eastAsia"/>
        </w:rPr>
        <w:t>%。采用X-射线荧光光谱法和电感耦合等离子体原子发射光谱法进行测定。通过基体近似匹配的方式，实现对各稀土元素配分量的测定。随着科学技术的进步，X-射线荧光光谱法和电感耦合等离子体原子发射光谱法，在分析检测行业占有举足轻重的地位，其具有精密度好、动态范围宽和全自动测定等特点；近似基体匹配方式则具有解决物性干扰、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主要工作过程</w:t>
      </w:r>
    </w:p>
    <w:p>
      <w:pPr>
        <w:pStyle w:val="112"/>
        <w:numPr>
          <w:ilvl w:val="0"/>
          <w:numId w:val="6"/>
        </w:numPr>
        <w:tabs>
          <w:tab w:val="clear" w:pos="675"/>
        </w:tabs>
        <w:spacing w:beforeLines="50" w:before="156" w:afterLines="50" w:after="156"/>
        <w:jc w:val="left"/>
        <w:rPr>
          <w:rFonts w:ascii="宋体" w:eastAsia="宋体" w:cs="宋体"/>
          <w:b/>
        </w:rPr>
      </w:pPr>
      <w:r>
        <w:rPr>
          <w:rFonts w:ascii="宋体" w:eastAsia="宋体" w:cs="宋体" w:hint="eastAsia"/>
          <w:b/>
        </w:rPr>
        <w:t>预研阶段</w:t>
      </w:r>
    </w:p>
    <w:p>
      <w:pPr>
        <w:ind w:left="0" w:firstLineChars="200" w:firstLine="420"/>
        <w:rPr>
          <w:rFonts w:ascii="宋体" w:cs="宋体"/>
        </w:rPr>
      </w:pPr>
      <w:r>
        <w:rPr>
          <w:rFonts w:ascii="宋体" w:cs="宋体" w:hint="eastAsia"/>
        </w:rPr>
        <w:t>本项目计划为修定项目，20</w:t>
      </w:r>
      <w:r>
        <w:rPr>
          <w:rFonts w:ascii="宋体" w:cs="宋体"/>
        </w:rPr>
        <w:t>20</w:t>
      </w:r>
      <w:r>
        <w:rPr>
          <w:rFonts w:ascii="宋体" w:cs="宋体" w:hint="eastAsia"/>
        </w:rPr>
        <w:t>年10月牵头单位对本项目组织了调研，广泛征集了用户企业与科研院所等单位意见。对十多年来牵头</w:t>
      </w:r>
      <w:r>
        <w:rPr>
          <w:rFonts w:ascii="宋体" w:cs="宋体"/>
        </w:rPr>
        <w:t>单位检测的近</w:t>
      </w:r>
      <w:r>
        <w:rPr>
          <w:rFonts w:ascii="宋体" w:cs="宋体" w:hint="eastAsia"/>
        </w:rPr>
        <w:t>5万</w:t>
      </w:r>
      <w:r>
        <w:rPr>
          <w:rFonts w:ascii="宋体" w:cs="宋体"/>
        </w:rPr>
        <w:t>个样品配分</w:t>
      </w:r>
      <w:r>
        <w:rPr>
          <w:rFonts w:ascii="宋体" w:cs="宋体" w:hint="eastAsia"/>
        </w:rPr>
        <w:t>数据</w:t>
      </w:r>
      <w:r>
        <w:rPr>
          <w:rFonts w:ascii="宋体" w:cs="宋体"/>
        </w:rPr>
        <w:t>进行了统计</w:t>
      </w:r>
      <w:r>
        <w:rPr>
          <w:rFonts w:ascii="宋体" w:cs="宋体" w:hint="eastAsia"/>
        </w:rPr>
        <w:t>，确定了匹配标准</w:t>
      </w:r>
      <w:r>
        <w:rPr>
          <w:rFonts w:ascii="宋体" w:cs="宋体"/>
        </w:rPr>
        <w:t>的</w:t>
      </w:r>
      <w:r>
        <w:rPr>
          <w:rFonts w:ascii="宋体" w:cs="宋体" w:hint="eastAsia"/>
        </w:rPr>
        <w:t>方案设计，并通过初步试验形成了草案稿，证明了本项目制定方案的可行性，同时完成了立项论证报告及项目建议书的编写。</w:t>
      </w:r>
    </w:p>
    <w:p>
      <w:pPr>
        <w:pStyle w:val="112"/>
        <w:numPr>
          <w:ilvl w:val="0"/>
          <w:numId w:val="6"/>
        </w:numPr>
        <w:tabs>
          <w:tab w:val="clear" w:pos="675"/>
        </w:tabs>
        <w:spacing w:beforeLines="50" w:before="156" w:afterLines="50" w:after="156"/>
        <w:jc w:val="left"/>
        <w:rPr>
          <w:rFonts w:ascii="宋体" w:eastAsia="宋体" w:cs="宋体"/>
          <w:b/>
        </w:rPr>
      </w:pPr>
      <w:r>
        <w:rPr>
          <w:rFonts w:ascii="宋体" w:eastAsia="宋体" w:cs="宋体" w:hint="eastAsia"/>
          <w:b/>
        </w:rPr>
        <w:t>立项阶段</w:t>
      </w:r>
    </w:p>
    <w:p>
      <w:pPr>
        <w:widowControl/>
        <w:ind w:left="0" w:firstLine="420"/>
        <w:rPr>
          <w:rFonts w:ascii="宋体" w:cs="宋体"/>
        </w:rPr>
      </w:pPr>
      <w:r>
        <w:rPr>
          <w:rFonts w:ascii="宋体" w:cs="宋体" w:hint="eastAsia"/>
        </w:rPr>
        <w:t>20</w:t>
      </w:r>
      <w:r>
        <w:rPr>
          <w:rFonts w:ascii="宋体" w:cs="宋体"/>
        </w:rPr>
        <w:t>20</w:t>
      </w:r>
      <w:r>
        <w:rPr>
          <w:rFonts w:ascii="宋体" w:cs="宋体" w:hint="eastAsia"/>
        </w:rPr>
        <w:t>年</w:t>
      </w:r>
      <w:r>
        <w:rPr>
          <w:rFonts w:ascii="宋体" w:cs="宋体"/>
        </w:rPr>
        <w:t>03</w:t>
      </w:r>
      <w:r>
        <w:rPr>
          <w:rFonts w:ascii="宋体" w:cs="宋体" w:hint="eastAsia"/>
        </w:rPr>
        <w:t>月向全国稀标委秘书处提交了本项目的项目建议书、立项论证报告、草案稿，正式申请立项。全国稀土标委会对本项目立项进行了意见征集并组织了全体委员进行投票，最终通过了本项目的立项请求，并上报国标委获批立项。本项目归口单位为：全国稀土标准化技术委员会；项目周期为</w:t>
      </w:r>
      <w:r>
        <w:rPr>
          <w:rFonts w:ascii="宋体" w:cs="宋体"/>
        </w:rPr>
        <w:t>18</w:t>
      </w:r>
      <w:r>
        <w:rPr>
          <w:rFonts w:ascii="宋体" w:cs="宋体" w:hint="eastAsia"/>
        </w:rPr>
        <w:t>个月。</w:t>
      </w:r>
    </w:p>
    <w:p>
      <w:pPr>
        <w:ind w:firstLine="420"/>
        <w:rPr>
          <w:rFonts w:ascii="宋体" w:cs="宋体"/>
        </w:rPr>
      </w:pPr>
      <w:r>
        <w:rPr>
          <w:rFonts w:ascii="宋体" w:cs="宋体" w:hint="eastAsia"/>
        </w:rPr>
        <w:t>202</w:t>
      </w:r>
      <w:r>
        <w:rPr>
          <w:rFonts w:ascii="宋体" w:cs="宋体"/>
        </w:rPr>
        <w:t>1</w:t>
      </w:r>
      <w:r>
        <w:rPr>
          <w:rFonts w:ascii="宋体" w:cs="宋体" w:hint="eastAsia"/>
        </w:rPr>
        <w:t>年9月</w:t>
      </w:r>
      <w:r>
        <w:rPr>
          <w:rFonts w:ascii="宋体" w:cs="宋体"/>
        </w:rPr>
        <w:t>26-29</w:t>
      </w:r>
      <w:r>
        <w:rPr>
          <w:rFonts w:ascii="宋体" w:cs="宋体" w:hint="eastAsia"/>
        </w:rPr>
        <w:t>日全国稀土标准化技术委员会召开网络会议，对本项目进行任务落实。会议确定负责起草单位为赣州有色冶金研究所有限公司、虔东稀土集团股份有限公司、</w:t>
      </w:r>
      <w:r>
        <w:rPr>
          <w:rFonts w:ascii="宋体" w:cs="宋体"/>
        </w:rPr>
        <w:t>国家</w:t>
      </w:r>
      <w:r>
        <w:rPr>
          <w:rFonts w:ascii="宋体" w:cs="宋体" w:hint="eastAsia"/>
        </w:rPr>
        <w:t>钨</w:t>
      </w:r>
      <w:r>
        <w:rPr>
          <w:rFonts w:ascii="宋体" w:cs="宋体"/>
        </w:rPr>
        <w:t>与稀土产品质量监督检验检测</w:t>
      </w:r>
      <w:r>
        <w:rPr>
          <w:rFonts w:ascii="宋体" w:cs="宋体" w:hint="eastAsia"/>
        </w:rPr>
        <w:t>中心</w:t>
      </w:r>
      <w:r>
        <w:rPr>
          <w:rFonts w:ascii="宋体" w:cs="宋体"/>
        </w:rPr>
        <w:t>、</w:t>
      </w:r>
      <w:r>
        <w:rPr>
          <w:rFonts w:ascii="宋体" w:cs="宋体" w:hint="eastAsia"/>
        </w:rPr>
        <w:t>中国科学院海西研究院厦门稀土材料研究中心、包头稀土研究院、湖南稀土金属材料研究院有限责任公司、江西理工大学分析测试中心、包头天和磁材科技</w:t>
      </w:r>
      <w:r>
        <w:rPr>
          <w:rFonts w:ascii="宋体" w:cs="宋体"/>
        </w:rPr>
        <w:t>股份有限公司</w:t>
      </w:r>
      <w:r>
        <w:rPr>
          <w:rFonts w:ascii="宋体" w:cs="宋体" w:hint="eastAsia"/>
        </w:rPr>
        <w:t>、江阴加华</w:t>
      </w:r>
      <w:r>
        <w:rPr>
          <w:rFonts w:ascii="宋体" w:cs="宋体"/>
        </w:rPr>
        <w:t>新材料资源有限公司</w:t>
      </w:r>
      <w:r>
        <w:rPr>
          <w:rFonts w:ascii="宋体" w:cs="宋体" w:hint="eastAsia"/>
        </w:rPr>
        <w:t>、赣州</w:t>
      </w:r>
      <w:r>
        <w:rPr>
          <w:rFonts w:ascii="宋体" w:cs="宋体"/>
        </w:rPr>
        <w:t>湛</w:t>
      </w:r>
      <w:r>
        <w:rPr>
          <w:rFonts w:ascii="宋体" w:cs="宋体" w:hint="eastAsia"/>
        </w:rPr>
        <w:t>海新</w:t>
      </w:r>
      <w:r>
        <w:rPr>
          <w:rFonts w:ascii="宋体" w:cs="宋体"/>
        </w:rPr>
        <w:t>材料有限公司</w:t>
      </w:r>
      <w:r>
        <w:rPr>
          <w:rFonts w:ascii="宋体" w:cs="宋体" w:hint="eastAsia"/>
        </w:rPr>
        <w:t>、包头</w:t>
      </w:r>
      <w:r>
        <w:rPr>
          <w:rFonts w:ascii="宋体" w:cs="宋体"/>
        </w:rPr>
        <w:t>华美稀土高科有限公司和北方稀土</w:t>
      </w:r>
      <w:r>
        <w:rPr>
          <w:rFonts w:ascii="宋体" w:cs="宋体" w:hint="eastAsia"/>
        </w:rPr>
        <w:t>（集团</w:t>
      </w:r>
      <w:r>
        <w:rPr>
          <w:rFonts w:ascii="宋体" w:cs="宋体"/>
        </w:rPr>
        <w:t>）</w:t>
      </w:r>
      <w:r>
        <w:rPr>
          <w:rFonts w:ascii="宋体" w:cs="宋体" w:hint="eastAsia"/>
        </w:rPr>
        <w:t>高科技</w:t>
      </w:r>
      <w:r>
        <w:rPr>
          <w:rFonts w:ascii="宋体" w:cs="宋体"/>
        </w:rPr>
        <w:t>股份有限公司</w:t>
      </w:r>
      <w:r>
        <w:rPr>
          <w:rFonts w:ascii="宋体" w:cs="宋体" w:hint="eastAsia"/>
          <w:szCs w:val="20"/>
        </w:rPr>
        <w:t>等1</w:t>
      </w:r>
      <w:r>
        <w:rPr>
          <w:rFonts w:ascii="宋体" w:cs="宋体"/>
          <w:szCs w:val="20"/>
        </w:rPr>
        <w:t>2</w:t>
      </w:r>
      <w:r>
        <w:rPr>
          <w:rFonts w:ascii="宋体" w:cs="宋体" w:hint="eastAsia"/>
          <w:szCs w:val="20"/>
        </w:rPr>
        <w:t>家单位</w:t>
      </w:r>
      <w:r>
        <w:rPr>
          <w:rFonts w:ascii="宋体" w:cs="宋体" w:hint="eastAsia"/>
        </w:rPr>
        <w:t>。任务落实会上，确定了赣州有色冶金研究所有限公司为本项目牵头单位并负责统一样品的提供。会议确定了项目的时间进度安排等。</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起草阶段</w:t>
      </w:r>
    </w:p>
    <w:p>
      <w:pPr>
        <w:rPr>
          <w:rFonts w:ascii="宋体" w:cs="宋体"/>
        </w:rPr>
      </w:pPr>
      <w:r>
        <w:rPr>
          <w:rFonts w:ascii="宋体" w:cs="宋体" w:hint="eastAsia"/>
        </w:rPr>
        <w:tab/>
        <w:t>赣州有色冶金研究所有限公司分析检测中心接受任务后，立即成立了国标《</w:t>
      </w:r>
      <w:r>
        <w:rPr>
          <w:rFonts w:ascii="宋体" w:cs="宋体" w:hint="eastAsia"/>
          <w:szCs w:val="20"/>
        </w:rPr>
        <w:t>离子型稀土矿混合稀土氧化物化学方法 第</w:t>
      </w:r>
      <w:r>
        <w:rPr>
          <w:rFonts w:ascii="宋体" w:cs="宋体"/>
          <w:szCs w:val="20"/>
        </w:rPr>
        <w:t>1</w:t>
      </w:r>
      <w:r>
        <w:rPr>
          <w:rFonts w:ascii="宋体" w:cs="宋体" w:hint="eastAsia"/>
          <w:szCs w:val="20"/>
        </w:rPr>
        <w:t>部分：十五个稀土元素氧化物配分量的测定</w:t>
      </w:r>
      <w:r>
        <w:rPr>
          <w:rFonts w:ascii="宋体" w:cs="宋体" w:hint="eastAsia"/>
        </w:rPr>
        <w:t>》研发小组，并针对混合稀土氧化物、混合稀土碳酸</w:t>
      </w:r>
      <w:r>
        <w:rPr>
          <w:rFonts w:ascii="宋体" w:cs="宋体"/>
        </w:rPr>
        <w:t>盐、</w:t>
      </w:r>
      <w:r>
        <w:rPr>
          <w:rFonts w:ascii="宋体" w:cs="宋体" w:hint="eastAsia"/>
        </w:rPr>
        <w:t>混合稀土草酸</w:t>
      </w:r>
      <w:r>
        <w:rPr>
          <w:rFonts w:ascii="宋体" w:cs="宋体"/>
        </w:rPr>
        <w:t>盐</w:t>
      </w:r>
      <w:r>
        <w:rPr>
          <w:rFonts w:ascii="宋体" w:cs="宋体" w:hint="eastAsia"/>
        </w:rPr>
        <w:t>和混合稀土</w:t>
      </w:r>
      <w:r>
        <w:rPr>
          <w:rFonts w:ascii="宋体" w:cs="宋体"/>
        </w:rPr>
        <w:t>料液</w:t>
      </w:r>
      <w:r>
        <w:rPr>
          <w:rFonts w:ascii="宋体" w:cs="宋体" w:hint="eastAsia"/>
        </w:rPr>
        <w:t>等稀土产品进行条件试验摸索，初步形成试验方法。</w:t>
      </w:r>
    </w:p>
    <w:p>
      <w:pPr>
        <w:ind w:firstLine="420"/>
        <w:rPr>
          <w:rFonts w:ascii="宋体" w:cs="宋体"/>
        </w:rPr>
      </w:pPr>
      <w:r>
        <w:rPr>
          <w:rFonts w:ascii="宋体" w:cs="宋体" w:hint="eastAsia"/>
        </w:rPr>
        <w:t>202</w:t>
      </w:r>
      <w:r>
        <w:rPr>
          <w:rFonts w:ascii="宋体" w:cs="宋体"/>
        </w:rPr>
        <w:t>2</w:t>
      </w:r>
      <w:r>
        <w:rPr>
          <w:rFonts w:ascii="宋体" w:cs="宋体" w:hint="eastAsia"/>
        </w:rPr>
        <w:t>年3月，牵头</w:t>
      </w:r>
      <w:r>
        <w:rPr>
          <w:rFonts w:ascii="宋体" w:cs="宋体"/>
        </w:rPr>
        <w:t>起草单位准备好了</w:t>
      </w:r>
      <w:r>
        <w:rPr>
          <w:rFonts w:ascii="宋体" w:cs="宋体" w:hint="eastAsia"/>
        </w:rPr>
        <w:t>试验用统一样品，开展了精密度、加标回收等试验，证明方法准确可靠。</w:t>
      </w:r>
    </w:p>
    <w:p>
      <w:pPr>
        <w:rPr>
          <w:rFonts w:ascii="宋体" w:cs="宋体"/>
        </w:rPr>
      </w:pPr>
      <w:r>
        <w:rPr>
          <w:rFonts w:ascii="宋体" w:cs="宋体" w:hint="eastAsia"/>
        </w:rPr>
        <w:tab/>
        <w:t>2021年</w:t>
      </w:r>
      <w:r>
        <w:rPr>
          <w:rFonts w:ascii="宋体" w:cs="宋体"/>
        </w:rPr>
        <w:t>6</w:t>
      </w:r>
      <w:r>
        <w:rPr>
          <w:rFonts w:ascii="宋体" w:cs="宋体" w:hint="eastAsia"/>
        </w:rPr>
        <w:t>月，赣州有色冶金研究所有限公司对实验数据进行整理，完成了国家标准《</w:t>
      </w:r>
      <w:r>
        <w:rPr>
          <w:rFonts w:ascii="宋体" w:cs="宋体" w:hint="eastAsia"/>
          <w:szCs w:val="20"/>
        </w:rPr>
        <w:t>离子型稀土矿混合稀土氧化物化学方法 第</w:t>
      </w:r>
      <w:r>
        <w:rPr>
          <w:rFonts w:ascii="宋体" w:cs="宋体"/>
          <w:szCs w:val="20"/>
        </w:rPr>
        <w:t>1</w:t>
      </w:r>
      <w:r>
        <w:rPr>
          <w:rFonts w:ascii="宋体" w:cs="宋体" w:hint="eastAsia"/>
          <w:szCs w:val="20"/>
        </w:rPr>
        <w:t>部分：十五个稀土元素氧化物配分量的测定</w:t>
      </w:r>
      <w:r>
        <w:rPr>
          <w:rFonts w:ascii="宋体" w:cs="宋体" w:hint="eastAsia"/>
        </w:rPr>
        <w:t>》（征求意见稿）及方法研究报告的编写，并将样品和方法研究报告提供给6家验证单位进行数据的验证工作。</w:t>
      </w:r>
    </w:p>
    <w:p>
      <w:pPr>
        <w:ind w:firstLine="420"/>
        <w:rPr>
          <w:rFonts w:ascii="宋体" w:cs="宋体"/>
        </w:rPr>
      </w:pPr>
      <w:r>
        <w:rPr>
          <w:rFonts w:ascii="宋体" w:cs="宋体" w:hint="eastAsia"/>
        </w:rPr>
        <w:t>在标准的起草过程中，各单位广泛提出意见。截止202</w:t>
      </w:r>
      <w:r>
        <w:rPr>
          <w:rFonts w:ascii="宋体" w:cs="宋体"/>
        </w:rPr>
        <w:t>2</w:t>
      </w:r>
      <w:r>
        <w:rPr>
          <w:rFonts w:ascii="宋体" w:cs="宋体" w:hint="eastAsia"/>
        </w:rPr>
        <w:t>年</w:t>
      </w:r>
      <w:r>
        <w:rPr>
          <w:rFonts w:ascii="宋体" w:cs="宋体"/>
        </w:rPr>
        <w:t>07</w:t>
      </w:r>
      <w:r>
        <w:rPr>
          <w:rFonts w:ascii="宋体" w:cs="宋体" w:hint="eastAsia"/>
        </w:rPr>
        <w:t>月1</w:t>
      </w:r>
      <w:r>
        <w:rPr>
          <w:rFonts w:ascii="宋体" w:cs="宋体"/>
        </w:rPr>
        <w:t>8</w:t>
      </w:r>
      <w:r>
        <w:rPr>
          <w:rFonts w:ascii="宋体" w:cs="宋体" w:hint="eastAsia"/>
        </w:rPr>
        <w:t>日，各验证单位陆续完成两个方法的验证工作并返回验证报告。</w:t>
      </w:r>
    </w:p>
    <w:p>
      <w:pPr>
        <w:ind w:firstLine="420"/>
        <w:rPr>
          <w:rFonts w:ascii="宋体" w:cs="宋体"/>
        </w:rPr>
      </w:pPr>
      <w:r>
        <w:rPr>
          <w:rFonts w:ascii="宋体" w:cs="宋体" w:hint="eastAsia"/>
          <w:color w:val="000000"/>
        </w:rPr>
        <w:t>在验证过程中，各验证单位提出意见如下：</w:t>
      </w:r>
    </w:p>
    <w:p>
      <w:pPr>
        <w:ind w:firstLine="420"/>
        <w:rPr>
          <w:rFonts w:ascii="宋体" w:cs="宋体"/>
          <w:color w:val="000000"/>
        </w:rPr>
      </w:pPr>
      <w:r>
        <w:rPr>
          <w:rFonts w:ascii="宋体" w:cs="宋体" w:hint="eastAsia"/>
          <w:color w:val="000000"/>
        </w:rPr>
        <w:t>方法1：</w:t>
      </w:r>
      <w:r>
        <w:rPr>
          <w:rFonts w:ascii="宋体" w:cs="宋体" w:hint="eastAsia"/>
        </w:rPr>
        <w:t>X-射线荧光光谱法</w:t>
      </w:r>
      <w:r>
        <w:rPr>
          <w:rFonts w:ascii="宋体" w:cs="宋体" w:hint="eastAsia"/>
          <w:color w:val="000000"/>
        </w:rPr>
        <w:t>在验证过程中，各验证单位提出意见如下：</w:t>
      </w:r>
    </w:p>
    <w:p>
      <w:pPr>
        <w:pStyle w:val="119"/>
        <w:ind w:left="420"/>
        <w:rPr>
          <w:szCs w:val="21"/>
        </w:rPr>
      </w:pPr>
      <w:r>
        <w:rPr>
          <w:rFonts w:hint="eastAsia"/>
          <w:szCs w:val="21"/>
        </w:rPr>
        <w:t>1、虔东稀土集团股份有限公司</w:t>
      </w:r>
      <w:r>
        <w:rPr>
          <w:rFonts w:ascii="宋体" w:cs="宋体" w:hint="eastAsia"/>
          <w:color w:val="000000"/>
        </w:rPr>
        <w:t>：保留钒</w:t>
      </w:r>
      <w:r>
        <w:rPr>
          <w:rFonts w:ascii="宋体" w:cs="宋体"/>
          <w:color w:val="000000"/>
        </w:rPr>
        <w:t>内标，采纳</w:t>
      </w:r>
      <w:r>
        <w:rPr>
          <w:rFonts w:hint="eastAsia"/>
          <w:szCs w:val="21"/>
        </w:rPr>
        <w:t>。</w:t>
      </w:r>
    </w:p>
    <w:p>
      <w:pPr>
        <w:ind w:leftChars="200" w:left="420"/>
        <w:rPr>
          <w:szCs w:val="21"/>
        </w:rPr>
      </w:pPr>
      <w:r>
        <w:rPr>
          <w:rFonts w:hint="eastAsia"/>
          <w:szCs w:val="21"/>
        </w:rPr>
        <w:t>方法2：</w:t>
      </w:r>
      <w:r>
        <w:rPr>
          <w:rFonts w:ascii="宋体" w:cs="宋体" w:hint="eastAsia"/>
        </w:rPr>
        <w:t>电感耦合等离子体原子发射光谱法</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征求意见阶段</w:t>
      </w:r>
    </w:p>
    <w:p>
      <w:pPr>
        <w:ind w:firstLine="420"/>
        <w:rPr>
          <w:rFonts w:ascii="宋体" w:cs="宋体"/>
        </w:rPr>
      </w:pPr>
      <w:r>
        <w:rPr>
          <w:rFonts w:ascii="宋体" w:cs="宋体" w:hint="eastAsia"/>
        </w:rPr>
        <w:t>编制组通过发函、中国有色金属标准质量信息网上公示以及会议等形式对国家标准《</w:t>
      </w:r>
      <w:r>
        <w:rPr>
          <w:rFonts w:ascii="宋体" w:cs="宋体" w:hint="eastAsia"/>
          <w:szCs w:val="20"/>
        </w:rPr>
        <w:t>离子型稀土矿混合稀土氧化物化学方法 第</w:t>
      </w:r>
      <w:r>
        <w:rPr>
          <w:rFonts w:ascii="宋体" w:cs="宋体"/>
          <w:szCs w:val="20"/>
        </w:rPr>
        <w:t>1</w:t>
      </w:r>
      <w:r>
        <w:rPr>
          <w:rFonts w:ascii="宋体" w:cs="宋体" w:hint="eastAsia"/>
          <w:szCs w:val="20"/>
        </w:rPr>
        <w:t>部分：十五个稀土元素氧化物配分量的测定</w:t>
      </w:r>
      <w:r>
        <w:rPr>
          <w:rFonts w:ascii="宋体" w:cs="宋体" w:hint="eastAsia"/>
        </w:rPr>
        <w:t>》（征求意见稿）进行了广泛的意见征询。</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审查阶段</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报批阶段</w:t>
      </w:r>
    </w:p>
    <w:p>
      <w:pPr>
        <w:numPr>
          <w:ilvl w:val="0"/>
          <w:numId w:val="1"/>
        </w:numPr>
        <w:spacing w:beforeLines="50" w:before="156" w:afterLines="50" w:after="156" w:line="300" w:lineRule="auto"/>
        <w:rPr>
          <w:rFonts w:ascii="宋体" w:cs="宋体"/>
          <w:b/>
          <w:sz w:val="24"/>
        </w:rPr>
      </w:pPr>
      <w:r>
        <w:rPr>
          <w:rFonts w:ascii="宋体" w:cs="宋体" w:hint="eastAsia"/>
          <w:b/>
          <w:sz w:val="24"/>
        </w:rPr>
        <w:t>标准编制原则、主要内容及其确定依据。修订国家标准时，还包括修订前后技术内容的对比</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（一）</w:t>
      </w:r>
      <w:r>
        <w:rPr>
          <w:rFonts w:ascii="宋体" w:eastAsia="宋体" w:cs="宋体"/>
          <w:b/>
          <w:bCs/>
          <w:sz w:val="24"/>
          <w:szCs w:val="22"/>
        </w:rPr>
        <w:t>编制原则</w:t>
      </w:r>
    </w:p>
    <w:p>
      <w:pPr>
        <w:pStyle w:val="112"/>
        <w:numPr>
          <w:ilvl w:val="0"/>
          <w:numId w:val="7"/>
        </w:numPr>
        <w:tabs>
          <w:tab w:val="clear" w:pos="675"/>
        </w:tabs>
        <w:spacing w:beforeLines="50" w:before="156" w:afterLines="50" w:after="156"/>
        <w:jc w:val="left"/>
        <w:rPr>
          <w:rFonts w:ascii="宋体" w:eastAsia="宋体" w:cs="宋体"/>
          <w:b/>
        </w:rPr>
      </w:pPr>
      <w:r>
        <w:rPr>
          <w:rFonts w:ascii="宋体" w:eastAsia="宋体" w:cs="宋体" w:hint="eastAsia"/>
          <w:b/>
        </w:rPr>
        <w:t>规范性原则：</w:t>
      </w:r>
    </w:p>
    <w:p>
      <w:pPr>
        <w:widowControl/>
        <w:ind w:firstLineChars="200" w:firstLine="420"/>
        <w:rPr>
          <w:rFonts w:ascii="宋体" w:cs="宋体"/>
        </w:rPr>
      </w:pPr>
      <w:r>
        <w:rPr>
          <w:rFonts w:ascii="宋体" w:cs="宋体" w:hint="eastAsia"/>
        </w:rPr>
        <w:t>本标准是根据GB/T 1.1-2020《标准化工作导则 第1部分：标准化文件的结构和起草规则》和GB/T 20001.4-2015《标准编写规则 第4部分：试验方法标准》的要求进行编写的。</w:t>
      </w:r>
    </w:p>
    <w:p>
      <w:pPr>
        <w:pStyle w:val="112"/>
        <w:numPr>
          <w:ilvl w:val="0"/>
          <w:numId w:val="7"/>
        </w:numPr>
        <w:tabs>
          <w:tab w:val="clear" w:pos="675"/>
        </w:tabs>
        <w:spacing w:beforeLines="50" w:before="156" w:afterLines="50" w:after="156"/>
        <w:jc w:val="left"/>
        <w:rPr>
          <w:rFonts w:ascii="宋体" w:eastAsia="宋体" w:cs="宋体"/>
          <w:b/>
        </w:rPr>
      </w:pPr>
      <w:r>
        <w:rPr>
          <w:rFonts w:ascii="宋体" w:eastAsia="宋体" w:cs="宋体" w:hint="eastAsia"/>
          <w:b/>
        </w:rPr>
        <w:t>先进性：</w:t>
      </w:r>
    </w:p>
    <w:p>
      <w:pPr>
        <w:widowControl/>
        <w:ind w:firstLineChars="200" w:firstLine="420"/>
        <w:rPr>
          <w:rFonts w:ascii="宋体" w:cs="宋体"/>
        </w:rPr>
      </w:pPr>
      <w:r>
        <w:rPr>
          <w:rFonts w:ascii="宋体" w:cs="宋体" w:hint="eastAsia"/>
        </w:rPr>
        <w:t>本标准的修订采用了近似基体匹配的方法，测定离子</w:t>
      </w:r>
      <w:r>
        <w:rPr>
          <w:rFonts w:ascii="宋体" w:cs="宋体"/>
        </w:rPr>
        <w:t>型稀土矿</w:t>
      </w:r>
      <w:r>
        <w:rPr>
          <w:rFonts w:ascii="宋体" w:cs="宋体" w:hint="eastAsia"/>
        </w:rPr>
        <w:t>混合稀土氧化物、离子</w:t>
      </w:r>
      <w:r>
        <w:rPr>
          <w:rFonts w:ascii="宋体" w:cs="宋体"/>
        </w:rPr>
        <w:t>型稀土矿</w:t>
      </w:r>
      <w:r>
        <w:rPr>
          <w:rFonts w:ascii="宋体" w:cs="宋体" w:hint="eastAsia"/>
        </w:rPr>
        <w:t>混合稀土碳酸</w:t>
      </w:r>
      <w:r>
        <w:rPr>
          <w:rFonts w:ascii="宋体" w:cs="宋体"/>
        </w:rPr>
        <w:t>盐、</w:t>
      </w:r>
      <w:r>
        <w:rPr>
          <w:rFonts w:ascii="宋体" w:cs="宋体" w:hint="eastAsia"/>
        </w:rPr>
        <w:t>离子</w:t>
      </w:r>
      <w:r>
        <w:rPr>
          <w:rFonts w:ascii="宋体" w:cs="宋体"/>
        </w:rPr>
        <w:t>型稀土矿</w:t>
      </w:r>
      <w:r>
        <w:rPr>
          <w:rFonts w:ascii="宋体" w:cs="宋体" w:hint="eastAsia"/>
        </w:rPr>
        <w:t>混合稀土草酸</w:t>
      </w:r>
      <w:r>
        <w:rPr>
          <w:rFonts w:ascii="宋体" w:cs="宋体"/>
        </w:rPr>
        <w:t>盐</w:t>
      </w:r>
      <w:r>
        <w:rPr>
          <w:rFonts w:ascii="宋体" w:cs="宋体" w:hint="eastAsia"/>
        </w:rPr>
        <w:t>和离子</w:t>
      </w:r>
      <w:r>
        <w:rPr>
          <w:rFonts w:ascii="宋体" w:cs="宋体"/>
        </w:rPr>
        <w:t>型稀土矿</w:t>
      </w:r>
      <w:r>
        <w:rPr>
          <w:rFonts w:ascii="宋体" w:cs="宋体" w:hint="eastAsia"/>
        </w:rPr>
        <w:t>混合稀土</w:t>
      </w:r>
      <w:r>
        <w:rPr>
          <w:rFonts w:ascii="宋体" w:cs="宋体"/>
        </w:rPr>
        <w:t>料液</w:t>
      </w:r>
      <w:r>
        <w:rPr>
          <w:rFonts w:ascii="宋体" w:cs="宋体" w:hint="eastAsia"/>
        </w:rPr>
        <w:t>中稀土配分量，为首次修订，标准实施后将起到一套标准保障多种类型产品质量检测的作用。本标准的制定将推进离子</w:t>
      </w:r>
      <w:r>
        <w:rPr>
          <w:rFonts w:ascii="宋体" w:cs="宋体"/>
        </w:rPr>
        <w:t>型稀土</w:t>
      </w:r>
      <w:r>
        <w:rPr>
          <w:rFonts w:ascii="宋体" w:cs="宋体" w:hint="eastAsia"/>
        </w:rPr>
        <w:t>产业的发展，对国内稀土生产企业及相关行业的技术进步产生积极的促进作用。</w:t>
      </w:r>
    </w:p>
    <w:p>
      <w:pPr>
        <w:pStyle w:val="112"/>
        <w:numPr>
          <w:ilvl w:val="0"/>
          <w:numId w:val="8"/>
        </w:numPr>
        <w:tabs>
          <w:tab w:val="clear" w:pos="675"/>
        </w:tabs>
        <w:spacing w:beforeLines="50" w:before="156" w:afterLines="50" w:after="156"/>
        <w:jc w:val="left"/>
        <w:rPr>
          <w:rFonts w:ascii="宋体" w:eastAsia="宋体" w:cs="宋体"/>
          <w:b/>
        </w:rPr>
      </w:pPr>
      <w:r>
        <w:rPr>
          <w:rFonts w:ascii="宋体" w:eastAsia="宋体" w:cs="宋体" w:hint="eastAsia"/>
          <w:b/>
        </w:rPr>
        <w:t>适用性：</w:t>
      </w:r>
    </w:p>
    <w:p>
      <w:pPr>
        <w:widowControl/>
        <w:ind w:firstLineChars="200" w:firstLine="420"/>
        <w:rPr>
          <w:rFonts w:ascii="宋体" w:cs="宋体"/>
        </w:rPr>
      </w:pPr>
      <w:r>
        <w:rPr>
          <w:rFonts w:ascii="宋体" w:cs="宋体" w:hint="eastAsia"/>
        </w:rPr>
        <w:t>本标准根据了现有离子</w:t>
      </w:r>
      <w:r>
        <w:rPr>
          <w:rFonts w:ascii="宋体" w:cs="宋体"/>
        </w:rPr>
        <w:t>型稀土矿</w:t>
      </w:r>
      <w:r>
        <w:rPr>
          <w:rFonts w:ascii="宋体" w:cs="宋体" w:hint="eastAsia"/>
        </w:rPr>
        <w:t>混合稀土氧化物、离子</w:t>
      </w:r>
      <w:r>
        <w:rPr>
          <w:rFonts w:ascii="宋体" w:cs="宋体"/>
        </w:rPr>
        <w:t>型稀土矿</w:t>
      </w:r>
      <w:r>
        <w:rPr>
          <w:rFonts w:ascii="宋体" w:cs="宋体" w:hint="eastAsia"/>
        </w:rPr>
        <w:t>混合稀土碳酸</w:t>
      </w:r>
      <w:r>
        <w:rPr>
          <w:rFonts w:ascii="宋体" w:cs="宋体"/>
        </w:rPr>
        <w:t>盐、</w:t>
      </w:r>
      <w:r>
        <w:rPr>
          <w:rFonts w:ascii="宋体" w:cs="宋体" w:hint="eastAsia"/>
        </w:rPr>
        <w:t>离子</w:t>
      </w:r>
      <w:r>
        <w:rPr>
          <w:rFonts w:ascii="宋体" w:cs="宋体"/>
        </w:rPr>
        <w:t>型稀土矿</w:t>
      </w:r>
      <w:r>
        <w:rPr>
          <w:rFonts w:ascii="宋体" w:cs="宋体" w:hint="eastAsia"/>
        </w:rPr>
        <w:t>混合稀土草酸</w:t>
      </w:r>
      <w:r>
        <w:rPr>
          <w:rFonts w:ascii="宋体" w:cs="宋体"/>
        </w:rPr>
        <w:t>盐</w:t>
      </w:r>
      <w:r>
        <w:rPr>
          <w:rFonts w:ascii="宋体" w:cs="宋体" w:hint="eastAsia"/>
        </w:rPr>
        <w:t>等</w:t>
      </w:r>
      <w:r>
        <w:rPr>
          <w:rFonts w:ascii="宋体" w:cs="宋体"/>
        </w:rPr>
        <w:t>产品</w:t>
      </w:r>
      <w:r>
        <w:rPr>
          <w:rFonts w:ascii="宋体" w:cs="宋体" w:hint="eastAsia"/>
        </w:rPr>
        <w:t>标准所规定的各项指标要求，参考生产工艺与贸易的实际情况修订的。修订中综合考虑了所涉及各产品标准的各方面技术指标，对影响分析质量的条件,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（二）主要技术内容及其确定的依据</w:t>
      </w:r>
    </w:p>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适用范围的确定</w:t>
      </w:r>
    </w:p>
    <w:p>
      <w:pPr>
        <w:pStyle w:val="113"/>
        <w:tabs>
          <w:tab w:val="center" w:pos="4201"/>
          <w:tab w:val="right" w:leader="dot" w:pos="9298"/>
        </w:tabs>
        <w:ind w:left="0" w:firstLineChars="200" w:firstLine="420"/>
        <w:jc w:val="left"/>
        <w:rPr>
          <w:rFonts w:cs="宋体"/>
          <w:szCs w:val="22"/>
        </w:rPr>
      </w:pPr>
      <w:r>
        <w:rPr>
          <w:rFonts w:cs="宋体" w:hint="eastAsia"/>
        </w:rPr>
        <w:t>本</w:t>
      </w:r>
      <w:r>
        <w:rPr>
          <w:rFonts w:cs="宋体"/>
        </w:rPr>
        <w:t>标准</w:t>
      </w:r>
      <w:r>
        <w:rPr>
          <w:rFonts w:cs="宋体" w:hint="eastAsia"/>
        </w:rPr>
        <w:t>离子型稀土矿混合稀土氧化物、离子型稀土矿混合稀土碳酸盐、离子型稀土矿混合稀土草酸盐、离子型稀土矿混合稀土</w:t>
      </w:r>
      <w:r>
        <w:rPr>
          <w:rFonts w:cs="宋体"/>
        </w:rPr>
        <w:t>料液的测定</w:t>
      </w:r>
      <w:r>
        <w:rPr>
          <w:rFonts w:cs="宋体" w:hint="eastAsia"/>
          <w:szCs w:val="22"/>
        </w:rPr>
        <w:t>。</w:t>
      </w:r>
    </w:p>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测定范围确定</w:t>
      </w:r>
    </w:p>
    <w:p>
      <w:pPr>
        <w:tabs>
          <w:tab w:val="left" w:pos="1118"/>
        </w:tabs>
        <w:ind w:firstLine="403"/>
        <w:rPr>
          <w:rFonts w:eastAsia="黑体"/>
        </w:rPr>
      </w:pPr>
      <w:r>
        <w:rPr>
          <w:rFonts w:ascii="宋体" w:cs="宋体" w:hint="eastAsia"/>
        </w:rPr>
        <w:t>根据正在产品标准</w:t>
      </w:r>
      <w:r>
        <w:rPr>
          <w:rFonts w:ascii="宋体" w:cs="宋体"/>
        </w:rPr>
        <w:t>GB/T 20169-2015</w:t>
      </w:r>
      <w:r>
        <w:rPr>
          <w:rFonts w:ascii="宋体" w:cs="宋体" w:hint="eastAsia"/>
        </w:rPr>
        <w:t>《</w:t>
      </w:r>
      <w:r>
        <w:rPr>
          <w:rFonts w:cs="黑体" w:hint="eastAsia"/>
          <w:bCs/>
          <w:szCs w:val="52"/>
        </w:rPr>
        <w:t>离子型稀土矿混合稀土氧化物</w:t>
      </w:r>
      <w:r>
        <w:rPr>
          <w:rFonts w:ascii="宋体" w:cs="宋体" w:hint="eastAsia"/>
        </w:rPr>
        <w:t>》和</w:t>
      </w:r>
      <w:r>
        <w:rPr>
          <w:rFonts w:ascii="宋体" w:cs="宋体"/>
        </w:rPr>
        <w:t>GB/T 28882-2012</w:t>
      </w:r>
      <w:r>
        <w:rPr>
          <w:rFonts w:ascii="宋体" w:cs="宋体" w:hint="eastAsia"/>
        </w:rPr>
        <w:t>《离子型稀土矿碳酸稀土》规定的</w:t>
      </w:r>
      <w:r>
        <w:rPr>
          <w:rFonts w:hint="eastAsia"/>
          <w:color w:val="000000"/>
          <w:szCs w:val="20"/>
        </w:rPr>
        <w:t>稀土元素化学成分要求</w:t>
      </w:r>
      <w:r>
        <w:rPr>
          <w:rFonts w:hint="eastAsia"/>
          <w:color w:val="000000"/>
        </w:rPr>
        <w:t>，确定了本标准的测定范围，见表</w:t>
      </w:r>
      <w:r>
        <w:rPr>
          <w:color w:val="000000"/>
        </w:rPr>
        <w:t>1</w:t>
      </w:r>
      <w:r>
        <w:rPr>
          <w:rFonts w:hint="eastAsia"/>
          <w:color w:val="000000"/>
        </w:rPr>
        <w:t>和表</w:t>
      </w:r>
      <w:r>
        <w:rPr>
          <w:color w:val="000000"/>
        </w:rPr>
        <w:t>2</w:t>
      </w:r>
      <w:r>
        <w:rPr>
          <w:rFonts w:ascii="宋体" w:cs="宋体" w:hint="eastAsia"/>
        </w:rPr>
        <w:t>：</w:t>
      </w:r>
    </w:p>
    <w:p>
      <w:pPr>
        <w:spacing w:beforeLines="50" w:before="156" w:line="312" w:lineRule="auto"/>
        <w:jc w:val="center"/>
        <w:rPr>
          <w:rFonts w:eastAsia="黑体"/>
        </w:rPr>
      </w:pPr>
      <w:r>
        <w:rPr>
          <w:rFonts w:eastAsia="黑体"/>
        </w:rPr>
        <w:t>表1</w:t>
      </w:r>
      <w:r>
        <w:rPr>
          <w:color w:val="000000"/>
        </w:rPr>
        <w:t>　</w:t>
      </w:r>
      <w:r>
        <w:rPr>
          <w:rFonts w:eastAsia="黑体" w:hint="eastAsia"/>
        </w:rPr>
        <w:t>方法1测定范围</w:t>
      </w:r>
    </w:p>
    <w:p>
      <w:pPr>
        <w:spacing w:line="220" w:lineRule="exact"/>
        <w:ind w:firstLineChars="200" w:firstLine="360"/>
        <w:jc w:val="center"/>
        <w:rPr>
          <w:rFonts w:ascii="宋体" w:cs="宋体"/>
          <w:sz w:val="18"/>
          <w:szCs w:val="18"/>
        </w:rPr>
      </w:pPr>
      <w:r>
        <w:rPr>
          <w:rFonts w:ascii="宋体" w:cs="宋体" w:hint="eastAsia"/>
          <w:sz w:val="18"/>
          <w:szCs w:val="18"/>
        </w:rPr>
        <w:t xml:space="preserve">                                                                                   %   </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36"/>
        <w:gridCol w:w="2326"/>
        <w:gridCol w:w="2336"/>
        <w:gridCol w:w="2327"/>
      </w:tblGrid>
      <w:tr>
        <w:trPr>
          <w:trHeight w:val="397"/>
        </w:trPr>
        <w:tc>
          <w:tcPr>
            <w:tcW w:w="2336" w:type="dxa"/>
            <w:tcBorders>
              <w:top w:val="single" w:sz="12" w:space="0" w:color="auto"/>
              <w:left w:val="single" w:sz="12" w:space="0" w:color="auto"/>
              <w:bottom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（RE</w:t>
            </w:r>
            <w:r>
              <w:rPr>
                <w:rFonts w:ascii="宋体" w:cs="宋体"/>
                <w:sz w:val="18"/>
                <w:szCs w:val="18"/>
                <w:vertAlign w:val="subscript"/>
              </w:rPr>
              <w:t>X</w:t>
            </w:r>
            <w:r>
              <w:rPr>
                <w:rFonts w:ascii="宋体" w:cs="宋体"/>
                <w:sz w:val="18"/>
                <w:szCs w:val="18"/>
              </w:rPr>
              <w:t>O</w:t>
            </w:r>
            <w:r>
              <w:rPr>
                <w:rFonts w:ascii="宋体" w:cs="宋体"/>
                <w:sz w:val="18"/>
                <w:szCs w:val="18"/>
                <w:vertAlign w:val="subscript"/>
              </w:rPr>
              <w:t>Y</w:t>
            </w:r>
            <w:r>
              <w:rPr>
                <w:rFonts w:ascii="宋体" w:cs="宋体"/>
                <w:sz w:val="18"/>
                <w:szCs w:val="18"/>
              </w:rPr>
              <w:t>/REO）</w:t>
            </w:r>
          </w:p>
        </w:tc>
        <w:tc>
          <w:tcPr>
            <w:tcW w:w="2326" w:type="dxa"/>
            <w:tcBorders>
              <w:top w:val="single" w:sz="12" w:space="0" w:color="auto"/>
              <w:bottom w:val="single" w:sz="12" w:space="0" w:color="auto"/>
              <w:right w:val="double" w:sz="4" w:space="0" w:color="auto"/>
            </w:tcBorders>
            <w:vAlign w:val="center"/>
          </w:tcPr>
          <w:p>
            <w:pPr>
              <w:spacing w:line="220" w:lineRule="exact"/>
              <w:ind w:firstLineChars="200" w:firstLine="360"/>
              <w:jc w:val="center"/>
              <w:rPr>
                <w:rFonts w:ascii="宋体" w:cs="宋体"/>
                <w:sz w:val="18"/>
                <w:szCs w:val="18"/>
              </w:rPr>
            </w:pPr>
            <w:r>
              <w:rPr>
                <w:rFonts w:ascii="宋体" w:cs="宋体" w:hint="eastAsia"/>
                <w:sz w:val="18"/>
                <w:szCs w:val="18"/>
              </w:rPr>
              <w:t>配分量</w:t>
            </w:r>
            <w:r>
              <w:rPr>
                <w:rFonts w:ascii="宋体" w:cs="宋体"/>
                <w:sz w:val="18"/>
                <w:szCs w:val="18"/>
              </w:rPr>
              <w:t>/%</w:t>
            </w:r>
          </w:p>
        </w:tc>
        <w:tc>
          <w:tcPr>
            <w:tcW w:w="2336" w:type="dxa"/>
            <w:tcBorders>
              <w:top w:val="single" w:sz="12" w:space="0" w:color="auto"/>
              <w:left w:val="double" w:sz="4" w:space="0" w:color="auto"/>
              <w:bottom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（RE</w:t>
            </w:r>
            <w:r>
              <w:rPr>
                <w:rFonts w:ascii="宋体" w:cs="宋体"/>
                <w:sz w:val="18"/>
                <w:szCs w:val="18"/>
                <w:vertAlign w:val="subscript"/>
              </w:rPr>
              <w:t>X</w:t>
            </w:r>
            <w:r>
              <w:rPr>
                <w:rFonts w:ascii="宋体" w:cs="宋体"/>
                <w:sz w:val="18"/>
                <w:szCs w:val="18"/>
              </w:rPr>
              <w:t>O</w:t>
            </w:r>
            <w:r>
              <w:rPr>
                <w:rFonts w:ascii="宋体" w:cs="宋体"/>
                <w:sz w:val="18"/>
                <w:szCs w:val="18"/>
                <w:vertAlign w:val="subscript"/>
              </w:rPr>
              <w:t>Y</w:t>
            </w:r>
            <w:r>
              <w:rPr>
                <w:rFonts w:ascii="宋体" w:cs="宋体"/>
                <w:sz w:val="18"/>
                <w:szCs w:val="18"/>
              </w:rPr>
              <w:t>/REO）</w:t>
            </w:r>
          </w:p>
        </w:tc>
        <w:tc>
          <w:tcPr>
            <w:tcW w:w="2327" w:type="dxa"/>
            <w:tcBorders>
              <w:top w:val="single" w:sz="12" w:space="0" w:color="auto"/>
              <w:bottom w:val="single" w:sz="12" w:space="0" w:color="auto"/>
              <w:right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sz w:val="18"/>
                <w:szCs w:val="18"/>
              </w:rPr>
              <w:t>配分量</w:t>
            </w:r>
            <w:r>
              <w:rPr>
                <w:rFonts w:ascii="宋体" w:cs="宋体"/>
                <w:sz w:val="18"/>
                <w:szCs w:val="18"/>
              </w:rPr>
              <w:t>/%</w:t>
            </w:r>
          </w:p>
        </w:tc>
      </w:tr>
      <w:tr>
        <w:tc>
          <w:tcPr>
            <w:tcW w:w="2336" w:type="dxa"/>
            <w:tcBorders>
              <w:top w:val="single" w:sz="12" w:space="0" w:color="auto"/>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（La</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6" w:type="dxa"/>
            <w:tcBorders>
              <w:top w:val="single" w:sz="12" w:space="0" w:color="auto"/>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2.50～45.00</w:t>
            </w:r>
          </w:p>
        </w:tc>
        <w:tc>
          <w:tcPr>
            <w:tcW w:w="2336" w:type="dxa"/>
            <w:tcBorders>
              <w:top w:val="single" w:sz="12" w:space="0" w:color="auto"/>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（Dy</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single" w:sz="12" w:space="0" w:color="auto"/>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1.00～12.00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（CeO</w:t>
            </w:r>
            <w:r>
              <w:rPr>
                <w:rFonts w:ascii="宋体" w:cs="宋体"/>
                <w:sz w:val="18"/>
                <w:szCs w:val="18"/>
                <w:vertAlign w:val="subscript"/>
              </w:rPr>
              <w:t>2</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0.20～20.00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（Ho</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0.15～3.00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（Pr</w:t>
            </w:r>
            <w:r>
              <w:rPr>
                <w:rFonts w:ascii="宋体" w:cs="宋体"/>
                <w:sz w:val="18"/>
                <w:szCs w:val="18"/>
                <w:vertAlign w:val="subscript"/>
              </w:rPr>
              <w:t>6</w:t>
            </w:r>
            <w:r>
              <w:rPr>
                <w:rFonts w:ascii="宋体" w:cs="宋体"/>
                <w:sz w:val="18"/>
                <w:szCs w:val="18"/>
              </w:rPr>
              <w:t>O</w:t>
            </w:r>
            <w:r>
              <w:rPr>
                <w:rFonts w:ascii="宋体" w:cs="宋体"/>
                <w:sz w:val="18"/>
                <w:szCs w:val="18"/>
                <w:vertAlign w:val="subscript"/>
              </w:rPr>
              <w:t>11</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（Er</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0.25～3.00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（Nd</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2.50～40.00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（Tm</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0.10～2.00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（Sm</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（Yb</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0.25～3.00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（Eu</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0.10～2.00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（Lu</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0.10～2.00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（Gd</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（Y</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4.00～68.00</w:t>
            </w:r>
          </w:p>
        </w:tc>
      </w:tr>
      <w:tr>
        <w:tc>
          <w:tcPr>
            <w:tcW w:w="2336" w:type="dxa"/>
            <w:tcBorders>
              <w:top w:val="nil"/>
              <w:left w:val="single" w:sz="12" w:space="0" w:color="auto"/>
              <w:bottom w:val="single" w:sz="12" w:space="0" w:color="auto"/>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（Tb</w:t>
            </w:r>
            <w:r>
              <w:rPr>
                <w:rFonts w:ascii="宋体" w:cs="宋体"/>
                <w:sz w:val="18"/>
                <w:szCs w:val="18"/>
                <w:vertAlign w:val="subscript"/>
              </w:rPr>
              <w:t>4</w:t>
            </w:r>
            <w:r>
              <w:rPr>
                <w:rFonts w:ascii="宋体" w:cs="宋体"/>
                <w:sz w:val="18"/>
                <w:szCs w:val="18"/>
              </w:rPr>
              <w:t>O</w:t>
            </w:r>
            <w:r>
              <w:rPr>
                <w:rFonts w:ascii="宋体" w:cs="宋体"/>
                <w:sz w:val="18"/>
                <w:szCs w:val="18"/>
                <w:vertAlign w:val="subscript"/>
              </w:rPr>
              <w:t>7</w:t>
            </w:r>
            <w:r>
              <w:rPr>
                <w:rFonts w:ascii="宋体" w:cs="宋体"/>
                <w:sz w:val="18"/>
                <w:szCs w:val="18"/>
              </w:rPr>
              <w:t>/REO）</w:t>
            </w:r>
          </w:p>
        </w:tc>
        <w:tc>
          <w:tcPr>
            <w:tcW w:w="2326" w:type="dxa"/>
            <w:tcBorders>
              <w:top w:val="nil"/>
              <w:left w:val="single" w:sz="4" w:space="0" w:color="auto"/>
              <w:bottom w:val="single" w:sz="12" w:space="0" w:color="auto"/>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0.10～2.00</w:t>
            </w:r>
          </w:p>
        </w:tc>
        <w:tc>
          <w:tcPr>
            <w:tcW w:w="2336" w:type="dxa"/>
            <w:tcBorders>
              <w:top w:val="nil"/>
              <w:left w:val="double" w:sz="4" w:space="0" w:color="auto"/>
              <w:bottom w:val="single" w:sz="12" w:space="0" w:color="auto"/>
              <w:right w:val="single" w:sz="4" w:space="0" w:color="auto"/>
            </w:tcBorders>
          </w:tcPr>
          <w:p>
            <w:pPr>
              <w:spacing w:line="220" w:lineRule="exact"/>
              <w:ind w:firstLineChars="200" w:firstLine="360"/>
              <w:jc w:val="center"/>
              <w:rPr>
                <w:rFonts w:ascii="宋体" w:cs="宋体"/>
                <w:sz w:val="18"/>
                <w:szCs w:val="18"/>
              </w:rPr>
            </w:pPr>
          </w:p>
        </w:tc>
        <w:tc>
          <w:tcPr>
            <w:tcW w:w="2327" w:type="dxa"/>
            <w:tcBorders>
              <w:top w:val="nil"/>
              <w:left w:val="single" w:sz="4" w:space="0" w:color="auto"/>
              <w:bottom w:val="single" w:sz="12" w:space="0" w:color="auto"/>
              <w:right w:val="single" w:sz="12" w:space="0" w:color="auto"/>
            </w:tcBorders>
          </w:tcPr>
          <w:p>
            <w:pPr>
              <w:spacing w:line="220" w:lineRule="exact"/>
              <w:ind w:firstLineChars="200" w:firstLine="360"/>
              <w:jc w:val="center"/>
              <w:rPr>
                <w:rFonts w:ascii="宋体" w:cs="宋体"/>
                <w:sz w:val="18"/>
                <w:szCs w:val="18"/>
              </w:rPr>
            </w:pPr>
          </w:p>
        </w:tc>
      </w:tr>
    </w:tbl>
    <w:p>
      <w:pPr>
        <w:spacing w:beforeLines="50" w:before="156" w:line="312" w:lineRule="auto"/>
        <w:jc w:val="center"/>
        <w:rPr>
          <w:rFonts w:eastAsia="黑体"/>
        </w:rPr>
      </w:pPr>
      <w:r>
        <w:rPr>
          <w:rFonts w:eastAsia="黑体"/>
        </w:rPr>
        <w:t>表2</w:t>
      </w:r>
      <w:r>
        <w:rPr>
          <w:rFonts w:eastAsia="黑体" w:hint="eastAsia"/>
        </w:rPr>
        <w:t>　方法2测定范围</w:t>
      </w:r>
    </w:p>
    <w:p>
      <w:pPr>
        <w:spacing w:line="220" w:lineRule="exact"/>
        <w:ind w:firstLineChars="200" w:firstLine="360"/>
        <w:jc w:val="center"/>
        <w:rPr>
          <w:rFonts w:ascii="宋体" w:cs="宋体"/>
          <w:sz w:val="18"/>
          <w:szCs w:val="18"/>
        </w:rPr>
      </w:pPr>
      <w:r>
        <w:rPr>
          <w:rFonts w:ascii="宋体" w:cs="宋体" w:hint="eastAsia"/>
          <w:sz w:val="18"/>
          <w:szCs w:val="18"/>
        </w:rPr>
        <w:t xml:space="preserve">                                                                                   % </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36"/>
        <w:gridCol w:w="2326"/>
        <w:gridCol w:w="2336"/>
        <w:gridCol w:w="2327"/>
      </w:tblGrid>
      <w:tr>
        <w:trPr>
          <w:trHeight w:val="383"/>
        </w:trPr>
        <w:tc>
          <w:tcPr>
            <w:tcW w:w="2336" w:type="dxa"/>
            <w:tcBorders>
              <w:top w:val="single" w:sz="12" w:space="0" w:color="auto"/>
              <w:left w:val="single" w:sz="12" w:space="0" w:color="auto"/>
              <w:bottom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 xml:space="preserve"> RE</w:t>
            </w:r>
            <w:r>
              <w:rPr>
                <w:rFonts w:ascii="宋体" w:cs="宋体"/>
                <w:sz w:val="18"/>
                <w:szCs w:val="18"/>
                <w:vertAlign w:val="subscript"/>
              </w:rPr>
              <w:t>X</w:t>
            </w:r>
            <w:r>
              <w:rPr>
                <w:rFonts w:ascii="宋体" w:cs="宋体"/>
                <w:sz w:val="18"/>
                <w:szCs w:val="18"/>
              </w:rPr>
              <w:t>O</w:t>
            </w:r>
            <w:r>
              <w:rPr>
                <w:rFonts w:ascii="宋体" w:cs="宋体"/>
                <w:sz w:val="18"/>
                <w:szCs w:val="18"/>
                <w:vertAlign w:val="subscript"/>
              </w:rPr>
              <w:t>Y</w:t>
            </w:r>
            <w:r>
              <w:rPr>
                <w:rFonts w:ascii="宋体" w:cs="宋体"/>
                <w:sz w:val="18"/>
                <w:szCs w:val="18"/>
              </w:rPr>
              <w:t>/REO）</w:t>
            </w:r>
          </w:p>
        </w:tc>
        <w:tc>
          <w:tcPr>
            <w:tcW w:w="2326" w:type="dxa"/>
            <w:tcBorders>
              <w:top w:val="single" w:sz="12" w:space="0" w:color="auto"/>
              <w:bottom w:val="single" w:sz="12" w:space="0" w:color="auto"/>
              <w:right w:val="double" w:sz="4" w:space="0" w:color="auto"/>
            </w:tcBorders>
            <w:vAlign w:val="center"/>
          </w:tcPr>
          <w:p>
            <w:pPr>
              <w:spacing w:line="220" w:lineRule="exact"/>
              <w:ind w:firstLineChars="200" w:firstLine="360"/>
              <w:jc w:val="center"/>
              <w:rPr>
                <w:rFonts w:ascii="宋体" w:cs="宋体"/>
                <w:sz w:val="18"/>
                <w:szCs w:val="18"/>
              </w:rPr>
            </w:pPr>
            <w:r>
              <w:rPr>
                <w:rFonts w:ascii="宋体" w:cs="宋体" w:hint="eastAsia"/>
                <w:sz w:val="18"/>
                <w:szCs w:val="18"/>
              </w:rPr>
              <w:t>配分量</w:t>
            </w:r>
            <w:r>
              <w:rPr>
                <w:rFonts w:ascii="宋体" w:cs="宋体"/>
                <w:sz w:val="18"/>
                <w:szCs w:val="18"/>
              </w:rPr>
              <w:t>/%</w:t>
            </w:r>
          </w:p>
        </w:tc>
        <w:tc>
          <w:tcPr>
            <w:tcW w:w="2336" w:type="dxa"/>
            <w:tcBorders>
              <w:top w:val="single" w:sz="12" w:space="0" w:color="auto"/>
              <w:left w:val="double" w:sz="4" w:space="0" w:color="auto"/>
              <w:bottom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（RE</w:t>
            </w:r>
            <w:r>
              <w:rPr>
                <w:rFonts w:ascii="宋体" w:cs="宋体"/>
                <w:sz w:val="18"/>
                <w:szCs w:val="18"/>
                <w:vertAlign w:val="subscript"/>
              </w:rPr>
              <w:t>X</w:t>
            </w:r>
            <w:r>
              <w:rPr>
                <w:rFonts w:ascii="宋体" w:cs="宋体"/>
                <w:sz w:val="18"/>
                <w:szCs w:val="18"/>
              </w:rPr>
              <w:t>O</w:t>
            </w:r>
            <w:r>
              <w:rPr>
                <w:rFonts w:ascii="宋体" w:cs="宋体"/>
                <w:sz w:val="18"/>
                <w:szCs w:val="18"/>
                <w:vertAlign w:val="subscript"/>
              </w:rPr>
              <w:t>Y</w:t>
            </w:r>
            <w:r>
              <w:rPr>
                <w:rFonts w:ascii="宋体" w:cs="宋体"/>
                <w:sz w:val="18"/>
                <w:szCs w:val="18"/>
              </w:rPr>
              <w:t>/REO）</w:t>
            </w:r>
          </w:p>
        </w:tc>
        <w:tc>
          <w:tcPr>
            <w:tcW w:w="2327" w:type="dxa"/>
            <w:tcBorders>
              <w:top w:val="single" w:sz="12" w:space="0" w:color="auto"/>
              <w:bottom w:val="single" w:sz="12" w:space="0" w:color="auto"/>
              <w:right w:val="single" w:sz="12" w:space="0" w:color="auto"/>
            </w:tcBorders>
            <w:vAlign w:val="center"/>
          </w:tcPr>
          <w:p>
            <w:pPr>
              <w:spacing w:line="220" w:lineRule="exact"/>
              <w:ind w:firstLineChars="200" w:firstLine="360"/>
              <w:jc w:val="center"/>
              <w:rPr>
                <w:rFonts w:ascii="宋体" w:cs="宋体"/>
                <w:sz w:val="18"/>
                <w:szCs w:val="18"/>
              </w:rPr>
            </w:pPr>
            <w:r>
              <w:rPr>
                <w:rFonts w:ascii="宋体" w:cs="宋体" w:hint="eastAsia"/>
                <w:sz w:val="18"/>
                <w:szCs w:val="18"/>
              </w:rPr>
              <w:t>配分量</w:t>
            </w:r>
            <w:r>
              <w:rPr>
                <w:rFonts w:ascii="宋体" w:cs="宋体"/>
                <w:sz w:val="18"/>
                <w:szCs w:val="18"/>
              </w:rPr>
              <w:t>/%</w:t>
            </w:r>
          </w:p>
        </w:tc>
      </w:tr>
      <w:tr>
        <w:tc>
          <w:tcPr>
            <w:tcW w:w="2336" w:type="dxa"/>
            <w:tcBorders>
              <w:top w:val="single" w:sz="12" w:space="0" w:color="auto"/>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（La</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6" w:type="dxa"/>
            <w:tcBorders>
              <w:top w:val="single" w:sz="12" w:space="0" w:color="auto"/>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2.50～45.00</w:t>
            </w:r>
          </w:p>
        </w:tc>
        <w:tc>
          <w:tcPr>
            <w:tcW w:w="2336" w:type="dxa"/>
            <w:tcBorders>
              <w:top w:val="single" w:sz="12" w:space="0" w:color="auto"/>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（Dy</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single" w:sz="12" w:space="0" w:color="auto"/>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1.00～12.00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（CeO</w:t>
            </w:r>
            <w:r>
              <w:rPr>
                <w:rFonts w:ascii="宋体" w:cs="宋体"/>
                <w:sz w:val="18"/>
                <w:szCs w:val="18"/>
                <w:vertAlign w:val="subscript"/>
              </w:rPr>
              <w:t>2</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0.20～20.00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（Ho</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0.10～3.00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（Pr</w:t>
            </w:r>
            <w:r>
              <w:rPr>
                <w:rFonts w:ascii="宋体" w:cs="宋体"/>
                <w:sz w:val="18"/>
                <w:szCs w:val="18"/>
                <w:vertAlign w:val="subscript"/>
              </w:rPr>
              <w:t>6</w:t>
            </w:r>
            <w:r>
              <w:rPr>
                <w:rFonts w:ascii="宋体" w:cs="宋体"/>
                <w:sz w:val="18"/>
                <w:szCs w:val="18"/>
              </w:rPr>
              <w:t>O</w:t>
            </w:r>
            <w:r>
              <w:rPr>
                <w:rFonts w:ascii="宋体" w:cs="宋体"/>
                <w:sz w:val="18"/>
                <w:szCs w:val="18"/>
                <w:vertAlign w:val="subscript"/>
              </w:rPr>
              <w:t>11</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（Er</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0.10～3.00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（Nd</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2.50～40.00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（Tm</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0.05～2.00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（Sm</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（Yb</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0.10～3.00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（Eu</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0.05～2.00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（Lu</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0.05～2.00</w:t>
            </w:r>
          </w:p>
        </w:tc>
      </w:tr>
      <w:tr>
        <w:tc>
          <w:tcPr>
            <w:tcW w:w="2336" w:type="dxa"/>
            <w:tcBorders>
              <w:top w:val="nil"/>
              <w:left w:val="single" w:sz="12"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（Gd</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p>
        </w:tc>
        <w:tc>
          <w:tcPr>
            <w:tcW w:w="2326" w:type="dxa"/>
            <w:tcBorders>
              <w:top w:val="nil"/>
              <w:left w:val="single" w:sz="4" w:space="0" w:color="auto"/>
              <w:bottom w:val="nil"/>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0.50～10.00</w:t>
            </w:r>
          </w:p>
        </w:tc>
        <w:tc>
          <w:tcPr>
            <w:tcW w:w="2336" w:type="dxa"/>
            <w:tcBorders>
              <w:top w:val="nil"/>
              <w:left w:val="double" w:sz="4" w:space="0" w:color="auto"/>
              <w:bottom w:val="nil"/>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（Y</w:t>
            </w:r>
            <w:r>
              <w:rPr>
                <w:rFonts w:ascii="宋体" w:cs="宋体"/>
                <w:sz w:val="18"/>
                <w:szCs w:val="18"/>
                <w:vertAlign w:val="subscript"/>
              </w:rPr>
              <w:t>2</w:t>
            </w:r>
            <w:r>
              <w:rPr>
                <w:rFonts w:ascii="宋体" w:cs="宋体"/>
                <w:sz w:val="18"/>
                <w:szCs w:val="18"/>
              </w:rPr>
              <w:t>O</w:t>
            </w:r>
            <w:r>
              <w:rPr>
                <w:rFonts w:ascii="宋体" w:cs="宋体"/>
                <w:sz w:val="18"/>
                <w:szCs w:val="18"/>
                <w:vertAlign w:val="subscript"/>
              </w:rPr>
              <w:t>3</w:t>
            </w:r>
            <w:r>
              <w:rPr>
                <w:rFonts w:ascii="宋体" w:cs="宋体"/>
                <w:sz w:val="18"/>
                <w:szCs w:val="18"/>
              </w:rPr>
              <w:t>/REO</w:t>
            </w:r>
            <w:r>
              <w:rPr>
                <w:rFonts w:ascii="宋体" w:cs="宋体" w:hint="eastAsia"/>
                <w:sz w:val="18"/>
                <w:szCs w:val="18"/>
              </w:rPr>
              <w:t>）</w:t>
            </w:r>
          </w:p>
        </w:tc>
        <w:tc>
          <w:tcPr>
            <w:tcW w:w="2327" w:type="dxa"/>
            <w:tcBorders>
              <w:top w:val="nil"/>
              <w:left w:val="single" w:sz="4" w:space="0" w:color="auto"/>
              <w:bottom w:val="nil"/>
              <w:right w:val="single" w:sz="12" w:space="0" w:color="auto"/>
            </w:tcBorders>
          </w:tcPr>
          <w:p>
            <w:pPr>
              <w:spacing w:line="220" w:lineRule="exact"/>
              <w:ind w:firstLineChars="200" w:firstLine="360"/>
              <w:jc w:val="center"/>
              <w:rPr>
                <w:rFonts w:ascii="宋体" w:cs="宋体"/>
                <w:sz w:val="18"/>
                <w:szCs w:val="18"/>
              </w:rPr>
            </w:pPr>
            <w:r>
              <w:rPr>
                <w:rFonts w:ascii="宋体" w:cs="宋体"/>
                <w:sz w:val="18"/>
                <w:szCs w:val="18"/>
              </w:rPr>
              <w:t>4.00～68.00</w:t>
            </w:r>
          </w:p>
        </w:tc>
      </w:tr>
      <w:tr>
        <w:tc>
          <w:tcPr>
            <w:tcW w:w="2336" w:type="dxa"/>
            <w:tcBorders>
              <w:top w:val="nil"/>
              <w:left w:val="single" w:sz="12" w:space="0" w:color="auto"/>
              <w:bottom w:val="single" w:sz="12" w:space="0" w:color="auto"/>
              <w:right w:val="single" w:sz="4" w:space="0" w:color="auto"/>
            </w:tcBorders>
          </w:tcPr>
          <w:p>
            <w:pPr>
              <w:spacing w:line="220" w:lineRule="exact"/>
              <w:ind w:firstLineChars="200" w:firstLine="360"/>
              <w:jc w:val="center"/>
              <w:rPr>
                <w:rFonts w:ascii="宋体" w:cs="宋体"/>
                <w:sz w:val="18"/>
                <w:szCs w:val="18"/>
              </w:rPr>
            </w:pPr>
            <w:r>
              <w:rPr>
                <w:rFonts w:ascii="宋体" w:cs="宋体" w:hint="eastAsia"/>
                <w:i/>
                <w:sz w:val="18"/>
                <w:szCs w:val="18"/>
              </w:rPr>
              <w:t>c</w:t>
            </w:r>
            <w:r>
              <w:rPr>
                <w:rFonts w:ascii="宋体" w:cs="宋体"/>
                <w:sz w:val="18"/>
                <w:szCs w:val="18"/>
              </w:rPr>
              <w:t>（Tb</w:t>
            </w:r>
            <w:r>
              <w:rPr>
                <w:rFonts w:ascii="宋体" w:cs="宋体"/>
                <w:sz w:val="18"/>
                <w:szCs w:val="18"/>
                <w:vertAlign w:val="subscript"/>
              </w:rPr>
              <w:t>4</w:t>
            </w:r>
            <w:r>
              <w:rPr>
                <w:rFonts w:ascii="宋体" w:cs="宋体"/>
                <w:sz w:val="18"/>
                <w:szCs w:val="18"/>
              </w:rPr>
              <w:t>O</w:t>
            </w:r>
            <w:r>
              <w:rPr>
                <w:rFonts w:ascii="宋体" w:cs="宋体"/>
                <w:sz w:val="18"/>
                <w:szCs w:val="18"/>
                <w:vertAlign w:val="subscript"/>
              </w:rPr>
              <w:t>7</w:t>
            </w:r>
            <w:r>
              <w:rPr>
                <w:rFonts w:ascii="宋体" w:cs="宋体"/>
                <w:sz w:val="18"/>
                <w:szCs w:val="18"/>
              </w:rPr>
              <w:t>/REO）</w:t>
            </w:r>
          </w:p>
        </w:tc>
        <w:tc>
          <w:tcPr>
            <w:tcW w:w="2326" w:type="dxa"/>
            <w:tcBorders>
              <w:top w:val="nil"/>
              <w:left w:val="single" w:sz="4" w:space="0" w:color="auto"/>
              <w:bottom w:val="single" w:sz="12" w:space="0" w:color="auto"/>
              <w:right w:val="double" w:sz="4" w:space="0" w:color="auto"/>
            </w:tcBorders>
          </w:tcPr>
          <w:p>
            <w:pPr>
              <w:spacing w:line="220" w:lineRule="exact"/>
              <w:ind w:firstLineChars="200" w:firstLine="360"/>
              <w:jc w:val="center"/>
              <w:rPr>
                <w:rFonts w:ascii="宋体" w:cs="宋体"/>
                <w:sz w:val="18"/>
                <w:szCs w:val="18"/>
              </w:rPr>
            </w:pPr>
            <w:r>
              <w:rPr>
                <w:rFonts w:ascii="宋体" w:cs="宋体"/>
                <w:sz w:val="18"/>
                <w:szCs w:val="18"/>
              </w:rPr>
              <w:t>0.10～2.00</w:t>
            </w:r>
          </w:p>
        </w:tc>
        <w:tc>
          <w:tcPr>
            <w:tcW w:w="2336" w:type="dxa"/>
            <w:tcBorders>
              <w:top w:val="nil"/>
              <w:left w:val="double" w:sz="4" w:space="0" w:color="auto"/>
              <w:bottom w:val="single" w:sz="12" w:space="0" w:color="auto"/>
              <w:right w:val="single" w:sz="4" w:space="0" w:color="auto"/>
            </w:tcBorders>
          </w:tcPr>
          <w:p>
            <w:pPr>
              <w:spacing w:line="220" w:lineRule="exact"/>
              <w:ind w:firstLineChars="200" w:firstLine="360"/>
              <w:jc w:val="center"/>
              <w:rPr>
                <w:rFonts w:ascii="宋体" w:cs="宋体"/>
                <w:sz w:val="18"/>
                <w:szCs w:val="18"/>
              </w:rPr>
            </w:pPr>
          </w:p>
        </w:tc>
        <w:tc>
          <w:tcPr>
            <w:tcW w:w="2327" w:type="dxa"/>
            <w:tcBorders>
              <w:top w:val="nil"/>
              <w:left w:val="single" w:sz="4" w:space="0" w:color="auto"/>
              <w:bottom w:val="single" w:sz="12" w:space="0" w:color="auto"/>
              <w:right w:val="single" w:sz="12" w:space="0" w:color="auto"/>
            </w:tcBorders>
          </w:tcPr>
          <w:p>
            <w:pPr>
              <w:spacing w:line="220" w:lineRule="exact"/>
              <w:ind w:firstLineChars="200" w:firstLine="360"/>
              <w:jc w:val="center"/>
              <w:rPr>
                <w:rFonts w:ascii="宋体" w:cs="宋体"/>
                <w:sz w:val="18"/>
                <w:szCs w:val="18"/>
              </w:rPr>
            </w:pPr>
          </w:p>
        </w:tc>
      </w:tr>
    </w:tbl>
    <w:p>
      <w:pPr>
        <w:spacing w:line="220" w:lineRule="exact"/>
        <w:ind w:firstLineChars="200" w:firstLine="360"/>
        <w:jc w:val="center"/>
        <w:rPr>
          <w:rFonts w:eastAsia="黑体"/>
        </w:rPr>
      </w:pPr>
      <w:r>
        <w:rPr>
          <w:rFonts w:ascii="宋体" w:cs="宋体" w:hint="eastAsia"/>
          <w:sz w:val="18"/>
          <w:szCs w:val="18"/>
        </w:rPr>
        <w:t xml:space="preserve">                                                                   </w:t>
      </w:r>
    </w:p>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测定方法的确定</w:t>
      </w:r>
    </w:p>
    <w:p>
      <w:pPr>
        <w:tabs>
          <w:tab w:val="left" w:pos="1118"/>
        </w:tabs>
        <w:ind w:firstLine="403"/>
        <w:rPr>
          <w:rFonts w:ascii="宋体" w:cs="宋体"/>
        </w:rPr>
      </w:pPr>
      <w:r>
        <w:rPr>
          <w:rFonts w:ascii="宋体" w:cs="宋体" w:hint="eastAsia"/>
        </w:rPr>
        <w:t>本项目提出修订时，充分考虑了检测方法适用性和科学性。X-射线荧光光谱法和电感耦合等离子体原子发射光谱法能满足离子型稀土矿混合稀土氧化物中十五个稀土元素氧化物配分量测定。</w:t>
      </w:r>
    </w:p>
    <w:p>
      <w:pPr>
        <w:numPr>
          <w:ilvl w:val="0"/>
          <w:numId w:val="1"/>
        </w:numPr>
        <w:spacing w:beforeLines="50" w:before="156" w:afterLines="50" w:after="156" w:line="300" w:lineRule="auto"/>
        <w:rPr>
          <w:rFonts w:ascii="宋体" w:cs="宋体"/>
          <w:b/>
          <w:sz w:val="24"/>
        </w:rPr>
      </w:pPr>
      <w:r>
        <w:rPr>
          <w:rFonts w:ascii="宋体" w:cs="宋体" w:hint="eastAsia"/>
          <w:b/>
          <w:sz w:val="24"/>
        </w:rPr>
        <w:t>试验验证的分析、综述报告，技术经济论证，预期的经济效果</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（一）试验验证的分析</w:t>
      </w:r>
    </w:p>
    <w:p>
      <w:pPr>
        <w:pStyle w:val="112"/>
        <w:tabs>
          <w:tab w:val="clear" w:pos="675"/>
        </w:tabs>
        <w:spacing w:beforeLines="50" w:before="156" w:afterLines="50" w:after="156"/>
        <w:jc w:val="left"/>
        <w:rPr>
          <w:rFonts w:ascii="宋体" w:cs="宋体" w:hAnsi="宋体"/>
        </w:rPr>
      </w:pPr>
      <w:r>
        <w:rPr>
          <w:rFonts w:ascii="宋体" w:eastAsia="宋体" w:cs="宋体" w:hint="eastAsia"/>
          <w:b/>
        </w:rPr>
        <w:t>1、方法1：</w:t>
      </w:r>
      <w:r>
        <w:rPr>
          <w:rFonts w:ascii="宋体" w:cs="宋体" w:hAnsi="宋体" w:hint="eastAsia"/>
        </w:rPr>
        <w:t>X-射线荧光光谱法:</w:t>
      </w:r>
    </w:p>
    <w:p>
      <w:pPr>
        <w:pStyle w:val="112"/>
        <w:tabs>
          <w:tab w:val="clear" w:pos="675"/>
        </w:tabs>
        <w:spacing w:beforeLines="50" w:before="156" w:afterLines="50" w:after="156"/>
        <w:jc w:val="left"/>
        <w:rPr>
          <w:rFonts w:ascii="宋体" w:eastAsia="宋体" w:cs="宋体"/>
          <w:b/>
          <w:szCs w:val="22"/>
        </w:rPr>
      </w:pPr>
      <w:r>
        <w:rPr>
          <w:rFonts w:ascii="宋体" w:eastAsia="宋体" w:cs="宋体" w:hint="eastAsia"/>
          <w:b/>
          <w:szCs w:val="22"/>
        </w:rPr>
        <w:t>1.1、标准工作曲线成分设计</w:t>
      </w:r>
    </w:p>
    <w:p>
      <w:pPr>
        <w:tabs>
          <w:tab w:val="left" w:pos="1118"/>
        </w:tabs>
        <w:ind w:firstLine="403"/>
        <w:rPr>
          <w:rFonts w:ascii="宋体" w:cs="宋体"/>
        </w:rPr>
      </w:pPr>
      <w:r>
        <w:rPr>
          <w:rFonts w:ascii="宋体" w:cs="宋体" w:hint="eastAsia"/>
          <w:bCs/>
        </w:rPr>
        <w:t>根据离子型稀土矿混合稀土氧化物产品</w:t>
      </w:r>
      <w:r>
        <w:rPr>
          <w:rFonts w:ascii="宋体" w:cs="宋体"/>
          <w:bCs/>
        </w:rPr>
        <w:t>标准GB/T 20169-2015</w:t>
      </w:r>
      <w:r>
        <w:rPr>
          <w:rFonts w:ascii="宋体" w:cs="宋体" w:hint="eastAsia"/>
          <w:bCs/>
        </w:rPr>
        <w:t>中</w:t>
      </w:r>
      <w:r>
        <w:rPr>
          <w:rFonts w:ascii="宋体" w:cs="宋体"/>
          <w:bCs/>
        </w:rPr>
        <w:t>规定</w:t>
      </w:r>
      <w:r>
        <w:rPr>
          <w:rFonts w:ascii="宋体" w:cs="宋体" w:hint="eastAsia"/>
          <w:bCs/>
        </w:rPr>
        <w:t>5个</w:t>
      </w:r>
      <w:r>
        <w:rPr>
          <w:rFonts w:ascii="宋体" w:cs="宋体"/>
          <w:bCs/>
        </w:rPr>
        <w:t>牌号产品配分量的成分值，原标准设计的标准点</w:t>
      </w:r>
      <w:r>
        <w:rPr>
          <w:rFonts w:ascii="宋体" w:cs="宋体" w:hint="eastAsia"/>
          <w:bCs/>
        </w:rPr>
        <w:t>40个</w:t>
      </w:r>
      <w:r>
        <w:rPr>
          <w:rFonts w:ascii="宋体" w:cs="宋体"/>
          <w:bCs/>
        </w:rPr>
        <w:t>过于繁杂且于实际样品的匹配度差异较大。试验</w:t>
      </w:r>
      <w:r>
        <w:rPr>
          <w:rFonts w:ascii="宋体" w:cs="宋体" w:hint="eastAsia"/>
          <w:bCs/>
        </w:rPr>
        <w:t>根据</w:t>
      </w:r>
      <w:r>
        <w:rPr>
          <w:rFonts w:ascii="宋体" w:cs="宋体"/>
          <w:bCs/>
        </w:rPr>
        <w:t>产品</w:t>
      </w:r>
      <w:r>
        <w:rPr>
          <w:rFonts w:ascii="宋体" w:cs="宋体" w:hint="eastAsia"/>
          <w:bCs/>
        </w:rPr>
        <w:t>轻</w:t>
      </w:r>
      <w:r>
        <w:rPr>
          <w:rFonts w:ascii="宋体" w:cs="宋体"/>
          <w:bCs/>
        </w:rPr>
        <w:t>、中、重</w:t>
      </w:r>
      <w:r>
        <w:rPr>
          <w:rFonts w:ascii="宋体" w:cs="宋体" w:hint="eastAsia"/>
          <w:bCs/>
        </w:rPr>
        <w:t>的</w:t>
      </w:r>
      <w:r>
        <w:rPr>
          <w:rFonts w:ascii="宋体" w:cs="宋体"/>
          <w:bCs/>
        </w:rPr>
        <w:t>特点将稀土元素分为了</w:t>
      </w:r>
      <w:r>
        <w:rPr>
          <w:rFonts w:ascii="宋体" w:cs="宋体" w:hint="eastAsia"/>
          <w:bCs/>
        </w:rPr>
        <w:t>3类</w:t>
      </w:r>
      <w:r>
        <w:rPr>
          <w:rFonts w:ascii="宋体" w:cs="宋体"/>
          <w:bCs/>
        </w:rPr>
        <w:t>：镧铈镨钕、钐铕钆、</w:t>
      </w:r>
      <w:r>
        <w:rPr>
          <w:rFonts w:ascii="宋体" w:cs="宋体" w:hint="eastAsia"/>
          <w:bCs/>
        </w:rPr>
        <w:t>钇</w:t>
      </w:r>
      <w:r>
        <w:rPr>
          <w:rFonts w:ascii="宋体" w:cs="宋体"/>
          <w:bCs/>
        </w:rPr>
        <w:t>铽镝钬铒铥镱镥</w:t>
      </w:r>
      <w:r>
        <w:rPr>
          <w:rFonts w:ascii="宋体" w:cs="宋体" w:hint="eastAsia"/>
          <w:bCs/>
        </w:rPr>
        <w:t>，</w:t>
      </w:r>
      <w:r>
        <w:rPr>
          <w:rFonts w:ascii="宋体" w:cs="宋体"/>
          <w:bCs/>
        </w:rPr>
        <w:t>进行总量一致交叉配置的方式，</w:t>
      </w:r>
      <w:r>
        <w:rPr>
          <w:rFonts w:ascii="宋体" w:cs="宋体" w:hint="eastAsia"/>
          <w:bCs/>
        </w:rPr>
        <w:t>这样不仅</w:t>
      </w:r>
      <w:r>
        <w:rPr>
          <w:rFonts w:ascii="宋体" w:cs="宋体"/>
          <w:bCs/>
        </w:rPr>
        <w:t>提高了标准</w:t>
      </w:r>
      <w:r>
        <w:rPr>
          <w:rFonts w:ascii="宋体" w:cs="宋体" w:hint="eastAsia"/>
          <w:bCs/>
        </w:rPr>
        <w:t>与</w:t>
      </w:r>
      <w:r>
        <w:rPr>
          <w:rFonts w:ascii="宋体" w:cs="宋体"/>
          <w:bCs/>
        </w:rPr>
        <w:t>实际样品的匹配度，</w:t>
      </w:r>
      <w:r>
        <w:rPr>
          <w:rFonts w:ascii="宋体" w:cs="宋体" w:hint="eastAsia"/>
          <w:bCs/>
        </w:rPr>
        <w:t>保证</w:t>
      </w:r>
      <w:r>
        <w:rPr>
          <w:rFonts w:ascii="宋体" w:cs="宋体"/>
          <w:bCs/>
        </w:rPr>
        <w:t>了测定准确性，同时</w:t>
      </w:r>
      <w:r>
        <w:rPr>
          <w:rFonts w:ascii="宋体" w:cs="宋体" w:hint="eastAsia"/>
          <w:bCs/>
        </w:rPr>
        <w:t>还</w:t>
      </w:r>
      <w:r>
        <w:rPr>
          <w:rFonts w:ascii="宋体" w:cs="宋体"/>
          <w:bCs/>
        </w:rPr>
        <w:t>减少了标准的个数</w:t>
      </w:r>
      <w:r>
        <w:rPr>
          <w:rFonts w:ascii="宋体" w:cs="宋体" w:hint="eastAsia"/>
          <w:bCs/>
        </w:rPr>
        <w:t>，便于</w:t>
      </w:r>
      <w:r>
        <w:rPr>
          <w:rFonts w:ascii="宋体" w:cs="宋体"/>
          <w:bCs/>
        </w:rPr>
        <w:t>操作。</w:t>
      </w:r>
      <w:r>
        <w:rPr>
          <w:rFonts w:ascii="宋体" w:cs="宋体" w:hint="eastAsia"/>
          <w:bCs/>
        </w:rPr>
        <w:t>标准片各稀土</w:t>
      </w:r>
      <w:r>
        <w:rPr>
          <w:rFonts w:ascii="宋体" w:cs="宋体"/>
          <w:bCs/>
        </w:rPr>
        <w:t>元素氧化物配分值见表3</w:t>
      </w:r>
      <w:r>
        <w:rPr>
          <w:rFonts w:ascii="宋体" w:cs="宋体" w:hint="eastAsia"/>
        </w:rPr>
        <w:t>：</w:t>
      </w:r>
    </w:p>
    <w:p>
      <w:pPr>
        <w:spacing w:beforeLines="50" w:before="156"/>
        <w:jc w:val="center"/>
        <w:rPr>
          <w:rFonts w:eastAsia="黑体"/>
          <w:kern w:val="0"/>
          <w:szCs w:val="20"/>
        </w:rPr>
      </w:pPr>
      <w:r>
        <w:rPr>
          <w:rFonts w:eastAsia="黑体"/>
          <w:kern w:val="0"/>
          <w:szCs w:val="20"/>
        </w:rPr>
        <w:t>表</w:t>
      </w:r>
      <w:r>
        <w:rPr>
          <w:rFonts w:eastAsia="黑体"/>
        </w:rPr>
        <w:t>3</w:t>
      </w:r>
      <w:r>
        <w:rPr>
          <w:rFonts w:eastAsia="黑体"/>
          <w:color w:val="FF0000"/>
        </w:rPr>
        <w:t>　</w:t>
      </w:r>
      <w:r>
        <w:rPr>
          <w:rFonts w:eastAsia="黑体"/>
        </w:rPr>
        <w:t>系列标准片各稀土氧化物</w:t>
      </w:r>
      <w:r>
        <w:rPr>
          <w:rFonts w:eastAsia="黑体" w:hint="eastAsia"/>
        </w:rPr>
        <w:t>配分值</w:t>
      </w:r>
      <w:r>
        <w:rPr>
          <w:rFonts w:eastAsia="黑体"/>
        </w:rPr>
        <w:t>表</w:t>
      </w:r>
    </w:p>
    <w:p>
      <w:pPr>
        <w:jc w:val="right"/>
        <w:rPr>
          <w:kern w:val="0"/>
          <w:sz w:val="18"/>
          <w:szCs w:val="20"/>
        </w:rPr>
      </w:pPr>
      <w:r>
        <w:rPr>
          <w:sz w:val="18"/>
        </w:rPr>
        <w:t>单位：%</w:t>
      </w:r>
    </w:p>
    <w:tbl>
      <w:tblPr>
        <w:jc w:val="left"/>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986"/>
        <w:gridCol w:w="1093"/>
        <w:gridCol w:w="1093"/>
        <w:gridCol w:w="1093"/>
        <w:gridCol w:w="1093"/>
        <w:gridCol w:w="1093"/>
        <w:gridCol w:w="1093"/>
        <w:gridCol w:w="1093"/>
        <w:gridCol w:w="1087"/>
      </w:tblGrid>
      <w:tr>
        <w:trPr>
          <w:trHeight w:val="351"/>
        </w:trPr>
        <w:tc>
          <w:tcPr>
            <w:tcW w:w="507" w:type="pct"/>
            <w:tcBorders>
              <w:top w:val="single" w:sz="12" w:space="0" w:color="auto"/>
              <w:bottom w:val="single" w:sz="12" w:space="0" w:color="auto"/>
              <w:right w:val="single" w:sz="6" w:space="0" w:color="auto"/>
            </w:tcBorders>
            <w:shd w:val="clear" w:color="auto" w:fill="auto"/>
            <w:noWrap/>
            <w:vAlign w:val="center"/>
          </w:tcPr>
          <w:p>
            <w:pPr>
              <w:widowControl/>
              <w:jc w:val="center"/>
              <w:rPr>
                <w:sz w:val="18"/>
                <w:szCs w:val="18"/>
              </w:rPr>
            </w:pPr>
            <w:r>
              <w:rPr>
                <w:sz w:val="18"/>
                <w:szCs w:val="18"/>
              </w:rPr>
              <w:t>序号</w:t>
            </w:r>
          </w:p>
        </w:tc>
        <w:tc>
          <w:tcPr>
            <w:tcW w:w="562" w:type="pct"/>
            <w:tcBorders>
              <w:top w:val="single" w:sz="12" w:space="0" w:color="auto"/>
              <w:left w:val="single" w:sz="6"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La</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CeO</w:t>
            </w:r>
            <w:r>
              <w:rPr>
                <w:color w:val="000000"/>
                <w:sz w:val="18"/>
                <w:szCs w:val="18"/>
                <w:vertAlign w:val="subscript"/>
              </w:rPr>
              <w:t>2</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Pr</w:t>
            </w:r>
            <w:r>
              <w:rPr>
                <w:color w:val="000000"/>
                <w:sz w:val="18"/>
                <w:szCs w:val="18"/>
                <w:vertAlign w:val="subscript"/>
              </w:rPr>
              <w:t>6</w:t>
            </w:r>
            <w:r>
              <w:rPr>
                <w:color w:val="000000"/>
                <w:sz w:val="18"/>
                <w:szCs w:val="18"/>
              </w:rPr>
              <w:t>O</w:t>
            </w:r>
            <w:r>
              <w:rPr>
                <w:color w:val="000000"/>
                <w:sz w:val="18"/>
                <w:szCs w:val="18"/>
                <w:vertAlign w:val="subscript"/>
              </w:rPr>
              <w:t>11</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Nd</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Sm</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Eu</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Gd</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Tb</w:t>
            </w:r>
            <w:r>
              <w:rPr>
                <w:color w:val="000000"/>
                <w:sz w:val="18"/>
                <w:szCs w:val="18"/>
                <w:vertAlign w:val="subscript"/>
              </w:rPr>
              <w:t>4</w:t>
            </w:r>
            <w:r>
              <w:rPr>
                <w:color w:val="000000"/>
                <w:sz w:val="18"/>
                <w:szCs w:val="18"/>
              </w:rPr>
              <w:t>O</w:t>
            </w:r>
            <w:r>
              <w:rPr>
                <w:color w:val="000000"/>
                <w:sz w:val="18"/>
                <w:szCs w:val="18"/>
                <w:vertAlign w:val="subscript"/>
              </w:rPr>
              <w:t>7</w:t>
            </w:r>
          </w:p>
        </w:tc>
      </w:tr>
      <w:tr>
        <w:trPr>
          <w:trHeight w:val="255"/>
        </w:trPr>
        <w:tc>
          <w:tcPr>
            <w:tcW w:w="507" w:type="pct"/>
            <w:tcBorders>
              <w:top w:val="single" w:sz="12" w:space="0" w:color="auto"/>
            </w:tcBorders>
            <w:shd w:val="clear" w:color="auto" w:fill="auto"/>
            <w:noWrap/>
            <w:vAlign w:val="center"/>
          </w:tcPr>
          <w:p>
            <w:pPr>
              <w:widowControl/>
              <w:jc w:val="center"/>
              <w:rPr>
                <w:sz w:val="18"/>
                <w:szCs w:val="18"/>
              </w:rPr>
            </w:pPr>
            <w:r>
              <w:rPr>
                <w:sz w:val="18"/>
                <w:szCs w:val="18"/>
              </w:rPr>
              <w:t>1</w:t>
            </w:r>
          </w:p>
        </w:tc>
        <w:tc>
          <w:tcPr>
            <w:tcW w:w="562" w:type="pct"/>
            <w:tcBorders>
              <w:top w:val="single" w:sz="12" w:space="0" w:color="auto"/>
            </w:tcBorders>
            <w:shd w:val="clear" w:color="auto" w:fill="auto"/>
            <w:noWrap/>
            <w:vAlign w:val="center"/>
          </w:tcPr>
          <w:p>
            <w:pPr>
              <w:widowControl/>
              <w:jc w:val="center"/>
              <w:rPr>
                <w:sz w:val="18"/>
                <w:szCs w:val="18"/>
              </w:rPr>
            </w:pPr>
            <w:r>
              <w:rPr>
                <w:sz w:val="18"/>
                <w:szCs w:val="18"/>
              </w:rPr>
              <w:t>0.00</w:t>
            </w:r>
          </w:p>
        </w:tc>
        <w:tc>
          <w:tcPr>
            <w:tcW w:w="562" w:type="pct"/>
            <w:tcBorders>
              <w:top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top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top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top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top w:val="single" w:sz="12" w:space="0" w:color="auto"/>
            </w:tcBorders>
            <w:vAlign w:val="center"/>
          </w:tcPr>
          <w:p>
            <w:pPr>
              <w:widowControl/>
              <w:jc w:val="center"/>
              <w:rPr>
                <w:sz w:val="18"/>
                <w:szCs w:val="18"/>
              </w:rPr>
            </w:pPr>
            <w:r>
              <w:rPr>
                <w:sz w:val="18"/>
                <w:szCs w:val="18"/>
              </w:rPr>
              <w:t>0.00</w:t>
            </w:r>
          </w:p>
        </w:tc>
        <w:tc>
          <w:tcPr>
            <w:tcW w:w="562" w:type="pct"/>
            <w:tcBorders>
              <w:top w:val="single" w:sz="12" w:space="0" w:color="auto"/>
            </w:tcBorders>
            <w:vAlign w:val="center"/>
          </w:tcPr>
          <w:p>
            <w:pPr>
              <w:widowControl/>
              <w:jc w:val="center"/>
              <w:rPr>
                <w:sz w:val="18"/>
                <w:szCs w:val="18"/>
              </w:rPr>
            </w:pPr>
            <w:r>
              <w:rPr>
                <w:sz w:val="18"/>
                <w:szCs w:val="18"/>
              </w:rPr>
              <w:t>0.00</w:t>
            </w:r>
          </w:p>
        </w:tc>
        <w:tc>
          <w:tcPr>
            <w:tcW w:w="562" w:type="pct"/>
            <w:tcBorders>
              <w:top w:val="single" w:sz="12" w:space="0" w:color="auto"/>
            </w:tcBorders>
            <w:shd w:val="clear" w:color="auto" w:fill="auto"/>
            <w:vAlign w:val="center"/>
          </w:tcPr>
          <w:p>
            <w:pPr>
              <w:widowControl/>
              <w:jc w:val="center"/>
              <w:rPr>
                <w:sz w:val="18"/>
                <w:szCs w:val="18"/>
              </w:rPr>
            </w:pPr>
            <w:r>
              <w:rPr>
                <w:sz w:val="18"/>
                <w:szCs w:val="18"/>
              </w:rPr>
              <w:t>2.00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5.70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0.10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4.90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0.20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0.40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1.40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5</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13.90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13.90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0.60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3.00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26.00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0.80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17.60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7.00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5.00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9.00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1.20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6.00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24.60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23.00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7.00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1.40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7.00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20.10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34.30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1.60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8.00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11</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41.10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9.00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1.80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9.00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r>
      <w:tr>
        <w:trPr>
          <w:trHeight w:val="255"/>
        </w:trPr>
        <w:tc>
          <w:tcPr>
            <w:tcW w:w="507" w:type="pct"/>
            <w:tcBorders>
              <w:bottom w:val="double" w:sz="4" w:space="0" w:color="auto"/>
            </w:tcBorders>
            <w:shd w:val="clear" w:color="auto" w:fill="auto"/>
            <w:noWrap/>
            <w:vAlign w:val="center"/>
          </w:tcPr>
          <w:p>
            <w:pPr>
              <w:widowControl/>
              <w:jc w:val="center"/>
              <w:rPr>
                <w:sz w:val="18"/>
                <w:szCs w:val="18"/>
              </w:rPr>
            </w:pPr>
            <w:r>
              <w:rPr>
                <w:sz w:val="18"/>
                <w:szCs w:val="18"/>
              </w:rPr>
              <w:t>12</w:t>
            </w:r>
          </w:p>
        </w:tc>
        <w:tc>
          <w:tcPr>
            <w:tcW w:w="562" w:type="pct"/>
            <w:tcBorders>
              <w:bottom w:val="double" w:sz="4" w:space="0" w:color="auto"/>
            </w:tcBorders>
            <w:shd w:val="clear" w:color="auto" w:fill="auto"/>
            <w:noWrap/>
            <w:vAlign w:val="center"/>
          </w:tcPr>
          <w:p>
            <w:pPr>
              <w:widowControl/>
              <w:jc w:val="center"/>
              <w:rPr>
                <w:sz w:val="18"/>
                <w:szCs w:val="18"/>
              </w:rPr>
            </w:pPr>
            <w:r>
              <w:rPr>
                <w:sz w:val="18"/>
                <w:szCs w:val="18"/>
              </w:rPr>
              <w:t>47.00</w:t>
            </w:r>
          </w:p>
        </w:tc>
        <w:tc>
          <w:tcPr>
            <w:tcW w:w="562" w:type="pct"/>
            <w:tcBorders>
              <w:bottom w:val="double" w:sz="4" w:space="0" w:color="auto"/>
            </w:tcBorders>
            <w:shd w:val="clear" w:color="auto" w:fill="auto"/>
            <w:vAlign w:val="center"/>
          </w:tcPr>
          <w:p>
            <w:pPr>
              <w:widowControl/>
              <w:jc w:val="center"/>
              <w:rPr>
                <w:sz w:val="18"/>
                <w:szCs w:val="18"/>
              </w:rPr>
            </w:pPr>
            <w:r>
              <w:rPr>
                <w:sz w:val="18"/>
                <w:szCs w:val="18"/>
              </w:rPr>
              <w:t>20.00</w:t>
            </w:r>
          </w:p>
        </w:tc>
        <w:tc>
          <w:tcPr>
            <w:tcW w:w="562" w:type="pct"/>
            <w:tcBorders>
              <w:bottom w:val="double" w:sz="4" w:space="0" w:color="auto"/>
            </w:tcBorders>
            <w:shd w:val="clear" w:color="auto" w:fill="auto"/>
            <w:vAlign w:val="center"/>
          </w:tcPr>
          <w:p>
            <w:pPr>
              <w:widowControl/>
              <w:jc w:val="center"/>
              <w:rPr>
                <w:sz w:val="18"/>
                <w:szCs w:val="18"/>
              </w:rPr>
            </w:pPr>
            <w:r>
              <w:rPr>
                <w:sz w:val="18"/>
                <w:szCs w:val="18"/>
              </w:rPr>
              <w:t>1.00</w:t>
            </w:r>
          </w:p>
        </w:tc>
        <w:tc>
          <w:tcPr>
            <w:tcW w:w="562" w:type="pct"/>
            <w:tcBorders>
              <w:bottom w:val="double" w:sz="4" w:space="0" w:color="auto"/>
            </w:tcBorders>
            <w:shd w:val="clear" w:color="auto" w:fill="auto"/>
            <w:vAlign w:val="center"/>
          </w:tcPr>
          <w:p>
            <w:pPr>
              <w:widowControl/>
              <w:jc w:val="center"/>
              <w:rPr>
                <w:sz w:val="18"/>
                <w:szCs w:val="18"/>
              </w:rPr>
            </w:pPr>
            <w:r>
              <w:rPr>
                <w:sz w:val="18"/>
                <w:szCs w:val="18"/>
              </w:rPr>
              <w:t>10.00</w:t>
            </w:r>
          </w:p>
        </w:tc>
        <w:tc>
          <w:tcPr>
            <w:tcW w:w="562" w:type="pct"/>
            <w:tcBorders>
              <w:bottom w:val="double" w:sz="4" w:space="0" w:color="auto"/>
            </w:tcBorders>
            <w:shd w:val="clear" w:color="auto" w:fill="auto"/>
            <w:vAlign w:val="center"/>
          </w:tcPr>
          <w:p>
            <w:pPr>
              <w:widowControl/>
              <w:jc w:val="center"/>
              <w:rPr>
                <w:sz w:val="18"/>
                <w:szCs w:val="18"/>
              </w:rPr>
            </w:pPr>
            <w:r>
              <w:rPr>
                <w:sz w:val="18"/>
                <w:szCs w:val="18"/>
              </w:rPr>
              <w:t>10.00</w:t>
            </w:r>
          </w:p>
        </w:tc>
        <w:tc>
          <w:tcPr>
            <w:tcW w:w="562" w:type="pct"/>
            <w:tcBorders>
              <w:bottom w:val="double" w:sz="4" w:space="0" w:color="auto"/>
            </w:tcBorders>
            <w:vAlign w:val="center"/>
          </w:tcPr>
          <w:p>
            <w:pPr>
              <w:widowControl/>
              <w:jc w:val="center"/>
              <w:rPr>
                <w:sz w:val="18"/>
                <w:szCs w:val="18"/>
              </w:rPr>
            </w:pPr>
            <w:r>
              <w:rPr>
                <w:sz w:val="18"/>
                <w:szCs w:val="18"/>
              </w:rPr>
              <w:t>2.00</w:t>
            </w:r>
          </w:p>
        </w:tc>
        <w:tc>
          <w:tcPr>
            <w:tcW w:w="562" w:type="pct"/>
            <w:tcBorders>
              <w:bottom w:val="double" w:sz="4" w:space="0" w:color="auto"/>
            </w:tcBorders>
            <w:vAlign w:val="center"/>
          </w:tcPr>
          <w:p>
            <w:pPr>
              <w:widowControl/>
              <w:jc w:val="center"/>
              <w:rPr>
                <w:sz w:val="18"/>
                <w:szCs w:val="18"/>
              </w:rPr>
            </w:pPr>
            <w:r>
              <w:rPr>
                <w:sz w:val="18"/>
                <w:szCs w:val="18"/>
              </w:rPr>
              <w:t>10.00</w:t>
            </w:r>
          </w:p>
        </w:tc>
        <w:tc>
          <w:tcPr>
            <w:tcW w:w="562" w:type="pct"/>
            <w:tcBorders>
              <w:bottom w:val="double" w:sz="4" w:space="0" w:color="auto"/>
            </w:tcBorders>
            <w:shd w:val="clear" w:color="auto" w:fill="auto"/>
            <w:vAlign w:val="center"/>
          </w:tcPr>
          <w:p>
            <w:pPr>
              <w:widowControl/>
              <w:jc w:val="center"/>
              <w:rPr>
                <w:sz w:val="18"/>
                <w:szCs w:val="18"/>
              </w:rPr>
            </w:pPr>
            <w:r>
              <w:rPr>
                <w:sz w:val="18"/>
                <w:szCs w:val="18"/>
              </w:rPr>
              <w:t>0.00</w:t>
            </w:r>
          </w:p>
        </w:tc>
      </w:tr>
      <w:tr>
        <w:trPr>
          <w:trHeight w:val="313"/>
        </w:trPr>
        <w:tc>
          <w:tcPr>
            <w:tcW w:w="507" w:type="pct"/>
            <w:tcBorders>
              <w:top w:val="double" w:sz="4" w:space="0" w:color="auto"/>
              <w:bottom w:val="single" w:sz="4" w:space="0" w:color="auto"/>
            </w:tcBorders>
            <w:shd w:val="clear" w:color="auto" w:fill="auto"/>
            <w:noWrap/>
            <w:vAlign w:val="center"/>
          </w:tcPr>
          <w:p>
            <w:pPr>
              <w:widowControl/>
              <w:jc w:val="center"/>
              <w:rPr>
                <w:sz w:val="18"/>
                <w:szCs w:val="18"/>
              </w:rPr>
            </w:pPr>
            <w:r>
              <w:rPr>
                <w:sz w:val="18"/>
                <w:szCs w:val="18"/>
              </w:rPr>
              <w:t>序号</w:t>
            </w:r>
          </w:p>
        </w:tc>
        <w:tc>
          <w:tcPr>
            <w:tcW w:w="562" w:type="pct"/>
            <w:tcBorders>
              <w:top w:val="double" w:sz="4" w:space="0" w:color="auto"/>
              <w:bottom w:val="single" w:sz="4" w:space="0" w:color="auto"/>
            </w:tcBorders>
            <w:shd w:val="clear" w:color="auto" w:fill="auto"/>
            <w:noWrap/>
            <w:vAlign w:val="center"/>
          </w:tcPr>
          <w:p>
            <w:pPr>
              <w:jc w:val="center"/>
              <w:rPr>
                <w:color w:val="000000"/>
                <w:sz w:val="18"/>
                <w:szCs w:val="18"/>
              </w:rPr>
            </w:pPr>
            <w:r>
              <w:rPr>
                <w:color w:val="000000"/>
                <w:sz w:val="18"/>
                <w:szCs w:val="18"/>
              </w:rPr>
              <w:t>Dy</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Y</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Ho</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Er</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Tm</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vAlign w:val="center"/>
          </w:tcPr>
          <w:p>
            <w:pPr>
              <w:jc w:val="center"/>
              <w:rPr>
                <w:color w:val="000000"/>
                <w:sz w:val="18"/>
                <w:szCs w:val="18"/>
              </w:rPr>
            </w:pPr>
            <w:r>
              <w:rPr>
                <w:color w:val="000000"/>
                <w:sz w:val="18"/>
                <w:szCs w:val="18"/>
              </w:rPr>
              <w:t>Yb</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vAlign w:val="center"/>
          </w:tcPr>
          <w:p>
            <w:pPr>
              <w:jc w:val="center"/>
              <w:rPr>
                <w:color w:val="000000"/>
                <w:sz w:val="18"/>
                <w:szCs w:val="18"/>
              </w:rPr>
            </w:pPr>
            <w:r>
              <w:rPr>
                <w:color w:val="000000"/>
                <w:sz w:val="18"/>
                <w:szCs w:val="18"/>
              </w:rPr>
              <w:t>Lu</w:t>
            </w:r>
            <w:r>
              <w:rPr>
                <w:color w:val="000000"/>
                <w:sz w:val="18"/>
                <w:szCs w:val="18"/>
                <w:vertAlign w:val="subscript"/>
              </w:rPr>
              <w:t>2</w:t>
            </w:r>
            <w:r>
              <w:rPr>
                <w:color w:val="000000"/>
                <w:sz w:val="18"/>
                <w:szCs w:val="18"/>
              </w:rPr>
              <w:t>O</w:t>
            </w:r>
            <w:r>
              <w:rPr>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top w:val="single" w:sz="4" w:space="0" w:color="auto"/>
            </w:tcBorders>
            <w:shd w:val="clear" w:color="auto" w:fill="auto"/>
            <w:noWrap/>
            <w:vAlign w:val="center"/>
          </w:tcPr>
          <w:p>
            <w:pPr>
              <w:widowControl/>
              <w:jc w:val="center"/>
              <w:rPr>
                <w:sz w:val="18"/>
                <w:szCs w:val="18"/>
              </w:rPr>
            </w:pPr>
            <w:r>
              <w:rPr>
                <w:sz w:val="18"/>
                <w:szCs w:val="18"/>
              </w:rPr>
              <w:t>1</w:t>
            </w:r>
          </w:p>
        </w:tc>
        <w:tc>
          <w:tcPr>
            <w:tcW w:w="562" w:type="pct"/>
            <w:tcBorders>
              <w:top w:val="single" w:sz="4" w:space="0" w:color="auto"/>
            </w:tcBorders>
            <w:shd w:val="clear" w:color="auto" w:fill="auto"/>
            <w:noWrap/>
            <w:vAlign w:val="center"/>
          </w:tcPr>
          <w:p>
            <w:pPr>
              <w:widowControl/>
              <w:jc w:val="center"/>
              <w:rPr>
                <w:sz w:val="18"/>
                <w:szCs w:val="18"/>
              </w:rPr>
            </w:pPr>
            <w:r>
              <w:rPr>
                <w:sz w:val="18"/>
                <w:szCs w:val="18"/>
              </w:rPr>
              <w:t>12.00</w:t>
            </w:r>
          </w:p>
        </w:tc>
        <w:tc>
          <w:tcPr>
            <w:tcW w:w="562" w:type="pct"/>
            <w:tcBorders>
              <w:top w:val="single" w:sz="4" w:space="0" w:color="auto"/>
            </w:tcBorders>
            <w:shd w:val="clear" w:color="auto" w:fill="auto"/>
            <w:vAlign w:val="center"/>
          </w:tcPr>
          <w:p>
            <w:pPr>
              <w:widowControl/>
              <w:jc w:val="center"/>
              <w:rPr>
                <w:sz w:val="18"/>
                <w:szCs w:val="18"/>
              </w:rPr>
            </w:pPr>
            <w:r>
              <w:rPr>
                <w:sz w:val="18"/>
                <w:szCs w:val="18"/>
              </w:rPr>
              <w:t>69.00</w:t>
            </w:r>
          </w:p>
        </w:tc>
        <w:tc>
          <w:tcPr>
            <w:tcW w:w="562" w:type="pct"/>
            <w:tcBorders>
              <w:top w:val="single" w:sz="4" w:space="0" w:color="auto"/>
            </w:tcBorders>
            <w:shd w:val="clear" w:color="auto" w:fill="auto"/>
            <w:vAlign w:val="center"/>
          </w:tcPr>
          <w:p>
            <w:pPr>
              <w:widowControl/>
              <w:jc w:val="center"/>
              <w:rPr>
                <w:sz w:val="18"/>
                <w:szCs w:val="18"/>
              </w:rPr>
            </w:pPr>
            <w:r>
              <w:rPr>
                <w:sz w:val="18"/>
                <w:szCs w:val="18"/>
              </w:rPr>
              <w:t>3.00</w:t>
            </w:r>
          </w:p>
        </w:tc>
        <w:tc>
          <w:tcPr>
            <w:tcW w:w="562" w:type="pct"/>
            <w:tcBorders>
              <w:top w:val="single" w:sz="4" w:space="0" w:color="auto"/>
            </w:tcBorders>
            <w:shd w:val="clear" w:color="auto" w:fill="auto"/>
            <w:vAlign w:val="center"/>
          </w:tcPr>
          <w:p>
            <w:pPr>
              <w:widowControl/>
              <w:jc w:val="center"/>
              <w:rPr>
                <w:sz w:val="18"/>
                <w:szCs w:val="18"/>
              </w:rPr>
            </w:pPr>
            <w:r>
              <w:rPr>
                <w:sz w:val="18"/>
                <w:szCs w:val="18"/>
              </w:rPr>
              <w:t>5.00</w:t>
            </w:r>
          </w:p>
        </w:tc>
        <w:tc>
          <w:tcPr>
            <w:tcW w:w="562" w:type="pct"/>
            <w:tcBorders>
              <w:top w:val="single" w:sz="4" w:space="0" w:color="auto"/>
            </w:tcBorders>
            <w:shd w:val="clear" w:color="auto" w:fill="auto"/>
            <w:vAlign w:val="center"/>
          </w:tcPr>
          <w:p>
            <w:pPr>
              <w:widowControl/>
              <w:jc w:val="center"/>
              <w:rPr>
                <w:sz w:val="18"/>
                <w:szCs w:val="18"/>
              </w:rPr>
            </w:pPr>
            <w:r>
              <w:rPr>
                <w:sz w:val="18"/>
                <w:szCs w:val="18"/>
              </w:rPr>
              <w:t>2.00</w:t>
            </w:r>
          </w:p>
        </w:tc>
        <w:tc>
          <w:tcPr>
            <w:tcW w:w="562" w:type="pct"/>
            <w:tcBorders>
              <w:top w:val="single" w:sz="4" w:space="0" w:color="auto"/>
            </w:tcBorders>
            <w:vAlign w:val="center"/>
          </w:tcPr>
          <w:p>
            <w:pPr>
              <w:widowControl/>
              <w:jc w:val="center"/>
              <w:rPr>
                <w:sz w:val="18"/>
                <w:szCs w:val="18"/>
              </w:rPr>
            </w:pPr>
            <w:r>
              <w:rPr>
                <w:sz w:val="18"/>
                <w:szCs w:val="18"/>
              </w:rPr>
              <w:t>5.00</w:t>
            </w:r>
          </w:p>
        </w:tc>
        <w:tc>
          <w:tcPr>
            <w:tcW w:w="562" w:type="pct"/>
            <w:tcBorders>
              <w:top w:val="single" w:sz="4" w:space="0" w:color="auto"/>
            </w:tcBorders>
            <w:vAlign w:val="center"/>
          </w:tcPr>
          <w:p>
            <w:pPr>
              <w:widowControl/>
              <w:jc w:val="center"/>
              <w:rPr>
                <w:sz w:val="18"/>
                <w:szCs w:val="18"/>
              </w:rPr>
            </w:pPr>
            <w:r>
              <w:rPr>
                <w:sz w:val="18"/>
                <w:szCs w:val="18"/>
              </w:rPr>
              <w:t>2.00</w:t>
            </w:r>
          </w:p>
        </w:tc>
        <w:tc>
          <w:tcPr>
            <w:tcW w:w="562" w:type="pct"/>
            <w:tcBorders>
              <w:top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62.10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2.70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4.50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1.80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54.20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4.00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1.60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48.30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2.10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1.40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3.50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1.40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5</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41.40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3.00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1.20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2.50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27.60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2.00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0.80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20.70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0.90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0.60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2.40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13.80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1.00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0.40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1.20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6.90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0.30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0.50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0.20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11</w:t>
            </w:r>
          </w:p>
        </w:tc>
        <w:tc>
          <w:tcPr>
            <w:tcW w:w="562" w:type="pct"/>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0.60</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3.45</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0.15</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0.25</w:t>
            </w:r>
          </w:p>
        </w:tc>
        <w:tc>
          <w:tcPr>
            <w:tcW w:w="562" w:type="pct"/>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0.25</w:t>
            </w:r>
          </w:p>
        </w:tc>
        <w:tc>
          <w:tcPr>
            <w:tcW w:w="562" w:type="pct"/>
            <w:tcBorders>
              <w:left w:val="single" w:sz="4" w:space="0" w:color="auto"/>
              <w:right w:val="single" w:sz="4" w:space="0" w:color="auto"/>
            </w:tcBorders>
            <w:vAlign w:val="center"/>
          </w:tcPr>
          <w:p>
            <w:pPr>
              <w:widowControl/>
              <w:jc w:val="center"/>
              <w:rPr>
                <w:sz w:val="18"/>
                <w:szCs w:val="18"/>
              </w:rPr>
            </w:pPr>
            <w:r>
              <w:rPr>
                <w:sz w:val="18"/>
                <w:szCs w:val="18"/>
              </w:rPr>
              <w:t>0.10</w:t>
            </w:r>
          </w:p>
        </w:tc>
        <w:tc>
          <w:tcPr>
            <w:tcW w:w="562" w:type="pct"/>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77"/>
        </w:trPr>
        <w:tc>
          <w:tcPr>
            <w:tcW w:w="507" w:type="pct"/>
            <w:tcBorders>
              <w:bottom w:val="single" w:sz="12" w:space="0" w:color="auto"/>
            </w:tcBorders>
            <w:shd w:val="clear" w:color="auto" w:fill="auto"/>
            <w:noWrap/>
            <w:vAlign w:val="center"/>
          </w:tcPr>
          <w:p>
            <w:pPr>
              <w:widowControl/>
              <w:jc w:val="center"/>
              <w:rPr>
                <w:sz w:val="18"/>
                <w:szCs w:val="18"/>
              </w:rPr>
            </w:pPr>
            <w:r>
              <w:rPr>
                <w:sz w:val="18"/>
                <w:szCs w:val="18"/>
              </w:rPr>
              <w:t>12</w:t>
            </w:r>
          </w:p>
        </w:tc>
        <w:tc>
          <w:tcPr>
            <w:tcW w:w="562" w:type="pct"/>
            <w:tcBorders>
              <w:bottom w:val="single" w:sz="12" w:space="0" w:color="auto"/>
            </w:tcBorders>
            <w:shd w:val="clear" w:color="auto" w:fill="auto"/>
            <w:noWrap/>
            <w:vAlign w:val="center"/>
          </w:tcPr>
          <w:p>
            <w:pPr>
              <w:widowControl/>
              <w:jc w:val="center"/>
              <w:rPr>
                <w:sz w:val="18"/>
                <w:szCs w:val="18"/>
              </w:rPr>
            </w:pPr>
            <w:r>
              <w:rPr>
                <w:sz w:val="18"/>
                <w:szCs w:val="18"/>
              </w:rPr>
              <w:t>0.00</w:t>
            </w:r>
          </w:p>
        </w:tc>
        <w:tc>
          <w:tcPr>
            <w:tcW w:w="562" w:type="pct"/>
            <w:tcBorders>
              <w:bottom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bottom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bottom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bottom w:val="single" w:sz="12" w:space="0" w:color="auto"/>
            </w:tcBorders>
            <w:shd w:val="clear" w:color="auto" w:fill="auto"/>
            <w:vAlign w:val="center"/>
          </w:tcPr>
          <w:p>
            <w:pPr>
              <w:widowControl/>
              <w:jc w:val="center"/>
              <w:rPr>
                <w:sz w:val="18"/>
                <w:szCs w:val="18"/>
              </w:rPr>
            </w:pPr>
            <w:r>
              <w:rPr>
                <w:sz w:val="18"/>
                <w:szCs w:val="18"/>
              </w:rPr>
              <w:t>0.00</w:t>
            </w:r>
          </w:p>
        </w:tc>
        <w:tc>
          <w:tcPr>
            <w:tcW w:w="562" w:type="pct"/>
            <w:tcBorders>
              <w:bottom w:val="single" w:sz="12" w:space="0" w:color="auto"/>
            </w:tcBorders>
            <w:vAlign w:val="center"/>
          </w:tcPr>
          <w:p>
            <w:pPr>
              <w:widowControl/>
              <w:jc w:val="center"/>
              <w:rPr>
                <w:sz w:val="18"/>
                <w:szCs w:val="18"/>
              </w:rPr>
            </w:pPr>
            <w:r>
              <w:rPr>
                <w:sz w:val="18"/>
                <w:szCs w:val="18"/>
              </w:rPr>
              <w:t>0.00</w:t>
            </w:r>
          </w:p>
        </w:tc>
        <w:tc>
          <w:tcPr>
            <w:tcW w:w="562" w:type="pct"/>
            <w:tcBorders>
              <w:bottom w:val="single" w:sz="12" w:space="0" w:color="auto"/>
            </w:tcBorders>
            <w:vAlign w:val="center"/>
          </w:tcPr>
          <w:p>
            <w:pPr>
              <w:widowControl/>
              <w:jc w:val="center"/>
              <w:rPr>
                <w:sz w:val="18"/>
                <w:szCs w:val="18"/>
              </w:rPr>
            </w:pPr>
            <w:r>
              <w:rPr>
                <w:sz w:val="18"/>
                <w:szCs w:val="18"/>
              </w:rPr>
              <w:t>0.00</w:t>
            </w:r>
          </w:p>
        </w:tc>
        <w:tc>
          <w:tcPr>
            <w:tcW w:w="562" w:type="pct"/>
            <w:tcBorders>
              <w:bottom w:val="single" w:sz="12" w:space="0" w:color="auto"/>
            </w:tcBorders>
            <w:shd w:val="clear" w:color="auto" w:fill="auto"/>
            <w:vAlign w:val="center"/>
          </w:tcPr>
          <w:p>
            <w:pPr>
              <w:jc w:val="center"/>
              <w:rPr>
                <w:color w:val="000000"/>
                <w:sz w:val="18"/>
                <w:szCs w:val="18"/>
              </w:rPr>
            </w:pPr>
            <w:r>
              <w:rPr>
                <w:color w:val="000000"/>
                <w:sz w:val="18"/>
                <w:szCs w:val="18"/>
              </w:rPr>
              <w:t>/</w:t>
            </w:r>
          </w:p>
        </w:tc>
      </w:tr>
    </w:tbl>
    <w:p>
      <w:pPr>
        <w:pStyle w:val="112"/>
        <w:tabs>
          <w:tab w:val="clear" w:pos="675"/>
        </w:tabs>
        <w:spacing w:beforeLines="50" w:before="156" w:afterLines="50" w:after="156"/>
        <w:jc w:val="left"/>
        <w:rPr>
          <w:rFonts w:ascii="宋体" w:eastAsia="宋体" w:cs="宋体" w:hint="eastAsia"/>
          <w:b/>
          <w:szCs w:val="22"/>
        </w:rPr>
      </w:pPr>
      <w:r>
        <w:rPr>
          <w:rFonts w:ascii="宋体" w:eastAsia="宋体" w:cs="宋体" w:hint="eastAsia"/>
          <w:b/>
          <w:szCs w:val="22"/>
        </w:rPr>
        <w:t>1.</w:t>
      </w:r>
      <w:r>
        <w:rPr>
          <w:rFonts w:ascii="宋体" w:eastAsia="宋体" w:cs="宋体"/>
          <w:b/>
          <w:szCs w:val="22"/>
        </w:rPr>
        <w:t>2</w:t>
      </w:r>
      <w:r>
        <w:rPr>
          <w:rFonts w:ascii="宋体" w:eastAsia="宋体" w:cs="宋体" w:hint="eastAsia"/>
          <w:b/>
          <w:szCs w:val="22"/>
        </w:rPr>
        <w:t>、样品溶解</w:t>
      </w:r>
      <w:r>
        <w:rPr>
          <w:rFonts w:ascii="宋体" w:eastAsia="宋体" w:cs="宋体"/>
          <w:b/>
          <w:szCs w:val="22"/>
        </w:rPr>
        <w:t>试验</w:t>
      </w:r>
      <w:r>
        <w:rPr>
          <w:rFonts w:ascii="宋体" w:eastAsia="宋体" w:cs="宋体" w:hint="eastAsia"/>
          <w:b/>
          <w:szCs w:val="22"/>
        </w:rPr>
        <w:t>验证</w:t>
      </w:r>
    </w:p>
    <w:p>
      <w:pPr>
        <w:adjustRightInd w:val="0"/>
        <w:snapToGrid w:val="0"/>
        <w:ind w:firstLine="481"/>
        <w:rPr>
          <w:rFonts w:hint="eastAsia"/>
          <w:bCs/>
          <w:szCs w:val="21"/>
        </w:rPr>
      </w:pPr>
      <w:r>
        <w:rPr>
          <w:rFonts w:ascii="宋体" w:cs="宋体" w:hint="eastAsia"/>
          <w:bCs/>
          <w:szCs w:val="21"/>
        </w:rPr>
        <w:t>本次修订扩大了</w:t>
      </w:r>
      <w:r>
        <w:rPr>
          <w:rFonts w:ascii="宋体" w:cs="宋体"/>
          <w:bCs/>
          <w:szCs w:val="21"/>
        </w:rPr>
        <w:t>方法的适用范围</w:t>
      </w:r>
      <w:r>
        <w:rPr>
          <w:rFonts w:ascii="宋体" w:cs="宋体" w:hint="eastAsia"/>
          <w:bCs/>
          <w:szCs w:val="21"/>
        </w:rPr>
        <w:t>，</w:t>
      </w:r>
      <w:r>
        <w:rPr>
          <w:rFonts w:ascii="宋体" w:cs="宋体"/>
          <w:bCs/>
          <w:szCs w:val="21"/>
        </w:rPr>
        <w:t>新增</w:t>
      </w:r>
      <w:r>
        <w:rPr>
          <w:rFonts w:ascii="宋体" w:cs="宋体" w:hint="eastAsia"/>
          <w:bCs/>
          <w:szCs w:val="21"/>
        </w:rPr>
        <w:t>稀土草酸盐、稀土碳酸盐和</w:t>
      </w:r>
      <w:r>
        <w:rPr>
          <w:rFonts w:ascii="宋体" w:cs="宋体"/>
          <w:bCs/>
          <w:szCs w:val="21"/>
        </w:rPr>
        <w:t>稀土料液</w:t>
      </w:r>
      <w:r>
        <w:rPr>
          <w:rFonts w:ascii="宋体" w:cs="宋体" w:hint="eastAsia"/>
          <w:bCs/>
          <w:szCs w:val="21"/>
        </w:rPr>
        <w:t>。由于这些类型</w:t>
      </w:r>
      <w:r>
        <w:rPr>
          <w:rFonts w:ascii="宋体" w:cs="宋体"/>
          <w:bCs/>
          <w:szCs w:val="21"/>
        </w:rPr>
        <w:t>的与</w:t>
      </w:r>
      <w:r>
        <w:rPr>
          <w:rFonts w:ascii="宋体" w:cs="宋体" w:hint="eastAsia"/>
          <w:bCs/>
          <w:szCs w:val="21"/>
        </w:rPr>
        <w:t>GB/T 14635-2020中</w:t>
      </w:r>
      <w:r>
        <w:rPr>
          <w:rFonts w:ascii="宋体" w:cs="宋体"/>
          <w:bCs/>
          <w:szCs w:val="21"/>
        </w:rPr>
        <w:t>规定的</w:t>
      </w:r>
      <w:r>
        <w:rPr>
          <w:rFonts w:ascii="宋体" w:cs="宋体" w:hint="eastAsia"/>
          <w:bCs/>
          <w:szCs w:val="21"/>
        </w:rPr>
        <w:t>离子型稀土矿混合稀土氧化物类型</w:t>
      </w:r>
      <w:r>
        <w:rPr>
          <w:rFonts w:ascii="宋体" w:cs="宋体"/>
          <w:bCs/>
          <w:szCs w:val="21"/>
        </w:rPr>
        <w:t>相同，</w:t>
      </w:r>
      <w:r>
        <w:rPr>
          <w:rFonts w:ascii="宋体" w:cs="宋体" w:hint="eastAsia"/>
          <w:bCs/>
          <w:szCs w:val="21"/>
        </w:rPr>
        <w:t>本试验采用</w:t>
      </w:r>
      <w:r>
        <w:rPr>
          <w:rFonts w:ascii="宋体" w:cs="宋体"/>
          <w:bCs/>
          <w:szCs w:val="21"/>
        </w:rPr>
        <w:t>了与该标准相近的样品溶解方式。GB/T 14635-2020样品</w:t>
      </w:r>
      <w:r>
        <w:rPr>
          <w:rFonts w:ascii="宋体" w:cs="宋体" w:hint="eastAsia"/>
          <w:bCs/>
          <w:szCs w:val="21"/>
        </w:rPr>
        <w:t>溶解过程</w:t>
      </w:r>
      <w:r>
        <w:rPr>
          <w:rFonts w:ascii="宋体" w:cs="宋体"/>
          <w:bCs/>
          <w:szCs w:val="21"/>
        </w:rPr>
        <w:t>中加入高氯酸</w:t>
      </w:r>
      <w:r>
        <w:rPr>
          <w:rFonts w:ascii="宋体" w:cs="宋体" w:hint="eastAsia"/>
          <w:bCs/>
          <w:szCs w:val="21"/>
        </w:rPr>
        <w:t>冒烟</w:t>
      </w:r>
      <w:r>
        <w:rPr>
          <w:rFonts w:ascii="宋体" w:cs="宋体"/>
          <w:bCs/>
          <w:szCs w:val="21"/>
        </w:rPr>
        <w:t>步骤，</w:t>
      </w:r>
      <w:r>
        <w:rPr>
          <w:rFonts w:ascii="宋体" w:cs="宋体" w:hint="eastAsia"/>
          <w:bCs/>
          <w:szCs w:val="21"/>
        </w:rPr>
        <w:t>主要作用是将二氧化硅</w:t>
      </w:r>
      <w:r>
        <w:rPr>
          <w:rFonts w:ascii="宋体" w:cs="宋体"/>
          <w:bCs/>
          <w:szCs w:val="21"/>
        </w:rPr>
        <w:t>脱水结晶后过滤分离，因为</w:t>
      </w:r>
      <w:r>
        <w:rPr>
          <w:rFonts w:ascii="宋体" w:cs="宋体" w:hint="eastAsia"/>
          <w:bCs/>
          <w:szCs w:val="21"/>
        </w:rPr>
        <w:t>X-射线荧光光谱法，</w:t>
      </w:r>
      <w:r>
        <w:rPr>
          <w:rFonts w:ascii="宋体" w:cs="宋体"/>
          <w:bCs/>
          <w:szCs w:val="21"/>
        </w:rPr>
        <w:t>硅对测定没有影响</w:t>
      </w:r>
      <w:r>
        <w:rPr>
          <w:rFonts w:ascii="宋体" w:cs="宋体" w:hint="eastAsia"/>
          <w:bCs/>
          <w:szCs w:val="21"/>
        </w:rPr>
        <w:t>。另外</w:t>
      </w:r>
      <w:r>
        <w:rPr>
          <w:rFonts w:ascii="宋体" w:cs="宋体"/>
          <w:bCs/>
          <w:szCs w:val="21"/>
        </w:rPr>
        <w:t>加入高氯酸后在制备样品片</w:t>
      </w:r>
      <w:r>
        <w:rPr>
          <w:rFonts w:ascii="宋体" w:cs="宋体" w:hint="eastAsia"/>
          <w:bCs/>
          <w:szCs w:val="21"/>
        </w:rPr>
        <w:t>时</w:t>
      </w:r>
      <w:r>
        <w:rPr>
          <w:rFonts w:ascii="宋体" w:cs="宋体"/>
          <w:bCs/>
          <w:szCs w:val="21"/>
        </w:rPr>
        <w:t>难以烘干，滤纸片易破碎。基于</w:t>
      </w:r>
      <w:r>
        <w:rPr>
          <w:rFonts w:ascii="宋体" w:cs="宋体" w:hint="eastAsia"/>
          <w:bCs/>
          <w:szCs w:val="21"/>
        </w:rPr>
        <w:t>以上</w:t>
      </w:r>
      <w:r>
        <w:rPr>
          <w:rFonts w:ascii="宋体" w:cs="宋体"/>
          <w:bCs/>
          <w:szCs w:val="21"/>
        </w:rPr>
        <w:t>两点原因</w:t>
      </w:r>
      <w:r>
        <w:rPr>
          <w:rFonts w:ascii="宋体" w:cs="宋体" w:hint="eastAsia"/>
          <w:bCs/>
          <w:szCs w:val="21"/>
        </w:rPr>
        <w:t>本</w:t>
      </w:r>
      <w:r>
        <w:rPr>
          <w:rFonts w:ascii="宋体" w:cs="宋体"/>
          <w:bCs/>
          <w:szCs w:val="21"/>
        </w:rPr>
        <w:t>方法样品溶解试验没有</w:t>
      </w:r>
      <w:r>
        <w:rPr>
          <w:rFonts w:ascii="宋体" w:cs="宋体" w:hint="eastAsia"/>
          <w:bCs/>
          <w:szCs w:val="21"/>
        </w:rPr>
        <w:t>使用</w:t>
      </w:r>
      <w:r>
        <w:rPr>
          <w:rFonts w:ascii="宋体" w:cs="宋体"/>
          <w:bCs/>
          <w:szCs w:val="21"/>
        </w:rPr>
        <w:t>高氯酸。</w:t>
      </w:r>
    </w:p>
    <w:p>
      <w:pPr>
        <w:pStyle w:val="112"/>
        <w:tabs>
          <w:tab w:val="clear" w:pos="675"/>
        </w:tabs>
        <w:spacing w:beforeLines="50" w:before="156" w:afterLines="50" w:after="156"/>
        <w:jc w:val="left"/>
        <w:rPr>
          <w:rFonts w:ascii="宋体" w:eastAsia="宋体" w:cs="宋体" w:hint="eastAsia"/>
          <w:b/>
          <w:szCs w:val="22"/>
        </w:rPr>
      </w:pPr>
      <w:r>
        <w:rPr>
          <w:rFonts w:ascii="宋体" w:eastAsia="宋体" w:cs="宋体" w:hint="eastAsia"/>
          <w:b/>
          <w:szCs w:val="22"/>
        </w:rPr>
        <w:t>1.</w:t>
      </w:r>
      <w:r>
        <w:rPr>
          <w:rFonts w:ascii="宋体" w:eastAsia="宋体" w:cs="宋体"/>
          <w:b/>
          <w:szCs w:val="22"/>
        </w:rPr>
        <w:t>3</w:t>
      </w:r>
      <w:r>
        <w:rPr>
          <w:rFonts w:ascii="宋体" w:eastAsia="宋体" w:cs="宋体" w:hint="eastAsia"/>
          <w:b/>
          <w:szCs w:val="22"/>
        </w:rPr>
        <w:t>、内标元素</w:t>
      </w:r>
      <w:r>
        <w:rPr>
          <w:rFonts w:ascii="宋体" w:eastAsia="宋体" w:cs="宋体"/>
          <w:b/>
          <w:szCs w:val="22"/>
        </w:rPr>
        <w:t>验证</w:t>
      </w:r>
    </w:p>
    <w:p>
      <w:pPr>
        <w:adjustRightInd w:val="0"/>
        <w:snapToGrid w:val="0"/>
        <w:ind w:firstLine="481"/>
        <w:rPr>
          <w:rFonts w:ascii="宋体" w:cs="宋体"/>
          <w:bCs/>
          <w:szCs w:val="21"/>
        </w:rPr>
      </w:pPr>
      <w:r>
        <w:rPr>
          <w:rFonts w:ascii="宋体" w:cs="宋体" w:hint="eastAsia"/>
          <w:bCs/>
          <w:szCs w:val="21"/>
        </w:rPr>
        <w:t>原标准</w:t>
      </w:r>
      <w:r>
        <w:rPr>
          <w:rFonts w:ascii="宋体" w:cs="宋体"/>
          <w:bCs/>
          <w:szCs w:val="21"/>
        </w:rPr>
        <w:t>选择的内标元素为钒，在十多年</w:t>
      </w:r>
      <w:r>
        <w:rPr>
          <w:rFonts w:ascii="宋体" w:cs="宋体" w:hint="eastAsia"/>
          <w:bCs/>
          <w:szCs w:val="21"/>
        </w:rPr>
        <w:t>使用</w:t>
      </w:r>
      <w:r>
        <w:rPr>
          <w:rFonts w:ascii="宋体" w:cs="宋体"/>
          <w:bCs/>
          <w:szCs w:val="21"/>
        </w:rPr>
        <w:t>过程中发现，用钒做内标校正测定结果准确，存在的问题钒</w:t>
      </w:r>
      <w:r>
        <w:rPr>
          <w:rFonts w:ascii="宋体" w:cs="宋体" w:hint="eastAsia"/>
          <w:bCs/>
          <w:szCs w:val="21"/>
        </w:rPr>
        <w:t>内标</w:t>
      </w:r>
      <w:r>
        <w:rPr>
          <w:rFonts w:ascii="宋体" w:cs="宋体"/>
          <w:bCs/>
          <w:szCs w:val="21"/>
        </w:rPr>
        <w:t>溶液的稳定性较差，放在一段时间后会出现絮状沉淀，另外在加入钒</w:t>
      </w:r>
      <w:r>
        <w:rPr>
          <w:rFonts w:ascii="宋体" w:cs="宋体" w:hint="eastAsia"/>
          <w:bCs/>
          <w:szCs w:val="21"/>
        </w:rPr>
        <w:t>内标</w:t>
      </w:r>
      <w:r>
        <w:rPr>
          <w:rFonts w:ascii="宋体" w:cs="宋体"/>
          <w:bCs/>
          <w:szCs w:val="21"/>
        </w:rPr>
        <w:t>溶液</w:t>
      </w:r>
      <w:r>
        <w:rPr>
          <w:rFonts w:ascii="宋体" w:cs="宋体" w:hint="eastAsia"/>
          <w:bCs/>
          <w:szCs w:val="21"/>
        </w:rPr>
        <w:t>时</w:t>
      </w:r>
      <w:r>
        <w:rPr>
          <w:rFonts w:ascii="宋体" w:cs="宋体"/>
          <w:bCs/>
          <w:szCs w:val="21"/>
        </w:rPr>
        <w:t>对温度要求较高，易出现絮状沉淀</w:t>
      </w:r>
      <w:r>
        <w:rPr>
          <w:rFonts w:ascii="宋体" w:cs="宋体" w:hint="eastAsia"/>
          <w:bCs/>
          <w:szCs w:val="21"/>
        </w:rPr>
        <w:t>情况。试验</w:t>
      </w:r>
      <w:r>
        <w:rPr>
          <w:rFonts w:ascii="宋体" w:cs="宋体"/>
          <w:bCs/>
          <w:szCs w:val="21"/>
        </w:rPr>
        <w:t>采用钪替代钒，操作简单，内标溶液储存时间更长。两种</w:t>
      </w:r>
      <w:r>
        <w:rPr>
          <w:rFonts w:ascii="宋体" w:cs="宋体" w:hint="eastAsia"/>
          <w:bCs/>
          <w:szCs w:val="21"/>
        </w:rPr>
        <w:t>内标</w:t>
      </w:r>
      <w:r>
        <w:rPr>
          <w:rFonts w:ascii="宋体" w:cs="宋体"/>
          <w:bCs/>
          <w:szCs w:val="21"/>
        </w:rPr>
        <w:t>测定的结果比对见</w:t>
      </w:r>
      <w:r>
        <w:rPr>
          <w:rFonts w:ascii="宋体" w:cs="宋体" w:hint="eastAsia"/>
          <w:bCs/>
          <w:szCs w:val="21"/>
        </w:rPr>
        <w:t>表</w:t>
      </w:r>
      <w:r>
        <w:rPr>
          <w:rFonts w:ascii="宋体" w:cs="宋体"/>
          <w:bCs/>
          <w:szCs w:val="21"/>
        </w:rPr>
        <w:t>4</w:t>
      </w:r>
      <w:r>
        <w:rPr>
          <w:rFonts w:ascii="宋体" w:cs="宋体" w:hint="eastAsia"/>
          <w:bCs/>
          <w:szCs w:val="21"/>
        </w:rPr>
        <w:t>。由</w:t>
      </w:r>
      <w:r>
        <w:rPr>
          <w:rFonts w:ascii="宋体" w:cs="宋体"/>
          <w:bCs/>
          <w:szCs w:val="21"/>
        </w:rPr>
        <w:t>表4</w:t>
      </w:r>
      <w:r>
        <w:rPr>
          <w:rFonts w:ascii="宋体" w:cs="宋体" w:hint="eastAsia"/>
          <w:bCs/>
          <w:szCs w:val="21"/>
        </w:rPr>
        <w:t>可见</w:t>
      </w:r>
      <w:r>
        <w:rPr>
          <w:rFonts w:ascii="宋体" w:cs="宋体"/>
          <w:bCs/>
          <w:szCs w:val="21"/>
        </w:rPr>
        <w:t>两种内标测定结果是一致。</w:t>
      </w:r>
      <w:r>
        <w:rPr>
          <w:rFonts w:ascii="宋体" w:cs="宋体" w:hint="eastAsia"/>
          <w:bCs/>
          <w:szCs w:val="21"/>
        </w:rPr>
        <w:t>根据</w:t>
      </w:r>
      <w:r>
        <w:rPr>
          <w:rFonts w:ascii="宋体" w:cs="宋体"/>
          <w:bCs/>
          <w:szCs w:val="21"/>
        </w:rPr>
        <w:t>上述原因试验选择了钪为内标元素。</w:t>
      </w:r>
    </w:p>
    <w:p>
      <w:pPr>
        <w:adjustRightInd w:val="0"/>
        <w:snapToGrid w:val="0"/>
        <w:ind w:firstLine="481"/>
        <w:rPr>
          <w:rFonts w:ascii="宋体" w:cs="宋体" w:hint="eastAsia"/>
          <w:bCs/>
          <w:szCs w:val="21"/>
        </w:rPr>
      </w:pPr>
      <w:r>
        <w:rPr>
          <w:rFonts w:ascii="宋体" w:cs="宋体" w:hint="eastAsia"/>
          <w:bCs/>
          <w:szCs w:val="21"/>
        </w:rPr>
        <w:t>离子型稀土矿混合稀土氧化物中</w:t>
      </w:r>
      <w:r>
        <w:rPr>
          <w:rFonts w:ascii="宋体" w:cs="宋体"/>
          <w:bCs/>
          <w:szCs w:val="21"/>
        </w:rPr>
        <w:t>可能含有微量钪，由于本方法测定的是相对含量，加</w:t>
      </w:r>
      <w:r>
        <w:rPr>
          <w:rFonts w:ascii="宋体" w:cs="宋体" w:hint="eastAsia"/>
          <w:bCs/>
          <w:szCs w:val="21"/>
        </w:rPr>
        <w:t>和</w:t>
      </w:r>
      <w:r>
        <w:rPr>
          <w:rFonts w:ascii="宋体" w:cs="宋体"/>
          <w:bCs/>
          <w:szCs w:val="21"/>
        </w:rPr>
        <w:t>归一后钪的影响</w:t>
      </w:r>
      <w:r>
        <w:rPr>
          <w:rFonts w:ascii="宋体" w:cs="宋体" w:hint="eastAsia"/>
          <w:bCs/>
          <w:szCs w:val="21"/>
        </w:rPr>
        <w:t>可以</w:t>
      </w:r>
      <w:r>
        <w:rPr>
          <w:rFonts w:ascii="宋体" w:cs="宋体"/>
          <w:bCs/>
          <w:szCs w:val="21"/>
        </w:rPr>
        <w:t>完全消除。试验</w:t>
      </w:r>
      <w:r>
        <w:rPr>
          <w:rFonts w:ascii="宋体" w:cs="宋体" w:hint="eastAsia"/>
          <w:bCs/>
          <w:szCs w:val="21"/>
        </w:rPr>
        <w:t>加入</w:t>
      </w:r>
      <w:r>
        <w:rPr>
          <w:rFonts w:ascii="宋体" w:cs="宋体"/>
          <w:bCs/>
          <w:szCs w:val="21"/>
        </w:rPr>
        <w:t>内标元素的主要目的是消除标准样片制备过程中带来的</w:t>
      </w:r>
      <w:r>
        <w:rPr>
          <w:rFonts w:ascii="宋体" w:cs="宋体" w:hint="eastAsia"/>
          <w:bCs/>
          <w:szCs w:val="21"/>
        </w:rPr>
        <w:t>滴片</w:t>
      </w:r>
      <w:r>
        <w:rPr>
          <w:rFonts w:ascii="宋体" w:cs="宋体"/>
          <w:bCs/>
          <w:szCs w:val="21"/>
        </w:rPr>
        <w:t>、扩散</w:t>
      </w:r>
      <w:r>
        <w:rPr>
          <w:rFonts w:ascii="宋体" w:cs="宋体" w:hint="eastAsia"/>
          <w:bCs/>
          <w:szCs w:val="21"/>
        </w:rPr>
        <w:t>、</w:t>
      </w:r>
      <w:r>
        <w:rPr>
          <w:rFonts w:ascii="宋体" w:cs="宋体"/>
          <w:bCs/>
          <w:szCs w:val="21"/>
        </w:rPr>
        <w:t>烘干等不确定因素的影响。</w:t>
      </w:r>
    </w:p>
    <w:p>
      <w:pPr>
        <w:adjustRightInd w:val="0"/>
        <w:snapToGrid w:val="0"/>
        <w:ind w:firstLine="481"/>
        <w:rPr>
          <w:rFonts w:ascii="宋体" w:cs="宋体" w:hint="eastAsia"/>
          <w:bCs/>
          <w:szCs w:val="21"/>
        </w:rPr>
      </w:pPr>
      <w:r>
        <w:rPr>
          <w:rFonts w:ascii="宋体" w:cs="宋体" w:hint="eastAsia"/>
          <w:bCs/>
          <w:szCs w:val="21"/>
        </w:rPr>
        <w:t>内标元素</w:t>
      </w:r>
      <w:r>
        <w:rPr>
          <w:rFonts w:ascii="宋体" w:cs="宋体"/>
          <w:bCs/>
          <w:szCs w:val="21"/>
        </w:rPr>
        <w:t>检测成本分析，由于钪为稀贵元素，</w:t>
      </w:r>
      <w:r>
        <w:rPr>
          <w:rFonts w:ascii="宋体" w:cs="宋体" w:hint="eastAsia"/>
          <w:bCs/>
          <w:szCs w:val="21"/>
        </w:rPr>
        <w:t>使用</w:t>
      </w:r>
      <w:r>
        <w:rPr>
          <w:rFonts w:ascii="宋体" w:cs="宋体"/>
          <w:bCs/>
          <w:szCs w:val="21"/>
        </w:rPr>
        <w:t>时不需要购买高纯</w:t>
      </w:r>
      <w:r>
        <w:rPr>
          <w:rFonts w:ascii="宋体" w:cs="宋体" w:hint="eastAsia"/>
          <w:bCs/>
          <w:szCs w:val="21"/>
        </w:rPr>
        <w:t>试剂</w:t>
      </w:r>
      <w:r>
        <w:rPr>
          <w:rFonts w:ascii="宋体" w:cs="宋体"/>
          <w:bCs/>
          <w:szCs w:val="21"/>
        </w:rPr>
        <w:t>，可以购买</w:t>
      </w:r>
      <w:r>
        <w:rPr>
          <w:rFonts w:ascii="宋体" w:cs="宋体" w:hint="eastAsia"/>
          <w:bCs/>
          <w:szCs w:val="21"/>
        </w:rPr>
        <w:t>4N氧化钪</w:t>
      </w:r>
      <w:r>
        <w:rPr>
          <w:rFonts w:ascii="宋体" w:cs="宋体"/>
          <w:bCs/>
          <w:szCs w:val="21"/>
        </w:rPr>
        <w:t>产品，</w:t>
      </w:r>
      <w:r>
        <w:rPr>
          <w:rFonts w:ascii="宋体" w:cs="宋体" w:hint="eastAsia"/>
          <w:bCs/>
          <w:szCs w:val="21"/>
        </w:rPr>
        <w:t>按照</w:t>
      </w:r>
      <w:r>
        <w:rPr>
          <w:rFonts w:ascii="宋体" w:cs="宋体"/>
          <w:bCs/>
          <w:szCs w:val="21"/>
        </w:rPr>
        <w:t>现在的市场价</w:t>
      </w:r>
      <w:r>
        <w:rPr>
          <w:rFonts w:ascii="宋体" w:cs="宋体" w:hint="eastAsia"/>
          <w:bCs/>
          <w:szCs w:val="21"/>
        </w:rPr>
        <w:t>700元/100</w:t>
      </w:r>
      <w:r>
        <w:rPr>
          <w:rFonts w:ascii="宋体" w:cs="宋体"/>
          <w:bCs/>
          <w:szCs w:val="21"/>
        </w:rPr>
        <w:t>g，</w:t>
      </w:r>
      <w:r>
        <w:rPr>
          <w:rFonts w:ascii="宋体" w:cs="宋体" w:hint="eastAsia"/>
          <w:bCs/>
          <w:szCs w:val="21"/>
        </w:rPr>
        <w:t>每份</w:t>
      </w:r>
      <w:r>
        <w:rPr>
          <w:rFonts w:ascii="宋体" w:cs="宋体"/>
          <w:bCs/>
          <w:szCs w:val="21"/>
        </w:rPr>
        <w:t>样品</w:t>
      </w:r>
      <w:r>
        <w:rPr>
          <w:rFonts w:ascii="宋体" w:cs="宋体" w:hint="eastAsia"/>
          <w:bCs/>
          <w:szCs w:val="21"/>
        </w:rPr>
        <w:t>此项</w:t>
      </w:r>
      <w:r>
        <w:rPr>
          <w:rFonts w:ascii="宋体" w:cs="宋体"/>
          <w:bCs/>
          <w:szCs w:val="21"/>
        </w:rPr>
        <w:t>的检测成本</w:t>
      </w:r>
      <w:r>
        <w:rPr>
          <w:rFonts w:ascii="宋体" w:cs="宋体" w:hint="eastAsia"/>
          <w:bCs/>
          <w:szCs w:val="21"/>
        </w:rPr>
        <w:t>约为0.2元。该</w:t>
      </w:r>
      <w:r>
        <w:rPr>
          <w:rFonts w:ascii="宋体" w:cs="宋体"/>
          <w:bCs/>
          <w:szCs w:val="21"/>
        </w:rPr>
        <w:t>成本能满足大量样品的检测需求。</w:t>
      </w:r>
    </w:p>
    <w:p>
      <w:pPr>
        <w:pStyle w:val="112"/>
        <w:tabs>
          <w:tab w:val="clear" w:pos="675"/>
        </w:tabs>
        <w:spacing w:beforeLines="50" w:before="156" w:afterLines="50" w:after="156"/>
        <w:jc w:val="left"/>
        <w:rPr>
          <w:rFonts w:ascii="宋体" w:eastAsia="宋体" w:cs="宋体"/>
          <w:b/>
          <w:szCs w:val="22"/>
        </w:rPr>
      </w:pPr>
      <w:r>
        <w:rPr>
          <w:rFonts w:ascii="宋体" w:eastAsia="宋体" w:cs="宋体" w:hint="eastAsia"/>
          <w:b/>
          <w:szCs w:val="22"/>
        </w:rPr>
        <w:t>1.</w:t>
      </w:r>
      <w:r>
        <w:rPr>
          <w:rFonts w:ascii="宋体" w:eastAsia="宋体" w:cs="宋体"/>
          <w:b/>
          <w:szCs w:val="22"/>
        </w:rPr>
        <w:t>4</w:t>
      </w:r>
      <w:r>
        <w:rPr>
          <w:rFonts w:ascii="宋体" w:eastAsia="宋体" w:cs="宋体" w:hint="eastAsia"/>
          <w:b/>
          <w:szCs w:val="22"/>
        </w:rPr>
        <w:t>、分析条件验证</w:t>
      </w:r>
    </w:p>
    <w:p>
      <w:pPr>
        <w:adjustRightInd w:val="0"/>
        <w:snapToGrid w:val="0"/>
        <w:ind w:firstLine="481"/>
        <w:rPr>
          <w:rFonts w:ascii="宋体" w:cs="宋体" w:hint="eastAsia"/>
          <w:bCs/>
          <w:szCs w:val="21"/>
        </w:rPr>
      </w:pPr>
      <w:r>
        <w:rPr>
          <w:rFonts w:ascii="宋体" w:cs="宋体" w:hint="eastAsia"/>
          <w:bCs/>
          <w:szCs w:val="21"/>
          <w:lang w:val="zh-CN"/>
        </w:rPr>
        <w:t>试验考察了</w:t>
      </w:r>
      <w:r>
        <w:rPr>
          <w:rFonts w:ascii="宋体" w:cs="宋体"/>
          <w:bCs/>
          <w:szCs w:val="21"/>
          <w:lang w:val="zh-CN"/>
        </w:rPr>
        <w:t>原标准的测量谱线，没有进行技术性</w:t>
      </w:r>
      <w:r>
        <w:rPr>
          <w:rFonts w:ascii="宋体" w:cs="宋体" w:hint="eastAsia"/>
          <w:bCs/>
          <w:szCs w:val="21"/>
          <w:lang w:val="zh-CN"/>
        </w:rPr>
        <w:t>调整</w:t>
      </w:r>
      <w:r>
        <w:rPr>
          <w:rFonts w:ascii="宋体" w:cs="宋体" w:hint="eastAsia"/>
          <w:bCs/>
          <w:szCs w:val="21"/>
        </w:rPr>
        <w:t>。</w:t>
      </w:r>
    </w:p>
    <w:p>
      <w:pPr>
        <w:pStyle w:val="112"/>
        <w:tabs>
          <w:tab w:val="clear" w:pos="675"/>
        </w:tabs>
        <w:spacing w:beforeLines="50" w:before="156" w:afterLines="50" w:after="156"/>
        <w:jc w:val="left"/>
        <w:rPr>
          <w:rFonts w:ascii="宋体" w:eastAsia="宋体" w:cs="宋体"/>
          <w:b/>
          <w:szCs w:val="22"/>
        </w:rPr>
      </w:pPr>
      <w:r>
        <w:rPr>
          <w:rFonts w:ascii="宋体" w:eastAsia="宋体" w:cs="宋体" w:hint="eastAsia"/>
          <w:b/>
          <w:szCs w:val="22"/>
        </w:rPr>
        <w:t>1.</w:t>
      </w:r>
      <w:r>
        <w:rPr>
          <w:rFonts w:ascii="宋体" w:eastAsia="宋体" w:cs="宋体"/>
          <w:b/>
          <w:szCs w:val="22"/>
        </w:rPr>
        <w:t>5</w:t>
      </w:r>
      <w:r>
        <w:rPr>
          <w:rFonts w:ascii="宋体" w:eastAsia="宋体" w:cs="宋体" w:hint="eastAsia"/>
          <w:b/>
          <w:szCs w:val="22"/>
        </w:rPr>
        <w:t>、样品稀土</w:t>
      </w:r>
      <w:r>
        <w:rPr>
          <w:rFonts w:ascii="宋体" w:eastAsia="宋体" w:cs="宋体"/>
          <w:b/>
          <w:szCs w:val="22"/>
        </w:rPr>
        <w:t>总量对测定影响试验</w:t>
      </w:r>
      <w:r>
        <w:rPr>
          <w:rFonts w:ascii="宋体" w:eastAsia="宋体" w:cs="宋体" w:hint="eastAsia"/>
          <w:b/>
          <w:szCs w:val="22"/>
        </w:rPr>
        <w:t>验证</w:t>
      </w:r>
    </w:p>
    <w:p>
      <w:pPr>
        <w:adjustRightInd w:val="0"/>
        <w:snapToGrid w:val="0"/>
        <w:ind w:firstLineChars="200" w:firstLine="420"/>
        <w:rPr>
          <w:rFonts w:ascii="宋体" w:cs="宋体"/>
          <w:szCs w:val="21"/>
        </w:rPr>
      </w:pPr>
      <w:r>
        <w:rPr>
          <w:rFonts w:ascii="宋体" w:cs="宋体" w:hint="eastAsia"/>
          <w:bCs/>
          <w:szCs w:val="21"/>
        </w:rPr>
        <w:t>由于原</w:t>
      </w:r>
      <w:r>
        <w:rPr>
          <w:rFonts w:ascii="宋体" w:cs="宋体"/>
          <w:bCs/>
          <w:szCs w:val="21"/>
        </w:rPr>
        <w:t>标准于</w:t>
      </w:r>
      <w:r>
        <w:rPr>
          <w:rFonts w:ascii="宋体" w:cs="宋体" w:hint="eastAsia"/>
          <w:bCs/>
          <w:szCs w:val="21"/>
        </w:rPr>
        <w:t>2008年</w:t>
      </w:r>
      <w:r>
        <w:rPr>
          <w:rFonts w:ascii="宋体" w:cs="宋体"/>
          <w:bCs/>
          <w:szCs w:val="21"/>
        </w:rPr>
        <w:t>颁布，当时</w:t>
      </w:r>
      <w:r>
        <w:rPr>
          <w:rFonts w:ascii="宋体" w:cs="宋体" w:hint="eastAsia"/>
          <w:szCs w:val="21"/>
        </w:rPr>
        <w:t>离子型稀土矿混合稀土氧化物生产工艺</w:t>
      </w:r>
      <w:r>
        <w:rPr>
          <w:rFonts w:ascii="宋体" w:cs="宋体"/>
          <w:szCs w:val="21"/>
        </w:rPr>
        <w:t>主要</w:t>
      </w:r>
      <w:r>
        <w:rPr>
          <w:rFonts w:ascii="宋体" w:cs="宋体" w:hint="eastAsia"/>
          <w:szCs w:val="21"/>
        </w:rPr>
        <w:t>草酸盐</w:t>
      </w:r>
      <w:r>
        <w:rPr>
          <w:rFonts w:ascii="宋体" w:cs="宋体"/>
          <w:szCs w:val="21"/>
        </w:rPr>
        <w:t>沉淀，稀土总量高，</w:t>
      </w:r>
      <w:r>
        <w:rPr>
          <w:rFonts w:ascii="宋体" w:cs="宋体" w:hint="eastAsia"/>
          <w:szCs w:val="21"/>
        </w:rPr>
        <w:t>产品标准GB/T 20169-2015中规定5个牌号规定</w:t>
      </w:r>
      <w:r>
        <w:rPr>
          <w:rFonts w:ascii="宋体" w:cs="宋体"/>
          <w:szCs w:val="21"/>
        </w:rPr>
        <w:t>的稀土总量均不低于</w:t>
      </w:r>
      <w:r>
        <w:rPr>
          <w:rFonts w:ascii="宋体" w:cs="宋体" w:hint="eastAsia"/>
          <w:szCs w:val="21"/>
        </w:rPr>
        <w:t>92</w:t>
      </w:r>
      <w:r>
        <w:rPr>
          <w:rFonts w:ascii="宋体" w:cs="宋体"/>
          <w:szCs w:val="21"/>
        </w:rPr>
        <w:t>%，近十多年来</w:t>
      </w:r>
      <w:r>
        <w:rPr>
          <w:rFonts w:ascii="宋体" w:cs="宋体" w:hint="eastAsia"/>
          <w:szCs w:val="21"/>
        </w:rPr>
        <w:t>草酸盐沉淀工艺</w:t>
      </w:r>
      <w:r>
        <w:rPr>
          <w:rFonts w:ascii="宋体" w:cs="宋体"/>
          <w:szCs w:val="21"/>
        </w:rPr>
        <w:t>基本被碳酸</w:t>
      </w:r>
      <w:r>
        <w:rPr>
          <w:rFonts w:ascii="宋体" w:cs="宋体" w:hint="eastAsia"/>
          <w:szCs w:val="21"/>
        </w:rPr>
        <w:t>盐沉淀工艺替代</w:t>
      </w:r>
      <w:r>
        <w:rPr>
          <w:rFonts w:ascii="宋体" w:cs="宋体"/>
          <w:bCs/>
          <w:szCs w:val="21"/>
        </w:rPr>
        <w:t>。</w:t>
      </w:r>
      <w:r>
        <w:rPr>
          <w:rFonts w:ascii="宋体" w:cs="宋体"/>
          <w:szCs w:val="21"/>
        </w:rPr>
        <w:t>碳酸</w:t>
      </w:r>
      <w:r>
        <w:rPr>
          <w:rFonts w:ascii="宋体" w:cs="宋体" w:hint="eastAsia"/>
          <w:szCs w:val="21"/>
        </w:rPr>
        <w:t>盐沉淀工艺生产</w:t>
      </w:r>
      <w:r>
        <w:rPr>
          <w:rFonts w:ascii="宋体" w:cs="宋体"/>
          <w:szCs w:val="21"/>
        </w:rPr>
        <w:t>的</w:t>
      </w:r>
      <w:r>
        <w:rPr>
          <w:rFonts w:ascii="宋体" w:cs="宋体" w:hint="eastAsia"/>
          <w:szCs w:val="21"/>
        </w:rPr>
        <w:t>离子型稀土矿混合稀土氧化物</w:t>
      </w:r>
      <w:r>
        <w:rPr>
          <w:rFonts w:ascii="宋体" w:cs="宋体"/>
          <w:szCs w:val="21"/>
        </w:rPr>
        <w:t>稀土总量</w:t>
      </w:r>
      <w:r>
        <w:rPr>
          <w:rFonts w:ascii="宋体" w:cs="宋体" w:hint="eastAsia"/>
          <w:szCs w:val="21"/>
        </w:rPr>
        <w:t>经常</w:t>
      </w:r>
      <w:r>
        <w:rPr>
          <w:rFonts w:ascii="宋体" w:cs="宋体"/>
          <w:szCs w:val="21"/>
        </w:rPr>
        <w:t>达不到</w:t>
      </w:r>
      <w:r>
        <w:rPr>
          <w:rFonts w:ascii="宋体" w:cs="宋体" w:hint="eastAsia"/>
          <w:szCs w:val="21"/>
        </w:rPr>
        <w:t>92</w:t>
      </w:r>
      <w:r>
        <w:rPr>
          <w:rFonts w:ascii="宋体" w:cs="宋体"/>
          <w:szCs w:val="21"/>
        </w:rPr>
        <w:t>%，为了考察方法的适用性，试验采用减少进样量的方式，评估不同稀土总量对测定的影响</w:t>
      </w:r>
      <w:r>
        <w:rPr>
          <w:rFonts w:ascii="宋体" w:cs="宋体" w:hint="eastAsia"/>
          <w:szCs w:val="21"/>
        </w:rPr>
        <w:t>。具体</w:t>
      </w:r>
      <w:r>
        <w:rPr>
          <w:rFonts w:ascii="宋体" w:cs="宋体"/>
          <w:szCs w:val="21"/>
        </w:rPr>
        <w:t>试验如下</w:t>
      </w:r>
      <w:r>
        <w:rPr>
          <w:rFonts w:ascii="宋体" w:cs="宋体" w:hint="eastAsia"/>
          <w:szCs w:val="21"/>
        </w:rPr>
        <w:t>：</w:t>
      </w:r>
    </w:p>
    <w:p>
      <w:pPr>
        <w:autoSpaceDE w:val="0"/>
        <w:autoSpaceDN w:val="0"/>
        <w:adjustRightInd w:val="0"/>
        <w:ind w:firstLineChars="200" w:firstLine="420"/>
        <w:rPr>
          <w:rFonts w:ascii="宋体" w:cs="宋体"/>
          <w:bCs/>
          <w:sz w:val="24"/>
          <w:lang w:val="zh-CN"/>
        </w:rPr>
      </w:pPr>
      <w:r>
        <w:rPr>
          <w:rFonts w:ascii="宋体" w:cs="宋体" w:hint="eastAsia"/>
          <w:szCs w:val="21"/>
        </w:rPr>
        <w:t>经过</w:t>
      </w:r>
      <w:r>
        <w:rPr>
          <w:rFonts w:ascii="宋体" w:cs="宋体"/>
          <w:szCs w:val="21"/>
        </w:rPr>
        <w:t>多家实验室按照</w:t>
      </w:r>
      <w:r>
        <w:rPr>
          <w:rFonts w:ascii="宋体" w:cs="宋体" w:hint="eastAsia"/>
          <w:szCs w:val="21"/>
        </w:rPr>
        <w:t xml:space="preserve">GB/T </w:t>
      </w:r>
      <w:r>
        <w:rPr>
          <w:rFonts w:ascii="宋体" w:cs="宋体"/>
          <w:szCs w:val="21"/>
        </w:rPr>
        <w:t>14635</w:t>
      </w:r>
      <w:r>
        <w:rPr>
          <w:rFonts w:ascii="宋体" w:cs="宋体" w:hint="eastAsia"/>
          <w:szCs w:val="21"/>
        </w:rPr>
        <w:t>-20</w:t>
      </w:r>
      <w:r>
        <w:rPr>
          <w:rFonts w:ascii="宋体" w:cs="宋体"/>
          <w:szCs w:val="21"/>
        </w:rPr>
        <w:t>20</w:t>
      </w:r>
      <w:r>
        <w:rPr>
          <w:rFonts w:ascii="宋体" w:cs="宋体" w:hint="eastAsia"/>
          <w:szCs w:val="21"/>
        </w:rPr>
        <w:t>对</w:t>
      </w:r>
      <w:r>
        <w:rPr>
          <w:rFonts w:ascii="宋体" w:cs="宋体"/>
          <w:szCs w:val="21"/>
        </w:rPr>
        <w:t>统一样</w:t>
      </w:r>
      <w:r>
        <w:rPr>
          <w:rFonts w:ascii="宋体" w:cs="宋体" w:hint="eastAsia"/>
          <w:szCs w:val="21"/>
        </w:rPr>
        <w:t>1</w:t>
      </w:r>
      <w:r>
        <w:rPr>
          <w:rFonts w:ascii="宋体" w:cs="宋体"/>
          <w:szCs w:val="21"/>
        </w:rPr>
        <w:t>#和</w:t>
      </w:r>
      <w:r>
        <w:rPr>
          <w:rFonts w:ascii="宋体" w:cs="宋体" w:hint="eastAsia"/>
          <w:szCs w:val="21"/>
        </w:rPr>
        <w:t>2</w:t>
      </w:r>
      <w:r>
        <w:rPr>
          <w:rFonts w:ascii="宋体" w:cs="宋体"/>
          <w:szCs w:val="21"/>
        </w:rPr>
        <w:t>#进行了灼烧总量的测定，分别为</w:t>
      </w:r>
      <w:r>
        <w:rPr>
          <w:rFonts w:ascii="宋体" w:cs="宋体" w:hint="eastAsia"/>
          <w:szCs w:val="21"/>
        </w:rPr>
        <w:t>95.12</w:t>
      </w:r>
      <w:r>
        <w:rPr>
          <w:rFonts w:ascii="宋体" w:cs="宋体"/>
          <w:szCs w:val="21"/>
        </w:rPr>
        <w:t>%和</w:t>
      </w:r>
      <w:r>
        <w:rPr>
          <w:rFonts w:ascii="宋体" w:cs="宋体" w:hint="eastAsia"/>
          <w:szCs w:val="21"/>
        </w:rPr>
        <w:t>94.6</w:t>
      </w:r>
      <w:r>
        <w:rPr>
          <w:rFonts w:ascii="宋体" w:cs="宋体"/>
          <w:szCs w:val="21"/>
        </w:rPr>
        <w:t>0%，分别称取</w:t>
      </w:r>
      <w:r>
        <w:rPr>
          <w:rFonts w:ascii="宋体" w:cs="宋体" w:hint="eastAsia"/>
          <w:szCs w:val="21"/>
        </w:rPr>
        <w:t>经950℃灼烧l</w:t>
      </w:r>
      <w:r>
        <w:rPr>
          <w:rFonts w:ascii="等线" w:eastAsia="等线" w:cs="宋体"/>
          <w:szCs w:val="21"/>
        </w:rPr>
        <w:t xml:space="preserve"> </w:t>
      </w:r>
      <w:r>
        <w:rPr>
          <w:rFonts w:ascii="宋体" w:cs="宋体" w:hint="eastAsia"/>
          <w:szCs w:val="21"/>
        </w:rPr>
        <w:t>h后在干燥器中冷却至室温的</w:t>
      </w:r>
      <w:r>
        <w:rPr>
          <w:rFonts w:ascii="宋体" w:cs="宋体"/>
          <w:szCs w:val="21"/>
        </w:rPr>
        <w:t>统一样</w:t>
      </w:r>
      <w:r>
        <w:rPr>
          <w:rFonts w:ascii="宋体" w:cs="宋体" w:hint="eastAsia"/>
          <w:szCs w:val="21"/>
        </w:rPr>
        <w:t>1</w:t>
      </w:r>
      <w:r>
        <w:rPr>
          <w:rFonts w:ascii="宋体" w:cs="宋体"/>
          <w:szCs w:val="21"/>
        </w:rPr>
        <w:t>#和</w:t>
      </w:r>
      <w:r>
        <w:rPr>
          <w:rFonts w:ascii="宋体" w:cs="宋体" w:hint="eastAsia"/>
          <w:szCs w:val="21"/>
        </w:rPr>
        <w:t>2</w:t>
      </w:r>
      <w:r>
        <w:rPr>
          <w:rFonts w:ascii="宋体" w:cs="宋体"/>
          <w:szCs w:val="21"/>
        </w:rPr>
        <w:t>#</w:t>
      </w:r>
      <w:r>
        <w:rPr>
          <w:rFonts w:ascii="宋体" w:cs="宋体" w:hint="eastAsia"/>
          <w:szCs w:val="21"/>
        </w:rPr>
        <w:t>，</w:t>
      </w:r>
      <w:r>
        <w:rPr>
          <w:rFonts w:ascii="宋体" w:cs="宋体"/>
          <w:szCs w:val="21"/>
        </w:rPr>
        <w:t>称取量相当于氧化稀土质量为</w:t>
      </w:r>
      <w:r>
        <w:rPr>
          <w:rFonts w:ascii="宋体" w:cs="宋体" w:hint="eastAsia"/>
          <w:szCs w:val="21"/>
        </w:rPr>
        <w:t>100</w:t>
      </w:r>
      <w:r>
        <w:rPr>
          <w:rFonts w:ascii="宋体" w:cs="宋体"/>
          <w:szCs w:val="21"/>
        </w:rPr>
        <w:t>mg、95mg</w:t>
      </w:r>
      <w:r>
        <w:rPr>
          <w:rFonts w:ascii="宋体" w:cs="宋体" w:hint="eastAsia"/>
          <w:szCs w:val="21"/>
        </w:rPr>
        <w:t>、</w:t>
      </w:r>
      <w:r>
        <w:rPr>
          <w:rFonts w:ascii="宋体" w:cs="宋体"/>
          <w:szCs w:val="21"/>
        </w:rPr>
        <w:t>90mg</w:t>
      </w:r>
      <w:r>
        <w:rPr>
          <w:rFonts w:ascii="宋体" w:cs="宋体" w:hint="eastAsia"/>
          <w:szCs w:val="21"/>
        </w:rPr>
        <w:t>、</w:t>
      </w:r>
      <w:r>
        <w:rPr>
          <w:rFonts w:ascii="宋体" w:cs="宋体"/>
          <w:szCs w:val="21"/>
        </w:rPr>
        <w:t>85mg</w:t>
      </w:r>
      <w:r>
        <w:rPr>
          <w:rFonts w:ascii="宋体" w:cs="宋体" w:hint="eastAsia"/>
          <w:szCs w:val="21"/>
        </w:rPr>
        <w:t>和80</w:t>
      </w:r>
      <w:r>
        <w:rPr>
          <w:rFonts w:ascii="宋体" w:cs="宋体"/>
          <w:szCs w:val="21"/>
        </w:rPr>
        <w:t>mg</w:t>
      </w:r>
      <w:r>
        <w:rPr>
          <w:rFonts w:ascii="宋体" w:cs="宋体" w:hint="eastAsia"/>
          <w:szCs w:val="21"/>
        </w:rPr>
        <w:t>，按照</w:t>
      </w:r>
      <w:r>
        <w:rPr>
          <w:rFonts w:ascii="宋体" w:cs="宋体"/>
          <w:szCs w:val="21"/>
        </w:rPr>
        <w:t>试验步骤进行测定，测定结果见表5</w:t>
      </w:r>
      <w:r>
        <w:rPr>
          <w:rFonts w:ascii="宋体" w:cs="宋体" w:hint="eastAsia"/>
          <w:szCs w:val="21"/>
        </w:rPr>
        <w:t>，由</w:t>
      </w:r>
      <w:r>
        <w:rPr>
          <w:rFonts w:ascii="宋体" w:cs="宋体"/>
          <w:szCs w:val="21"/>
        </w:rPr>
        <w:t>表5</w:t>
      </w:r>
      <w:r>
        <w:rPr>
          <w:rFonts w:ascii="宋体" w:cs="宋体" w:hint="eastAsia"/>
          <w:szCs w:val="21"/>
        </w:rPr>
        <w:t>可见</w:t>
      </w:r>
      <w:r>
        <w:rPr>
          <w:rFonts w:ascii="宋体" w:cs="宋体"/>
          <w:szCs w:val="21"/>
        </w:rPr>
        <w:t>，</w:t>
      </w:r>
      <w:r>
        <w:rPr>
          <w:rFonts w:ascii="宋体" w:cs="宋体" w:hint="eastAsia"/>
          <w:szCs w:val="21"/>
        </w:rPr>
        <w:t>不同</w:t>
      </w:r>
      <w:r>
        <w:rPr>
          <w:rFonts w:ascii="宋体" w:cs="宋体"/>
          <w:szCs w:val="21"/>
        </w:rPr>
        <w:t>质量的测量结果最大极差</w:t>
      </w:r>
      <w:r>
        <w:rPr>
          <w:rFonts w:ascii="宋体" w:cs="宋体" w:hint="eastAsia"/>
          <w:szCs w:val="21"/>
        </w:rPr>
        <w:t>均小于</w:t>
      </w:r>
      <w:r>
        <w:rPr>
          <w:rFonts w:ascii="宋体" w:cs="宋体"/>
          <w:szCs w:val="21"/>
        </w:rPr>
        <w:t>原标准允许</w:t>
      </w:r>
      <w:r>
        <w:rPr>
          <w:rFonts w:ascii="宋体" w:cs="宋体" w:hint="eastAsia"/>
          <w:szCs w:val="21"/>
        </w:rPr>
        <w:t>差</w:t>
      </w:r>
      <w:r>
        <w:rPr>
          <w:rFonts w:ascii="宋体" w:cs="宋体"/>
          <w:szCs w:val="21"/>
        </w:rPr>
        <w:t>，</w:t>
      </w:r>
      <w:r>
        <w:rPr>
          <w:rFonts w:ascii="宋体" w:cs="宋体" w:hint="eastAsia"/>
          <w:szCs w:val="21"/>
        </w:rPr>
        <w:t>试验</w:t>
      </w:r>
      <w:r>
        <w:rPr>
          <w:rFonts w:ascii="宋体" w:cs="宋体"/>
          <w:szCs w:val="21"/>
        </w:rPr>
        <w:t>能满足</w:t>
      </w:r>
      <w:r>
        <w:rPr>
          <w:rFonts w:ascii="宋体" w:cs="宋体" w:hint="eastAsia"/>
          <w:szCs w:val="21"/>
        </w:rPr>
        <w:t>稀土</w:t>
      </w:r>
      <w:r>
        <w:rPr>
          <w:rFonts w:ascii="宋体" w:cs="宋体"/>
          <w:szCs w:val="21"/>
        </w:rPr>
        <w:t>总量</w:t>
      </w:r>
      <w:r>
        <w:rPr>
          <w:rFonts w:ascii="宋体" w:cs="宋体" w:hint="eastAsia"/>
          <w:szCs w:val="21"/>
        </w:rPr>
        <w:t>大于80</w:t>
      </w:r>
      <w:r>
        <w:rPr>
          <w:rFonts w:ascii="宋体" w:cs="宋体"/>
          <w:szCs w:val="21"/>
        </w:rPr>
        <w:t>%的样品测定</w:t>
      </w:r>
      <w:r>
        <w:rPr>
          <w:rFonts w:ascii="宋体" w:cs="宋体" w:hint="eastAsia"/>
          <w:bCs/>
          <w:sz w:val="24"/>
          <w:lang w:val="zh-CN"/>
        </w:rPr>
        <w:t>。</w:t>
      </w:r>
    </w:p>
    <w:p>
      <w:pPr>
        <w:pStyle w:val="112"/>
        <w:tabs>
          <w:tab w:val="clear" w:pos="675"/>
        </w:tabs>
        <w:spacing w:beforeLines="50" w:before="156" w:afterLines="50" w:after="156"/>
        <w:jc w:val="left"/>
        <w:rPr>
          <w:rFonts w:ascii="宋体" w:eastAsia="宋体" w:cs="宋体"/>
          <w:b/>
          <w:szCs w:val="22"/>
        </w:rPr>
      </w:pPr>
      <w:r>
        <w:rPr>
          <w:rFonts w:ascii="宋体" w:eastAsia="宋体" w:cs="宋体" w:hint="eastAsia"/>
          <w:b/>
          <w:szCs w:val="22"/>
        </w:rPr>
        <w:t>1.</w:t>
      </w:r>
      <w:r>
        <w:rPr>
          <w:rFonts w:ascii="宋体" w:eastAsia="宋体" w:cs="宋体"/>
          <w:b/>
          <w:szCs w:val="22"/>
        </w:rPr>
        <w:t>7</w:t>
      </w:r>
      <w:r>
        <w:rPr>
          <w:rFonts w:ascii="宋体" w:eastAsia="宋体" w:cs="宋体" w:hint="eastAsia"/>
          <w:b/>
          <w:szCs w:val="22"/>
        </w:rPr>
        <w:t>、检测下限</w:t>
      </w:r>
      <w:r>
        <w:rPr>
          <w:rFonts w:ascii="宋体" w:eastAsia="宋体" w:cs="宋体"/>
          <w:b/>
          <w:szCs w:val="22"/>
        </w:rPr>
        <w:t>和测定范围</w:t>
      </w:r>
      <w:r>
        <w:rPr>
          <w:rFonts w:ascii="宋体" w:eastAsia="宋体" w:cs="宋体" w:hint="eastAsia"/>
          <w:b/>
          <w:szCs w:val="22"/>
        </w:rPr>
        <w:t>试验验证</w:t>
      </w:r>
    </w:p>
    <w:p>
      <w:pPr>
        <w:adjustRightInd w:val="0"/>
        <w:snapToGrid w:val="0"/>
        <w:ind w:firstLineChars="200" w:firstLine="420"/>
        <w:rPr>
          <w:rFonts w:ascii="宋体" w:cs="宋体"/>
          <w:szCs w:val="21"/>
        </w:rPr>
      </w:pPr>
      <w:r>
        <w:rPr>
          <w:rFonts w:ascii="宋体" w:cs="宋体" w:hint="eastAsia"/>
          <w:szCs w:val="21"/>
        </w:rPr>
        <w:t>原</w:t>
      </w:r>
      <w:r>
        <w:rPr>
          <w:rFonts w:ascii="宋体" w:cs="宋体"/>
          <w:szCs w:val="21"/>
        </w:rPr>
        <w:t>标准</w:t>
      </w:r>
      <w:r>
        <w:rPr>
          <w:rFonts w:ascii="宋体" w:cs="宋体" w:hint="eastAsia"/>
          <w:szCs w:val="21"/>
        </w:rPr>
        <w:t>规定的</w:t>
      </w:r>
      <w:r>
        <w:rPr>
          <w:rFonts w:ascii="宋体" w:cs="宋体"/>
          <w:szCs w:val="21"/>
        </w:rPr>
        <w:t>检测范围</w:t>
      </w:r>
      <w:r>
        <w:rPr>
          <w:rFonts w:ascii="宋体" w:cs="宋体" w:hint="eastAsia"/>
          <w:szCs w:val="21"/>
        </w:rPr>
        <w:t>0.20</w:t>
      </w:r>
      <w:r>
        <w:rPr>
          <w:rFonts w:ascii="宋体" w:cs="宋体"/>
          <w:szCs w:val="21"/>
        </w:rPr>
        <w:t>%～</w:t>
      </w:r>
      <w:r>
        <w:rPr>
          <w:rFonts w:ascii="宋体" w:cs="宋体" w:hint="eastAsia"/>
          <w:szCs w:val="21"/>
        </w:rPr>
        <w:t>99.00%，随着</w:t>
      </w:r>
      <w:r>
        <w:rPr>
          <w:rFonts w:ascii="宋体" w:cs="宋体"/>
          <w:szCs w:val="21"/>
        </w:rPr>
        <w:t>近些年</w:t>
      </w:r>
      <w:r>
        <w:rPr>
          <w:rFonts w:ascii="宋体" w:cs="宋体" w:hint="eastAsia"/>
          <w:szCs w:val="21"/>
        </w:rPr>
        <w:t>离子型</w:t>
      </w:r>
      <w:r>
        <w:rPr>
          <w:rFonts w:ascii="宋体" w:cs="宋体"/>
          <w:szCs w:val="21"/>
        </w:rPr>
        <w:t>稀土矿开采产地的增多，广西矿、云南矿、东南亚矿</w:t>
      </w:r>
      <w:r>
        <w:rPr>
          <w:rFonts w:ascii="宋体" w:cs="宋体" w:hint="eastAsia"/>
          <w:szCs w:val="21"/>
        </w:rPr>
        <w:t>中氧化</w:t>
      </w:r>
      <w:r>
        <w:rPr>
          <w:rFonts w:ascii="宋体" w:cs="宋体"/>
          <w:szCs w:val="21"/>
        </w:rPr>
        <w:t>铕、</w:t>
      </w:r>
      <w:r>
        <w:rPr>
          <w:rFonts w:ascii="宋体" w:cs="宋体" w:hint="eastAsia"/>
          <w:szCs w:val="21"/>
        </w:rPr>
        <w:t>氧化</w:t>
      </w:r>
      <w:r>
        <w:rPr>
          <w:rFonts w:ascii="宋体" w:cs="宋体"/>
          <w:szCs w:val="21"/>
        </w:rPr>
        <w:t>钬、</w:t>
      </w:r>
      <w:r>
        <w:rPr>
          <w:rFonts w:ascii="宋体" w:cs="宋体" w:hint="eastAsia"/>
          <w:szCs w:val="21"/>
        </w:rPr>
        <w:t>氧化铽</w:t>
      </w:r>
      <w:r>
        <w:rPr>
          <w:rFonts w:ascii="宋体" w:cs="宋体"/>
          <w:szCs w:val="21"/>
        </w:rPr>
        <w:t>、</w:t>
      </w:r>
      <w:r>
        <w:rPr>
          <w:rFonts w:ascii="宋体" w:cs="宋体" w:hint="eastAsia"/>
          <w:szCs w:val="21"/>
        </w:rPr>
        <w:t>氧化</w:t>
      </w:r>
      <w:r>
        <w:rPr>
          <w:rFonts w:ascii="宋体" w:cs="宋体"/>
          <w:szCs w:val="21"/>
        </w:rPr>
        <w:t>铥</w:t>
      </w:r>
      <w:r>
        <w:rPr>
          <w:rFonts w:ascii="宋体" w:cs="宋体" w:hint="eastAsia"/>
          <w:szCs w:val="21"/>
        </w:rPr>
        <w:t>、氧化</w:t>
      </w:r>
      <w:r>
        <w:rPr>
          <w:rFonts w:ascii="宋体" w:cs="宋体"/>
          <w:szCs w:val="21"/>
        </w:rPr>
        <w:t>镥中</w:t>
      </w:r>
      <w:r>
        <w:rPr>
          <w:rFonts w:ascii="宋体" w:cs="宋体" w:hint="eastAsia"/>
          <w:szCs w:val="21"/>
        </w:rPr>
        <w:t>存在</w:t>
      </w:r>
      <w:r>
        <w:rPr>
          <w:rFonts w:ascii="宋体" w:cs="宋体"/>
          <w:szCs w:val="21"/>
        </w:rPr>
        <w:t>低于</w:t>
      </w:r>
      <w:r>
        <w:rPr>
          <w:rFonts w:ascii="宋体" w:cs="宋体" w:hint="eastAsia"/>
          <w:szCs w:val="21"/>
        </w:rPr>
        <w:t>0.2</w:t>
      </w:r>
      <w:r>
        <w:rPr>
          <w:rFonts w:ascii="宋体" w:cs="宋体"/>
          <w:szCs w:val="21"/>
        </w:rPr>
        <w:t>%</w:t>
      </w:r>
      <w:r>
        <w:rPr>
          <w:rFonts w:ascii="宋体" w:cs="宋体" w:hint="eastAsia"/>
          <w:szCs w:val="21"/>
        </w:rPr>
        <w:t>的情况</w:t>
      </w:r>
      <w:r>
        <w:rPr>
          <w:rFonts w:ascii="宋体" w:cs="宋体"/>
          <w:szCs w:val="21"/>
        </w:rPr>
        <w:t>，</w:t>
      </w:r>
      <w:r>
        <w:rPr>
          <w:rFonts w:ascii="宋体" w:cs="宋体" w:hint="eastAsia"/>
          <w:szCs w:val="21"/>
        </w:rPr>
        <w:t>由于</w:t>
      </w:r>
      <w:r>
        <w:rPr>
          <w:rFonts w:ascii="宋体" w:cs="宋体"/>
          <w:szCs w:val="21"/>
        </w:rPr>
        <w:t>稀土价值的提升，</w:t>
      </w:r>
      <w:r>
        <w:rPr>
          <w:rFonts w:ascii="宋体" w:cs="宋体" w:hint="eastAsia"/>
          <w:szCs w:val="21"/>
        </w:rPr>
        <w:t>原方法的</w:t>
      </w:r>
      <w:r>
        <w:rPr>
          <w:rFonts w:ascii="宋体" w:cs="宋体"/>
          <w:szCs w:val="21"/>
        </w:rPr>
        <w:t>测定下限不能满足</w:t>
      </w:r>
      <w:r>
        <w:rPr>
          <w:rFonts w:ascii="宋体" w:cs="宋体" w:hint="eastAsia"/>
          <w:szCs w:val="21"/>
        </w:rPr>
        <w:t>上述</w:t>
      </w:r>
      <w:r>
        <w:rPr>
          <w:rFonts w:ascii="宋体" w:cs="宋体"/>
          <w:szCs w:val="21"/>
        </w:rPr>
        <w:t>产品</w:t>
      </w:r>
      <w:r>
        <w:rPr>
          <w:rFonts w:ascii="宋体" w:cs="宋体" w:hint="eastAsia"/>
          <w:szCs w:val="21"/>
        </w:rPr>
        <w:t>交易</w:t>
      </w:r>
      <w:r>
        <w:rPr>
          <w:rFonts w:ascii="宋体" w:cs="宋体"/>
          <w:szCs w:val="21"/>
        </w:rPr>
        <w:t>要求。</w:t>
      </w:r>
      <w:r>
        <w:rPr>
          <w:rFonts w:ascii="宋体" w:cs="宋体" w:hint="eastAsia"/>
          <w:szCs w:val="21"/>
        </w:rPr>
        <w:t>试验</w:t>
      </w:r>
      <w:r>
        <w:rPr>
          <w:rFonts w:ascii="宋体" w:cs="宋体"/>
          <w:szCs w:val="21"/>
        </w:rPr>
        <w:t>采用更为接近样品的标准工作曲线，</w:t>
      </w:r>
      <w:r>
        <w:rPr>
          <w:rFonts w:ascii="宋体" w:cs="宋体" w:hint="eastAsia"/>
          <w:szCs w:val="21"/>
        </w:rPr>
        <w:t>能降低</w:t>
      </w:r>
      <w:r>
        <w:rPr>
          <w:rFonts w:ascii="宋体" w:cs="宋体"/>
          <w:szCs w:val="21"/>
        </w:rPr>
        <w:t>检测下限。</w:t>
      </w:r>
      <w:r>
        <w:rPr>
          <w:rFonts w:ascii="宋体" w:cs="宋体" w:hint="eastAsia"/>
          <w:szCs w:val="21"/>
        </w:rPr>
        <w:t>试验采用</w:t>
      </w:r>
      <w:r>
        <w:rPr>
          <w:rFonts w:ascii="宋体" w:cs="宋体"/>
          <w:szCs w:val="21"/>
        </w:rPr>
        <w:t>以下方式考察了上述元素的检测下限：</w:t>
      </w:r>
      <w:r>
        <w:rPr>
          <w:rFonts w:ascii="宋体" w:cs="宋体" w:hint="eastAsia"/>
          <w:szCs w:val="21"/>
        </w:rPr>
        <w:t>试验</w:t>
      </w:r>
      <w:r>
        <w:rPr>
          <w:rFonts w:ascii="宋体" w:cs="宋体"/>
          <w:szCs w:val="21"/>
        </w:rPr>
        <w:t>称取</w:t>
      </w:r>
      <w:r>
        <w:rPr>
          <w:rFonts w:ascii="宋体" w:cs="宋体" w:hint="eastAsia"/>
          <w:szCs w:val="21"/>
        </w:rPr>
        <w:t>0.1</w:t>
      </w:r>
      <w:r>
        <w:rPr>
          <w:rFonts w:ascii="宋体" w:cs="宋体"/>
          <w:szCs w:val="21"/>
        </w:rPr>
        <w:t>25</w:t>
      </w:r>
      <w:r>
        <w:rPr>
          <w:rFonts w:ascii="宋体" w:cs="宋体" w:hint="eastAsia"/>
          <w:szCs w:val="21"/>
        </w:rPr>
        <w:t>0</w:t>
      </w:r>
      <w:r>
        <w:rPr>
          <w:rFonts w:ascii="宋体" w:cs="宋体"/>
          <w:szCs w:val="21"/>
        </w:rPr>
        <w:t>g</w:t>
      </w:r>
      <w:r>
        <w:rPr>
          <w:rFonts w:ascii="宋体" w:cs="宋体" w:hint="eastAsia"/>
          <w:szCs w:val="21"/>
        </w:rPr>
        <w:t>氧化</w:t>
      </w:r>
      <w:r>
        <w:rPr>
          <w:rFonts w:ascii="宋体" w:cs="宋体"/>
          <w:szCs w:val="21"/>
        </w:rPr>
        <w:t>钇、</w:t>
      </w:r>
      <w:r>
        <w:rPr>
          <w:rFonts w:ascii="宋体" w:cs="宋体" w:hint="eastAsia"/>
          <w:szCs w:val="21"/>
        </w:rPr>
        <w:t>0.1000</w:t>
      </w:r>
      <w:r>
        <w:rPr>
          <w:rFonts w:ascii="宋体" w:cs="宋体"/>
          <w:szCs w:val="21"/>
        </w:rPr>
        <w:t>g</w:t>
      </w:r>
      <w:r>
        <w:rPr>
          <w:rFonts w:ascii="宋体" w:cs="宋体" w:hint="eastAsia"/>
          <w:szCs w:val="21"/>
        </w:rPr>
        <w:t>氧化镧</w:t>
      </w:r>
      <w:r>
        <w:rPr>
          <w:rFonts w:ascii="宋体" w:cs="宋体"/>
          <w:szCs w:val="21"/>
        </w:rPr>
        <w:t>、</w:t>
      </w:r>
      <w:r>
        <w:rPr>
          <w:rFonts w:ascii="宋体" w:cs="宋体" w:hint="eastAsia"/>
          <w:szCs w:val="21"/>
        </w:rPr>
        <w:t>0.1000</w:t>
      </w:r>
      <w:r>
        <w:rPr>
          <w:rFonts w:ascii="宋体" w:cs="宋体"/>
          <w:szCs w:val="21"/>
        </w:rPr>
        <w:t>g氧化钕、</w:t>
      </w:r>
      <w:r>
        <w:rPr>
          <w:rFonts w:ascii="宋体" w:cs="宋体" w:hint="eastAsia"/>
          <w:szCs w:val="21"/>
        </w:rPr>
        <w:t>0.025g氧化铈、0.025</w:t>
      </w:r>
      <w:r>
        <w:rPr>
          <w:rFonts w:ascii="宋体" w:cs="宋体"/>
          <w:szCs w:val="21"/>
        </w:rPr>
        <w:t>g氧化镨、</w:t>
      </w:r>
      <w:r>
        <w:rPr>
          <w:rFonts w:ascii="宋体" w:cs="宋体" w:hint="eastAsia"/>
          <w:szCs w:val="21"/>
        </w:rPr>
        <w:t>0.025</w:t>
      </w:r>
      <w:r>
        <w:rPr>
          <w:rFonts w:ascii="宋体" w:cs="宋体"/>
          <w:szCs w:val="21"/>
        </w:rPr>
        <w:t>g氧化</w:t>
      </w:r>
      <w:r>
        <w:rPr>
          <w:rFonts w:ascii="宋体" w:cs="宋体" w:hint="eastAsia"/>
          <w:szCs w:val="21"/>
        </w:rPr>
        <w:t>钐</w:t>
      </w:r>
      <w:r>
        <w:rPr>
          <w:rFonts w:ascii="宋体" w:cs="宋体"/>
          <w:szCs w:val="21"/>
        </w:rPr>
        <w:t>、</w:t>
      </w:r>
      <w:r>
        <w:rPr>
          <w:rFonts w:ascii="宋体" w:cs="宋体" w:hint="eastAsia"/>
          <w:szCs w:val="21"/>
        </w:rPr>
        <w:t>0.025g氧化钆、0.025g氧化镝、0.025</w:t>
      </w:r>
      <w:r>
        <w:rPr>
          <w:rFonts w:ascii="宋体" w:cs="宋体"/>
          <w:szCs w:val="21"/>
        </w:rPr>
        <w:t>g氧化</w:t>
      </w:r>
      <w:r>
        <w:rPr>
          <w:rFonts w:ascii="宋体" w:cs="宋体" w:hint="eastAsia"/>
          <w:szCs w:val="21"/>
        </w:rPr>
        <w:t>铒</w:t>
      </w:r>
      <w:r>
        <w:rPr>
          <w:rFonts w:ascii="宋体" w:cs="宋体"/>
          <w:szCs w:val="21"/>
        </w:rPr>
        <w:t>、</w:t>
      </w:r>
      <w:r>
        <w:rPr>
          <w:rFonts w:ascii="宋体" w:cs="宋体" w:hint="eastAsia"/>
          <w:szCs w:val="21"/>
        </w:rPr>
        <w:t>0.025g氧化镱（稀土</w:t>
      </w:r>
      <w:r>
        <w:rPr>
          <w:rFonts w:ascii="宋体" w:cs="宋体"/>
          <w:szCs w:val="21"/>
        </w:rPr>
        <w:t>总质量</w:t>
      </w:r>
      <w:r>
        <w:rPr>
          <w:rFonts w:ascii="宋体" w:cs="宋体" w:hint="eastAsia"/>
          <w:szCs w:val="21"/>
        </w:rPr>
        <w:t>0.5000</w:t>
      </w:r>
      <w:r>
        <w:rPr>
          <w:rFonts w:ascii="宋体" w:cs="宋体"/>
          <w:szCs w:val="21"/>
        </w:rPr>
        <w:t>g）</w:t>
      </w:r>
      <w:r>
        <w:rPr>
          <w:rFonts w:ascii="宋体" w:cs="宋体" w:hint="eastAsia"/>
          <w:szCs w:val="21"/>
        </w:rPr>
        <w:t>于100</w:t>
      </w:r>
      <w:r>
        <w:rPr>
          <w:rFonts w:ascii="宋体" w:cs="宋体"/>
          <w:szCs w:val="21"/>
        </w:rPr>
        <w:t xml:space="preserve"> mL</w:t>
      </w:r>
      <w:r>
        <w:rPr>
          <w:rFonts w:ascii="宋体" w:cs="宋体" w:hint="eastAsia"/>
          <w:szCs w:val="21"/>
        </w:rPr>
        <w:t>烧杯</w:t>
      </w:r>
      <w:r>
        <w:rPr>
          <w:rFonts w:ascii="宋体" w:cs="宋体"/>
          <w:szCs w:val="21"/>
        </w:rPr>
        <w:t>中，用酸分解清亮后移入</w:t>
      </w:r>
      <w:r>
        <w:rPr>
          <w:rFonts w:ascii="宋体" w:cs="宋体" w:hint="eastAsia"/>
          <w:szCs w:val="21"/>
        </w:rPr>
        <w:t>50</w:t>
      </w:r>
      <w:r>
        <w:rPr>
          <w:rFonts w:ascii="宋体" w:cs="宋体"/>
          <w:szCs w:val="21"/>
        </w:rPr>
        <w:t xml:space="preserve"> mL</w:t>
      </w:r>
      <w:r>
        <w:rPr>
          <w:rFonts w:ascii="宋体" w:cs="宋体" w:hint="eastAsia"/>
          <w:szCs w:val="21"/>
        </w:rPr>
        <w:t>容量瓶</w:t>
      </w:r>
      <w:r>
        <w:rPr>
          <w:rFonts w:ascii="宋体" w:cs="宋体"/>
          <w:szCs w:val="21"/>
        </w:rPr>
        <w:t>中，</w:t>
      </w:r>
      <w:r>
        <w:rPr>
          <w:rFonts w:ascii="宋体" w:cs="宋体" w:hint="eastAsia"/>
          <w:szCs w:val="21"/>
        </w:rPr>
        <w:t>用</w:t>
      </w:r>
      <w:r>
        <w:rPr>
          <w:rFonts w:ascii="宋体" w:cs="宋体"/>
          <w:szCs w:val="21"/>
        </w:rPr>
        <w:t>水稀释至刻度，混匀。移取</w:t>
      </w:r>
      <w:r>
        <w:rPr>
          <w:rFonts w:ascii="宋体" w:cs="宋体" w:hint="eastAsia"/>
          <w:szCs w:val="21"/>
        </w:rPr>
        <w:t>10.00</w:t>
      </w:r>
      <w:r>
        <w:rPr>
          <w:rFonts w:ascii="宋体" w:cs="宋体"/>
          <w:szCs w:val="21"/>
        </w:rPr>
        <w:t xml:space="preserve"> mL</w:t>
      </w:r>
      <w:r>
        <w:rPr>
          <w:rFonts w:ascii="宋体" w:cs="宋体" w:hint="eastAsia"/>
          <w:szCs w:val="21"/>
        </w:rPr>
        <w:t>于100</w:t>
      </w:r>
      <w:r>
        <w:rPr>
          <w:rFonts w:ascii="宋体" w:cs="宋体"/>
          <w:szCs w:val="21"/>
        </w:rPr>
        <w:t xml:space="preserve"> mL</w:t>
      </w:r>
      <w:r>
        <w:rPr>
          <w:rFonts w:ascii="宋体" w:cs="宋体" w:hint="eastAsia"/>
          <w:szCs w:val="21"/>
        </w:rPr>
        <w:t>烧杯</w:t>
      </w:r>
      <w:r>
        <w:rPr>
          <w:rFonts w:ascii="宋体" w:cs="宋体"/>
          <w:szCs w:val="21"/>
        </w:rPr>
        <w:t>中，</w:t>
      </w:r>
      <w:r>
        <w:rPr>
          <w:rFonts w:ascii="宋体" w:cs="宋体" w:hint="eastAsia"/>
          <w:szCs w:val="21"/>
        </w:rPr>
        <w:t>以下按2.4.1.</w:t>
      </w:r>
      <w:r>
        <w:rPr>
          <w:rFonts w:ascii="宋体" w:cs="宋体"/>
          <w:szCs w:val="21"/>
        </w:rPr>
        <w:t>4</w:t>
      </w:r>
      <w:r>
        <w:rPr>
          <w:rFonts w:ascii="宋体" w:cs="宋体" w:hint="eastAsia"/>
          <w:szCs w:val="21"/>
        </w:rPr>
        <w:t>进行11次</w:t>
      </w:r>
      <w:r>
        <w:rPr>
          <w:rFonts w:ascii="宋体" w:cs="宋体"/>
          <w:szCs w:val="21"/>
        </w:rPr>
        <w:t>平行测定</w:t>
      </w:r>
      <w:r>
        <w:rPr>
          <w:rFonts w:ascii="宋体" w:cs="宋体" w:hint="eastAsia"/>
          <w:szCs w:val="21"/>
        </w:rPr>
        <w:t>。计算</w:t>
      </w:r>
      <w:r>
        <w:rPr>
          <w:rFonts w:ascii="宋体" w:cs="宋体"/>
          <w:szCs w:val="21"/>
        </w:rPr>
        <w:t>10</w:t>
      </w:r>
      <w:r>
        <w:rPr>
          <w:rFonts w:ascii="宋体" w:cs="宋体" w:hint="eastAsia"/>
          <w:szCs w:val="21"/>
        </w:rPr>
        <w:t>σ为</w:t>
      </w:r>
      <w:r>
        <w:rPr>
          <w:rFonts w:ascii="宋体" w:cs="宋体"/>
          <w:szCs w:val="21"/>
        </w:rPr>
        <w:t>方法测定下限。</w:t>
      </w:r>
      <w:r>
        <w:rPr>
          <w:rFonts w:ascii="宋体" w:cs="宋体" w:hint="eastAsia"/>
          <w:szCs w:val="21"/>
        </w:rPr>
        <w:t>氧化</w:t>
      </w:r>
      <w:r>
        <w:rPr>
          <w:rFonts w:ascii="宋体" w:cs="宋体"/>
          <w:szCs w:val="21"/>
        </w:rPr>
        <w:t>铕、</w:t>
      </w:r>
      <w:r>
        <w:rPr>
          <w:rFonts w:ascii="宋体" w:cs="宋体" w:hint="eastAsia"/>
          <w:szCs w:val="21"/>
        </w:rPr>
        <w:t>氧化</w:t>
      </w:r>
      <w:r>
        <w:rPr>
          <w:rFonts w:ascii="宋体" w:cs="宋体"/>
          <w:szCs w:val="21"/>
        </w:rPr>
        <w:t>钬、</w:t>
      </w:r>
      <w:r>
        <w:rPr>
          <w:rFonts w:ascii="宋体" w:cs="宋体" w:hint="eastAsia"/>
          <w:szCs w:val="21"/>
        </w:rPr>
        <w:t>氧化铽</w:t>
      </w:r>
      <w:r>
        <w:rPr>
          <w:rFonts w:ascii="宋体" w:cs="宋体"/>
          <w:szCs w:val="21"/>
        </w:rPr>
        <w:t>、</w:t>
      </w:r>
      <w:r>
        <w:rPr>
          <w:rFonts w:ascii="宋体" w:cs="宋体" w:hint="eastAsia"/>
          <w:szCs w:val="21"/>
        </w:rPr>
        <w:t>氧化</w:t>
      </w:r>
      <w:r>
        <w:rPr>
          <w:rFonts w:ascii="宋体" w:cs="宋体"/>
          <w:szCs w:val="21"/>
        </w:rPr>
        <w:t>铥</w:t>
      </w:r>
      <w:r>
        <w:rPr>
          <w:rFonts w:ascii="宋体" w:cs="宋体" w:hint="eastAsia"/>
          <w:szCs w:val="21"/>
        </w:rPr>
        <w:t>、氧化</w:t>
      </w:r>
      <w:r>
        <w:rPr>
          <w:rFonts w:ascii="宋体" w:cs="宋体"/>
          <w:szCs w:val="21"/>
        </w:rPr>
        <w:t>镥</w:t>
      </w:r>
      <w:r>
        <w:rPr>
          <w:rFonts w:ascii="宋体" w:cs="宋体" w:hint="eastAsia"/>
          <w:szCs w:val="21"/>
        </w:rPr>
        <w:t>测定</w:t>
      </w:r>
      <w:r>
        <w:rPr>
          <w:rFonts w:ascii="宋体" w:cs="宋体"/>
          <w:szCs w:val="21"/>
        </w:rPr>
        <w:t>下限试验见表6</w:t>
      </w:r>
      <w:r>
        <w:rPr>
          <w:rFonts w:ascii="宋体" w:cs="宋体" w:hint="eastAsia"/>
          <w:szCs w:val="21"/>
        </w:rPr>
        <w:t>。由</w:t>
      </w:r>
      <w:r>
        <w:rPr>
          <w:rFonts w:ascii="宋体" w:cs="宋体"/>
          <w:szCs w:val="21"/>
        </w:rPr>
        <w:t>表6</w:t>
      </w:r>
      <w:r>
        <w:rPr>
          <w:rFonts w:ascii="宋体" w:cs="宋体" w:hint="eastAsia"/>
          <w:szCs w:val="21"/>
        </w:rPr>
        <w:t>可见</w:t>
      </w:r>
      <w:r>
        <w:rPr>
          <w:rFonts w:ascii="宋体" w:cs="宋体"/>
          <w:szCs w:val="21"/>
        </w:rPr>
        <w:t>，</w:t>
      </w:r>
      <w:r>
        <w:rPr>
          <w:rFonts w:ascii="宋体" w:cs="宋体" w:hint="eastAsia"/>
          <w:szCs w:val="21"/>
        </w:rPr>
        <w:t>氧化</w:t>
      </w:r>
      <w:r>
        <w:rPr>
          <w:rFonts w:ascii="宋体" w:cs="宋体"/>
          <w:szCs w:val="21"/>
        </w:rPr>
        <w:t>铕、</w:t>
      </w:r>
      <w:r>
        <w:rPr>
          <w:rFonts w:ascii="宋体" w:cs="宋体" w:hint="eastAsia"/>
          <w:szCs w:val="21"/>
        </w:rPr>
        <w:t>氧化</w:t>
      </w:r>
      <w:r>
        <w:rPr>
          <w:rFonts w:ascii="宋体" w:cs="宋体"/>
          <w:szCs w:val="21"/>
        </w:rPr>
        <w:t>钬、</w:t>
      </w:r>
      <w:r>
        <w:rPr>
          <w:rFonts w:ascii="宋体" w:cs="宋体" w:hint="eastAsia"/>
          <w:szCs w:val="21"/>
        </w:rPr>
        <w:t>氧化铽</w:t>
      </w:r>
      <w:r>
        <w:rPr>
          <w:rFonts w:ascii="宋体" w:cs="宋体"/>
          <w:szCs w:val="21"/>
        </w:rPr>
        <w:t>、</w:t>
      </w:r>
      <w:r>
        <w:rPr>
          <w:rFonts w:ascii="宋体" w:cs="宋体" w:hint="eastAsia"/>
          <w:szCs w:val="21"/>
        </w:rPr>
        <w:t>氧化</w:t>
      </w:r>
      <w:r>
        <w:rPr>
          <w:rFonts w:ascii="宋体" w:cs="宋体"/>
          <w:szCs w:val="21"/>
        </w:rPr>
        <w:t>铥</w:t>
      </w:r>
      <w:r>
        <w:rPr>
          <w:rFonts w:ascii="宋体" w:cs="宋体" w:hint="eastAsia"/>
          <w:szCs w:val="21"/>
        </w:rPr>
        <w:t>、氧化</w:t>
      </w:r>
      <w:r>
        <w:rPr>
          <w:rFonts w:ascii="宋体" w:cs="宋体"/>
          <w:szCs w:val="21"/>
        </w:rPr>
        <w:t>镥</w:t>
      </w:r>
      <w:r>
        <w:rPr>
          <w:rFonts w:ascii="宋体" w:cs="宋体" w:hint="eastAsia"/>
          <w:szCs w:val="21"/>
        </w:rPr>
        <w:t>测定</w:t>
      </w:r>
      <w:r>
        <w:rPr>
          <w:rFonts w:ascii="宋体" w:cs="宋体"/>
          <w:szCs w:val="21"/>
        </w:rPr>
        <w:t>下限均优于原方法，能满足</w:t>
      </w:r>
      <w:r>
        <w:rPr>
          <w:rFonts w:ascii="宋体" w:cs="宋体" w:hint="eastAsia"/>
          <w:szCs w:val="21"/>
        </w:rPr>
        <w:t>产品交易要求。</w:t>
      </w:r>
      <w:r>
        <w:rPr>
          <w:rFonts w:ascii="宋体" w:cs="宋体"/>
          <w:szCs w:val="21"/>
        </w:rPr>
        <w:t>另外</w:t>
      </w:r>
      <w:r>
        <w:rPr>
          <w:rFonts w:ascii="宋体" w:cs="宋体" w:hint="eastAsia"/>
          <w:szCs w:val="21"/>
        </w:rPr>
        <w:t>原</w:t>
      </w:r>
      <w:r>
        <w:rPr>
          <w:rFonts w:ascii="宋体" w:cs="宋体"/>
          <w:szCs w:val="21"/>
        </w:rPr>
        <w:t>方法测定上限</w:t>
      </w:r>
      <w:r>
        <w:rPr>
          <w:rFonts w:ascii="宋体" w:cs="宋体" w:hint="eastAsia"/>
          <w:szCs w:val="21"/>
        </w:rPr>
        <w:t>99</w:t>
      </w:r>
      <w:r>
        <w:rPr>
          <w:rFonts w:ascii="宋体" w:cs="宋体"/>
          <w:szCs w:val="21"/>
        </w:rPr>
        <w:t>%，不符合产品标准规定产品牌号</w:t>
      </w:r>
      <w:r>
        <w:rPr>
          <w:rFonts w:ascii="宋体" w:cs="宋体" w:hint="eastAsia"/>
          <w:szCs w:val="21"/>
        </w:rPr>
        <w:t>的</w:t>
      </w:r>
      <w:r>
        <w:rPr>
          <w:rFonts w:ascii="宋体" w:cs="宋体"/>
          <w:szCs w:val="21"/>
        </w:rPr>
        <w:t>化学成品要求。根据</w:t>
      </w:r>
      <w:r>
        <w:rPr>
          <w:rFonts w:ascii="宋体" w:cs="宋体" w:hint="eastAsia"/>
          <w:szCs w:val="21"/>
        </w:rPr>
        <w:t>产品牌号</w:t>
      </w:r>
      <w:r>
        <w:rPr>
          <w:rFonts w:ascii="宋体" w:cs="宋体"/>
          <w:szCs w:val="21"/>
        </w:rPr>
        <w:t>化学成分</w:t>
      </w:r>
      <w:r>
        <w:rPr>
          <w:rFonts w:ascii="宋体" w:cs="宋体" w:hint="eastAsia"/>
          <w:szCs w:val="21"/>
        </w:rPr>
        <w:t>、</w:t>
      </w:r>
      <w:r>
        <w:rPr>
          <w:rFonts w:ascii="宋体" w:cs="宋体"/>
          <w:szCs w:val="21"/>
        </w:rPr>
        <w:t>检出限和标准工作曲线，确定</w:t>
      </w:r>
      <w:r>
        <w:rPr>
          <w:rFonts w:ascii="宋体" w:cs="宋体" w:hint="eastAsia"/>
          <w:szCs w:val="21"/>
        </w:rPr>
        <w:t>了</w:t>
      </w:r>
      <w:r>
        <w:rPr>
          <w:rFonts w:ascii="宋体" w:cs="宋体"/>
          <w:szCs w:val="21"/>
        </w:rPr>
        <w:t>试验方法的测定</w:t>
      </w:r>
      <w:r>
        <w:rPr>
          <w:rFonts w:ascii="宋体" w:cs="宋体" w:hint="eastAsia"/>
          <w:szCs w:val="21"/>
        </w:rPr>
        <w:t>范围</w:t>
      </w:r>
      <w:r>
        <w:rPr>
          <w:rFonts w:ascii="宋体" w:cs="宋体"/>
          <w:szCs w:val="21"/>
        </w:rPr>
        <w:t>，测定</w:t>
      </w:r>
      <w:r>
        <w:rPr>
          <w:rFonts w:ascii="宋体" w:cs="宋体" w:hint="eastAsia"/>
          <w:szCs w:val="21"/>
        </w:rPr>
        <w:t>范围见</w:t>
      </w:r>
      <w:r>
        <w:rPr>
          <w:rFonts w:ascii="宋体" w:cs="宋体"/>
          <w:szCs w:val="21"/>
        </w:rPr>
        <w:t>1</w:t>
      </w:r>
      <w:r>
        <w:rPr>
          <w:rFonts w:ascii="宋体" w:cs="宋体" w:hint="eastAsia"/>
          <w:szCs w:val="21"/>
        </w:rPr>
        <w:t>。</w:t>
      </w:r>
    </w:p>
    <w:p>
      <w:pPr>
        <w:adjustRightInd w:val="0"/>
        <w:snapToGrid w:val="0"/>
        <w:ind w:firstLineChars="200" w:firstLine="420"/>
        <w:jc w:val="center"/>
        <w:rPr>
          <w:rFonts w:ascii="宋体" w:cs="宋体"/>
          <w:szCs w:val="21"/>
        </w:rPr>
      </w:pPr>
      <w:r>
        <w:rPr>
          <w:rFonts w:ascii="宋体" w:cs="宋体" w:hint="eastAsia"/>
          <w:szCs w:val="21"/>
        </w:rPr>
        <w:t>表</w:t>
      </w:r>
      <w:r>
        <w:rPr>
          <w:rFonts w:ascii="宋体" w:cs="宋体"/>
          <w:szCs w:val="21"/>
        </w:rPr>
        <w:t>6</w:t>
      </w:r>
      <w:r>
        <w:rPr>
          <w:rFonts w:ascii="宋体" w:cs="宋体" w:hint="eastAsia"/>
          <w:szCs w:val="21"/>
        </w:rPr>
        <w:t xml:space="preserve"> 检出限</w:t>
      </w:r>
      <w:r>
        <w:rPr>
          <w:rFonts w:ascii="宋体" w:cs="宋体"/>
          <w:szCs w:val="21"/>
        </w:rPr>
        <w:t>试验</w:t>
      </w:r>
    </w:p>
    <w:p>
      <w:pPr>
        <w:adjustRightInd w:val="0"/>
        <w:snapToGrid w:val="0"/>
        <w:ind w:firstLineChars="200" w:firstLine="420"/>
        <w:jc w:val="center"/>
        <w:rPr>
          <w:rFonts w:ascii="宋体" w:cs="宋体" w:hint="eastAsia"/>
          <w:szCs w:val="21"/>
        </w:rPr>
      </w:pPr>
      <w:r>
        <w:rPr>
          <w:rFonts w:ascii="宋体" w:cs="宋体" w:hint="eastAsia"/>
          <w:szCs w:val="21"/>
        </w:rPr>
        <w:t xml:space="preserve">                                     </w:t>
      </w:r>
      <w:r>
        <w:rPr>
          <w:rFonts w:ascii="宋体" w:cs="宋体"/>
          <w:szCs w:val="21"/>
        </w:rPr>
        <w:t xml:space="preserve">                                       </w:t>
      </w:r>
      <w:r>
        <w:rPr>
          <w:rFonts w:ascii="宋体" w:cs="宋体" w:hint="eastAsia"/>
          <w:szCs w:val="21"/>
        </w:rPr>
        <w:t xml:space="preserve"> </w:t>
      </w:r>
      <w:r>
        <w:rPr>
          <w:rFonts w:ascii="宋体" w:cs="宋体"/>
          <w:szCs w:val="21"/>
        </w:rPr>
        <w:t>%</w:t>
      </w:r>
    </w:p>
    <w:tbl>
      <w:tblPr>
        <w:jc w:val="left"/>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1620"/>
        <w:gridCol w:w="1620"/>
        <w:gridCol w:w="1622"/>
        <w:gridCol w:w="1622"/>
        <w:gridCol w:w="1622"/>
        <w:gridCol w:w="1618"/>
      </w:tblGrid>
      <w:tr>
        <w:tc>
          <w:tcPr>
            <w:tcW w:w="833"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元素</w:t>
            </w:r>
          </w:p>
        </w:tc>
        <w:tc>
          <w:tcPr>
            <w:tcW w:w="833"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氧化</w:t>
            </w:r>
            <w:r>
              <w:rPr>
                <w:rFonts w:ascii="宋体" w:cs="宋体"/>
                <w:szCs w:val="21"/>
              </w:rPr>
              <w:t>铕</w:t>
            </w:r>
          </w:p>
        </w:tc>
        <w:tc>
          <w:tcPr>
            <w:tcW w:w="834"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氧化铽</w:t>
            </w:r>
          </w:p>
        </w:tc>
        <w:tc>
          <w:tcPr>
            <w:tcW w:w="834"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氧化</w:t>
            </w:r>
            <w:r>
              <w:rPr>
                <w:rFonts w:ascii="宋体" w:cs="宋体"/>
                <w:szCs w:val="21"/>
              </w:rPr>
              <w:t>钬</w:t>
            </w:r>
          </w:p>
        </w:tc>
        <w:tc>
          <w:tcPr>
            <w:tcW w:w="834"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氧化</w:t>
            </w:r>
            <w:r>
              <w:rPr>
                <w:rFonts w:ascii="宋体" w:cs="宋体"/>
                <w:szCs w:val="21"/>
              </w:rPr>
              <w:t>铥</w:t>
            </w:r>
          </w:p>
        </w:tc>
        <w:tc>
          <w:tcPr>
            <w:tcW w:w="834" w:type="pct"/>
            <w:tcBorders>
              <w:top w:val="single" w:sz="12" w:space="0" w:color="auto"/>
              <w:bottom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氧化</w:t>
            </w:r>
            <w:r>
              <w:rPr>
                <w:rFonts w:ascii="宋体" w:cs="宋体"/>
                <w:szCs w:val="21"/>
              </w:rPr>
              <w:t>镥</w:t>
            </w:r>
          </w:p>
        </w:tc>
      </w:tr>
      <w:tr>
        <w:tc>
          <w:tcPr>
            <w:tcW w:w="833" w:type="pct"/>
            <w:tcBorders>
              <w:top w:val="single" w:sz="12"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σ</w:t>
            </w:r>
          </w:p>
        </w:tc>
        <w:tc>
          <w:tcPr>
            <w:tcW w:w="833" w:type="pct"/>
            <w:tcBorders>
              <w:top w:val="single" w:sz="12" w:space="0" w:color="auto"/>
            </w:tcBorders>
            <w:shd w:val="clear" w:color="auto" w:fill="auto"/>
          </w:tcPr>
          <w:p>
            <w:pPr>
              <w:jc w:val="center"/>
              <w:rPr>
                <w:rFonts w:ascii="宋体"/>
              </w:rPr>
            </w:pPr>
            <w:r>
              <w:rPr>
                <w:rFonts w:ascii="宋体"/>
              </w:rPr>
              <w:t>0.008</w:t>
            </w:r>
          </w:p>
        </w:tc>
        <w:tc>
          <w:tcPr>
            <w:tcW w:w="834" w:type="pct"/>
            <w:tcBorders>
              <w:top w:val="single" w:sz="12" w:space="0" w:color="auto"/>
            </w:tcBorders>
            <w:shd w:val="clear" w:color="auto" w:fill="auto"/>
          </w:tcPr>
          <w:p>
            <w:pPr>
              <w:jc w:val="center"/>
              <w:rPr>
                <w:rFonts w:ascii="宋体"/>
              </w:rPr>
            </w:pPr>
            <w:r>
              <w:rPr>
                <w:rFonts w:ascii="宋体"/>
              </w:rPr>
              <w:t>0.007</w:t>
            </w:r>
          </w:p>
        </w:tc>
        <w:tc>
          <w:tcPr>
            <w:tcW w:w="834" w:type="pct"/>
            <w:tcBorders>
              <w:top w:val="single" w:sz="12" w:space="0" w:color="auto"/>
            </w:tcBorders>
            <w:shd w:val="clear" w:color="auto" w:fill="auto"/>
          </w:tcPr>
          <w:p>
            <w:pPr>
              <w:jc w:val="center"/>
              <w:rPr>
                <w:rFonts w:ascii="宋体"/>
              </w:rPr>
            </w:pPr>
            <w:r>
              <w:rPr>
                <w:rFonts w:ascii="宋体"/>
              </w:rPr>
              <w:t>0.012</w:t>
            </w:r>
          </w:p>
        </w:tc>
        <w:tc>
          <w:tcPr>
            <w:tcW w:w="834" w:type="pct"/>
            <w:tcBorders>
              <w:top w:val="single" w:sz="12" w:space="0" w:color="auto"/>
            </w:tcBorders>
            <w:shd w:val="clear" w:color="auto" w:fill="auto"/>
          </w:tcPr>
          <w:p>
            <w:pPr>
              <w:jc w:val="center"/>
              <w:rPr>
                <w:rFonts w:ascii="宋体"/>
              </w:rPr>
            </w:pPr>
            <w:r>
              <w:rPr>
                <w:rFonts w:ascii="宋体"/>
              </w:rPr>
              <w:t>0.004</w:t>
            </w:r>
          </w:p>
        </w:tc>
        <w:tc>
          <w:tcPr>
            <w:tcW w:w="834" w:type="pct"/>
            <w:tcBorders>
              <w:top w:val="single" w:sz="12" w:space="0" w:color="auto"/>
            </w:tcBorders>
            <w:shd w:val="clear" w:color="auto" w:fill="auto"/>
          </w:tcPr>
          <w:p>
            <w:pPr>
              <w:jc w:val="center"/>
              <w:rPr>
                <w:rFonts w:ascii="宋体"/>
              </w:rPr>
            </w:pPr>
            <w:r>
              <w:rPr>
                <w:rFonts w:ascii="宋体"/>
              </w:rPr>
              <w:t>0.009</w:t>
            </w:r>
          </w:p>
        </w:tc>
      </w:tr>
      <w:tr>
        <w:tc>
          <w:tcPr>
            <w:tcW w:w="833" w:type="pct"/>
            <w:tcBorders>
              <w:left w:val="single" w:sz="4" w:space="0" w:color="auto"/>
              <w:right w:val="single" w:sz="4" w:space="0" w:color="auto"/>
            </w:tcBorders>
            <w:shd w:val="clear" w:color="auto" w:fill="auto"/>
          </w:tcPr>
          <w:p>
            <w:pPr>
              <w:adjustRightInd w:val="0"/>
              <w:snapToGrid w:val="0"/>
              <w:jc w:val="center"/>
              <w:rPr>
                <w:rFonts w:ascii="宋体" w:cs="宋体" w:hint="eastAsia"/>
                <w:szCs w:val="21"/>
              </w:rPr>
            </w:pPr>
            <w:r>
              <w:rPr>
                <w:rFonts w:ascii="宋体" w:cs="宋体"/>
                <w:szCs w:val="21"/>
              </w:rPr>
              <w:t>10</w:t>
            </w:r>
            <w:r>
              <w:rPr>
                <w:rFonts w:ascii="宋体" w:cs="宋体" w:hint="eastAsia"/>
                <w:szCs w:val="21"/>
              </w:rPr>
              <w:t>σ</w:t>
            </w:r>
          </w:p>
        </w:tc>
        <w:tc>
          <w:tcPr>
            <w:tcW w:w="833" w:type="pct"/>
            <w:tcBorders>
              <w:left w:val="single" w:sz="4" w:space="0" w:color="auto"/>
              <w:right w:val="single" w:sz="4" w:space="0" w:color="auto"/>
            </w:tcBorders>
            <w:shd w:val="clear" w:color="auto" w:fill="auto"/>
          </w:tcPr>
          <w:p>
            <w:pPr>
              <w:jc w:val="center"/>
              <w:rPr>
                <w:rFonts w:ascii="宋体"/>
              </w:rPr>
            </w:pPr>
            <w:r>
              <w:rPr>
                <w:rFonts w:ascii="宋体"/>
              </w:rPr>
              <w:t>0.08</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0.07</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0.12</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0.04</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0.09</w:t>
            </w:r>
          </w:p>
        </w:tc>
      </w:tr>
      <w:tr>
        <w:tc>
          <w:tcPr>
            <w:tcW w:w="833" w:type="pct"/>
            <w:tcBorders>
              <w:left w:val="single" w:sz="4" w:space="0" w:color="auto"/>
              <w:right w:val="single" w:sz="4"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测定</w:t>
            </w:r>
            <w:r>
              <w:rPr>
                <w:rFonts w:ascii="宋体" w:cs="宋体"/>
                <w:szCs w:val="21"/>
              </w:rPr>
              <w:t>下限</w:t>
            </w:r>
          </w:p>
        </w:tc>
        <w:tc>
          <w:tcPr>
            <w:tcW w:w="833" w:type="pct"/>
            <w:tcBorders>
              <w:left w:val="single" w:sz="4" w:space="0" w:color="auto"/>
              <w:right w:val="single" w:sz="4" w:space="0" w:color="auto"/>
            </w:tcBorders>
            <w:shd w:val="clear" w:color="auto" w:fill="auto"/>
          </w:tcPr>
          <w:p>
            <w:pPr>
              <w:adjustRightInd w:val="0"/>
              <w:snapToGrid w:val="0"/>
              <w:jc w:val="center"/>
              <w:rPr>
                <w:rFonts w:ascii="宋体" w:cs="宋体" w:hint="eastAsia"/>
                <w:szCs w:val="21"/>
              </w:rPr>
            </w:pPr>
            <w:r>
              <w:rPr>
                <w:rFonts w:ascii="宋体" w:cs="宋体" w:hint="eastAsia"/>
                <w:szCs w:val="21"/>
              </w:rPr>
              <w:t>0.10</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0.10</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0.15</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0.10</w:t>
            </w:r>
          </w:p>
        </w:tc>
        <w:tc>
          <w:tcPr>
            <w:tcW w:w="834" w:type="pct"/>
            <w:tcBorders>
              <w:left w:val="single" w:sz="4" w:space="0" w:color="auto"/>
              <w:right w:val="single" w:sz="4" w:space="0" w:color="auto"/>
            </w:tcBorders>
            <w:shd w:val="clear" w:color="auto" w:fill="auto"/>
          </w:tcPr>
          <w:p>
            <w:pPr>
              <w:jc w:val="center"/>
              <w:rPr>
                <w:rFonts w:ascii="宋体"/>
              </w:rPr>
            </w:pPr>
            <w:r>
              <w:rPr>
                <w:rFonts w:ascii="宋体"/>
              </w:rPr>
              <w:t>0.10</w:t>
            </w:r>
          </w:p>
        </w:tc>
      </w:tr>
    </w:tbl>
    <w:p>
      <w:pPr>
        <w:pStyle w:val="112"/>
        <w:tabs>
          <w:tab w:val="clear" w:pos="675"/>
        </w:tabs>
        <w:spacing w:beforeLines="50" w:before="156" w:afterLines="50" w:after="156"/>
        <w:jc w:val="left"/>
        <w:rPr>
          <w:rFonts w:ascii="宋体" w:eastAsia="宋体" w:cs="宋体"/>
          <w:b/>
          <w:szCs w:val="22"/>
        </w:rPr>
      </w:pPr>
      <w:r>
        <w:rPr>
          <w:rFonts w:ascii="宋体" w:eastAsia="宋体" w:cs="宋体" w:hint="eastAsia"/>
          <w:b/>
          <w:szCs w:val="22"/>
        </w:rPr>
        <w:t>1.</w:t>
      </w:r>
      <w:r>
        <w:rPr>
          <w:rFonts w:ascii="宋体" w:eastAsia="宋体" w:cs="宋体"/>
          <w:b/>
          <w:szCs w:val="22"/>
        </w:rPr>
        <w:t>8</w:t>
      </w:r>
      <w:r>
        <w:rPr>
          <w:rFonts w:ascii="宋体" w:eastAsia="宋体" w:cs="宋体" w:hint="eastAsia"/>
          <w:b/>
          <w:szCs w:val="22"/>
        </w:rPr>
        <w:t>、准确度试验</w:t>
      </w:r>
    </w:p>
    <w:p>
      <w:pPr>
        <w:adjustRightInd w:val="0"/>
        <w:snapToGrid w:val="0"/>
        <w:ind w:firstLine="481"/>
        <w:rPr>
          <w:rFonts w:ascii="宋体" w:cs="宋体" w:hint="eastAsia"/>
          <w:bCs/>
          <w:szCs w:val="21"/>
        </w:rPr>
      </w:pPr>
      <w:r>
        <w:rPr>
          <w:rFonts w:ascii="宋体" w:cs="宋体" w:hint="eastAsia"/>
          <w:bCs/>
          <w:szCs w:val="21"/>
        </w:rPr>
        <w:t>由于测定X</w:t>
      </w:r>
      <w:r>
        <w:rPr>
          <w:rFonts w:ascii="宋体" w:cs="宋体"/>
          <w:bCs/>
          <w:szCs w:val="21"/>
        </w:rPr>
        <w:t>-</w:t>
      </w:r>
      <w:r>
        <w:rPr>
          <w:rFonts w:ascii="宋体" w:cs="宋体" w:hint="eastAsia"/>
          <w:bCs/>
          <w:szCs w:val="21"/>
        </w:rPr>
        <w:t>射线</w:t>
      </w:r>
      <w:r>
        <w:rPr>
          <w:rFonts w:ascii="宋体" w:cs="宋体"/>
          <w:bCs/>
          <w:szCs w:val="21"/>
        </w:rPr>
        <w:t>荧光</w:t>
      </w:r>
      <w:r>
        <w:rPr>
          <w:rFonts w:ascii="宋体" w:cs="宋体" w:hint="eastAsia"/>
          <w:bCs/>
          <w:szCs w:val="21"/>
        </w:rPr>
        <w:t>光谱</w:t>
      </w:r>
      <w:r>
        <w:rPr>
          <w:rFonts w:ascii="宋体" w:cs="宋体"/>
          <w:bCs/>
          <w:szCs w:val="21"/>
        </w:rPr>
        <w:t>法测定</w:t>
      </w:r>
      <w:r>
        <w:rPr>
          <w:rFonts w:ascii="宋体" w:cs="宋体" w:hint="eastAsia"/>
          <w:bCs/>
          <w:szCs w:val="21"/>
        </w:rPr>
        <w:t>配分是</w:t>
      </w:r>
      <w:r>
        <w:rPr>
          <w:rFonts w:ascii="宋体" w:cs="宋体"/>
          <w:bCs/>
          <w:szCs w:val="21"/>
        </w:rPr>
        <w:t>相对量，</w:t>
      </w:r>
      <w:r>
        <w:rPr>
          <w:rFonts w:ascii="宋体" w:cs="宋体" w:hint="eastAsia"/>
          <w:bCs/>
          <w:szCs w:val="21"/>
        </w:rPr>
        <w:t>难以用</w:t>
      </w:r>
      <w:r>
        <w:rPr>
          <w:rFonts w:ascii="宋体" w:cs="宋体"/>
          <w:bCs/>
          <w:szCs w:val="21"/>
        </w:rPr>
        <w:t>常规标准加入法测定</w:t>
      </w:r>
      <w:r>
        <w:rPr>
          <w:rFonts w:ascii="宋体" w:cs="宋体" w:hint="eastAsia"/>
          <w:bCs/>
          <w:szCs w:val="21"/>
        </w:rPr>
        <w:t>绝对</w:t>
      </w:r>
      <w:r>
        <w:rPr>
          <w:rFonts w:ascii="宋体" w:cs="宋体"/>
          <w:bCs/>
          <w:szCs w:val="21"/>
        </w:rPr>
        <w:t>量计算回收率来评估方法的准确性。</w:t>
      </w:r>
      <w:r>
        <w:rPr>
          <w:rFonts w:ascii="宋体" w:cs="宋体" w:hint="eastAsia"/>
          <w:bCs/>
          <w:szCs w:val="21"/>
        </w:rPr>
        <w:t>试验采用称取经950℃灼烧lh后在干燥器中冷却至室温的统一样1#和2#，</w:t>
      </w:r>
      <w:r>
        <w:rPr>
          <w:rFonts w:ascii="宋体" w:cs="宋体"/>
          <w:bCs/>
          <w:szCs w:val="21"/>
        </w:rPr>
        <w:t>加入100mg标准贮存溶</w:t>
      </w:r>
      <w:r>
        <w:rPr>
          <w:rFonts w:ascii="宋体" w:cs="宋体" w:hint="eastAsia"/>
          <w:bCs/>
          <w:szCs w:val="21"/>
        </w:rPr>
        <w:t>液，配置</w:t>
      </w:r>
      <w:r>
        <w:rPr>
          <w:rFonts w:ascii="宋体" w:cs="宋体"/>
          <w:bCs/>
          <w:szCs w:val="21"/>
        </w:rPr>
        <w:t>成样品</w:t>
      </w:r>
      <w:r>
        <w:rPr>
          <w:rFonts w:ascii="宋体" w:cs="宋体" w:hint="eastAsia"/>
          <w:bCs/>
          <w:szCs w:val="21"/>
        </w:rPr>
        <w:t>7</w:t>
      </w:r>
      <w:r>
        <w:rPr>
          <w:rFonts w:ascii="宋体" w:cs="宋体"/>
          <w:bCs/>
          <w:szCs w:val="21"/>
        </w:rPr>
        <w:t>#和</w:t>
      </w:r>
      <w:r>
        <w:rPr>
          <w:rFonts w:ascii="宋体" w:cs="宋体" w:hint="eastAsia"/>
          <w:bCs/>
          <w:szCs w:val="21"/>
        </w:rPr>
        <w:t>8</w:t>
      </w:r>
      <w:r>
        <w:rPr>
          <w:rFonts w:ascii="宋体" w:cs="宋体"/>
          <w:bCs/>
          <w:szCs w:val="21"/>
        </w:rPr>
        <w:t>#，按照分析步骤进行测定（</w:t>
      </w:r>
      <w:r>
        <w:rPr>
          <w:rFonts w:ascii="宋体" w:cs="宋体" w:hint="eastAsia"/>
          <w:bCs/>
          <w:szCs w:val="21"/>
        </w:rPr>
        <w:t>加入10.00</w:t>
      </w:r>
      <w:r>
        <w:rPr>
          <w:rFonts w:ascii="宋体" w:cs="宋体"/>
          <w:bCs/>
          <w:szCs w:val="21"/>
        </w:rPr>
        <w:t xml:space="preserve"> mL</w:t>
      </w:r>
      <w:r>
        <w:rPr>
          <w:rFonts w:ascii="宋体" w:cs="宋体" w:hint="eastAsia"/>
          <w:bCs/>
          <w:szCs w:val="21"/>
        </w:rPr>
        <w:t>钪内标</w:t>
      </w:r>
      <w:r>
        <w:rPr>
          <w:rFonts w:ascii="宋体" w:cs="宋体"/>
          <w:bCs/>
          <w:szCs w:val="21"/>
        </w:rPr>
        <w:t>溶液）</w:t>
      </w:r>
      <w:r>
        <w:rPr>
          <w:rFonts w:ascii="宋体" w:cs="宋体" w:hint="eastAsia"/>
          <w:bCs/>
          <w:szCs w:val="21"/>
        </w:rPr>
        <w:t>，</w:t>
      </w:r>
      <w:r>
        <w:rPr>
          <w:rFonts w:ascii="宋体" w:cs="宋体"/>
          <w:bCs/>
          <w:szCs w:val="21"/>
        </w:rPr>
        <w:t>配置</w:t>
      </w:r>
      <w:r>
        <w:rPr>
          <w:rFonts w:ascii="宋体" w:cs="宋体" w:hint="eastAsia"/>
          <w:bCs/>
          <w:szCs w:val="21"/>
        </w:rPr>
        <w:t>表</w:t>
      </w:r>
      <w:r>
        <w:rPr>
          <w:rFonts w:ascii="宋体" w:cs="宋体"/>
          <w:bCs/>
          <w:szCs w:val="21"/>
        </w:rPr>
        <w:t>见表7</w:t>
      </w:r>
      <w:r>
        <w:rPr>
          <w:rFonts w:ascii="宋体" w:cs="宋体" w:hint="eastAsia"/>
          <w:bCs/>
          <w:szCs w:val="21"/>
        </w:rPr>
        <w:t>。回收率%=（模拟样配分值×2-原样配分值）/移取标准配分值×100%。</w:t>
      </w:r>
      <w:r>
        <w:rPr>
          <w:rFonts w:ascii="宋体" w:cs="宋体"/>
          <w:bCs/>
          <w:szCs w:val="21"/>
        </w:rPr>
        <w:t>测定</w:t>
      </w:r>
      <w:r>
        <w:rPr>
          <w:rFonts w:ascii="宋体" w:cs="宋体" w:hint="eastAsia"/>
          <w:bCs/>
          <w:szCs w:val="21"/>
        </w:rPr>
        <w:t>结果</w:t>
      </w:r>
      <w:r>
        <w:rPr>
          <w:rFonts w:ascii="宋体" w:cs="宋体"/>
          <w:bCs/>
          <w:szCs w:val="21"/>
        </w:rPr>
        <w:t>见表8</w:t>
      </w:r>
      <w:r>
        <w:rPr>
          <w:rFonts w:ascii="宋体" w:cs="宋体" w:hint="eastAsia"/>
          <w:bCs/>
          <w:szCs w:val="21"/>
        </w:rPr>
        <w:t>。</w:t>
      </w:r>
      <w:r>
        <w:rPr>
          <w:rFonts w:ascii="宋体" w:cs="宋体"/>
          <w:bCs/>
          <w:szCs w:val="21"/>
        </w:rPr>
        <w:t>由表8</w:t>
      </w:r>
      <w:r>
        <w:rPr>
          <w:rFonts w:ascii="宋体" w:cs="宋体" w:hint="eastAsia"/>
          <w:bCs/>
          <w:szCs w:val="21"/>
        </w:rPr>
        <w:t>可见</w:t>
      </w:r>
      <w:r>
        <w:rPr>
          <w:rFonts w:ascii="宋体" w:cs="宋体"/>
          <w:bCs/>
          <w:szCs w:val="21"/>
        </w:rPr>
        <w:t>，各元素回收率满足检测要求。</w:t>
      </w:r>
    </w:p>
    <w:p>
      <w:pPr>
        <w:adjustRightInd w:val="0"/>
        <w:snapToGrid w:val="0"/>
        <w:spacing w:beforeLines="50" w:before="156" w:afterLines="50" w:after="156"/>
        <w:jc w:val="center"/>
        <w:rPr>
          <w:rFonts w:ascii="宋体" w:cs="宋体" w:hint="eastAsia"/>
          <w:bCs/>
          <w:szCs w:val="21"/>
        </w:rPr>
      </w:pPr>
      <w:r>
        <w:rPr>
          <w:rFonts w:ascii="宋体" w:cs="宋体" w:hint="eastAsia"/>
          <w:bCs/>
          <w:szCs w:val="21"/>
        </w:rPr>
        <w:t>表</w:t>
      </w:r>
      <w:r>
        <w:rPr>
          <w:rFonts w:ascii="宋体" w:cs="宋体"/>
          <w:bCs/>
          <w:szCs w:val="21"/>
        </w:rPr>
        <w:t>7</w:t>
      </w:r>
      <w:r>
        <w:rPr>
          <w:rFonts w:ascii="宋体" w:cs="宋体" w:hint="eastAsia"/>
          <w:bCs/>
          <w:szCs w:val="21"/>
        </w:rPr>
        <w:t xml:space="preserve"> 准确</w:t>
      </w:r>
      <w:r>
        <w:rPr>
          <w:rFonts w:ascii="宋体" w:cs="宋体"/>
          <w:bCs/>
          <w:szCs w:val="21"/>
        </w:rPr>
        <w:t>度试验样品配置表</w:t>
      </w:r>
    </w:p>
    <w:tbl>
      <w:tblPr>
        <w:jc w:val="left"/>
        <w:tblW w:w="5000" w:type="pct"/>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1188"/>
        <w:gridCol w:w="1225"/>
        <w:gridCol w:w="1837"/>
        <w:gridCol w:w="1837"/>
        <w:gridCol w:w="1837"/>
        <w:gridCol w:w="1797"/>
      </w:tblGrid>
      <w:tr>
        <w:trPr>
          <w:trHeight w:val="340"/>
        </w:trPr>
        <w:tc>
          <w:tcPr>
            <w:tcW w:w="611" w:type="pct"/>
            <w:tcBorders>
              <w:top w:val="single" w:sz="12" w:space="0" w:color="auto"/>
              <w:left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样品</w:t>
            </w:r>
            <w:r>
              <w:rPr>
                <w:rFonts w:ascii="宋体" w:cs="宋体"/>
                <w:bCs/>
                <w:szCs w:val="21"/>
              </w:rPr>
              <w:t>编号</w:t>
            </w:r>
          </w:p>
        </w:tc>
        <w:tc>
          <w:tcPr>
            <w:tcW w:w="630" w:type="pct"/>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称取</w:t>
            </w:r>
            <w:r>
              <w:rPr>
                <w:rFonts w:ascii="宋体" w:cs="宋体"/>
                <w:bCs/>
                <w:szCs w:val="21"/>
              </w:rPr>
              <w:t>样品</w:t>
            </w:r>
          </w:p>
        </w:tc>
        <w:tc>
          <w:tcPr>
            <w:tcW w:w="945" w:type="pct"/>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称取质量</w:t>
            </w:r>
            <w:r>
              <w:rPr>
                <w:rFonts w:ascii="宋体" w:cs="宋体"/>
                <w:bCs/>
                <w:szCs w:val="21"/>
              </w:rPr>
              <w:t>，g</w:t>
            </w:r>
          </w:p>
        </w:tc>
        <w:tc>
          <w:tcPr>
            <w:tcW w:w="2814" w:type="pct"/>
            <w:gridSpan w:val="3"/>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移取</w:t>
            </w:r>
            <w:r>
              <w:rPr>
                <w:rFonts w:ascii="宋体" w:cs="宋体"/>
                <w:bCs/>
                <w:szCs w:val="21"/>
              </w:rPr>
              <w:t>标准贮存溶</w:t>
            </w:r>
            <w:r>
              <w:rPr>
                <w:rFonts w:ascii="宋体" w:cs="宋体" w:hint="eastAsia"/>
                <w:bCs/>
                <w:szCs w:val="21"/>
              </w:rPr>
              <w:t>液编号</w:t>
            </w:r>
            <w:r>
              <w:rPr>
                <w:rFonts w:ascii="宋体" w:cs="宋体"/>
                <w:bCs/>
                <w:szCs w:val="21"/>
              </w:rPr>
              <w:t>及移取体积</w:t>
            </w:r>
          </w:p>
        </w:tc>
      </w:tr>
      <w:tr>
        <w:trPr>
          <w:trHeight w:val="340"/>
        </w:trPr>
        <w:tc>
          <w:tcPr>
            <w:tcW w:w="611" w:type="pct"/>
            <w:tcBorders>
              <w:top w:val="single" w:sz="12" w:space="0" w:color="auto"/>
              <w:left w:val="single" w:sz="12" w:space="0" w:color="auto"/>
              <w:bottom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7</w:t>
            </w:r>
            <w:r>
              <w:rPr>
                <w:rFonts w:ascii="宋体" w:cs="宋体"/>
                <w:bCs/>
                <w:szCs w:val="21"/>
              </w:rPr>
              <w:t>#</w:t>
            </w:r>
          </w:p>
        </w:tc>
        <w:tc>
          <w:tcPr>
            <w:tcW w:w="630"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bCs/>
                <w:szCs w:val="21"/>
              </w:rPr>
              <w:t>1#</w:t>
            </w:r>
          </w:p>
        </w:tc>
        <w:tc>
          <w:tcPr>
            <w:tcW w:w="945"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0.1051</w:t>
            </w:r>
          </w:p>
        </w:tc>
        <w:tc>
          <w:tcPr>
            <w:tcW w:w="945"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C</w:t>
            </w:r>
            <w:r>
              <w:rPr>
                <w:rFonts w:ascii="宋体" w:cs="宋体" w:hint="eastAsia"/>
                <w:bCs/>
                <w:szCs w:val="21"/>
              </w:rPr>
              <w:t>,10.00</w:t>
            </w:r>
            <w:r>
              <w:rPr>
                <w:rFonts w:ascii="宋体" w:cs="宋体"/>
                <w:bCs/>
                <w:szCs w:val="21"/>
              </w:rPr>
              <w:t>mL</w:t>
            </w:r>
          </w:p>
        </w:tc>
        <w:tc>
          <w:tcPr>
            <w:tcW w:w="945"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w:t>
            </w:r>
          </w:p>
        </w:tc>
        <w:tc>
          <w:tcPr>
            <w:tcW w:w="925"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w:t>
            </w:r>
          </w:p>
        </w:tc>
      </w:tr>
      <w:tr>
        <w:trPr>
          <w:trHeight w:val="340"/>
        </w:trPr>
        <w:tc>
          <w:tcPr>
            <w:tcW w:w="611" w:type="pct"/>
            <w:tcBorders>
              <w:top w:val="single" w:sz="4" w:space="0" w:color="auto"/>
              <w:left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bCs/>
                <w:szCs w:val="21"/>
              </w:rPr>
              <w:t>8#</w:t>
            </w:r>
          </w:p>
        </w:tc>
        <w:tc>
          <w:tcPr>
            <w:tcW w:w="630"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bCs/>
                <w:szCs w:val="21"/>
              </w:rPr>
              <w:t>2#</w:t>
            </w:r>
          </w:p>
        </w:tc>
        <w:tc>
          <w:tcPr>
            <w:tcW w:w="945"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0.1057</w:t>
            </w:r>
          </w:p>
        </w:tc>
        <w:tc>
          <w:tcPr>
            <w:tcW w:w="945"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C</w:t>
            </w:r>
            <w:r>
              <w:rPr>
                <w:rFonts w:ascii="宋体" w:cs="宋体" w:hint="eastAsia"/>
                <w:bCs/>
                <w:szCs w:val="21"/>
              </w:rPr>
              <w:t>,</w:t>
            </w:r>
            <w:r>
              <w:rPr>
                <w:rFonts w:ascii="宋体" w:cs="宋体"/>
                <w:bCs/>
                <w:szCs w:val="21"/>
              </w:rPr>
              <w:t>2</w:t>
            </w:r>
            <w:r>
              <w:rPr>
                <w:rFonts w:ascii="宋体" w:cs="宋体" w:hint="eastAsia"/>
                <w:bCs/>
                <w:szCs w:val="21"/>
              </w:rPr>
              <w:t>.00</w:t>
            </w:r>
            <w:r>
              <w:rPr>
                <w:rFonts w:ascii="宋体" w:cs="宋体"/>
                <w:bCs/>
                <w:szCs w:val="21"/>
              </w:rPr>
              <w:t>mL</w:t>
            </w:r>
          </w:p>
        </w:tc>
        <w:tc>
          <w:tcPr>
            <w:tcW w:w="945"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K</w:t>
            </w:r>
            <w:r>
              <w:rPr>
                <w:rFonts w:ascii="宋体" w:cs="宋体" w:hint="eastAsia"/>
                <w:bCs/>
                <w:szCs w:val="21"/>
              </w:rPr>
              <w:t>，</w:t>
            </w:r>
            <w:r>
              <w:rPr>
                <w:rFonts w:ascii="宋体" w:cs="宋体"/>
                <w:bCs/>
                <w:szCs w:val="21"/>
              </w:rPr>
              <w:t>10.</w:t>
            </w:r>
            <w:r>
              <w:rPr>
                <w:rFonts w:ascii="宋体" w:cs="宋体" w:hint="eastAsia"/>
                <w:bCs/>
                <w:szCs w:val="21"/>
              </w:rPr>
              <w:t>00</w:t>
            </w:r>
            <w:r>
              <w:rPr>
                <w:rFonts w:ascii="宋体" w:cs="宋体"/>
                <w:bCs/>
                <w:szCs w:val="21"/>
              </w:rPr>
              <w:t>mL</w:t>
            </w:r>
          </w:p>
        </w:tc>
        <w:tc>
          <w:tcPr>
            <w:tcW w:w="925"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O</w:t>
            </w:r>
            <w:r>
              <w:rPr>
                <w:rFonts w:ascii="宋体" w:cs="宋体" w:hint="eastAsia"/>
                <w:bCs/>
                <w:szCs w:val="21"/>
              </w:rPr>
              <w:t>,</w:t>
            </w:r>
            <w:r>
              <w:rPr>
                <w:rFonts w:ascii="宋体" w:cs="宋体"/>
                <w:bCs/>
                <w:szCs w:val="21"/>
              </w:rPr>
              <w:t>7</w:t>
            </w:r>
            <w:r>
              <w:rPr>
                <w:rFonts w:ascii="宋体" w:cs="宋体" w:hint="eastAsia"/>
                <w:bCs/>
                <w:szCs w:val="21"/>
              </w:rPr>
              <w:t>.00</w:t>
            </w:r>
            <w:r>
              <w:rPr>
                <w:rFonts w:ascii="宋体" w:cs="宋体"/>
                <w:bCs/>
                <w:szCs w:val="21"/>
              </w:rPr>
              <w:t>mL</w:t>
            </w:r>
          </w:p>
        </w:tc>
      </w:tr>
    </w:tbl>
    <w:p>
      <w:pPr>
        <w:pStyle w:val="112"/>
        <w:tabs>
          <w:tab w:val="clear" w:pos="675"/>
        </w:tabs>
        <w:spacing w:beforeLines="50" w:before="156" w:afterLines="50" w:after="156"/>
        <w:jc w:val="left"/>
        <w:rPr>
          <w:rFonts w:ascii="宋体" w:eastAsia="宋体" w:cs="宋体"/>
          <w:b/>
        </w:rPr>
      </w:pPr>
      <w:r>
        <w:rPr>
          <w:rFonts w:ascii="宋体" w:eastAsia="宋体" w:cs="宋体" w:hint="eastAsia"/>
          <w:b/>
        </w:rPr>
        <w:t>1.</w:t>
      </w:r>
      <w:r>
        <w:rPr>
          <w:rFonts w:ascii="宋体" w:eastAsia="宋体" w:cs="宋体"/>
          <w:b/>
        </w:rPr>
        <w:t>9</w:t>
      </w:r>
      <w:r>
        <w:rPr>
          <w:rFonts w:ascii="宋体" w:eastAsia="宋体" w:cs="宋体" w:hint="eastAsia"/>
          <w:b/>
        </w:rPr>
        <w:t>、精密度数据的确定</w:t>
      </w:r>
    </w:p>
    <w:p>
      <w:pPr>
        <w:spacing w:beforeLines="50" w:before="156" w:afterLines="50" w:after="156"/>
        <w:jc w:val="left"/>
        <w:rPr>
          <w:rFonts w:ascii="宋体" w:cs="宋体"/>
          <w:b/>
        </w:rPr>
      </w:pPr>
      <w:r>
        <w:rPr>
          <w:rFonts w:ascii="宋体" w:cs="宋体" w:hint="eastAsia"/>
          <w:b/>
        </w:rPr>
        <w:t>1.</w:t>
      </w:r>
      <w:r>
        <w:rPr>
          <w:rFonts w:ascii="宋体" w:cs="宋体"/>
          <w:b/>
        </w:rPr>
        <w:t>9</w:t>
      </w:r>
      <w:r>
        <w:rPr>
          <w:rFonts w:ascii="宋体" w:cs="宋体" w:hint="eastAsia"/>
          <w:b/>
        </w:rPr>
        <w:t>.1、原始数据统计和检验</w:t>
      </w:r>
    </w:p>
    <w:p>
      <w:pPr>
        <w:spacing w:beforeLines="50" w:before="156" w:afterLines="50" w:after="156"/>
        <w:ind w:firstLineChars="200" w:firstLine="420"/>
        <w:jc w:val="left"/>
        <w:rPr>
          <w:rFonts w:ascii="宋体" w:cs="宋体"/>
        </w:rPr>
      </w:pPr>
      <w:r>
        <w:rPr>
          <w:rFonts w:ascii="宋体" w:cs="宋体" w:hint="eastAsia"/>
        </w:rPr>
        <w:t>主起草单位对各试验室内数据进行了均值、标准偏差和相对标准偏差的统计，并就各试验室内数据和实验室间均值进行了格拉布斯检验以及实验室间数据等精度检验（柯克伦检验）。试验数据统计和检验结果见数据统计报告（带*数据为离群数据）。</w:t>
      </w:r>
    </w:p>
    <w:p>
      <w:pPr>
        <w:spacing w:beforeLines="50" w:before="156" w:afterLines="50" w:after="156"/>
        <w:jc w:val="left"/>
        <w:rPr>
          <w:rFonts w:ascii="宋体" w:cs="宋体"/>
          <w:b/>
        </w:rPr>
      </w:pPr>
      <w:r>
        <w:rPr>
          <w:rFonts w:ascii="宋体" w:cs="宋体" w:hint="eastAsia"/>
          <w:b/>
        </w:rPr>
        <w:t>1.</w:t>
      </w:r>
      <w:r>
        <w:rPr>
          <w:rFonts w:ascii="宋体" w:cs="宋体"/>
          <w:b/>
        </w:rPr>
        <w:t>9</w:t>
      </w:r>
      <w:r>
        <w:rPr>
          <w:rFonts w:ascii="宋体" w:cs="宋体" w:hint="eastAsia"/>
          <w:b/>
        </w:rPr>
        <w:t>.2、对于岐离和离群数据的分析</w:t>
      </w:r>
    </w:p>
    <w:p>
      <w:pPr>
        <w:spacing w:beforeLines="50" w:before="156" w:afterLines="50" w:after="156"/>
        <w:ind w:firstLine="420"/>
        <w:jc w:val="left"/>
        <w:rPr>
          <w:rFonts w:ascii="宋体" w:cs="宋体"/>
        </w:rPr>
      </w:pPr>
      <w:r>
        <w:rPr>
          <w:rFonts w:ascii="宋体" w:cs="宋体" w:hint="eastAsia"/>
        </w:rPr>
        <w:t>由于本方法测定元素的配分值跨度大，各</w:t>
      </w:r>
      <w:r>
        <w:rPr>
          <w:rFonts w:ascii="宋体" w:cs="宋体"/>
        </w:rPr>
        <w:t>含量</w:t>
      </w:r>
      <w:r>
        <w:rPr>
          <w:rFonts w:ascii="宋体" w:cs="宋体" w:hint="eastAsia"/>
        </w:rPr>
        <w:t>试验数据取舍在统计学基础上还应符合化学分析特点，对于岐离和离群数据是否留用，试验采取的判断方式：实验室测定结果与参考值之差|Xmax-μ</w:t>
      </w:r>
      <w:r>
        <w:rPr>
          <w:rFonts w:ascii="宋体" w:cs="宋体" w:hint="eastAsia"/>
          <w:vertAlign w:val="subscript"/>
        </w:rPr>
        <w:t>0</w:t>
      </w:r>
      <w:r>
        <w:rPr>
          <w:rFonts w:ascii="宋体" w:cs="宋体" w:hint="eastAsia"/>
        </w:rPr>
        <w:t>|不大于</w:t>
      </w:r>
      <w:r>
        <w:rPr>
          <w:rFonts w:ascii="宋体" w:cs="宋体" w:hint="eastAsia"/>
          <w:i/>
          <w:iCs/>
        </w:rPr>
        <w:t>CD′</w:t>
      </w:r>
      <w:r>
        <w:rPr>
          <w:rFonts w:ascii="宋体" w:cs="宋体" w:hint="eastAsia"/>
        </w:rPr>
        <w:t>（μ</w:t>
      </w:r>
      <w:r>
        <w:rPr>
          <w:rFonts w:ascii="宋体" w:cs="宋体" w:hint="eastAsia"/>
          <w:vertAlign w:val="subscript"/>
        </w:rPr>
        <w:t>0</w:t>
      </w:r>
      <w:r>
        <w:rPr>
          <w:rFonts w:ascii="宋体" w:cs="宋体" w:hint="eastAsia"/>
        </w:rPr>
        <w:t>理论上为真值，在无真值的情况下采用试验室内或实验室间平均值，Xmax为最大偏离数据），则数据符合要求留用，否则舍去。</w:t>
      </w:r>
      <w:r>
        <w:rPr>
          <w:rFonts w:ascii="宋体" w:cs="宋体" w:hint="eastAsia"/>
          <w:i/>
          <w:iCs/>
        </w:rPr>
        <w:t>CD′</w:t>
      </w:r>
      <w:r>
        <w:rPr>
          <w:rFonts w:ascii="宋体" w:cs="宋体" w:hint="eastAsia"/>
        </w:rPr>
        <w:t>按照下式计算：</w:t>
      </w:r>
    </w:p>
    <w:p>
      <w:pPr>
        <w:spacing w:beforeLines="50" w:before="156" w:afterLines="50" w:after="156"/>
        <w:ind w:firstLineChars="1300" w:firstLine="2730"/>
        <w:jc w:val="left"/>
        <w:rPr>
          <w:rFonts w:ascii="宋体" w:cs="宋体"/>
        </w:rPr>
      </w:pPr>
      <w:r>
        <w:rPr>
          <w:rFonts w:ascii="宋体" w:cs="宋体"/>
          <w:i/>
          <w:iCs/>
          <w:position w:val="-2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140.85pt;height:30.05pt;" o:ole="">
            <v:stroke color="#000000"/>
            <v:imagedata r:id="rId5" o:title="2"/>
            <o:lock aspectratio="t"/>
          </v:shape>
          <o:OLEObject Type="Embed" ProgID="Package" ShapeID="_x0000_i1" DrawAspect="Content" ObjectID="_1393063351" r:id="rId6"/>
        </w:object>
      </w:r>
    </w:p>
    <w:p>
      <w:pPr>
        <w:spacing w:beforeLines="50" w:before="156" w:afterLines="50" w:after="156"/>
        <w:ind w:firstLineChars="200" w:firstLine="420"/>
        <w:jc w:val="left"/>
        <w:rPr>
          <w:sz w:val="18"/>
          <w:szCs w:val="18"/>
        </w:rPr>
      </w:pPr>
      <w:r>
        <w:rPr>
          <w:rFonts w:ascii="宋体" w:cs="宋体" w:hint="eastAsia"/>
        </w:rPr>
        <w:t>式中：δE为相近测试标准和原标准规定的实验室之间允许差Δ，U为测量不确定度，由于试验样品不能提供测量不确定度，U值定义为0。</w:t>
      </w:r>
    </w:p>
    <w:p>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Lines="50" w:before="156" w:afterLines="50" w:after="156"/>
        <w:jc w:val="left"/>
        <w:rPr>
          <w:rFonts w:ascii="宋体" w:cs="宋体"/>
          <w:b/>
        </w:rPr>
      </w:pPr>
      <w:r>
        <w:rPr>
          <w:rFonts w:ascii="宋体" w:cs="宋体" w:hint="eastAsia"/>
          <w:b/>
        </w:rPr>
        <w:t>1.</w:t>
      </w:r>
      <w:r>
        <w:rPr>
          <w:rFonts w:ascii="宋体" w:cs="宋体"/>
          <w:b/>
        </w:rPr>
        <w:t>9</w:t>
      </w:r>
      <w:r>
        <w:rPr>
          <w:rFonts w:ascii="宋体" w:cs="宋体" w:hint="eastAsia"/>
          <w:b/>
        </w:rPr>
        <w:t>.3、重复性限和再现性限计算</w:t>
      </w:r>
    </w:p>
    <w:p>
      <w:pPr>
        <w:spacing w:beforeLines="50" w:before="156" w:afterLines="50" w:after="156"/>
        <w:ind w:firstLineChars="200" w:firstLine="420"/>
        <w:jc w:val="left"/>
        <w:rPr>
          <w:rFonts w:ascii="宋体" w:cs="宋体"/>
        </w:rPr>
      </w:pPr>
      <w:r>
        <w:rPr>
          <w:rFonts w:ascii="宋体" w:cs="宋体" w:hint="eastAsia"/>
        </w:rPr>
        <w:t>试验对</w:t>
      </w:r>
      <w:r>
        <w:rPr>
          <w:rFonts w:ascii="宋体" w:cs="宋体"/>
        </w:rPr>
        <w:t>4</w:t>
      </w:r>
      <w:r>
        <w:rPr>
          <w:rFonts w:ascii="宋体" w:cs="宋体" w:hint="eastAsia"/>
        </w:rPr>
        <w:t>种样品</w:t>
      </w:r>
      <w:r>
        <w:rPr>
          <w:rFonts w:ascii="宋体" w:cs="宋体"/>
        </w:rPr>
        <w:t>8</w:t>
      </w:r>
      <w:r>
        <w:rPr>
          <w:rFonts w:ascii="宋体" w:cs="宋体" w:hint="eastAsia"/>
        </w:rPr>
        <w:t>个水平样品所有保留数据进行了重复性限和再现性限计算，计算结果见数据统计报告。</w:t>
      </w:r>
    </w:p>
    <w:p>
      <w:pPr>
        <w:pStyle w:val="112"/>
        <w:tabs>
          <w:tab w:val="clear" w:pos="675"/>
        </w:tabs>
        <w:spacing w:beforeLines="50" w:before="156" w:afterLines="50" w:after="156"/>
        <w:jc w:val="left"/>
        <w:rPr>
          <w:rFonts w:ascii="宋体" w:cs="宋体" w:hAnsi="宋体"/>
        </w:rPr>
      </w:pPr>
      <w:r>
        <w:rPr>
          <w:rFonts w:ascii="宋体" w:eastAsia="宋体" w:cs="宋体" w:hint="eastAsia"/>
          <w:b/>
        </w:rPr>
        <w:t>2、方法2：</w:t>
      </w:r>
      <w:r>
        <w:rPr>
          <w:rFonts w:ascii="宋体" w:cs="宋体" w:hAnsi="宋体" w:hint="eastAsia"/>
          <w:szCs w:val="22"/>
        </w:rPr>
        <w:t>电感耦合等离子等离子体原子发射</w:t>
      </w:r>
      <w:r>
        <w:rPr>
          <w:rFonts w:ascii="宋体" w:cs="宋体" w:hAnsi="宋体" w:hint="eastAsia"/>
        </w:rPr>
        <w:t>光谱法:</w:t>
      </w:r>
    </w:p>
    <w:p>
      <w:pPr>
        <w:pStyle w:val="112"/>
        <w:tabs>
          <w:tab w:val="clear" w:pos="675"/>
        </w:tabs>
        <w:spacing w:beforeLines="50" w:before="156" w:afterLines="50" w:after="156"/>
        <w:jc w:val="left"/>
        <w:rPr>
          <w:rFonts w:ascii="宋体" w:eastAsia="宋体" w:cs="宋体"/>
          <w:b/>
          <w:szCs w:val="22"/>
        </w:rPr>
      </w:pPr>
      <w:r>
        <w:rPr>
          <w:rFonts w:ascii="宋体" w:eastAsia="宋体" w:cs="宋体"/>
          <w:b/>
          <w:szCs w:val="22"/>
        </w:rPr>
        <w:t>2</w:t>
      </w:r>
      <w:r>
        <w:rPr>
          <w:rFonts w:ascii="宋体" w:eastAsia="宋体" w:cs="宋体" w:hint="eastAsia"/>
          <w:b/>
          <w:szCs w:val="22"/>
        </w:rPr>
        <w:t>.1、标准工作曲线成分设计</w:t>
      </w:r>
    </w:p>
    <w:p>
      <w:pPr>
        <w:adjustRightInd w:val="0"/>
        <w:snapToGrid w:val="0"/>
        <w:spacing w:beforeLines="50" w:before="156" w:afterLines="50" w:after="156"/>
        <w:ind w:firstLineChars="200" w:firstLine="420"/>
        <w:rPr>
          <w:rFonts w:ascii="宋体" w:cs="宋体"/>
          <w:bCs/>
          <w:szCs w:val="21"/>
        </w:rPr>
      </w:pPr>
      <w:r>
        <w:rPr>
          <w:rFonts w:ascii="宋体" w:cs="宋体" w:hint="eastAsia"/>
          <w:bCs/>
          <w:szCs w:val="21"/>
        </w:rPr>
        <w:t>根据离子型稀土矿混合稀土氧化物产品</w:t>
      </w:r>
      <w:r>
        <w:rPr>
          <w:rFonts w:ascii="宋体" w:cs="宋体"/>
          <w:bCs/>
          <w:szCs w:val="21"/>
        </w:rPr>
        <w:t>标准GB/T 20169-2015</w:t>
      </w:r>
      <w:r>
        <w:rPr>
          <w:rFonts w:ascii="宋体" w:cs="宋体" w:hint="eastAsia"/>
          <w:bCs/>
          <w:szCs w:val="21"/>
        </w:rPr>
        <w:t>中</w:t>
      </w:r>
      <w:r>
        <w:rPr>
          <w:rFonts w:ascii="宋体" w:cs="宋体"/>
          <w:bCs/>
          <w:szCs w:val="21"/>
        </w:rPr>
        <w:t>规定</w:t>
      </w:r>
      <w:r>
        <w:rPr>
          <w:rFonts w:ascii="宋体" w:cs="宋体" w:hint="eastAsia"/>
          <w:bCs/>
          <w:szCs w:val="21"/>
        </w:rPr>
        <w:t>5个</w:t>
      </w:r>
      <w:r>
        <w:rPr>
          <w:rFonts w:ascii="宋体" w:cs="宋体"/>
          <w:bCs/>
          <w:szCs w:val="21"/>
        </w:rPr>
        <w:t>牌号产品配分量的成分值，原标准设计的标准</w:t>
      </w:r>
      <w:r>
        <w:rPr>
          <w:rFonts w:ascii="宋体" w:cs="宋体" w:hint="eastAsia"/>
          <w:bCs/>
          <w:szCs w:val="21"/>
        </w:rPr>
        <w:t>系列</w:t>
      </w:r>
      <w:r>
        <w:rPr>
          <w:rFonts w:ascii="宋体" w:cs="宋体"/>
          <w:bCs/>
          <w:szCs w:val="21"/>
        </w:rPr>
        <w:t>分为</w:t>
      </w:r>
      <w:r>
        <w:rPr>
          <w:rFonts w:ascii="宋体" w:cs="宋体" w:hint="eastAsia"/>
          <w:bCs/>
          <w:szCs w:val="21"/>
        </w:rPr>
        <w:t>高</w:t>
      </w:r>
      <w:r>
        <w:rPr>
          <w:rFonts w:ascii="宋体" w:cs="宋体"/>
          <w:bCs/>
          <w:szCs w:val="21"/>
        </w:rPr>
        <w:t>钇型和中钇及轻稀土型两</w:t>
      </w:r>
      <w:r>
        <w:rPr>
          <w:rFonts w:ascii="宋体" w:cs="宋体" w:hint="eastAsia"/>
          <w:bCs/>
          <w:szCs w:val="21"/>
        </w:rPr>
        <w:t>类</w:t>
      </w:r>
      <w:r>
        <w:rPr>
          <w:rFonts w:ascii="宋体" w:cs="宋体"/>
          <w:bCs/>
          <w:szCs w:val="21"/>
        </w:rPr>
        <w:t>，</w:t>
      </w:r>
      <w:r>
        <w:rPr>
          <w:rFonts w:ascii="宋体" w:cs="宋体" w:hint="eastAsia"/>
          <w:bCs/>
          <w:szCs w:val="21"/>
        </w:rPr>
        <w:t>测定</w:t>
      </w:r>
      <w:r>
        <w:rPr>
          <w:rFonts w:ascii="宋体" w:cs="宋体"/>
          <w:bCs/>
          <w:szCs w:val="21"/>
        </w:rPr>
        <w:t>时需</w:t>
      </w:r>
      <w:r>
        <w:rPr>
          <w:rFonts w:ascii="宋体" w:cs="宋体" w:hint="eastAsia"/>
          <w:bCs/>
          <w:szCs w:val="21"/>
        </w:rPr>
        <w:t>根据</w:t>
      </w:r>
      <w:r>
        <w:rPr>
          <w:rFonts w:ascii="宋体" w:cs="宋体"/>
          <w:bCs/>
          <w:szCs w:val="21"/>
        </w:rPr>
        <w:t>待测试样的稀土类型选择对应类型</w:t>
      </w:r>
      <w:r>
        <w:rPr>
          <w:rFonts w:ascii="宋体" w:cs="宋体" w:hint="eastAsia"/>
          <w:bCs/>
          <w:szCs w:val="21"/>
        </w:rPr>
        <w:t>系列</w:t>
      </w:r>
      <w:r>
        <w:rPr>
          <w:rFonts w:ascii="宋体" w:cs="宋体"/>
          <w:bCs/>
          <w:szCs w:val="21"/>
        </w:rPr>
        <w:t>标准溶液，过于繁杂且于实际样品的匹配度差异较大。试验</w:t>
      </w:r>
      <w:r>
        <w:rPr>
          <w:rFonts w:ascii="宋体" w:cs="宋体" w:hint="eastAsia"/>
          <w:bCs/>
          <w:szCs w:val="21"/>
        </w:rPr>
        <w:t>根据</w:t>
      </w:r>
      <w:r>
        <w:rPr>
          <w:rFonts w:ascii="宋体" w:cs="宋体"/>
          <w:bCs/>
          <w:szCs w:val="21"/>
        </w:rPr>
        <w:t>产品</w:t>
      </w:r>
      <w:r>
        <w:rPr>
          <w:rFonts w:ascii="宋体" w:cs="宋体" w:hint="eastAsia"/>
          <w:bCs/>
          <w:szCs w:val="21"/>
        </w:rPr>
        <w:t>轻</w:t>
      </w:r>
      <w:r>
        <w:rPr>
          <w:rFonts w:ascii="宋体" w:cs="宋体"/>
          <w:bCs/>
          <w:szCs w:val="21"/>
        </w:rPr>
        <w:t>、中、重</w:t>
      </w:r>
      <w:r>
        <w:rPr>
          <w:rFonts w:ascii="宋体" w:cs="宋体" w:hint="eastAsia"/>
          <w:bCs/>
          <w:szCs w:val="21"/>
        </w:rPr>
        <w:t>的</w:t>
      </w:r>
      <w:r>
        <w:rPr>
          <w:rFonts w:ascii="宋体" w:cs="宋体"/>
          <w:bCs/>
          <w:szCs w:val="21"/>
        </w:rPr>
        <w:t>特点将稀土元素分为了</w:t>
      </w:r>
      <w:r>
        <w:rPr>
          <w:rFonts w:ascii="宋体" w:cs="宋体" w:hint="eastAsia"/>
          <w:bCs/>
          <w:szCs w:val="21"/>
        </w:rPr>
        <w:t>3类</w:t>
      </w:r>
      <w:r>
        <w:rPr>
          <w:rFonts w:ascii="宋体" w:cs="宋体"/>
          <w:bCs/>
          <w:szCs w:val="21"/>
        </w:rPr>
        <w:t>：镧铈镨钕、钐铕钆、</w:t>
      </w:r>
      <w:r>
        <w:rPr>
          <w:rFonts w:ascii="宋体" w:cs="宋体" w:hint="eastAsia"/>
          <w:bCs/>
          <w:szCs w:val="21"/>
        </w:rPr>
        <w:t>钇</w:t>
      </w:r>
      <w:r>
        <w:rPr>
          <w:rFonts w:ascii="宋体" w:cs="宋体"/>
          <w:bCs/>
          <w:szCs w:val="21"/>
        </w:rPr>
        <w:t>铽镝钬铒铥镱镥</w:t>
      </w:r>
      <w:r>
        <w:rPr>
          <w:rFonts w:ascii="宋体" w:cs="宋体" w:hint="eastAsia"/>
          <w:bCs/>
          <w:szCs w:val="21"/>
        </w:rPr>
        <w:t>，</w:t>
      </w:r>
      <w:r>
        <w:rPr>
          <w:rFonts w:ascii="宋体" w:cs="宋体"/>
          <w:bCs/>
          <w:szCs w:val="21"/>
        </w:rPr>
        <w:t>进行总量一致交叉配置的方式，</w:t>
      </w:r>
      <w:r>
        <w:rPr>
          <w:rFonts w:ascii="宋体" w:cs="宋体" w:hint="eastAsia"/>
          <w:bCs/>
          <w:szCs w:val="21"/>
        </w:rPr>
        <w:t>这样不仅</w:t>
      </w:r>
      <w:r>
        <w:rPr>
          <w:rFonts w:ascii="宋体" w:cs="宋体"/>
          <w:bCs/>
          <w:szCs w:val="21"/>
        </w:rPr>
        <w:t>提高了标准</w:t>
      </w:r>
      <w:r>
        <w:rPr>
          <w:rFonts w:ascii="宋体" w:cs="宋体" w:hint="eastAsia"/>
          <w:bCs/>
          <w:szCs w:val="21"/>
        </w:rPr>
        <w:t>与</w:t>
      </w:r>
      <w:r>
        <w:rPr>
          <w:rFonts w:ascii="宋体" w:cs="宋体"/>
          <w:bCs/>
          <w:szCs w:val="21"/>
        </w:rPr>
        <w:t>实际样品的匹配度，</w:t>
      </w:r>
      <w:r>
        <w:rPr>
          <w:rFonts w:ascii="宋体" w:cs="宋体" w:hint="eastAsia"/>
          <w:bCs/>
          <w:szCs w:val="21"/>
        </w:rPr>
        <w:t>保证</w:t>
      </w:r>
      <w:r>
        <w:rPr>
          <w:rFonts w:ascii="宋体" w:cs="宋体"/>
          <w:bCs/>
          <w:szCs w:val="21"/>
        </w:rPr>
        <w:t>了测定准确性，同时</w:t>
      </w:r>
      <w:r>
        <w:rPr>
          <w:rFonts w:ascii="宋体" w:cs="宋体" w:hint="eastAsia"/>
          <w:bCs/>
          <w:szCs w:val="21"/>
        </w:rPr>
        <w:t>测定</w:t>
      </w:r>
      <w:r>
        <w:rPr>
          <w:rFonts w:ascii="宋体" w:cs="宋体"/>
          <w:bCs/>
          <w:szCs w:val="21"/>
        </w:rPr>
        <w:t>时只</w:t>
      </w:r>
      <w:r>
        <w:rPr>
          <w:rFonts w:ascii="宋体" w:cs="宋体" w:hint="eastAsia"/>
          <w:bCs/>
          <w:szCs w:val="21"/>
        </w:rPr>
        <w:t>使用一套系列</w:t>
      </w:r>
      <w:r>
        <w:rPr>
          <w:rFonts w:ascii="宋体" w:cs="宋体"/>
          <w:bCs/>
          <w:szCs w:val="21"/>
        </w:rPr>
        <w:t>标准</w:t>
      </w:r>
      <w:r>
        <w:rPr>
          <w:rFonts w:ascii="宋体" w:cs="宋体" w:hint="eastAsia"/>
          <w:bCs/>
          <w:szCs w:val="21"/>
        </w:rPr>
        <w:t>溶液即可</w:t>
      </w:r>
      <w:r>
        <w:rPr>
          <w:rFonts w:ascii="宋体" w:cs="宋体"/>
          <w:bCs/>
          <w:szCs w:val="21"/>
        </w:rPr>
        <w:t>，</w:t>
      </w:r>
      <w:r>
        <w:rPr>
          <w:rFonts w:ascii="宋体" w:cs="宋体" w:hint="eastAsia"/>
          <w:bCs/>
          <w:szCs w:val="21"/>
        </w:rPr>
        <w:t>便于</w:t>
      </w:r>
      <w:r>
        <w:rPr>
          <w:rFonts w:ascii="宋体" w:cs="宋体"/>
          <w:bCs/>
          <w:szCs w:val="21"/>
        </w:rPr>
        <w:t>操作。</w:t>
      </w:r>
      <w:r>
        <w:rPr>
          <w:rFonts w:ascii="宋体" w:cs="宋体" w:hint="eastAsia"/>
          <w:bCs/>
          <w:szCs w:val="21"/>
        </w:rPr>
        <w:t>系列标准溶液</w:t>
      </w:r>
      <w:r>
        <w:rPr>
          <w:rFonts w:ascii="宋体" w:cs="宋体"/>
          <w:bCs/>
          <w:szCs w:val="21"/>
        </w:rPr>
        <w:t>中</w:t>
      </w:r>
      <w:r>
        <w:rPr>
          <w:rFonts w:ascii="宋体" w:cs="宋体" w:hint="eastAsia"/>
          <w:bCs/>
          <w:szCs w:val="21"/>
        </w:rPr>
        <w:t>各稀土</w:t>
      </w:r>
      <w:r>
        <w:rPr>
          <w:rFonts w:ascii="宋体" w:cs="宋体"/>
          <w:bCs/>
          <w:szCs w:val="21"/>
        </w:rPr>
        <w:t>元素氧化物配分值见表9</w:t>
      </w:r>
      <w:r>
        <w:rPr>
          <w:rFonts w:ascii="宋体" w:cs="宋体" w:hint="eastAsia"/>
          <w:bCs/>
          <w:szCs w:val="21"/>
        </w:rPr>
        <w:t>：</w:t>
      </w:r>
    </w:p>
    <w:p>
      <w:pPr>
        <w:jc w:val="center"/>
        <w:rPr>
          <w:rFonts w:ascii="宋体"/>
          <w:b/>
          <w:kern w:val="0"/>
          <w:szCs w:val="20"/>
        </w:rPr>
      </w:pPr>
      <w:r>
        <w:rPr>
          <w:rFonts w:ascii="宋体"/>
          <w:b/>
          <w:kern w:val="0"/>
          <w:szCs w:val="20"/>
        </w:rPr>
        <w:t>表9　系列标准</w:t>
      </w:r>
      <w:r>
        <w:rPr>
          <w:rFonts w:ascii="宋体" w:hint="eastAsia"/>
          <w:b/>
          <w:kern w:val="0"/>
          <w:szCs w:val="20"/>
        </w:rPr>
        <w:t>溶液中</w:t>
      </w:r>
      <w:r>
        <w:rPr>
          <w:rFonts w:ascii="宋体"/>
          <w:b/>
          <w:kern w:val="0"/>
          <w:szCs w:val="20"/>
        </w:rPr>
        <w:t>各稀土氧化物质量分数表</w:t>
      </w:r>
    </w:p>
    <w:p>
      <w:pPr>
        <w:jc w:val="right"/>
        <w:rPr>
          <w:rFonts w:ascii="宋体"/>
          <w:kern w:val="0"/>
          <w:sz w:val="18"/>
          <w:szCs w:val="20"/>
        </w:rPr>
      </w:pPr>
      <w:r>
        <w:rPr>
          <w:rFonts w:ascii="宋体"/>
          <w:sz w:val="18"/>
        </w:rPr>
        <w:t>单位：%</w:t>
      </w:r>
    </w:p>
    <w:tbl>
      <w:tblPr>
        <w:jc w:val="left"/>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986"/>
        <w:gridCol w:w="1093"/>
        <w:gridCol w:w="1093"/>
        <w:gridCol w:w="1093"/>
        <w:gridCol w:w="1093"/>
        <w:gridCol w:w="1093"/>
        <w:gridCol w:w="1093"/>
        <w:gridCol w:w="1093"/>
        <w:gridCol w:w="1087"/>
      </w:tblGrid>
      <w:tr>
        <w:trPr>
          <w:trHeight w:val="351"/>
        </w:trPr>
        <w:tc>
          <w:tcPr>
            <w:tcW w:w="507" w:type="pct"/>
            <w:tcBorders>
              <w:top w:val="single" w:sz="12" w:space="0" w:color="auto"/>
              <w:bottom w:val="single" w:sz="12" w:space="0" w:color="auto"/>
              <w:right w:val="single" w:sz="6" w:space="0" w:color="auto"/>
            </w:tcBorders>
            <w:shd w:val="clear" w:color="auto" w:fill="auto"/>
            <w:noWrap/>
            <w:vAlign w:val="center"/>
          </w:tcPr>
          <w:p>
            <w:pPr>
              <w:widowControl/>
              <w:jc w:val="center"/>
              <w:rPr>
                <w:rFonts w:ascii="宋体"/>
                <w:sz w:val="18"/>
                <w:szCs w:val="18"/>
              </w:rPr>
            </w:pPr>
            <w:r>
              <w:rPr>
                <w:rFonts w:ascii="宋体"/>
                <w:sz w:val="18"/>
                <w:szCs w:val="18"/>
              </w:rPr>
              <w:t>序号</w:t>
            </w:r>
          </w:p>
        </w:tc>
        <w:tc>
          <w:tcPr>
            <w:tcW w:w="562" w:type="pct"/>
            <w:tcBorders>
              <w:top w:val="single" w:sz="12" w:space="0" w:color="auto"/>
              <w:left w:val="single" w:sz="6" w:space="0" w:color="auto"/>
              <w:bottom w:val="single" w:sz="12" w:space="0" w:color="auto"/>
            </w:tcBorders>
            <w:shd w:val="clear" w:color="auto" w:fill="auto"/>
            <w:noWrap/>
            <w:vAlign w:val="center"/>
          </w:tcPr>
          <w:p>
            <w:pPr>
              <w:jc w:val="center"/>
              <w:rPr>
                <w:rFonts w:ascii="宋体"/>
                <w:color w:val="000000"/>
                <w:sz w:val="18"/>
                <w:szCs w:val="18"/>
              </w:rPr>
            </w:pPr>
            <w:r>
              <w:rPr>
                <w:rFonts w:ascii="宋体"/>
                <w:color w:val="000000"/>
                <w:sz w:val="18"/>
                <w:szCs w:val="18"/>
              </w:rPr>
              <w:t>La</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CeO</w:t>
            </w:r>
            <w:r>
              <w:rPr>
                <w:rFonts w:ascii="宋体"/>
                <w:color w:val="000000"/>
                <w:sz w:val="18"/>
                <w:szCs w:val="18"/>
                <w:vertAlign w:val="subscript"/>
              </w:rPr>
              <w:t>2</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Pr</w:t>
            </w:r>
            <w:r>
              <w:rPr>
                <w:rFonts w:ascii="宋体"/>
                <w:color w:val="000000"/>
                <w:sz w:val="18"/>
                <w:szCs w:val="18"/>
                <w:vertAlign w:val="subscript"/>
              </w:rPr>
              <w:t>6</w:t>
            </w:r>
            <w:r>
              <w:rPr>
                <w:rFonts w:ascii="宋体"/>
                <w:color w:val="000000"/>
                <w:sz w:val="18"/>
                <w:szCs w:val="18"/>
              </w:rPr>
              <w:t>O</w:t>
            </w:r>
            <w:r>
              <w:rPr>
                <w:rFonts w:ascii="宋体"/>
                <w:color w:val="000000"/>
                <w:sz w:val="18"/>
                <w:szCs w:val="18"/>
                <w:vertAlign w:val="subscript"/>
              </w:rPr>
              <w:t>11</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Nd</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Sm</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Eu</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Gd</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single" w:sz="12" w:space="0" w:color="auto"/>
              <w:left w:val="single" w:sz="6" w:space="0" w:color="auto"/>
              <w:bottom w:val="single" w:sz="12" w:space="0" w:color="auto"/>
            </w:tcBorders>
            <w:shd w:val="clear" w:color="auto" w:fill="auto"/>
            <w:vAlign w:val="center"/>
          </w:tcPr>
          <w:p>
            <w:pPr>
              <w:jc w:val="center"/>
              <w:rPr>
                <w:rFonts w:ascii="宋体"/>
                <w:color w:val="000000"/>
                <w:sz w:val="18"/>
                <w:szCs w:val="18"/>
              </w:rPr>
            </w:pPr>
            <w:r>
              <w:rPr>
                <w:rFonts w:ascii="宋体"/>
                <w:color w:val="000000"/>
                <w:sz w:val="18"/>
                <w:szCs w:val="18"/>
              </w:rPr>
              <w:t>Tb</w:t>
            </w:r>
            <w:r>
              <w:rPr>
                <w:rFonts w:ascii="宋体"/>
                <w:color w:val="000000"/>
                <w:sz w:val="18"/>
                <w:szCs w:val="18"/>
                <w:vertAlign w:val="subscript"/>
              </w:rPr>
              <w:t>4</w:t>
            </w:r>
            <w:r>
              <w:rPr>
                <w:rFonts w:ascii="宋体"/>
                <w:color w:val="000000"/>
                <w:sz w:val="18"/>
                <w:szCs w:val="18"/>
              </w:rPr>
              <w:t>O</w:t>
            </w:r>
            <w:r>
              <w:rPr>
                <w:rFonts w:ascii="宋体"/>
                <w:color w:val="000000"/>
                <w:sz w:val="18"/>
                <w:szCs w:val="18"/>
                <w:vertAlign w:val="subscript"/>
              </w:rPr>
              <w:t>7</w:t>
            </w:r>
          </w:p>
        </w:tc>
      </w:tr>
      <w:tr>
        <w:trPr>
          <w:trHeight w:val="255"/>
        </w:trPr>
        <w:tc>
          <w:tcPr>
            <w:tcW w:w="507" w:type="pct"/>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1</w:t>
            </w:r>
          </w:p>
        </w:tc>
        <w:tc>
          <w:tcPr>
            <w:tcW w:w="562" w:type="pct"/>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vAlign w:val="center"/>
          </w:tcPr>
          <w:p>
            <w:pPr>
              <w:widowControl/>
              <w:jc w:val="center"/>
              <w:rPr>
                <w:rFonts w:ascii="宋体"/>
                <w:sz w:val="18"/>
                <w:szCs w:val="18"/>
              </w:rPr>
            </w:pPr>
            <w:r>
              <w:rPr>
                <w:rFonts w:ascii="宋体"/>
                <w:sz w:val="18"/>
                <w:szCs w:val="18"/>
              </w:rPr>
              <w:t>0.00</w:t>
            </w:r>
          </w:p>
        </w:tc>
        <w:tc>
          <w:tcPr>
            <w:tcW w:w="562" w:type="pct"/>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2.00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2</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4.90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10.00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2.50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0.20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1.60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3</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13.90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13.90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3.00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0.60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3.00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1.20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4</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17.60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6.40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7.00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18.00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5.00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5.00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0.80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5</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24.60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12.00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5.00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23.00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7.00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1.40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7.00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0.40</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6</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32.00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41.10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9.00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1.80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9.00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w:t>
            </w:r>
          </w:p>
        </w:tc>
      </w:tr>
      <w:tr>
        <w:trPr>
          <w:trHeight w:val="255"/>
        </w:trPr>
        <w:tc>
          <w:tcPr>
            <w:tcW w:w="507" w:type="pct"/>
            <w:tcBorders>
              <w:bottom w:val="double" w:sz="4" w:space="0" w:color="auto"/>
            </w:tcBorders>
            <w:shd w:val="clear" w:color="auto" w:fill="auto"/>
            <w:noWrap/>
            <w:vAlign w:val="center"/>
          </w:tcPr>
          <w:p>
            <w:pPr>
              <w:widowControl/>
              <w:jc w:val="center"/>
              <w:rPr>
                <w:rFonts w:ascii="宋体"/>
                <w:sz w:val="18"/>
                <w:szCs w:val="18"/>
              </w:rPr>
            </w:pPr>
            <w:r>
              <w:rPr>
                <w:rFonts w:ascii="宋体"/>
                <w:sz w:val="18"/>
                <w:szCs w:val="18"/>
              </w:rPr>
              <w:t>7</w:t>
            </w:r>
          </w:p>
        </w:tc>
        <w:tc>
          <w:tcPr>
            <w:tcW w:w="562" w:type="pct"/>
            <w:tcBorders>
              <w:bottom w:val="double" w:sz="4" w:space="0" w:color="auto"/>
            </w:tcBorders>
            <w:shd w:val="clear" w:color="auto" w:fill="auto"/>
            <w:noWrap/>
            <w:vAlign w:val="center"/>
          </w:tcPr>
          <w:p>
            <w:pPr>
              <w:widowControl/>
              <w:jc w:val="center"/>
              <w:rPr>
                <w:rFonts w:ascii="宋体"/>
                <w:sz w:val="18"/>
                <w:szCs w:val="18"/>
              </w:rPr>
            </w:pPr>
            <w:r>
              <w:rPr>
                <w:rFonts w:ascii="宋体"/>
                <w:sz w:val="18"/>
                <w:szCs w:val="18"/>
              </w:rPr>
              <w:t>47.00</w:t>
            </w:r>
          </w:p>
        </w:tc>
        <w:tc>
          <w:tcPr>
            <w:tcW w:w="562" w:type="pct"/>
            <w:tcBorders>
              <w:bottom w:val="double" w:sz="4" w:space="0" w:color="auto"/>
            </w:tcBorders>
            <w:shd w:val="clear" w:color="auto" w:fill="auto"/>
            <w:vAlign w:val="center"/>
          </w:tcPr>
          <w:p>
            <w:pPr>
              <w:widowControl/>
              <w:jc w:val="center"/>
              <w:rPr>
                <w:rFonts w:ascii="宋体"/>
                <w:sz w:val="18"/>
                <w:szCs w:val="18"/>
              </w:rPr>
            </w:pPr>
            <w:r>
              <w:rPr>
                <w:rFonts w:ascii="宋体"/>
                <w:sz w:val="18"/>
                <w:szCs w:val="18"/>
              </w:rPr>
              <w:t>20.00</w:t>
            </w:r>
          </w:p>
        </w:tc>
        <w:tc>
          <w:tcPr>
            <w:tcW w:w="562" w:type="pct"/>
            <w:tcBorders>
              <w:bottom w:val="double" w:sz="4" w:space="0" w:color="auto"/>
            </w:tcBorders>
            <w:shd w:val="clear" w:color="auto" w:fill="auto"/>
            <w:vAlign w:val="center"/>
          </w:tcPr>
          <w:p>
            <w:pPr>
              <w:widowControl/>
              <w:jc w:val="center"/>
              <w:rPr>
                <w:rFonts w:ascii="宋体"/>
                <w:sz w:val="18"/>
                <w:szCs w:val="18"/>
              </w:rPr>
            </w:pPr>
            <w:r>
              <w:rPr>
                <w:rFonts w:ascii="宋体"/>
                <w:sz w:val="18"/>
                <w:szCs w:val="18"/>
              </w:rPr>
              <w:t>1.00</w:t>
            </w:r>
          </w:p>
        </w:tc>
        <w:tc>
          <w:tcPr>
            <w:tcW w:w="562" w:type="pct"/>
            <w:tcBorders>
              <w:bottom w:val="double" w:sz="4" w:space="0" w:color="auto"/>
            </w:tcBorders>
            <w:shd w:val="clear" w:color="auto" w:fill="auto"/>
            <w:vAlign w:val="center"/>
          </w:tcPr>
          <w:p>
            <w:pPr>
              <w:widowControl/>
              <w:jc w:val="center"/>
              <w:rPr>
                <w:rFonts w:ascii="宋体"/>
                <w:sz w:val="18"/>
                <w:szCs w:val="18"/>
              </w:rPr>
            </w:pPr>
            <w:r>
              <w:rPr>
                <w:rFonts w:ascii="宋体"/>
                <w:sz w:val="18"/>
                <w:szCs w:val="18"/>
              </w:rPr>
              <w:t>10.00</w:t>
            </w:r>
          </w:p>
        </w:tc>
        <w:tc>
          <w:tcPr>
            <w:tcW w:w="562" w:type="pct"/>
            <w:tcBorders>
              <w:bottom w:val="double" w:sz="4" w:space="0" w:color="auto"/>
            </w:tcBorders>
            <w:shd w:val="clear" w:color="auto" w:fill="auto"/>
            <w:vAlign w:val="center"/>
          </w:tcPr>
          <w:p>
            <w:pPr>
              <w:widowControl/>
              <w:jc w:val="center"/>
              <w:rPr>
                <w:rFonts w:ascii="宋体"/>
                <w:sz w:val="18"/>
                <w:szCs w:val="18"/>
              </w:rPr>
            </w:pPr>
            <w:r>
              <w:rPr>
                <w:rFonts w:ascii="宋体"/>
                <w:sz w:val="18"/>
                <w:szCs w:val="18"/>
              </w:rPr>
              <w:t>10.00</w:t>
            </w:r>
          </w:p>
        </w:tc>
        <w:tc>
          <w:tcPr>
            <w:tcW w:w="562" w:type="pct"/>
            <w:tcBorders>
              <w:bottom w:val="double" w:sz="4" w:space="0" w:color="auto"/>
            </w:tcBorders>
            <w:vAlign w:val="center"/>
          </w:tcPr>
          <w:p>
            <w:pPr>
              <w:widowControl/>
              <w:jc w:val="center"/>
              <w:rPr>
                <w:rFonts w:ascii="宋体"/>
                <w:sz w:val="18"/>
                <w:szCs w:val="18"/>
              </w:rPr>
            </w:pPr>
            <w:r>
              <w:rPr>
                <w:rFonts w:ascii="宋体"/>
                <w:sz w:val="18"/>
                <w:szCs w:val="18"/>
              </w:rPr>
              <w:t>0.050</w:t>
            </w:r>
          </w:p>
        </w:tc>
        <w:tc>
          <w:tcPr>
            <w:tcW w:w="562" w:type="pct"/>
            <w:tcBorders>
              <w:bottom w:val="double" w:sz="4" w:space="0" w:color="auto"/>
            </w:tcBorders>
            <w:vAlign w:val="center"/>
          </w:tcPr>
          <w:p>
            <w:pPr>
              <w:widowControl/>
              <w:jc w:val="center"/>
              <w:rPr>
                <w:rFonts w:ascii="宋体"/>
                <w:sz w:val="18"/>
                <w:szCs w:val="18"/>
              </w:rPr>
            </w:pPr>
            <w:r>
              <w:rPr>
                <w:rFonts w:ascii="宋体"/>
                <w:sz w:val="18"/>
                <w:szCs w:val="18"/>
              </w:rPr>
              <w:t>10.00</w:t>
            </w:r>
          </w:p>
        </w:tc>
        <w:tc>
          <w:tcPr>
            <w:tcW w:w="562" w:type="pct"/>
            <w:tcBorders>
              <w:bottom w:val="double" w:sz="4" w:space="0" w:color="auto"/>
            </w:tcBorders>
            <w:shd w:val="clear" w:color="auto" w:fill="auto"/>
            <w:vAlign w:val="center"/>
          </w:tcPr>
          <w:p>
            <w:pPr>
              <w:widowControl/>
              <w:jc w:val="center"/>
              <w:rPr>
                <w:rFonts w:ascii="宋体"/>
                <w:sz w:val="18"/>
                <w:szCs w:val="18"/>
              </w:rPr>
            </w:pPr>
            <w:r>
              <w:rPr>
                <w:rFonts w:ascii="宋体"/>
                <w:sz w:val="18"/>
                <w:szCs w:val="18"/>
              </w:rPr>
              <w:t>0.050</w:t>
            </w:r>
          </w:p>
        </w:tc>
      </w:tr>
      <w:tr>
        <w:trPr>
          <w:trHeight w:val="313"/>
        </w:trPr>
        <w:tc>
          <w:tcPr>
            <w:tcW w:w="507" w:type="pct"/>
            <w:tcBorders>
              <w:top w:val="doub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序号</w:t>
            </w:r>
          </w:p>
        </w:tc>
        <w:tc>
          <w:tcPr>
            <w:tcW w:w="562" w:type="pct"/>
            <w:tcBorders>
              <w:top w:val="double" w:sz="4" w:space="0" w:color="auto"/>
              <w:bottom w:val="single" w:sz="4" w:space="0" w:color="auto"/>
            </w:tcBorders>
            <w:shd w:val="clear" w:color="auto" w:fill="auto"/>
            <w:noWrap/>
            <w:vAlign w:val="center"/>
          </w:tcPr>
          <w:p>
            <w:pPr>
              <w:jc w:val="center"/>
              <w:rPr>
                <w:rFonts w:ascii="宋体"/>
                <w:color w:val="000000"/>
                <w:sz w:val="18"/>
                <w:szCs w:val="18"/>
              </w:rPr>
            </w:pPr>
            <w:r>
              <w:rPr>
                <w:rFonts w:ascii="宋体"/>
                <w:color w:val="000000"/>
                <w:sz w:val="18"/>
                <w:szCs w:val="18"/>
              </w:rPr>
              <w:t>Dy</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Ho</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Er</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Tm</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Yb</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vAlign w:val="center"/>
          </w:tcPr>
          <w:p>
            <w:pPr>
              <w:jc w:val="center"/>
              <w:rPr>
                <w:rFonts w:ascii="宋体"/>
                <w:color w:val="000000"/>
                <w:sz w:val="18"/>
                <w:szCs w:val="18"/>
              </w:rPr>
            </w:pPr>
            <w:r>
              <w:rPr>
                <w:rFonts w:ascii="宋体"/>
                <w:color w:val="000000"/>
                <w:sz w:val="18"/>
                <w:szCs w:val="18"/>
              </w:rPr>
              <w:t>Lu</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vAlign w:val="center"/>
          </w:tcPr>
          <w:p>
            <w:pPr>
              <w:jc w:val="center"/>
              <w:rPr>
                <w:rFonts w:ascii="宋体"/>
                <w:color w:val="000000"/>
                <w:sz w:val="18"/>
                <w:szCs w:val="18"/>
              </w:rPr>
            </w:pPr>
            <w:r>
              <w:rPr>
                <w:rFonts w:ascii="宋体"/>
                <w:color w:val="000000"/>
                <w:sz w:val="18"/>
                <w:szCs w:val="18"/>
              </w:rPr>
              <w:t>Y</w:t>
            </w:r>
            <w:r>
              <w:rPr>
                <w:rFonts w:ascii="宋体"/>
                <w:color w:val="000000"/>
                <w:sz w:val="18"/>
                <w:szCs w:val="18"/>
                <w:vertAlign w:val="subscript"/>
              </w:rPr>
              <w:t>2</w:t>
            </w:r>
            <w:r>
              <w:rPr>
                <w:rFonts w:ascii="宋体"/>
                <w:color w:val="000000"/>
                <w:sz w:val="18"/>
                <w:szCs w:val="18"/>
              </w:rPr>
              <w:t>O</w:t>
            </w:r>
            <w:r>
              <w:rPr>
                <w:rFonts w:ascii="宋体"/>
                <w:color w:val="000000"/>
                <w:sz w:val="18"/>
                <w:szCs w:val="18"/>
                <w:vertAlign w:val="subscript"/>
              </w:rPr>
              <w:t>3</w:t>
            </w:r>
          </w:p>
        </w:tc>
        <w:tc>
          <w:tcPr>
            <w:tcW w:w="562" w:type="pct"/>
            <w:tcBorders>
              <w:top w:val="doub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w:t>
            </w:r>
          </w:p>
        </w:tc>
      </w:tr>
      <w:tr>
        <w:trPr>
          <w:trHeight w:val="255"/>
        </w:trPr>
        <w:tc>
          <w:tcPr>
            <w:tcW w:w="507" w:type="pct"/>
            <w:tcBorders>
              <w:top w:val="single" w:sz="4" w:space="0" w:color="auto"/>
            </w:tcBorders>
            <w:shd w:val="clear" w:color="auto" w:fill="auto"/>
            <w:noWrap/>
            <w:vAlign w:val="center"/>
          </w:tcPr>
          <w:p>
            <w:pPr>
              <w:widowControl/>
              <w:jc w:val="center"/>
              <w:rPr>
                <w:rFonts w:ascii="宋体"/>
                <w:sz w:val="18"/>
                <w:szCs w:val="18"/>
              </w:rPr>
            </w:pPr>
            <w:r>
              <w:rPr>
                <w:rFonts w:ascii="宋体"/>
                <w:sz w:val="18"/>
                <w:szCs w:val="18"/>
              </w:rPr>
              <w:t>1</w:t>
            </w:r>
          </w:p>
        </w:tc>
        <w:tc>
          <w:tcPr>
            <w:tcW w:w="562" w:type="pct"/>
            <w:tcBorders>
              <w:top w:val="single" w:sz="4" w:space="0" w:color="auto"/>
            </w:tcBorders>
            <w:shd w:val="clear" w:color="auto" w:fill="auto"/>
            <w:noWrap/>
            <w:vAlign w:val="center"/>
          </w:tcPr>
          <w:p>
            <w:pPr>
              <w:widowControl/>
              <w:jc w:val="center"/>
              <w:rPr>
                <w:rFonts w:ascii="宋体"/>
                <w:sz w:val="18"/>
                <w:szCs w:val="18"/>
              </w:rPr>
            </w:pPr>
            <w:r>
              <w:rPr>
                <w:rFonts w:ascii="宋体"/>
                <w:sz w:val="18"/>
                <w:szCs w:val="18"/>
              </w:rPr>
              <w:t>12.00</w:t>
            </w:r>
          </w:p>
        </w:tc>
        <w:tc>
          <w:tcPr>
            <w:tcW w:w="562" w:type="pct"/>
            <w:tcBorders>
              <w:top w:val="single" w:sz="4" w:space="0" w:color="auto"/>
            </w:tcBorders>
            <w:shd w:val="clear" w:color="auto" w:fill="auto"/>
            <w:vAlign w:val="center"/>
          </w:tcPr>
          <w:p>
            <w:pPr>
              <w:widowControl/>
              <w:jc w:val="center"/>
              <w:rPr>
                <w:rFonts w:ascii="宋体"/>
                <w:sz w:val="18"/>
                <w:szCs w:val="18"/>
              </w:rPr>
            </w:pPr>
            <w:r>
              <w:rPr>
                <w:rFonts w:ascii="宋体"/>
                <w:sz w:val="18"/>
                <w:szCs w:val="18"/>
              </w:rPr>
              <w:t>3.00</w:t>
            </w:r>
          </w:p>
        </w:tc>
        <w:tc>
          <w:tcPr>
            <w:tcW w:w="562" w:type="pct"/>
            <w:tcBorders>
              <w:top w:val="single" w:sz="4" w:space="0" w:color="auto"/>
            </w:tcBorders>
            <w:shd w:val="clear" w:color="auto" w:fill="auto"/>
            <w:vAlign w:val="center"/>
          </w:tcPr>
          <w:p>
            <w:pPr>
              <w:widowControl/>
              <w:jc w:val="center"/>
              <w:rPr>
                <w:rFonts w:ascii="宋体"/>
                <w:sz w:val="18"/>
                <w:szCs w:val="18"/>
              </w:rPr>
            </w:pPr>
            <w:r>
              <w:rPr>
                <w:rFonts w:ascii="宋体"/>
                <w:sz w:val="18"/>
                <w:szCs w:val="18"/>
              </w:rPr>
              <w:t>5.00</w:t>
            </w:r>
          </w:p>
        </w:tc>
        <w:tc>
          <w:tcPr>
            <w:tcW w:w="562" w:type="pct"/>
            <w:tcBorders>
              <w:top w:val="single" w:sz="4" w:space="0" w:color="auto"/>
            </w:tcBorders>
            <w:shd w:val="clear" w:color="auto" w:fill="auto"/>
            <w:vAlign w:val="center"/>
          </w:tcPr>
          <w:p>
            <w:pPr>
              <w:widowControl/>
              <w:jc w:val="center"/>
              <w:rPr>
                <w:rFonts w:ascii="宋体"/>
                <w:sz w:val="18"/>
                <w:szCs w:val="18"/>
              </w:rPr>
            </w:pPr>
            <w:r>
              <w:rPr>
                <w:rFonts w:ascii="宋体"/>
                <w:sz w:val="18"/>
                <w:szCs w:val="18"/>
              </w:rPr>
              <w:t>2.00</w:t>
            </w:r>
          </w:p>
        </w:tc>
        <w:tc>
          <w:tcPr>
            <w:tcW w:w="562" w:type="pct"/>
            <w:tcBorders>
              <w:top w:val="single" w:sz="4" w:space="0" w:color="auto"/>
            </w:tcBorders>
            <w:shd w:val="clear" w:color="auto" w:fill="auto"/>
            <w:vAlign w:val="center"/>
          </w:tcPr>
          <w:p>
            <w:pPr>
              <w:widowControl/>
              <w:jc w:val="center"/>
              <w:rPr>
                <w:rFonts w:ascii="宋体"/>
                <w:sz w:val="18"/>
                <w:szCs w:val="18"/>
              </w:rPr>
            </w:pPr>
            <w:r>
              <w:rPr>
                <w:rFonts w:ascii="宋体"/>
                <w:sz w:val="18"/>
                <w:szCs w:val="18"/>
              </w:rPr>
              <w:t>5.00</w:t>
            </w:r>
          </w:p>
        </w:tc>
        <w:tc>
          <w:tcPr>
            <w:tcW w:w="562" w:type="pct"/>
            <w:tcBorders>
              <w:top w:val="single" w:sz="4" w:space="0" w:color="auto"/>
            </w:tcBorders>
            <w:vAlign w:val="center"/>
          </w:tcPr>
          <w:p>
            <w:pPr>
              <w:widowControl/>
              <w:jc w:val="center"/>
              <w:rPr>
                <w:rFonts w:ascii="宋体"/>
                <w:sz w:val="18"/>
                <w:szCs w:val="18"/>
              </w:rPr>
            </w:pPr>
            <w:r>
              <w:rPr>
                <w:rFonts w:ascii="宋体"/>
                <w:sz w:val="18"/>
                <w:szCs w:val="18"/>
              </w:rPr>
              <w:t>2.00</w:t>
            </w:r>
          </w:p>
        </w:tc>
        <w:tc>
          <w:tcPr>
            <w:tcW w:w="562" w:type="pct"/>
            <w:tcBorders>
              <w:top w:val="single" w:sz="4" w:space="0" w:color="auto"/>
            </w:tcBorders>
            <w:vAlign w:val="center"/>
          </w:tcPr>
          <w:p>
            <w:pPr>
              <w:widowControl/>
              <w:jc w:val="center"/>
              <w:rPr>
                <w:rFonts w:ascii="宋体"/>
                <w:sz w:val="18"/>
                <w:szCs w:val="18"/>
              </w:rPr>
            </w:pPr>
            <w:r>
              <w:rPr>
                <w:rFonts w:ascii="宋体"/>
                <w:sz w:val="18"/>
                <w:szCs w:val="18"/>
              </w:rPr>
              <w:t>69.00</w:t>
            </w:r>
          </w:p>
        </w:tc>
        <w:tc>
          <w:tcPr>
            <w:tcW w:w="562" w:type="pct"/>
            <w:tcBorders>
              <w:top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2</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9.60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4.00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4.00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1.60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55.20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3</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7.20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1.80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3.00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1.20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3.00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1.20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41.40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4</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4.80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1.20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0.80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0.80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27.60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5</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2.40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1.00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0.40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1.00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0.40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13.80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507"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6</w:t>
            </w:r>
          </w:p>
        </w:tc>
        <w:tc>
          <w:tcPr>
            <w:tcW w:w="56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0.60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0.15</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0.25</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0.25</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0.10</w:t>
            </w:r>
          </w:p>
        </w:tc>
        <w:tc>
          <w:tcPr>
            <w:tcW w:w="562" w:type="pct"/>
            <w:tcBorders>
              <w:left w:val="single" w:sz="4" w:space="0" w:color="auto"/>
              <w:right w:val="single" w:sz="4" w:space="0" w:color="auto"/>
            </w:tcBorders>
            <w:vAlign w:val="center"/>
          </w:tcPr>
          <w:p>
            <w:pPr>
              <w:widowControl/>
              <w:jc w:val="center"/>
              <w:rPr>
                <w:rFonts w:ascii="宋体"/>
                <w:sz w:val="18"/>
                <w:szCs w:val="18"/>
              </w:rPr>
            </w:pPr>
            <w:r>
              <w:rPr>
                <w:rFonts w:ascii="宋体"/>
                <w:sz w:val="18"/>
                <w:szCs w:val="18"/>
              </w:rPr>
              <w:t>3.45</w:t>
            </w:r>
          </w:p>
        </w:tc>
        <w:tc>
          <w:tcPr>
            <w:tcW w:w="56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77"/>
        </w:trPr>
        <w:tc>
          <w:tcPr>
            <w:tcW w:w="507" w:type="pct"/>
            <w:tcBorders>
              <w:bottom w:val="single" w:sz="12" w:space="0" w:color="auto"/>
            </w:tcBorders>
            <w:shd w:val="clear" w:color="auto" w:fill="auto"/>
            <w:noWrap/>
            <w:vAlign w:val="center"/>
          </w:tcPr>
          <w:p>
            <w:pPr>
              <w:widowControl/>
              <w:jc w:val="center"/>
              <w:rPr>
                <w:rFonts w:ascii="宋体"/>
                <w:sz w:val="18"/>
                <w:szCs w:val="18"/>
              </w:rPr>
            </w:pPr>
            <w:r>
              <w:rPr>
                <w:rFonts w:ascii="宋体"/>
                <w:sz w:val="18"/>
                <w:szCs w:val="18"/>
              </w:rPr>
              <w:t>7</w:t>
            </w:r>
          </w:p>
        </w:tc>
        <w:tc>
          <w:tcPr>
            <w:tcW w:w="562" w:type="pct"/>
            <w:tcBorders>
              <w:bottom w:val="single" w:sz="12" w:space="0" w:color="auto"/>
            </w:tcBorders>
            <w:shd w:val="clear" w:color="auto" w:fill="auto"/>
            <w:noWrap/>
            <w:vAlign w:val="center"/>
          </w:tcPr>
          <w:p>
            <w:pPr>
              <w:widowControl/>
              <w:jc w:val="center"/>
              <w:rPr>
                <w:rFonts w:ascii="宋体"/>
                <w:sz w:val="18"/>
                <w:szCs w:val="18"/>
              </w:rPr>
            </w:pPr>
            <w:r>
              <w:rPr>
                <w:rFonts w:ascii="宋体"/>
                <w:sz w:val="18"/>
                <w:szCs w:val="18"/>
              </w:rPr>
              <w:t>0.30</w:t>
            </w:r>
          </w:p>
        </w:tc>
        <w:tc>
          <w:tcPr>
            <w:tcW w:w="562" w:type="pct"/>
            <w:tcBorders>
              <w:bottom w:val="single" w:sz="12" w:space="0" w:color="auto"/>
            </w:tcBorders>
            <w:shd w:val="clear" w:color="auto" w:fill="auto"/>
            <w:vAlign w:val="center"/>
          </w:tcPr>
          <w:p>
            <w:pPr>
              <w:widowControl/>
              <w:jc w:val="center"/>
              <w:rPr>
                <w:rFonts w:ascii="宋体"/>
                <w:sz w:val="18"/>
                <w:szCs w:val="18"/>
              </w:rPr>
            </w:pPr>
            <w:r>
              <w:rPr>
                <w:rFonts w:ascii="宋体"/>
                <w:sz w:val="18"/>
                <w:szCs w:val="18"/>
              </w:rPr>
              <w:t>0.10</w:t>
            </w:r>
          </w:p>
        </w:tc>
        <w:tc>
          <w:tcPr>
            <w:tcW w:w="562" w:type="pct"/>
            <w:tcBorders>
              <w:bottom w:val="single" w:sz="12" w:space="0" w:color="auto"/>
            </w:tcBorders>
            <w:shd w:val="clear" w:color="auto" w:fill="auto"/>
            <w:vAlign w:val="center"/>
          </w:tcPr>
          <w:p>
            <w:pPr>
              <w:widowControl/>
              <w:jc w:val="center"/>
              <w:rPr>
                <w:rFonts w:ascii="宋体"/>
                <w:sz w:val="18"/>
                <w:szCs w:val="18"/>
              </w:rPr>
            </w:pPr>
            <w:r>
              <w:rPr>
                <w:rFonts w:ascii="宋体"/>
                <w:sz w:val="18"/>
                <w:szCs w:val="18"/>
              </w:rPr>
              <w:t>0.10</w:t>
            </w:r>
          </w:p>
        </w:tc>
        <w:tc>
          <w:tcPr>
            <w:tcW w:w="562" w:type="pct"/>
            <w:tcBorders>
              <w:bottom w:val="single" w:sz="12" w:space="0" w:color="auto"/>
            </w:tcBorders>
            <w:shd w:val="clear" w:color="auto" w:fill="auto"/>
            <w:vAlign w:val="center"/>
          </w:tcPr>
          <w:p>
            <w:pPr>
              <w:widowControl/>
              <w:jc w:val="center"/>
              <w:rPr>
                <w:rFonts w:ascii="宋体"/>
                <w:sz w:val="18"/>
                <w:szCs w:val="18"/>
              </w:rPr>
            </w:pPr>
            <w:r>
              <w:rPr>
                <w:rFonts w:ascii="宋体"/>
                <w:sz w:val="18"/>
                <w:szCs w:val="18"/>
              </w:rPr>
              <w:t>0.050</w:t>
            </w:r>
          </w:p>
        </w:tc>
        <w:tc>
          <w:tcPr>
            <w:tcW w:w="562" w:type="pct"/>
            <w:tcBorders>
              <w:bottom w:val="single" w:sz="12" w:space="0" w:color="auto"/>
            </w:tcBorders>
            <w:shd w:val="clear" w:color="auto" w:fill="auto"/>
            <w:vAlign w:val="center"/>
          </w:tcPr>
          <w:p>
            <w:pPr>
              <w:widowControl/>
              <w:jc w:val="center"/>
              <w:rPr>
                <w:rFonts w:ascii="宋体"/>
                <w:sz w:val="18"/>
                <w:szCs w:val="18"/>
              </w:rPr>
            </w:pPr>
            <w:r>
              <w:rPr>
                <w:rFonts w:ascii="宋体"/>
                <w:sz w:val="18"/>
                <w:szCs w:val="18"/>
              </w:rPr>
              <w:t>0.10</w:t>
            </w:r>
          </w:p>
        </w:tc>
        <w:tc>
          <w:tcPr>
            <w:tcW w:w="562" w:type="pct"/>
            <w:tcBorders>
              <w:bottom w:val="single" w:sz="12" w:space="0" w:color="auto"/>
            </w:tcBorders>
            <w:vAlign w:val="center"/>
          </w:tcPr>
          <w:p>
            <w:pPr>
              <w:widowControl/>
              <w:jc w:val="center"/>
              <w:rPr>
                <w:rFonts w:ascii="宋体"/>
                <w:sz w:val="18"/>
                <w:szCs w:val="18"/>
              </w:rPr>
            </w:pPr>
            <w:r>
              <w:rPr>
                <w:rFonts w:ascii="宋体"/>
                <w:sz w:val="18"/>
                <w:szCs w:val="18"/>
              </w:rPr>
              <w:t>0.050</w:t>
            </w:r>
          </w:p>
        </w:tc>
        <w:tc>
          <w:tcPr>
            <w:tcW w:w="562" w:type="pct"/>
            <w:tcBorders>
              <w:bottom w:val="single" w:sz="12" w:space="0" w:color="auto"/>
            </w:tcBorders>
            <w:vAlign w:val="center"/>
          </w:tcPr>
          <w:p>
            <w:pPr>
              <w:widowControl/>
              <w:jc w:val="center"/>
              <w:rPr>
                <w:rFonts w:ascii="宋体"/>
                <w:sz w:val="18"/>
                <w:szCs w:val="18"/>
              </w:rPr>
            </w:pPr>
            <w:r>
              <w:rPr>
                <w:rFonts w:ascii="宋体"/>
                <w:sz w:val="18"/>
                <w:szCs w:val="18"/>
              </w:rPr>
              <w:t>1.20</w:t>
            </w:r>
          </w:p>
        </w:tc>
        <w:tc>
          <w:tcPr>
            <w:tcW w:w="562" w:type="pct"/>
            <w:tcBorders>
              <w:bottom w:val="single" w:sz="1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bl>
    <w:p>
      <w:pPr>
        <w:adjustRightInd w:val="0"/>
        <w:snapToGrid w:val="0"/>
        <w:spacing w:beforeLines="50" w:before="156" w:afterLines="50" w:after="156"/>
        <w:rPr>
          <w:b/>
          <w:szCs w:val="21"/>
        </w:rPr>
      </w:pPr>
      <w:r>
        <w:rPr>
          <w:rFonts w:hint="eastAsia"/>
          <w:b/>
          <w:szCs w:val="21"/>
        </w:rPr>
        <w:t>2.2、</w:t>
      </w:r>
      <w:r>
        <w:rPr>
          <w:b/>
          <w:szCs w:val="21"/>
        </w:rPr>
        <w:t>样品</w:t>
      </w:r>
      <w:r>
        <w:rPr>
          <w:rFonts w:hint="eastAsia"/>
          <w:b/>
          <w:szCs w:val="21"/>
        </w:rPr>
        <w:t>溶解试验验证</w:t>
      </w:r>
    </w:p>
    <w:p>
      <w:pPr>
        <w:adjustRightInd w:val="0"/>
        <w:snapToGrid w:val="0"/>
        <w:ind w:firstLine="481"/>
        <w:rPr>
          <w:rFonts w:hint="eastAsia"/>
          <w:bCs/>
          <w:szCs w:val="21"/>
        </w:rPr>
      </w:pPr>
      <w:r>
        <w:rPr>
          <w:rFonts w:ascii="宋体" w:cs="宋体" w:hint="eastAsia"/>
          <w:bCs/>
          <w:szCs w:val="21"/>
        </w:rPr>
        <w:t>本次修订扩大了</w:t>
      </w:r>
      <w:r>
        <w:rPr>
          <w:rFonts w:ascii="宋体" w:cs="宋体"/>
          <w:bCs/>
          <w:szCs w:val="21"/>
        </w:rPr>
        <w:t>方法的适用范围</w:t>
      </w:r>
      <w:r>
        <w:rPr>
          <w:rFonts w:ascii="宋体" w:cs="宋体" w:hint="eastAsia"/>
          <w:bCs/>
          <w:szCs w:val="21"/>
        </w:rPr>
        <w:t>，</w:t>
      </w:r>
      <w:r>
        <w:rPr>
          <w:rFonts w:ascii="宋体" w:cs="宋体"/>
          <w:bCs/>
          <w:szCs w:val="21"/>
        </w:rPr>
        <w:t>新增</w:t>
      </w:r>
      <w:r>
        <w:rPr>
          <w:rFonts w:ascii="宋体" w:cs="宋体" w:hint="eastAsia"/>
          <w:bCs/>
          <w:szCs w:val="21"/>
        </w:rPr>
        <w:t>稀土草酸盐、稀土碳酸盐和</w:t>
      </w:r>
      <w:r>
        <w:rPr>
          <w:rFonts w:ascii="宋体" w:cs="宋体"/>
          <w:bCs/>
          <w:szCs w:val="21"/>
        </w:rPr>
        <w:t>稀土料液</w:t>
      </w:r>
      <w:r>
        <w:rPr>
          <w:rFonts w:ascii="宋体" w:cs="宋体" w:hint="eastAsia"/>
          <w:bCs/>
          <w:szCs w:val="21"/>
        </w:rPr>
        <w:t>。由于这些类型</w:t>
      </w:r>
      <w:r>
        <w:rPr>
          <w:rFonts w:ascii="宋体" w:cs="宋体"/>
          <w:bCs/>
          <w:szCs w:val="21"/>
        </w:rPr>
        <w:t>的与</w:t>
      </w:r>
      <w:r>
        <w:rPr>
          <w:rFonts w:ascii="宋体" w:cs="宋体" w:hint="eastAsia"/>
          <w:bCs/>
          <w:szCs w:val="21"/>
        </w:rPr>
        <w:t>GB/T 14635-2020中</w:t>
      </w:r>
      <w:r>
        <w:rPr>
          <w:rFonts w:ascii="宋体" w:cs="宋体"/>
          <w:bCs/>
          <w:szCs w:val="21"/>
        </w:rPr>
        <w:t>规定的</w:t>
      </w:r>
      <w:r>
        <w:rPr>
          <w:rFonts w:ascii="宋体" w:cs="宋体" w:hint="eastAsia"/>
          <w:bCs/>
          <w:szCs w:val="21"/>
        </w:rPr>
        <w:t>离子型稀土矿混合稀土氧化物类型</w:t>
      </w:r>
      <w:r>
        <w:rPr>
          <w:rFonts w:ascii="宋体" w:cs="宋体"/>
          <w:bCs/>
          <w:szCs w:val="21"/>
        </w:rPr>
        <w:t>相同，</w:t>
      </w:r>
      <w:r>
        <w:rPr>
          <w:rFonts w:ascii="宋体" w:cs="宋体" w:hint="eastAsia"/>
          <w:bCs/>
          <w:szCs w:val="21"/>
        </w:rPr>
        <w:t>本试验采用</w:t>
      </w:r>
      <w:r>
        <w:rPr>
          <w:rFonts w:ascii="宋体" w:cs="宋体"/>
          <w:bCs/>
          <w:szCs w:val="21"/>
        </w:rPr>
        <w:t>了与该标准相近的样品溶解方式。GB/T 14635-2020样品</w:t>
      </w:r>
      <w:r>
        <w:rPr>
          <w:rFonts w:ascii="宋体" w:cs="宋体" w:hint="eastAsia"/>
          <w:bCs/>
          <w:szCs w:val="21"/>
        </w:rPr>
        <w:t>溶解过程</w:t>
      </w:r>
      <w:r>
        <w:rPr>
          <w:rFonts w:ascii="宋体" w:cs="宋体"/>
          <w:bCs/>
          <w:szCs w:val="21"/>
        </w:rPr>
        <w:t>中加入高氯酸</w:t>
      </w:r>
      <w:r>
        <w:rPr>
          <w:rFonts w:ascii="宋体" w:cs="宋体" w:hint="eastAsia"/>
          <w:bCs/>
          <w:szCs w:val="21"/>
        </w:rPr>
        <w:t>冒烟</w:t>
      </w:r>
      <w:r>
        <w:rPr>
          <w:rFonts w:ascii="宋体" w:cs="宋体"/>
          <w:bCs/>
          <w:szCs w:val="21"/>
        </w:rPr>
        <w:t>步骤，</w:t>
      </w:r>
      <w:r>
        <w:rPr>
          <w:rFonts w:ascii="宋体" w:cs="宋体" w:hint="eastAsia"/>
          <w:bCs/>
          <w:szCs w:val="21"/>
        </w:rPr>
        <w:t>主要作用是将二氧化硅</w:t>
      </w:r>
      <w:r>
        <w:rPr>
          <w:rFonts w:ascii="宋体" w:cs="宋体"/>
          <w:bCs/>
          <w:szCs w:val="21"/>
        </w:rPr>
        <w:t>脱水结晶后过滤分离，因为</w:t>
      </w:r>
      <w:r>
        <w:rPr>
          <w:rFonts w:ascii="宋体" w:cs="宋体" w:hint="eastAsia"/>
          <w:bCs/>
          <w:szCs w:val="21"/>
        </w:rPr>
        <w:t>电感耦合</w:t>
      </w:r>
      <w:r>
        <w:rPr>
          <w:rFonts w:ascii="宋体" w:cs="宋体"/>
          <w:bCs/>
          <w:szCs w:val="21"/>
        </w:rPr>
        <w:t>等离子体发射</w:t>
      </w:r>
      <w:r>
        <w:rPr>
          <w:rFonts w:ascii="宋体" w:cs="宋体" w:hint="eastAsia"/>
          <w:bCs/>
          <w:szCs w:val="21"/>
        </w:rPr>
        <w:t>光谱法中</w:t>
      </w:r>
      <w:r>
        <w:rPr>
          <w:rFonts w:ascii="宋体" w:cs="宋体"/>
          <w:bCs/>
          <w:szCs w:val="21"/>
        </w:rPr>
        <w:t>硅对测定没有影响</w:t>
      </w:r>
      <w:r>
        <w:rPr>
          <w:rFonts w:ascii="宋体" w:cs="宋体" w:hint="eastAsia"/>
          <w:bCs/>
          <w:szCs w:val="21"/>
        </w:rPr>
        <w:t>，因此本</w:t>
      </w:r>
      <w:r>
        <w:rPr>
          <w:rFonts w:ascii="宋体" w:cs="宋体"/>
          <w:bCs/>
          <w:szCs w:val="21"/>
        </w:rPr>
        <w:t>方法样品溶解试验没有</w:t>
      </w:r>
      <w:r>
        <w:rPr>
          <w:rFonts w:ascii="宋体" w:cs="宋体" w:hint="eastAsia"/>
          <w:bCs/>
          <w:szCs w:val="21"/>
        </w:rPr>
        <w:t>使用</w:t>
      </w:r>
      <w:r>
        <w:rPr>
          <w:rFonts w:ascii="宋体" w:cs="宋体"/>
          <w:bCs/>
          <w:szCs w:val="21"/>
        </w:rPr>
        <w:t>高氯酸。</w:t>
      </w:r>
    </w:p>
    <w:p>
      <w:pPr>
        <w:adjustRightInd w:val="0"/>
        <w:snapToGrid w:val="0"/>
        <w:spacing w:beforeLines="50" w:before="156" w:afterLines="50" w:after="156"/>
        <w:rPr>
          <w:b/>
          <w:szCs w:val="21"/>
        </w:rPr>
      </w:pPr>
      <w:r>
        <w:rPr>
          <w:rFonts w:hint="eastAsia"/>
          <w:b/>
          <w:szCs w:val="21"/>
        </w:rPr>
        <w:t>2.3、</w:t>
      </w:r>
      <w:r>
        <w:rPr>
          <w:rFonts w:hint="eastAsia"/>
          <w:b/>
          <w:bCs/>
          <w:szCs w:val="21"/>
        </w:rPr>
        <w:t>分析</w:t>
      </w:r>
      <w:r>
        <w:rPr>
          <w:b/>
          <w:bCs/>
          <w:szCs w:val="21"/>
        </w:rPr>
        <w:t>谱线</w:t>
      </w:r>
      <w:r>
        <w:rPr>
          <w:rFonts w:hint="eastAsia"/>
          <w:b/>
          <w:szCs w:val="21"/>
        </w:rPr>
        <w:t>选择验证</w:t>
      </w:r>
    </w:p>
    <w:p>
      <w:pPr>
        <w:adjustRightInd w:val="0"/>
        <w:snapToGrid w:val="0"/>
        <w:spacing w:beforeLines="50" w:before="156" w:afterLines="50" w:after="156"/>
        <w:ind w:firstLineChars="200" w:firstLine="420"/>
        <w:rPr>
          <w:rFonts w:ascii="宋体" w:cs="宋体"/>
          <w:bCs/>
          <w:szCs w:val="21"/>
        </w:rPr>
      </w:pPr>
      <w:r>
        <w:rPr>
          <w:rFonts w:ascii="宋体" w:cs="宋体" w:hint="eastAsia"/>
          <w:bCs/>
          <w:szCs w:val="21"/>
          <w:lang w:val="zh-CN"/>
        </w:rPr>
        <w:t>试验考察了</w:t>
      </w:r>
      <w:r>
        <w:rPr>
          <w:rFonts w:ascii="宋体" w:cs="宋体"/>
          <w:bCs/>
          <w:szCs w:val="21"/>
          <w:lang w:val="zh-CN"/>
        </w:rPr>
        <w:t>原标准的</w:t>
      </w:r>
      <w:r>
        <w:rPr>
          <w:rFonts w:ascii="宋体" w:cs="宋体" w:hint="eastAsia"/>
          <w:bCs/>
          <w:szCs w:val="21"/>
          <w:lang w:val="zh-CN"/>
        </w:rPr>
        <w:t>分析</w:t>
      </w:r>
      <w:r>
        <w:rPr>
          <w:rFonts w:ascii="宋体" w:cs="宋体"/>
          <w:bCs/>
          <w:szCs w:val="21"/>
          <w:lang w:val="zh-CN"/>
        </w:rPr>
        <w:t>谱线，</w:t>
      </w:r>
      <w:r>
        <w:rPr>
          <w:rFonts w:ascii="宋体" w:cs="宋体" w:hint="eastAsia"/>
          <w:bCs/>
          <w:szCs w:val="21"/>
          <w:lang w:val="zh-CN"/>
        </w:rPr>
        <w:t>均</w:t>
      </w:r>
      <w:r>
        <w:rPr>
          <w:rFonts w:ascii="宋体" w:cs="宋体"/>
          <w:bCs/>
          <w:szCs w:val="21"/>
          <w:lang w:val="zh-CN"/>
        </w:rPr>
        <w:t>满足测定要求，本次修订没有进行技术性</w:t>
      </w:r>
      <w:r>
        <w:rPr>
          <w:rFonts w:ascii="宋体" w:cs="宋体" w:hint="eastAsia"/>
          <w:bCs/>
          <w:szCs w:val="21"/>
          <w:lang w:val="zh-CN"/>
        </w:rPr>
        <w:t>调整</w:t>
      </w:r>
      <w:r>
        <w:rPr>
          <w:rFonts w:ascii="宋体" w:cs="宋体" w:hint="eastAsia"/>
          <w:bCs/>
          <w:szCs w:val="21"/>
        </w:rPr>
        <w:t>。</w:t>
      </w:r>
    </w:p>
    <w:p>
      <w:pPr>
        <w:adjustRightInd w:val="0"/>
        <w:snapToGrid w:val="0"/>
        <w:spacing w:beforeLines="50" w:before="156" w:afterLines="50" w:after="156"/>
        <w:rPr>
          <w:b/>
          <w:szCs w:val="21"/>
        </w:rPr>
      </w:pPr>
      <w:r>
        <w:rPr>
          <w:rFonts w:hint="eastAsia"/>
          <w:b/>
          <w:szCs w:val="21"/>
        </w:rPr>
        <w:t>2.4准确度试验</w:t>
      </w:r>
    </w:p>
    <w:p>
      <w:pPr>
        <w:adjustRightInd w:val="0"/>
        <w:snapToGrid w:val="0"/>
        <w:ind w:firstLine="481"/>
        <w:rPr>
          <w:rFonts w:ascii="宋体" w:cs="宋体" w:hint="eastAsia"/>
          <w:bCs/>
          <w:szCs w:val="21"/>
        </w:rPr>
      </w:pPr>
      <w:r>
        <w:rPr>
          <w:rFonts w:ascii="宋体" w:cs="宋体" w:hint="eastAsia"/>
          <w:bCs/>
          <w:szCs w:val="21"/>
        </w:rPr>
        <w:t>由于电感</w:t>
      </w:r>
      <w:r>
        <w:rPr>
          <w:rFonts w:ascii="宋体" w:cs="宋体"/>
          <w:bCs/>
          <w:szCs w:val="21"/>
        </w:rPr>
        <w:t>耦合等离子原子发射</w:t>
      </w:r>
      <w:r>
        <w:rPr>
          <w:rFonts w:ascii="宋体" w:cs="宋体" w:hint="eastAsia"/>
          <w:bCs/>
          <w:szCs w:val="21"/>
        </w:rPr>
        <w:t>光谱</w:t>
      </w:r>
      <w:r>
        <w:rPr>
          <w:rFonts w:ascii="宋体" w:cs="宋体"/>
          <w:bCs/>
          <w:szCs w:val="21"/>
        </w:rPr>
        <w:t>法测定</w:t>
      </w:r>
      <w:r>
        <w:rPr>
          <w:rFonts w:ascii="宋体" w:cs="宋体" w:hint="eastAsia"/>
          <w:bCs/>
          <w:szCs w:val="21"/>
        </w:rPr>
        <w:t>配分是</w:t>
      </w:r>
      <w:r>
        <w:rPr>
          <w:rFonts w:ascii="宋体" w:cs="宋体"/>
          <w:bCs/>
          <w:szCs w:val="21"/>
        </w:rPr>
        <w:t>相对量，</w:t>
      </w:r>
      <w:r>
        <w:rPr>
          <w:rFonts w:ascii="宋体" w:cs="宋体" w:hint="eastAsia"/>
          <w:bCs/>
          <w:szCs w:val="21"/>
        </w:rPr>
        <w:t>难以用</w:t>
      </w:r>
      <w:r>
        <w:rPr>
          <w:rFonts w:ascii="宋体" w:cs="宋体"/>
          <w:bCs/>
          <w:szCs w:val="21"/>
        </w:rPr>
        <w:t>常规标准加入法测定</w:t>
      </w:r>
      <w:r>
        <w:rPr>
          <w:rFonts w:ascii="宋体" w:cs="宋体" w:hint="eastAsia"/>
          <w:bCs/>
          <w:szCs w:val="21"/>
        </w:rPr>
        <w:t>绝对</w:t>
      </w:r>
      <w:r>
        <w:rPr>
          <w:rFonts w:ascii="宋体" w:cs="宋体"/>
          <w:bCs/>
          <w:szCs w:val="21"/>
        </w:rPr>
        <w:t>量计算回收率来评估方法的准确性。</w:t>
      </w:r>
      <w:r>
        <w:rPr>
          <w:rFonts w:ascii="宋体" w:cs="宋体" w:hint="eastAsia"/>
          <w:bCs/>
          <w:szCs w:val="21"/>
        </w:rPr>
        <w:t>试验采用称取经950</w:t>
      </w:r>
      <w:r>
        <w:rPr>
          <w:rFonts w:ascii="MS Mincho" w:eastAsia="MS Mincho" w:cs="MS Mincho" w:hint="eastAsia"/>
          <w:color w:val="000000"/>
        </w:rPr>
        <w:t> </w:t>
      </w:r>
      <w:r>
        <w:rPr>
          <w:rFonts w:ascii="宋体" w:cs="宋体" w:hint="eastAsia"/>
          <w:bCs/>
          <w:szCs w:val="21"/>
        </w:rPr>
        <w:t>℃灼烧l</w:t>
      </w:r>
      <w:r>
        <w:rPr>
          <w:rFonts w:ascii="MS Mincho" w:eastAsia="MS Mincho" w:cs="MS Mincho" w:hint="eastAsia"/>
          <w:color w:val="000000"/>
        </w:rPr>
        <w:t> </w:t>
      </w:r>
      <w:r>
        <w:rPr>
          <w:rFonts w:ascii="宋体" w:cs="宋体" w:hint="eastAsia"/>
          <w:bCs/>
          <w:szCs w:val="21"/>
        </w:rPr>
        <w:t>h后在干燥器中冷却至室温的统一样1#（</w:t>
      </w:r>
      <w:r>
        <w:rPr>
          <w:rFonts w:ascii="宋体" w:cs="宋体"/>
          <w:bCs/>
          <w:szCs w:val="21"/>
        </w:rPr>
        <w:t>灼烧总量：</w:t>
      </w:r>
      <w:r>
        <w:rPr>
          <w:rFonts w:ascii="宋体" w:cs="宋体" w:hint="eastAsia"/>
          <w:bCs/>
          <w:szCs w:val="21"/>
        </w:rPr>
        <w:t>95.12</w:t>
      </w:r>
      <w:r>
        <w:rPr>
          <w:rFonts w:ascii="MS Mincho" w:eastAsia="MS Mincho" w:cs="MS Mincho" w:hint="eastAsia"/>
          <w:color w:val="000000"/>
        </w:rPr>
        <w:t> </w:t>
      </w:r>
      <w:r>
        <w:rPr>
          <w:rFonts w:ascii="宋体" w:cs="宋体" w:hint="eastAsia"/>
          <w:bCs/>
          <w:szCs w:val="21"/>
        </w:rPr>
        <w:t>%）和2#（</w:t>
      </w:r>
      <w:r>
        <w:rPr>
          <w:rFonts w:ascii="宋体" w:cs="宋体"/>
          <w:bCs/>
          <w:szCs w:val="21"/>
        </w:rPr>
        <w:t>灼烧总量：</w:t>
      </w:r>
      <w:r>
        <w:rPr>
          <w:rFonts w:ascii="宋体" w:cs="宋体" w:hint="eastAsia"/>
          <w:bCs/>
          <w:szCs w:val="21"/>
        </w:rPr>
        <w:t>9</w:t>
      </w:r>
      <w:r>
        <w:rPr>
          <w:rFonts w:ascii="宋体" w:cs="宋体"/>
          <w:bCs/>
          <w:szCs w:val="21"/>
        </w:rPr>
        <w:t>4.60</w:t>
      </w:r>
      <w:r>
        <w:rPr>
          <w:rFonts w:ascii="MS Mincho" w:eastAsia="MS Mincho" w:cs="MS Mincho" w:hint="eastAsia"/>
          <w:color w:val="000000"/>
        </w:rPr>
        <w:t> </w:t>
      </w:r>
      <w:r>
        <w:rPr>
          <w:rFonts w:ascii="宋体" w:cs="宋体" w:hint="eastAsia"/>
          <w:bCs/>
          <w:szCs w:val="21"/>
        </w:rPr>
        <w:t>%），</w:t>
      </w:r>
      <w:r>
        <w:rPr>
          <w:rFonts w:ascii="宋体" w:cs="宋体"/>
          <w:bCs/>
          <w:szCs w:val="21"/>
        </w:rPr>
        <w:t>加入125</w:t>
      </w:r>
      <w:r>
        <w:rPr>
          <w:rFonts w:ascii="MS Mincho" w:eastAsia="MS Mincho" w:cs="MS Mincho" w:hint="eastAsia"/>
          <w:color w:val="000000"/>
        </w:rPr>
        <w:t> </w:t>
      </w:r>
      <w:r>
        <w:rPr>
          <w:rFonts w:ascii="宋体" w:cs="宋体"/>
          <w:bCs/>
          <w:szCs w:val="21"/>
        </w:rPr>
        <w:t>mg标准贮存溶</w:t>
      </w:r>
      <w:r>
        <w:rPr>
          <w:rFonts w:ascii="宋体" w:cs="宋体" w:hint="eastAsia"/>
          <w:bCs/>
          <w:szCs w:val="21"/>
        </w:rPr>
        <w:t>液，配置</w:t>
      </w:r>
      <w:r>
        <w:rPr>
          <w:rFonts w:ascii="宋体" w:cs="宋体"/>
          <w:bCs/>
          <w:szCs w:val="21"/>
        </w:rPr>
        <w:t>成样品</w:t>
      </w:r>
      <w:r>
        <w:rPr>
          <w:rFonts w:ascii="宋体" w:cs="宋体" w:hint="eastAsia"/>
          <w:bCs/>
          <w:szCs w:val="21"/>
        </w:rPr>
        <w:t>7</w:t>
      </w:r>
      <w:r>
        <w:rPr>
          <w:rFonts w:ascii="宋体" w:cs="宋体"/>
          <w:bCs/>
          <w:szCs w:val="21"/>
        </w:rPr>
        <w:t>#和</w:t>
      </w:r>
      <w:r>
        <w:rPr>
          <w:rFonts w:ascii="宋体" w:cs="宋体" w:hint="eastAsia"/>
          <w:bCs/>
          <w:szCs w:val="21"/>
        </w:rPr>
        <w:t>8</w:t>
      </w:r>
      <w:r>
        <w:rPr>
          <w:rFonts w:ascii="宋体" w:cs="宋体"/>
          <w:bCs/>
          <w:szCs w:val="21"/>
        </w:rPr>
        <w:t>#，按照分析步骤进行测定</w:t>
      </w:r>
      <w:r>
        <w:rPr>
          <w:rFonts w:ascii="宋体" w:cs="宋体" w:hint="eastAsia"/>
          <w:bCs/>
          <w:szCs w:val="21"/>
        </w:rPr>
        <w:t>，</w:t>
      </w:r>
      <w:r>
        <w:rPr>
          <w:rFonts w:ascii="宋体" w:cs="宋体"/>
          <w:bCs/>
          <w:szCs w:val="21"/>
        </w:rPr>
        <w:t>配置</w:t>
      </w:r>
      <w:r>
        <w:rPr>
          <w:rFonts w:ascii="宋体" w:cs="宋体" w:hint="eastAsia"/>
          <w:bCs/>
          <w:szCs w:val="21"/>
        </w:rPr>
        <w:t>表</w:t>
      </w:r>
      <w:r>
        <w:rPr>
          <w:rFonts w:ascii="宋体" w:cs="宋体"/>
          <w:bCs/>
          <w:szCs w:val="21"/>
        </w:rPr>
        <w:t>见表10</w:t>
      </w:r>
      <w:r>
        <w:rPr>
          <w:rFonts w:ascii="宋体" w:cs="宋体" w:hint="eastAsia"/>
          <w:bCs/>
          <w:szCs w:val="21"/>
        </w:rPr>
        <w:t>。回收率%=（模拟样配分值×2-原样配分值）/移取标准配分值×100</w:t>
      </w:r>
      <w:r>
        <w:rPr>
          <w:rFonts w:ascii="MS Mincho" w:eastAsia="MS Mincho" w:cs="MS Mincho" w:hint="eastAsia"/>
          <w:color w:val="000000"/>
        </w:rPr>
        <w:t> </w:t>
      </w:r>
      <w:r>
        <w:rPr>
          <w:rFonts w:ascii="宋体" w:cs="宋体" w:hint="eastAsia"/>
          <w:bCs/>
          <w:szCs w:val="21"/>
        </w:rPr>
        <w:t>%。</w:t>
      </w:r>
      <w:r>
        <w:rPr>
          <w:rFonts w:ascii="宋体" w:cs="宋体"/>
          <w:bCs/>
          <w:szCs w:val="21"/>
        </w:rPr>
        <w:t>测定</w:t>
      </w:r>
      <w:r>
        <w:rPr>
          <w:rFonts w:ascii="宋体" w:cs="宋体" w:hint="eastAsia"/>
          <w:bCs/>
          <w:szCs w:val="21"/>
        </w:rPr>
        <w:t>结果</w:t>
      </w:r>
      <w:r>
        <w:rPr>
          <w:rFonts w:ascii="宋体" w:cs="宋体"/>
          <w:bCs/>
          <w:szCs w:val="21"/>
        </w:rPr>
        <w:t>见表11</w:t>
      </w:r>
      <w:r>
        <w:rPr>
          <w:rFonts w:ascii="宋体" w:cs="宋体" w:hint="eastAsia"/>
          <w:bCs/>
          <w:szCs w:val="21"/>
        </w:rPr>
        <w:t>。</w:t>
      </w:r>
      <w:r>
        <w:rPr>
          <w:rFonts w:ascii="宋体" w:cs="宋体"/>
          <w:bCs/>
          <w:szCs w:val="21"/>
        </w:rPr>
        <w:t>由表11</w:t>
      </w:r>
      <w:r>
        <w:rPr>
          <w:rFonts w:ascii="宋体" w:cs="宋体" w:hint="eastAsia"/>
          <w:bCs/>
          <w:szCs w:val="21"/>
        </w:rPr>
        <w:t>可见</w:t>
      </w:r>
      <w:r>
        <w:rPr>
          <w:rFonts w:ascii="宋体" w:cs="宋体"/>
          <w:bCs/>
          <w:szCs w:val="21"/>
        </w:rPr>
        <w:t>，各元素回收率满足检测要求。</w:t>
      </w:r>
    </w:p>
    <w:p>
      <w:pPr>
        <w:adjustRightInd w:val="0"/>
        <w:snapToGrid w:val="0"/>
        <w:spacing w:beforeLines="50" w:before="156" w:afterLines="50" w:after="156"/>
        <w:jc w:val="center"/>
        <w:rPr>
          <w:rFonts w:ascii="宋体" w:cs="宋体" w:hint="eastAsia"/>
          <w:bCs/>
          <w:szCs w:val="21"/>
        </w:rPr>
      </w:pPr>
      <w:r>
        <w:rPr>
          <w:rFonts w:eastAsia="黑体" w:hint="eastAsia"/>
        </w:rPr>
        <w:t>表</w:t>
      </w:r>
      <w:r>
        <w:rPr>
          <w:rFonts w:eastAsia="黑体"/>
        </w:rPr>
        <w:t>10　</w:t>
      </w:r>
      <w:r>
        <w:rPr>
          <w:rFonts w:eastAsia="黑体" w:hint="eastAsia"/>
        </w:rPr>
        <w:t>准确</w:t>
      </w:r>
      <w:r>
        <w:rPr>
          <w:rFonts w:eastAsia="黑体"/>
        </w:rPr>
        <w:t>度试验样品配置表</w:t>
      </w:r>
    </w:p>
    <w:tbl>
      <w:tblPr>
        <w:jc w:val="left"/>
        <w:tblW w:w="5000" w:type="pct"/>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1900"/>
        <w:gridCol w:w="1956"/>
        <w:gridCol w:w="2934"/>
        <w:gridCol w:w="2932"/>
      </w:tblGrid>
      <w:tr>
        <w:trPr>
          <w:trHeight w:val="340"/>
        </w:trPr>
        <w:tc>
          <w:tcPr>
            <w:tcW w:w="977" w:type="pct"/>
            <w:tcBorders>
              <w:top w:val="single" w:sz="12" w:space="0" w:color="auto"/>
              <w:left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样品</w:t>
            </w:r>
            <w:r>
              <w:rPr>
                <w:rFonts w:ascii="宋体" w:cs="宋体"/>
                <w:bCs/>
                <w:szCs w:val="21"/>
              </w:rPr>
              <w:t>编号</w:t>
            </w:r>
          </w:p>
        </w:tc>
        <w:tc>
          <w:tcPr>
            <w:tcW w:w="1006" w:type="pct"/>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称取</w:t>
            </w:r>
            <w:r>
              <w:rPr>
                <w:rFonts w:ascii="宋体" w:cs="宋体"/>
                <w:bCs/>
                <w:szCs w:val="21"/>
              </w:rPr>
              <w:t>样品</w:t>
            </w:r>
          </w:p>
        </w:tc>
        <w:tc>
          <w:tcPr>
            <w:tcW w:w="1509" w:type="pct"/>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称取质量</w:t>
            </w:r>
            <w:r>
              <w:rPr>
                <w:rFonts w:ascii="宋体" w:cs="宋体"/>
                <w:bCs/>
                <w:szCs w:val="21"/>
              </w:rPr>
              <w:t>，g</w:t>
            </w:r>
          </w:p>
        </w:tc>
        <w:tc>
          <w:tcPr>
            <w:tcW w:w="1508" w:type="pct"/>
            <w:tcBorders>
              <w:top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移取</w:t>
            </w:r>
            <w:r>
              <w:rPr>
                <w:rFonts w:ascii="宋体" w:cs="宋体"/>
                <w:bCs/>
                <w:szCs w:val="21"/>
              </w:rPr>
              <w:t>标准贮存溶</w:t>
            </w:r>
            <w:r>
              <w:rPr>
                <w:rFonts w:ascii="宋体" w:cs="宋体" w:hint="eastAsia"/>
                <w:bCs/>
                <w:szCs w:val="21"/>
              </w:rPr>
              <w:t>液编号</w:t>
            </w:r>
            <w:r>
              <w:rPr>
                <w:rFonts w:ascii="宋体" w:cs="宋体"/>
                <w:bCs/>
                <w:szCs w:val="21"/>
              </w:rPr>
              <w:t>及移取体积</w:t>
            </w:r>
          </w:p>
        </w:tc>
      </w:tr>
      <w:tr>
        <w:trPr>
          <w:trHeight w:val="340"/>
        </w:trPr>
        <w:tc>
          <w:tcPr>
            <w:tcW w:w="977" w:type="pct"/>
            <w:tcBorders>
              <w:top w:val="single" w:sz="12" w:space="0" w:color="auto"/>
              <w:left w:val="single" w:sz="12" w:space="0" w:color="auto"/>
              <w:bottom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7</w:t>
            </w:r>
            <w:r>
              <w:rPr>
                <w:rFonts w:ascii="宋体" w:cs="宋体"/>
                <w:bCs/>
                <w:szCs w:val="21"/>
              </w:rPr>
              <w:t>#</w:t>
            </w:r>
          </w:p>
        </w:tc>
        <w:tc>
          <w:tcPr>
            <w:tcW w:w="1006"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bCs/>
                <w:szCs w:val="21"/>
              </w:rPr>
              <w:t>1#</w:t>
            </w:r>
          </w:p>
        </w:tc>
        <w:tc>
          <w:tcPr>
            <w:tcW w:w="1509"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0.1</w:t>
            </w:r>
            <w:r>
              <w:rPr>
                <w:rFonts w:ascii="宋体" w:cs="宋体"/>
                <w:bCs/>
                <w:szCs w:val="21"/>
              </w:rPr>
              <w:t>31</w:t>
            </w:r>
            <w:r>
              <w:rPr>
                <w:rFonts w:ascii="MS Mincho" w:eastAsia="MS Mincho" w:cs="MS Mincho" w:hint="eastAsia"/>
                <w:color w:val="000000"/>
              </w:rPr>
              <w:t> </w:t>
            </w:r>
            <w:r>
              <w:rPr>
                <w:rFonts w:ascii="宋体" w:cs="宋体"/>
                <w:bCs/>
                <w:szCs w:val="21"/>
              </w:rPr>
              <w:t>4</w:t>
            </w:r>
          </w:p>
        </w:tc>
        <w:tc>
          <w:tcPr>
            <w:tcW w:w="1508" w:type="pct"/>
            <w:tcBorders>
              <w:top w:val="single" w:sz="12"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Ⅰ</w:t>
            </w:r>
            <w:r>
              <w:rPr>
                <w:rFonts w:ascii="宋体" w:cs="宋体" w:hint="eastAsia"/>
                <w:bCs/>
                <w:szCs w:val="21"/>
              </w:rPr>
              <w:t>,</w:t>
            </w:r>
            <w:r>
              <w:rPr>
                <w:rFonts w:ascii="宋体" w:cs="宋体"/>
                <w:bCs/>
                <w:szCs w:val="21"/>
              </w:rPr>
              <w:t>25</w:t>
            </w:r>
            <w:r>
              <w:rPr>
                <w:rFonts w:ascii="宋体" w:cs="宋体" w:hint="eastAsia"/>
                <w:bCs/>
                <w:szCs w:val="21"/>
              </w:rPr>
              <w:t>.00</w:t>
            </w:r>
            <w:r>
              <w:rPr>
                <w:rFonts w:ascii="MS Mincho" w:eastAsia="MS Mincho" w:cs="MS Mincho" w:hint="eastAsia"/>
                <w:color w:val="000000"/>
              </w:rPr>
              <w:t> </w:t>
            </w:r>
            <w:r>
              <w:rPr>
                <w:rFonts w:ascii="宋体" w:cs="宋体"/>
                <w:bCs/>
                <w:szCs w:val="21"/>
              </w:rPr>
              <w:t>mL</w:t>
            </w:r>
          </w:p>
        </w:tc>
      </w:tr>
      <w:tr>
        <w:trPr>
          <w:trHeight w:val="340"/>
        </w:trPr>
        <w:tc>
          <w:tcPr>
            <w:tcW w:w="977" w:type="pct"/>
            <w:tcBorders>
              <w:top w:val="single" w:sz="4" w:space="0" w:color="auto"/>
              <w:left w:val="single" w:sz="12" w:space="0" w:color="auto"/>
              <w:bottom w:val="single" w:sz="12" w:space="0" w:color="auto"/>
            </w:tcBorders>
            <w:shd w:val="clear" w:color="auto" w:fill="auto"/>
          </w:tcPr>
          <w:p>
            <w:pPr>
              <w:adjustRightInd w:val="0"/>
              <w:snapToGrid w:val="0"/>
              <w:jc w:val="center"/>
              <w:rPr>
                <w:rFonts w:ascii="宋体" w:cs="宋体" w:hint="eastAsia"/>
                <w:bCs/>
                <w:szCs w:val="21"/>
              </w:rPr>
            </w:pPr>
            <w:r>
              <w:rPr>
                <w:rFonts w:ascii="宋体" w:cs="宋体"/>
                <w:bCs/>
                <w:szCs w:val="21"/>
              </w:rPr>
              <w:t>8#</w:t>
            </w:r>
          </w:p>
        </w:tc>
        <w:tc>
          <w:tcPr>
            <w:tcW w:w="1006"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bCs/>
                <w:szCs w:val="21"/>
              </w:rPr>
              <w:t>2#</w:t>
            </w:r>
          </w:p>
        </w:tc>
        <w:tc>
          <w:tcPr>
            <w:tcW w:w="1509"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0.1</w:t>
            </w:r>
            <w:r>
              <w:rPr>
                <w:rFonts w:ascii="宋体" w:cs="宋体"/>
                <w:bCs/>
                <w:szCs w:val="21"/>
              </w:rPr>
              <w:t>32</w:t>
            </w:r>
            <w:r>
              <w:rPr>
                <w:rFonts w:ascii="MS Mincho" w:eastAsia="MS Mincho" w:cs="MS Mincho" w:hint="eastAsia"/>
                <w:color w:val="000000"/>
              </w:rPr>
              <w:t> </w:t>
            </w:r>
            <w:r>
              <w:rPr>
                <w:rFonts w:ascii="宋体" w:cs="宋体"/>
                <w:bCs/>
                <w:szCs w:val="21"/>
              </w:rPr>
              <w:t>1</w:t>
            </w:r>
          </w:p>
        </w:tc>
        <w:tc>
          <w:tcPr>
            <w:tcW w:w="1508" w:type="pct"/>
            <w:tcBorders>
              <w:left w:val="single" w:sz="4" w:space="0" w:color="auto"/>
              <w:right w:val="single" w:sz="4" w:space="0" w:color="auto"/>
            </w:tcBorders>
            <w:shd w:val="clear" w:color="auto" w:fill="auto"/>
          </w:tcPr>
          <w:p>
            <w:pPr>
              <w:adjustRightInd w:val="0"/>
              <w:snapToGrid w:val="0"/>
              <w:jc w:val="center"/>
              <w:rPr>
                <w:rFonts w:ascii="宋体" w:cs="宋体" w:hint="eastAsia"/>
                <w:bCs/>
                <w:szCs w:val="21"/>
              </w:rPr>
            </w:pPr>
            <w:r>
              <w:rPr>
                <w:rFonts w:ascii="宋体" w:cs="宋体" w:hint="eastAsia"/>
                <w:bCs/>
                <w:szCs w:val="21"/>
              </w:rPr>
              <w:t>标号</w:t>
            </w:r>
            <w:r>
              <w:rPr>
                <w:rFonts w:ascii="宋体" w:cs="宋体"/>
                <w:bCs/>
                <w:szCs w:val="21"/>
              </w:rPr>
              <w:t>Ⅴ</w:t>
            </w:r>
            <w:r>
              <w:rPr>
                <w:rFonts w:ascii="宋体" w:cs="宋体" w:hint="eastAsia"/>
                <w:bCs/>
                <w:szCs w:val="21"/>
              </w:rPr>
              <w:t>,</w:t>
            </w:r>
            <w:r>
              <w:rPr>
                <w:rFonts w:ascii="宋体" w:cs="宋体"/>
                <w:bCs/>
                <w:szCs w:val="21"/>
              </w:rPr>
              <w:t>25</w:t>
            </w:r>
            <w:r>
              <w:rPr>
                <w:rFonts w:ascii="宋体" w:cs="宋体" w:hint="eastAsia"/>
                <w:bCs/>
                <w:szCs w:val="21"/>
              </w:rPr>
              <w:t>.00</w:t>
            </w:r>
            <w:r>
              <w:rPr>
                <w:rFonts w:ascii="MS Mincho" w:eastAsia="MS Mincho" w:cs="MS Mincho" w:hint="eastAsia"/>
                <w:color w:val="000000"/>
              </w:rPr>
              <w:t> </w:t>
            </w:r>
            <w:r>
              <w:rPr>
                <w:rFonts w:ascii="宋体" w:cs="宋体"/>
                <w:bCs/>
                <w:szCs w:val="21"/>
              </w:rPr>
              <w:t>mL</w:t>
            </w:r>
          </w:p>
        </w:tc>
      </w:tr>
    </w:tbl>
    <w:p>
      <w:pPr>
        <w:pStyle w:val="112"/>
        <w:tabs>
          <w:tab w:val="clear" w:pos="675"/>
        </w:tabs>
        <w:spacing w:beforeLines="50" w:before="156" w:afterLines="50" w:after="156"/>
        <w:jc w:val="left"/>
        <w:rPr>
          <w:rFonts w:ascii="宋体" w:eastAsia="宋体" w:cs="宋体"/>
          <w:b/>
        </w:rPr>
      </w:pPr>
      <w:r>
        <w:rPr>
          <w:rFonts w:ascii="宋体" w:eastAsia="宋体" w:cs="宋体" w:hint="eastAsia"/>
          <w:b/>
        </w:rPr>
        <w:t>2.</w:t>
      </w:r>
      <w:r>
        <w:rPr>
          <w:rFonts w:ascii="宋体" w:eastAsia="宋体" w:cs="宋体"/>
          <w:b/>
        </w:rPr>
        <w:t>5</w:t>
      </w:r>
      <w:r>
        <w:rPr>
          <w:rFonts w:ascii="宋体" w:eastAsia="宋体" w:cs="宋体" w:hint="eastAsia"/>
          <w:b/>
        </w:rPr>
        <w:t>、精密度数据的确定</w:t>
      </w:r>
    </w:p>
    <w:p>
      <w:pPr>
        <w:spacing w:beforeLines="50" w:before="156" w:afterLines="50" w:after="156"/>
        <w:jc w:val="left"/>
        <w:rPr>
          <w:rFonts w:ascii="宋体" w:cs="宋体"/>
          <w:b/>
        </w:rPr>
      </w:pPr>
      <w:r>
        <w:rPr>
          <w:rFonts w:ascii="宋体" w:cs="宋体" w:hint="eastAsia"/>
          <w:b/>
        </w:rPr>
        <w:t>2.</w:t>
      </w:r>
      <w:r>
        <w:rPr>
          <w:rFonts w:ascii="宋体" w:cs="宋体"/>
          <w:b/>
        </w:rPr>
        <w:t>5</w:t>
      </w:r>
      <w:r>
        <w:rPr>
          <w:rFonts w:ascii="宋体" w:cs="宋体" w:hint="eastAsia"/>
          <w:b/>
        </w:rPr>
        <w:t>.1、原始数据统计和检验</w:t>
      </w:r>
    </w:p>
    <w:p>
      <w:pPr>
        <w:spacing w:beforeLines="50" w:before="156" w:afterLines="50" w:after="156"/>
        <w:ind w:firstLineChars="200" w:firstLine="420"/>
        <w:jc w:val="left"/>
        <w:rPr>
          <w:rFonts w:ascii="宋体" w:cs="宋体"/>
        </w:rPr>
      </w:pPr>
      <w:r>
        <w:rPr>
          <w:rFonts w:ascii="宋体" w:cs="宋体" w:hint="eastAsia"/>
        </w:rPr>
        <w:t>主起草单位对各试验室内数据进行了均值、标准偏差和相对标准偏差的统计，并就各试验室内数据和实验室间均值进行了格拉布斯检验以及实验室间数据等精度检验（柯克伦检验）。试验数据统计和检验结果见数据统计报告（带*数据为离群数据）。</w:t>
      </w:r>
    </w:p>
    <w:p>
      <w:pPr>
        <w:spacing w:beforeLines="50" w:before="156" w:afterLines="50" w:after="156"/>
        <w:jc w:val="left"/>
        <w:rPr>
          <w:rFonts w:ascii="宋体" w:cs="宋体"/>
          <w:b/>
        </w:rPr>
      </w:pPr>
      <w:r>
        <w:rPr>
          <w:rFonts w:ascii="宋体" w:cs="宋体" w:hint="eastAsia"/>
          <w:b/>
        </w:rPr>
        <w:t>2.</w:t>
      </w:r>
      <w:r>
        <w:rPr>
          <w:rFonts w:ascii="宋体" w:cs="宋体"/>
          <w:b/>
        </w:rPr>
        <w:t>5</w:t>
      </w:r>
      <w:r>
        <w:rPr>
          <w:rFonts w:ascii="宋体" w:cs="宋体" w:hint="eastAsia"/>
          <w:b/>
        </w:rPr>
        <w:t>.2、对于岐离和离群数据的分析</w:t>
      </w:r>
    </w:p>
    <w:p>
      <w:pPr>
        <w:spacing w:beforeLines="50" w:before="156" w:afterLines="50" w:after="156"/>
        <w:ind w:firstLine="420"/>
        <w:jc w:val="left"/>
        <w:rPr>
          <w:rFonts w:ascii="宋体" w:cs="宋体"/>
        </w:rPr>
      </w:pPr>
      <w:r>
        <w:rPr>
          <w:rFonts w:ascii="宋体" w:cs="宋体" w:hint="eastAsia"/>
        </w:rPr>
        <w:t>由于本方法测定元素的配分值跨度大，试验数据取舍在统计学基础上还应符合化学分析特点，对于岐离和离群数据是否留用，试验采取的判断方式：实验室测定结果与参考值之差|Xmax-μ</w:t>
      </w:r>
      <w:r>
        <w:rPr>
          <w:rFonts w:ascii="宋体" w:cs="宋体" w:hint="eastAsia"/>
          <w:vertAlign w:val="subscript"/>
        </w:rPr>
        <w:t>0</w:t>
      </w:r>
      <w:r>
        <w:rPr>
          <w:rFonts w:ascii="宋体" w:cs="宋体" w:hint="eastAsia"/>
        </w:rPr>
        <w:t>|不大于</w:t>
      </w:r>
      <w:r>
        <w:rPr>
          <w:rFonts w:ascii="宋体" w:cs="宋体" w:hint="eastAsia"/>
          <w:i/>
          <w:iCs/>
        </w:rPr>
        <w:t>CD′</w:t>
      </w:r>
      <w:r>
        <w:rPr>
          <w:rFonts w:ascii="宋体" w:cs="宋体" w:hint="eastAsia"/>
        </w:rPr>
        <w:t>（μ</w:t>
      </w:r>
      <w:r>
        <w:rPr>
          <w:rFonts w:ascii="宋体" w:cs="宋体" w:hint="eastAsia"/>
          <w:vertAlign w:val="subscript"/>
        </w:rPr>
        <w:t>0</w:t>
      </w:r>
      <w:r>
        <w:rPr>
          <w:rFonts w:ascii="宋体" w:cs="宋体" w:hint="eastAsia"/>
        </w:rPr>
        <w:t>理论上为真值，在无真值的情况下采用试验室内或实验室间平均值，Xmax为最大偏离数据），则数据符合要求留用，否则舍去。</w:t>
      </w:r>
      <w:r>
        <w:rPr>
          <w:rFonts w:ascii="宋体" w:cs="宋体" w:hint="eastAsia"/>
          <w:i/>
          <w:iCs/>
        </w:rPr>
        <w:t>CD′</w:t>
      </w:r>
      <w:r>
        <w:rPr>
          <w:rFonts w:ascii="宋体" w:cs="宋体" w:hint="eastAsia"/>
        </w:rPr>
        <w:t>按照下式计算：</w:t>
      </w:r>
    </w:p>
    <w:p>
      <w:pPr>
        <w:spacing w:beforeLines="50" w:before="156" w:afterLines="50" w:after="156"/>
        <w:ind w:firstLineChars="1300" w:firstLine="2730"/>
        <w:jc w:val="left"/>
        <w:rPr>
          <w:rFonts w:ascii="宋体" w:cs="宋体"/>
        </w:rPr>
      </w:pPr>
      <w:r>
        <w:rPr>
          <w:rFonts w:ascii="宋体" w:cs="宋体"/>
          <w:i/>
          <w:iCs/>
          <w:position w:val="-22"/>
        </w:rPr>
        <w:object>
          <v:shape id="_x0000_i2" type="#_x0000_t75" filled="f" stroked="f" style="width:140.85pt;height:30.05pt;" o:ole="">
            <v:stroke color="#000000"/>
            <v:imagedata r:id="rId7" o:title="2"/>
            <o:lock aspectratio="t"/>
          </v:shape>
          <o:OLEObject Type="Embed" ProgID="Package" ShapeID="_x0000_i2" DrawAspect="Content" ObjectID="_1393063352" r:id="rId8"/>
        </w:object>
      </w:r>
    </w:p>
    <w:p>
      <w:pPr>
        <w:spacing w:beforeLines="50" w:before="156" w:afterLines="50" w:after="156"/>
        <w:ind w:firstLineChars="200" w:firstLine="420"/>
        <w:jc w:val="left"/>
        <w:rPr>
          <w:sz w:val="18"/>
          <w:szCs w:val="18"/>
        </w:rPr>
      </w:pPr>
      <w:r>
        <w:rPr>
          <w:rFonts w:ascii="宋体" w:cs="宋体" w:hint="eastAsia"/>
        </w:rPr>
        <w:t>式中：δE为相近测试标准和原标准规定的实验室之间允许差Δ，U为测量不确定度，由于试验样品不能提供测量不确定度，U值定义为0。</w:t>
      </w:r>
    </w:p>
    <w:p>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Lines="50" w:before="156" w:afterLines="50" w:after="156"/>
        <w:jc w:val="left"/>
        <w:rPr>
          <w:rFonts w:ascii="宋体" w:cs="宋体"/>
          <w:b/>
        </w:rPr>
      </w:pPr>
      <w:r>
        <w:rPr>
          <w:rFonts w:ascii="宋体" w:cs="宋体" w:hint="eastAsia"/>
          <w:b/>
        </w:rPr>
        <w:t>2.</w:t>
      </w:r>
      <w:r>
        <w:rPr>
          <w:rFonts w:ascii="宋体" w:cs="宋体"/>
          <w:b/>
        </w:rPr>
        <w:t>5</w:t>
      </w:r>
      <w:r>
        <w:rPr>
          <w:rFonts w:ascii="宋体" w:cs="宋体" w:hint="eastAsia"/>
          <w:b/>
        </w:rPr>
        <w:t>.3、重复性限和再现性限计算</w:t>
      </w:r>
    </w:p>
    <w:p>
      <w:pPr>
        <w:spacing w:beforeLines="50" w:before="156" w:afterLines="50" w:after="156"/>
        <w:ind w:firstLineChars="200" w:firstLine="420"/>
        <w:jc w:val="left"/>
        <w:rPr>
          <w:rFonts w:ascii="宋体" w:cs="宋体"/>
        </w:rPr>
      </w:pPr>
      <w:r>
        <w:rPr>
          <w:rFonts w:ascii="宋体" w:cs="宋体" w:hint="eastAsia"/>
        </w:rPr>
        <w:t>试验对</w:t>
      </w:r>
      <w:r>
        <w:rPr>
          <w:rFonts w:ascii="宋体" w:cs="宋体"/>
        </w:rPr>
        <w:t>4</w:t>
      </w:r>
      <w:r>
        <w:rPr>
          <w:rFonts w:ascii="宋体" w:cs="宋体" w:hint="eastAsia"/>
        </w:rPr>
        <w:t>种样品</w:t>
      </w:r>
      <w:r>
        <w:rPr>
          <w:rFonts w:ascii="宋体" w:cs="宋体"/>
        </w:rPr>
        <w:t>8</w:t>
      </w:r>
      <w:r>
        <w:rPr>
          <w:rFonts w:ascii="宋体" w:cs="宋体" w:hint="eastAsia"/>
        </w:rPr>
        <w:t>个水平样品所有保留数据进行了重复性限和再现性限计算，计算结果见数据统计报告。</w:t>
      </w:r>
    </w:p>
    <w:p>
      <w:pPr>
        <w:spacing w:beforeLines="50" w:before="156" w:afterLines="50" w:after="156"/>
        <w:jc w:val="left"/>
        <w:rPr>
          <w:rFonts w:ascii="宋体" w:cs="宋体"/>
          <w:b/>
        </w:rPr>
      </w:pPr>
      <w:r>
        <w:rPr>
          <w:rFonts w:ascii="宋体" w:cs="宋体"/>
          <w:b/>
        </w:rPr>
        <w:t>3</w:t>
      </w:r>
      <w:r>
        <w:rPr>
          <w:rFonts w:ascii="宋体" w:cs="宋体" w:hint="eastAsia"/>
          <w:b/>
        </w:rPr>
        <w:t>、方法比对</w:t>
      </w:r>
    </w:p>
    <w:p>
      <w:pPr>
        <w:spacing w:beforeLines="50" w:before="156" w:afterLines="50" w:after="156"/>
        <w:ind w:firstLineChars="200" w:firstLine="420"/>
        <w:jc w:val="left"/>
        <w:rPr>
          <w:rFonts w:ascii="宋体" w:cs="宋体"/>
        </w:rPr>
      </w:pPr>
      <w:r>
        <w:rPr>
          <w:rFonts w:ascii="宋体" w:cs="宋体" w:hint="eastAsia"/>
        </w:rPr>
        <w:t>试验对</w:t>
      </w:r>
      <w:r>
        <w:rPr>
          <w:rFonts w:ascii="宋体" w:cs="宋体"/>
        </w:rPr>
        <w:t>4</w:t>
      </w:r>
      <w:r>
        <w:rPr>
          <w:rFonts w:ascii="宋体" w:cs="宋体" w:hint="eastAsia"/>
        </w:rPr>
        <w:t>种类型</w:t>
      </w:r>
      <w:r>
        <w:rPr>
          <w:rFonts w:ascii="宋体" w:cs="宋体"/>
        </w:rPr>
        <w:t>8</w:t>
      </w:r>
      <w:r>
        <w:rPr>
          <w:rFonts w:ascii="宋体" w:cs="宋体" w:hint="eastAsia"/>
        </w:rPr>
        <w:t>个水平样品检测结果进行两种方法的比对，结果见表</w:t>
      </w:r>
      <w:r>
        <w:rPr>
          <w:rFonts w:ascii="宋体" w:cs="宋体"/>
        </w:rPr>
        <w:t>12</w:t>
      </w:r>
      <w:r>
        <w:rPr>
          <w:rFonts w:ascii="宋体" w:cs="宋体" w:hint="eastAsia"/>
        </w:rPr>
        <w:t>。由表</w:t>
      </w:r>
      <w:r>
        <w:rPr>
          <w:rFonts w:ascii="宋体" w:cs="宋体"/>
        </w:rPr>
        <w:t>12</w:t>
      </w:r>
      <w:r>
        <w:rPr>
          <w:rFonts w:ascii="宋体" w:cs="宋体" w:hint="eastAsia"/>
        </w:rPr>
        <w:t>可见两种方法检测结果基本一致。</w:t>
      </w:r>
    </w:p>
    <w:p>
      <w:pPr>
        <w:widowControl/>
        <w:wordWrap w:val="0"/>
        <w:adjustRightInd w:val="0"/>
        <w:snapToGrid w:val="0"/>
        <w:spacing w:beforeLines="50" w:before="156" w:afterLines="50" w:after="156" w:line="360" w:lineRule="auto"/>
        <w:rPr>
          <w:rFonts w:ascii="黑体" w:eastAsia="黑体"/>
          <w:bCs/>
          <w:sz w:val="24"/>
        </w:rPr>
      </w:pPr>
      <w:r>
        <w:rPr>
          <w:rFonts w:ascii="黑体" w:eastAsia="黑体"/>
          <w:bCs/>
          <w:sz w:val="24"/>
        </w:rPr>
        <w:t>（</w:t>
      </w:r>
      <w:r>
        <w:rPr>
          <w:rFonts w:ascii="黑体" w:eastAsia="黑体" w:hint="eastAsia"/>
          <w:bCs/>
          <w:sz w:val="24"/>
        </w:rPr>
        <w:t>二</w:t>
      </w:r>
      <w:r>
        <w:rPr>
          <w:rFonts w:ascii="黑体" w:eastAsia="黑体"/>
          <w:bCs/>
          <w:sz w:val="24"/>
        </w:rPr>
        <w:t>）综述报告</w:t>
      </w:r>
    </w:p>
    <w:p>
      <w:pPr>
        <w:widowControl/>
        <w:ind w:firstLine="420"/>
        <w:jc w:val="left"/>
        <w:rPr>
          <w:rFonts w:ascii="宋体" w:cs="宋体"/>
          <w:kern w:val="0"/>
          <w:szCs w:val="22"/>
        </w:rPr>
      </w:pPr>
      <w:r>
        <w:rPr>
          <w:rFonts w:ascii="宋体" w:cs="宋体" w:hint="eastAsia"/>
          <w:szCs w:val="21"/>
        </w:rPr>
        <w:t>试验对称样量、</w:t>
      </w:r>
      <w:r>
        <w:rPr>
          <w:rFonts w:ascii="宋体" w:cs="宋体" w:hint="eastAsia"/>
          <w:kern w:val="0"/>
          <w:szCs w:val="22"/>
        </w:rPr>
        <w:t>样品分解盐酸、内标选择、</w:t>
      </w:r>
      <w:r>
        <w:rPr>
          <w:rFonts w:ascii="宋体" w:cs="宋体"/>
          <w:kern w:val="0"/>
          <w:szCs w:val="22"/>
        </w:rPr>
        <w:t>标准工作</w:t>
      </w:r>
      <w:r>
        <w:rPr>
          <w:rFonts w:ascii="宋体" w:cs="宋体" w:hint="eastAsia"/>
          <w:kern w:val="0"/>
          <w:szCs w:val="22"/>
        </w:rPr>
        <w:t>曲线</w:t>
      </w:r>
      <w:r>
        <w:rPr>
          <w:rFonts w:ascii="宋体" w:cs="宋体"/>
          <w:kern w:val="0"/>
          <w:szCs w:val="22"/>
        </w:rPr>
        <w:t>设计</w:t>
      </w:r>
      <w:r>
        <w:rPr>
          <w:rFonts w:ascii="宋体" w:cs="宋体" w:hint="eastAsia"/>
          <w:kern w:val="0"/>
          <w:szCs w:val="22"/>
        </w:rPr>
        <w:t>等验证试验，进行了准确性验证，确定了测定范围，并对所有试验数据进行了统计，确定所有方法的重复性限和再现性限。所有验证表明试验方法满足行业分析方法标准要求。</w:t>
      </w:r>
    </w:p>
    <w:p>
      <w:pPr>
        <w:widowControl/>
        <w:wordWrap w:val="0"/>
        <w:adjustRightInd w:val="0"/>
        <w:snapToGrid w:val="0"/>
        <w:spacing w:beforeLines="50" w:before="156" w:afterLines="50" w:after="156" w:line="360" w:lineRule="auto"/>
        <w:rPr>
          <w:rFonts w:ascii="宋体" w:eastAsia="宋体" w:cs="宋体"/>
          <w:szCs w:val="21"/>
        </w:rPr>
      </w:pPr>
      <w:r>
        <w:rPr>
          <w:rFonts w:ascii="黑体" w:eastAsia="黑体" w:hint="eastAsia"/>
          <w:bCs/>
          <w:sz w:val="24"/>
        </w:rPr>
        <w:t>（三）技术经济论证，预期的经济效果</w:t>
      </w:r>
    </w:p>
    <w:p>
      <w:pPr>
        <w:widowControl/>
        <w:ind w:firstLine="420"/>
        <w:jc w:val="left"/>
        <w:rPr>
          <w:rFonts w:ascii="宋体" w:cs="宋体" w:hint="eastAsia"/>
          <w:szCs w:val="21"/>
        </w:rPr>
      </w:pPr>
      <w:r>
        <w:rPr>
          <w:rFonts w:ascii="宋体" w:cs="宋体" w:hint="eastAsia"/>
          <w:szCs w:val="21"/>
        </w:rPr>
        <w:t>标准实施后，将应用到整个离子型稀土矿的开采、贸易及回收利用等过程中，应用前景良好，并会产生较好的社会效益和经济效益：</w:t>
      </w:r>
    </w:p>
    <w:p>
      <w:pPr>
        <w:widowControl/>
        <w:ind w:firstLine="420"/>
        <w:jc w:val="left"/>
        <w:rPr>
          <w:rFonts w:ascii="宋体" w:cs="宋体" w:hint="eastAsia"/>
          <w:szCs w:val="21"/>
        </w:rPr>
      </w:pPr>
      <w:r>
        <w:rPr>
          <w:rFonts w:ascii="宋体" w:cs="宋体" w:hint="eastAsia"/>
          <w:szCs w:val="21"/>
        </w:rPr>
        <w:t>（1）标准的实施将为生产、使用、贸易三方提供最基本的技术依据，在本标准的基础之上使三方达成共识，有利于产品的质量控制和产品升级，使后续使用方高效率、低消耗地使用该产品；</w:t>
      </w:r>
    </w:p>
    <w:p>
      <w:pPr>
        <w:widowControl/>
        <w:ind w:firstLine="420"/>
        <w:jc w:val="left"/>
        <w:rPr>
          <w:rFonts w:ascii="宋体" w:cs="宋体" w:hint="eastAsia"/>
          <w:szCs w:val="21"/>
        </w:rPr>
      </w:pPr>
      <w:r>
        <w:rPr>
          <w:rFonts w:ascii="宋体" w:cs="宋体" w:hint="eastAsia"/>
          <w:szCs w:val="21"/>
        </w:rPr>
        <w:t>（2）标准的实施为稀土贸易提供仲裁的依据，有利于市场公平交易环境的形成，能够更好地促进离子型稀土市场的规范化。</w:t>
      </w:r>
    </w:p>
    <w:p>
      <w:pPr>
        <w:widowControl/>
        <w:ind w:firstLine="420"/>
        <w:jc w:val="left"/>
        <w:rPr>
          <w:rFonts w:ascii="宋体" w:cs="宋体" w:hint="eastAsia"/>
          <w:szCs w:val="21"/>
        </w:rPr>
      </w:pPr>
      <w:r>
        <w:rPr>
          <w:rFonts w:ascii="宋体" w:cs="宋体" w:hint="eastAsia"/>
          <w:szCs w:val="21"/>
        </w:rPr>
        <w:t>（3）标准的实施将进一步完善离子型稀土矿化学分析方法的标准体系，与现行的《离子型稀土矿混合稀土氧化物化学分析方法》（GB/T 18882.2、GB/T 18882.3）形成一套完整规范的国家标准系列，为推动南方离子型稀土乃至中国稀土产业的规范有序稳步发展提供技术支撑。</w:t>
      </w:r>
    </w:p>
    <w:p>
      <w:pPr>
        <w:widowControl/>
        <w:ind w:firstLine="420"/>
        <w:jc w:val="left"/>
        <w:rPr>
          <w:rFonts w:ascii="宋体" w:cs="宋体"/>
          <w:szCs w:val="21"/>
        </w:rPr>
      </w:pPr>
      <w:r>
        <w:rPr>
          <w:rFonts w:ascii="宋体" w:cs="宋体" w:hint="eastAsia"/>
          <w:szCs w:val="21"/>
        </w:rPr>
        <w:t>（4）目前稀土正在进入国际标准领域进程中，本标准实施后也将对稀土标准国际化起到推波助澜的作用。</w:t>
      </w:r>
    </w:p>
    <w:p>
      <w:pPr>
        <w:widowControl/>
        <w:jc w:val="left"/>
        <w:rPr>
          <w:rFonts w:ascii="黑体" w:eastAsia="黑体"/>
          <w:bCs/>
          <w:sz w:val="24"/>
        </w:rPr>
      </w:pPr>
      <w:r>
        <w:rPr>
          <w:rFonts w:ascii="黑体" w:eastAsia="黑体" w:hint="eastAsia"/>
          <w:bCs/>
          <w:sz w:val="24"/>
        </w:rPr>
        <w:t>四、与国际、国外同类标准技术内容的对比</w:t>
      </w:r>
    </w:p>
    <w:p>
      <w:pPr>
        <w:widowControl/>
        <w:spacing w:beforeLines="50" w:before="156" w:afterLines="50" w:after="156"/>
        <w:ind w:left="0" w:firstLineChars="200" w:firstLine="420"/>
        <w:rPr>
          <w:rFonts w:ascii="宋体" w:cs="宋体"/>
        </w:rPr>
      </w:pPr>
      <w:r>
        <w:rPr>
          <w:rFonts w:ascii="宋体" w:cs="宋体" w:hint="eastAsia"/>
        </w:rPr>
        <w:t>国内、国外尚未见测定稀土</w:t>
      </w:r>
      <w:r>
        <w:rPr>
          <w:rFonts w:ascii="宋体" w:cs="宋体" w:hint="eastAsia"/>
          <w:szCs w:val="21"/>
        </w:rPr>
        <w:t>火法冶炼</w:t>
      </w:r>
      <w:r>
        <w:rPr>
          <w:rFonts w:ascii="宋体" w:cs="宋体" w:hint="eastAsia"/>
        </w:rPr>
        <w:t>回收料中稀土配分量的分析方法标准。</w:t>
      </w:r>
    </w:p>
    <w:p>
      <w:pPr>
        <w:spacing w:beforeLines="100" w:before="312" w:afterLines="100" w:after="312" w:line="312" w:lineRule="auto"/>
        <w:rPr>
          <w:rFonts w:ascii="黑体" w:eastAsia="黑体"/>
          <w:bCs/>
          <w:sz w:val="24"/>
        </w:rPr>
      </w:pPr>
      <w:r>
        <w:rPr>
          <w:rFonts w:ascii="黑体" w:eastAsia="黑体" w:hint="eastAsia"/>
          <w:bCs/>
          <w:sz w:val="24"/>
        </w:rPr>
        <w:t>五、采标情况，以及是否合规引用或采用国际国外标准</w:t>
      </w:r>
    </w:p>
    <w:p>
      <w:pPr>
        <w:widowControl/>
        <w:spacing w:beforeLines="50" w:before="156" w:afterLines="50" w:after="156"/>
        <w:ind w:firstLineChars="200" w:firstLine="420"/>
        <w:jc w:val="left"/>
        <w:rPr>
          <w:rFonts w:ascii="宋体" w:cs="宋体"/>
        </w:rPr>
      </w:pPr>
      <w:r>
        <w:rPr>
          <w:rFonts w:ascii="宋体" w:cs="宋体" w:hint="eastAsia"/>
        </w:rPr>
        <w:t>经查，国外无相同类型的标准。本标准未采用（包括等同采用、修改采用及非等效采用）国际标准或国外先进标准。</w:t>
      </w:r>
    </w:p>
    <w:p>
      <w:pPr>
        <w:spacing w:beforeLines="50" w:before="156" w:afterLines="50" w:after="156"/>
        <w:rPr>
          <w:rFonts w:ascii="宋体" w:cs="宋体"/>
          <w:bCs/>
          <w:sz w:val="24"/>
        </w:rPr>
      </w:pPr>
      <w:r>
        <w:rPr>
          <w:rFonts w:ascii="黑体" w:eastAsia="黑体" w:hint="eastAsia"/>
          <w:bCs/>
          <w:sz w:val="24"/>
        </w:rPr>
        <w:t>六、与有关法律、法规的关系</w:t>
      </w:r>
    </w:p>
    <w:p>
      <w:pPr>
        <w:spacing w:beforeLines="50" w:before="156" w:afterLines="50" w:after="156"/>
        <w:ind w:firstLineChars="200" w:firstLine="420"/>
        <w:jc w:val="left"/>
        <w:rPr>
          <w:rFonts w:ascii="宋体" w:cs="宋体"/>
        </w:rPr>
      </w:pPr>
      <w:r>
        <w:rPr>
          <w:rFonts w:hint="eastAsia"/>
        </w:rPr>
        <w:t>本标准与现行法律、法规和相关标准相协调、无冲突</w:t>
      </w:r>
      <w:r>
        <w:rPr>
          <w:rFonts w:ascii="宋体" w:cs="宋体" w:hint="eastAsia"/>
        </w:rPr>
        <w:t>。</w:t>
      </w:r>
    </w:p>
    <w:p>
      <w:pPr>
        <w:spacing w:beforeLines="50" w:before="156" w:afterLines="50" w:after="156"/>
        <w:rPr>
          <w:rFonts w:ascii="宋体" w:cs="宋体"/>
          <w:bCs/>
          <w:sz w:val="24"/>
        </w:rPr>
      </w:pPr>
      <w:r>
        <w:rPr>
          <w:rFonts w:ascii="黑体" w:eastAsia="黑体" w:hint="eastAsia"/>
          <w:bCs/>
          <w:sz w:val="24"/>
        </w:rPr>
        <w:t>七、重大分歧</w:t>
      </w:r>
      <w:r>
        <w:rPr>
          <w:rFonts w:ascii="宋体" w:cs="宋体" w:hint="eastAsia"/>
          <w:bCs/>
          <w:sz w:val="24"/>
        </w:rPr>
        <w:t>意见的处理和依据</w:t>
      </w:r>
    </w:p>
    <w:p>
      <w:pPr>
        <w:rPr>
          <w:rFonts w:ascii="宋体" w:cs="宋体"/>
          <w:bCs/>
          <w:sz w:val="24"/>
        </w:rPr>
      </w:pPr>
      <w:r>
        <w:rPr>
          <w:rFonts w:ascii="宋体" w:cs="宋体" w:hint="eastAsia"/>
          <w:bCs/>
          <w:sz w:val="24"/>
        </w:rPr>
        <w:tab/>
        <w:t>无。</w:t>
      </w:r>
    </w:p>
    <w:p>
      <w:pPr>
        <w:spacing w:beforeLines="50" w:before="156" w:afterLines="50" w:after="156"/>
        <w:rPr>
          <w:rFonts w:ascii="宋体" w:cs="宋体"/>
          <w:bCs/>
          <w:sz w:val="24"/>
        </w:rPr>
      </w:pPr>
      <w:r>
        <w:rPr>
          <w:rFonts w:ascii="黑体" w:eastAsia="黑体" w:hint="eastAsia"/>
          <w:bCs/>
          <w:sz w:val="24"/>
        </w:rPr>
        <w:t>八、涉及专利的有关说明</w:t>
      </w:r>
    </w:p>
    <w:p>
      <w:pPr>
        <w:pStyle w:val="113"/>
        <w:tabs>
          <w:tab w:val="center" w:pos="4201"/>
          <w:tab w:val="right" w:leader="dot" w:pos="9298"/>
        </w:tabs>
        <w:rPr>
          <w:rFonts w:cs="宋体"/>
        </w:rPr>
      </w:pPr>
      <w:r>
        <w:rPr>
          <w:rFonts w:hint="eastAsia"/>
        </w:rPr>
        <w:t>本标准不涉及专利问题</w:t>
      </w:r>
      <w:r>
        <w:rPr>
          <w:rFonts w:cs="宋体" w:hint="eastAsia"/>
        </w:rPr>
        <w:t>。</w:t>
      </w:r>
    </w:p>
    <w:p>
      <w:pPr>
        <w:spacing w:beforeLines="50" w:before="156" w:afterLines="50" w:after="156"/>
        <w:rPr>
          <w:rFonts w:ascii="宋体" w:cs="宋体"/>
          <w:bCs/>
          <w:sz w:val="24"/>
        </w:rPr>
      </w:pPr>
      <w:r>
        <w:rPr>
          <w:rFonts w:ascii="黑体" w:eastAsia="黑体" w:hint="eastAsia"/>
          <w:bCs/>
          <w:sz w:val="24"/>
        </w:rPr>
        <w:t>九、贯彻国家标准的要求，以及组织措施、技术措施、过渡期和实施日期的建议等措施建议</w:t>
      </w:r>
    </w:p>
    <w:p>
      <w:pPr>
        <w:ind w:firstLineChars="200" w:firstLine="420"/>
        <w:jc w:val="left"/>
        <w:rPr>
          <w:rFonts w:ascii="宋体" w:cs="宋体"/>
          <w:sz w:val="24"/>
        </w:rPr>
      </w:pPr>
      <w:r>
        <w:rPr>
          <w:rFonts w:ascii="宋体" w:cs="宋体" w:hint="eastAsia"/>
        </w:rPr>
        <w:t>本标准实施后</w:t>
      </w:r>
      <w:r>
        <w:rPr>
          <w:rFonts w:ascii="宋体" w:cs="宋体" w:hint="eastAsia"/>
          <w:kern w:val="0"/>
          <w:szCs w:val="20"/>
        </w:rPr>
        <w:t>建议离子</w:t>
      </w:r>
      <w:r>
        <w:rPr>
          <w:rFonts w:ascii="宋体" w:cs="宋体"/>
          <w:kern w:val="0"/>
          <w:szCs w:val="20"/>
        </w:rPr>
        <w:t>型</w:t>
      </w:r>
      <w:r>
        <w:rPr>
          <w:rFonts w:ascii="宋体" w:cs="宋体" w:hint="eastAsia"/>
          <w:kern w:val="0"/>
          <w:szCs w:val="20"/>
        </w:rPr>
        <w:t>稀土矿</w:t>
      </w:r>
      <w:r>
        <w:rPr>
          <w:rFonts w:ascii="宋体" w:cs="宋体"/>
          <w:kern w:val="0"/>
          <w:szCs w:val="20"/>
        </w:rPr>
        <w:t>开采</w:t>
      </w:r>
      <w:r>
        <w:rPr>
          <w:rFonts w:ascii="宋体" w:cs="宋体" w:hint="eastAsia"/>
          <w:kern w:val="0"/>
          <w:szCs w:val="20"/>
        </w:rPr>
        <w:t>和分离企业有以及检测单位积极组织本标准的学习与宣贯，可向企业、公司和科研院校（所）推荐本标准。</w:t>
      </w:r>
    </w:p>
    <w:p>
      <w:pPr>
        <w:spacing w:beforeLines="50" w:before="156" w:afterLines="50" w:after="156"/>
        <w:rPr>
          <w:rFonts w:ascii="宋体" w:cs="宋体"/>
          <w:bCs/>
          <w:sz w:val="24"/>
        </w:rPr>
      </w:pPr>
      <w:r>
        <w:rPr>
          <w:rFonts w:ascii="黑体" w:eastAsia="黑体" w:hint="eastAsia"/>
          <w:bCs/>
          <w:sz w:val="24"/>
        </w:rPr>
        <w:t>十、其他应当说明的事项</w:t>
      </w:r>
    </w:p>
    <w:p>
      <w:pPr>
        <w:pStyle w:val="113"/>
        <w:jc w:val="left"/>
        <w:rPr>
          <w:rFonts w:cs="宋体"/>
          <w:szCs w:val="22"/>
        </w:rPr>
      </w:pPr>
      <w:r>
        <w:rPr>
          <w:rFonts w:cs="宋体" w:hint="eastAsia"/>
        </w:rPr>
        <w:t>无</w:t>
      </w:r>
      <w:r>
        <w:rPr>
          <w:rFonts w:cs="宋体" w:hint="eastAsia"/>
          <w:szCs w:val="22"/>
        </w:rPr>
        <w:t>。</w:t>
      </w:r>
    </w:p>
    <w:p>
      <w:pPr>
        <w:ind w:firstLineChars="200" w:firstLine="420"/>
        <w:rPr>
          <w:rFonts w:ascii="宋体" w:cs="宋体"/>
          <w:kern w:val="0"/>
          <w:szCs w:val="20"/>
        </w:rPr>
        <w:sectPr>
          <w:footerReference w:type="default" r:id="rId4"/>
          <w:pgSz w:w="11906" w:h="16838"/>
          <w:pgMar w:top="1134" w:right="1077" w:bottom="1213" w:left="1077" w:header="851" w:footer="992" w:gutter="0"/>
          <w:pgNumType w:start="1"/>
          <w:docGrid w:type="lines" w:linePitch="312" w:charSpace="0"/>
        </w:sectPr>
      </w:pPr>
    </w:p>
    <w:p>
      <w:pPr>
        <w:jc w:val="center"/>
        <w:rPr>
          <w:rFonts w:ascii="宋体" w:cs="宋体"/>
          <w:bCs/>
          <w:szCs w:val="21"/>
        </w:rPr>
      </w:pPr>
      <w:r>
        <w:rPr>
          <w:rFonts w:ascii="宋体" w:cs="宋体" w:hint="eastAsia"/>
          <w:bCs/>
          <w:szCs w:val="21"/>
        </w:rPr>
        <w:t xml:space="preserve">                                         </w:t>
      </w:r>
      <w:r>
        <w:rPr>
          <w:rFonts w:ascii="宋体" w:cs="宋体"/>
          <w:bCs/>
          <w:szCs w:val="21"/>
        </w:rPr>
        <w:t xml:space="preserve">    </w:t>
      </w:r>
      <w:r>
        <w:rPr>
          <w:rFonts w:ascii="宋体" w:cs="宋体" w:hint="eastAsia"/>
          <w:bCs/>
          <w:szCs w:val="21"/>
        </w:rPr>
        <w:t xml:space="preserve">     表</w:t>
      </w:r>
      <w:r>
        <w:rPr>
          <w:rFonts w:ascii="宋体" w:cs="宋体"/>
          <w:bCs/>
          <w:szCs w:val="21"/>
        </w:rPr>
        <w:t>4</w:t>
      </w:r>
      <w:r>
        <w:rPr>
          <w:rFonts w:ascii="宋体" w:cs="宋体" w:hint="eastAsia"/>
          <w:bCs/>
          <w:szCs w:val="21"/>
        </w:rPr>
        <w:t xml:space="preserve"> 不同内标对测定的影响试验</w:t>
      </w:r>
      <w:r>
        <w:rPr>
          <w:rFonts w:ascii="宋体" w:cs="宋体" w:hint="eastAsia"/>
          <w:szCs w:val="21"/>
        </w:rPr>
        <w:t xml:space="preserve">                </w:t>
      </w:r>
      <w:r>
        <w:rPr>
          <w:rFonts w:ascii="宋体" w:cs="宋体"/>
          <w:szCs w:val="21"/>
        </w:rPr>
        <w:t xml:space="preserve">  </w:t>
      </w:r>
      <w:r>
        <w:rPr>
          <w:rFonts w:ascii="宋体" w:cs="宋体" w:hint="eastAsia"/>
          <w:szCs w:val="21"/>
        </w:rPr>
        <w:t xml:space="preserve">                                   %</w:t>
      </w:r>
    </w:p>
    <w:tbl>
      <w:tblPr>
        <w:jc w:val="left"/>
        <w:tblW w:w="5000" w:type="pct"/>
        <w:tblBorders>
          <w:top w:val="single" w:sz="12" w:space="0" w:color="auto"/>
          <w:left w:val="none" w:sz="0" w:space="0" w:color="auto"/>
          <w:bottom w:val="single" w:sz="12" w:space="0" w:color="auto"/>
          <w:right w:val="none" w:sz="0" w:space="0" w:color="auto"/>
          <w:insideH w:val="single" w:sz="6" w:space="0" w:color="auto"/>
        </w:tblBorders>
        <w:tblCellMar>
          <w:top w:w="0" w:type="dxa"/>
          <w:left w:w="30" w:type="dxa"/>
          <w:bottom w:w="0" w:type="dxa"/>
          <w:right w:w="30" w:type="dxa"/>
        </w:tblCellMar>
      </w:tblPr>
      <w:tblGrid>
        <w:gridCol w:w="756"/>
        <w:gridCol w:w="1156"/>
        <w:gridCol w:w="739"/>
        <w:gridCol w:w="846"/>
        <w:gridCol w:w="846"/>
        <w:gridCol w:w="846"/>
        <w:gridCol w:w="846"/>
        <w:gridCol w:w="846"/>
        <w:gridCol w:w="846"/>
        <w:gridCol w:w="843"/>
        <w:gridCol w:w="846"/>
        <w:gridCol w:w="846"/>
        <w:gridCol w:w="846"/>
        <w:gridCol w:w="843"/>
        <w:gridCol w:w="846"/>
        <w:gridCol w:w="846"/>
        <w:gridCol w:w="834"/>
      </w:tblGrid>
      <w:tr>
        <w:trPr>
          <w:trHeight w:val="288"/>
        </w:trPr>
        <w:tc>
          <w:tcPr>
            <w:tcW w:w="261" w:type="pct"/>
            <w:tcBorders>
              <w:top w:val="single" w:sz="12" w:space="0" w:color="auto"/>
              <w:left w:val="nil"/>
              <w:bottom w:val="single" w:sz="6" w:space="0" w:color="auto"/>
              <w:right w:val="single" w:sz="4" w:space="0" w:color="auto"/>
            </w:tcBorders>
            <w:vAlign w:val="center"/>
          </w:tcPr>
          <w:p>
            <w:pPr>
              <w:widowControl/>
              <w:jc w:val="center"/>
              <w:rPr>
                <w:rFonts w:ascii="宋体" w:cs="宋体" w:hint="eastAsia"/>
                <w:kern w:val="0"/>
                <w:szCs w:val="21"/>
              </w:rPr>
            </w:pPr>
            <w:r>
              <w:rPr>
                <w:rFonts w:ascii="宋体" w:cs="宋体" w:hint="eastAsia"/>
                <w:kern w:val="0"/>
                <w:szCs w:val="21"/>
              </w:rPr>
              <w:t>内标</w:t>
            </w:r>
          </w:p>
        </w:tc>
        <w:tc>
          <w:tcPr>
            <w:tcW w:w="399" w:type="pct"/>
            <w:tcBorders>
              <w:left w:val="single" w:sz="4" w:space="0" w:color="auto"/>
            </w:tcBorders>
          </w:tcPr>
          <w:p>
            <w:pPr>
              <w:widowControl/>
              <w:jc w:val="center"/>
              <w:rPr>
                <w:rFonts w:ascii="宋体" w:cs="宋体" w:hint="eastAsia"/>
                <w:kern w:val="0"/>
                <w:sz w:val="18"/>
                <w:szCs w:val="18"/>
              </w:rPr>
            </w:pPr>
            <w:r>
              <w:rPr>
                <w:rFonts w:ascii="宋体" w:cs="宋体" w:hint="eastAsia"/>
                <w:kern w:val="0"/>
                <w:sz w:val="18"/>
                <w:szCs w:val="18"/>
              </w:rPr>
              <w:t>样品</w:t>
            </w:r>
          </w:p>
        </w:tc>
        <w:tc>
          <w:tcPr>
            <w:tcW w:w="255"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La</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CeO</w:t>
            </w:r>
            <w:r>
              <w:rPr>
                <w:rFonts w:ascii="宋体" w:cs="宋体" w:hint="eastAsia"/>
                <w:kern w:val="0"/>
                <w:sz w:val="18"/>
                <w:szCs w:val="18"/>
                <w:vertAlign w:val="subscript"/>
              </w:rPr>
              <w:t>2</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Pr</w:t>
            </w:r>
            <w:r>
              <w:rPr>
                <w:rFonts w:ascii="宋体" w:cs="宋体" w:hint="eastAsia"/>
                <w:kern w:val="0"/>
                <w:sz w:val="18"/>
                <w:szCs w:val="18"/>
                <w:vertAlign w:val="subscript"/>
              </w:rPr>
              <w:t>6</w:t>
            </w:r>
            <w:r>
              <w:rPr>
                <w:rFonts w:ascii="宋体" w:cs="宋体" w:hint="eastAsia"/>
                <w:kern w:val="0"/>
                <w:sz w:val="18"/>
                <w:szCs w:val="18"/>
              </w:rPr>
              <w:t>O</w:t>
            </w:r>
            <w:r>
              <w:rPr>
                <w:rFonts w:ascii="宋体" w:cs="宋体" w:hint="eastAsia"/>
                <w:kern w:val="0"/>
                <w:sz w:val="18"/>
                <w:szCs w:val="18"/>
                <w:vertAlign w:val="subscript"/>
              </w:rPr>
              <w:t>11</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Nd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Sm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Gd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Tb</w:t>
            </w:r>
            <w:r>
              <w:rPr>
                <w:rFonts w:ascii="宋体" w:cs="宋体" w:hint="eastAsia"/>
                <w:kern w:val="0"/>
                <w:sz w:val="18"/>
                <w:szCs w:val="18"/>
                <w:vertAlign w:val="subscript"/>
              </w:rPr>
              <w:t>4</w:t>
            </w:r>
            <w:r>
              <w:rPr>
                <w:rFonts w:ascii="宋体" w:cs="宋体" w:hint="eastAsia"/>
                <w:kern w:val="0"/>
                <w:sz w:val="18"/>
                <w:szCs w:val="18"/>
              </w:rPr>
              <w:t>O</w:t>
            </w:r>
            <w:r>
              <w:rPr>
                <w:rFonts w:ascii="宋体" w:cs="宋体" w:hint="eastAsia"/>
                <w:kern w:val="0"/>
                <w:sz w:val="18"/>
                <w:szCs w:val="18"/>
                <w:vertAlign w:val="subscript"/>
              </w:rPr>
              <w:t>7</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Dy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Ho</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Er</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Yb</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88"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r>
      <w:tr>
        <w:trPr>
          <w:trHeight w:val="227"/>
        </w:trPr>
        <w:tc>
          <w:tcPr>
            <w:tcW w:w="261" w:type="pct"/>
            <w:tcBorders>
              <w:top w:val="single" w:sz="6" w:space="0" w:color="auto"/>
              <w:left w:val="nil"/>
              <w:bottom w:val="single" w:sz="6" w:space="0" w:color="auto"/>
              <w:right w:val="single" w:sz="4" w:space="0" w:color="auto"/>
            </w:tcBorders>
          </w:tcPr>
          <w:p>
            <w:pPr>
              <w:widowControl/>
              <w:jc w:val="center"/>
              <w:rPr>
                <w:rFonts w:ascii="宋体" w:cs="宋体" w:hint="eastAsia"/>
                <w:kern w:val="0"/>
                <w:szCs w:val="21"/>
              </w:rPr>
            </w:pPr>
            <w:r>
              <w:rPr>
                <w:rFonts w:ascii="宋体" w:cs="宋体" w:hint="eastAsia"/>
                <w:kern w:val="0"/>
                <w:szCs w:val="21"/>
              </w:rPr>
              <w:t>S</w:t>
            </w:r>
            <w:r>
              <w:rPr>
                <w:rFonts w:ascii="宋体" w:cs="宋体"/>
                <w:kern w:val="0"/>
                <w:szCs w:val="21"/>
              </w:rPr>
              <w:t>c</w:t>
            </w:r>
          </w:p>
        </w:tc>
        <w:tc>
          <w:tcPr>
            <w:tcW w:w="399" w:type="pct"/>
            <w:tcBorders>
              <w:left w:val="single" w:sz="4" w:space="0" w:color="auto"/>
            </w:tcBorders>
          </w:tcPr>
          <w:p>
            <w:pPr>
              <w:widowControl/>
              <w:jc w:val="center"/>
              <w:textAlignment w:val="center"/>
              <w:rPr>
                <w:rFonts w:ascii="宋体" w:cs="宋体" w:hint="eastAsia"/>
                <w:color w:val="000000"/>
                <w:kern w:val="0"/>
                <w:sz w:val="22"/>
                <w:szCs w:val="22"/>
              </w:rPr>
            </w:pPr>
            <w:r>
              <w:rPr>
                <w:rFonts w:ascii="宋体" w:cs="宋体" w:hint="eastAsia"/>
                <w:color w:val="000000"/>
                <w:kern w:val="0"/>
                <w:sz w:val="22"/>
                <w:szCs w:val="22"/>
              </w:rPr>
              <w:t>1</w:t>
            </w:r>
            <w:r>
              <w:rPr>
                <w:rFonts w:ascii="宋体" w:cs="宋体"/>
                <w:color w:val="000000"/>
                <w:kern w:val="0"/>
                <w:sz w:val="22"/>
                <w:szCs w:val="22"/>
              </w:rPr>
              <w:t>#</w:t>
            </w:r>
          </w:p>
        </w:tc>
        <w:tc>
          <w:tcPr>
            <w:tcW w:w="255"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43.118</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9.720</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2.956</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3.198</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12.852</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4.634</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0.164</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5.892</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1.047</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6.448</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1.340</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3.762</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0.584</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3.713</w:t>
            </w:r>
          </w:p>
        </w:tc>
        <w:tc>
          <w:tcPr>
            <w:tcW w:w="288"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0.570</w:t>
            </w:r>
          </w:p>
        </w:tc>
      </w:tr>
      <w:tr>
        <w:trPr>
          <w:trHeight w:val="227"/>
        </w:trPr>
        <w:tc>
          <w:tcPr>
            <w:tcW w:w="261" w:type="pct"/>
            <w:tcBorders>
              <w:top w:val="single" w:sz="6" w:space="0" w:color="auto"/>
              <w:left w:val="nil"/>
              <w:bottom w:val="single" w:sz="6" w:space="0" w:color="auto"/>
              <w:right w:val="single" w:sz="4" w:space="0" w:color="auto"/>
            </w:tcBorders>
          </w:tcPr>
          <w:p>
            <w:pPr>
              <w:widowControl/>
              <w:jc w:val="center"/>
              <w:rPr>
                <w:rFonts w:ascii="宋体" w:cs="宋体"/>
                <w:kern w:val="0"/>
                <w:szCs w:val="21"/>
              </w:rPr>
            </w:pPr>
            <w:r>
              <w:rPr>
                <w:rFonts w:ascii="宋体" w:cs="宋体" w:hint="eastAsia"/>
                <w:kern w:val="0"/>
                <w:szCs w:val="21"/>
              </w:rPr>
              <w:t>V</w:t>
            </w:r>
          </w:p>
        </w:tc>
        <w:tc>
          <w:tcPr>
            <w:tcW w:w="399" w:type="pct"/>
            <w:tcBorders>
              <w:left w:val="single" w:sz="4" w:space="0" w:color="auto"/>
            </w:tcBorders>
          </w:tcPr>
          <w:p>
            <w:pPr>
              <w:widowControl/>
              <w:jc w:val="center"/>
              <w:textAlignment w:val="center"/>
              <w:rPr>
                <w:rFonts w:ascii="宋体" w:cs="宋体" w:hint="eastAsia"/>
                <w:color w:val="000000"/>
                <w:kern w:val="0"/>
                <w:sz w:val="22"/>
                <w:szCs w:val="22"/>
              </w:rPr>
            </w:pPr>
            <w:r>
              <w:rPr>
                <w:rFonts w:ascii="宋体" w:cs="宋体" w:hint="eastAsia"/>
                <w:color w:val="000000"/>
                <w:kern w:val="0"/>
                <w:sz w:val="22"/>
                <w:szCs w:val="22"/>
              </w:rPr>
              <w:t>1</w:t>
            </w:r>
            <w:r>
              <w:rPr>
                <w:rFonts w:ascii="宋体" w:cs="宋体"/>
                <w:color w:val="000000"/>
                <w:kern w:val="0"/>
                <w:sz w:val="22"/>
                <w:szCs w:val="22"/>
              </w:rPr>
              <w:t>#</w:t>
            </w:r>
          </w:p>
        </w:tc>
        <w:tc>
          <w:tcPr>
            <w:tcW w:w="255"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43.241</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9.691</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2.981</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3.209</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12.830</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4.621</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0.171</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5.860</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1.048</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6.404</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1.350</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3.723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0.595</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3.682</w:t>
            </w:r>
          </w:p>
        </w:tc>
        <w:tc>
          <w:tcPr>
            <w:tcW w:w="288"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0.594</w:t>
            </w:r>
          </w:p>
        </w:tc>
      </w:tr>
      <w:tr>
        <w:trPr>
          <w:trHeight w:val="227"/>
        </w:trPr>
        <w:tc>
          <w:tcPr>
            <w:tcW w:w="261" w:type="pct"/>
            <w:tcBorders>
              <w:top w:val="single" w:sz="6" w:space="0" w:color="auto"/>
              <w:left w:val="nil"/>
              <w:bottom w:val="single" w:sz="6" w:space="0" w:color="auto"/>
              <w:right w:val="single" w:sz="4" w:space="0" w:color="auto"/>
            </w:tcBorders>
          </w:tcPr>
          <w:p>
            <w:pPr>
              <w:widowControl/>
              <w:jc w:val="center"/>
              <w:rPr>
                <w:rFonts w:ascii="宋体" w:cs="宋体" w:hint="eastAsia"/>
                <w:kern w:val="0"/>
                <w:szCs w:val="21"/>
              </w:rPr>
            </w:pPr>
            <w:r>
              <w:rPr>
                <w:rFonts w:ascii="宋体" w:cs="宋体" w:hint="eastAsia"/>
                <w:kern w:val="0"/>
                <w:szCs w:val="21"/>
              </w:rPr>
              <w:t>S</w:t>
            </w:r>
            <w:r>
              <w:rPr>
                <w:rFonts w:ascii="宋体" w:cs="宋体"/>
                <w:kern w:val="0"/>
                <w:szCs w:val="21"/>
              </w:rPr>
              <w:t>c</w:t>
            </w:r>
          </w:p>
        </w:tc>
        <w:tc>
          <w:tcPr>
            <w:tcW w:w="399" w:type="pct"/>
            <w:tcBorders>
              <w:left w:val="single" w:sz="4" w:space="0" w:color="auto"/>
            </w:tcBorders>
          </w:tcPr>
          <w:p>
            <w:pPr>
              <w:jc w:val="center"/>
              <w:rPr>
                <w:rFonts w:ascii="宋体" w:cs="宋体" w:hint="eastAsia"/>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w:t>
            </w:r>
          </w:p>
        </w:tc>
        <w:tc>
          <w:tcPr>
            <w:tcW w:w="255"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33.165</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16.663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3.036</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4.595</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17.310</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5.123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0.227</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5.922</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1.006</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5.846</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1.139</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2.901</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0.393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2.331</w:t>
            </w:r>
          </w:p>
        </w:tc>
        <w:tc>
          <w:tcPr>
            <w:tcW w:w="288"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0.342</w:t>
            </w:r>
          </w:p>
        </w:tc>
      </w:tr>
      <w:tr>
        <w:trPr>
          <w:trHeight w:val="227"/>
        </w:trPr>
        <w:tc>
          <w:tcPr>
            <w:tcW w:w="261" w:type="pct"/>
            <w:tcBorders>
              <w:top w:val="single" w:sz="6" w:space="0" w:color="auto"/>
              <w:left w:val="nil"/>
              <w:bottom w:val="single" w:sz="12" w:space="0" w:color="auto"/>
              <w:right w:val="single" w:sz="4" w:space="0" w:color="auto"/>
            </w:tcBorders>
          </w:tcPr>
          <w:p>
            <w:pPr>
              <w:widowControl/>
              <w:jc w:val="center"/>
              <w:rPr>
                <w:rFonts w:ascii="宋体" w:cs="宋体"/>
                <w:kern w:val="0"/>
                <w:szCs w:val="21"/>
              </w:rPr>
            </w:pPr>
            <w:r>
              <w:rPr>
                <w:rFonts w:ascii="宋体" w:cs="宋体" w:hint="eastAsia"/>
                <w:kern w:val="0"/>
                <w:szCs w:val="21"/>
              </w:rPr>
              <w:t>V</w:t>
            </w:r>
          </w:p>
        </w:tc>
        <w:tc>
          <w:tcPr>
            <w:tcW w:w="399" w:type="pct"/>
            <w:tcBorders>
              <w:left w:val="single" w:sz="4" w:space="0" w:color="auto"/>
            </w:tcBorders>
          </w:tcPr>
          <w:p>
            <w:pPr>
              <w:jc w:val="center"/>
              <w:rPr>
                <w:rFonts w:ascii="宋体" w:cs="宋体" w:hint="eastAsia"/>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w:t>
            </w:r>
          </w:p>
        </w:tc>
        <w:tc>
          <w:tcPr>
            <w:tcW w:w="255"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33.115</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16.627</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3.023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4.616</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17.323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5.116</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0.225</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5.953</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1.012</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5.865</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1.157</w:t>
            </w:r>
          </w:p>
        </w:tc>
        <w:tc>
          <w:tcPr>
            <w:tcW w:w="291"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2.882</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0.402</w:t>
            </w:r>
          </w:p>
        </w:tc>
        <w:tc>
          <w:tcPr>
            <w:tcW w:w="292"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2.344</w:t>
            </w:r>
          </w:p>
        </w:tc>
        <w:tc>
          <w:tcPr>
            <w:tcW w:w="288" w:type="pct"/>
            <w:tcBorders>
              <w:left w:val="nil"/>
              <w:right w:val="nil"/>
            </w:tcBorders>
          </w:tcPr>
          <w:p>
            <w:pPr>
              <w:jc w:val="center"/>
              <w:rPr>
                <w:rFonts w:ascii="宋体" w:cs="宋体"/>
                <w:color w:val="000000"/>
                <w:kern w:val="0"/>
                <w:sz w:val="22"/>
                <w:szCs w:val="22"/>
              </w:rPr>
            </w:pPr>
            <w:r>
              <w:rPr>
                <w:rFonts w:ascii="宋体" w:cs="宋体"/>
                <w:color w:val="000000"/>
                <w:kern w:val="0"/>
                <w:sz w:val="22"/>
                <w:szCs w:val="22"/>
              </w:rPr>
              <w:t>0.339</w:t>
            </w:r>
          </w:p>
        </w:tc>
      </w:tr>
    </w:tbl>
    <w:p>
      <w:pPr>
        <w:adjustRightInd w:val="0"/>
        <w:snapToGrid w:val="0"/>
        <w:spacing w:beforeLines="50" w:before="156"/>
        <w:jc w:val="center"/>
        <w:rPr>
          <w:rFonts w:ascii="宋体" w:cs="宋体"/>
          <w:bCs/>
          <w:szCs w:val="21"/>
        </w:rPr>
      </w:pPr>
      <w:r>
        <w:rPr>
          <w:rFonts w:ascii="宋体" w:cs="宋体" w:hint="eastAsia"/>
          <w:bCs/>
          <w:szCs w:val="21"/>
        </w:rPr>
        <w:t xml:space="preserve">               </w:t>
      </w:r>
      <w:r>
        <w:rPr>
          <w:rFonts w:ascii="宋体" w:cs="宋体"/>
          <w:bCs/>
          <w:szCs w:val="21"/>
        </w:rPr>
        <w:t xml:space="preserve">                                   </w:t>
      </w:r>
      <w:r>
        <w:rPr>
          <w:rFonts w:ascii="宋体" w:cs="宋体" w:hint="eastAsia"/>
          <w:bCs/>
          <w:szCs w:val="21"/>
        </w:rPr>
        <w:t xml:space="preserve"> 表</w:t>
      </w:r>
      <w:r>
        <w:rPr>
          <w:rFonts w:ascii="宋体" w:cs="宋体"/>
          <w:bCs/>
          <w:szCs w:val="21"/>
        </w:rPr>
        <w:t>5</w:t>
      </w:r>
      <w:r>
        <w:rPr>
          <w:rFonts w:ascii="宋体" w:cs="宋体" w:hint="eastAsia"/>
          <w:bCs/>
          <w:szCs w:val="21"/>
        </w:rPr>
        <w:t xml:space="preserve"> 样品稀土总量对测定影响试验        </w:t>
      </w:r>
      <w:r>
        <w:rPr>
          <w:rFonts w:ascii="宋体" w:cs="宋体"/>
          <w:bCs/>
          <w:szCs w:val="21"/>
        </w:rPr>
        <w:t xml:space="preserve">                                      </w:t>
      </w:r>
      <w:r>
        <w:rPr>
          <w:rFonts w:ascii="宋体" w:cs="宋体" w:hint="eastAsia"/>
          <w:bCs/>
          <w:szCs w:val="21"/>
        </w:rPr>
        <w:t xml:space="preserve">      </w:t>
      </w:r>
      <w:r>
        <w:rPr>
          <w:rFonts w:ascii="宋体" w:cs="宋体" w:hint="eastAsia"/>
          <w:szCs w:val="21"/>
        </w:rPr>
        <w:t>%</w:t>
      </w:r>
    </w:p>
    <w:tbl>
      <w:tblPr>
        <w:jc w:val="left"/>
        <w:tblW w:w="5000" w:type="pct"/>
        <w:tblBorders>
          <w:top w:val="single" w:sz="12" w:space="0" w:color="auto"/>
          <w:left w:val="none" w:sz="0" w:space="0" w:color="auto"/>
          <w:bottom w:val="single" w:sz="12" w:space="0" w:color="auto"/>
          <w:right w:val="none" w:sz="0" w:space="0" w:color="auto"/>
          <w:insideH w:val="single" w:sz="6" w:space="0" w:color="auto"/>
        </w:tblBorders>
        <w:tblLayout w:type="fixed"/>
        <w:tblCellMar>
          <w:top w:w="0" w:type="dxa"/>
          <w:left w:w="30" w:type="dxa"/>
          <w:bottom w:w="0" w:type="dxa"/>
          <w:right w:w="30" w:type="dxa"/>
        </w:tblCellMar>
      </w:tblPr>
      <w:tblGrid>
        <w:gridCol w:w="756"/>
        <w:gridCol w:w="1156"/>
        <w:gridCol w:w="739"/>
        <w:gridCol w:w="846"/>
        <w:gridCol w:w="846"/>
        <w:gridCol w:w="846"/>
        <w:gridCol w:w="846"/>
        <w:gridCol w:w="846"/>
        <w:gridCol w:w="846"/>
        <w:gridCol w:w="843"/>
        <w:gridCol w:w="846"/>
        <w:gridCol w:w="846"/>
        <w:gridCol w:w="846"/>
        <w:gridCol w:w="843"/>
        <w:gridCol w:w="846"/>
        <w:gridCol w:w="846"/>
        <w:gridCol w:w="834"/>
      </w:tblGrid>
      <w:tr>
        <w:trPr>
          <w:trHeight w:val="288"/>
        </w:trPr>
        <w:tc>
          <w:tcPr>
            <w:tcW w:w="261" w:type="pct"/>
            <w:tcBorders>
              <w:top w:val="single" w:sz="12" w:space="0" w:color="auto"/>
              <w:left w:val="nil"/>
              <w:bottom w:val="single" w:sz="6" w:space="0" w:color="auto"/>
              <w:right w:val="single" w:sz="4" w:space="0" w:color="auto"/>
            </w:tcBorders>
            <w:vAlign w:val="center"/>
          </w:tcPr>
          <w:p>
            <w:pPr>
              <w:widowControl/>
              <w:jc w:val="center"/>
              <w:rPr>
                <w:rFonts w:ascii="宋体" w:cs="宋体" w:hint="eastAsia"/>
                <w:kern w:val="0"/>
                <w:szCs w:val="21"/>
              </w:rPr>
            </w:pPr>
            <w:r>
              <w:rPr>
                <w:rFonts w:ascii="宋体" w:cs="宋体" w:hint="eastAsia"/>
                <w:kern w:val="0"/>
                <w:szCs w:val="21"/>
              </w:rPr>
              <w:t>样品</w:t>
            </w:r>
          </w:p>
        </w:tc>
        <w:tc>
          <w:tcPr>
            <w:tcW w:w="399" w:type="pct"/>
            <w:tcBorders>
              <w:left w:val="single" w:sz="4" w:space="0" w:color="auto"/>
            </w:tcBorders>
          </w:tcPr>
          <w:p>
            <w:pPr>
              <w:widowControl/>
              <w:jc w:val="center"/>
              <w:rPr>
                <w:rFonts w:ascii="宋体" w:cs="宋体" w:hint="eastAsia"/>
                <w:kern w:val="0"/>
                <w:sz w:val="18"/>
                <w:szCs w:val="18"/>
              </w:rPr>
            </w:pPr>
            <w:r>
              <w:rPr>
                <w:rFonts w:ascii="宋体" w:cs="宋体" w:hint="eastAsia"/>
                <w:kern w:val="0"/>
                <w:sz w:val="18"/>
                <w:szCs w:val="18"/>
              </w:rPr>
              <w:t>样品量</w:t>
            </w:r>
          </w:p>
        </w:tc>
        <w:tc>
          <w:tcPr>
            <w:tcW w:w="255"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La</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CeO</w:t>
            </w:r>
            <w:r>
              <w:rPr>
                <w:rFonts w:ascii="宋体" w:cs="宋体" w:hint="eastAsia"/>
                <w:kern w:val="0"/>
                <w:sz w:val="18"/>
                <w:szCs w:val="18"/>
                <w:vertAlign w:val="subscript"/>
              </w:rPr>
              <w:t>2</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Pr</w:t>
            </w:r>
            <w:r>
              <w:rPr>
                <w:rFonts w:ascii="宋体" w:cs="宋体" w:hint="eastAsia"/>
                <w:kern w:val="0"/>
                <w:sz w:val="18"/>
                <w:szCs w:val="18"/>
                <w:vertAlign w:val="subscript"/>
              </w:rPr>
              <w:t>6</w:t>
            </w:r>
            <w:r>
              <w:rPr>
                <w:rFonts w:ascii="宋体" w:cs="宋体" w:hint="eastAsia"/>
                <w:kern w:val="0"/>
                <w:sz w:val="18"/>
                <w:szCs w:val="18"/>
              </w:rPr>
              <w:t>O</w:t>
            </w:r>
            <w:r>
              <w:rPr>
                <w:rFonts w:ascii="宋体" w:cs="宋体" w:hint="eastAsia"/>
                <w:kern w:val="0"/>
                <w:sz w:val="18"/>
                <w:szCs w:val="18"/>
                <w:vertAlign w:val="subscript"/>
              </w:rPr>
              <w:t>11</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Nd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Sm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Gd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Tb</w:t>
            </w:r>
            <w:r>
              <w:rPr>
                <w:rFonts w:ascii="宋体" w:cs="宋体" w:hint="eastAsia"/>
                <w:kern w:val="0"/>
                <w:sz w:val="18"/>
                <w:szCs w:val="18"/>
                <w:vertAlign w:val="subscript"/>
              </w:rPr>
              <w:t>4</w:t>
            </w:r>
            <w:r>
              <w:rPr>
                <w:rFonts w:ascii="宋体" w:cs="宋体" w:hint="eastAsia"/>
                <w:kern w:val="0"/>
                <w:sz w:val="18"/>
                <w:szCs w:val="18"/>
              </w:rPr>
              <w:t>O</w:t>
            </w:r>
            <w:r>
              <w:rPr>
                <w:rFonts w:ascii="宋体" w:cs="宋体" w:hint="eastAsia"/>
                <w:kern w:val="0"/>
                <w:sz w:val="18"/>
                <w:szCs w:val="18"/>
                <w:vertAlign w:val="subscript"/>
              </w:rPr>
              <w:t>7</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Dy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Ho</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Er</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Yb</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88"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r>
      <w:tr>
        <w:trPr>
          <w:trHeight w:val="227"/>
        </w:trPr>
        <w:tc>
          <w:tcPr>
            <w:tcW w:w="261" w:type="pct"/>
            <w:vMerge w:val="restart"/>
            <w:tcBorders>
              <w:top w:val="single" w:sz="6" w:space="0" w:color="auto"/>
              <w:left w:val="nil"/>
              <w:bottom w:val="single" w:sz="6" w:space="0" w:color="auto"/>
              <w:right w:val="single" w:sz="4" w:space="0" w:color="auto"/>
            </w:tcBorders>
          </w:tcPr>
          <w:p>
            <w:pPr>
              <w:jc w:val="center"/>
              <w:rPr>
                <w:rFonts w:ascii="宋体" w:cs="宋体" w:hint="eastAsia"/>
                <w:kern w:val="0"/>
                <w:szCs w:val="21"/>
              </w:rPr>
            </w:pPr>
            <w:r>
              <w:rPr>
                <w:rFonts w:ascii="宋体" w:cs="宋体"/>
                <w:kern w:val="0"/>
                <w:szCs w:val="21"/>
              </w:rPr>
              <w:t>1#</w:t>
            </w:r>
          </w:p>
        </w:tc>
        <w:tc>
          <w:tcPr>
            <w:tcW w:w="399" w:type="pct"/>
            <w:tcBorders>
              <w:left w:val="single" w:sz="4" w:space="0" w:color="auto"/>
            </w:tcBorders>
          </w:tcPr>
          <w:p>
            <w:pPr>
              <w:widowControl/>
              <w:jc w:val="center"/>
              <w:textAlignment w:val="center"/>
              <w:rPr>
                <w:rFonts w:ascii="宋体" w:cs="宋体" w:hint="eastAsia"/>
                <w:color w:val="000000"/>
                <w:kern w:val="0"/>
                <w:sz w:val="22"/>
                <w:szCs w:val="22"/>
              </w:rPr>
            </w:pPr>
            <w:r>
              <w:rPr>
                <w:rFonts w:ascii="宋体" w:cs="宋体"/>
                <w:color w:val="000000"/>
                <w:kern w:val="0"/>
                <w:sz w:val="22"/>
                <w:szCs w:val="22"/>
              </w:rPr>
              <w:t>100mg</w:t>
            </w:r>
          </w:p>
        </w:tc>
        <w:tc>
          <w:tcPr>
            <w:tcW w:w="255"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43.118</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9.720</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2.956</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3.198</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12.852</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4.634</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0.164</w:t>
            </w:r>
          </w:p>
        </w:tc>
        <w:tc>
          <w:tcPr>
            <w:tcW w:w="291"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5.892</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1.047</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6.448</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1.340</w:t>
            </w:r>
          </w:p>
        </w:tc>
        <w:tc>
          <w:tcPr>
            <w:tcW w:w="291"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3.762</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0.584</w:t>
            </w:r>
          </w:p>
        </w:tc>
        <w:tc>
          <w:tcPr>
            <w:tcW w:w="292"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3.713</w:t>
            </w:r>
          </w:p>
        </w:tc>
        <w:tc>
          <w:tcPr>
            <w:tcW w:w="288" w:type="pct"/>
            <w:tcBorders>
              <w:bottom w:val="single" w:sz="4" w:space="0" w:color="auto"/>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0.570</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kern w:val="0"/>
                <w:szCs w:val="21"/>
              </w:rPr>
            </w:pPr>
            <w:r>
              <w:t>95mg</w:t>
            </w:r>
          </w:p>
        </w:tc>
        <w:tc>
          <w:tcPr>
            <w:tcW w:w="255" w:type="pct"/>
            <w:tcBorders>
              <w:top w:val="single" w:sz="4" w:space="0" w:color="auto"/>
              <w:left w:val="nil"/>
              <w:bottom w:val="single" w:sz="4" w:space="0" w:color="auto"/>
              <w:right w:val="nil"/>
            </w:tcBorders>
            <w:shd w:val="clear" w:color="auto" w:fill="auto"/>
            <w:vAlign w:val="center"/>
          </w:tcPr>
          <w:p>
            <w:pPr>
              <w:jc w:val="center"/>
              <w:rPr>
                <w:rFonts w:ascii="宋体" w:cs="宋体"/>
                <w:color w:val="000000"/>
                <w:kern w:val="0"/>
                <w:sz w:val="22"/>
                <w:szCs w:val="22"/>
              </w:rPr>
            </w:pPr>
            <w:r>
              <w:rPr>
                <w:rFonts w:ascii="宋体" w:cs="宋体" w:hint="eastAsia"/>
                <w:color w:val="000000"/>
                <w:kern w:val="0"/>
                <w:sz w:val="22"/>
                <w:szCs w:val="22"/>
              </w:rPr>
              <w:t xml:space="preserve">43.179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9.833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2.959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3.175</w:t>
            </w:r>
          </w:p>
        </w:tc>
        <w:tc>
          <w:tcPr>
            <w:tcW w:w="292" w:type="pct"/>
            <w:tcBorders>
              <w:top w:val="single" w:sz="4" w:space="0" w:color="auto"/>
              <w:left w:val="nil"/>
              <w:bottom w:val="single" w:sz="4" w:space="0" w:color="auto"/>
              <w:right w:val="nil"/>
            </w:tcBorders>
            <w:shd w:val="clear" w:color="auto" w:fill="auto"/>
          </w:tcPr>
          <w:p>
            <w:pPr>
              <w:jc w:val="center"/>
              <w:rPr>
                <w:rFonts w:ascii="宋体" w:cs="宋体"/>
                <w:color w:val="000000"/>
                <w:kern w:val="0"/>
                <w:sz w:val="22"/>
                <w:szCs w:val="22"/>
              </w:rPr>
            </w:pPr>
            <w:r>
              <w:rPr>
                <w:rFonts w:ascii="宋体" w:cs="宋体"/>
                <w:color w:val="000000"/>
                <w:kern w:val="0"/>
                <w:sz w:val="22"/>
                <w:szCs w:val="22"/>
              </w:rPr>
              <w:t>12.822</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4.650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0.158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5.886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1.036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6.422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1.320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3.749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0.573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3.679 </w:t>
            </w:r>
          </w:p>
        </w:tc>
        <w:tc>
          <w:tcPr>
            <w:tcW w:w="288"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0.560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90mg</w:t>
            </w:r>
          </w:p>
        </w:tc>
        <w:tc>
          <w:tcPr>
            <w:tcW w:w="255"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42.976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9.836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2.924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3.149</w:t>
            </w:r>
          </w:p>
        </w:tc>
        <w:tc>
          <w:tcPr>
            <w:tcW w:w="292" w:type="pct"/>
            <w:tcBorders>
              <w:top w:val="single" w:sz="4" w:space="0" w:color="auto"/>
              <w:left w:val="nil"/>
              <w:bottom w:val="single" w:sz="4" w:space="0" w:color="auto"/>
              <w:right w:val="nil"/>
            </w:tcBorders>
            <w:shd w:val="clear" w:color="auto" w:fill="auto"/>
          </w:tcPr>
          <w:p>
            <w:pPr>
              <w:jc w:val="center"/>
              <w:rPr>
                <w:rFonts w:ascii="宋体" w:cs="宋体"/>
                <w:color w:val="000000"/>
                <w:kern w:val="0"/>
                <w:sz w:val="22"/>
                <w:szCs w:val="22"/>
              </w:rPr>
            </w:pPr>
            <w:r>
              <w:rPr>
                <w:rFonts w:ascii="宋体" w:cs="宋体"/>
                <w:color w:val="000000"/>
                <w:kern w:val="0"/>
                <w:sz w:val="22"/>
                <w:szCs w:val="22"/>
              </w:rPr>
              <w:t>12.939</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4.598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0.170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5.894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1.061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6.437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1.373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3.786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0.578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3.717 </w:t>
            </w:r>
          </w:p>
        </w:tc>
        <w:tc>
          <w:tcPr>
            <w:tcW w:w="288"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0.563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kern w:val="0"/>
                <w:szCs w:val="21"/>
              </w:rPr>
            </w:pPr>
            <w:r>
              <w:t>85mg</w:t>
            </w:r>
          </w:p>
        </w:tc>
        <w:tc>
          <w:tcPr>
            <w:tcW w:w="255"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43.045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9.796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2.938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3.180</w:t>
            </w:r>
          </w:p>
        </w:tc>
        <w:tc>
          <w:tcPr>
            <w:tcW w:w="292" w:type="pct"/>
            <w:tcBorders>
              <w:top w:val="single" w:sz="4" w:space="0" w:color="auto"/>
              <w:left w:val="nil"/>
              <w:bottom w:val="single" w:sz="4" w:space="0" w:color="auto"/>
              <w:right w:val="nil"/>
            </w:tcBorders>
            <w:shd w:val="clear" w:color="auto" w:fill="auto"/>
          </w:tcPr>
          <w:p>
            <w:pPr>
              <w:jc w:val="center"/>
              <w:rPr>
                <w:rFonts w:ascii="宋体" w:cs="宋体"/>
                <w:color w:val="000000"/>
                <w:kern w:val="0"/>
                <w:sz w:val="22"/>
                <w:szCs w:val="22"/>
              </w:rPr>
            </w:pPr>
            <w:r>
              <w:rPr>
                <w:rFonts w:ascii="宋体" w:cs="宋体"/>
                <w:color w:val="000000"/>
                <w:kern w:val="0"/>
                <w:sz w:val="22"/>
                <w:szCs w:val="22"/>
              </w:rPr>
              <w:t>12.870</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4.617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0.177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5.865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1.046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6.441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1.381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3.757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0.582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3.730 </w:t>
            </w:r>
          </w:p>
        </w:tc>
        <w:tc>
          <w:tcPr>
            <w:tcW w:w="288"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0.576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80mg</w:t>
            </w:r>
          </w:p>
        </w:tc>
        <w:tc>
          <w:tcPr>
            <w:tcW w:w="255"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42.952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9.708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2.966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3.218</w:t>
            </w:r>
          </w:p>
        </w:tc>
        <w:tc>
          <w:tcPr>
            <w:tcW w:w="292" w:type="pct"/>
            <w:tcBorders>
              <w:top w:val="single" w:sz="4" w:space="0" w:color="auto"/>
              <w:left w:val="nil"/>
              <w:bottom w:val="single" w:sz="4" w:space="0" w:color="auto"/>
              <w:right w:val="nil"/>
            </w:tcBorders>
            <w:shd w:val="clear" w:color="auto" w:fill="auto"/>
          </w:tcPr>
          <w:p>
            <w:pPr>
              <w:jc w:val="center"/>
              <w:rPr>
                <w:rFonts w:ascii="宋体" w:cs="宋体"/>
                <w:color w:val="000000"/>
                <w:kern w:val="0"/>
                <w:sz w:val="22"/>
                <w:szCs w:val="22"/>
              </w:rPr>
            </w:pPr>
            <w:r>
              <w:rPr>
                <w:rFonts w:ascii="宋体" w:cs="宋体"/>
                <w:color w:val="000000"/>
                <w:kern w:val="0"/>
                <w:sz w:val="22"/>
                <w:szCs w:val="22"/>
              </w:rPr>
              <w:t>12.874</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4.649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0.153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5.935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1.055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6.485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1.334 </w:t>
            </w:r>
          </w:p>
        </w:tc>
        <w:tc>
          <w:tcPr>
            <w:tcW w:w="291"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3.798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0.580 </w:t>
            </w:r>
          </w:p>
        </w:tc>
        <w:tc>
          <w:tcPr>
            <w:tcW w:w="292"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3.718 </w:t>
            </w:r>
          </w:p>
        </w:tc>
        <w:tc>
          <w:tcPr>
            <w:tcW w:w="288" w:type="pct"/>
            <w:tcBorders>
              <w:top w:val="single" w:sz="4" w:space="0" w:color="auto"/>
              <w:left w:val="nil"/>
              <w:bottom w:val="single" w:sz="4" w:space="0" w:color="auto"/>
              <w:right w:val="nil"/>
            </w:tcBorders>
            <w:shd w:val="clear" w:color="auto" w:fill="auto"/>
            <w:vAlign w:val="center"/>
          </w:tcPr>
          <w:p>
            <w:pPr>
              <w:jc w:val="center"/>
              <w:rPr>
                <w:rFonts w:ascii="宋体" w:cs="宋体" w:hint="eastAsia"/>
                <w:color w:val="000000"/>
                <w:kern w:val="0"/>
                <w:sz w:val="22"/>
                <w:szCs w:val="22"/>
              </w:rPr>
            </w:pPr>
            <w:r>
              <w:rPr>
                <w:rFonts w:ascii="宋体" w:cs="宋体" w:hint="eastAsia"/>
                <w:color w:val="000000"/>
                <w:kern w:val="0"/>
                <w:sz w:val="22"/>
                <w:szCs w:val="22"/>
              </w:rPr>
              <w:t xml:space="preserve">0.576 </w:t>
            </w:r>
          </w:p>
        </w:tc>
      </w:tr>
      <w:tr>
        <w:trPr>
          <w:trHeight w:val="227"/>
        </w:trPr>
        <w:tc>
          <w:tcPr>
            <w:tcW w:w="261" w:type="pct"/>
            <w:vMerge w:val="restart"/>
            <w:tcBorders>
              <w:top w:val="single" w:sz="6" w:space="0" w:color="auto"/>
              <w:left w:val="nil"/>
              <w:bottom w:val="single" w:sz="6" w:space="0" w:color="auto"/>
              <w:right w:val="single" w:sz="4" w:space="0" w:color="auto"/>
            </w:tcBorders>
          </w:tcPr>
          <w:p>
            <w:pPr>
              <w:widowControl/>
              <w:jc w:val="center"/>
              <w:rPr>
                <w:rFonts w:ascii="宋体" w:cs="宋体" w:hint="eastAsia"/>
                <w:kern w:val="0"/>
                <w:szCs w:val="21"/>
              </w:rPr>
            </w:pPr>
            <w:r>
              <w:rPr>
                <w:rFonts w:ascii="宋体" w:cs="宋体" w:hint="eastAsia"/>
                <w:kern w:val="0"/>
                <w:szCs w:val="21"/>
              </w:rPr>
              <w:t>2</w:t>
            </w:r>
            <w:r>
              <w:rPr>
                <w:rFonts w:ascii="宋体" w:cs="宋体"/>
                <w:kern w:val="0"/>
                <w:szCs w:val="21"/>
              </w:rPr>
              <w:t>#</w:t>
            </w:r>
          </w:p>
        </w:tc>
        <w:tc>
          <w:tcPr>
            <w:tcW w:w="399" w:type="pct"/>
            <w:tcBorders>
              <w:left w:val="single" w:sz="4" w:space="0" w:color="auto"/>
            </w:tcBorders>
          </w:tcPr>
          <w:p>
            <w:pPr>
              <w:jc w:val="center"/>
            </w:pPr>
            <w:r>
              <w:t>100mg</w:t>
            </w:r>
          </w:p>
        </w:tc>
        <w:tc>
          <w:tcPr>
            <w:tcW w:w="255"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33.165</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16.663</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3.036</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4.595</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17.310</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5.123</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0.227</w:t>
            </w:r>
          </w:p>
        </w:tc>
        <w:tc>
          <w:tcPr>
            <w:tcW w:w="291"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5.922</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1.006</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5.846</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1.139</w:t>
            </w:r>
          </w:p>
        </w:tc>
        <w:tc>
          <w:tcPr>
            <w:tcW w:w="291"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2.901</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0.393</w:t>
            </w:r>
          </w:p>
        </w:tc>
        <w:tc>
          <w:tcPr>
            <w:tcW w:w="292"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2.331</w:t>
            </w:r>
          </w:p>
        </w:tc>
        <w:tc>
          <w:tcPr>
            <w:tcW w:w="288" w:type="pct"/>
            <w:tcBorders>
              <w:top w:val="single" w:sz="4" w:space="0" w:color="auto"/>
            </w:tcBorders>
          </w:tcPr>
          <w:p>
            <w:pPr>
              <w:jc w:val="center"/>
              <w:rPr>
                <w:rFonts w:ascii="宋体" w:cs="宋体"/>
                <w:color w:val="000000"/>
                <w:kern w:val="0"/>
                <w:sz w:val="22"/>
                <w:szCs w:val="22"/>
              </w:rPr>
            </w:pPr>
            <w:r>
              <w:rPr>
                <w:rFonts w:ascii="宋体" w:cs="宋体"/>
                <w:color w:val="000000"/>
                <w:kern w:val="0"/>
                <w:sz w:val="22"/>
                <w:szCs w:val="22"/>
              </w:rPr>
              <w:t>0.342</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95mg</w:t>
            </w:r>
          </w:p>
        </w:tc>
        <w:tc>
          <w:tcPr>
            <w:tcW w:w="255"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33.249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16.594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3.017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4.607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17.289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5.106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0.225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5.941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1.010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5.853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1.155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2.876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0.401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2.339 </w:t>
            </w:r>
          </w:p>
        </w:tc>
        <w:tc>
          <w:tcPr>
            <w:tcW w:w="288"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0.338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90mg</w:t>
            </w:r>
          </w:p>
        </w:tc>
        <w:tc>
          <w:tcPr>
            <w:tcW w:w="255"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33.221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16.607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3.012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4.608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17.262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5.130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0.226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5.885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1.010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5.840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1.159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2.936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0.409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2.332 </w:t>
            </w:r>
          </w:p>
        </w:tc>
        <w:tc>
          <w:tcPr>
            <w:tcW w:w="288"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0.363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85mg</w:t>
            </w:r>
          </w:p>
        </w:tc>
        <w:tc>
          <w:tcPr>
            <w:tcW w:w="255"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33.213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16.586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3.055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4.591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17.241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5.123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0.228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5.953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1.008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5.846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1.155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2.926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0.395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2.343 </w:t>
            </w:r>
          </w:p>
        </w:tc>
        <w:tc>
          <w:tcPr>
            <w:tcW w:w="288"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0.338 </w:t>
            </w:r>
          </w:p>
        </w:tc>
      </w:tr>
      <w:tr>
        <w:trPr>
          <w:trHeight w:val="227"/>
        </w:trPr>
        <w:tc>
          <w:tcPr>
            <w:tcW w:w="261" w:type="pct"/>
            <w:vMerge/>
            <w:tcBorders>
              <w:top w:val="single" w:sz="6" w:space="0" w:color="auto"/>
              <w:left w:val="nil"/>
              <w:bottom w:val="single" w:sz="6" w:space="0" w:color="auto"/>
              <w:right w:val="single" w:sz="4" w:space="0" w:color="auto"/>
            </w:tcBorders>
          </w:tcPr>
          <w:p/>
        </w:tc>
        <w:tc>
          <w:tcPr>
            <w:tcW w:w="399" w:type="pct"/>
            <w:tcBorders>
              <w:left w:val="single" w:sz="4" w:space="0" w:color="auto"/>
            </w:tcBorders>
          </w:tcPr>
          <w:p>
            <w:pPr>
              <w:jc w:val="center"/>
              <w:rPr>
                <w:rFonts w:ascii="宋体" w:cs="宋体" w:hint="eastAsia"/>
                <w:kern w:val="0"/>
                <w:szCs w:val="21"/>
              </w:rPr>
            </w:pPr>
            <w:r>
              <w:t>80mg</w:t>
            </w:r>
          </w:p>
        </w:tc>
        <w:tc>
          <w:tcPr>
            <w:tcW w:w="255"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33.278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16.348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3.036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4.586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17.319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5.146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0.233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5.944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1.033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5.883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1.151 </w:t>
            </w:r>
          </w:p>
        </w:tc>
        <w:tc>
          <w:tcPr>
            <w:tcW w:w="291"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2.931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0.405 </w:t>
            </w:r>
          </w:p>
        </w:tc>
        <w:tc>
          <w:tcPr>
            <w:tcW w:w="292"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2.348 </w:t>
            </w:r>
          </w:p>
        </w:tc>
        <w:tc>
          <w:tcPr>
            <w:tcW w:w="288"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 xml:space="preserve">0.358 </w:t>
            </w:r>
          </w:p>
        </w:tc>
      </w:tr>
    </w:tbl>
    <w:p>
      <w:pPr>
        <w:spacing w:beforeLines="50" w:before="156"/>
        <w:rPr>
          <w:rFonts w:ascii="宋体" w:cs="宋体" w:hint="eastAsia"/>
          <w:szCs w:val="21"/>
        </w:rPr>
      </w:pPr>
      <w:r>
        <w:rPr>
          <w:rFonts w:ascii="宋体" w:cs="宋体" w:hint="eastAsia"/>
          <w:szCs w:val="21"/>
        </w:rPr>
        <w:t xml:space="preserve">                                                       表</w:t>
      </w:r>
      <w:r>
        <w:rPr>
          <w:rFonts w:ascii="宋体" w:cs="宋体"/>
          <w:szCs w:val="21"/>
        </w:rPr>
        <w:t>8</w:t>
      </w:r>
      <w:r>
        <w:rPr>
          <w:rFonts w:ascii="宋体" w:cs="宋体" w:hint="eastAsia"/>
          <w:szCs w:val="21"/>
        </w:rPr>
        <w:t>回收率试验（X-荧光</w:t>
      </w:r>
      <w:r>
        <w:rPr>
          <w:rFonts w:ascii="宋体" w:cs="宋体"/>
          <w:szCs w:val="21"/>
        </w:rPr>
        <w:t>）</w:t>
      </w:r>
      <w:r>
        <w:rPr>
          <w:rFonts w:ascii="宋体" w:cs="宋体" w:hint="eastAsia"/>
          <w:szCs w:val="21"/>
        </w:rPr>
        <w:t xml:space="preserve">                                                        %</w:t>
      </w:r>
    </w:p>
    <w:tbl>
      <w:tblPr>
        <w:jc w:val="left"/>
        <w:tblBorders>
          <w:top w:val="single" w:sz="12" w:space="0" w:color="auto"/>
          <w:left w:val="none" w:sz="0" w:space="0" w:color="auto"/>
          <w:bottom w:val="single" w:sz="12" w:space="0" w:color="auto"/>
          <w:right w:val="none" w:sz="0" w:space="0" w:color="auto"/>
          <w:insideH w:val="single" w:sz="6" w:space="0" w:color="auto"/>
        </w:tblBorders>
        <w:tblLayout w:type="fixed"/>
        <w:tblCellMar>
          <w:top w:w="0" w:type="dxa"/>
          <w:left w:w="30" w:type="dxa"/>
          <w:bottom w:w="0" w:type="dxa"/>
          <w:right w:w="30" w:type="dxa"/>
        </w:tblCellMar>
      </w:tblPr>
      <w:tblGrid>
        <w:gridCol w:w="752"/>
        <w:gridCol w:w="899"/>
        <w:gridCol w:w="813"/>
        <w:gridCol w:w="816"/>
        <w:gridCol w:w="817"/>
        <w:gridCol w:w="814"/>
        <w:gridCol w:w="817"/>
        <w:gridCol w:w="817"/>
        <w:gridCol w:w="817"/>
        <w:gridCol w:w="814"/>
        <w:gridCol w:w="817"/>
        <w:gridCol w:w="817"/>
        <w:gridCol w:w="817"/>
        <w:gridCol w:w="814"/>
        <w:gridCol w:w="817"/>
        <w:gridCol w:w="817"/>
        <w:gridCol w:w="814"/>
      </w:tblGrid>
      <w:tr>
        <w:trPr>
          <w:trHeight w:val="272"/>
        </w:trPr>
        <w:tc>
          <w:tcPr>
            <w:tcW w:w="752" w:type="dxa"/>
            <w:tcBorders>
              <w:top w:val="single" w:sz="12" w:space="0" w:color="auto"/>
              <w:bottom w:val="single" w:sz="6" w:space="0" w:color="auto"/>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样品</w:t>
            </w:r>
          </w:p>
        </w:tc>
        <w:tc>
          <w:tcPr>
            <w:tcW w:w="899" w:type="dxa"/>
            <w:tcBorders>
              <w:lef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试料</w:t>
            </w:r>
          </w:p>
        </w:tc>
        <w:tc>
          <w:tcPr>
            <w:tcW w:w="813"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Y</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6"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La</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CeO</w:t>
            </w:r>
            <w:r>
              <w:rPr>
                <w:rFonts w:ascii="宋体" w:cs="宋体" w:hint="eastAsia"/>
                <w:kern w:val="0"/>
                <w:sz w:val="15"/>
                <w:szCs w:val="15"/>
                <w:vertAlign w:val="subscript"/>
              </w:rPr>
              <w:t>2</w:t>
            </w:r>
            <w:r>
              <w:rPr>
                <w:rFonts w:ascii="宋体" w:cs="宋体" w:hint="eastAsia"/>
                <w:kern w:val="0"/>
                <w:sz w:val="15"/>
                <w:szCs w:val="15"/>
              </w:rPr>
              <w:t>/REO</w:t>
            </w:r>
          </w:p>
        </w:tc>
        <w:tc>
          <w:tcPr>
            <w:tcW w:w="814"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Pr</w:t>
            </w:r>
            <w:r>
              <w:rPr>
                <w:rFonts w:ascii="宋体" w:cs="宋体" w:hint="eastAsia"/>
                <w:kern w:val="0"/>
                <w:sz w:val="15"/>
                <w:szCs w:val="15"/>
                <w:vertAlign w:val="subscript"/>
              </w:rPr>
              <w:t>6</w:t>
            </w:r>
            <w:r>
              <w:rPr>
                <w:rFonts w:ascii="宋体" w:cs="宋体" w:hint="eastAsia"/>
                <w:kern w:val="0"/>
                <w:sz w:val="15"/>
                <w:szCs w:val="15"/>
              </w:rPr>
              <w:t>O</w:t>
            </w:r>
            <w:r>
              <w:rPr>
                <w:rFonts w:ascii="宋体" w:cs="宋体" w:hint="eastAsia"/>
                <w:kern w:val="0"/>
                <w:sz w:val="15"/>
                <w:szCs w:val="15"/>
                <w:vertAlign w:val="subscript"/>
              </w:rPr>
              <w:t>11</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Nd</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Sm</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Eu</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4"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Gd</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Tb</w:t>
            </w:r>
            <w:r>
              <w:rPr>
                <w:rFonts w:ascii="宋体" w:cs="宋体" w:hint="eastAsia"/>
                <w:kern w:val="0"/>
                <w:sz w:val="15"/>
                <w:szCs w:val="15"/>
                <w:vertAlign w:val="subscript"/>
              </w:rPr>
              <w:t>4</w:t>
            </w:r>
            <w:r>
              <w:rPr>
                <w:rFonts w:ascii="宋体" w:cs="宋体" w:hint="eastAsia"/>
                <w:kern w:val="0"/>
                <w:sz w:val="15"/>
                <w:szCs w:val="15"/>
              </w:rPr>
              <w:t>O</w:t>
            </w:r>
            <w:r>
              <w:rPr>
                <w:rFonts w:ascii="宋体" w:cs="宋体" w:hint="eastAsia"/>
                <w:kern w:val="0"/>
                <w:sz w:val="15"/>
                <w:szCs w:val="15"/>
                <w:vertAlign w:val="subscript"/>
              </w:rPr>
              <w:t>7</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Dy</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Ho</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4"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Er</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Tm</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7"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Yb</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814" w:type="dxa"/>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Lu</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r>
      <w:tr>
        <w:trPr>
          <w:trHeight w:val="272"/>
        </w:trPr>
        <w:tc>
          <w:tcPr>
            <w:tcW w:w="752" w:type="dxa"/>
            <w:vMerge w:val="restart"/>
            <w:tcBorders>
              <w:top w:val="single" w:sz="6" w:space="0" w:color="auto"/>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7</w:t>
            </w:r>
            <w:r>
              <w:rPr>
                <w:rFonts w:ascii="宋体" w:cs="宋体"/>
                <w:kern w:val="0"/>
                <w:szCs w:val="21"/>
              </w:rPr>
              <w:t>#</w:t>
            </w:r>
          </w:p>
        </w:tc>
        <w:tc>
          <w:tcPr>
            <w:tcW w:w="899" w:type="dxa"/>
            <w:tcBorders>
              <w:left w:val="single" w:sz="6" w:space="0" w:color="auto"/>
            </w:tcBorders>
          </w:tcPr>
          <w:p>
            <w:pPr>
              <w:rPr>
                <w:rFonts w:ascii="宋体" w:cs="宋体" w:hint="eastAsia"/>
                <w:color w:val="000000"/>
                <w:kern w:val="0"/>
                <w:sz w:val="22"/>
                <w:szCs w:val="22"/>
              </w:rPr>
            </w:pPr>
            <w:r>
              <w:rPr>
                <w:rFonts w:ascii="宋体" w:cs="宋体" w:hint="eastAsia"/>
                <w:color w:val="000000"/>
                <w:kern w:val="0"/>
                <w:sz w:val="22"/>
                <w:szCs w:val="22"/>
              </w:rPr>
              <w:t>标准值</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69.000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ascii="宋体" w:cs="宋体" w:hint="eastAsia"/>
                <w:color w:val="000000"/>
                <w:kern w:val="0"/>
                <w:sz w:val="22"/>
                <w:szCs w:val="22"/>
              </w:rPr>
            </w:pPr>
            <w:r>
              <w:rPr>
                <w:rFonts w:ascii="宋体" w:cs="宋体" w:hint="eastAsia"/>
                <w:color w:val="000000"/>
                <w:kern w:val="0"/>
                <w:sz w:val="22"/>
                <w:szCs w:val="22"/>
              </w:rPr>
              <w:t>1#本底</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43.118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9.720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2.956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3.198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12.852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4.634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0.164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5.892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1.047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6.448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1.340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3.762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0.584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3.713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0.570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ascii="宋体" w:cs="宋体" w:hint="eastAsia"/>
                <w:color w:val="000000"/>
                <w:kern w:val="0"/>
                <w:sz w:val="22"/>
                <w:szCs w:val="22"/>
              </w:rPr>
            </w:pPr>
            <w:r>
              <w:rPr>
                <w:rFonts w:ascii="宋体" w:cs="宋体" w:hint="eastAsia"/>
                <w:color w:val="000000"/>
                <w:kern w:val="0"/>
                <w:sz w:val="22"/>
                <w:szCs w:val="22"/>
              </w:rPr>
              <w:t>测定值</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56.321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4.878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1.459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1.606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6.410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2.324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&lt;0.1</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2.951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1.477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9.102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2.150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4.352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1.269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4.308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1.294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ascii="宋体" w:cs="宋体" w:hint="eastAsia"/>
                <w:color w:val="000000"/>
                <w:kern w:val="0"/>
                <w:sz w:val="22"/>
                <w:szCs w:val="22"/>
              </w:rPr>
            </w:pPr>
            <w:r>
              <w:rPr>
                <w:rFonts w:ascii="宋体" w:cs="宋体" w:hint="eastAsia"/>
                <w:color w:val="000000"/>
                <w:kern w:val="0"/>
                <w:sz w:val="22"/>
                <w:szCs w:val="22"/>
              </w:rPr>
              <w:t>回收率</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100.76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95.38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97.97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98.63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98.84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97.66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98.04 </w:t>
            </w:r>
          </w:p>
        </w:tc>
        <w:tc>
          <w:tcPr>
            <w:tcW w:w="814" w:type="dxa"/>
            <w:tcBorders>
              <w:left w:val="nil"/>
              <w:right w:val="nil"/>
            </w:tcBorders>
          </w:tcPr>
          <w:p>
            <w:pPr>
              <w:rPr>
                <w:rFonts w:ascii="宋体" w:cs="宋体"/>
                <w:color w:val="000000"/>
                <w:kern w:val="0"/>
                <w:sz w:val="22"/>
                <w:szCs w:val="22"/>
              </w:rPr>
            </w:pPr>
            <w:r>
              <w:rPr>
                <w:rFonts w:ascii="宋体" w:cs="宋体" w:hint="eastAsia"/>
                <w:color w:val="000000"/>
                <w:kern w:val="0"/>
                <w:sz w:val="22"/>
                <w:szCs w:val="22"/>
              </w:rPr>
              <w:t xml:space="preserve">100.93 </w:t>
            </w:r>
          </w:p>
        </w:tc>
      </w:tr>
      <w:tr>
        <w:trPr>
          <w:trHeight w:val="272"/>
        </w:trPr>
        <w:tc>
          <w:tcPr>
            <w:tcW w:w="752" w:type="dxa"/>
            <w:vMerge w:val="restart"/>
            <w:tcBorders>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8</w:t>
            </w:r>
            <w:r>
              <w:rPr>
                <w:rFonts w:ascii="宋体" w:cs="宋体"/>
                <w:kern w:val="0"/>
                <w:szCs w:val="21"/>
              </w:rPr>
              <w:t>#</w:t>
            </w:r>
          </w:p>
        </w:tc>
        <w:tc>
          <w:tcPr>
            <w:tcW w:w="899" w:type="dxa"/>
            <w:tcBorders>
              <w:left w:val="single" w:sz="6" w:space="0" w:color="auto"/>
            </w:tcBorders>
          </w:tcPr>
          <w:p>
            <w:pPr>
              <w:rPr>
                <w:rFonts w:hint="eastAsia"/>
              </w:rPr>
            </w:pPr>
            <w:r>
              <w:rPr>
                <w:rFonts w:hint="eastAsia"/>
              </w:rPr>
              <w:t>标准值</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13.800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24.600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23.000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7.000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1.400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7.000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2.400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0.600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1.000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hint="eastAsia"/>
              </w:rPr>
            </w:pPr>
            <w:r>
              <w:rPr>
                <w:rFonts w:hint="eastAsia"/>
              </w:rPr>
              <w:t>2#本底</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33.165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16.663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3.036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4.595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17.310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5.123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0.227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5.922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1.006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5.846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1.139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2.901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0.393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2.331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0.342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hint="eastAsia"/>
              </w:rPr>
            </w:pPr>
            <w:r>
              <w:rPr>
                <w:rFonts w:hint="eastAsia"/>
              </w:rPr>
              <w:t>测定值</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23.482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20.654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7.477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4.786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20.400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6.048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0.758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6.423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0.693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4.084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0.847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1.939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0.394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1.636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0.382 </w:t>
            </w:r>
          </w:p>
        </w:tc>
      </w:tr>
      <w:tr>
        <w:trPr>
          <w:trHeight w:val="272"/>
        </w:trPr>
        <w:tc>
          <w:tcPr>
            <w:tcW w:w="752" w:type="dxa"/>
            <w:vMerge/>
            <w:tcBorders>
              <w:right w:val="single" w:sz="6" w:space="0" w:color="auto"/>
            </w:tcBorders>
            <w:vAlign w:val="center"/>
          </w:tcPr>
          <w:p/>
        </w:tc>
        <w:tc>
          <w:tcPr>
            <w:tcW w:w="899" w:type="dxa"/>
            <w:tcBorders>
              <w:left w:val="single" w:sz="6" w:space="0" w:color="auto"/>
            </w:tcBorders>
          </w:tcPr>
          <w:p>
            <w:pPr>
              <w:rPr>
                <w:rFonts w:hint="eastAsia"/>
              </w:rPr>
            </w:pPr>
            <w:r>
              <w:rPr>
                <w:rFonts w:hint="eastAsia"/>
              </w:rPr>
              <w:t>回收率</w:t>
            </w:r>
          </w:p>
        </w:tc>
        <w:tc>
          <w:tcPr>
            <w:tcW w:w="813"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99.99 </w:t>
            </w:r>
          </w:p>
        </w:tc>
        <w:tc>
          <w:tcPr>
            <w:tcW w:w="816"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100.18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99.31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99.55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102.13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99.60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92.11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98.91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95.23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96.70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92.55 </w:t>
            </w:r>
          </w:p>
        </w:tc>
        <w:tc>
          <w:tcPr>
            <w:tcW w:w="814"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97.59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98.67 </w:t>
            </w:r>
          </w:p>
        </w:tc>
        <w:tc>
          <w:tcPr>
            <w:tcW w:w="817" w:type="dxa"/>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94.12 </w:t>
            </w:r>
          </w:p>
        </w:tc>
        <w:tc>
          <w:tcPr>
            <w:tcW w:w="814" w:type="dxa"/>
            <w:tcBorders>
              <w:left w:val="nil"/>
              <w:right w:val="nil"/>
            </w:tcBorders>
          </w:tcPr>
          <w:p>
            <w:pPr>
              <w:rPr>
                <w:rFonts w:ascii="宋体" w:cs="宋体"/>
                <w:color w:val="000000"/>
                <w:kern w:val="0"/>
                <w:sz w:val="22"/>
                <w:szCs w:val="22"/>
              </w:rPr>
            </w:pPr>
            <w:r>
              <w:rPr>
                <w:rFonts w:ascii="宋体" w:cs="宋体" w:hint="eastAsia"/>
                <w:color w:val="000000"/>
                <w:kern w:val="0"/>
                <w:sz w:val="22"/>
                <w:szCs w:val="22"/>
              </w:rPr>
              <w:t xml:space="preserve">105.62 </w:t>
            </w:r>
          </w:p>
        </w:tc>
      </w:tr>
    </w:tbl>
    <w:p>
      <w:pPr>
        <w:spacing w:beforeLines="50" w:before="156" w:afterLines="50" w:after="156"/>
        <w:jc w:val="center"/>
      </w:pPr>
    </w:p>
    <w:p>
      <w:pPr>
        <w:jc w:val="center"/>
        <w:rPr>
          <w:rFonts w:ascii="宋体" w:cs="宋体" w:hint="eastAsia"/>
          <w:szCs w:val="21"/>
        </w:rPr>
      </w:pPr>
      <w:r>
        <w:rPr>
          <w:rFonts w:ascii="宋体" w:cs="宋体" w:hint="eastAsia"/>
          <w:szCs w:val="21"/>
        </w:rPr>
        <w:t xml:space="preserve">                                               </w:t>
      </w:r>
      <w:r>
        <w:rPr>
          <w:rFonts w:ascii="宋体" w:cs="宋体"/>
          <w:szCs w:val="21"/>
        </w:rPr>
        <w:t xml:space="preserve">     </w:t>
      </w:r>
      <w:r>
        <w:rPr>
          <w:rFonts w:ascii="宋体" w:cs="宋体" w:hint="eastAsia"/>
          <w:szCs w:val="21"/>
        </w:rPr>
        <w:t xml:space="preserve"> 表</w:t>
      </w:r>
      <w:r>
        <w:rPr>
          <w:rFonts w:ascii="宋体" w:cs="宋体"/>
          <w:szCs w:val="21"/>
        </w:rPr>
        <w:t>9</w:t>
      </w:r>
      <w:r>
        <w:rPr>
          <w:rFonts w:eastAsia="黑体"/>
          <w:color w:val="FF0000"/>
        </w:rPr>
        <w:t>　</w:t>
      </w:r>
      <w:r>
        <w:rPr>
          <w:rFonts w:ascii="宋体" w:cs="宋体" w:hint="eastAsia"/>
          <w:szCs w:val="21"/>
        </w:rPr>
        <w:t>回收率试验（ICP-OES</w:t>
      </w:r>
      <w:r>
        <w:rPr>
          <w:rFonts w:ascii="宋体" w:cs="宋体"/>
          <w:szCs w:val="21"/>
        </w:rPr>
        <w:t>）</w:t>
      </w:r>
      <w:r>
        <w:rPr>
          <w:rFonts w:ascii="宋体" w:cs="宋体" w:hint="eastAsia"/>
          <w:szCs w:val="21"/>
        </w:rPr>
        <w:t xml:space="preserve">                                                    %</w:t>
      </w:r>
    </w:p>
    <w:tbl>
      <w:tblPr>
        <w:jc w:val="left"/>
        <w:tblW w:w="5000" w:type="pct"/>
        <w:tblBorders>
          <w:top w:val="single" w:sz="12" w:space="0" w:color="auto"/>
          <w:left w:val="none" w:sz="0" w:space="0" w:color="auto"/>
          <w:bottom w:val="single" w:sz="12" w:space="0" w:color="auto"/>
          <w:right w:val="none" w:sz="0" w:space="0" w:color="auto"/>
          <w:insideH w:val="single" w:sz="6" w:space="0" w:color="auto"/>
        </w:tblBorders>
        <w:tblCellMar>
          <w:top w:w="0" w:type="dxa"/>
          <w:left w:w="30" w:type="dxa"/>
          <w:bottom w:w="0" w:type="dxa"/>
          <w:right w:w="30" w:type="dxa"/>
        </w:tblCellMar>
      </w:tblPr>
      <w:tblGrid>
        <w:gridCol w:w="785"/>
        <w:gridCol w:w="939"/>
        <w:gridCol w:w="849"/>
        <w:gridCol w:w="852"/>
        <w:gridCol w:w="852"/>
        <w:gridCol w:w="849"/>
        <w:gridCol w:w="852"/>
        <w:gridCol w:w="852"/>
        <w:gridCol w:w="852"/>
        <w:gridCol w:w="849"/>
        <w:gridCol w:w="852"/>
        <w:gridCol w:w="852"/>
        <w:gridCol w:w="852"/>
        <w:gridCol w:w="849"/>
        <w:gridCol w:w="852"/>
        <w:gridCol w:w="852"/>
        <w:gridCol w:w="849"/>
      </w:tblGrid>
      <w:tr>
        <w:trPr>
          <w:trHeight w:val="272"/>
        </w:trPr>
        <w:tc>
          <w:tcPr>
            <w:tcW w:w="271" w:type="pct"/>
            <w:tcBorders>
              <w:top w:val="single" w:sz="12" w:space="0" w:color="auto"/>
              <w:bottom w:val="single" w:sz="6" w:space="0" w:color="auto"/>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样品</w:t>
            </w:r>
          </w:p>
        </w:tc>
        <w:tc>
          <w:tcPr>
            <w:tcW w:w="324" w:type="pct"/>
            <w:tcBorders>
              <w:lef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试料</w:t>
            </w:r>
          </w:p>
        </w:tc>
        <w:tc>
          <w:tcPr>
            <w:tcW w:w="293"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Y</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La</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CeO</w:t>
            </w:r>
            <w:r>
              <w:rPr>
                <w:rFonts w:ascii="宋体" w:cs="宋体" w:hint="eastAsia"/>
                <w:kern w:val="0"/>
                <w:sz w:val="15"/>
                <w:szCs w:val="15"/>
                <w:vertAlign w:val="subscript"/>
              </w:rPr>
              <w:t>2</w:t>
            </w:r>
            <w:r>
              <w:rPr>
                <w:rFonts w:ascii="宋体" w:cs="宋体" w:hint="eastAsia"/>
                <w:kern w:val="0"/>
                <w:sz w:val="15"/>
                <w:szCs w:val="15"/>
              </w:rPr>
              <w:t>/REO</w:t>
            </w:r>
          </w:p>
        </w:tc>
        <w:tc>
          <w:tcPr>
            <w:tcW w:w="293"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Pr</w:t>
            </w:r>
            <w:r>
              <w:rPr>
                <w:rFonts w:ascii="宋体" w:cs="宋体" w:hint="eastAsia"/>
                <w:kern w:val="0"/>
                <w:sz w:val="15"/>
                <w:szCs w:val="15"/>
                <w:vertAlign w:val="subscript"/>
              </w:rPr>
              <w:t>6</w:t>
            </w:r>
            <w:r>
              <w:rPr>
                <w:rFonts w:ascii="宋体" w:cs="宋体" w:hint="eastAsia"/>
                <w:kern w:val="0"/>
                <w:sz w:val="15"/>
                <w:szCs w:val="15"/>
              </w:rPr>
              <w:t>O</w:t>
            </w:r>
            <w:r>
              <w:rPr>
                <w:rFonts w:ascii="宋体" w:cs="宋体" w:hint="eastAsia"/>
                <w:kern w:val="0"/>
                <w:sz w:val="15"/>
                <w:szCs w:val="15"/>
                <w:vertAlign w:val="subscript"/>
              </w:rPr>
              <w:t>11</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Nd</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Sm</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Eu</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3"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Gd</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Tb</w:t>
            </w:r>
            <w:r>
              <w:rPr>
                <w:rFonts w:ascii="宋体" w:cs="宋体" w:hint="eastAsia"/>
                <w:kern w:val="0"/>
                <w:sz w:val="15"/>
                <w:szCs w:val="15"/>
                <w:vertAlign w:val="subscript"/>
              </w:rPr>
              <w:t>4</w:t>
            </w:r>
            <w:r>
              <w:rPr>
                <w:rFonts w:ascii="宋体" w:cs="宋体" w:hint="eastAsia"/>
                <w:kern w:val="0"/>
                <w:sz w:val="15"/>
                <w:szCs w:val="15"/>
              </w:rPr>
              <w:t>O</w:t>
            </w:r>
            <w:r>
              <w:rPr>
                <w:rFonts w:ascii="宋体" w:cs="宋体" w:hint="eastAsia"/>
                <w:kern w:val="0"/>
                <w:sz w:val="15"/>
                <w:szCs w:val="15"/>
                <w:vertAlign w:val="subscript"/>
              </w:rPr>
              <w:t>7</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Dy</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Ho</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3"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Er</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Tm</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4"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Yb</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c>
          <w:tcPr>
            <w:tcW w:w="293" w:type="pct"/>
            <w:tcBorders>
              <w:left w:val="nil"/>
              <w:right w:val="nil"/>
            </w:tcBorders>
          </w:tcPr>
          <w:p>
            <w:pPr>
              <w:widowControl/>
              <w:jc w:val="center"/>
              <w:rPr>
                <w:rFonts w:ascii="宋体" w:cs="宋体" w:hint="eastAsia"/>
                <w:kern w:val="0"/>
                <w:sz w:val="15"/>
                <w:szCs w:val="15"/>
              </w:rPr>
            </w:pPr>
            <w:r>
              <w:rPr>
                <w:rFonts w:ascii="宋体" w:cs="宋体" w:hint="eastAsia"/>
                <w:kern w:val="0"/>
                <w:sz w:val="15"/>
                <w:szCs w:val="15"/>
              </w:rPr>
              <w:t>Lu</w:t>
            </w:r>
            <w:r>
              <w:rPr>
                <w:rFonts w:ascii="宋体" w:cs="宋体" w:hint="eastAsia"/>
                <w:kern w:val="0"/>
                <w:sz w:val="15"/>
                <w:szCs w:val="15"/>
                <w:vertAlign w:val="subscript"/>
              </w:rPr>
              <w:t>2</w:t>
            </w:r>
            <w:r>
              <w:rPr>
                <w:rFonts w:ascii="宋体" w:cs="宋体" w:hint="eastAsia"/>
                <w:kern w:val="0"/>
                <w:sz w:val="15"/>
                <w:szCs w:val="15"/>
              </w:rPr>
              <w:t>O</w:t>
            </w:r>
            <w:r>
              <w:rPr>
                <w:rFonts w:ascii="宋体" w:cs="宋体" w:hint="eastAsia"/>
                <w:kern w:val="0"/>
                <w:sz w:val="15"/>
                <w:szCs w:val="15"/>
                <w:vertAlign w:val="subscript"/>
              </w:rPr>
              <w:t>3</w:t>
            </w:r>
            <w:r>
              <w:rPr>
                <w:rFonts w:ascii="宋体" w:cs="宋体" w:hint="eastAsia"/>
                <w:kern w:val="0"/>
                <w:sz w:val="15"/>
                <w:szCs w:val="15"/>
              </w:rPr>
              <w:t>/REO</w:t>
            </w:r>
          </w:p>
        </w:tc>
      </w:tr>
      <w:tr>
        <w:trPr>
          <w:trHeight w:val="272"/>
        </w:trPr>
        <w:tc>
          <w:tcPr>
            <w:tcW w:w="271" w:type="pct"/>
            <w:vMerge w:val="restart"/>
            <w:tcBorders>
              <w:top w:val="single" w:sz="6" w:space="0" w:color="auto"/>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7</w:t>
            </w:r>
            <w:r>
              <w:rPr>
                <w:rFonts w:ascii="宋体" w:cs="宋体"/>
                <w:kern w:val="0"/>
                <w:szCs w:val="21"/>
              </w:rPr>
              <w:t>#</w:t>
            </w:r>
          </w:p>
        </w:tc>
        <w:tc>
          <w:tcPr>
            <w:tcW w:w="324" w:type="pct"/>
            <w:tcBorders>
              <w:left w:val="single" w:sz="6" w:space="0" w:color="auto"/>
            </w:tcBorders>
          </w:tcPr>
          <w:p>
            <w:pPr>
              <w:rPr>
                <w:rFonts w:hint="eastAsia"/>
              </w:rPr>
            </w:pPr>
            <w:r>
              <w:rPr>
                <w:rFonts w:hint="eastAsia"/>
              </w:rPr>
              <w:t>标准值</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69.000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3.000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2.000 </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1#本底</w:t>
            </w:r>
          </w:p>
        </w:tc>
        <w:tc>
          <w:tcPr>
            <w:tcW w:w="293" w:type="pct"/>
            <w:tcBorders>
              <w:left w:val="nil"/>
              <w:right w:val="nil"/>
            </w:tcBorders>
          </w:tcPr>
          <w:p>
            <w:pPr>
              <w:rPr>
                <w:rFonts w:ascii="宋体"/>
              </w:rPr>
            </w:pPr>
            <w:r>
              <w:rPr>
                <w:rFonts w:ascii="宋体"/>
              </w:rPr>
              <w:t>42.896</w:t>
            </w:r>
          </w:p>
        </w:tc>
        <w:tc>
          <w:tcPr>
            <w:tcW w:w="294" w:type="pct"/>
            <w:tcBorders>
              <w:left w:val="nil"/>
              <w:right w:val="nil"/>
            </w:tcBorders>
          </w:tcPr>
          <w:p>
            <w:pPr>
              <w:rPr>
                <w:rFonts w:ascii="宋体"/>
              </w:rPr>
            </w:pPr>
            <w:r>
              <w:rPr>
                <w:rFonts w:ascii="宋体"/>
              </w:rPr>
              <w:t>9.973</w:t>
            </w:r>
          </w:p>
        </w:tc>
        <w:tc>
          <w:tcPr>
            <w:tcW w:w="294" w:type="pct"/>
            <w:tcBorders>
              <w:left w:val="nil"/>
              <w:right w:val="nil"/>
            </w:tcBorders>
          </w:tcPr>
          <w:p>
            <w:pPr>
              <w:rPr>
                <w:rFonts w:ascii="宋体"/>
              </w:rPr>
            </w:pPr>
            <w:r>
              <w:rPr>
                <w:rFonts w:ascii="宋体"/>
              </w:rPr>
              <w:t>3.056</w:t>
            </w:r>
          </w:p>
        </w:tc>
        <w:tc>
          <w:tcPr>
            <w:tcW w:w="293" w:type="pct"/>
            <w:tcBorders>
              <w:left w:val="nil"/>
              <w:right w:val="nil"/>
            </w:tcBorders>
          </w:tcPr>
          <w:p>
            <w:pPr>
              <w:rPr>
                <w:rFonts w:ascii="宋体"/>
              </w:rPr>
            </w:pPr>
            <w:r>
              <w:rPr>
                <w:rFonts w:ascii="宋体"/>
              </w:rPr>
              <w:t>3.270</w:t>
            </w:r>
          </w:p>
        </w:tc>
        <w:tc>
          <w:tcPr>
            <w:tcW w:w="294" w:type="pct"/>
            <w:tcBorders>
              <w:left w:val="nil"/>
              <w:right w:val="nil"/>
            </w:tcBorders>
          </w:tcPr>
          <w:p>
            <w:pPr>
              <w:rPr>
                <w:rFonts w:ascii="宋体"/>
              </w:rPr>
            </w:pPr>
            <w:r>
              <w:rPr>
                <w:rFonts w:ascii="宋体"/>
              </w:rPr>
              <w:t>12.674</w:t>
            </w:r>
          </w:p>
        </w:tc>
        <w:tc>
          <w:tcPr>
            <w:tcW w:w="294" w:type="pct"/>
            <w:tcBorders>
              <w:left w:val="nil"/>
              <w:right w:val="nil"/>
            </w:tcBorders>
          </w:tcPr>
          <w:p>
            <w:pPr>
              <w:rPr>
                <w:rFonts w:ascii="宋体"/>
              </w:rPr>
            </w:pPr>
            <w:r>
              <w:rPr>
                <w:rFonts w:ascii="宋体"/>
              </w:rPr>
              <w:t>4.512</w:t>
            </w:r>
          </w:p>
        </w:tc>
        <w:tc>
          <w:tcPr>
            <w:tcW w:w="294" w:type="pct"/>
            <w:tcBorders>
              <w:left w:val="nil"/>
              <w:right w:val="nil"/>
            </w:tcBorders>
          </w:tcPr>
          <w:p>
            <w:pPr>
              <w:rPr>
                <w:rFonts w:ascii="宋体"/>
              </w:rPr>
            </w:pPr>
            <w:r>
              <w:rPr>
                <w:rFonts w:ascii="宋体"/>
              </w:rPr>
              <w:t>0.152</w:t>
            </w:r>
          </w:p>
        </w:tc>
        <w:tc>
          <w:tcPr>
            <w:tcW w:w="293" w:type="pct"/>
            <w:tcBorders>
              <w:left w:val="nil"/>
              <w:right w:val="nil"/>
            </w:tcBorders>
          </w:tcPr>
          <w:p>
            <w:pPr>
              <w:rPr>
                <w:rFonts w:ascii="宋体"/>
              </w:rPr>
            </w:pPr>
            <w:r>
              <w:rPr>
                <w:rFonts w:ascii="宋体"/>
              </w:rPr>
              <w:t>5.725</w:t>
            </w:r>
          </w:p>
        </w:tc>
        <w:tc>
          <w:tcPr>
            <w:tcW w:w="294" w:type="pct"/>
            <w:tcBorders>
              <w:left w:val="nil"/>
              <w:right w:val="nil"/>
            </w:tcBorders>
          </w:tcPr>
          <w:p>
            <w:pPr>
              <w:rPr>
                <w:rFonts w:ascii="宋体"/>
              </w:rPr>
            </w:pPr>
            <w:r>
              <w:rPr>
                <w:rFonts w:ascii="宋体"/>
              </w:rPr>
              <w:t>1.058</w:t>
            </w:r>
          </w:p>
        </w:tc>
        <w:tc>
          <w:tcPr>
            <w:tcW w:w="294" w:type="pct"/>
            <w:tcBorders>
              <w:left w:val="nil"/>
              <w:right w:val="nil"/>
            </w:tcBorders>
          </w:tcPr>
          <w:p>
            <w:pPr>
              <w:rPr>
                <w:rFonts w:ascii="宋体"/>
              </w:rPr>
            </w:pPr>
            <w:r>
              <w:rPr>
                <w:rFonts w:ascii="宋体"/>
              </w:rPr>
              <w:t>6.556</w:t>
            </w:r>
          </w:p>
        </w:tc>
        <w:tc>
          <w:tcPr>
            <w:tcW w:w="294" w:type="pct"/>
            <w:tcBorders>
              <w:left w:val="nil"/>
              <w:right w:val="nil"/>
            </w:tcBorders>
          </w:tcPr>
          <w:p>
            <w:pPr>
              <w:rPr>
                <w:rFonts w:ascii="宋体"/>
              </w:rPr>
            </w:pPr>
            <w:r>
              <w:rPr>
                <w:rFonts w:ascii="宋体"/>
              </w:rPr>
              <w:t>1.311</w:t>
            </w:r>
          </w:p>
        </w:tc>
        <w:tc>
          <w:tcPr>
            <w:tcW w:w="293" w:type="pct"/>
            <w:tcBorders>
              <w:left w:val="nil"/>
              <w:right w:val="nil"/>
            </w:tcBorders>
          </w:tcPr>
          <w:p>
            <w:pPr>
              <w:rPr>
                <w:rFonts w:ascii="宋体"/>
              </w:rPr>
            </w:pPr>
            <w:r>
              <w:rPr>
                <w:rFonts w:ascii="宋体"/>
              </w:rPr>
              <w:t>3.869</w:t>
            </w:r>
          </w:p>
        </w:tc>
        <w:tc>
          <w:tcPr>
            <w:tcW w:w="294" w:type="pct"/>
            <w:tcBorders>
              <w:left w:val="nil"/>
              <w:right w:val="nil"/>
            </w:tcBorders>
          </w:tcPr>
          <w:p>
            <w:pPr>
              <w:rPr>
                <w:rFonts w:ascii="宋体"/>
              </w:rPr>
            </w:pPr>
            <w:r>
              <w:rPr>
                <w:rFonts w:ascii="宋体"/>
              </w:rPr>
              <w:t>0.580</w:t>
            </w:r>
          </w:p>
        </w:tc>
        <w:tc>
          <w:tcPr>
            <w:tcW w:w="294" w:type="pct"/>
            <w:tcBorders>
              <w:left w:val="nil"/>
              <w:right w:val="nil"/>
            </w:tcBorders>
          </w:tcPr>
          <w:p>
            <w:pPr>
              <w:rPr>
                <w:rFonts w:ascii="宋体"/>
              </w:rPr>
            </w:pPr>
            <w:r>
              <w:rPr>
                <w:rFonts w:ascii="宋体"/>
              </w:rPr>
              <w:t>3.831</w:t>
            </w:r>
          </w:p>
        </w:tc>
        <w:tc>
          <w:tcPr>
            <w:tcW w:w="293" w:type="pct"/>
            <w:tcBorders>
              <w:left w:val="nil"/>
              <w:right w:val="nil"/>
            </w:tcBorders>
          </w:tcPr>
          <w:p>
            <w:pPr>
              <w:rPr>
                <w:rFonts w:ascii="宋体"/>
              </w:rPr>
            </w:pPr>
            <w:r>
              <w:rPr>
                <w:rFonts w:ascii="宋体"/>
              </w:rPr>
              <w:t>0.537</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测定值</w:t>
            </w:r>
          </w:p>
        </w:tc>
        <w:tc>
          <w:tcPr>
            <w:tcW w:w="293" w:type="pct"/>
            <w:tcBorders>
              <w:left w:val="nil"/>
              <w:right w:val="nil"/>
            </w:tcBorders>
          </w:tcPr>
          <w:p>
            <w:pPr>
              <w:rPr>
                <w:rFonts w:ascii="宋体"/>
              </w:rPr>
            </w:pPr>
            <w:r>
              <w:rPr>
                <w:rFonts w:ascii="宋体"/>
              </w:rPr>
              <w:t xml:space="preserve">56.101 </w:t>
            </w:r>
          </w:p>
        </w:tc>
        <w:tc>
          <w:tcPr>
            <w:tcW w:w="294" w:type="pct"/>
            <w:tcBorders>
              <w:left w:val="nil"/>
              <w:right w:val="nil"/>
            </w:tcBorders>
          </w:tcPr>
          <w:p>
            <w:pPr>
              <w:rPr>
                <w:rFonts w:ascii="宋体"/>
              </w:rPr>
            </w:pPr>
            <w:r>
              <w:rPr>
                <w:rFonts w:ascii="宋体"/>
              </w:rPr>
              <w:t xml:space="preserve">4.939 </w:t>
            </w:r>
          </w:p>
        </w:tc>
        <w:tc>
          <w:tcPr>
            <w:tcW w:w="294" w:type="pct"/>
            <w:tcBorders>
              <w:left w:val="nil"/>
              <w:right w:val="nil"/>
            </w:tcBorders>
          </w:tcPr>
          <w:p>
            <w:pPr>
              <w:rPr>
                <w:rFonts w:ascii="宋体"/>
              </w:rPr>
            </w:pPr>
            <w:r>
              <w:rPr>
                <w:rFonts w:ascii="宋体"/>
              </w:rPr>
              <w:t xml:space="preserve">1.507 </w:t>
            </w:r>
          </w:p>
        </w:tc>
        <w:tc>
          <w:tcPr>
            <w:tcW w:w="293" w:type="pct"/>
            <w:tcBorders>
              <w:left w:val="nil"/>
              <w:right w:val="nil"/>
            </w:tcBorders>
          </w:tcPr>
          <w:p>
            <w:pPr>
              <w:rPr>
                <w:rFonts w:ascii="宋体"/>
              </w:rPr>
            </w:pPr>
            <w:r>
              <w:rPr>
                <w:rFonts w:ascii="宋体"/>
              </w:rPr>
              <w:t xml:space="preserve">1.626 </w:t>
            </w:r>
          </w:p>
        </w:tc>
        <w:tc>
          <w:tcPr>
            <w:tcW w:w="294" w:type="pct"/>
            <w:tcBorders>
              <w:left w:val="nil"/>
              <w:right w:val="nil"/>
            </w:tcBorders>
          </w:tcPr>
          <w:p>
            <w:pPr>
              <w:rPr>
                <w:rFonts w:ascii="宋体"/>
              </w:rPr>
            </w:pPr>
            <w:r>
              <w:rPr>
                <w:rFonts w:ascii="宋体"/>
              </w:rPr>
              <w:t xml:space="preserve">6.385 </w:t>
            </w:r>
          </w:p>
        </w:tc>
        <w:tc>
          <w:tcPr>
            <w:tcW w:w="294" w:type="pct"/>
            <w:tcBorders>
              <w:left w:val="nil"/>
              <w:right w:val="nil"/>
            </w:tcBorders>
          </w:tcPr>
          <w:p>
            <w:pPr>
              <w:rPr>
                <w:rFonts w:ascii="宋体"/>
              </w:rPr>
            </w:pPr>
            <w:r>
              <w:rPr>
                <w:rFonts w:ascii="宋体"/>
              </w:rPr>
              <w:t xml:space="preserve">2.247 </w:t>
            </w:r>
          </w:p>
        </w:tc>
        <w:tc>
          <w:tcPr>
            <w:tcW w:w="294" w:type="pct"/>
            <w:tcBorders>
              <w:left w:val="nil"/>
              <w:right w:val="nil"/>
            </w:tcBorders>
          </w:tcPr>
          <w:p>
            <w:pPr>
              <w:rPr>
                <w:rFonts w:ascii="宋体"/>
              </w:rPr>
            </w:pPr>
            <w:r>
              <w:rPr>
                <w:rFonts w:ascii="宋体"/>
              </w:rPr>
              <w:t xml:space="preserve">0.075 </w:t>
            </w:r>
          </w:p>
        </w:tc>
        <w:tc>
          <w:tcPr>
            <w:tcW w:w="293" w:type="pct"/>
            <w:tcBorders>
              <w:left w:val="nil"/>
              <w:right w:val="nil"/>
            </w:tcBorders>
          </w:tcPr>
          <w:p>
            <w:pPr>
              <w:rPr>
                <w:rFonts w:ascii="宋体"/>
              </w:rPr>
            </w:pPr>
            <w:r>
              <w:rPr>
                <w:rFonts w:ascii="宋体"/>
              </w:rPr>
              <w:t xml:space="preserve">2.867 </w:t>
            </w:r>
          </w:p>
        </w:tc>
        <w:tc>
          <w:tcPr>
            <w:tcW w:w="294" w:type="pct"/>
            <w:tcBorders>
              <w:left w:val="nil"/>
              <w:right w:val="nil"/>
            </w:tcBorders>
          </w:tcPr>
          <w:p>
            <w:pPr>
              <w:rPr>
                <w:rFonts w:ascii="宋体"/>
              </w:rPr>
            </w:pPr>
            <w:r>
              <w:rPr>
                <w:rFonts w:ascii="宋体"/>
              </w:rPr>
              <w:t xml:space="preserve">1.548 </w:t>
            </w:r>
          </w:p>
        </w:tc>
        <w:tc>
          <w:tcPr>
            <w:tcW w:w="294" w:type="pct"/>
            <w:tcBorders>
              <w:left w:val="nil"/>
              <w:right w:val="nil"/>
            </w:tcBorders>
          </w:tcPr>
          <w:p>
            <w:pPr>
              <w:rPr>
                <w:rFonts w:ascii="宋体"/>
              </w:rPr>
            </w:pPr>
            <w:r>
              <w:rPr>
                <w:rFonts w:ascii="宋体"/>
              </w:rPr>
              <w:t xml:space="preserve">9.228 </w:t>
            </w:r>
          </w:p>
        </w:tc>
        <w:tc>
          <w:tcPr>
            <w:tcW w:w="294" w:type="pct"/>
            <w:tcBorders>
              <w:left w:val="nil"/>
              <w:right w:val="nil"/>
            </w:tcBorders>
          </w:tcPr>
          <w:p>
            <w:pPr>
              <w:rPr>
                <w:rFonts w:ascii="宋体"/>
              </w:rPr>
            </w:pPr>
            <w:r>
              <w:rPr>
                <w:rFonts w:ascii="宋体"/>
              </w:rPr>
              <w:t xml:space="preserve">2.159 </w:t>
            </w:r>
          </w:p>
        </w:tc>
        <w:tc>
          <w:tcPr>
            <w:tcW w:w="293" w:type="pct"/>
            <w:tcBorders>
              <w:left w:val="nil"/>
              <w:right w:val="nil"/>
            </w:tcBorders>
          </w:tcPr>
          <w:p>
            <w:pPr>
              <w:rPr>
                <w:rFonts w:ascii="宋体"/>
              </w:rPr>
            </w:pPr>
            <w:r>
              <w:rPr>
                <w:rFonts w:ascii="宋体"/>
              </w:rPr>
              <w:t xml:space="preserve">4.384 </w:t>
            </w:r>
          </w:p>
        </w:tc>
        <w:tc>
          <w:tcPr>
            <w:tcW w:w="294" w:type="pct"/>
            <w:tcBorders>
              <w:left w:val="nil"/>
              <w:right w:val="nil"/>
            </w:tcBorders>
          </w:tcPr>
          <w:p>
            <w:pPr>
              <w:rPr>
                <w:rFonts w:ascii="宋体"/>
              </w:rPr>
            </w:pPr>
            <w:r>
              <w:rPr>
                <w:rFonts w:ascii="宋体"/>
              </w:rPr>
              <w:t xml:space="preserve">1.268 </w:t>
            </w:r>
          </w:p>
        </w:tc>
        <w:tc>
          <w:tcPr>
            <w:tcW w:w="294" w:type="pct"/>
            <w:tcBorders>
              <w:left w:val="nil"/>
              <w:right w:val="nil"/>
            </w:tcBorders>
          </w:tcPr>
          <w:p>
            <w:pPr>
              <w:rPr>
                <w:rFonts w:ascii="宋体"/>
              </w:rPr>
            </w:pPr>
            <w:r>
              <w:rPr>
                <w:rFonts w:ascii="宋体"/>
              </w:rPr>
              <w:t xml:space="preserve">4.399 </w:t>
            </w:r>
          </w:p>
        </w:tc>
        <w:tc>
          <w:tcPr>
            <w:tcW w:w="293" w:type="pct"/>
            <w:tcBorders>
              <w:left w:val="nil"/>
              <w:right w:val="nil"/>
            </w:tcBorders>
          </w:tcPr>
          <w:p>
            <w:pPr>
              <w:rPr>
                <w:rFonts w:ascii="宋体"/>
              </w:rPr>
            </w:pPr>
            <w:r>
              <w:rPr>
                <w:rFonts w:ascii="宋体"/>
              </w:rPr>
              <w:t xml:space="preserve">1.267 </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回收率</w:t>
            </w:r>
          </w:p>
        </w:tc>
        <w:tc>
          <w:tcPr>
            <w:tcW w:w="293" w:type="pct"/>
            <w:tcBorders>
              <w:left w:val="nil"/>
              <w:right w:val="nil"/>
            </w:tcBorders>
            <w:vAlign w:val="center"/>
          </w:tcPr>
          <w:p>
            <w:pPr>
              <w:jc w:val="center"/>
              <w:rPr>
                <w:rFonts w:ascii="宋体"/>
              </w:rPr>
            </w:pPr>
            <w:r>
              <w:rPr>
                <w:rFonts w:ascii="宋体" w:hint="eastAsia"/>
              </w:rPr>
              <w:t xml:space="preserve">100.44 </w:t>
            </w:r>
          </w:p>
        </w:tc>
        <w:tc>
          <w:tcPr>
            <w:tcW w:w="294" w:type="pct"/>
            <w:tcBorders>
              <w:left w:val="nil"/>
              <w:right w:val="nil"/>
            </w:tcBorders>
            <w:vAlign w:val="center"/>
          </w:tcPr>
          <w:p>
            <w:pPr>
              <w:jc w:val="center"/>
              <w:rPr>
                <w:rFonts w:ascii="宋体" w:hint="eastAsia"/>
              </w:rPr>
            </w:pPr>
            <w:r>
              <w:rPr>
                <w:rFonts w:ascii="宋体" w:hint="eastAsia"/>
              </w:rPr>
              <w:t>/</w:t>
            </w:r>
            <w:r>
              <w:rPr>
                <w:rFonts w:ascii="宋体"/>
              </w:rPr>
              <w:t>//</w:t>
            </w:r>
          </w:p>
        </w:tc>
        <w:tc>
          <w:tcPr>
            <w:tcW w:w="294" w:type="pct"/>
            <w:tcBorders>
              <w:left w:val="nil"/>
              <w:right w:val="nil"/>
            </w:tcBorders>
          </w:tcPr>
          <w:p>
            <w:pPr>
              <w:jc w:val="center"/>
              <w:rPr>
                <w:rFonts w:ascii="宋体"/>
              </w:rPr>
            </w:pPr>
            <w:r>
              <w:rPr>
                <w:rFonts w:ascii="宋体" w:hint="eastAsia"/>
              </w:rPr>
              <w:t>/</w:t>
            </w:r>
            <w:r>
              <w:rPr>
                <w:rFonts w:ascii="宋体"/>
              </w:rPr>
              <w:t>//</w:t>
            </w:r>
          </w:p>
        </w:tc>
        <w:tc>
          <w:tcPr>
            <w:tcW w:w="293" w:type="pct"/>
            <w:tcBorders>
              <w:left w:val="nil"/>
              <w:right w:val="nil"/>
            </w:tcBorders>
          </w:tcPr>
          <w:p>
            <w:pPr>
              <w:jc w:val="center"/>
              <w:rPr>
                <w:rFonts w:ascii="宋体"/>
              </w:rPr>
            </w:pPr>
            <w:r>
              <w:rPr>
                <w:rFonts w:ascii="宋体" w:hint="eastAsia"/>
              </w:rPr>
              <w:t>/</w:t>
            </w:r>
            <w:r>
              <w:rPr>
                <w:rFonts w:ascii="宋体"/>
              </w:rPr>
              <w:t>//</w:t>
            </w:r>
          </w:p>
        </w:tc>
        <w:tc>
          <w:tcPr>
            <w:tcW w:w="294" w:type="pct"/>
            <w:tcBorders>
              <w:left w:val="nil"/>
              <w:right w:val="nil"/>
            </w:tcBorders>
          </w:tcPr>
          <w:p>
            <w:pPr>
              <w:jc w:val="center"/>
              <w:rPr>
                <w:rFonts w:ascii="宋体"/>
              </w:rPr>
            </w:pPr>
            <w:r>
              <w:rPr>
                <w:rFonts w:ascii="宋体" w:hint="eastAsia"/>
              </w:rPr>
              <w:t>/</w:t>
            </w:r>
            <w:r>
              <w:rPr>
                <w:rFonts w:ascii="宋体"/>
              </w:rPr>
              <w:t>//</w:t>
            </w:r>
          </w:p>
        </w:tc>
        <w:tc>
          <w:tcPr>
            <w:tcW w:w="294" w:type="pct"/>
            <w:tcBorders>
              <w:left w:val="nil"/>
              <w:right w:val="nil"/>
            </w:tcBorders>
          </w:tcPr>
          <w:p>
            <w:pPr>
              <w:jc w:val="center"/>
              <w:rPr>
                <w:rFonts w:ascii="宋体"/>
              </w:rPr>
            </w:pPr>
            <w:r>
              <w:rPr>
                <w:rFonts w:ascii="宋体" w:hint="eastAsia"/>
              </w:rPr>
              <w:t>/</w:t>
            </w:r>
            <w:r>
              <w:rPr>
                <w:rFonts w:ascii="宋体"/>
              </w:rPr>
              <w:t>//</w:t>
            </w:r>
          </w:p>
        </w:tc>
        <w:tc>
          <w:tcPr>
            <w:tcW w:w="294" w:type="pct"/>
            <w:tcBorders>
              <w:left w:val="nil"/>
              <w:right w:val="nil"/>
            </w:tcBorders>
          </w:tcPr>
          <w:p>
            <w:pPr>
              <w:jc w:val="center"/>
              <w:rPr>
                <w:rFonts w:ascii="宋体"/>
              </w:rPr>
            </w:pPr>
            <w:r>
              <w:rPr>
                <w:rFonts w:ascii="宋体" w:hint="eastAsia"/>
              </w:rPr>
              <w:t>/</w:t>
            </w:r>
            <w:r>
              <w:rPr>
                <w:rFonts w:ascii="宋体"/>
              </w:rPr>
              <w:t>//</w:t>
            </w:r>
          </w:p>
        </w:tc>
        <w:tc>
          <w:tcPr>
            <w:tcW w:w="293" w:type="pct"/>
            <w:tcBorders>
              <w:left w:val="nil"/>
              <w:right w:val="nil"/>
            </w:tcBorders>
          </w:tcPr>
          <w:p>
            <w:pPr>
              <w:jc w:val="center"/>
              <w:rPr>
                <w:rFonts w:ascii="宋体"/>
              </w:rPr>
            </w:pPr>
            <w:r>
              <w:rPr>
                <w:rFonts w:ascii="宋体" w:hint="eastAsia"/>
              </w:rPr>
              <w:t>/</w:t>
            </w:r>
            <w:r>
              <w:rPr>
                <w:rFonts w:ascii="宋体"/>
              </w:rPr>
              <w:t>//</w:t>
            </w:r>
          </w:p>
        </w:tc>
        <w:tc>
          <w:tcPr>
            <w:tcW w:w="294" w:type="pct"/>
            <w:tcBorders>
              <w:left w:val="nil"/>
              <w:right w:val="nil"/>
            </w:tcBorders>
            <w:vAlign w:val="center"/>
          </w:tcPr>
          <w:p>
            <w:pPr>
              <w:jc w:val="center"/>
              <w:rPr>
                <w:rFonts w:ascii="宋体" w:hint="eastAsia"/>
              </w:rPr>
            </w:pPr>
            <w:r>
              <w:rPr>
                <w:rFonts w:ascii="宋体" w:hint="eastAsia"/>
              </w:rPr>
              <w:t xml:space="preserve">101.92 </w:t>
            </w:r>
          </w:p>
        </w:tc>
        <w:tc>
          <w:tcPr>
            <w:tcW w:w="294" w:type="pct"/>
            <w:tcBorders>
              <w:left w:val="nil"/>
              <w:right w:val="nil"/>
            </w:tcBorders>
            <w:vAlign w:val="center"/>
          </w:tcPr>
          <w:p>
            <w:pPr>
              <w:jc w:val="center"/>
              <w:rPr>
                <w:rFonts w:ascii="宋体" w:hint="eastAsia"/>
              </w:rPr>
            </w:pPr>
            <w:r>
              <w:rPr>
                <w:rFonts w:ascii="宋体" w:hint="eastAsia"/>
              </w:rPr>
              <w:t xml:space="preserve">99.17 </w:t>
            </w:r>
          </w:p>
        </w:tc>
        <w:tc>
          <w:tcPr>
            <w:tcW w:w="294" w:type="pct"/>
            <w:tcBorders>
              <w:left w:val="nil"/>
              <w:right w:val="nil"/>
            </w:tcBorders>
            <w:vAlign w:val="center"/>
          </w:tcPr>
          <w:p>
            <w:pPr>
              <w:jc w:val="center"/>
              <w:rPr>
                <w:rFonts w:ascii="宋体" w:hint="eastAsia"/>
              </w:rPr>
            </w:pPr>
            <w:r>
              <w:rPr>
                <w:rFonts w:ascii="宋体" w:hint="eastAsia"/>
              </w:rPr>
              <w:t xml:space="preserve">100.22 </w:t>
            </w:r>
          </w:p>
        </w:tc>
        <w:tc>
          <w:tcPr>
            <w:tcW w:w="293" w:type="pct"/>
            <w:tcBorders>
              <w:left w:val="nil"/>
              <w:right w:val="nil"/>
            </w:tcBorders>
            <w:vAlign w:val="center"/>
          </w:tcPr>
          <w:p>
            <w:pPr>
              <w:jc w:val="center"/>
              <w:rPr>
                <w:rFonts w:ascii="宋体" w:hint="eastAsia"/>
              </w:rPr>
            </w:pPr>
            <w:r>
              <w:rPr>
                <w:rFonts w:ascii="宋体" w:hint="eastAsia"/>
              </w:rPr>
              <w:t xml:space="preserve">97.99 </w:t>
            </w:r>
          </w:p>
        </w:tc>
        <w:tc>
          <w:tcPr>
            <w:tcW w:w="294" w:type="pct"/>
            <w:tcBorders>
              <w:left w:val="nil"/>
              <w:right w:val="nil"/>
            </w:tcBorders>
            <w:vAlign w:val="center"/>
          </w:tcPr>
          <w:p>
            <w:pPr>
              <w:jc w:val="center"/>
              <w:rPr>
                <w:rFonts w:ascii="宋体" w:hint="eastAsia"/>
              </w:rPr>
            </w:pPr>
            <w:r>
              <w:rPr>
                <w:rFonts w:ascii="宋体" w:hint="eastAsia"/>
              </w:rPr>
              <w:t xml:space="preserve">97.80 </w:t>
            </w:r>
          </w:p>
        </w:tc>
        <w:tc>
          <w:tcPr>
            <w:tcW w:w="294" w:type="pct"/>
            <w:tcBorders>
              <w:left w:val="nil"/>
              <w:right w:val="nil"/>
            </w:tcBorders>
            <w:vAlign w:val="center"/>
          </w:tcPr>
          <w:p>
            <w:pPr>
              <w:jc w:val="center"/>
              <w:rPr>
                <w:rFonts w:ascii="宋体" w:hint="eastAsia"/>
              </w:rPr>
            </w:pPr>
            <w:r>
              <w:rPr>
                <w:rFonts w:ascii="宋体" w:hint="eastAsia"/>
              </w:rPr>
              <w:t xml:space="preserve">99.32 </w:t>
            </w:r>
          </w:p>
        </w:tc>
        <w:tc>
          <w:tcPr>
            <w:tcW w:w="293" w:type="pct"/>
            <w:tcBorders>
              <w:left w:val="nil"/>
              <w:right w:val="nil"/>
            </w:tcBorders>
            <w:vAlign w:val="center"/>
          </w:tcPr>
          <w:p>
            <w:pPr>
              <w:jc w:val="center"/>
              <w:rPr>
                <w:rFonts w:ascii="宋体" w:hint="eastAsia"/>
              </w:rPr>
            </w:pPr>
            <w:r>
              <w:rPr>
                <w:rFonts w:ascii="宋体" w:hint="eastAsia"/>
              </w:rPr>
              <w:t xml:space="preserve">99.88 </w:t>
            </w:r>
          </w:p>
        </w:tc>
      </w:tr>
      <w:tr>
        <w:trPr>
          <w:trHeight w:val="272"/>
        </w:trPr>
        <w:tc>
          <w:tcPr>
            <w:tcW w:w="271" w:type="pct"/>
            <w:vMerge w:val="restart"/>
            <w:tcBorders>
              <w:right w:val="single" w:sz="6" w:space="0" w:color="auto"/>
            </w:tcBorders>
            <w:vAlign w:val="center"/>
          </w:tcPr>
          <w:p>
            <w:pPr>
              <w:widowControl/>
              <w:jc w:val="center"/>
              <w:rPr>
                <w:rFonts w:ascii="宋体" w:cs="宋体" w:hint="eastAsia"/>
                <w:kern w:val="0"/>
                <w:szCs w:val="21"/>
              </w:rPr>
            </w:pPr>
            <w:r>
              <w:rPr>
                <w:rFonts w:ascii="宋体" w:cs="宋体" w:hint="eastAsia"/>
                <w:kern w:val="0"/>
                <w:szCs w:val="21"/>
              </w:rPr>
              <w:t>8</w:t>
            </w:r>
            <w:r>
              <w:rPr>
                <w:rFonts w:ascii="宋体" w:cs="宋体"/>
                <w:kern w:val="0"/>
                <w:szCs w:val="21"/>
              </w:rPr>
              <w:t>#</w:t>
            </w:r>
          </w:p>
        </w:tc>
        <w:tc>
          <w:tcPr>
            <w:tcW w:w="324" w:type="pct"/>
            <w:tcBorders>
              <w:left w:val="single" w:sz="6" w:space="0" w:color="auto"/>
            </w:tcBorders>
          </w:tcPr>
          <w:p>
            <w:pPr>
              <w:rPr>
                <w:rFonts w:hint="eastAsia"/>
              </w:rPr>
            </w:pPr>
            <w:r>
              <w:rPr>
                <w:rFonts w:hint="eastAsia"/>
              </w:rPr>
              <w:t>标准值</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13.800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24.600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12.000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5.000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23.000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7.000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1.400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7.000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2.400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0.600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c>
          <w:tcPr>
            <w:tcW w:w="294"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1.000 </w:t>
            </w:r>
          </w:p>
        </w:tc>
        <w:tc>
          <w:tcPr>
            <w:tcW w:w="293" w:type="pct"/>
            <w:tcBorders>
              <w:left w:val="nil"/>
              <w:right w:val="nil"/>
            </w:tcBorders>
          </w:tcPr>
          <w:p>
            <w:pPr>
              <w:rPr>
                <w:rFonts w:ascii="宋体" w:cs="宋体" w:hint="eastAsia"/>
                <w:color w:val="000000"/>
                <w:kern w:val="0"/>
                <w:sz w:val="22"/>
                <w:szCs w:val="22"/>
              </w:rPr>
            </w:pPr>
            <w:r>
              <w:rPr>
                <w:rFonts w:ascii="宋体" w:cs="宋体" w:hint="eastAsia"/>
                <w:color w:val="000000"/>
                <w:kern w:val="0"/>
                <w:sz w:val="22"/>
                <w:szCs w:val="22"/>
              </w:rPr>
              <w:t xml:space="preserve">0.400 </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2#本底</w:t>
            </w:r>
          </w:p>
        </w:tc>
        <w:tc>
          <w:tcPr>
            <w:tcW w:w="293" w:type="pct"/>
            <w:tcBorders>
              <w:left w:val="nil"/>
              <w:right w:val="nil"/>
            </w:tcBorders>
            <w:vAlign w:val="center"/>
          </w:tcPr>
          <w:p>
            <w:pPr>
              <w:jc w:val="center"/>
              <w:rPr>
                <w:rFonts w:ascii="宋体" w:hint="eastAsia"/>
              </w:rPr>
            </w:pPr>
            <w:r>
              <w:rPr>
                <w:rFonts w:ascii="宋体" w:hint="eastAsia"/>
              </w:rPr>
              <w:t>32.942</w:t>
            </w:r>
          </w:p>
        </w:tc>
        <w:tc>
          <w:tcPr>
            <w:tcW w:w="294" w:type="pct"/>
            <w:tcBorders>
              <w:left w:val="nil"/>
              <w:right w:val="nil"/>
            </w:tcBorders>
            <w:vAlign w:val="center"/>
          </w:tcPr>
          <w:p>
            <w:pPr>
              <w:jc w:val="center"/>
              <w:rPr>
                <w:rFonts w:ascii="宋体" w:hint="eastAsia"/>
              </w:rPr>
            </w:pPr>
            <w:r>
              <w:rPr>
                <w:rFonts w:ascii="宋体" w:hint="eastAsia"/>
              </w:rPr>
              <w:t>16.934</w:t>
            </w:r>
          </w:p>
        </w:tc>
        <w:tc>
          <w:tcPr>
            <w:tcW w:w="294" w:type="pct"/>
            <w:tcBorders>
              <w:left w:val="nil"/>
              <w:right w:val="nil"/>
            </w:tcBorders>
            <w:vAlign w:val="center"/>
          </w:tcPr>
          <w:p>
            <w:pPr>
              <w:jc w:val="center"/>
              <w:rPr>
                <w:rFonts w:ascii="宋体" w:hint="eastAsia"/>
              </w:rPr>
            </w:pPr>
            <w:r>
              <w:rPr>
                <w:rFonts w:ascii="宋体" w:hint="eastAsia"/>
              </w:rPr>
              <w:t>3.134</w:t>
            </w:r>
          </w:p>
        </w:tc>
        <w:tc>
          <w:tcPr>
            <w:tcW w:w="293" w:type="pct"/>
            <w:tcBorders>
              <w:left w:val="nil"/>
              <w:right w:val="nil"/>
            </w:tcBorders>
            <w:vAlign w:val="center"/>
          </w:tcPr>
          <w:p>
            <w:pPr>
              <w:jc w:val="center"/>
              <w:rPr>
                <w:rFonts w:ascii="宋体" w:hint="eastAsia"/>
              </w:rPr>
            </w:pPr>
            <w:r>
              <w:rPr>
                <w:rFonts w:ascii="宋体" w:hint="eastAsia"/>
              </w:rPr>
              <w:t>4.713</w:t>
            </w:r>
          </w:p>
        </w:tc>
        <w:tc>
          <w:tcPr>
            <w:tcW w:w="294" w:type="pct"/>
            <w:tcBorders>
              <w:left w:val="nil"/>
              <w:right w:val="nil"/>
            </w:tcBorders>
            <w:vAlign w:val="center"/>
          </w:tcPr>
          <w:p>
            <w:pPr>
              <w:jc w:val="center"/>
              <w:rPr>
                <w:rFonts w:ascii="宋体" w:hint="eastAsia"/>
              </w:rPr>
            </w:pPr>
            <w:r>
              <w:rPr>
                <w:rFonts w:ascii="宋体" w:hint="eastAsia"/>
              </w:rPr>
              <w:t>17.136</w:t>
            </w:r>
          </w:p>
        </w:tc>
        <w:tc>
          <w:tcPr>
            <w:tcW w:w="294" w:type="pct"/>
            <w:tcBorders>
              <w:left w:val="nil"/>
              <w:right w:val="nil"/>
            </w:tcBorders>
            <w:vAlign w:val="center"/>
          </w:tcPr>
          <w:p>
            <w:pPr>
              <w:jc w:val="center"/>
              <w:rPr>
                <w:rFonts w:ascii="宋体" w:hint="eastAsia"/>
              </w:rPr>
            </w:pPr>
            <w:r>
              <w:rPr>
                <w:rFonts w:ascii="宋体" w:hint="eastAsia"/>
              </w:rPr>
              <w:t>5.027</w:t>
            </w:r>
          </w:p>
        </w:tc>
        <w:tc>
          <w:tcPr>
            <w:tcW w:w="294" w:type="pct"/>
            <w:tcBorders>
              <w:left w:val="nil"/>
              <w:right w:val="nil"/>
            </w:tcBorders>
            <w:vAlign w:val="center"/>
          </w:tcPr>
          <w:p>
            <w:pPr>
              <w:jc w:val="center"/>
              <w:rPr>
                <w:rFonts w:ascii="宋体" w:hint="eastAsia"/>
              </w:rPr>
            </w:pPr>
            <w:r>
              <w:rPr>
                <w:rFonts w:ascii="宋体" w:hint="eastAsia"/>
              </w:rPr>
              <w:t>0.197</w:t>
            </w:r>
          </w:p>
        </w:tc>
        <w:tc>
          <w:tcPr>
            <w:tcW w:w="293" w:type="pct"/>
            <w:tcBorders>
              <w:left w:val="nil"/>
              <w:right w:val="nil"/>
            </w:tcBorders>
            <w:vAlign w:val="center"/>
          </w:tcPr>
          <w:p>
            <w:pPr>
              <w:jc w:val="center"/>
              <w:rPr>
                <w:rFonts w:ascii="宋体" w:hint="eastAsia"/>
              </w:rPr>
            </w:pPr>
            <w:r>
              <w:rPr>
                <w:rFonts w:ascii="宋体" w:hint="eastAsia"/>
              </w:rPr>
              <w:t>5.767</w:t>
            </w:r>
          </w:p>
        </w:tc>
        <w:tc>
          <w:tcPr>
            <w:tcW w:w="294" w:type="pct"/>
            <w:tcBorders>
              <w:left w:val="nil"/>
              <w:right w:val="nil"/>
            </w:tcBorders>
            <w:vAlign w:val="center"/>
          </w:tcPr>
          <w:p>
            <w:pPr>
              <w:jc w:val="center"/>
              <w:rPr>
                <w:rFonts w:ascii="宋体" w:hint="eastAsia"/>
              </w:rPr>
            </w:pPr>
            <w:r>
              <w:rPr>
                <w:rFonts w:ascii="宋体" w:hint="eastAsia"/>
              </w:rPr>
              <w:t>1.015</w:t>
            </w:r>
          </w:p>
        </w:tc>
        <w:tc>
          <w:tcPr>
            <w:tcW w:w="294" w:type="pct"/>
            <w:tcBorders>
              <w:left w:val="nil"/>
              <w:right w:val="nil"/>
            </w:tcBorders>
            <w:vAlign w:val="center"/>
          </w:tcPr>
          <w:p>
            <w:pPr>
              <w:jc w:val="center"/>
              <w:rPr>
                <w:rFonts w:ascii="宋体" w:hint="eastAsia"/>
              </w:rPr>
            </w:pPr>
            <w:r>
              <w:rPr>
                <w:rFonts w:ascii="宋体" w:hint="eastAsia"/>
              </w:rPr>
              <w:t>5.969</w:t>
            </w:r>
          </w:p>
        </w:tc>
        <w:tc>
          <w:tcPr>
            <w:tcW w:w="294" w:type="pct"/>
            <w:tcBorders>
              <w:left w:val="nil"/>
              <w:right w:val="nil"/>
            </w:tcBorders>
            <w:vAlign w:val="center"/>
          </w:tcPr>
          <w:p>
            <w:pPr>
              <w:jc w:val="center"/>
              <w:rPr>
                <w:rFonts w:ascii="宋体" w:hint="eastAsia"/>
              </w:rPr>
            </w:pPr>
            <w:r>
              <w:rPr>
                <w:rFonts w:ascii="宋体" w:hint="eastAsia"/>
              </w:rPr>
              <w:t>1.114</w:t>
            </w:r>
          </w:p>
        </w:tc>
        <w:tc>
          <w:tcPr>
            <w:tcW w:w="293" w:type="pct"/>
            <w:tcBorders>
              <w:left w:val="nil"/>
              <w:right w:val="nil"/>
            </w:tcBorders>
            <w:vAlign w:val="center"/>
          </w:tcPr>
          <w:p>
            <w:pPr>
              <w:jc w:val="center"/>
              <w:rPr>
                <w:rFonts w:ascii="宋体" w:hint="eastAsia"/>
              </w:rPr>
            </w:pPr>
            <w:r>
              <w:rPr>
                <w:rFonts w:ascii="宋体" w:hint="eastAsia"/>
              </w:rPr>
              <w:t>2.973</w:t>
            </w:r>
          </w:p>
        </w:tc>
        <w:tc>
          <w:tcPr>
            <w:tcW w:w="294" w:type="pct"/>
            <w:tcBorders>
              <w:left w:val="nil"/>
              <w:right w:val="nil"/>
            </w:tcBorders>
            <w:vAlign w:val="center"/>
          </w:tcPr>
          <w:p>
            <w:pPr>
              <w:jc w:val="center"/>
              <w:rPr>
                <w:rFonts w:ascii="宋体" w:hint="eastAsia"/>
              </w:rPr>
            </w:pPr>
            <w:r>
              <w:rPr>
                <w:rFonts w:ascii="宋体" w:hint="eastAsia"/>
              </w:rPr>
              <w:t>0.400</w:t>
            </w:r>
          </w:p>
        </w:tc>
        <w:tc>
          <w:tcPr>
            <w:tcW w:w="294" w:type="pct"/>
            <w:tcBorders>
              <w:left w:val="nil"/>
              <w:right w:val="nil"/>
            </w:tcBorders>
            <w:vAlign w:val="center"/>
          </w:tcPr>
          <w:p>
            <w:pPr>
              <w:jc w:val="center"/>
              <w:rPr>
                <w:rFonts w:ascii="宋体" w:hint="eastAsia"/>
              </w:rPr>
            </w:pPr>
            <w:r>
              <w:rPr>
                <w:rFonts w:ascii="宋体" w:hint="eastAsia"/>
              </w:rPr>
              <w:t>2.368</w:t>
            </w:r>
          </w:p>
        </w:tc>
        <w:tc>
          <w:tcPr>
            <w:tcW w:w="293" w:type="pct"/>
            <w:tcBorders>
              <w:left w:val="nil"/>
              <w:right w:val="nil"/>
            </w:tcBorders>
            <w:vAlign w:val="center"/>
          </w:tcPr>
          <w:p>
            <w:pPr>
              <w:jc w:val="center"/>
              <w:rPr>
                <w:rFonts w:ascii="宋体" w:hint="eastAsia"/>
              </w:rPr>
            </w:pPr>
            <w:r>
              <w:rPr>
                <w:rFonts w:ascii="宋体" w:hint="eastAsia"/>
              </w:rPr>
              <w:t>0.313</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测定值</w:t>
            </w:r>
          </w:p>
        </w:tc>
        <w:tc>
          <w:tcPr>
            <w:tcW w:w="293" w:type="pct"/>
            <w:tcBorders>
              <w:left w:val="nil"/>
              <w:right w:val="nil"/>
            </w:tcBorders>
            <w:vAlign w:val="center"/>
          </w:tcPr>
          <w:p>
            <w:pPr>
              <w:jc w:val="center"/>
              <w:rPr>
                <w:rFonts w:ascii="宋体" w:hint="eastAsia"/>
              </w:rPr>
            </w:pPr>
            <w:r>
              <w:rPr>
                <w:rFonts w:ascii="宋体" w:hint="eastAsia"/>
              </w:rPr>
              <w:t xml:space="preserve">23.414 </w:t>
            </w:r>
          </w:p>
        </w:tc>
        <w:tc>
          <w:tcPr>
            <w:tcW w:w="294" w:type="pct"/>
            <w:tcBorders>
              <w:left w:val="nil"/>
              <w:right w:val="nil"/>
            </w:tcBorders>
            <w:vAlign w:val="center"/>
          </w:tcPr>
          <w:p>
            <w:pPr>
              <w:jc w:val="center"/>
              <w:rPr>
                <w:rFonts w:ascii="宋体" w:hint="eastAsia"/>
              </w:rPr>
            </w:pPr>
            <w:r>
              <w:rPr>
                <w:rFonts w:ascii="宋体" w:hint="eastAsia"/>
              </w:rPr>
              <w:t xml:space="preserve">20.818 </w:t>
            </w:r>
          </w:p>
        </w:tc>
        <w:tc>
          <w:tcPr>
            <w:tcW w:w="294" w:type="pct"/>
            <w:tcBorders>
              <w:left w:val="nil"/>
              <w:right w:val="nil"/>
            </w:tcBorders>
            <w:vAlign w:val="center"/>
          </w:tcPr>
          <w:p>
            <w:pPr>
              <w:jc w:val="center"/>
              <w:rPr>
                <w:rFonts w:ascii="宋体" w:hint="eastAsia"/>
              </w:rPr>
            </w:pPr>
            <w:r>
              <w:rPr>
                <w:rFonts w:ascii="宋体" w:hint="eastAsia"/>
              </w:rPr>
              <w:t xml:space="preserve">7.490 </w:t>
            </w:r>
          </w:p>
        </w:tc>
        <w:tc>
          <w:tcPr>
            <w:tcW w:w="293" w:type="pct"/>
            <w:tcBorders>
              <w:left w:val="nil"/>
              <w:right w:val="nil"/>
            </w:tcBorders>
            <w:vAlign w:val="center"/>
          </w:tcPr>
          <w:p>
            <w:pPr>
              <w:jc w:val="center"/>
              <w:rPr>
                <w:rFonts w:ascii="宋体" w:hint="eastAsia"/>
              </w:rPr>
            </w:pPr>
            <w:r>
              <w:rPr>
                <w:rFonts w:ascii="宋体" w:hint="eastAsia"/>
              </w:rPr>
              <w:t xml:space="preserve">4.911 </w:t>
            </w:r>
          </w:p>
        </w:tc>
        <w:tc>
          <w:tcPr>
            <w:tcW w:w="294" w:type="pct"/>
            <w:tcBorders>
              <w:left w:val="nil"/>
              <w:right w:val="nil"/>
            </w:tcBorders>
            <w:vAlign w:val="center"/>
          </w:tcPr>
          <w:p>
            <w:pPr>
              <w:jc w:val="center"/>
              <w:rPr>
                <w:rFonts w:ascii="宋体" w:hint="eastAsia"/>
              </w:rPr>
            </w:pPr>
            <w:r>
              <w:rPr>
                <w:rFonts w:ascii="宋体" w:hint="eastAsia"/>
              </w:rPr>
              <w:t xml:space="preserve">20.083 </w:t>
            </w:r>
          </w:p>
        </w:tc>
        <w:tc>
          <w:tcPr>
            <w:tcW w:w="294" w:type="pct"/>
            <w:tcBorders>
              <w:left w:val="nil"/>
              <w:right w:val="nil"/>
            </w:tcBorders>
            <w:vAlign w:val="center"/>
          </w:tcPr>
          <w:p>
            <w:pPr>
              <w:jc w:val="center"/>
              <w:rPr>
                <w:rFonts w:ascii="宋体" w:hint="eastAsia"/>
              </w:rPr>
            </w:pPr>
            <w:r>
              <w:rPr>
                <w:rFonts w:ascii="宋体" w:hint="eastAsia"/>
              </w:rPr>
              <w:t xml:space="preserve">6.051 </w:t>
            </w:r>
          </w:p>
        </w:tc>
        <w:tc>
          <w:tcPr>
            <w:tcW w:w="294" w:type="pct"/>
            <w:tcBorders>
              <w:left w:val="nil"/>
              <w:right w:val="nil"/>
            </w:tcBorders>
            <w:vAlign w:val="center"/>
          </w:tcPr>
          <w:p>
            <w:pPr>
              <w:jc w:val="center"/>
              <w:rPr>
                <w:rFonts w:ascii="宋体" w:hint="eastAsia"/>
              </w:rPr>
            </w:pPr>
            <w:r>
              <w:rPr>
                <w:rFonts w:ascii="宋体" w:hint="eastAsia"/>
              </w:rPr>
              <w:t xml:space="preserve">0.793 </w:t>
            </w:r>
          </w:p>
        </w:tc>
        <w:tc>
          <w:tcPr>
            <w:tcW w:w="293" w:type="pct"/>
            <w:tcBorders>
              <w:left w:val="nil"/>
              <w:right w:val="nil"/>
            </w:tcBorders>
            <w:vAlign w:val="center"/>
          </w:tcPr>
          <w:p>
            <w:pPr>
              <w:jc w:val="center"/>
              <w:rPr>
                <w:rFonts w:ascii="宋体" w:hint="eastAsia"/>
              </w:rPr>
            </w:pPr>
            <w:r>
              <w:rPr>
                <w:rFonts w:ascii="宋体" w:hint="eastAsia"/>
              </w:rPr>
              <w:t xml:space="preserve">6.264 </w:t>
            </w:r>
          </w:p>
        </w:tc>
        <w:tc>
          <w:tcPr>
            <w:tcW w:w="294" w:type="pct"/>
            <w:tcBorders>
              <w:left w:val="nil"/>
              <w:right w:val="nil"/>
            </w:tcBorders>
            <w:vAlign w:val="center"/>
          </w:tcPr>
          <w:p>
            <w:pPr>
              <w:jc w:val="center"/>
              <w:rPr>
                <w:rFonts w:ascii="宋体" w:hint="eastAsia"/>
              </w:rPr>
            </w:pPr>
            <w:r>
              <w:rPr>
                <w:rFonts w:ascii="宋体" w:hint="eastAsia"/>
              </w:rPr>
              <w:t xml:space="preserve">0.708 </w:t>
            </w:r>
          </w:p>
        </w:tc>
        <w:tc>
          <w:tcPr>
            <w:tcW w:w="294" w:type="pct"/>
            <w:tcBorders>
              <w:left w:val="nil"/>
              <w:right w:val="nil"/>
            </w:tcBorders>
            <w:vAlign w:val="center"/>
          </w:tcPr>
          <w:p>
            <w:pPr>
              <w:jc w:val="center"/>
              <w:rPr>
                <w:rFonts w:ascii="宋体" w:hint="eastAsia"/>
              </w:rPr>
            </w:pPr>
            <w:r>
              <w:rPr>
                <w:rFonts w:ascii="宋体" w:hint="eastAsia"/>
              </w:rPr>
              <w:t xml:space="preserve">4.187 </w:t>
            </w:r>
          </w:p>
        </w:tc>
        <w:tc>
          <w:tcPr>
            <w:tcW w:w="294" w:type="pct"/>
            <w:tcBorders>
              <w:left w:val="nil"/>
              <w:right w:val="nil"/>
            </w:tcBorders>
            <w:vAlign w:val="center"/>
          </w:tcPr>
          <w:p>
            <w:pPr>
              <w:jc w:val="center"/>
              <w:rPr>
                <w:rFonts w:ascii="宋体" w:hint="eastAsia"/>
              </w:rPr>
            </w:pPr>
            <w:r>
              <w:rPr>
                <w:rFonts w:ascii="宋体" w:hint="eastAsia"/>
              </w:rPr>
              <w:t xml:space="preserve">0.855 </w:t>
            </w:r>
          </w:p>
        </w:tc>
        <w:tc>
          <w:tcPr>
            <w:tcW w:w="293" w:type="pct"/>
            <w:tcBorders>
              <w:left w:val="nil"/>
              <w:right w:val="nil"/>
            </w:tcBorders>
            <w:vAlign w:val="center"/>
          </w:tcPr>
          <w:p>
            <w:pPr>
              <w:jc w:val="center"/>
              <w:rPr>
                <w:rFonts w:ascii="宋体" w:hint="eastAsia"/>
              </w:rPr>
            </w:pPr>
            <w:r>
              <w:rPr>
                <w:rFonts w:ascii="宋体" w:hint="eastAsia"/>
              </w:rPr>
              <w:t xml:space="preserve">1.979 </w:t>
            </w:r>
          </w:p>
        </w:tc>
        <w:tc>
          <w:tcPr>
            <w:tcW w:w="294" w:type="pct"/>
            <w:tcBorders>
              <w:left w:val="nil"/>
              <w:right w:val="nil"/>
            </w:tcBorders>
            <w:vAlign w:val="center"/>
          </w:tcPr>
          <w:p>
            <w:pPr>
              <w:jc w:val="center"/>
              <w:rPr>
                <w:rFonts w:ascii="宋体" w:hint="eastAsia"/>
              </w:rPr>
            </w:pPr>
            <w:r>
              <w:rPr>
                <w:rFonts w:ascii="宋体" w:hint="eastAsia"/>
              </w:rPr>
              <w:t xml:space="preserve">0.406 </w:t>
            </w:r>
          </w:p>
        </w:tc>
        <w:tc>
          <w:tcPr>
            <w:tcW w:w="294" w:type="pct"/>
            <w:tcBorders>
              <w:left w:val="nil"/>
              <w:right w:val="nil"/>
            </w:tcBorders>
            <w:vAlign w:val="center"/>
          </w:tcPr>
          <w:p>
            <w:pPr>
              <w:jc w:val="center"/>
              <w:rPr>
                <w:rFonts w:ascii="宋体" w:hint="eastAsia"/>
              </w:rPr>
            </w:pPr>
            <w:r>
              <w:rPr>
                <w:rFonts w:ascii="宋体" w:hint="eastAsia"/>
              </w:rPr>
              <w:t xml:space="preserve">1.687 </w:t>
            </w:r>
          </w:p>
        </w:tc>
        <w:tc>
          <w:tcPr>
            <w:tcW w:w="293" w:type="pct"/>
            <w:tcBorders>
              <w:left w:val="nil"/>
              <w:right w:val="nil"/>
            </w:tcBorders>
            <w:vAlign w:val="center"/>
          </w:tcPr>
          <w:p>
            <w:pPr>
              <w:jc w:val="center"/>
              <w:rPr>
                <w:rFonts w:ascii="宋体" w:hint="eastAsia"/>
              </w:rPr>
            </w:pPr>
            <w:r>
              <w:rPr>
                <w:rFonts w:ascii="宋体" w:hint="eastAsia"/>
              </w:rPr>
              <w:t xml:space="preserve">0.355 </w:t>
            </w:r>
          </w:p>
        </w:tc>
      </w:tr>
      <w:tr>
        <w:trPr>
          <w:trHeight w:val="272"/>
        </w:trPr>
        <w:tc>
          <w:tcPr>
            <w:tcW w:w="271" w:type="pct"/>
            <w:vMerge/>
            <w:tcBorders>
              <w:right w:val="single" w:sz="6" w:space="0" w:color="auto"/>
            </w:tcBorders>
            <w:vAlign w:val="center"/>
          </w:tcPr>
          <w:p/>
        </w:tc>
        <w:tc>
          <w:tcPr>
            <w:tcW w:w="324" w:type="pct"/>
            <w:tcBorders>
              <w:left w:val="single" w:sz="6" w:space="0" w:color="auto"/>
            </w:tcBorders>
          </w:tcPr>
          <w:p>
            <w:pPr>
              <w:rPr>
                <w:rFonts w:hint="eastAsia"/>
              </w:rPr>
            </w:pPr>
            <w:r>
              <w:rPr>
                <w:rFonts w:hint="eastAsia"/>
              </w:rPr>
              <w:t>回收率</w:t>
            </w:r>
          </w:p>
        </w:tc>
        <w:tc>
          <w:tcPr>
            <w:tcW w:w="293" w:type="pct"/>
            <w:tcBorders>
              <w:left w:val="nil"/>
              <w:right w:val="nil"/>
            </w:tcBorders>
            <w:vAlign w:val="center"/>
          </w:tcPr>
          <w:p>
            <w:pPr>
              <w:jc w:val="center"/>
              <w:rPr>
                <w:rFonts w:ascii="宋体"/>
              </w:rPr>
            </w:pPr>
            <w:r>
              <w:rPr>
                <w:rFonts w:ascii="宋体" w:hint="eastAsia"/>
              </w:rPr>
              <w:t xml:space="preserve">100.62 </w:t>
            </w:r>
          </w:p>
        </w:tc>
        <w:tc>
          <w:tcPr>
            <w:tcW w:w="294" w:type="pct"/>
            <w:tcBorders>
              <w:left w:val="nil"/>
              <w:right w:val="nil"/>
            </w:tcBorders>
            <w:vAlign w:val="center"/>
          </w:tcPr>
          <w:p>
            <w:pPr>
              <w:jc w:val="center"/>
              <w:rPr>
                <w:rFonts w:ascii="宋体" w:hint="eastAsia"/>
              </w:rPr>
            </w:pPr>
            <w:r>
              <w:rPr>
                <w:rFonts w:ascii="宋体" w:hint="eastAsia"/>
              </w:rPr>
              <w:t xml:space="preserve">100.41 </w:t>
            </w:r>
          </w:p>
        </w:tc>
        <w:tc>
          <w:tcPr>
            <w:tcW w:w="294" w:type="pct"/>
            <w:tcBorders>
              <w:left w:val="nil"/>
              <w:right w:val="nil"/>
            </w:tcBorders>
            <w:vAlign w:val="center"/>
          </w:tcPr>
          <w:p>
            <w:pPr>
              <w:jc w:val="center"/>
              <w:rPr>
                <w:rFonts w:ascii="宋体" w:hint="eastAsia"/>
              </w:rPr>
            </w:pPr>
            <w:r>
              <w:rPr>
                <w:rFonts w:ascii="宋体" w:hint="eastAsia"/>
              </w:rPr>
              <w:t xml:space="preserve">98.72 </w:t>
            </w:r>
          </w:p>
        </w:tc>
        <w:tc>
          <w:tcPr>
            <w:tcW w:w="293" w:type="pct"/>
            <w:tcBorders>
              <w:left w:val="nil"/>
              <w:right w:val="nil"/>
            </w:tcBorders>
            <w:vAlign w:val="center"/>
          </w:tcPr>
          <w:p>
            <w:pPr>
              <w:jc w:val="center"/>
              <w:rPr>
                <w:rFonts w:ascii="宋体" w:hint="eastAsia"/>
              </w:rPr>
            </w:pPr>
            <w:r>
              <w:rPr>
                <w:rFonts w:ascii="宋体" w:hint="eastAsia"/>
              </w:rPr>
              <w:t xml:space="preserve">102.18 </w:t>
            </w:r>
          </w:p>
        </w:tc>
        <w:tc>
          <w:tcPr>
            <w:tcW w:w="294" w:type="pct"/>
            <w:tcBorders>
              <w:left w:val="nil"/>
              <w:right w:val="nil"/>
            </w:tcBorders>
            <w:vAlign w:val="center"/>
          </w:tcPr>
          <w:p>
            <w:pPr>
              <w:jc w:val="center"/>
              <w:rPr>
                <w:rFonts w:ascii="宋体" w:hint="eastAsia"/>
              </w:rPr>
            </w:pPr>
            <w:r>
              <w:rPr>
                <w:rFonts w:ascii="宋体" w:hint="eastAsia"/>
              </w:rPr>
              <w:t xml:space="preserve">100.13 </w:t>
            </w:r>
          </w:p>
        </w:tc>
        <w:tc>
          <w:tcPr>
            <w:tcW w:w="294" w:type="pct"/>
            <w:tcBorders>
              <w:left w:val="nil"/>
              <w:right w:val="nil"/>
            </w:tcBorders>
            <w:vAlign w:val="center"/>
          </w:tcPr>
          <w:p>
            <w:pPr>
              <w:jc w:val="center"/>
              <w:rPr>
                <w:rFonts w:ascii="宋体" w:hint="eastAsia"/>
              </w:rPr>
            </w:pPr>
            <w:r>
              <w:rPr>
                <w:rFonts w:ascii="宋体" w:hint="eastAsia"/>
              </w:rPr>
              <w:t xml:space="preserve">101.06 </w:t>
            </w:r>
          </w:p>
        </w:tc>
        <w:tc>
          <w:tcPr>
            <w:tcW w:w="294" w:type="pct"/>
            <w:tcBorders>
              <w:left w:val="nil"/>
              <w:right w:val="nil"/>
            </w:tcBorders>
            <w:vAlign w:val="center"/>
          </w:tcPr>
          <w:p>
            <w:pPr>
              <w:jc w:val="center"/>
              <w:rPr>
                <w:rFonts w:ascii="宋体" w:hint="eastAsia"/>
              </w:rPr>
            </w:pPr>
            <w:r>
              <w:rPr>
                <w:rFonts w:ascii="宋体" w:hint="eastAsia"/>
              </w:rPr>
              <w:t xml:space="preserve">99.17 </w:t>
            </w:r>
          </w:p>
        </w:tc>
        <w:tc>
          <w:tcPr>
            <w:tcW w:w="293" w:type="pct"/>
            <w:tcBorders>
              <w:left w:val="nil"/>
              <w:right w:val="nil"/>
            </w:tcBorders>
            <w:vAlign w:val="center"/>
          </w:tcPr>
          <w:p>
            <w:pPr>
              <w:jc w:val="center"/>
              <w:rPr>
                <w:rFonts w:ascii="宋体" w:hint="eastAsia"/>
              </w:rPr>
            </w:pPr>
            <w:r>
              <w:rPr>
                <w:rFonts w:ascii="宋体" w:hint="eastAsia"/>
              </w:rPr>
              <w:t xml:space="preserve">96.59 </w:t>
            </w:r>
          </w:p>
        </w:tc>
        <w:tc>
          <w:tcPr>
            <w:tcW w:w="294" w:type="pct"/>
            <w:tcBorders>
              <w:left w:val="nil"/>
              <w:right w:val="nil"/>
            </w:tcBorders>
            <w:vAlign w:val="center"/>
          </w:tcPr>
          <w:p>
            <w:pPr>
              <w:jc w:val="center"/>
              <w:rPr>
                <w:rFonts w:ascii="宋体" w:hint="eastAsia"/>
              </w:rPr>
            </w:pPr>
            <w:r>
              <w:rPr>
                <w:rFonts w:ascii="宋体" w:hint="eastAsia"/>
              </w:rPr>
              <w:t xml:space="preserve">100.42 </w:t>
            </w:r>
          </w:p>
        </w:tc>
        <w:tc>
          <w:tcPr>
            <w:tcW w:w="294" w:type="pct"/>
            <w:tcBorders>
              <w:left w:val="nil"/>
              <w:right w:val="nil"/>
            </w:tcBorders>
            <w:vAlign w:val="center"/>
          </w:tcPr>
          <w:p>
            <w:pPr>
              <w:jc w:val="center"/>
              <w:rPr>
                <w:rFonts w:ascii="宋体" w:hint="eastAsia"/>
              </w:rPr>
            </w:pPr>
            <w:r>
              <w:rPr>
                <w:rFonts w:ascii="宋体" w:hint="eastAsia"/>
              </w:rPr>
              <w:t xml:space="preserve">100.20 </w:t>
            </w:r>
          </w:p>
        </w:tc>
        <w:tc>
          <w:tcPr>
            <w:tcW w:w="294" w:type="pct"/>
            <w:tcBorders>
              <w:left w:val="nil"/>
              <w:right w:val="nil"/>
            </w:tcBorders>
            <w:vAlign w:val="center"/>
          </w:tcPr>
          <w:p>
            <w:pPr>
              <w:jc w:val="center"/>
              <w:rPr>
                <w:rFonts w:ascii="宋体" w:hint="eastAsia"/>
              </w:rPr>
            </w:pPr>
            <w:r>
              <w:rPr>
                <w:rFonts w:ascii="宋体" w:hint="eastAsia"/>
              </w:rPr>
              <w:t xml:space="preserve">99.38 </w:t>
            </w:r>
          </w:p>
        </w:tc>
        <w:tc>
          <w:tcPr>
            <w:tcW w:w="293" w:type="pct"/>
            <w:tcBorders>
              <w:left w:val="nil"/>
              <w:right w:val="nil"/>
            </w:tcBorders>
            <w:vAlign w:val="center"/>
          </w:tcPr>
          <w:p>
            <w:pPr>
              <w:jc w:val="center"/>
              <w:rPr>
                <w:rFonts w:ascii="宋体" w:hint="eastAsia"/>
              </w:rPr>
            </w:pPr>
            <w:r>
              <w:rPr>
                <w:rFonts w:ascii="宋体" w:hint="eastAsia"/>
              </w:rPr>
              <w:t xml:space="preserve">98.42 </w:t>
            </w:r>
          </w:p>
        </w:tc>
        <w:tc>
          <w:tcPr>
            <w:tcW w:w="294" w:type="pct"/>
            <w:tcBorders>
              <w:left w:val="nil"/>
              <w:right w:val="nil"/>
            </w:tcBorders>
            <w:vAlign w:val="center"/>
          </w:tcPr>
          <w:p>
            <w:pPr>
              <w:jc w:val="center"/>
              <w:rPr>
                <w:rFonts w:ascii="宋体" w:hint="eastAsia"/>
              </w:rPr>
            </w:pPr>
            <w:r>
              <w:rPr>
                <w:rFonts w:ascii="宋体" w:hint="eastAsia"/>
              </w:rPr>
              <w:t xml:space="preserve">102.81 </w:t>
            </w:r>
          </w:p>
        </w:tc>
        <w:tc>
          <w:tcPr>
            <w:tcW w:w="294" w:type="pct"/>
            <w:tcBorders>
              <w:left w:val="nil"/>
              <w:right w:val="nil"/>
            </w:tcBorders>
            <w:vAlign w:val="center"/>
          </w:tcPr>
          <w:p>
            <w:pPr>
              <w:jc w:val="center"/>
              <w:rPr>
                <w:rFonts w:ascii="宋体" w:hint="eastAsia"/>
              </w:rPr>
            </w:pPr>
            <w:r>
              <w:rPr>
                <w:rFonts w:ascii="宋体" w:hint="eastAsia"/>
              </w:rPr>
              <w:t xml:space="preserve">100.63 </w:t>
            </w:r>
          </w:p>
        </w:tc>
        <w:tc>
          <w:tcPr>
            <w:tcW w:w="293" w:type="pct"/>
            <w:tcBorders>
              <w:left w:val="nil"/>
              <w:right w:val="nil"/>
            </w:tcBorders>
            <w:vAlign w:val="center"/>
          </w:tcPr>
          <w:p>
            <w:pPr>
              <w:jc w:val="center"/>
              <w:rPr>
                <w:rFonts w:ascii="宋体" w:hint="eastAsia"/>
              </w:rPr>
            </w:pPr>
            <w:r>
              <w:rPr>
                <w:rFonts w:ascii="宋体" w:hint="eastAsia"/>
              </w:rPr>
              <w:t xml:space="preserve">99.11 </w:t>
            </w:r>
          </w:p>
        </w:tc>
      </w:tr>
    </w:tbl>
    <w:p>
      <w:pPr>
        <w:spacing w:beforeLines="50" w:before="156"/>
        <w:jc w:val="center"/>
        <w:rPr>
          <w:rFonts w:ascii="宋体" w:cs="宋体"/>
          <w:bCs/>
          <w:szCs w:val="21"/>
        </w:rPr>
      </w:pPr>
      <w:r>
        <w:rPr>
          <w:rFonts w:ascii="宋体" w:cs="宋体" w:hint="eastAsia"/>
          <w:bCs/>
          <w:szCs w:val="21"/>
        </w:rPr>
        <w:t xml:space="preserve">                                                       表</w:t>
      </w:r>
      <w:r>
        <w:rPr>
          <w:rFonts w:ascii="宋体" w:cs="宋体"/>
          <w:bCs/>
          <w:szCs w:val="21"/>
        </w:rPr>
        <w:t>11</w:t>
      </w:r>
      <w:r>
        <w:rPr>
          <w:rFonts w:eastAsia="黑体"/>
          <w:color w:val="FF0000"/>
        </w:rPr>
        <w:t>　</w:t>
      </w:r>
      <w:r>
        <w:rPr>
          <w:rFonts w:ascii="宋体" w:cs="宋体" w:hint="eastAsia"/>
          <w:bCs/>
          <w:szCs w:val="21"/>
        </w:rPr>
        <w:t>方法</w:t>
      </w:r>
      <w:r>
        <w:rPr>
          <w:rFonts w:ascii="宋体" w:cs="宋体"/>
          <w:bCs/>
          <w:szCs w:val="21"/>
        </w:rPr>
        <w:t>比对</w:t>
      </w:r>
      <w:r>
        <w:rPr>
          <w:rFonts w:ascii="宋体" w:cs="宋体" w:hint="eastAsia"/>
          <w:bCs/>
          <w:szCs w:val="21"/>
        </w:rPr>
        <w:t>试验</w:t>
      </w:r>
      <w:r>
        <w:rPr>
          <w:rFonts w:ascii="宋体" w:cs="宋体" w:hint="eastAsia"/>
          <w:szCs w:val="21"/>
        </w:rPr>
        <w:t xml:space="preserve">          </w:t>
      </w:r>
      <w:r>
        <w:rPr>
          <w:rFonts w:ascii="宋体" w:cs="宋体"/>
          <w:szCs w:val="21"/>
        </w:rPr>
        <w:t xml:space="preserve">        </w:t>
      </w:r>
      <w:r>
        <w:rPr>
          <w:rFonts w:ascii="宋体" w:cs="宋体" w:hint="eastAsia"/>
          <w:szCs w:val="21"/>
        </w:rPr>
        <w:t xml:space="preserve">                  </w:t>
      </w:r>
      <w:r>
        <w:rPr>
          <w:rFonts w:ascii="宋体" w:cs="宋体"/>
          <w:szCs w:val="21"/>
        </w:rPr>
        <w:t xml:space="preserve">  </w:t>
      </w:r>
      <w:r>
        <w:rPr>
          <w:rFonts w:ascii="宋体" w:cs="宋体" w:hint="eastAsia"/>
          <w:szCs w:val="21"/>
        </w:rPr>
        <w:t xml:space="preserve">                 </w:t>
      </w:r>
      <w:r>
        <w:rPr>
          <w:rFonts w:ascii="宋体" w:cs="宋体"/>
          <w:szCs w:val="21"/>
        </w:rPr>
        <w:t>%</w:t>
      </w:r>
    </w:p>
    <w:tbl>
      <w:tblPr>
        <w:jc w:val="left"/>
        <w:tblW w:w="5000" w:type="pct"/>
        <w:tblBorders>
          <w:top w:val="single" w:sz="12" w:space="0" w:color="auto"/>
          <w:left w:val="none" w:sz="0" w:space="0" w:color="auto"/>
          <w:bottom w:val="single" w:sz="12" w:space="0" w:color="auto"/>
          <w:right w:val="none" w:sz="0" w:space="0" w:color="auto"/>
          <w:insideH w:val="single" w:sz="6" w:space="0" w:color="auto"/>
        </w:tblBorders>
        <w:tblCellMar>
          <w:top w:w="0" w:type="dxa"/>
          <w:left w:w="30" w:type="dxa"/>
          <w:bottom w:w="0" w:type="dxa"/>
          <w:right w:w="30" w:type="dxa"/>
        </w:tblCellMar>
      </w:tblPr>
      <w:tblGrid>
        <w:gridCol w:w="930"/>
        <w:gridCol w:w="982"/>
        <w:gridCol w:w="739"/>
        <w:gridCol w:w="846"/>
        <w:gridCol w:w="846"/>
        <w:gridCol w:w="846"/>
        <w:gridCol w:w="846"/>
        <w:gridCol w:w="846"/>
        <w:gridCol w:w="846"/>
        <w:gridCol w:w="843"/>
        <w:gridCol w:w="846"/>
        <w:gridCol w:w="846"/>
        <w:gridCol w:w="846"/>
        <w:gridCol w:w="843"/>
        <w:gridCol w:w="846"/>
        <w:gridCol w:w="846"/>
        <w:gridCol w:w="834"/>
      </w:tblGrid>
      <w:tr>
        <w:trPr>
          <w:trHeight w:val="288"/>
        </w:trPr>
        <w:tc>
          <w:tcPr>
            <w:tcW w:w="321" w:type="pct"/>
            <w:tcBorders>
              <w:left w:val="nil"/>
            </w:tcBorders>
            <w:vAlign w:val="center"/>
          </w:tcPr>
          <w:p>
            <w:pPr>
              <w:widowControl/>
              <w:jc w:val="center"/>
              <w:rPr>
                <w:rFonts w:ascii="宋体" w:cs="宋体" w:hint="eastAsia"/>
                <w:kern w:val="0"/>
                <w:szCs w:val="21"/>
              </w:rPr>
            </w:pPr>
            <w:r>
              <w:rPr>
                <w:rFonts w:ascii="宋体" w:cs="宋体" w:hint="eastAsia"/>
                <w:kern w:val="0"/>
                <w:szCs w:val="21"/>
              </w:rPr>
              <w:t>方法</w:t>
            </w:r>
          </w:p>
        </w:tc>
        <w:tc>
          <w:tcPr>
            <w:tcW w:w="339"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样品</w:t>
            </w:r>
          </w:p>
        </w:tc>
        <w:tc>
          <w:tcPr>
            <w:tcW w:w="255"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La</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CeO</w:t>
            </w:r>
            <w:r>
              <w:rPr>
                <w:rFonts w:ascii="宋体" w:cs="宋体" w:hint="eastAsia"/>
                <w:kern w:val="0"/>
                <w:sz w:val="18"/>
                <w:szCs w:val="18"/>
                <w:vertAlign w:val="subscript"/>
              </w:rPr>
              <w:t>2</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Pr</w:t>
            </w:r>
            <w:r>
              <w:rPr>
                <w:rFonts w:ascii="宋体" w:cs="宋体" w:hint="eastAsia"/>
                <w:kern w:val="0"/>
                <w:sz w:val="18"/>
                <w:szCs w:val="18"/>
                <w:vertAlign w:val="subscript"/>
              </w:rPr>
              <w:t>6</w:t>
            </w:r>
            <w:r>
              <w:rPr>
                <w:rFonts w:ascii="宋体" w:cs="宋体" w:hint="eastAsia"/>
                <w:kern w:val="0"/>
                <w:sz w:val="18"/>
                <w:szCs w:val="18"/>
              </w:rPr>
              <w:t>O</w:t>
            </w:r>
            <w:r>
              <w:rPr>
                <w:rFonts w:ascii="宋体" w:cs="宋体" w:hint="eastAsia"/>
                <w:kern w:val="0"/>
                <w:sz w:val="18"/>
                <w:szCs w:val="18"/>
                <w:vertAlign w:val="subscript"/>
              </w:rPr>
              <w:t>11</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Nd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Sm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Gd</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Tb</w:t>
            </w:r>
            <w:r>
              <w:rPr>
                <w:rFonts w:ascii="宋体" w:cs="宋体" w:hint="eastAsia"/>
                <w:kern w:val="0"/>
                <w:sz w:val="18"/>
                <w:szCs w:val="18"/>
                <w:vertAlign w:val="subscript"/>
              </w:rPr>
              <w:t>4</w:t>
            </w:r>
            <w:r>
              <w:rPr>
                <w:rFonts w:ascii="宋体" w:cs="宋体" w:hint="eastAsia"/>
                <w:kern w:val="0"/>
                <w:sz w:val="18"/>
                <w:szCs w:val="18"/>
              </w:rPr>
              <w:t>O</w:t>
            </w:r>
            <w:r>
              <w:rPr>
                <w:rFonts w:ascii="宋体" w:cs="宋体" w:hint="eastAsia"/>
                <w:kern w:val="0"/>
                <w:sz w:val="18"/>
                <w:szCs w:val="18"/>
                <w:vertAlign w:val="subscript"/>
              </w:rPr>
              <w:t>7</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Dy</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Ho</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1"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Er</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Tm</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92"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Yb</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c>
          <w:tcPr>
            <w:tcW w:w="288" w:type="pct"/>
            <w:tcBorders>
              <w:left w:val="nil"/>
              <w:right w:val="nil"/>
            </w:tcBorders>
          </w:tcPr>
          <w:p>
            <w:pPr>
              <w:widowControl/>
              <w:jc w:val="center"/>
              <w:rPr>
                <w:rFonts w:ascii="宋体" w:cs="宋体" w:hint="eastAsia"/>
                <w:kern w:val="0"/>
                <w:sz w:val="18"/>
                <w:szCs w:val="18"/>
              </w:rPr>
            </w:pPr>
            <w:r>
              <w:rPr>
                <w:rFonts w:ascii="宋体" w:cs="宋体" w:hint="eastAsia"/>
                <w:kern w:val="0"/>
                <w:sz w:val="18"/>
                <w:szCs w:val="18"/>
              </w:rPr>
              <w:t>Lu</w:t>
            </w:r>
            <w:r>
              <w:rPr>
                <w:rFonts w:ascii="宋体" w:cs="宋体" w:hint="eastAsia"/>
                <w:kern w:val="0"/>
                <w:sz w:val="18"/>
                <w:szCs w:val="18"/>
                <w:vertAlign w:val="subscript"/>
              </w:rPr>
              <w:t>2</w:t>
            </w:r>
            <w:r>
              <w:rPr>
                <w:rFonts w:ascii="宋体" w:cs="宋体" w:hint="eastAsia"/>
                <w:kern w:val="0"/>
                <w:sz w:val="18"/>
                <w:szCs w:val="18"/>
              </w:rPr>
              <w:t>O</w:t>
            </w:r>
            <w:r>
              <w:rPr>
                <w:rFonts w:ascii="宋体" w:cs="宋体" w:hint="eastAsia"/>
                <w:kern w:val="0"/>
                <w:sz w:val="18"/>
                <w:szCs w:val="18"/>
                <w:vertAlign w:val="subscript"/>
              </w:rPr>
              <w:t>3</w:t>
            </w:r>
            <w:r>
              <w:rPr>
                <w:rFonts w:ascii="宋体" w:cs="宋体" w:hint="eastAsia"/>
                <w:kern w:val="0"/>
                <w:sz w:val="18"/>
                <w:szCs w:val="18"/>
              </w:rPr>
              <w:t>/REO</w:t>
            </w:r>
          </w:p>
        </w:tc>
      </w:tr>
      <w:tr>
        <w:trPr>
          <w:trHeight w:val="227"/>
        </w:trPr>
        <w:tc>
          <w:tcPr>
            <w:tcW w:w="321" w:type="pct"/>
            <w:tcBorders>
              <w:left w:val="nil"/>
            </w:tcBorders>
          </w:tcPr>
          <w:p>
            <w:pPr>
              <w:widowControl/>
              <w:jc w:val="center"/>
              <w:rPr>
                <w:rFonts w:ascii="宋体" w:cs="宋体" w:hint="eastAsia"/>
                <w:color w:val="000000"/>
                <w:kern w:val="0"/>
                <w:sz w:val="22"/>
                <w:szCs w:val="22"/>
              </w:rPr>
            </w:pPr>
            <w:r>
              <w:rPr>
                <w:rFonts w:ascii="宋体" w:cs="宋体"/>
                <w:color w:val="000000"/>
                <w:kern w:val="0"/>
                <w:sz w:val="22"/>
                <w:szCs w:val="22"/>
              </w:rPr>
              <w:t>X-</w:t>
            </w:r>
            <w:r>
              <w:rPr>
                <w:rFonts w:ascii="宋体" w:cs="宋体" w:hint="eastAsia"/>
                <w:color w:val="000000"/>
                <w:kern w:val="0"/>
                <w:sz w:val="22"/>
                <w:szCs w:val="22"/>
              </w:rPr>
              <w:t>荧光</w:t>
            </w:r>
          </w:p>
        </w:tc>
        <w:tc>
          <w:tcPr>
            <w:tcW w:w="339" w:type="pct"/>
            <w:tcBorders>
              <w:left w:val="nil"/>
              <w:right w:val="nil"/>
            </w:tcBorders>
          </w:tcPr>
          <w:p>
            <w:pPr>
              <w:widowControl/>
              <w:jc w:val="center"/>
              <w:textAlignment w:val="center"/>
              <w:rPr>
                <w:rFonts w:ascii="宋体" w:cs="宋体" w:hint="eastAsia"/>
                <w:color w:val="000000"/>
                <w:kern w:val="0"/>
                <w:sz w:val="22"/>
                <w:szCs w:val="22"/>
              </w:rPr>
            </w:pPr>
            <w:r>
              <w:rPr>
                <w:rFonts w:ascii="宋体" w:cs="宋体" w:hint="eastAsia"/>
                <w:color w:val="000000"/>
                <w:kern w:val="0"/>
                <w:sz w:val="22"/>
                <w:szCs w:val="22"/>
              </w:rPr>
              <w:t>1</w:t>
            </w:r>
            <w:r>
              <w:rPr>
                <w:rFonts w:ascii="宋体" w:cs="宋体"/>
                <w:color w:val="000000"/>
                <w:kern w:val="0"/>
                <w:sz w:val="22"/>
                <w:szCs w:val="22"/>
              </w:rPr>
              <w:t>#</w:t>
            </w:r>
          </w:p>
        </w:tc>
        <w:tc>
          <w:tcPr>
            <w:tcW w:w="255"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43.118</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9.720</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2.956</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3.198</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12.852</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4.634</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0.164</w:t>
            </w:r>
          </w:p>
        </w:tc>
        <w:tc>
          <w:tcPr>
            <w:tcW w:w="291"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5.892</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1.047</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6.448</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1.340</w:t>
            </w:r>
          </w:p>
        </w:tc>
        <w:tc>
          <w:tcPr>
            <w:tcW w:w="291"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3.762</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0.584</w:t>
            </w:r>
          </w:p>
        </w:tc>
        <w:tc>
          <w:tcPr>
            <w:tcW w:w="292"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3.713</w:t>
            </w:r>
          </w:p>
        </w:tc>
        <w:tc>
          <w:tcPr>
            <w:tcW w:w="288" w:type="pct"/>
            <w:tcBorders>
              <w:left w:val="nil"/>
              <w:right w:val="nil"/>
            </w:tcBorders>
          </w:tcPr>
          <w:p>
            <w:pPr>
              <w:widowControl/>
              <w:jc w:val="center"/>
              <w:textAlignment w:val="center"/>
              <w:rPr>
                <w:rFonts w:ascii="宋体" w:cs="宋体"/>
                <w:color w:val="000000"/>
                <w:kern w:val="0"/>
                <w:szCs w:val="21"/>
              </w:rPr>
            </w:pPr>
            <w:r>
              <w:rPr>
                <w:rFonts w:ascii="宋体" w:cs="宋体"/>
                <w:color w:val="000000"/>
                <w:kern w:val="0"/>
                <w:szCs w:val="21"/>
              </w:rPr>
              <w:t>0.570</w:t>
            </w:r>
          </w:p>
        </w:tc>
      </w:tr>
      <w:tr>
        <w:trPr>
          <w:trHeight w:val="227"/>
        </w:trPr>
        <w:tc>
          <w:tcPr>
            <w:tcW w:w="321" w:type="pct"/>
            <w:tcBorders>
              <w:left w:val="nil"/>
            </w:tcBorders>
          </w:tcPr>
          <w:p>
            <w:pPr>
              <w:widowControl/>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hint="eastAsia"/>
                <w:color w:val="000000"/>
                <w:kern w:val="0"/>
                <w:sz w:val="22"/>
                <w:szCs w:val="22"/>
              </w:rPr>
            </w:pPr>
            <w:r>
              <w:rPr>
                <w:rFonts w:ascii="宋体" w:cs="宋体" w:hint="eastAsia"/>
                <w:color w:val="000000"/>
                <w:kern w:val="0"/>
                <w:sz w:val="22"/>
                <w:szCs w:val="22"/>
              </w:rPr>
              <w:t>1</w:t>
            </w:r>
            <w:r>
              <w:rPr>
                <w:rFonts w:ascii="宋体" w:cs="宋体"/>
                <w:color w:val="000000"/>
                <w:kern w:val="0"/>
                <w:sz w:val="22"/>
                <w:szCs w:val="22"/>
              </w:rPr>
              <w:t>#</w:t>
            </w:r>
          </w:p>
        </w:tc>
        <w:tc>
          <w:tcPr>
            <w:tcW w:w="255" w:type="pct"/>
            <w:tcBorders>
              <w:left w:val="nil"/>
              <w:right w:val="nil"/>
            </w:tcBorders>
          </w:tcPr>
          <w:p>
            <w:pPr>
              <w:jc w:val="center"/>
              <w:rPr>
                <w:rFonts w:ascii="宋体"/>
                <w:szCs w:val="21"/>
              </w:rPr>
            </w:pPr>
            <w:r>
              <w:rPr>
                <w:rFonts w:ascii="宋体"/>
                <w:szCs w:val="21"/>
              </w:rPr>
              <w:t xml:space="preserve">42.896 </w:t>
            </w:r>
          </w:p>
        </w:tc>
        <w:tc>
          <w:tcPr>
            <w:tcW w:w="292" w:type="pct"/>
            <w:tcBorders>
              <w:left w:val="nil"/>
              <w:right w:val="nil"/>
            </w:tcBorders>
          </w:tcPr>
          <w:p>
            <w:pPr>
              <w:jc w:val="center"/>
              <w:rPr>
                <w:rFonts w:ascii="宋体"/>
                <w:szCs w:val="21"/>
              </w:rPr>
            </w:pPr>
            <w:r>
              <w:rPr>
                <w:rFonts w:ascii="宋体"/>
                <w:szCs w:val="21"/>
              </w:rPr>
              <w:t>9.973</w:t>
            </w:r>
          </w:p>
        </w:tc>
        <w:tc>
          <w:tcPr>
            <w:tcW w:w="292" w:type="pct"/>
            <w:tcBorders>
              <w:left w:val="nil"/>
              <w:right w:val="nil"/>
            </w:tcBorders>
          </w:tcPr>
          <w:p>
            <w:pPr>
              <w:jc w:val="center"/>
              <w:rPr>
                <w:rFonts w:ascii="宋体"/>
                <w:szCs w:val="21"/>
              </w:rPr>
            </w:pPr>
            <w:r>
              <w:rPr>
                <w:rFonts w:ascii="宋体"/>
                <w:szCs w:val="21"/>
              </w:rPr>
              <w:t>3.056</w:t>
            </w:r>
          </w:p>
        </w:tc>
        <w:tc>
          <w:tcPr>
            <w:tcW w:w="292" w:type="pct"/>
            <w:tcBorders>
              <w:left w:val="nil"/>
              <w:right w:val="nil"/>
            </w:tcBorders>
          </w:tcPr>
          <w:p>
            <w:pPr>
              <w:jc w:val="center"/>
              <w:rPr>
                <w:rFonts w:ascii="宋体"/>
                <w:szCs w:val="21"/>
              </w:rPr>
            </w:pPr>
            <w:r>
              <w:rPr>
                <w:rFonts w:ascii="宋体"/>
                <w:szCs w:val="21"/>
              </w:rPr>
              <w:t>3.270</w:t>
            </w:r>
          </w:p>
        </w:tc>
        <w:tc>
          <w:tcPr>
            <w:tcW w:w="292" w:type="pct"/>
            <w:tcBorders>
              <w:left w:val="nil"/>
              <w:right w:val="nil"/>
            </w:tcBorders>
          </w:tcPr>
          <w:p>
            <w:pPr>
              <w:jc w:val="center"/>
              <w:rPr>
                <w:rFonts w:ascii="宋体"/>
                <w:szCs w:val="21"/>
              </w:rPr>
            </w:pPr>
            <w:r>
              <w:rPr>
                <w:rFonts w:ascii="宋体"/>
                <w:szCs w:val="21"/>
              </w:rPr>
              <w:t>12.674</w:t>
            </w:r>
          </w:p>
        </w:tc>
        <w:tc>
          <w:tcPr>
            <w:tcW w:w="292" w:type="pct"/>
            <w:tcBorders>
              <w:left w:val="nil"/>
              <w:right w:val="nil"/>
            </w:tcBorders>
          </w:tcPr>
          <w:p>
            <w:pPr>
              <w:jc w:val="center"/>
              <w:rPr>
                <w:rFonts w:ascii="宋体"/>
                <w:szCs w:val="21"/>
              </w:rPr>
            </w:pPr>
            <w:r>
              <w:rPr>
                <w:rFonts w:ascii="宋体"/>
                <w:szCs w:val="21"/>
              </w:rPr>
              <w:t>4.512</w:t>
            </w:r>
          </w:p>
        </w:tc>
        <w:tc>
          <w:tcPr>
            <w:tcW w:w="292" w:type="pct"/>
            <w:tcBorders>
              <w:left w:val="nil"/>
              <w:right w:val="nil"/>
            </w:tcBorders>
          </w:tcPr>
          <w:p>
            <w:pPr>
              <w:jc w:val="center"/>
              <w:rPr>
                <w:rFonts w:ascii="宋体"/>
                <w:szCs w:val="21"/>
              </w:rPr>
            </w:pPr>
            <w:r>
              <w:rPr>
                <w:rFonts w:ascii="宋体"/>
                <w:szCs w:val="21"/>
              </w:rPr>
              <w:t>0.152</w:t>
            </w:r>
          </w:p>
        </w:tc>
        <w:tc>
          <w:tcPr>
            <w:tcW w:w="291" w:type="pct"/>
            <w:tcBorders>
              <w:left w:val="nil"/>
              <w:right w:val="nil"/>
            </w:tcBorders>
          </w:tcPr>
          <w:p>
            <w:pPr>
              <w:jc w:val="center"/>
              <w:rPr>
                <w:rFonts w:ascii="宋体"/>
                <w:szCs w:val="21"/>
              </w:rPr>
            </w:pPr>
            <w:r>
              <w:rPr>
                <w:rFonts w:ascii="宋体"/>
                <w:szCs w:val="21"/>
              </w:rPr>
              <w:t>5.725</w:t>
            </w:r>
          </w:p>
        </w:tc>
        <w:tc>
          <w:tcPr>
            <w:tcW w:w="292" w:type="pct"/>
            <w:tcBorders>
              <w:left w:val="nil"/>
              <w:right w:val="nil"/>
            </w:tcBorders>
          </w:tcPr>
          <w:p>
            <w:pPr>
              <w:jc w:val="center"/>
              <w:rPr>
                <w:rFonts w:ascii="宋体"/>
                <w:szCs w:val="21"/>
              </w:rPr>
            </w:pPr>
            <w:r>
              <w:rPr>
                <w:rFonts w:ascii="宋体"/>
                <w:szCs w:val="21"/>
              </w:rPr>
              <w:t>1.058</w:t>
            </w:r>
          </w:p>
        </w:tc>
        <w:tc>
          <w:tcPr>
            <w:tcW w:w="292" w:type="pct"/>
            <w:tcBorders>
              <w:left w:val="nil"/>
              <w:right w:val="nil"/>
            </w:tcBorders>
          </w:tcPr>
          <w:p>
            <w:pPr>
              <w:jc w:val="center"/>
              <w:rPr>
                <w:rFonts w:ascii="宋体"/>
                <w:szCs w:val="21"/>
              </w:rPr>
            </w:pPr>
            <w:r>
              <w:rPr>
                <w:rFonts w:ascii="宋体"/>
                <w:szCs w:val="21"/>
              </w:rPr>
              <w:t>6.556</w:t>
            </w:r>
          </w:p>
        </w:tc>
        <w:tc>
          <w:tcPr>
            <w:tcW w:w="292" w:type="pct"/>
            <w:tcBorders>
              <w:left w:val="nil"/>
              <w:right w:val="nil"/>
            </w:tcBorders>
          </w:tcPr>
          <w:p>
            <w:pPr>
              <w:jc w:val="center"/>
              <w:rPr>
                <w:rFonts w:ascii="宋体"/>
                <w:szCs w:val="21"/>
              </w:rPr>
            </w:pPr>
            <w:r>
              <w:rPr>
                <w:rFonts w:ascii="宋体"/>
                <w:szCs w:val="21"/>
              </w:rPr>
              <w:t>1.311</w:t>
            </w:r>
          </w:p>
        </w:tc>
        <w:tc>
          <w:tcPr>
            <w:tcW w:w="291" w:type="pct"/>
            <w:tcBorders>
              <w:left w:val="nil"/>
              <w:right w:val="nil"/>
            </w:tcBorders>
          </w:tcPr>
          <w:p>
            <w:pPr>
              <w:jc w:val="center"/>
              <w:rPr>
                <w:rFonts w:ascii="宋体"/>
                <w:szCs w:val="21"/>
              </w:rPr>
            </w:pPr>
            <w:r>
              <w:rPr>
                <w:rFonts w:ascii="宋体"/>
                <w:szCs w:val="21"/>
              </w:rPr>
              <w:t>3.869</w:t>
            </w:r>
          </w:p>
        </w:tc>
        <w:tc>
          <w:tcPr>
            <w:tcW w:w="292" w:type="pct"/>
            <w:tcBorders>
              <w:left w:val="nil"/>
              <w:right w:val="nil"/>
            </w:tcBorders>
          </w:tcPr>
          <w:p>
            <w:pPr>
              <w:jc w:val="center"/>
              <w:rPr>
                <w:rFonts w:ascii="宋体"/>
                <w:szCs w:val="21"/>
              </w:rPr>
            </w:pPr>
            <w:r>
              <w:rPr>
                <w:rFonts w:ascii="宋体"/>
                <w:szCs w:val="21"/>
              </w:rPr>
              <w:t>0.580</w:t>
            </w:r>
          </w:p>
        </w:tc>
        <w:tc>
          <w:tcPr>
            <w:tcW w:w="292" w:type="pct"/>
            <w:tcBorders>
              <w:left w:val="nil"/>
              <w:right w:val="nil"/>
            </w:tcBorders>
          </w:tcPr>
          <w:p>
            <w:pPr>
              <w:jc w:val="center"/>
              <w:rPr>
                <w:rFonts w:ascii="宋体"/>
                <w:szCs w:val="21"/>
              </w:rPr>
            </w:pPr>
            <w:r>
              <w:rPr>
                <w:rFonts w:ascii="宋体"/>
                <w:szCs w:val="21"/>
              </w:rPr>
              <w:t>3.831</w:t>
            </w:r>
          </w:p>
        </w:tc>
        <w:tc>
          <w:tcPr>
            <w:tcW w:w="288" w:type="pct"/>
            <w:tcBorders>
              <w:left w:val="nil"/>
              <w:right w:val="nil"/>
            </w:tcBorders>
          </w:tcPr>
          <w:p>
            <w:pPr>
              <w:jc w:val="center"/>
              <w:rPr>
                <w:rFonts w:ascii="宋体"/>
                <w:szCs w:val="21"/>
              </w:rPr>
            </w:pPr>
            <w:r>
              <w:rPr>
                <w:rFonts w:ascii="宋体"/>
                <w:szCs w:val="21"/>
              </w:rPr>
              <w:t>0.537</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jc w:val="center"/>
              <w:rPr>
                <w:rFonts w:ascii="宋体" w:cs="宋体" w:hint="eastAsia"/>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w:t>
            </w:r>
          </w:p>
        </w:tc>
        <w:tc>
          <w:tcPr>
            <w:tcW w:w="255" w:type="pct"/>
            <w:tcBorders>
              <w:left w:val="nil"/>
              <w:right w:val="nil"/>
            </w:tcBorders>
          </w:tcPr>
          <w:p>
            <w:pPr>
              <w:jc w:val="center"/>
              <w:rPr>
                <w:rFonts w:ascii="宋体" w:cs="宋体"/>
                <w:color w:val="000000"/>
                <w:kern w:val="0"/>
                <w:szCs w:val="21"/>
              </w:rPr>
            </w:pPr>
            <w:r>
              <w:rPr>
                <w:rFonts w:ascii="宋体" w:cs="宋体"/>
                <w:color w:val="000000"/>
                <w:kern w:val="0"/>
                <w:szCs w:val="21"/>
              </w:rPr>
              <w:t>33.165</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16.663</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3.036</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4.595</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17.310</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5.123</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0.227</w:t>
            </w:r>
          </w:p>
        </w:tc>
        <w:tc>
          <w:tcPr>
            <w:tcW w:w="291" w:type="pct"/>
            <w:tcBorders>
              <w:left w:val="nil"/>
              <w:right w:val="nil"/>
            </w:tcBorders>
          </w:tcPr>
          <w:p>
            <w:pPr>
              <w:jc w:val="center"/>
              <w:rPr>
                <w:rFonts w:ascii="宋体" w:cs="宋体"/>
                <w:color w:val="000000"/>
                <w:kern w:val="0"/>
                <w:szCs w:val="21"/>
              </w:rPr>
            </w:pPr>
            <w:r>
              <w:rPr>
                <w:rFonts w:ascii="宋体" w:cs="宋体"/>
                <w:color w:val="000000"/>
                <w:kern w:val="0"/>
                <w:szCs w:val="21"/>
              </w:rPr>
              <w:t>5.922</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1.006</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5.846</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1.139</w:t>
            </w:r>
          </w:p>
        </w:tc>
        <w:tc>
          <w:tcPr>
            <w:tcW w:w="291" w:type="pct"/>
            <w:tcBorders>
              <w:left w:val="nil"/>
              <w:right w:val="nil"/>
            </w:tcBorders>
          </w:tcPr>
          <w:p>
            <w:pPr>
              <w:jc w:val="center"/>
              <w:rPr>
                <w:rFonts w:ascii="宋体" w:cs="宋体"/>
                <w:color w:val="000000"/>
                <w:kern w:val="0"/>
                <w:szCs w:val="21"/>
              </w:rPr>
            </w:pPr>
            <w:r>
              <w:rPr>
                <w:rFonts w:ascii="宋体" w:cs="宋体"/>
                <w:color w:val="000000"/>
                <w:kern w:val="0"/>
                <w:szCs w:val="21"/>
              </w:rPr>
              <w:t>2.901</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0.393</w:t>
            </w:r>
          </w:p>
        </w:tc>
        <w:tc>
          <w:tcPr>
            <w:tcW w:w="292" w:type="pct"/>
            <w:tcBorders>
              <w:left w:val="nil"/>
              <w:right w:val="nil"/>
            </w:tcBorders>
          </w:tcPr>
          <w:p>
            <w:pPr>
              <w:jc w:val="center"/>
              <w:rPr>
                <w:rFonts w:ascii="宋体" w:cs="宋体"/>
                <w:color w:val="000000"/>
                <w:kern w:val="0"/>
                <w:szCs w:val="21"/>
              </w:rPr>
            </w:pPr>
            <w:r>
              <w:rPr>
                <w:rFonts w:ascii="宋体" w:cs="宋体"/>
                <w:color w:val="000000"/>
                <w:kern w:val="0"/>
                <w:szCs w:val="21"/>
              </w:rPr>
              <w:t>2.331</w:t>
            </w:r>
          </w:p>
        </w:tc>
        <w:tc>
          <w:tcPr>
            <w:tcW w:w="288" w:type="pct"/>
            <w:tcBorders>
              <w:left w:val="nil"/>
              <w:right w:val="nil"/>
            </w:tcBorders>
          </w:tcPr>
          <w:p>
            <w:pPr>
              <w:jc w:val="center"/>
              <w:rPr>
                <w:rFonts w:ascii="宋体" w:cs="宋体"/>
                <w:color w:val="000000"/>
                <w:kern w:val="0"/>
                <w:szCs w:val="21"/>
              </w:rPr>
            </w:pPr>
            <w:r>
              <w:rPr>
                <w:rFonts w:ascii="宋体" w:cs="宋体"/>
                <w:color w:val="000000"/>
                <w:kern w:val="0"/>
                <w:szCs w:val="21"/>
              </w:rPr>
              <w:t>0.342</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jc w:val="center"/>
              <w:rPr>
                <w:rFonts w:ascii="宋体" w:cs="宋体" w:hint="eastAsia"/>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w:t>
            </w:r>
          </w:p>
        </w:tc>
        <w:tc>
          <w:tcPr>
            <w:tcW w:w="255" w:type="pct"/>
            <w:tcBorders>
              <w:left w:val="nil"/>
              <w:right w:val="nil"/>
            </w:tcBorders>
            <w:vAlign w:val="center"/>
          </w:tcPr>
          <w:p>
            <w:pPr>
              <w:jc w:val="center"/>
              <w:rPr>
                <w:rFonts w:ascii="宋体" w:hint="eastAsia"/>
                <w:szCs w:val="21"/>
              </w:rPr>
            </w:pPr>
            <w:r>
              <w:rPr>
                <w:rFonts w:ascii="宋体" w:hint="eastAsia"/>
                <w:szCs w:val="21"/>
              </w:rPr>
              <w:t>32.942</w:t>
            </w:r>
          </w:p>
        </w:tc>
        <w:tc>
          <w:tcPr>
            <w:tcW w:w="292" w:type="pct"/>
            <w:tcBorders>
              <w:left w:val="nil"/>
              <w:right w:val="nil"/>
            </w:tcBorders>
            <w:vAlign w:val="center"/>
          </w:tcPr>
          <w:p>
            <w:pPr>
              <w:jc w:val="center"/>
              <w:rPr>
                <w:rFonts w:ascii="宋体" w:hint="eastAsia"/>
                <w:szCs w:val="21"/>
              </w:rPr>
            </w:pPr>
            <w:r>
              <w:rPr>
                <w:rFonts w:ascii="宋体" w:hint="eastAsia"/>
                <w:szCs w:val="21"/>
              </w:rPr>
              <w:t>16.934</w:t>
            </w:r>
          </w:p>
        </w:tc>
        <w:tc>
          <w:tcPr>
            <w:tcW w:w="292" w:type="pct"/>
            <w:tcBorders>
              <w:left w:val="nil"/>
              <w:right w:val="nil"/>
            </w:tcBorders>
            <w:vAlign w:val="center"/>
          </w:tcPr>
          <w:p>
            <w:pPr>
              <w:jc w:val="center"/>
              <w:rPr>
                <w:rFonts w:ascii="宋体" w:hint="eastAsia"/>
                <w:szCs w:val="21"/>
              </w:rPr>
            </w:pPr>
            <w:r>
              <w:rPr>
                <w:rFonts w:ascii="宋体" w:hint="eastAsia"/>
                <w:szCs w:val="21"/>
              </w:rPr>
              <w:t>3.134</w:t>
            </w:r>
          </w:p>
        </w:tc>
        <w:tc>
          <w:tcPr>
            <w:tcW w:w="292" w:type="pct"/>
            <w:tcBorders>
              <w:left w:val="nil"/>
              <w:right w:val="nil"/>
            </w:tcBorders>
            <w:vAlign w:val="center"/>
          </w:tcPr>
          <w:p>
            <w:pPr>
              <w:jc w:val="center"/>
              <w:rPr>
                <w:rFonts w:ascii="宋体" w:hint="eastAsia"/>
                <w:szCs w:val="21"/>
              </w:rPr>
            </w:pPr>
            <w:r>
              <w:rPr>
                <w:rFonts w:ascii="宋体" w:hint="eastAsia"/>
                <w:szCs w:val="21"/>
              </w:rPr>
              <w:t>4.713</w:t>
            </w:r>
          </w:p>
        </w:tc>
        <w:tc>
          <w:tcPr>
            <w:tcW w:w="292" w:type="pct"/>
            <w:tcBorders>
              <w:left w:val="nil"/>
              <w:right w:val="nil"/>
            </w:tcBorders>
            <w:vAlign w:val="center"/>
          </w:tcPr>
          <w:p>
            <w:pPr>
              <w:jc w:val="center"/>
              <w:rPr>
                <w:rFonts w:ascii="宋体" w:hint="eastAsia"/>
                <w:szCs w:val="21"/>
              </w:rPr>
            </w:pPr>
            <w:r>
              <w:rPr>
                <w:rFonts w:ascii="宋体" w:hint="eastAsia"/>
                <w:szCs w:val="21"/>
              </w:rPr>
              <w:t>17.136</w:t>
            </w:r>
          </w:p>
        </w:tc>
        <w:tc>
          <w:tcPr>
            <w:tcW w:w="292" w:type="pct"/>
            <w:tcBorders>
              <w:left w:val="nil"/>
              <w:right w:val="nil"/>
            </w:tcBorders>
            <w:vAlign w:val="center"/>
          </w:tcPr>
          <w:p>
            <w:pPr>
              <w:jc w:val="center"/>
              <w:rPr>
                <w:rFonts w:ascii="宋体" w:hint="eastAsia"/>
                <w:szCs w:val="21"/>
              </w:rPr>
            </w:pPr>
            <w:r>
              <w:rPr>
                <w:rFonts w:ascii="宋体" w:hint="eastAsia"/>
                <w:szCs w:val="21"/>
              </w:rPr>
              <w:t>5.027</w:t>
            </w:r>
          </w:p>
        </w:tc>
        <w:tc>
          <w:tcPr>
            <w:tcW w:w="292" w:type="pct"/>
            <w:tcBorders>
              <w:left w:val="nil"/>
              <w:right w:val="nil"/>
            </w:tcBorders>
            <w:vAlign w:val="center"/>
          </w:tcPr>
          <w:p>
            <w:pPr>
              <w:jc w:val="center"/>
              <w:rPr>
                <w:rFonts w:ascii="宋体" w:hint="eastAsia"/>
                <w:szCs w:val="21"/>
              </w:rPr>
            </w:pPr>
            <w:r>
              <w:rPr>
                <w:rFonts w:ascii="宋体" w:hint="eastAsia"/>
                <w:szCs w:val="21"/>
              </w:rPr>
              <w:t>0.197</w:t>
            </w:r>
          </w:p>
        </w:tc>
        <w:tc>
          <w:tcPr>
            <w:tcW w:w="291" w:type="pct"/>
            <w:tcBorders>
              <w:left w:val="nil"/>
              <w:right w:val="nil"/>
            </w:tcBorders>
            <w:vAlign w:val="center"/>
          </w:tcPr>
          <w:p>
            <w:pPr>
              <w:jc w:val="center"/>
              <w:rPr>
                <w:rFonts w:ascii="宋体" w:hint="eastAsia"/>
                <w:szCs w:val="21"/>
              </w:rPr>
            </w:pPr>
            <w:r>
              <w:rPr>
                <w:rFonts w:ascii="宋体" w:hint="eastAsia"/>
                <w:szCs w:val="21"/>
              </w:rPr>
              <w:t>5.767</w:t>
            </w:r>
          </w:p>
        </w:tc>
        <w:tc>
          <w:tcPr>
            <w:tcW w:w="292" w:type="pct"/>
            <w:tcBorders>
              <w:left w:val="nil"/>
              <w:right w:val="nil"/>
            </w:tcBorders>
            <w:vAlign w:val="center"/>
          </w:tcPr>
          <w:p>
            <w:pPr>
              <w:jc w:val="center"/>
              <w:rPr>
                <w:rFonts w:ascii="宋体" w:hint="eastAsia"/>
                <w:szCs w:val="21"/>
              </w:rPr>
            </w:pPr>
            <w:r>
              <w:rPr>
                <w:rFonts w:ascii="宋体" w:hint="eastAsia"/>
                <w:szCs w:val="21"/>
              </w:rPr>
              <w:t>1.015</w:t>
            </w:r>
          </w:p>
        </w:tc>
        <w:tc>
          <w:tcPr>
            <w:tcW w:w="292" w:type="pct"/>
            <w:tcBorders>
              <w:left w:val="nil"/>
              <w:right w:val="nil"/>
            </w:tcBorders>
            <w:vAlign w:val="center"/>
          </w:tcPr>
          <w:p>
            <w:pPr>
              <w:jc w:val="center"/>
              <w:rPr>
                <w:rFonts w:ascii="宋体" w:hint="eastAsia"/>
                <w:szCs w:val="21"/>
              </w:rPr>
            </w:pPr>
            <w:r>
              <w:rPr>
                <w:rFonts w:ascii="宋体" w:hint="eastAsia"/>
                <w:szCs w:val="21"/>
              </w:rPr>
              <w:t>5.969</w:t>
            </w:r>
          </w:p>
        </w:tc>
        <w:tc>
          <w:tcPr>
            <w:tcW w:w="292" w:type="pct"/>
            <w:tcBorders>
              <w:left w:val="nil"/>
              <w:right w:val="nil"/>
            </w:tcBorders>
            <w:vAlign w:val="center"/>
          </w:tcPr>
          <w:p>
            <w:pPr>
              <w:jc w:val="center"/>
              <w:rPr>
                <w:rFonts w:ascii="宋体" w:hint="eastAsia"/>
                <w:szCs w:val="21"/>
              </w:rPr>
            </w:pPr>
            <w:r>
              <w:rPr>
                <w:rFonts w:ascii="宋体" w:hint="eastAsia"/>
                <w:szCs w:val="21"/>
              </w:rPr>
              <w:t>1.114</w:t>
            </w:r>
          </w:p>
        </w:tc>
        <w:tc>
          <w:tcPr>
            <w:tcW w:w="291" w:type="pct"/>
            <w:tcBorders>
              <w:left w:val="nil"/>
              <w:right w:val="nil"/>
            </w:tcBorders>
            <w:vAlign w:val="center"/>
          </w:tcPr>
          <w:p>
            <w:pPr>
              <w:jc w:val="center"/>
              <w:rPr>
                <w:rFonts w:ascii="宋体" w:hint="eastAsia"/>
                <w:szCs w:val="21"/>
              </w:rPr>
            </w:pPr>
            <w:r>
              <w:rPr>
                <w:rFonts w:ascii="宋体" w:hint="eastAsia"/>
                <w:szCs w:val="21"/>
              </w:rPr>
              <w:t>2.973</w:t>
            </w:r>
          </w:p>
        </w:tc>
        <w:tc>
          <w:tcPr>
            <w:tcW w:w="292" w:type="pct"/>
            <w:tcBorders>
              <w:left w:val="nil"/>
              <w:right w:val="nil"/>
            </w:tcBorders>
            <w:vAlign w:val="center"/>
          </w:tcPr>
          <w:p>
            <w:pPr>
              <w:jc w:val="center"/>
              <w:rPr>
                <w:rFonts w:ascii="宋体" w:hint="eastAsia"/>
                <w:szCs w:val="21"/>
              </w:rPr>
            </w:pPr>
            <w:r>
              <w:rPr>
                <w:rFonts w:ascii="宋体" w:hint="eastAsia"/>
                <w:szCs w:val="21"/>
              </w:rPr>
              <w:t>0.400</w:t>
            </w:r>
          </w:p>
        </w:tc>
        <w:tc>
          <w:tcPr>
            <w:tcW w:w="292" w:type="pct"/>
            <w:tcBorders>
              <w:left w:val="nil"/>
              <w:right w:val="nil"/>
            </w:tcBorders>
            <w:vAlign w:val="center"/>
          </w:tcPr>
          <w:p>
            <w:pPr>
              <w:jc w:val="center"/>
              <w:rPr>
                <w:rFonts w:ascii="宋体" w:hint="eastAsia"/>
                <w:szCs w:val="21"/>
              </w:rPr>
            </w:pPr>
            <w:r>
              <w:rPr>
                <w:rFonts w:ascii="宋体" w:hint="eastAsia"/>
                <w:szCs w:val="21"/>
              </w:rPr>
              <w:t>2.368</w:t>
            </w:r>
          </w:p>
        </w:tc>
        <w:tc>
          <w:tcPr>
            <w:tcW w:w="288" w:type="pct"/>
            <w:tcBorders>
              <w:left w:val="nil"/>
              <w:right w:val="nil"/>
            </w:tcBorders>
            <w:vAlign w:val="center"/>
          </w:tcPr>
          <w:p>
            <w:pPr>
              <w:jc w:val="center"/>
              <w:rPr>
                <w:rFonts w:ascii="宋体" w:hint="eastAsia"/>
                <w:szCs w:val="21"/>
              </w:rPr>
            </w:pPr>
            <w:r>
              <w:rPr>
                <w:rFonts w:ascii="宋体" w:hint="eastAsia"/>
                <w:szCs w:val="21"/>
              </w:rPr>
              <w:t>0.313</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w:t>
            </w:r>
          </w:p>
        </w:tc>
        <w:tc>
          <w:tcPr>
            <w:tcW w:w="255" w:type="pct"/>
            <w:tcBorders>
              <w:left w:val="nil"/>
              <w:right w:val="nil"/>
            </w:tcBorders>
          </w:tcPr>
          <w:p>
            <w:pPr>
              <w:jc w:val="center"/>
              <w:rPr>
                <w:rFonts w:ascii="宋体"/>
                <w:szCs w:val="21"/>
              </w:rPr>
            </w:pPr>
            <w:r>
              <w:rPr>
                <w:rFonts w:ascii="宋体"/>
                <w:szCs w:val="21"/>
              </w:rPr>
              <w:t>37.887</w:t>
            </w:r>
          </w:p>
        </w:tc>
        <w:tc>
          <w:tcPr>
            <w:tcW w:w="292" w:type="pct"/>
            <w:tcBorders>
              <w:left w:val="nil"/>
              <w:right w:val="nil"/>
            </w:tcBorders>
          </w:tcPr>
          <w:p>
            <w:pPr>
              <w:jc w:val="center"/>
              <w:rPr>
                <w:rFonts w:ascii="宋体"/>
                <w:szCs w:val="21"/>
              </w:rPr>
            </w:pPr>
            <w:r>
              <w:rPr>
                <w:rFonts w:ascii="宋体"/>
                <w:szCs w:val="21"/>
              </w:rPr>
              <w:t>13.152</w:t>
            </w:r>
          </w:p>
        </w:tc>
        <w:tc>
          <w:tcPr>
            <w:tcW w:w="292" w:type="pct"/>
            <w:tcBorders>
              <w:left w:val="nil"/>
              <w:right w:val="nil"/>
            </w:tcBorders>
          </w:tcPr>
          <w:p>
            <w:pPr>
              <w:jc w:val="center"/>
              <w:rPr>
                <w:rFonts w:ascii="宋体"/>
                <w:szCs w:val="21"/>
              </w:rPr>
            </w:pPr>
            <w:r>
              <w:rPr>
                <w:rFonts w:ascii="宋体"/>
                <w:szCs w:val="21"/>
              </w:rPr>
              <w:t>2.801</w:t>
            </w:r>
          </w:p>
        </w:tc>
        <w:tc>
          <w:tcPr>
            <w:tcW w:w="292" w:type="pct"/>
            <w:tcBorders>
              <w:left w:val="nil"/>
              <w:right w:val="nil"/>
            </w:tcBorders>
          </w:tcPr>
          <w:p>
            <w:pPr>
              <w:jc w:val="center"/>
              <w:rPr>
                <w:rFonts w:ascii="宋体"/>
                <w:szCs w:val="21"/>
              </w:rPr>
            </w:pPr>
            <w:r>
              <w:rPr>
                <w:rFonts w:ascii="宋体"/>
                <w:szCs w:val="21"/>
              </w:rPr>
              <w:t>3.833</w:t>
            </w:r>
          </w:p>
        </w:tc>
        <w:tc>
          <w:tcPr>
            <w:tcW w:w="292" w:type="pct"/>
            <w:tcBorders>
              <w:left w:val="nil"/>
              <w:right w:val="nil"/>
            </w:tcBorders>
          </w:tcPr>
          <w:p>
            <w:pPr>
              <w:jc w:val="center"/>
              <w:rPr>
                <w:rFonts w:ascii="宋体"/>
                <w:szCs w:val="21"/>
              </w:rPr>
            </w:pPr>
            <w:r>
              <w:rPr>
                <w:rFonts w:ascii="宋体"/>
                <w:szCs w:val="21"/>
              </w:rPr>
              <w:t>14.830</w:t>
            </w:r>
          </w:p>
        </w:tc>
        <w:tc>
          <w:tcPr>
            <w:tcW w:w="292" w:type="pct"/>
            <w:tcBorders>
              <w:left w:val="nil"/>
              <w:right w:val="nil"/>
            </w:tcBorders>
          </w:tcPr>
          <w:p>
            <w:pPr>
              <w:jc w:val="center"/>
              <w:rPr>
                <w:rFonts w:ascii="宋体"/>
                <w:szCs w:val="21"/>
              </w:rPr>
            </w:pPr>
            <w:r>
              <w:rPr>
                <w:rFonts w:ascii="宋体"/>
                <w:szCs w:val="21"/>
              </w:rPr>
              <w:t>4.757</w:t>
            </w:r>
          </w:p>
        </w:tc>
        <w:tc>
          <w:tcPr>
            <w:tcW w:w="292" w:type="pct"/>
            <w:tcBorders>
              <w:left w:val="nil"/>
              <w:right w:val="nil"/>
            </w:tcBorders>
          </w:tcPr>
          <w:p>
            <w:pPr>
              <w:jc w:val="center"/>
              <w:rPr>
                <w:rFonts w:ascii="宋体"/>
                <w:szCs w:val="21"/>
              </w:rPr>
            </w:pPr>
            <w:r>
              <w:rPr>
                <w:rFonts w:ascii="宋体"/>
                <w:szCs w:val="21"/>
              </w:rPr>
              <w:t>1.266</w:t>
            </w:r>
          </w:p>
        </w:tc>
        <w:tc>
          <w:tcPr>
            <w:tcW w:w="291" w:type="pct"/>
            <w:tcBorders>
              <w:left w:val="nil"/>
              <w:right w:val="nil"/>
            </w:tcBorders>
          </w:tcPr>
          <w:p>
            <w:pPr>
              <w:jc w:val="center"/>
              <w:rPr>
                <w:rFonts w:ascii="宋体"/>
                <w:szCs w:val="21"/>
              </w:rPr>
            </w:pPr>
            <w:r>
              <w:rPr>
                <w:rFonts w:ascii="宋体"/>
                <w:szCs w:val="21"/>
              </w:rPr>
              <w:t>5.776</w:t>
            </w:r>
          </w:p>
        </w:tc>
        <w:tc>
          <w:tcPr>
            <w:tcW w:w="292" w:type="pct"/>
            <w:tcBorders>
              <w:left w:val="nil"/>
              <w:right w:val="nil"/>
            </w:tcBorders>
          </w:tcPr>
          <w:p>
            <w:pPr>
              <w:jc w:val="center"/>
              <w:rPr>
                <w:rFonts w:ascii="宋体"/>
                <w:szCs w:val="21"/>
              </w:rPr>
            </w:pPr>
            <w:r>
              <w:rPr>
                <w:rFonts w:ascii="宋体"/>
                <w:szCs w:val="21"/>
              </w:rPr>
              <w:t>0.970</w:t>
            </w:r>
          </w:p>
        </w:tc>
        <w:tc>
          <w:tcPr>
            <w:tcW w:w="292" w:type="pct"/>
            <w:tcBorders>
              <w:left w:val="nil"/>
              <w:right w:val="nil"/>
            </w:tcBorders>
          </w:tcPr>
          <w:p>
            <w:pPr>
              <w:jc w:val="center"/>
              <w:rPr>
                <w:rFonts w:ascii="宋体"/>
                <w:szCs w:val="21"/>
              </w:rPr>
            </w:pPr>
            <w:r>
              <w:rPr>
                <w:rFonts w:ascii="宋体"/>
                <w:szCs w:val="21"/>
              </w:rPr>
              <w:t>6.137</w:t>
            </w:r>
          </w:p>
        </w:tc>
        <w:tc>
          <w:tcPr>
            <w:tcW w:w="292" w:type="pct"/>
            <w:tcBorders>
              <w:left w:val="nil"/>
              <w:right w:val="nil"/>
            </w:tcBorders>
          </w:tcPr>
          <w:p>
            <w:pPr>
              <w:jc w:val="center"/>
              <w:rPr>
                <w:rFonts w:ascii="宋体"/>
                <w:szCs w:val="21"/>
              </w:rPr>
            </w:pPr>
            <w:r>
              <w:rPr>
                <w:rFonts w:ascii="宋体"/>
                <w:szCs w:val="21"/>
              </w:rPr>
              <w:t>1.196</w:t>
            </w:r>
          </w:p>
        </w:tc>
        <w:tc>
          <w:tcPr>
            <w:tcW w:w="291" w:type="pct"/>
            <w:tcBorders>
              <w:left w:val="nil"/>
              <w:right w:val="nil"/>
            </w:tcBorders>
          </w:tcPr>
          <w:p>
            <w:pPr>
              <w:jc w:val="center"/>
              <w:rPr>
                <w:rFonts w:ascii="宋体"/>
                <w:szCs w:val="21"/>
              </w:rPr>
            </w:pPr>
            <w:r>
              <w:rPr>
                <w:rFonts w:ascii="宋体"/>
                <w:szCs w:val="21"/>
              </w:rPr>
              <w:t>3.406</w:t>
            </w:r>
          </w:p>
        </w:tc>
        <w:tc>
          <w:tcPr>
            <w:tcW w:w="292" w:type="pct"/>
            <w:tcBorders>
              <w:left w:val="nil"/>
              <w:right w:val="nil"/>
            </w:tcBorders>
          </w:tcPr>
          <w:p>
            <w:pPr>
              <w:jc w:val="center"/>
              <w:rPr>
                <w:rFonts w:ascii="宋体"/>
                <w:szCs w:val="21"/>
              </w:rPr>
            </w:pPr>
            <w:r>
              <w:rPr>
                <w:rFonts w:ascii="宋体"/>
                <w:szCs w:val="21"/>
              </w:rPr>
              <w:t>0.481</w:t>
            </w:r>
          </w:p>
        </w:tc>
        <w:tc>
          <w:tcPr>
            <w:tcW w:w="292" w:type="pct"/>
            <w:tcBorders>
              <w:left w:val="nil"/>
              <w:right w:val="nil"/>
            </w:tcBorders>
          </w:tcPr>
          <w:p>
            <w:pPr>
              <w:jc w:val="center"/>
              <w:rPr>
                <w:rFonts w:ascii="宋体"/>
                <w:szCs w:val="21"/>
              </w:rPr>
            </w:pPr>
            <w:r>
              <w:rPr>
                <w:rFonts w:ascii="宋体"/>
                <w:szCs w:val="21"/>
              </w:rPr>
              <w:t>3.080</w:t>
            </w:r>
          </w:p>
        </w:tc>
        <w:tc>
          <w:tcPr>
            <w:tcW w:w="288" w:type="pct"/>
            <w:tcBorders>
              <w:left w:val="nil"/>
              <w:right w:val="nil"/>
            </w:tcBorders>
          </w:tcPr>
          <w:p>
            <w:pPr>
              <w:jc w:val="center"/>
              <w:rPr>
                <w:rFonts w:ascii="宋体"/>
                <w:szCs w:val="21"/>
              </w:rPr>
            </w:pPr>
            <w:r>
              <w:rPr>
                <w:rFonts w:ascii="宋体"/>
                <w:szCs w:val="21"/>
              </w:rPr>
              <w:t>0.427</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3#</w:t>
            </w:r>
          </w:p>
        </w:tc>
        <w:tc>
          <w:tcPr>
            <w:tcW w:w="255" w:type="pct"/>
            <w:tcBorders>
              <w:left w:val="nil"/>
              <w:right w:val="nil"/>
            </w:tcBorders>
            <w:vAlign w:val="center"/>
          </w:tcPr>
          <w:p>
            <w:pPr>
              <w:jc w:val="center"/>
              <w:rPr>
                <w:rFonts w:ascii="宋体" w:hint="eastAsia"/>
                <w:szCs w:val="21"/>
              </w:rPr>
            </w:pPr>
            <w:r>
              <w:rPr>
                <w:rFonts w:ascii="宋体" w:hint="eastAsia"/>
                <w:szCs w:val="21"/>
              </w:rPr>
              <w:t xml:space="preserve">37.910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13.406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2.899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3.939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14.576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4.634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1.294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5.599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1.011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6.119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1.171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3.385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0.489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3.135 </w:t>
            </w:r>
          </w:p>
        </w:tc>
        <w:tc>
          <w:tcPr>
            <w:tcW w:w="288" w:type="pct"/>
            <w:tcBorders>
              <w:left w:val="nil"/>
              <w:right w:val="nil"/>
            </w:tcBorders>
            <w:vAlign w:val="center"/>
          </w:tcPr>
          <w:p>
            <w:pPr>
              <w:jc w:val="center"/>
              <w:rPr>
                <w:rFonts w:ascii="宋体" w:hint="eastAsia"/>
                <w:szCs w:val="21"/>
              </w:rPr>
            </w:pPr>
            <w:r>
              <w:rPr>
                <w:rFonts w:ascii="宋体" w:hint="eastAsia"/>
                <w:szCs w:val="21"/>
              </w:rPr>
              <w:t xml:space="preserve">0.433 </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w:t>
            </w:r>
          </w:p>
        </w:tc>
        <w:tc>
          <w:tcPr>
            <w:tcW w:w="255" w:type="pct"/>
            <w:tcBorders>
              <w:left w:val="nil"/>
              <w:right w:val="nil"/>
            </w:tcBorders>
          </w:tcPr>
          <w:p>
            <w:pPr>
              <w:jc w:val="center"/>
              <w:rPr>
                <w:rFonts w:ascii="宋体"/>
                <w:szCs w:val="21"/>
              </w:rPr>
            </w:pPr>
            <w:r>
              <w:rPr>
                <w:rFonts w:ascii="宋体"/>
                <w:szCs w:val="21"/>
              </w:rPr>
              <w:t>63.292</w:t>
            </w:r>
          </w:p>
        </w:tc>
        <w:tc>
          <w:tcPr>
            <w:tcW w:w="292" w:type="pct"/>
            <w:tcBorders>
              <w:left w:val="nil"/>
              <w:right w:val="nil"/>
            </w:tcBorders>
          </w:tcPr>
          <w:p>
            <w:pPr>
              <w:jc w:val="center"/>
              <w:rPr>
                <w:rFonts w:ascii="宋体"/>
                <w:szCs w:val="21"/>
              </w:rPr>
            </w:pPr>
            <w:r>
              <w:rPr>
                <w:rFonts w:ascii="宋体"/>
                <w:szCs w:val="21"/>
              </w:rPr>
              <w:t>1.348</w:t>
            </w:r>
          </w:p>
        </w:tc>
        <w:tc>
          <w:tcPr>
            <w:tcW w:w="292" w:type="pct"/>
            <w:tcBorders>
              <w:left w:val="nil"/>
              <w:right w:val="nil"/>
            </w:tcBorders>
          </w:tcPr>
          <w:p>
            <w:pPr>
              <w:jc w:val="center"/>
              <w:rPr>
                <w:rFonts w:ascii="宋体"/>
                <w:szCs w:val="21"/>
              </w:rPr>
            </w:pPr>
            <w:r>
              <w:rPr>
                <w:rFonts w:ascii="宋体"/>
                <w:szCs w:val="21"/>
              </w:rPr>
              <w:t>0.348</w:t>
            </w:r>
          </w:p>
        </w:tc>
        <w:tc>
          <w:tcPr>
            <w:tcW w:w="292" w:type="pct"/>
            <w:tcBorders>
              <w:left w:val="nil"/>
              <w:right w:val="nil"/>
            </w:tcBorders>
          </w:tcPr>
          <w:p>
            <w:pPr>
              <w:jc w:val="center"/>
              <w:rPr>
                <w:rFonts w:ascii="宋体"/>
                <w:szCs w:val="21"/>
              </w:rPr>
            </w:pPr>
            <w:r>
              <w:rPr>
                <w:rFonts w:ascii="宋体"/>
                <w:szCs w:val="21"/>
              </w:rPr>
              <w:t>0.487</w:t>
            </w:r>
          </w:p>
        </w:tc>
        <w:tc>
          <w:tcPr>
            <w:tcW w:w="292" w:type="pct"/>
            <w:tcBorders>
              <w:left w:val="nil"/>
              <w:right w:val="nil"/>
            </w:tcBorders>
          </w:tcPr>
          <w:p>
            <w:pPr>
              <w:jc w:val="center"/>
              <w:rPr>
                <w:rFonts w:ascii="宋体"/>
                <w:szCs w:val="21"/>
              </w:rPr>
            </w:pPr>
            <w:r>
              <w:rPr>
                <w:rFonts w:ascii="宋体"/>
                <w:szCs w:val="21"/>
              </w:rPr>
              <w:t>1.907</w:t>
            </w:r>
          </w:p>
        </w:tc>
        <w:tc>
          <w:tcPr>
            <w:tcW w:w="292" w:type="pct"/>
            <w:tcBorders>
              <w:left w:val="nil"/>
              <w:right w:val="nil"/>
            </w:tcBorders>
          </w:tcPr>
          <w:p>
            <w:pPr>
              <w:jc w:val="center"/>
              <w:rPr>
                <w:rFonts w:ascii="宋体"/>
                <w:szCs w:val="21"/>
              </w:rPr>
            </w:pPr>
            <w:r>
              <w:rPr>
                <w:rFonts w:ascii="宋体"/>
                <w:szCs w:val="21"/>
              </w:rPr>
              <w:t>1.902</w:t>
            </w:r>
          </w:p>
        </w:tc>
        <w:tc>
          <w:tcPr>
            <w:tcW w:w="292" w:type="pct"/>
            <w:tcBorders>
              <w:left w:val="nil"/>
              <w:right w:val="nil"/>
            </w:tcBorders>
          </w:tcPr>
          <w:p>
            <w:pPr>
              <w:jc w:val="center"/>
              <w:rPr>
                <w:rFonts w:ascii="宋体"/>
                <w:szCs w:val="21"/>
              </w:rPr>
            </w:pPr>
            <w:r>
              <w:rPr>
                <w:rFonts w:ascii="宋体"/>
                <w:szCs w:val="21"/>
              </w:rPr>
              <w:t>0.149</w:t>
            </w:r>
          </w:p>
        </w:tc>
        <w:tc>
          <w:tcPr>
            <w:tcW w:w="291" w:type="pct"/>
            <w:tcBorders>
              <w:left w:val="nil"/>
              <w:right w:val="nil"/>
            </w:tcBorders>
          </w:tcPr>
          <w:p>
            <w:pPr>
              <w:jc w:val="center"/>
              <w:rPr>
                <w:rFonts w:ascii="宋体"/>
                <w:szCs w:val="21"/>
              </w:rPr>
            </w:pPr>
            <w:r>
              <w:rPr>
                <w:rFonts w:ascii="宋体"/>
                <w:szCs w:val="21"/>
              </w:rPr>
              <w:t>0.906</w:t>
            </w:r>
          </w:p>
        </w:tc>
        <w:tc>
          <w:tcPr>
            <w:tcW w:w="292" w:type="pct"/>
            <w:tcBorders>
              <w:left w:val="nil"/>
              <w:right w:val="nil"/>
            </w:tcBorders>
          </w:tcPr>
          <w:p>
            <w:pPr>
              <w:jc w:val="center"/>
              <w:rPr>
                <w:rFonts w:ascii="宋体"/>
                <w:szCs w:val="21"/>
              </w:rPr>
            </w:pPr>
            <w:r>
              <w:rPr>
                <w:rFonts w:ascii="宋体"/>
                <w:szCs w:val="21"/>
              </w:rPr>
              <w:t>1.233</w:t>
            </w:r>
          </w:p>
        </w:tc>
        <w:tc>
          <w:tcPr>
            <w:tcW w:w="292" w:type="pct"/>
            <w:tcBorders>
              <w:left w:val="nil"/>
              <w:right w:val="nil"/>
            </w:tcBorders>
          </w:tcPr>
          <w:p>
            <w:pPr>
              <w:jc w:val="center"/>
              <w:rPr>
                <w:rFonts w:ascii="宋体"/>
                <w:szCs w:val="21"/>
              </w:rPr>
            </w:pPr>
            <w:r>
              <w:rPr>
                <w:rFonts w:ascii="宋体"/>
                <w:szCs w:val="21"/>
              </w:rPr>
              <w:t>9.900</w:t>
            </w:r>
          </w:p>
        </w:tc>
        <w:tc>
          <w:tcPr>
            <w:tcW w:w="292" w:type="pct"/>
            <w:tcBorders>
              <w:left w:val="nil"/>
              <w:right w:val="nil"/>
            </w:tcBorders>
          </w:tcPr>
          <w:p>
            <w:pPr>
              <w:jc w:val="center"/>
              <w:rPr>
                <w:rFonts w:ascii="宋体"/>
                <w:szCs w:val="21"/>
              </w:rPr>
            </w:pPr>
            <w:r>
              <w:rPr>
                <w:rFonts w:ascii="宋体"/>
                <w:szCs w:val="21"/>
              </w:rPr>
              <w:t>3.039</w:t>
            </w:r>
          </w:p>
        </w:tc>
        <w:tc>
          <w:tcPr>
            <w:tcW w:w="291" w:type="pct"/>
            <w:tcBorders>
              <w:left w:val="nil"/>
              <w:right w:val="nil"/>
            </w:tcBorders>
          </w:tcPr>
          <w:p>
            <w:pPr>
              <w:jc w:val="center"/>
              <w:rPr>
                <w:rFonts w:ascii="宋体"/>
                <w:szCs w:val="21"/>
              </w:rPr>
            </w:pPr>
            <w:r>
              <w:rPr>
                <w:rFonts w:ascii="宋体"/>
                <w:szCs w:val="21"/>
              </w:rPr>
              <w:t>3.652</w:t>
            </w:r>
          </w:p>
        </w:tc>
        <w:tc>
          <w:tcPr>
            <w:tcW w:w="292" w:type="pct"/>
            <w:tcBorders>
              <w:left w:val="nil"/>
              <w:right w:val="nil"/>
            </w:tcBorders>
          </w:tcPr>
          <w:p>
            <w:pPr>
              <w:jc w:val="center"/>
              <w:rPr>
                <w:rFonts w:ascii="宋体"/>
                <w:szCs w:val="21"/>
              </w:rPr>
            </w:pPr>
            <w:r>
              <w:rPr>
                <w:rFonts w:ascii="宋体"/>
                <w:szCs w:val="21"/>
              </w:rPr>
              <w:t>1.791</w:t>
            </w:r>
          </w:p>
        </w:tc>
        <w:tc>
          <w:tcPr>
            <w:tcW w:w="292" w:type="pct"/>
            <w:tcBorders>
              <w:left w:val="nil"/>
              <w:right w:val="nil"/>
            </w:tcBorders>
          </w:tcPr>
          <w:p>
            <w:pPr>
              <w:jc w:val="center"/>
              <w:rPr>
                <w:rFonts w:ascii="宋体"/>
                <w:szCs w:val="21"/>
              </w:rPr>
            </w:pPr>
            <w:r>
              <w:rPr>
                <w:rFonts w:ascii="宋体"/>
                <w:szCs w:val="21"/>
              </w:rPr>
              <w:t>9.031</w:t>
            </w:r>
          </w:p>
        </w:tc>
        <w:tc>
          <w:tcPr>
            <w:tcW w:w="288" w:type="pct"/>
            <w:tcBorders>
              <w:left w:val="nil"/>
              <w:right w:val="nil"/>
            </w:tcBorders>
          </w:tcPr>
          <w:p>
            <w:pPr>
              <w:jc w:val="center"/>
              <w:rPr>
                <w:rFonts w:ascii="宋体"/>
                <w:szCs w:val="21"/>
              </w:rPr>
            </w:pPr>
            <w:r>
              <w:rPr>
                <w:rFonts w:ascii="宋体"/>
                <w:szCs w:val="21"/>
              </w:rPr>
              <w:t>1.016</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4#</w:t>
            </w:r>
          </w:p>
        </w:tc>
        <w:tc>
          <w:tcPr>
            <w:tcW w:w="255" w:type="pct"/>
            <w:tcBorders>
              <w:left w:val="nil"/>
              <w:right w:val="nil"/>
            </w:tcBorders>
            <w:vAlign w:val="center"/>
          </w:tcPr>
          <w:p>
            <w:pPr>
              <w:jc w:val="center"/>
              <w:rPr>
                <w:rFonts w:ascii="宋体" w:hint="eastAsia"/>
                <w:szCs w:val="21"/>
              </w:rPr>
            </w:pPr>
            <w:r>
              <w:rPr>
                <w:rFonts w:ascii="宋体" w:hint="eastAsia"/>
                <w:szCs w:val="21"/>
              </w:rPr>
              <w:t xml:space="preserve">63.338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1.342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0.384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0.533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1.838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1.805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0.162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0.859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1.274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9.912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3.022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3.499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1.743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9.273 </w:t>
            </w:r>
          </w:p>
        </w:tc>
        <w:tc>
          <w:tcPr>
            <w:tcW w:w="288" w:type="pct"/>
            <w:tcBorders>
              <w:left w:val="nil"/>
              <w:right w:val="nil"/>
            </w:tcBorders>
            <w:vAlign w:val="center"/>
          </w:tcPr>
          <w:p>
            <w:pPr>
              <w:jc w:val="center"/>
              <w:rPr>
                <w:rFonts w:ascii="宋体" w:hint="eastAsia"/>
                <w:szCs w:val="21"/>
              </w:rPr>
            </w:pPr>
            <w:r>
              <w:rPr>
                <w:rFonts w:ascii="宋体" w:hint="eastAsia"/>
                <w:szCs w:val="21"/>
              </w:rPr>
              <w:t xml:space="preserve">1.016 </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5#</w:t>
            </w:r>
          </w:p>
        </w:tc>
        <w:tc>
          <w:tcPr>
            <w:tcW w:w="255" w:type="pct"/>
            <w:tcBorders>
              <w:left w:val="nil"/>
              <w:right w:val="nil"/>
            </w:tcBorders>
          </w:tcPr>
          <w:p>
            <w:pPr>
              <w:jc w:val="center"/>
              <w:rPr>
                <w:rFonts w:ascii="宋体"/>
                <w:szCs w:val="21"/>
              </w:rPr>
            </w:pPr>
            <w:r>
              <w:rPr>
                <w:rFonts w:ascii="宋体"/>
                <w:szCs w:val="21"/>
              </w:rPr>
              <w:t>13.968</w:t>
            </w:r>
          </w:p>
        </w:tc>
        <w:tc>
          <w:tcPr>
            <w:tcW w:w="292" w:type="pct"/>
            <w:tcBorders>
              <w:left w:val="nil"/>
              <w:right w:val="nil"/>
            </w:tcBorders>
          </w:tcPr>
          <w:p>
            <w:pPr>
              <w:jc w:val="center"/>
              <w:rPr>
                <w:rFonts w:ascii="宋体"/>
                <w:szCs w:val="21"/>
              </w:rPr>
            </w:pPr>
            <w:r>
              <w:rPr>
                <w:rFonts w:ascii="宋体"/>
                <w:szCs w:val="21"/>
              </w:rPr>
              <w:t>24.174</w:t>
            </w:r>
          </w:p>
        </w:tc>
        <w:tc>
          <w:tcPr>
            <w:tcW w:w="292" w:type="pct"/>
            <w:tcBorders>
              <w:left w:val="nil"/>
              <w:right w:val="nil"/>
            </w:tcBorders>
          </w:tcPr>
          <w:p>
            <w:pPr>
              <w:jc w:val="center"/>
              <w:rPr>
                <w:rFonts w:ascii="宋体"/>
                <w:szCs w:val="21"/>
              </w:rPr>
            </w:pPr>
            <w:r>
              <w:rPr>
                <w:rFonts w:ascii="宋体"/>
                <w:szCs w:val="21"/>
              </w:rPr>
              <w:t>1.327</w:t>
            </w:r>
          </w:p>
        </w:tc>
        <w:tc>
          <w:tcPr>
            <w:tcW w:w="292" w:type="pct"/>
            <w:tcBorders>
              <w:left w:val="nil"/>
              <w:right w:val="nil"/>
            </w:tcBorders>
          </w:tcPr>
          <w:p>
            <w:pPr>
              <w:jc w:val="center"/>
              <w:rPr>
                <w:rFonts w:ascii="宋体"/>
                <w:szCs w:val="21"/>
              </w:rPr>
            </w:pPr>
            <w:r>
              <w:rPr>
                <w:rFonts w:ascii="宋体"/>
                <w:szCs w:val="21"/>
              </w:rPr>
              <w:t>8.403</w:t>
            </w:r>
          </w:p>
        </w:tc>
        <w:tc>
          <w:tcPr>
            <w:tcW w:w="292" w:type="pct"/>
            <w:tcBorders>
              <w:left w:val="nil"/>
              <w:right w:val="nil"/>
            </w:tcBorders>
          </w:tcPr>
          <w:p>
            <w:pPr>
              <w:jc w:val="center"/>
              <w:rPr>
                <w:rFonts w:ascii="宋体"/>
                <w:szCs w:val="21"/>
              </w:rPr>
            </w:pPr>
            <w:r>
              <w:rPr>
                <w:rFonts w:ascii="宋体"/>
                <w:szCs w:val="21"/>
              </w:rPr>
              <w:t>41.200</w:t>
            </w:r>
          </w:p>
        </w:tc>
        <w:tc>
          <w:tcPr>
            <w:tcW w:w="292" w:type="pct"/>
            <w:tcBorders>
              <w:left w:val="nil"/>
              <w:right w:val="nil"/>
            </w:tcBorders>
          </w:tcPr>
          <w:p>
            <w:pPr>
              <w:jc w:val="center"/>
              <w:rPr>
                <w:rFonts w:ascii="宋体"/>
                <w:szCs w:val="21"/>
              </w:rPr>
            </w:pPr>
            <w:r>
              <w:rPr>
                <w:rFonts w:ascii="宋体"/>
                <w:szCs w:val="21"/>
              </w:rPr>
              <w:t>2.199</w:t>
            </w:r>
          </w:p>
        </w:tc>
        <w:tc>
          <w:tcPr>
            <w:tcW w:w="292" w:type="pct"/>
            <w:tcBorders>
              <w:left w:val="nil"/>
              <w:right w:val="nil"/>
            </w:tcBorders>
          </w:tcPr>
          <w:p>
            <w:pPr>
              <w:jc w:val="center"/>
              <w:rPr>
                <w:rFonts w:ascii="宋体"/>
                <w:szCs w:val="21"/>
              </w:rPr>
            </w:pPr>
            <w:r>
              <w:rPr>
                <w:rFonts w:ascii="宋体"/>
                <w:szCs w:val="21"/>
              </w:rPr>
              <w:t>0.551</w:t>
            </w:r>
          </w:p>
        </w:tc>
        <w:tc>
          <w:tcPr>
            <w:tcW w:w="291" w:type="pct"/>
            <w:tcBorders>
              <w:left w:val="nil"/>
              <w:right w:val="nil"/>
            </w:tcBorders>
          </w:tcPr>
          <w:p>
            <w:pPr>
              <w:jc w:val="center"/>
              <w:rPr>
                <w:rFonts w:ascii="宋体"/>
                <w:szCs w:val="21"/>
              </w:rPr>
            </w:pPr>
            <w:r>
              <w:rPr>
                <w:rFonts w:ascii="宋体"/>
                <w:szCs w:val="21"/>
              </w:rPr>
              <w:t>2.575</w:t>
            </w:r>
          </w:p>
        </w:tc>
        <w:tc>
          <w:tcPr>
            <w:tcW w:w="292" w:type="pct"/>
            <w:tcBorders>
              <w:left w:val="nil"/>
              <w:right w:val="nil"/>
            </w:tcBorders>
          </w:tcPr>
          <w:p>
            <w:pPr>
              <w:jc w:val="center"/>
              <w:rPr>
                <w:rFonts w:ascii="宋体"/>
                <w:szCs w:val="21"/>
              </w:rPr>
            </w:pPr>
            <w:r>
              <w:rPr>
                <w:rFonts w:ascii="宋体"/>
                <w:szCs w:val="21"/>
              </w:rPr>
              <w:t>0.401</w:t>
            </w:r>
          </w:p>
        </w:tc>
        <w:tc>
          <w:tcPr>
            <w:tcW w:w="292" w:type="pct"/>
            <w:tcBorders>
              <w:left w:val="nil"/>
              <w:right w:val="nil"/>
            </w:tcBorders>
          </w:tcPr>
          <w:p>
            <w:pPr>
              <w:jc w:val="center"/>
              <w:rPr>
                <w:rFonts w:ascii="宋体"/>
                <w:szCs w:val="21"/>
              </w:rPr>
            </w:pPr>
            <w:r>
              <w:rPr>
                <w:rFonts w:ascii="宋体"/>
                <w:szCs w:val="21"/>
              </w:rPr>
              <w:t>2.377</w:t>
            </w:r>
          </w:p>
        </w:tc>
        <w:tc>
          <w:tcPr>
            <w:tcW w:w="292" w:type="pct"/>
            <w:tcBorders>
              <w:left w:val="nil"/>
              <w:right w:val="nil"/>
            </w:tcBorders>
          </w:tcPr>
          <w:p>
            <w:pPr>
              <w:jc w:val="center"/>
              <w:rPr>
                <w:rFonts w:ascii="宋体"/>
                <w:szCs w:val="21"/>
              </w:rPr>
            </w:pPr>
            <w:r>
              <w:rPr>
                <w:rFonts w:ascii="宋体"/>
                <w:szCs w:val="21"/>
              </w:rPr>
              <w:t>0.427</w:t>
            </w:r>
          </w:p>
        </w:tc>
        <w:tc>
          <w:tcPr>
            <w:tcW w:w="291" w:type="pct"/>
            <w:tcBorders>
              <w:left w:val="nil"/>
              <w:right w:val="nil"/>
            </w:tcBorders>
          </w:tcPr>
          <w:p>
            <w:pPr>
              <w:jc w:val="center"/>
              <w:rPr>
                <w:rFonts w:ascii="宋体"/>
                <w:szCs w:val="21"/>
              </w:rPr>
            </w:pPr>
            <w:r>
              <w:rPr>
                <w:rFonts w:ascii="宋体"/>
                <w:szCs w:val="21"/>
              </w:rPr>
              <w:t>1.203</w:t>
            </w:r>
          </w:p>
        </w:tc>
        <w:tc>
          <w:tcPr>
            <w:tcW w:w="292" w:type="pct"/>
            <w:tcBorders>
              <w:left w:val="nil"/>
              <w:right w:val="nil"/>
            </w:tcBorders>
          </w:tcPr>
          <w:p>
            <w:pPr>
              <w:jc w:val="center"/>
              <w:rPr>
                <w:rFonts w:ascii="宋体"/>
                <w:szCs w:val="21"/>
              </w:rPr>
            </w:pPr>
            <w:r>
              <w:rPr>
                <w:rFonts w:ascii="宋体"/>
                <w:szCs w:val="21"/>
              </w:rPr>
              <w:t>0.130</w:t>
            </w:r>
          </w:p>
        </w:tc>
        <w:tc>
          <w:tcPr>
            <w:tcW w:w="292" w:type="pct"/>
            <w:tcBorders>
              <w:left w:val="nil"/>
              <w:right w:val="nil"/>
            </w:tcBorders>
          </w:tcPr>
          <w:p>
            <w:pPr>
              <w:jc w:val="center"/>
              <w:rPr>
                <w:rFonts w:ascii="宋体"/>
                <w:szCs w:val="21"/>
              </w:rPr>
            </w:pPr>
            <w:r>
              <w:rPr>
                <w:rFonts w:ascii="宋体"/>
                <w:szCs w:val="21"/>
              </w:rPr>
              <w:t>0.914</w:t>
            </w:r>
          </w:p>
        </w:tc>
        <w:tc>
          <w:tcPr>
            <w:tcW w:w="288" w:type="pct"/>
            <w:tcBorders>
              <w:left w:val="nil"/>
              <w:right w:val="nil"/>
            </w:tcBorders>
          </w:tcPr>
          <w:p>
            <w:pPr>
              <w:jc w:val="center"/>
              <w:rPr>
                <w:rFonts w:ascii="宋体"/>
                <w:szCs w:val="21"/>
              </w:rPr>
            </w:pPr>
            <w:r>
              <w:rPr>
                <w:rFonts w:ascii="宋体"/>
                <w:szCs w:val="21"/>
              </w:rPr>
              <w:t>0.150</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5#</w:t>
            </w:r>
          </w:p>
        </w:tc>
        <w:tc>
          <w:tcPr>
            <w:tcW w:w="255" w:type="pct"/>
            <w:tcBorders>
              <w:left w:val="nil"/>
              <w:right w:val="nil"/>
            </w:tcBorders>
            <w:vAlign w:val="center"/>
          </w:tcPr>
          <w:p>
            <w:pPr>
              <w:jc w:val="center"/>
              <w:rPr>
                <w:rFonts w:ascii="宋体" w:hint="eastAsia"/>
                <w:szCs w:val="21"/>
              </w:rPr>
            </w:pPr>
            <w:r>
              <w:rPr>
                <w:rFonts w:ascii="宋体" w:hint="eastAsia"/>
                <w:szCs w:val="21"/>
              </w:rPr>
              <w:t xml:space="preserve">13.760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24.377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1.361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8.547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41.025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2.093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0.562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2.444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0.408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2.489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0.443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1.231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0.167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0.966 </w:t>
            </w:r>
          </w:p>
        </w:tc>
        <w:tc>
          <w:tcPr>
            <w:tcW w:w="288" w:type="pct"/>
            <w:tcBorders>
              <w:left w:val="nil"/>
              <w:right w:val="nil"/>
            </w:tcBorders>
            <w:vAlign w:val="center"/>
          </w:tcPr>
          <w:p>
            <w:pPr>
              <w:jc w:val="center"/>
              <w:rPr>
                <w:rFonts w:ascii="宋体" w:hint="eastAsia"/>
                <w:szCs w:val="21"/>
              </w:rPr>
            </w:pPr>
            <w:r>
              <w:rPr>
                <w:rFonts w:ascii="宋体" w:hint="eastAsia"/>
                <w:szCs w:val="21"/>
              </w:rPr>
              <w:t xml:space="preserve">0.130 </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6#</w:t>
            </w:r>
          </w:p>
        </w:tc>
        <w:tc>
          <w:tcPr>
            <w:tcW w:w="255" w:type="pct"/>
            <w:tcBorders>
              <w:left w:val="nil"/>
              <w:right w:val="nil"/>
            </w:tcBorders>
          </w:tcPr>
          <w:p>
            <w:pPr>
              <w:jc w:val="center"/>
              <w:rPr>
                <w:rFonts w:ascii="宋体"/>
                <w:szCs w:val="21"/>
              </w:rPr>
            </w:pPr>
            <w:r>
              <w:rPr>
                <w:rFonts w:ascii="宋体"/>
                <w:szCs w:val="21"/>
              </w:rPr>
              <w:t>6.305</w:t>
            </w:r>
          </w:p>
        </w:tc>
        <w:tc>
          <w:tcPr>
            <w:tcW w:w="292" w:type="pct"/>
            <w:tcBorders>
              <w:left w:val="nil"/>
              <w:right w:val="nil"/>
            </w:tcBorders>
          </w:tcPr>
          <w:p>
            <w:pPr>
              <w:jc w:val="center"/>
              <w:rPr>
                <w:rFonts w:ascii="宋体"/>
                <w:szCs w:val="21"/>
              </w:rPr>
            </w:pPr>
            <w:r>
              <w:rPr>
                <w:rFonts w:ascii="宋体"/>
                <w:szCs w:val="21"/>
              </w:rPr>
              <w:t>38.045</w:t>
            </w:r>
          </w:p>
        </w:tc>
        <w:tc>
          <w:tcPr>
            <w:tcW w:w="292" w:type="pct"/>
            <w:tcBorders>
              <w:left w:val="nil"/>
              <w:right w:val="nil"/>
            </w:tcBorders>
          </w:tcPr>
          <w:p>
            <w:pPr>
              <w:jc w:val="center"/>
              <w:rPr>
                <w:rFonts w:ascii="宋体"/>
                <w:szCs w:val="21"/>
              </w:rPr>
            </w:pPr>
            <w:r>
              <w:rPr>
                <w:rFonts w:ascii="宋体"/>
                <w:szCs w:val="21"/>
              </w:rPr>
              <w:t>16.932</w:t>
            </w:r>
          </w:p>
        </w:tc>
        <w:tc>
          <w:tcPr>
            <w:tcW w:w="292" w:type="pct"/>
            <w:tcBorders>
              <w:left w:val="nil"/>
              <w:right w:val="nil"/>
            </w:tcBorders>
          </w:tcPr>
          <w:p>
            <w:pPr>
              <w:jc w:val="center"/>
              <w:rPr>
                <w:rFonts w:ascii="宋体"/>
                <w:szCs w:val="21"/>
              </w:rPr>
            </w:pPr>
            <w:r>
              <w:rPr>
                <w:rFonts w:ascii="宋体"/>
                <w:szCs w:val="21"/>
              </w:rPr>
              <w:t>8.660</w:t>
            </w:r>
          </w:p>
        </w:tc>
        <w:tc>
          <w:tcPr>
            <w:tcW w:w="292" w:type="pct"/>
            <w:tcBorders>
              <w:left w:val="nil"/>
              <w:right w:val="nil"/>
            </w:tcBorders>
          </w:tcPr>
          <w:p>
            <w:pPr>
              <w:jc w:val="center"/>
              <w:rPr>
                <w:rFonts w:ascii="宋体"/>
                <w:szCs w:val="21"/>
              </w:rPr>
            </w:pPr>
            <w:r>
              <w:rPr>
                <w:rFonts w:ascii="宋体"/>
                <w:szCs w:val="21"/>
              </w:rPr>
              <w:t>25.479</w:t>
            </w:r>
          </w:p>
        </w:tc>
        <w:tc>
          <w:tcPr>
            <w:tcW w:w="292" w:type="pct"/>
            <w:tcBorders>
              <w:left w:val="nil"/>
              <w:right w:val="nil"/>
            </w:tcBorders>
          </w:tcPr>
          <w:p>
            <w:pPr>
              <w:jc w:val="center"/>
              <w:rPr>
                <w:rFonts w:ascii="宋体"/>
                <w:szCs w:val="21"/>
              </w:rPr>
            </w:pPr>
            <w:r>
              <w:rPr>
                <w:rFonts w:ascii="宋体"/>
                <w:szCs w:val="21"/>
              </w:rPr>
              <w:t>0.954</w:t>
            </w:r>
          </w:p>
        </w:tc>
        <w:tc>
          <w:tcPr>
            <w:tcW w:w="292" w:type="pct"/>
            <w:tcBorders>
              <w:left w:val="nil"/>
              <w:right w:val="nil"/>
            </w:tcBorders>
          </w:tcPr>
          <w:p>
            <w:pPr>
              <w:jc w:val="center"/>
              <w:rPr>
                <w:rFonts w:ascii="宋体"/>
                <w:szCs w:val="21"/>
              </w:rPr>
            </w:pPr>
            <w:r>
              <w:rPr>
                <w:rFonts w:ascii="宋体"/>
                <w:szCs w:val="21"/>
              </w:rPr>
              <w:t>&lt;0.1</w:t>
            </w:r>
          </w:p>
        </w:tc>
        <w:tc>
          <w:tcPr>
            <w:tcW w:w="291" w:type="pct"/>
            <w:tcBorders>
              <w:left w:val="nil"/>
              <w:right w:val="nil"/>
            </w:tcBorders>
          </w:tcPr>
          <w:p>
            <w:pPr>
              <w:jc w:val="center"/>
              <w:rPr>
                <w:rFonts w:ascii="宋体"/>
                <w:szCs w:val="21"/>
              </w:rPr>
            </w:pPr>
            <w:r>
              <w:rPr>
                <w:rFonts w:ascii="宋体"/>
                <w:szCs w:val="21"/>
              </w:rPr>
              <w:t>1.104</w:t>
            </w:r>
          </w:p>
        </w:tc>
        <w:tc>
          <w:tcPr>
            <w:tcW w:w="292" w:type="pct"/>
            <w:tcBorders>
              <w:left w:val="nil"/>
              <w:right w:val="nil"/>
            </w:tcBorders>
          </w:tcPr>
          <w:p>
            <w:pPr>
              <w:jc w:val="center"/>
              <w:rPr>
                <w:rFonts w:ascii="宋体"/>
                <w:szCs w:val="21"/>
              </w:rPr>
            </w:pPr>
            <w:r>
              <w:rPr>
                <w:rFonts w:ascii="宋体"/>
                <w:szCs w:val="21"/>
              </w:rPr>
              <w:t>0.190</w:t>
            </w:r>
          </w:p>
        </w:tc>
        <w:tc>
          <w:tcPr>
            <w:tcW w:w="292" w:type="pct"/>
            <w:tcBorders>
              <w:left w:val="nil"/>
              <w:right w:val="nil"/>
            </w:tcBorders>
          </w:tcPr>
          <w:p>
            <w:pPr>
              <w:jc w:val="center"/>
              <w:rPr>
                <w:rFonts w:ascii="宋体"/>
                <w:szCs w:val="21"/>
              </w:rPr>
            </w:pPr>
            <w:r>
              <w:rPr>
                <w:rFonts w:ascii="宋体"/>
                <w:szCs w:val="21"/>
              </w:rPr>
              <w:t>1.072</w:t>
            </w:r>
          </w:p>
        </w:tc>
        <w:tc>
          <w:tcPr>
            <w:tcW w:w="292" w:type="pct"/>
            <w:tcBorders>
              <w:left w:val="nil"/>
              <w:right w:val="nil"/>
            </w:tcBorders>
          </w:tcPr>
          <w:p>
            <w:pPr>
              <w:jc w:val="center"/>
              <w:rPr>
                <w:rFonts w:ascii="宋体"/>
                <w:szCs w:val="21"/>
              </w:rPr>
            </w:pPr>
            <w:r>
              <w:rPr>
                <w:rFonts w:ascii="宋体"/>
                <w:szCs w:val="21"/>
              </w:rPr>
              <w:t>0.195</w:t>
            </w:r>
          </w:p>
        </w:tc>
        <w:tc>
          <w:tcPr>
            <w:tcW w:w="291" w:type="pct"/>
            <w:tcBorders>
              <w:left w:val="nil"/>
              <w:right w:val="nil"/>
            </w:tcBorders>
          </w:tcPr>
          <w:p>
            <w:pPr>
              <w:jc w:val="center"/>
              <w:rPr>
                <w:rFonts w:ascii="宋体"/>
                <w:szCs w:val="21"/>
              </w:rPr>
            </w:pPr>
            <w:r>
              <w:rPr>
                <w:rFonts w:ascii="宋体"/>
                <w:szCs w:val="21"/>
              </w:rPr>
              <w:t>0.518</w:t>
            </w:r>
          </w:p>
        </w:tc>
        <w:tc>
          <w:tcPr>
            <w:tcW w:w="292" w:type="pct"/>
            <w:tcBorders>
              <w:left w:val="nil"/>
              <w:right w:val="nil"/>
            </w:tcBorders>
          </w:tcPr>
          <w:p>
            <w:pPr>
              <w:jc w:val="center"/>
              <w:rPr>
                <w:rFonts w:ascii="宋体"/>
                <w:szCs w:val="21"/>
              </w:rPr>
            </w:pPr>
            <w:r>
              <w:rPr>
                <w:rFonts w:ascii="宋体"/>
                <w:szCs w:val="21"/>
              </w:rPr>
              <w:t>&lt;0.1</w:t>
            </w:r>
          </w:p>
        </w:tc>
        <w:tc>
          <w:tcPr>
            <w:tcW w:w="292" w:type="pct"/>
            <w:tcBorders>
              <w:left w:val="nil"/>
              <w:right w:val="nil"/>
            </w:tcBorders>
          </w:tcPr>
          <w:p>
            <w:pPr>
              <w:jc w:val="center"/>
              <w:rPr>
                <w:rFonts w:ascii="宋体"/>
                <w:szCs w:val="21"/>
              </w:rPr>
            </w:pPr>
            <w:r>
              <w:rPr>
                <w:rFonts w:ascii="宋体"/>
                <w:szCs w:val="21"/>
              </w:rPr>
              <w:t>0.400</w:t>
            </w:r>
          </w:p>
        </w:tc>
        <w:tc>
          <w:tcPr>
            <w:tcW w:w="288" w:type="pct"/>
            <w:tcBorders>
              <w:left w:val="nil"/>
              <w:right w:val="nil"/>
            </w:tcBorders>
          </w:tcPr>
          <w:p>
            <w:pPr>
              <w:jc w:val="center"/>
              <w:rPr>
                <w:rFonts w:ascii="宋体"/>
                <w:szCs w:val="21"/>
              </w:rPr>
            </w:pPr>
            <w:r>
              <w:rPr>
                <w:rFonts w:ascii="宋体"/>
                <w:szCs w:val="21"/>
              </w:rPr>
              <w:t>&lt;0.1</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6#</w:t>
            </w:r>
          </w:p>
        </w:tc>
        <w:tc>
          <w:tcPr>
            <w:tcW w:w="255" w:type="pct"/>
            <w:tcBorders>
              <w:left w:val="nil"/>
              <w:right w:val="nil"/>
            </w:tcBorders>
            <w:vAlign w:val="center"/>
          </w:tcPr>
          <w:p>
            <w:pPr>
              <w:jc w:val="center"/>
              <w:rPr>
                <w:rFonts w:ascii="宋体" w:hint="eastAsia"/>
                <w:szCs w:val="21"/>
              </w:rPr>
            </w:pPr>
            <w:r>
              <w:rPr>
                <w:rFonts w:ascii="宋体" w:hint="eastAsia"/>
                <w:szCs w:val="21"/>
              </w:rPr>
              <w:t xml:space="preserve">6.198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38.110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17.051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8.899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25.038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0.936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0.080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1.046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0.189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1.124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0.202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0.553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0.077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0.435 </w:t>
            </w:r>
          </w:p>
        </w:tc>
        <w:tc>
          <w:tcPr>
            <w:tcW w:w="288" w:type="pct"/>
            <w:tcBorders>
              <w:left w:val="nil"/>
              <w:right w:val="nil"/>
            </w:tcBorders>
            <w:vAlign w:val="center"/>
          </w:tcPr>
          <w:p>
            <w:pPr>
              <w:jc w:val="center"/>
              <w:rPr>
                <w:rFonts w:ascii="宋体" w:hint="eastAsia"/>
                <w:szCs w:val="21"/>
              </w:rPr>
            </w:pPr>
            <w:r>
              <w:rPr>
                <w:rFonts w:ascii="宋体" w:hint="eastAsia"/>
                <w:szCs w:val="21"/>
              </w:rPr>
              <w:t xml:space="preserve">0.062 </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7#</w:t>
            </w:r>
          </w:p>
        </w:tc>
        <w:tc>
          <w:tcPr>
            <w:tcW w:w="255" w:type="pct"/>
            <w:tcBorders>
              <w:left w:val="nil"/>
              <w:right w:val="nil"/>
            </w:tcBorders>
          </w:tcPr>
          <w:p>
            <w:pPr>
              <w:jc w:val="center"/>
              <w:rPr>
                <w:rFonts w:ascii="宋体"/>
                <w:szCs w:val="21"/>
              </w:rPr>
            </w:pPr>
            <w:r>
              <w:rPr>
                <w:rFonts w:ascii="宋体"/>
                <w:szCs w:val="21"/>
              </w:rPr>
              <w:t>56.321</w:t>
            </w:r>
          </w:p>
        </w:tc>
        <w:tc>
          <w:tcPr>
            <w:tcW w:w="292" w:type="pct"/>
            <w:tcBorders>
              <w:left w:val="nil"/>
              <w:right w:val="nil"/>
            </w:tcBorders>
          </w:tcPr>
          <w:p>
            <w:pPr>
              <w:jc w:val="center"/>
              <w:rPr>
                <w:rFonts w:ascii="宋体"/>
                <w:szCs w:val="21"/>
              </w:rPr>
            </w:pPr>
            <w:r>
              <w:rPr>
                <w:rFonts w:ascii="宋体"/>
                <w:szCs w:val="21"/>
              </w:rPr>
              <w:t>4.878</w:t>
            </w:r>
          </w:p>
        </w:tc>
        <w:tc>
          <w:tcPr>
            <w:tcW w:w="292" w:type="pct"/>
            <w:tcBorders>
              <w:left w:val="nil"/>
              <w:right w:val="nil"/>
            </w:tcBorders>
          </w:tcPr>
          <w:p>
            <w:pPr>
              <w:jc w:val="center"/>
              <w:rPr>
                <w:rFonts w:ascii="宋体"/>
                <w:szCs w:val="21"/>
              </w:rPr>
            </w:pPr>
            <w:r>
              <w:rPr>
                <w:rFonts w:ascii="宋体"/>
                <w:szCs w:val="21"/>
              </w:rPr>
              <w:t>1.459</w:t>
            </w:r>
          </w:p>
        </w:tc>
        <w:tc>
          <w:tcPr>
            <w:tcW w:w="292" w:type="pct"/>
            <w:tcBorders>
              <w:left w:val="nil"/>
              <w:right w:val="nil"/>
            </w:tcBorders>
          </w:tcPr>
          <w:p>
            <w:pPr>
              <w:jc w:val="center"/>
              <w:rPr>
                <w:rFonts w:ascii="宋体"/>
                <w:szCs w:val="21"/>
              </w:rPr>
            </w:pPr>
            <w:r>
              <w:rPr>
                <w:rFonts w:ascii="宋体"/>
                <w:szCs w:val="21"/>
              </w:rPr>
              <w:t>1.606</w:t>
            </w:r>
          </w:p>
        </w:tc>
        <w:tc>
          <w:tcPr>
            <w:tcW w:w="292" w:type="pct"/>
            <w:tcBorders>
              <w:left w:val="nil"/>
              <w:right w:val="nil"/>
            </w:tcBorders>
          </w:tcPr>
          <w:p>
            <w:pPr>
              <w:jc w:val="center"/>
              <w:rPr>
                <w:rFonts w:ascii="宋体"/>
                <w:szCs w:val="21"/>
              </w:rPr>
            </w:pPr>
            <w:r>
              <w:rPr>
                <w:rFonts w:ascii="宋体"/>
                <w:szCs w:val="21"/>
              </w:rPr>
              <w:t>6.410</w:t>
            </w:r>
          </w:p>
        </w:tc>
        <w:tc>
          <w:tcPr>
            <w:tcW w:w="292" w:type="pct"/>
            <w:tcBorders>
              <w:left w:val="nil"/>
              <w:right w:val="nil"/>
            </w:tcBorders>
          </w:tcPr>
          <w:p>
            <w:pPr>
              <w:jc w:val="center"/>
              <w:rPr>
                <w:rFonts w:ascii="宋体"/>
                <w:szCs w:val="21"/>
              </w:rPr>
            </w:pPr>
            <w:r>
              <w:rPr>
                <w:rFonts w:ascii="宋体"/>
                <w:szCs w:val="21"/>
              </w:rPr>
              <w:t>2.324</w:t>
            </w:r>
          </w:p>
        </w:tc>
        <w:tc>
          <w:tcPr>
            <w:tcW w:w="292" w:type="pct"/>
            <w:tcBorders>
              <w:left w:val="nil"/>
              <w:right w:val="nil"/>
            </w:tcBorders>
          </w:tcPr>
          <w:p>
            <w:pPr>
              <w:jc w:val="center"/>
              <w:rPr>
                <w:rFonts w:ascii="宋体"/>
                <w:szCs w:val="21"/>
              </w:rPr>
            </w:pPr>
            <w:r>
              <w:rPr>
                <w:rFonts w:ascii="宋体"/>
                <w:szCs w:val="21"/>
              </w:rPr>
              <w:t>&lt;0.1</w:t>
            </w:r>
          </w:p>
        </w:tc>
        <w:tc>
          <w:tcPr>
            <w:tcW w:w="291" w:type="pct"/>
            <w:tcBorders>
              <w:left w:val="nil"/>
              <w:right w:val="nil"/>
            </w:tcBorders>
          </w:tcPr>
          <w:p>
            <w:pPr>
              <w:jc w:val="center"/>
              <w:rPr>
                <w:rFonts w:ascii="宋体"/>
                <w:szCs w:val="21"/>
              </w:rPr>
            </w:pPr>
            <w:r>
              <w:rPr>
                <w:rFonts w:ascii="宋体"/>
                <w:szCs w:val="21"/>
              </w:rPr>
              <w:t>2.951</w:t>
            </w:r>
          </w:p>
        </w:tc>
        <w:tc>
          <w:tcPr>
            <w:tcW w:w="292" w:type="pct"/>
            <w:tcBorders>
              <w:left w:val="nil"/>
              <w:right w:val="nil"/>
            </w:tcBorders>
          </w:tcPr>
          <w:p>
            <w:pPr>
              <w:jc w:val="center"/>
              <w:rPr>
                <w:rFonts w:ascii="宋体"/>
                <w:szCs w:val="21"/>
              </w:rPr>
            </w:pPr>
            <w:r>
              <w:rPr>
                <w:rFonts w:ascii="宋体"/>
                <w:szCs w:val="21"/>
              </w:rPr>
              <w:t>1.477</w:t>
            </w:r>
          </w:p>
        </w:tc>
        <w:tc>
          <w:tcPr>
            <w:tcW w:w="292" w:type="pct"/>
            <w:tcBorders>
              <w:left w:val="nil"/>
              <w:right w:val="nil"/>
            </w:tcBorders>
          </w:tcPr>
          <w:p>
            <w:pPr>
              <w:jc w:val="center"/>
              <w:rPr>
                <w:rFonts w:ascii="宋体"/>
                <w:szCs w:val="21"/>
              </w:rPr>
            </w:pPr>
            <w:r>
              <w:rPr>
                <w:rFonts w:ascii="宋体"/>
                <w:szCs w:val="21"/>
              </w:rPr>
              <w:t>9.102</w:t>
            </w:r>
          </w:p>
        </w:tc>
        <w:tc>
          <w:tcPr>
            <w:tcW w:w="292" w:type="pct"/>
            <w:tcBorders>
              <w:left w:val="nil"/>
              <w:right w:val="nil"/>
            </w:tcBorders>
          </w:tcPr>
          <w:p>
            <w:pPr>
              <w:jc w:val="center"/>
              <w:rPr>
                <w:rFonts w:ascii="宋体"/>
                <w:szCs w:val="21"/>
              </w:rPr>
            </w:pPr>
            <w:r>
              <w:rPr>
                <w:rFonts w:ascii="宋体"/>
                <w:szCs w:val="21"/>
              </w:rPr>
              <w:t>2.150</w:t>
            </w:r>
          </w:p>
        </w:tc>
        <w:tc>
          <w:tcPr>
            <w:tcW w:w="291" w:type="pct"/>
            <w:tcBorders>
              <w:left w:val="nil"/>
              <w:right w:val="nil"/>
            </w:tcBorders>
          </w:tcPr>
          <w:p>
            <w:pPr>
              <w:jc w:val="center"/>
              <w:rPr>
                <w:rFonts w:ascii="宋体"/>
                <w:szCs w:val="21"/>
              </w:rPr>
            </w:pPr>
            <w:r>
              <w:rPr>
                <w:rFonts w:ascii="宋体"/>
                <w:szCs w:val="21"/>
              </w:rPr>
              <w:t>4.352</w:t>
            </w:r>
          </w:p>
        </w:tc>
        <w:tc>
          <w:tcPr>
            <w:tcW w:w="292" w:type="pct"/>
            <w:tcBorders>
              <w:left w:val="nil"/>
              <w:right w:val="nil"/>
            </w:tcBorders>
          </w:tcPr>
          <w:p>
            <w:pPr>
              <w:jc w:val="center"/>
              <w:rPr>
                <w:rFonts w:ascii="宋体"/>
                <w:szCs w:val="21"/>
              </w:rPr>
            </w:pPr>
            <w:r>
              <w:rPr>
                <w:rFonts w:ascii="宋体"/>
                <w:szCs w:val="21"/>
              </w:rPr>
              <w:t>1.269</w:t>
            </w:r>
          </w:p>
        </w:tc>
        <w:tc>
          <w:tcPr>
            <w:tcW w:w="292" w:type="pct"/>
            <w:tcBorders>
              <w:left w:val="nil"/>
              <w:right w:val="nil"/>
            </w:tcBorders>
          </w:tcPr>
          <w:p>
            <w:pPr>
              <w:jc w:val="center"/>
              <w:rPr>
                <w:rFonts w:ascii="宋体"/>
                <w:szCs w:val="21"/>
              </w:rPr>
            </w:pPr>
            <w:r>
              <w:rPr>
                <w:rFonts w:ascii="宋体"/>
                <w:szCs w:val="21"/>
              </w:rPr>
              <w:t>4.308</w:t>
            </w:r>
          </w:p>
        </w:tc>
        <w:tc>
          <w:tcPr>
            <w:tcW w:w="288" w:type="pct"/>
            <w:tcBorders>
              <w:left w:val="nil"/>
              <w:right w:val="nil"/>
            </w:tcBorders>
          </w:tcPr>
          <w:p>
            <w:pPr>
              <w:jc w:val="center"/>
              <w:rPr>
                <w:rFonts w:ascii="宋体"/>
                <w:szCs w:val="21"/>
              </w:rPr>
            </w:pPr>
            <w:r>
              <w:rPr>
                <w:rFonts w:ascii="宋体"/>
                <w:szCs w:val="21"/>
              </w:rPr>
              <w:t>1.294</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7#</w:t>
            </w:r>
          </w:p>
        </w:tc>
        <w:tc>
          <w:tcPr>
            <w:tcW w:w="255" w:type="pct"/>
            <w:tcBorders>
              <w:left w:val="nil"/>
              <w:right w:val="nil"/>
            </w:tcBorders>
          </w:tcPr>
          <w:p>
            <w:pPr>
              <w:jc w:val="center"/>
              <w:rPr>
                <w:rFonts w:ascii="宋体"/>
                <w:szCs w:val="21"/>
              </w:rPr>
            </w:pPr>
            <w:r>
              <w:rPr>
                <w:rFonts w:ascii="宋体"/>
                <w:szCs w:val="21"/>
              </w:rPr>
              <w:t xml:space="preserve">56.101 </w:t>
            </w:r>
          </w:p>
        </w:tc>
        <w:tc>
          <w:tcPr>
            <w:tcW w:w="292" w:type="pct"/>
            <w:tcBorders>
              <w:left w:val="nil"/>
              <w:right w:val="nil"/>
            </w:tcBorders>
          </w:tcPr>
          <w:p>
            <w:pPr>
              <w:jc w:val="center"/>
              <w:rPr>
                <w:rFonts w:ascii="宋体"/>
                <w:szCs w:val="21"/>
              </w:rPr>
            </w:pPr>
            <w:r>
              <w:rPr>
                <w:rFonts w:ascii="宋体"/>
                <w:szCs w:val="21"/>
              </w:rPr>
              <w:t xml:space="preserve">4.939 </w:t>
            </w:r>
          </w:p>
        </w:tc>
        <w:tc>
          <w:tcPr>
            <w:tcW w:w="292" w:type="pct"/>
            <w:tcBorders>
              <w:left w:val="nil"/>
              <w:right w:val="nil"/>
            </w:tcBorders>
          </w:tcPr>
          <w:p>
            <w:pPr>
              <w:jc w:val="center"/>
              <w:rPr>
                <w:rFonts w:ascii="宋体"/>
                <w:szCs w:val="21"/>
              </w:rPr>
            </w:pPr>
            <w:r>
              <w:rPr>
                <w:rFonts w:ascii="宋体"/>
                <w:szCs w:val="21"/>
              </w:rPr>
              <w:t xml:space="preserve">1.507 </w:t>
            </w:r>
          </w:p>
        </w:tc>
        <w:tc>
          <w:tcPr>
            <w:tcW w:w="292" w:type="pct"/>
            <w:tcBorders>
              <w:left w:val="nil"/>
              <w:right w:val="nil"/>
            </w:tcBorders>
          </w:tcPr>
          <w:p>
            <w:pPr>
              <w:jc w:val="center"/>
              <w:rPr>
                <w:rFonts w:ascii="宋体"/>
                <w:szCs w:val="21"/>
              </w:rPr>
            </w:pPr>
            <w:r>
              <w:rPr>
                <w:rFonts w:ascii="宋体"/>
                <w:szCs w:val="21"/>
              </w:rPr>
              <w:t xml:space="preserve">1.626 </w:t>
            </w:r>
          </w:p>
        </w:tc>
        <w:tc>
          <w:tcPr>
            <w:tcW w:w="292" w:type="pct"/>
            <w:tcBorders>
              <w:left w:val="nil"/>
              <w:right w:val="nil"/>
            </w:tcBorders>
          </w:tcPr>
          <w:p>
            <w:pPr>
              <w:jc w:val="center"/>
              <w:rPr>
                <w:rFonts w:ascii="宋体"/>
                <w:szCs w:val="21"/>
              </w:rPr>
            </w:pPr>
            <w:r>
              <w:rPr>
                <w:rFonts w:ascii="宋体"/>
                <w:szCs w:val="21"/>
              </w:rPr>
              <w:t xml:space="preserve">6.385 </w:t>
            </w:r>
          </w:p>
        </w:tc>
        <w:tc>
          <w:tcPr>
            <w:tcW w:w="292" w:type="pct"/>
            <w:tcBorders>
              <w:left w:val="nil"/>
              <w:right w:val="nil"/>
            </w:tcBorders>
          </w:tcPr>
          <w:p>
            <w:pPr>
              <w:jc w:val="center"/>
              <w:rPr>
                <w:rFonts w:ascii="宋体"/>
                <w:szCs w:val="21"/>
              </w:rPr>
            </w:pPr>
            <w:r>
              <w:rPr>
                <w:rFonts w:ascii="宋体"/>
                <w:szCs w:val="21"/>
              </w:rPr>
              <w:t xml:space="preserve">2.247 </w:t>
            </w:r>
          </w:p>
        </w:tc>
        <w:tc>
          <w:tcPr>
            <w:tcW w:w="292" w:type="pct"/>
            <w:tcBorders>
              <w:left w:val="nil"/>
              <w:right w:val="nil"/>
            </w:tcBorders>
          </w:tcPr>
          <w:p>
            <w:pPr>
              <w:jc w:val="center"/>
              <w:rPr>
                <w:rFonts w:ascii="宋体"/>
                <w:szCs w:val="21"/>
              </w:rPr>
            </w:pPr>
            <w:r>
              <w:rPr>
                <w:rFonts w:ascii="宋体"/>
                <w:szCs w:val="21"/>
              </w:rPr>
              <w:t xml:space="preserve">0.075 </w:t>
            </w:r>
          </w:p>
        </w:tc>
        <w:tc>
          <w:tcPr>
            <w:tcW w:w="291" w:type="pct"/>
            <w:tcBorders>
              <w:left w:val="nil"/>
              <w:right w:val="nil"/>
            </w:tcBorders>
          </w:tcPr>
          <w:p>
            <w:pPr>
              <w:jc w:val="center"/>
              <w:rPr>
                <w:rFonts w:ascii="宋体"/>
                <w:szCs w:val="21"/>
              </w:rPr>
            </w:pPr>
            <w:r>
              <w:rPr>
                <w:rFonts w:ascii="宋体"/>
                <w:szCs w:val="21"/>
              </w:rPr>
              <w:t xml:space="preserve">2.867 </w:t>
            </w:r>
          </w:p>
        </w:tc>
        <w:tc>
          <w:tcPr>
            <w:tcW w:w="292" w:type="pct"/>
            <w:tcBorders>
              <w:left w:val="nil"/>
              <w:right w:val="nil"/>
            </w:tcBorders>
          </w:tcPr>
          <w:p>
            <w:pPr>
              <w:jc w:val="center"/>
              <w:rPr>
                <w:rFonts w:ascii="宋体"/>
                <w:szCs w:val="21"/>
              </w:rPr>
            </w:pPr>
            <w:r>
              <w:rPr>
                <w:rFonts w:ascii="宋体"/>
                <w:szCs w:val="21"/>
              </w:rPr>
              <w:t xml:space="preserve">1.548 </w:t>
            </w:r>
          </w:p>
        </w:tc>
        <w:tc>
          <w:tcPr>
            <w:tcW w:w="292" w:type="pct"/>
            <w:tcBorders>
              <w:left w:val="nil"/>
              <w:right w:val="nil"/>
            </w:tcBorders>
          </w:tcPr>
          <w:p>
            <w:pPr>
              <w:jc w:val="center"/>
              <w:rPr>
                <w:rFonts w:ascii="宋体"/>
                <w:szCs w:val="21"/>
              </w:rPr>
            </w:pPr>
            <w:r>
              <w:rPr>
                <w:rFonts w:ascii="宋体"/>
                <w:szCs w:val="21"/>
              </w:rPr>
              <w:t xml:space="preserve">9.228 </w:t>
            </w:r>
          </w:p>
        </w:tc>
        <w:tc>
          <w:tcPr>
            <w:tcW w:w="292" w:type="pct"/>
            <w:tcBorders>
              <w:left w:val="nil"/>
              <w:right w:val="nil"/>
            </w:tcBorders>
          </w:tcPr>
          <w:p>
            <w:pPr>
              <w:jc w:val="center"/>
              <w:rPr>
                <w:rFonts w:ascii="宋体"/>
                <w:szCs w:val="21"/>
              </w:rPr>
            </w:pPr>
            <w:r>
              <w:rPr>
                <w:rFonts w:ascii="宋体"/>
                <w:szCs w:val="21"/>
              </w:rPr>
              <w:t xml:space="preserve">2.159 </w:t>
            </w:r>
          </w:p>
        </w:tc>
        <w:tc>
          <w:tcPr>
            <w:tcW w:w="291" w:type="pct"/>
            <w:tcBorders>
              <w:left w:val="nil"/>
              <w:right w:val="nil"/>
            </w:tcBorders>
          </w:tcPr>
          <w:p>
            <w:pPr>
              <w:jc w:val="center"/>
              <w:rPr>
                <w:rFonts w:ascii="宋体"/>
                <w:szCs w:val="21"/>
              </w:rPr>
            </w:pPr>
            <w:r>
              <w:rPr>
                <w:rFonts w:ascii="宋体"/>
                <w:szCs w:val="21"/>
              </w:rPr>
              <w:t xml:space="preserve">4.384 </w:t>
            </w:r>
          </w:p>
        </w:tc>
        <w:tc>
          <w:tcPr>
            <w:tcW w:w="292" w:type="pct"/>
            <w:tcBorders>
              <w:left w:val="nil"/>
              <w:right w:val="nil"/>
            </w:tcBorders>
          </w:tcPr>
          <w:p>
            <w:pPr>
              <w:jc w:val="center"/>
              <w:rPr>
                <w:rFonts w:ascii="宋体"/>
                <w:szCs w:val="21"/>
              </w:rPr>
            </w:pPr>
            <w:r>
              <w:rPr>
                <w:rFonts w:ascii="宋体"/>
                <w:szCs w:val="21"/>
              </w:rPr>
              <w:t xml:space="preserve">1.268 </w:t>
            </w:r>
          </w:p>
        </w:tc>
        <w:tc>
          <w:tcPr>
            <w:tcW w:w="292" w:type="pct"/>
            <w:tcBorders>
              <w:left w:val="nil"/>
              <w:right w:val="nil"/>
            </w:tcBorders>
          </w:tcPr>
          <w:p>
            <w:pPr>
              <w:jc w:val="center"/>
              <w:rPr>
                <w:rFonts w:ascii="宋体"/>
                <w:szCs w:val="21"/>
              </w:rPr>
            </w:pPr>
            <w:r>
              <w:rPr>
                <w:rFonts w:ascii="宋体"/>
                <w:szCs w:val="21"/>
              </w:rPr>
              <w:t xml:space="preserve">4.399 </w:t>
            </w:r>
          </w:p>
        </w:tc>
        <w:tc>
          <w:tcPr>
            <w:tcW w:w="288" w:type="pct"/>
            <w:tcBorders>
              <w:left w:val="nil"/>
              <w:right w:val="nil"/>
            </w:tcBorders>
          </w:tcPr>
          <w:p>
            <w:pPr>
              <w:jc w:val="center"/>
              <w:rPr>
                <w:rFonts w:ascii="宋体"/>
                <w:szCs w:val="21"/>
              </w:rPr>
            </w:pPr>
            <w:r>
              <w:rPr>
                <w:rFonts w:ascii="宋体"/>
                <w:szCs w:val="21"/>
              </w:rPr>
              <w:t xml:space="preserve">1.267 </w:t>
            </w:r>
          </w:p>
        </w:tc>
      </w:tr>
      <w:tr>
        <w:trPr>
          <w:trHeight w:val="227"/>
        </w:trPr>
        <w:tc>
          <w:tcPr>
            <w:tcW w:w="321" w:type="pct"/>
            <w:tcBorders>
              <w:left w:val="nil"/>
            </w:tcBorders>
          </w:tcPr>
          <w:p>
            <w:pPr>
              <w:jc w:val="center"/>
              <w:rPr>
                <w:rFonts w:ascii="宋体" w:cs="宋体" w:hint="eastAsia"/>
                <w:color w:val="000000"/>
                <w:kern w:val="0"/>
                <w:sz w:val="22"/>
                <w:szCs w:val="22"/>
              </w:rPr>
            </w:pPr>
            <w:r>
              <w:rPr>
                <w:rFonts w:ascii="宋体" w:cs="宋体" w:hint="eastAsia"/>
                <w:color w:val="000000"/>
                <w:kern w:val="0"/>
                <w:sz w:val="22"/>
                <w:szCs w:val="22"/>
              </w:rPr>
              <w:t>X-荧光</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8#</w:t>
            </w:r>
          </w:p>
        </w:tc>
        <w:tc>
          <w:tcPr>
            <w:tcW w:w="255" w:type="pct"/>
            <w:tcBorders>
              <w:left w:val="nil"/>
              <w:right w:val="nil"/>
            </w:tcBorders>
          </w:tcPr>
          <w:p>
            <w:pPr>
              <w:jc w:val="center"/>
              <w:rPr>
                <w:rFonts w:ascii="宋体"/>
                <w:szCs w:val="21"/>
              </w:rPr>
            </w:pPr>
            <w:r>
              <w:rPr>
                <w:rFonts w:ascii="宋体"/>
                <w:szCs w:val="21"/>
              </w:rPr>
              <w:t>23.482</w:t>
            </w:r>
          </w:p>
        </w:tc>
        <w:tc>
          <w:tcPr>
            <w:tcW w:w="292" w:type="pct"/>
            <w:tcBorders>
              <w:left w:val="nil"/>
              <w:right w:val="nil"/>
            </w:tcBorders>
          </w:tcPr>
          <w:p>
            <w:pPr>
              <w:jc w:val="center"/>
              <w:rPr>
                <w:rFonts w:ascii="宋体"/>
                <w:szCs w:val="21"/>
              </w:rPr>
            </w:pPr>
            <w:r>
              <w:rPr>
                <w:rFonts w:ascii="宋体"/>
                <w:szCs w:val="21"/>
              </w:rPr>
              <w:t>20.654</w:t>
            </w:r>
          </w:p>
        </w:tc>
        <w:tc>
          <w:tcPr>
            <w:tcW w:w="292" w:type="pct"/>
            <w:tcBorders>
              <w:left w:val="nil"/>
              <w:right w:val="nil"/>
            </w:tcBorders>
          </w:tcPr>
          <w:p>
            <w:pPr>
              <w:jc w:val="center"/>
              <w:rPr>
                <w:rFonts w:ascii="宋体"/>
                <w:szCs w:val="21"/>
              </w:rPr>
            </w:pPr>
            <w:r>
              <w:rPr>
                <w:rFonts w:ascii="宋体"/>
                <w:szCs w:val="21"/>
              </w:rPr>
              <w:t>7.477</w:t>
            </w:r>
          </w:p>
        </w:tc>
        <w:tc>
          <w:tcPr>
            <w:tcW w:w="292" w:type="pct"/>
            <w:tcBorders>
              <w:left w:val="nil"/>
              <w:right w:val="nil"/>
            </w:tcBorders>
          </w:tcPr>
          <w:p>
            <w:pPr>
              <w:jc w:val="center"/>
              <w:rPr>
                <w:rFonts w:ascii="宋体"/>
                <w:szCs w:val="21"/>
              </w:rPr>
            </w:pPr>
            <w:r>
              <w:rPr>
                <w:rFonts w:ascii="宋体"/>
                <w:szCs w:val="21"/>
              </w:rPr>
              <w:t>4.786</w:t>
            </w:r>
          </w:p>
        </w:tc>
        <w:tc>
          <w:tcPr>
            <w:tcW w:w="292" w:type="pct"/>
            <w:tcBorders>
              <w:left w:val="nil"/>
              <w:right w:val="nil"/>
            </w:tcBorders>
          </w:tcPr>
          <w:p>
            <w:pPr>
              <w:jc w:val="center"/>
              <w:rPr>
                <w:rFonts w:ascii="宋体"/>
                <w:szCs w:val="21"/>
              </w:rPr>
            </w:pPr>
            <w:r>
              <w:rPr>
                <w:rFonts w:ascii="宋体"/>
                <w:szCs w:val="21"/>
              </w:rPr>
              <w:t>20.400</w:t>
            </w:r>
          </w:p>
        </w:tc>
        <w:tc>
          <w:tcPr>
            <w:tcW w:w="292" w:type="pct"/>
            <w:tcBorders>
              <w:left w:val="nil"/>
              <w:right w:val="nil"/>
            </w:tcBorders>
          </w:tcPr>
          <w:p>
            <w:pPr>
              <w:jc w:val="center"/>
              <w:rPr>
                <w:rFonts w:ascii="宋体"/>
                <w:szCs w:val="21"/>
              </w:rPr>
            </w:pPr>
            <w:r>
              <w:rPr>
                <w:rFonts w:ascii="宋体"/>
                <w:szCs w:val="21"/>
              </w:rPr>
              <w:t>6.048</w:t>
            </w:r>
          </w:p>
        </w:tc>
        <w:tc>
          <w:tcPr>
            <w:tcW w:w="292" w:type="pct"/>
            <w:tcBorders>
              <w:left w:val="nil"/>
              <w:right w:val="nil"/>
            </w:tcBorders>
          </w:tcPr>
          <w:p>
            <w:pPr>
              <w:jc w:val="center"/>
              <w:rPr>
                <w:rFonts w:ascii="宋体"/>
                <w:szCs w:val="21"/>
              </w:rPr>
            </w:pPr>
            <w:r>
              <w:rPr>
                <w:rFonts w:ascii="宋体"/>
                <w:szCs w:val="21"/>
              </w:rPr>
              <w:t>0.758</w:t>
            </w:r>
          </w:p>
        </w:tc>
        <w:tc>
          <w:tcPr>
            <w:tcW w:w="291" w:type="pct"/>
            <w:tcBorders>
              <w:left w:val="nil"/>
              <w:right w:val="nil"/>
            </w:tcBorders>
          </w:tcPr>
          <w:p>
            <w:pPr>
              <w:jc w:val="center"/>
              <w:rPr>
                <w:rFonts w:ascii="宋体"/>
                <w:szCs w:val="21"/>
              </w:rPr>
            </w:pPr>
            <w:r>
              <w:rPr>
                <w:rFonts w:ascii="宋体"/>
                <w:szCs w:val="21"/>
              </w:rPr>
              <w:t>6.423</w:t>
            </w:r>
          </w:p>
        </w:tc>
        <w:tc>
          <w:tcPr>
            <w:tcW w:w="292" w:type="pct"/>
            <w:tcBorders>
              <w:left w:val="nil"/>
              <w:right w:val="nil"/>
            </w:tcBorders>
          </w:tcPr>
          <w:p>
            <w:pPr>
              <w:jc w:val="center"/>
              <w:rPr>
                <w:rFonts w:ascii="宋体"/>
                <w:szCs w:val="21"/>
              </w:rPr>
            </w:pPr>
            <w:r>
              <w:rPr>
                <w:rFonts w:ascii="宋体"/>
                <w:szCs w:val="21"/>
              </w:rPr>
              <w:t>0.693</w:t>
            </w:r>
          </w:p>
        </w:tc>
        <w:tc>
          <w:tcPr>
            <w:tcW w:w="292" w:type="pct"/>
            <w:tcBorders>
              <w:left w:val="nil"/>
              <w:right w:val="nil"/>
            </w:tcBorders>
          </w:tcPr>
          <w:p>
            <w:pPr>
              <w:jc w:val="center"/>
              <w:rPr>
                <w:rFonts w:ascii="宋体"/>
                <w:szCs w:val="21"/>
              </w:rPr>
            </w:pPr>
            <w:r>
              <w:rPr>
                <w:rFonts w:ascii="宋体"/>
                <w:szCs w:val="21"/>
              </w:rPr>
              <w:t>4.084</w:t>
            </w:r>
          </w:p>
        </w:tc>
        <w:tc>
          <w:tcPr>
            <w:tcW w:w="292" w:type="pct"/>
            <w:tcBorders>
              <w:left w:val="nil"/>
              <w:right w:val="nil"/>
            </w:tcBorders>
          </w:tcPr>
          <w:p>
            <w:pPr>
              <w:jc w:val="center"/>
              <w:rPr>
                <w:rFonts w:ascii="宋体"/>
                <w:szCs w:val="21"/>
              </w:rPr>
            </w:pPr>
            <w:r>
              <w:rPr>
                <w:rFonts w:ascii="宋体"/>
                <w:szCs w:val="21"/>
              </w:rPr>
              <w:t>0.847</w:t>
            </w:r>
          </w:p>
        </w:tc>
        <w:tc>
          <w:tcPr>
            <w:tcW w:w="291" w:type="pct"/>
            <w:tcBorders>
              <w:left w:val="nil"/>
              <w:right w:val="nil"/>
            </w:tcBorders>
          </w:tcPr>
          <w:p>
            <w:pPr>
              <w:jc w:val="center"/>
              <w:rPr>
                <w:rFonts w:ascii="宋体"/>
                <w:szCs w:val="21"/>
              </w:rPr>
            </w:pPr>
            <w:r>
              <w:rPr>
                <w:rFonts w:ascii="宋体"/>
                <w:szCs w:val="21"/>
              </w:rPr>
              <w:t>1.939</w:t>
            </w:r>
          </w:p>
        </w:tc>
        <w:tc>
          <w:tcPr>
            <w:tcW w:w="292" w:type="pct"/>
            <w:tcBorders>
              <w:left w:val="nil"/>
              <w:right w:val="nil"/>
            </w:tcBorders>
          </w:tcPr>
          <w:p>
            <w:pPr>
              <w:jc w:val="center"/>
              <w:rPr>
                <w:rFonts w:ascii="宋体"/>
                <w:szCs w:val="21"/>
              </w:rPr>
            </w:pPr>
            <w:r>
              <w:rPr>
                <w:rFonts w:ascii="宋体"/>
                <w:szCs w:val="21"/>
              </w:rPr>
              <w:t>0.394</w:t>
            </w:r>
          </w:p>
        </w:tc>
        <w:tc>
          <w:tcPr>
            <w:tcW w:w="292" w:type="pct"/>
            <w:tcBorders>
              <w:left w:val="nil"/>
              <w:right w:val="nil"/>
            </w:tcBorders>
          </w:tcPr>
          <w:p>
            <w:pPr>
              <w:jc w:val="center"/>
              <w:rPr>
                <w:rFonts w:ascii="宋体"/>
                <w:szCs w:val="21"/>
              </w:rPr>
            </w:pPr>
            <w:r>
              <w:rPr>
                <w:rFonts w:ascii="宋体"/>
                <w:szCs w:val="21"/>
              </w:rPr>
              <w:t>1.636</w:t>
            </w:r>
          </w:p>
        </w:tc>
        <w:tc>
          <w:tcPr>
            <w:tcW w:w="288" w:type="pct"/>
            <w:tcBorders>
              <w:left w:val="nil"/>
              <w:right w:val="nil"/>
            </w:tcBorders>
          </w:tcPr>
          <w:p>
            <w:pPr>
              <w:jc w:val="center"/>
              <w:rPr>
                <w:rFonts w:ascii="宋体"/>
                <w:szCs w:val="21"/>
              </w:rPr>
            </w:pPr>
            <w:r>
              <w:rPr>
                <w:rFonts w:ascii="宋体"/>
                <w:szCs w:val="21"/>
              </w:rPr>
              <w:t>0.382</w:t>
            </w:r>
          </w:p>
        </w:tc>
      </w:tr>
      <w:tr>
        <w:trPr>
          <w:trHeight w:val="227"/>
        </w:trPr>
        <w:tc>
          <w:tcPr>
            <w:tcW w:w="321" w:type="pct"/>
            <w:tcBorders>
              <w:left w:val="nil"/>
            </w:tcBorders>
          </w:tcPr>
          <w:p>
            <w:pPr>
              <w:jc w:val="center"/>
              <w:rPr>
                <w:rFonts w:ascii="宋体" w:cs="宋体"/>
                <w:color w:val="000000"/>
                <w:kern w:val="0"/>
                <w:sz w:val="22"/>
                <w:szCs w:val="22"/>
              </w:rPr>
            </w:pPr>
            <w:r>
              <w:rPr>
                <w:rFonts w:ascii="宋体" w:cs="宋体"/>
                <w:color w:val="000000"/>
                <w:kern w:val="0"/>
                <w:sz w:val="22"/>
                <w:szCs w:val="22"/>
              </w:rPr>
              <w:t>ICP-OES</w:t>
            </w:r>
          </w:p>
        </w:tc>
        <w:tc>
          <w:tcPr>
            <w:tcW w:w="339" w:type="pct"/>
            <w:tcBorders>
              <w:left w:val="nil"/>
              <w:right w:val="nil"/>
            </w:tcBorders>
          </w:tcPr>
          <w:p>
            <w:pPr>
              <w:widowControl/>
              <w:jc w:val="center"/>
              <w:textAlignment w:val="center"/>
              <w:rPr>
                <w:rFonts w:ascii="宋体" w:cs="宋体"/>
                <w:color w:val="000000"/>
                <w:kern w:val="0"/>
                <w:sz w:val="22"/>
                <w:szCs w:val="22"/>
              </w:rPr>
            </w:pPr>
            <w:r>
              <w:rPr>
                <w:rFonts w:ascii="宋体" w:cs="宋体"/>
                <w:color w:val="000000"/>
                <w:kern w:val="0"/>
                <w:sz w:val="22"/>
                <w:szCs w:val="22"/>
              </w:rPr>
              <w:t>8#</w:t>
            </w:r>
          </w:p>
        </w:tc>
        <w:tc>
          <w:tcPr>
            <w:tcW w:w="255" w:type="pct"/>
            <w:tcBorders>
              <w:left w:val="nil"/>
              <w:right w:val="nil"/>
            </w:tcBorders>
            <w:vAlign w:val="center"/>
          </w:tcPr>
          <w:p>
            <w:pPr>
              <w:jc w:val="center"/>
              <w:rPr>
                <w:rFonts w:ascii="宋体" w:hint="eastAsia"/>
                <w:szCs w:val="21"/>
              </w:rPr>
            </w:pPr>
            <w:r>
              <w:rPr>
                <w:rFonts w:ascii="宋体" w:hint="eastAsia"/>
                <w:szCs w:val="21"/>
              </w:rPr>
              <w:t xml:space="preserve">23.414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20.818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7.490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4.911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20.083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6.051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0.793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6.264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0.708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4.187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0.855 </w:t>
            </w:r>
          </w:p>
        </w:tc>
        <w:tc>
          <w:tcPr>
            <w:tcW w:w="291" w:type="pct"/>
            <w:tcBorders>
              <w:left w:val="nil"/>
              <w:right w:val="nil"/>
            </w:tcBorders>
            <w:vAlign w:val="center"/>
          </w:tcPr>
          <w:p>
            <w:pPr>
              <w:jc w:val="center"/>
              <w:rPr>
                <w:rFonts w:ascii="宋体" w:hint="eastAsia"/>
                <w:szCs w:val="21"/>
              </w:rPr>
            </w:pPr>
            <w:r>
              <w:rPr>
                <w:rFonts w:ascii="宋体" w:hint="eastAsia"/>
                <w:szCs w:val="21"/>
              </w:rPr>
              <w:t xml:space="preserve">1.979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0.406 </w:t>
            </w:r>
          </w:p>
        </w:tc>
        <w:tc>
          <w:tcPr>
            <w:tcW w:w="292" w:type="pct"/>
            <w:tcBorders>
              <w:left w:val="nil"/>
              <w:right w:val="nil"/>
            </w:tcBorders>
            <w:vAlign w:val="center"/>
          </w:tcPr>
          <w:p>
            <w:pPr>
              <w:jc w:val="center"/>
              <w:rPr>
                <w:rFonts w:ascii="宋体" w:hint="eastAsia"/>
                <w:szCs w:val="21"/>
              </w:rPr>
            </w:pPr>
            <w:r>
              <w:rPr>
                <w:rFonts w:ascii="宋体" w:hint="eastAsia"/>
                <w:szCs w:val="21"/>
              </w:rPr>
              <w:t xml:space="preserve">1.687 </w:t>
            </w:r>
          </w:p>
        </w:tc>
        <w:tc>
          <w:tcPr>
            <w:tcW w:w="288" w:type="pct"/>
            <w:tcBorders>
              <w:left w:val="nil"/>
              <w:right w:val="nil"/>
            </w:tcBorders>
            <w:vAlign w:val="center"/>
          </w:tcPr>
          <w:p>
            <w:pPr>
              <w:jc w:val="center"/>
              <w:rPr>
                <w:rFonts w:ascii="宋体" w:hint="eastAsia"/>
                <w:szCs w:val="21"/>
              </w:rPr>
            </w:pPr>
            <w:r>
              <w:rPr>
                <w:rFonts w:ascii="宋体" w:hint="eastAsia"/>
                <w:szCs w:val="21"/>
              </w:rPr>
              <w:t xml:space="preserve">0.355 </w:t>
            </w:r>
          </w:p>
        </w:tc>
      </w:tr>
    </w:tbl>
    <w:p>
      <w:pPr>
        <w:spacing w:beforeLines="50" w:before="156" w:afterLines="50" w:after="156"/>
        <w:jc w:val="center"/>
        <w:rPr>
          <w:rFonts w:hint="eastAsia"/>
        </w:rPr>
      </w:pPr>
    </w:p>
    <w:sectPr>
      <w:pgSz w:w="16838" w:h="11906" w:orient="landscape"/>
      <w:pgMar w:top="850" w:right="1134" w:bottom="850" w:left="1213" w:header="851" w:footer="454"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91081609"/>
    </w:sdtPr>
    <w:sdtContent>
      <w:p>
        <w:pPr>
          <w:pStyle w:val="61"/>
          <w:tabs>
            <w:tab w:val="center" w:pos="4153"/>
            <w:tab w:val="right" w:pos="8306"/>
          </w:tabs>
          <w:jc w:val="center"/>
        </w:pPr>
      </w:p>
    </w:sdtContent>
  </w:sdt>
  <w:p>
    <w:pPr>
      <w:pStyle w:val="6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1"/>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4"/>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300947E"/>
    <w:multiLevelType w:val="singleLevel"/>
    <w:tmpl w:val="C300947E"/>
    <w:lvl w:ilvl="0">
      <w:start w:val="1"/>
      <w:numFmt w:val="chineseCounting"/>
      <w:lvlRestart w:val="0"/>
      <w:suff w:val="nothing"/>
      <w:lvlText w:val="%1、"/>
      <w:lvlJc w:val="left"/>
      <w:pPr>
        <w:ind w:left="0" w:hanging="0"/>
      </w:pPr>
      <w:rPr>
        <w:rFonts w:hint="eastAsia"/>
      </w:rPr>
    </w:lvl>
  </w:abstractNum>
  <w:abstractNum w:abstractNumId="1">
    <w:nsid w:val="177E5D7E"/>
    <w:multiLevelType w:val="singleLevel"/>
    <w:tmpl w:val="177E5D7E"/>
    <w:lvl w:ilvl="0">
      <w:start w:val="2"/>
      <w:numFmt w:val="chineseCounting"/>
      <w:lvlRestart w:val="0"/>
      <w:suff w:val="nothing"/>
      <w:lvlText w:val="（%1）"/>
      <w:lvlJc w:val="left"/>
      <w:pPr>
        <w:ind w:left="0" w:hanging="0"/>
      </w:pPr>
      <w:rPr>
        <w:rFonts w:hint="eastAsia"/>
      </w:rPr>
    </w:lvl>
  </w:abstractNum>
  <w:abstractNum w:abstractNumId="2">
    <w:nsid w:val="19A45967"/>
    <w:multiLevelType w:val="multilevel"/>
    <w:tmpl w:val="19A45967"/>
    <w:lvl w:ilvl="0">
      <w:start w:val="1"/>
      <w:numFmt w:val="decimal"/>
      <w:lvlRestart w:val="0"/>
      <w:lvlText w:val="%1."/>
      <w:lvlJc w:val="left"/>
      <w:pPr>
        <w:ind w:left="360" w:hanging="360"/>
      </w:pPr>
      <w:rPr>
        <w:rFonts w:ascii="宋体" w:hAnsi="宋体" w:eastAsia="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956ADF"/>
    <w:multiLevelType w:val="multilevel"/>
    <w:tmpl w:val="7E956ADF"/>
    <w:lvl w:ilvl="0">
      <w:start w:val="2"/>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B554A8"/>
    <w:multiLevelType w:val="multilevel"/>
    <w:tmpl w:val="07B554A8"/>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7B5876"/>
    <w:multiLevelType w:val="multilevel"/>
    <w:tmpl w:val="1C7B5876"/>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505F08"/>
    <w:multiLevelType w:val="multilevel"/>
    <w:tmpl w:val="2F505F08"/>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EC56C9"/>
    <w:multiLevelType w:val="multilevel"/>
    <w:tmpl w:val="23EC56C9"/>
    <w:lvl w:ilvl="0">
      <w:start w:val="3"/>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BE0329"/>
    <w:multiLevelType w:val="multilevel"/>
    <w:tmpl w:val="73BE0329"/>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2D44947"/>
    <w:multiLevelType w:val="multilevel"/>
    <w:tmpl w:val="00000015"/>
    <w:lvl w:ilvl="0">
      <w:start w:val="1"/>
      <w:numFmt w:val="upperLetter"/>
      <w:lvlRestart w:val="0"/>
      <w:pStyle w:val="206"/>
      <w:suff w:val="nothing"/>
      <w:lvlText w:val="附　录　%1"/>
      <w:lvlJc w:val="left"/>
      <w:pPr>
        <w:ind w:left="0" w:hanging="0"/>
      </w:pPr>
      <w:rPr>
        <w:rFonts w:ascii="黑体" w:hAnsi="黑体" w:eastAsia="黑体" w:hint="eastAsia"/>
        <w:b w:val="0"/>
        <w:i w:val="0"/>
        <w:sz w:val="21"/>
      </w:rPr>
    </w:lvl>
    <w:lvl w:ilvl="1">
      <w:start w:val="1"/>
      <w:numFmt w:val="japaneseCounting"/>
      <w:pStyle w:val="207"/>
      <w:lvlText w:val="（%2）"/>
      <w:lvlJc w:val="left"/>
      <w:pPr>
        <w:ind w:left="0" w:hanging="0"/>
      </w:pPr>
      <w:rPr>
        <w:rFonts w:hint="default"/>
        <w:b w:val="0"/>
        <w:i w:val="0"/>
        <w:snapToGrid/>
        <w:spacing w:val="0"/>
        <w:w w:val="100"/>
        <w:kern w:val="21"/>
        <w:sz w:val="21"/>
      </w:rPr>
    </w:lvl>
    <w:lvl w:ilvl="2">
      <w:start w:val="1"/>
      <w:numFmt w:val="decimal"/>
      <w:pStyle w:val="208"/>
      <w:suff w:val="nothing"/>
      <w:lvlText w:val="%1.%2.%3　"/>
      <w:lvlJc w:val="left"/>
      <w:pPr>
        <w:ind w:left="0" w:hanging="0"/>
      </w:pPr>
      <w:rPr>
        <w:rFonts w:ascii="黑体" w:hAnsi="黑体" w:eastAsia="黑体" w:hint="eastAsia"/>
        <w:b w:val="0"/>
        <w:i w:val="0"/>
        <w:sz w:val="21"/>
      </w:rPr>
    </w:lvl>
    <w:lvl w:ilvl="3">
      <w:start w:val="1"/>
      <w:numFmt w:val="decimal"/>
      <w:pStyle w:val="209"/>
      <w:suff w:val="nothing"/>
      <w:lvlText w:val="%1.%2.%3.%4　"/>
      <w:lvlJc w:val="left"/>
      <w:pPr>
        <w:ind w:left="0" w:hanging="0"/>
      </w:pPr>
      <w:rPr>
        <w:rFonts w:ascii="黑体" w:hAnsi="黑体" w:eastAsia="黑体" w:hint="eastAsia"/>
        <w:b w:val="0"/>
        <w:i w:val="0"/>
        <w:sz w:val="21"/>
      </w:rPr>
    </w:lvl>
    <w:lvl w:ilvl="4">
      <w:start w:val="1"/>
      <w:numFmt w:val="decimal"/>
      <w:pStyle w:val="210"/>
      <w:suff w:val="nothing"/>
      <w:lvlText w:val="%1.%2.%3.%4.%5　"/>
      <w:lvlJc w:val="left"/>
      <w:pPr>
        <w:ind w:left="0" w:hanging="0"/>
      </w:pPr>
      <w:rPr>
        <w:rFonts w:ascii="黑体" w:hAnsi="黑体" w:eastAsia="黑体" w:hint="eastAsia"/>
        <w:b w:val="0"/>
        <w:i w:val="0"/>
        <w:sz w:val="21"/>
      </w:rPr>
    </w:lvl>
    <w:lvl w:ilvl="5">
      <w:start w:val="1"/>
      <w:numFmt w:val="decimal"/>
      <w:pStyle w:val="211"/>
      <w:suff w:val="nothing"/>
      <w:lvlText w:val="%1.%2.%3.%4.%5.%6　"/>
      <w:lvlJc w:val="left"/>
      <w:pPr>
        <w:ind w:left="0" w:hanging="0"/>
      </w:pPr>
      <w:rPr>
        <w:rFonts w:ascii="黑体" w:hAnsi="黑体" w:eastAsia="黑体" w:hint="eastAsia"/>
        <w:b w:val="0"/>
        <w:i w:val="0"/>
        <w:sz w:val="21"/>
      </w:rPr>
    </w:lvl>
    <w:lvl w:ilvl="6">
      <w:start w:val="1"/>
      <w:numFmt w:val="decimal"/>
      <w:pStyle w:val="212"/>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spacing w:before="280" w:after="290" w:line="377" w:lineRule="auto"/>
      <w:outlineLvl w:val="4"/>
    </w:pPr>
    <w:rPr>
      <w:b/>
      <w:bCs/>
      <w:sz w:val="28"/>
      <w:szCs w:val="28"/>
    </w:rPr>
  </w:style>
  <w:style w:type="paragraph" w:styleId="6">
    <w:name w:val="heading 6"/>
    <w:basedOn w:val="0"/>
    <w:next w:val="0"/>
    <w:pPr>
      <w:keepNext/>
      <w:keepLines/>
      <w:widowControl w:val="0"/>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spacing w:before="240" w:after="64" w:line="319" w:lineRule="auto"/>
      <w:outlineLvl w:val="6"/>
    </w:pPr>
    <w:rPr>
      <w:b/>
      <w:bCs/>
      <w:sz w:val="24"/>
    </w:rPr>
  </w:style>
  <w:style w:type="paragraph" w:styleId="8">
    <w:name w:val="heading 8"/>
    <w:basedOn w:val="0"/>
    <w:next w:val="0"/>
    <w:pPr>
      <w:keepNext/>
      <w:keepLines/>
      <w:widowControl w:val="0"/>
      <w:spacing w:before="240" w:after="64" w:line="319" w:lineRule="auto"/>
      <w:outlineLvl w:val="7"/>
    </w:pPr>
    <w:rPr>
      <w:rFonts w:ascii="Arial" w:eastAsia="黑体" w:hAnsi="Arial"/>
      <w:sz w:val="24"/>
    </w:rPr>
  </w:style>
  <w:style w:type="paragraph" w:styleId="9">
    <w:name w:val="heading 9"/>
    <w:basedOn w:val="0"/>
    <w:next w:val="0"/>
    <w:pPr>
      <w:keepNext/>
      <w:keepLines/>
      <w:widowControl w:val="0"/>
      <w:spacing w:before="240" w:after="64" w:line="319" w:lineRule="auto"/>
      <w:outlineLvl w:val="8"/>
    </w:pPr>
    <w:rPr>
      <w:rFonts w:ascii="Arial" w:eastAsia="黑体" w:hAnsi="Arial"/>
      <w:szCs w:val="21"/>
    </w:rPr>
  </w:style>
  <w:style w:type="character" w:default="1" w:styleId="10">
    <w:name w:val="Default Paragraph Font"/>
  </w:style>
  <w:style w:type="paragraph" w:styleId="15">
    <w:name w:val="List 3"/>
    <w:basedOn w:val="0"/>
    <w:pPr>
      <w:ind w:leftChars="400" w:left="600" w:hangingChars="200" w:hanging="200"/>
    </w:pPr>
  </w:style>
  <w:style w:type="paragraph" w:styleId="16">
    <w:name w:val="annotation text"/>
    <w:basedOn w:val="0"/>
    <w:pPr>
      <w:jc w:val="left"/>
    </w:pPr>
    <w:rPr>
      <w:szCs w:val="21"/>
    </w:rPr>
  </w:style>
  <w:style w:type="paragraph" w:styleId="17">
    <w:name w:val="annotation subject"/>
    <w:basedOn w:val="16"/>
    <w:next w:val="16"/>
    <w:rPr>
      <w:b/>
      <w:bCs/>
      <w:szCs w:val="24"/>
    </w:rPr>
  </w:style>
  <w:style w:type="paragraph" w:styleId="18">
    <w:name w:val="toc 7"/>
    <w:basedOn w:val="0"/>
    <w:next w:val="0"/>
    <w:pPr>
      <w:ind w:leftChars="1200" w:left="1200"/>
    </w:pPr>
  </w:style>
  <w:style w:type="paragraph" w:styleId="19">
    <w:name w:val="Body Text"/>
    <w:basedOn w:val="0"/>
    <w:pPr>
      <w:spacing w:after="120"/>
    </w:pPr>
  </w:style>
  <w:style w:type="paragraph" w:styleId="20">
    <w:name w:val="Body Text First Indent"/>
    <w:basedOn w:val="19"/>
    <w:pPr>
      <w:ind w:firstLineChars="100" w:firstLine="100"/>
    </w:pPr>
  </w:style>
  <w:style w:type="paragraph" w:styleId="21">
    <w:name w:val="List Number 2"/>
    <w:basedOn w:val="0"/>
    <w:pPr>
      <w:tabs>
        <w:tab w:val="left" w:pos="675"/>
        <w:tab w:val="left" w:pos="780"/>
      </w:tabs>
      <w:ind w:left="675" w:hanging="360"/>
    </w:pPr>
  </w:style>
  <w:style w:type="paragraph" w:styleId="22">
    <w:name w:val="table of authorities"/>
    <w:basedOn w:val="0"/>
    <w:next w:val="0"/>
    <w:pPr>
      <w:ind w:leftChars="200" w:left="200"/>
    </w:pPr>
  </w:style>
  <w:style w:type="paragraph" w:styleId="23">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cs="Courier New" w:hAnsi="Courier New"/>
      <w:kern w:val="2"/>
      <w:sz w:val="24"/>
      <w:szCs w:val="24"/>
      <w:lang w:val="en-US" w:eastAsia="zh-CN" w:bidi="ar-SA"/>
    </w:rPr>
  </w:style>
  <w:style w:type="paragraph" w:styleId="24">
    <w:name w:val="Note Heading"/>
    <w:basedOn w:val="0"/>
    <w:next w:val="0"/>
    <w:pPr>
      <w:jc w:val="center"/>
    </w:pPr>
  </w:style>
  <w:style w:type="paragraph" w:styleId="25">
    <w:name w:val="List Bullet 4"/>
    <w:basedOn w:val="0"/>
    <w:pPr>
      <w:tabs>
        <w:tab w:val="left" w:pos="750"/>
        <w:tab w:val="left" w:pos="1620"/>
      </w:tabs>
      <w:ind w:left="750" w:hanging="750"/>
    </w:pPr>
  </w:style>
  <w:style w:type="paragraph" w:styleId="26">
    <w:name w:val="index 8"/>
    <w:basedOn w:val="0"/>
    <w:next w:val="0"/>
    <w:pPr>
      <w:ind w:leftChars="1400" w:left="1400"/>
    </w:pPr>
  </w:style>
  <w:style w:type="paragraph" w:styleId="27">
    <w:name w:val="E-mail Signature"/>
    <w:basedOn w:val="0"/>
  </w:style>
  <w:style w:type="paragraph" w:styleId="28">
    <w:name w:val="List Number"/>
    <w:basedOn w:val="0"/>
    <w:pPr>
      <w:tabs>
        <w:tab w:val="left" w:pos="360"/>
        <w:tab w:val="left" w:pos="720"/>
      </w:tabs>
      <w:ind w:left="720" w:hanging="720"/>
    </w:pPr>
  </w:style>
  <w:style w:type="paragraph" w:styleId="29">
    <w:name w:val="Normal Indent"/>
    <w:basedOn w:val="0"/>
    <w:pPr>
      <w:ind w:firstLineChars="200" w:firstLine="200"/>
    </w:pPr>
  </w:style>
  <w:style w:type="paragraph" w:styleId="30">
    <w:name w:val="caption"/>
    <w:basedOn w:val="0"/>
    <w:next w:val="0"/>
    <w:pPr>
      <w:jc w:val="center"/>
    </w:pPr>
    <w:rPr>
      <w:rFonts w:ascii="Arial" w:eastAsia="黑体" w:cs="Arial" w:hAnsi="Arial"/>
      <w:sz w:val="24"/>
      <w:szCs w:val="20"/>
    </w:rPr>
  </w:style>
  <w:style w:type="paragraph" w:styleId="31">
    <w:name w:val="index 5"/>
    <w:basedOn w:val="0"/>
    <w:next w:val="0"/>
    <w:pPr>
      <w:ind w:leftChars="800" w:left="800"/>
    </w:pPr>
  </w:style>
  <w:style w:type="paragraph" w:styleId="32">
    <w:name w:val="List Bullet"/>
    <w:basedOn w:val="0"/>
    <w:pPr>
      <w:tabs>
        <w:tab w:val="left" w:pos="360"/>
        <w:tab w:val="left" w:pos="720"/>
      </w:tabs>
      <w:ind w:left="720" w:hanging="720"/>
    </w:pPr>
  </w:style>
  <w:style w:type="paragraph" w:styleId="33">
    <w:name w:val="envelope address"/>
    <w:basedOn w:val="0"/>
    <w:pPr>
      <w:snapToGrid w:val="0"/>
      <w:ind w:leftChars="1400" w:left="1400"/>
    </w:pPr>
    <w:rPr>
      <w:rFonts w:ascii="Arial" w:cs="Arial" w:hAnsi="Arial"/>
      <w:sz w:val="24"/>
    </w:rPr>
  </w:style>
  <w:style w:type="paragraph" w:styleId="34">
    <w:name w:val="Document Map"/>
    <w:basedOn w:val="0"/>
    <w:pPr>
      <w:shd w:val="clear" w:color="auto" w:fill="000080"/>
    </w:pPr>
  </w:style>
  <w:style w:type="paragraph" w:styleId="35">
    <w:name w:val="toa heading"/>
    <w:basedOn w:val="0"/>
    <w:next w:val="0"/>
    <w:pPr>
      <w:spacing w:before="120"/>
    </w:pPr>
    <w:rPr>
      <w:rFonts w:ascii="Arial" w:cs="Arial" w:hAnsi="Arial"/>
      <w:sz w:val="24"/>
    </w:rPr>
  </w:style>
  <w:style w:type="paragraph" w:styleId="36">
    <w:name w:val="index 6"/>
    <w:basedOn w:val="0"/>
    <w:next w:val="0"/>
    <w:pPr>
      <w:ind w:leftChars="1000" w:left="1000"/>
    </w:pPr>
  </w:style>
  <w:style w:type="paragraph" w:styleId="37">
    <w:name w:val="Salutation"/>
    <w:basedOn w:val="0"/>
    <w:next w:val="0"/>
  </w:style>
  <w:style w:type="paragraph" w:styleId="38">
    <w:name w:val="Body Text 3"/>
    <w:basedOn w:val="0"/>
    <w:pPr>
      <w:spacing w:after="120"/>
    </w:pPr>
    <w:rPr>
      <w:sz w:val="16"/>
      <w:szCs w:val="16"/>
    </w:rPr>
  </w:style>
  <w:style w:type="paragraph" w:styleId="39">
    <w:name w:val="Closing"/>
    <w:basedOn w:val="0"/>
    <w:pPr>
      <w:ind w:leftChars="2100" w:left="2100"/>
    </w:pPr>
  </w:style>
  <w:style w:type="paragraph" w:styleId="40">
    <w:name w:val="List Bullet 3"/>
    <w:basedOn w:val="0"/>
    <w:pPr>
      <w:tabs>
        <w:tab w:val="left" w:pos="480"/>
        <w:tab w:val="left" w:pos="1200"/>
      </w:tabs>
      <w:ind w:left="480" w:hanging="480"/>
    </w:pPr>
  </w:style>
  <w:style w:type="paragraph" w:styleId="41">
    <w:name w:val="Body Text Indent"/>
    <w:basedOn w:val="0"/>
    <w:pPr>
      <w:spacing w:after="120"/>
      <w:ind w:leftChars="200" w:left="200"/>
    </w:pPr>
  </w:style>
  <w:style w:type="paragraph" w:styleId="42">
    <w:name w:val="List Number 3"/>
    <w:basedOn w:val="0"/>
    <w:pPr>
      <w:tabs>
        <w:tab w:val="left" w:pos="360"/>
        <w:tab w:val="left" w:pos="1200"/>
      </w:tabs>
      <w:ind w:left="360" w:hanging="360"/>
    </w:pPr>
  </w:style>
  <w:style w:type="paragraph" w:styleId="43">
    <w:name w:val="List 2"/>
    <w:basedOn w:val="0"/>
    <w:pPr>
      <w:ind w:leftChars="200" w:left="400" w:hangingChars="200" w:hanging="200"/>
      <w:contextualSpacing/>
    </w:pPr>
  </w:style>
  <w:style w:type="paragraph" w:styleId="44">
    <w:name w:val="List Continue"/>
    <w:basedOn w:val="0"/>
    <w:pPr>
      <w:spacing w:after="120"/>
      <w:ind w:leftChars="200" w:left="200"/>
    </w:pPr>
  </w:style>
  <w:style w:type="paragraph" w:styleId="45">
    <w:name w:val="Block Text"/>
    <w:basedOn w:val="0"/>
    <w:pPr>
      <w:spacing w:after="120"/>
      <w:ind w:leftChars="700" w:left="700" w:rightChars="700" w:right="700"/>
    </w:pPr>
  </w:style>
  <w:style w:type="paragraph" w:styleId="46">
    <w:name w:val="List Bullet 2"/>
    <w:basedOn w:val="0"/>
    <w:pPr>
      <w:tabs>
        <w:tab w:val="left" w:pos="720"/>
        <w:tab w:val="left" w:pos="780"/>
      </w:tabs>
      <w:ind w:left="720" w:hanging="360"/>
    </w:pPr>
  </w:style>
  <w:style w:type="paragraph" w:styleId="47">
    <w:name w:val="HTML Address"/>
    <w:basedOn w:val="0"/>
    <w:rPr>
      <w:i/>
      <w:iCs/>
    </w:rPr>
  </w:style>
  <w:style w:type="paragraph" w:styleId="48">
    <w:name w:val="index 4"/>
    <w:basedOn w:val="0"/>
    <w:next w:val="0"/>
    <w:pPr>
      <w:ind w:leftChars="600" w:left="600"/>
    </w:pPr>
  </w:style>
  <w:style w:type="paragraph" w:styleId="49">
    <w:name w:val="toc 5"/>
    <w:basedOn w:val="0"/>
    <w:next w:val="0"/>
    <w:pPr>
      <w:ind w:leftChars="800" w:left="800"/>
    </w:pPr>
  </w:style>
  <w:style w:type="paragraph" w:styleId="50">
    <w:name w:val="toc 3"/>
    <w:basedOn w:val="0"/>
    <w:next w:val="0"/>
    <w:pPr>
      <w:tabs>
        <w:tab w:val="right" w:leader="dot" w:pos="8296"/>
      </w:tabs>
      <w:spacing w:line="312" w:lineRule="auto"/>
      <w:ind w:leftChars="400" w:left="400"/>
    </w:pPr>
    <w:rPr>
      <w:sz w:val="24"/>
    </w:rPr>
  </w:style>
  <w:style w:type="paragraph" w:styleId="51">
    <w:name w:val="Plain Text"/>
    <w:basedOn w:val="0"/>
    <w:rPr>
      <w:rFonts w:ascii="宋体" w:cs="Courier New"/>
      <w:szCs w:val="21"/>
    </w:rPr>
  </w:style>
  <w:style w:type="paragraph" w:styleId="52">
    <w:name w:val="List Bullet 5"/>
    <w:basedOn w:val="0"/>
    <w:pPr>
      <w:tabs>
        <w:tab w:val="left" w:pos="840"/>
        <w:tab w:val="left" w:pos="2040"/>
      </w:tabs>
      <w:ind w:left="840" w:hanging="420"/>
    </w:pPr>
  </w:style>
  <w:style w:type="paragraph" w:styleId="53">
    <w:name w:val="List Number 4"/>
    <w:basedOn w:val="0"/>
    <w:pPr>
      <w:tabs>
        <w:tab w:val="left" w:pos="960"/>
        <w:tab w:val="left" w:pos="1620"/>
      </w:tabs>
      <w:ind w:left="960" w:hanging="720"/>
    </w:pPr>
  </w:style>
  <w:style w:type="paragraph" w:styleId="54">
    <w:name w:val="toc 8"/>
    <w:basedOn w:val="0"/>
    <w:next w:val="0"/>
    <w:pPr>
      <w:ind w:leftChars="1400" w:left="1400"/>
    </w:pPr>
  </w:style>
  <w:style w:type="paragraph" w:styleId="55">
    <w:name w:val="index 3"/>
    <w:basedOn w:val="0"/>
    <w:next w:val="0"/>
    <w:pPr>
      <w:ind w:leftChars="400" w:left="400"/>
    </w:pPr>
  </w:style>
  <w:style w:type="paragraph" w:styleId="56">
    <w:name w:val="Date"/>
    <w:basedOn w:val="0"/>
    <w:next w:val="0"/>
    <w:pPr>
      <w:ind w:leftChars="2500" w:left="2500"/>
    </w:pPr>
  </w:style>
  <w:style w:type="paragraph" w:styleId="57">
    <w:name w:val="Body Text Indent 2"/>
    <w:basedOn w:val="0"/>
    <w:pPr>
      <w:spacing w:after="120" w:line="480" w:lineRule="auto"/>
      <w:ind w:leftChars="200" w:left="200"/>
    </w:pPr>
  </w:style>
  <w:style w:type="paragraph" w:styleId="58">
    <w:name w:val="endnote text"/>
    <w:basedOn w:val="0"/>
    <w:pPr>
      <w:snapToGrid w:val="0"/>
      <w:jc w:val="left"/>
    </w:pPr>
  </w:style>
  <w:style w:type="paragraph" w:styleId="59">
    <w:name w:val="List Continue 5"/>
    <w:basedOn w:val="0"/>
    <w:pPr>
      <w:spacing w:after="120"/>
      <w:ind w:leftChars="1000" w:left="1000"/>
    </w:pPr>
  </w:style>
  <w:style w:type="paragraph" w:styleId="60">
    <w:name w:val="Balloon Text"/>
    <w:basedOn w:val="0"/>
    <w:rPr>
      <w:sz w:val="18"/>
      <w:szCs w:val="18"/>
    </w:rPr>
  </w:style>
  <w:style w:type="paragraph" w:styleId="61">
    <w:name w:val="footer"/>
    <w:basedOn w:val="0"/>
    <w:pPr>
      <w:tabs>
        <w:tab w:val="center" w:pos="4153"/>
        <w:tab w:val="right" w:pos="8306"/>
      </w:tabs>
      <w:snapToGrid w:val="0"/>
      <w:jc w:val="left"/>
    </w:pPr>
    <w:rPr>
      <w:sz w:val="18"/>
    </w:rPr>
  </w:style>
  <w:style w:type="paragraph" w:styleId="62">
    <w:name w:val="envelope return"/>
    <w:basedOn w:val="0"/>
    <w:pPr>
      <w:snapToGrid w:val="0"/>
    </w:pPr>
    <w:rPr>
      <w:rFonts w:ascii="Arial" w:cs="Arial" w:hAnsi="Arial"/>
    </w:rPr>
  </w:style>
  <w:style w:type="paragraph" w:styleId="63">
    <w:name w:val="Body Text First Indent 2"/>
    <w:basedOn w:val="41"/>
    <w:pPr>
      <w:ind w:firstLineChars="200" w:firstLine="200"/>
    </w:pPr>
  </w:style>
  <w:style w:type="paragraph" w:styleId="64">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65">
    <w:name w:val="Signature"/>
    <w:basedOn w:val="0"/>
    <w:pPr>
      <w:ind w:leftChars="2100" w:left="2100"/>
    </w:pPr>
  </w:style>
  <w:style w:type="paragraph" w:styleId="66">
    <w:name w:val="toc 1"/>
    <w:basedOn w:val="0"/>
    <w:next w:val="0"/>
    <w:pPr>
      <w:tabs>
        <w:tab w:val="right" w:leader="dot" w:pos="8296"/>
      </w:tabs>
      <w:spacing w:line="312" w:lineRule="auto"/>
    </w:pPr>
    <w:rPr>
      <w:sz w:val="24"/>
    </w:rPr>
  </w:style>
  <w:style w:type="paragraph" w:styleId="67">
    <w:name w:val="List Continue 4"/>
    <w:basedOn w:val="0"/>
    <w:pPr>
      <w:spacing w:after="120"/>
      <w:ind w:leftChars="800" w:left="800"/>
    </w:pPr>
  </w:style>
  <w:style w:type="paragraph" w:styleId="68">
    <w:name w:val="toc 4"/>
    <w:basedOn w:val="0"/>
    <w:next w:val="0"/>
    <w:pPr>
      <w:ind w:leftChars="600" w:left="600"/>
    </w:pPr>
  </w:style>
  <w:style w:type="paragraph" w:styleId="69">
    <w:name w:val="index heading"/>
    <w:basedOn w:val="0"/>
    <w:next w:val="70"/>
    <w:rPr>
      <w:rFonts w:ascii="Arial" w:cs="Arial" w:hAnsi="Arial"/>
      <w:b/>
      <w:bCs/>
    </w:rPr>
  </w:style>
  <w:style w:type="paragraph" w:styleId="70">
    <w:name w:val="index 1"/>
    <w:basedOn w:val="0"/>
    <w:next w:val="0"/>
  </w:style>
  <w:style w:type="paragraph" w:styleId="71">
    <w:name w:val="Subtitle"/>
    <w:basedOn w:val="0"/>
    <w:pPr>
      <w:spacing w:before="240" w:after="60" w:line="312" w:lineRule="auto"/>
      <w:jc w:val="center"/>
      <w:outlineLvl w:val="1"/>
    </w:pPr>
    <w:rPr>
      <w:rFonts w:ascii="Arial" w:cs="Arial" w:hAnsi="Arial"/>
      <w:b/>
      <w:bCs/>
      <w:kern w:val="28"/>
      <w:sz w:val="32"/>
      <w:szCs w:val="32"/>
    </w:rPr>
  </w:style>
  <w:style w:type="paragraph" w:styleId="72">
    <w:name w:val="List Number 5"/>
    <w:basedOn w:val="0"/>
    <w:pPr>
      <w:tabs>
        <w:tab w:val="left" w:pos="2040"/>
      </w:tabs>
    </w:pPr>
  </w:style>
  <w:style w:type="paragraph" w:styleId="73">
    <w:name w:val="List"/>
    <w:basedOn w:val="0"/>
    <w:pPr>
      <w:ind w:left="200" w:hangingChars="200" w:hanging="200"/>
    </w:pPr>
  </w:style>
  <w:style w:type="paragraph" w:styleId="74">
    <w:name w:val="footnote text"/>
    <w:basedOn w:val="0"/>
    <w:pPr>
      <w:snapToGrid w:val="0"/>
      <w:jc w:val="left"/>
    </w:pPr>
    <w:rPr>
      <w:sz w:val="18"/>
      <w:szCs w:val="18"/>
    </w:rPr>
  </w:style>
  <w:style w:type="paragraph" w:styleId="75">
    <w:name w:val="toc 6"/>
    <w:basedOn w:val="0"/>
    <w:next w:val="0"/>
    <w:pPr>
      <w:ind w:leftChars="1000" w:left="1000"/>
    </w:pPr>
  </w:style>
  <w:style w:type="paragraph" w:styleId="76">
    <w:name w:val="List 5"/>
    <w:basedOn w:val="0"/>
    <w:pPr>
      <w:ind w:leftChars="800" w:left="1000" w:hangingChars="200" w:hanging="200"/>
    </w:pPr>
  </w:style>
  <w:style w:type="paragraph" w:styleId="77">
    <w:name w:val="Body Text Indent 3"/>
    <w:basedOn w:val="0"/>
    <w:pPr>
      <w:spacing w:after="120"/>
      <w:ind w:leftChars="200" w:left="200"/>
    </w:pPr>
    <w:rPr>
      <w:sz w:val="16"/>
      <w:szCs w:val="16"/>
    </w:rPr>
  </w:style>
  <w:style w:type="paragraph" w:styleId="78">
    <w:name w:val="index 7"/>
    <w:basedOn w:val="0"/>
    <w:next w:val="0"/>
    <w:pPr>
      <w:ind w:leftChars="1200" w:left="1200"/>
    </w:pPr>
  </w:style>
  <w:style w:type="paragraph" w:styleId="79">
    <w:name w:val="index 9"/>
    <w:basedOn w:val="0"/>
    <w:next w:val="0"/>
    <w:pPr>
      <w:ind w:leftChars="1600" w:left="1600"/>
    </w:pPr>
  </w:style>
  <w:style w:type="paragraph" w:styleId="80">
    <w:name w:val="table of figures"/>
    <w:basedOn w:val="0"/>
    <w:next w:val="0"/>
    <w:pPr>
      <w:ind w:leftChars="200" w:left="400" w:hangingChars="200" w:hanging="200"/>
    </w:pPr>
  </w:style>
  <w:style w:type="paragraph" w:styleId="81">
    <w:name w:val="toc 2"/>
    <w:basedOn w:val="0"/>
    <w:next w:val="0"/>
    <w:pPr>
      <w:tabs>
        <w:tab w:val="right" w:leader="dot" w:pos="8296"/>
      </w:tabs>
      <w:spacing w:line="312" w:lineRule="auto"/>
      <w:ind w:leftChars="200" w:left="200"/>
    </w:pPr>
    <w:rPr>
      <w:sz w:val="24"/>
    </w:rPr>
  </w:style>
  <w:style w:type="paragraph" w:styleId="82">
    <w:name w:val="toc 9"/>
    <w:basedOn w:val="0"/>
    <w:next w:val="0"/>
    <w:pPr>
      <w:ind w:leftChars="1600" w:left="1600"/>
    </w:pPr>
  </w:style>
  <w:style w:type="paragraph" w:styleId="83">
    <w:name w:val="Body Text 2"/>
    <w:basedOn w:val="0"/>
    <w:pPr>
      <w:spacing w:after="120" w:line="480" w:lineRule="auto"/>
    </w:pPr>
  </w:style>
  <w:style w:type="paragraph" w:styleId="84">
    <w:name w:val="List 4"/>
    <w:basedOn w:val="0"/>
    <w:pPr>
      <w:ind w:leftChars="600" w:left="800" w:hangingChars="200" w:hanging="200"/>
    </w:pPr>
  </w:style>
  <w:style w:type="paragraph" w:styleId="85">
    <w:name w:val="List Continue 2"/>
    <w:basedOn w:val="0"/>
    <w:pPr>
      <w:spacing w:after="120"/>
      <w:ind w:leftChars="400" w:left="400"/>
    </w:pPr>
  </w:style>
  <w:style w:type="paragraph" w:styleId="86">
    <w:name w:val="Message Header"/>
    <w:basedOn w:val="0"/>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Arial" w:cs="Arial" w:hAnsi="Arial"/>
      <w:sz w:val="24"/>
    </w:rPr>
  </w:style>
  <w:style w:type="paragraph" w:styleId="87">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88">
    <w:name w:val="Normal (Web)"/>
    <w:basedOn w:val="0"/>
    <w:pPr>
      <w:widowControl/>
      <w:spacing w:before="100" w:beforeAutospacing="1" w:after="100" w:afterAutospacing="1"/>
      <w:jc w:val="left"/>
    </w:pPr>
    <w:rPr>
      <w:rFonts w:ascii="宋体" w:cs="宋体"/>
      <w:kern w:val="0"/>
      <w:sz w:val="24"/>
    </w:rPr>
  </w:style>
  <w:style w:type="paragraph" w:styleId="89">
    <w:name w:val="List Continue 3"/>
    <w:basedOn w:val="0"/>
    <w:pPr>
      <w:spacing w:after="120"/>
      <w:ind w:leftChars="600" w:left="600"/>
    </w:pPr>
  </w:style>
  <w:style w:type="paragraph" w:styleId="90">
    <w:name w:val="index 2"/>
    <w:basedOn w:val="0"/>
    <w:next w:val="0"/>
    <w:pPr>
      <w:ind w:leftChars="200" w:left="200"/>
    </w:pPr>
  </w:style>
  <w:style w:type="paragraph" w:styleId="91">
    <w:name w:val="Title"/>
    <w:basedOn w:val="0"/>
    <w:pPr>
      <w:spacing w:before="240" w:after="60"/>
      <w:jc w:val="center"/>
      <w:outlineLvl w:val="0"/>
    </w:pPr>
    <w:rPr>
      <w:rFonts w:ascii="Arial" w:cs="Arial" w:hAnsi="Arial"/>
      <w:b/>
      <w:bCs/>
      <w:sz w:val="32"/>
      <w:szCs w:val="32"/>
    </w:rPr>
  </w:style>
  <w:style w:type="character" w:styleId="92">
    <w:name w:val="Strong"/>
    <w:basedOn w:val="10"/>
    <w:rPr>
      <w:b/>
      <w:bCs/>
    </w:rPr>
  </w:style>
  <w:style w:type="character" w:styleId="93">
    <w:name w:val="endnote reference"/>
    <w:rPr>
      <w:vertAlign w:val="superscript"/>
    </w:rPr>
  </w:style>
  <w:style w:type="character" w:styleId="94">
    <w:name w:val="page number"/>
    <w:basedOn w:val="10"/>
    <w:rPr>
      <w:rFonts w:ascii="Times New Roman" w:eastAsia="宋体" w:hAnsi="Times New Roman"/>
      <w:sz w:val="18"/>
    </w:rPr>
  </w:style>
  <w:style w:type="character" w:styleId="95">
    <w:name w:val="FollowedHyperlink"/>
    <w:basedOn w:val="10"/>
    <w:rPr>
      <w:color w:val="800080"/>
      <w:u w:val="single"/>
    </w:rPr>
  </w:style>
  <w:style w:type="character" w:styleId="96">
    <w:name w:val="Emphasis"/>
    <w:rPr>
      <w:i/>
      <w:iCs/>
    </w:rPr>
  </w:style>
  <w:style w:type="character" w:styleId="97">
    <w:name w:val="line number"/>
    <w:basedOn w:val="10"/>
  </w:style>
  <w:style w:type="character" w:styleId="98">
    <w:name w:val="HTML Definition"/>
    <w:rPr>
      <w:i/>
      <w:iCs/>
    </w:rPr>
  </w:style>
  <w:style w:type="character" w:styleId="99">
    <w:name w:val="HTML Typewriter"/>
    <w:rPr>
      <w:rFonts w:ascii="Courier New" w:cs="Courier New" w:hAnsi="Courier New"/>
      <w:sz w:val="20"/>
      <w:szCs w:val="20"/>
    </w:rPr>
  </w:style>
  <w:style w:type="character" w:styleId="100">
    <w:name w:val="HTML Acronym"/>
    <w:basedOn w:val="10"/>
  </w:style>
  <w:style w:type="character" w:styleId="101">
    <w:name w:val="HTML Variable"/>
    <w:rPr>
      <w:i/>
      <w:iCs/>
    </w:rPr>
  </w:style>
  <w:style w:type="character" w:styleId="102">
    <w:name w:val="Hyperlink"/>
    <w:basedOn w:val="10"/>
    <w:rPr>
      <w:color w:val="0000FF"/>
      <w:u w:val="single"/>
    </w:rPr>
  </w:style>
  <w:style w:type="character" w:styleId="103">
    <w:name w:val="HTML Code"/>
    <w:rPr>
      <w:rFonts w:ascii="Courier New" w:cs="Courier New" w:hAnsi="Courier New"/>
      <w:sz w:val="20"/>
      <w:szCs w:val="20"/>
    </w:rPr>
  </w:style>
  <w:style w:type="character" w:styleId="104">
    <w:name w:val="annotation reference"/>
    <w:basedOn w:val="10"/>
    <w:rPr>
      <w:sz w:val="21"/>
      <w:szCs w:val="21"/>
    </w:rPr>
  </w:style>
  <w:style w:type="character" w:styleId="105">
    <w:name w:val="HTML Cite"/>
    <w:rPr>
      <w:i/>
      <w:iCs/>
    </w:rPr>
  </w:style>
  <w:style w:type="character" w:styleId="106">
    <w:name w:val="footnote reference"/>
    <w:rPr>
      <w:vertAlign w:val="superscript"/>
    </w:rPr>
  </w:style>
  <w:style w:type="character" w:styleId="107">
    <w:name w:val="HTML Keyboard"/>
    <w:rPr>
      <w:rFonts w:ascii="Courier New" w:cs="Courier New" w:hAnsi="Courier New"/>
      <w:sz w:val="20"/>
      <w:szCs w:val="20"/>
    </w:rPr>
  </w:style>
  <w:style w:type="character" w:styleId="108">
    <w:name w:val="HTML Sample"/>
    <w:rPr>
      <w:rFonts w:ascii="Courier New" w:cs="Courier New" w:hAnsi="Courier New"/>
    </w:rPr>
  </w:style>
  <w:style w:type="paragraph" w:customStyle="1" w:styleId="109">
    <w:name w:val="封面标准英文名称"/>
    <w:pPr>
      <w:widowControl w:val="0"/>
      <w:spacing w:before="370" w:line="400" w:lineRule="exact"/>
      <w:ind w:firstLineChars="200" w:firstLine="200"/>
      <w:jc w:val="center"/>
    </w:pPr>
    <w:rPr>
      <w:rFonts w:ascii="Times New Roman" w:eastAsia="宋体" w:cs="Times New Roman" w:hAnsi="Times New Roman"/>
      <w:sz w:val="28"/>
      <w:szCs w:val="20"/>
      <w:lang w:val="en-US" w:eastAsia="zh-CN" w:bidi="ar-SA"/>
    </w:rPr>
  </w:style>
  <w:style w:type="paragraph" w:customStyle="1" w:styleId="110">
    <w:name w:val="标准"/>
    <w:basedOn w:val="0"/>
    <w:pPr>
      <w:adjustRightInd w:val="0"/>
      <w:spacing w:line="312" w:lineRule="atLeast"/>
      <w:jc w:val="center"/>
      <w:textAlignment w:val="baseline"/>
    </w:pPr>
    <w:rPr>
      <w:kern w:val="0"/>
      <w:szCs w:val="20"/>
    </w:rPr>
  </w:style>
  <w:style w:type="paragraph" w:customStyle="1" w:styleId="111">
    <w:name w:val="封面标准号2"/>
    <w:basedOn w:val="0"/>
  </w:style>
  <w:style w:type="paragraph" w:customStyle="1" w:styleId="112">
    <w:name w:val="章标题"/>
    <w:next w:val="0"/>
    <w:pPr>
      <w:tabs>
        <w:tab w:val="left" w:pos="675"/>
      </w:tabs>
      <w:spacing w:beforeLines="100" w:before="100" w:afterLines="100" w:after="100"/>
      <w:ind w:left="675" w:hanging="360"/>
      <w:jc w:val="both"/>
      <w:outlineLvl w:val="1"/>
    </w:pPr>
    <w:rPr>
      <w:rFonts w:ascii="黑体" w:eastAsia="黑体" w:cs="Times New Roman"/>
      <w:sz w:val="21"/>
      <w:szCs w:val="20"/>
      <w:lang w:val="en-US" w:eastAsia="zh-CN" w:bidi="ar-SA"/>
    </w:rPr>
  </w:style>
  <w:style w:type="paragraph" w:customStyle="1" w:styleId="113">
    <w:name w:val="段"/>
    <w:pPr>
      <w:autoSpaceDE w:val="0"/>
      <w:autoSpaceDN w:val="0"/>
      <w:ind w:firstLineChars="200" w:firstLine="200"/>
      <w:jc w:val="both"/>
    </w:pPr>
    <w:rPr>
      <w:rFonts w:ascii="宋体" w:eastAsia="宋体" w:cs="Times New Roman"/>
      <w:sz w:val="21"/>
      <w:szCs w:val="20"/>
      <w:lang w:val="en-US" w:eastAsia="zh-CN" w:bidi="ar-SA"/>
    </w:rPr>
  </w:style>
  <w:style w:type="paragraph" w:customStyle="1" w:styleId="114">
    <w:name w:val="列出段落1"/>
    <w:basedOn w:val="0"/>
    <w:pPr>
      <w:ind w:firstLineChars="200" w:firstLine="200"/>
    </w:pPr>
    <w:rPr>
      <w:rFonts w:ascii="Calibri" w:cs="黑体" w:hAnsi="Calibri"/>
      <w:szCs w:val="22"/>
    </w:rPr>
  </w:style>
  <w:style w:type="paragraph" w:customStyle="1" w:styleId="115">
    <w:name w:val="Char Char Char Char"/>
    <w:basedOn w:val="0"/>
    <w:pPr>
      <w:widowControl/>
      <w:spacing w:after="160" w:line="240" w:lineRule="exact"/>
      <w:jc w:val="left"/>
    </w:pPr>
  </w:style>
  <w:style w:type="character" w:customStyle="1" w:styleId="116">
    <w:name w:val="t_tag"/>
    <w:basedOn w:val="10"/>
  </w:style>
  <w:style w:type="character" w:customStyle="1" w:styleId="117">
    <w:name w:val="apple-converted-space"/>
    <w:basedOn w:val="10"/>
  </w:style>
  <w:style w:type="character" w:customStyle="1" w:styleId="118">
    <w:name w:val="apple-style-span"/>
    <w:basedOn w:val="10"/>
  </w:style>
  <w:style w:type="paragraph" w:styleId="119">
    <w:name w:val="List Paragraph"/>
    <w:basedOn w:val="0"/>
    <w:pPr>
      <w:ind w:firstLineChars="200" w:firstLine="200"/>
    </w:pPr>
  </w:style>
  <w:style w:type="character" w:customStyle="1" w:styleId="120">
    <w:name w:val="short_text1"/>
    <w:basedOn w:val="10"/>
    <w:rPr>
      <w:sz w:val="19"/>
      <w:szCs w:val="19"/>
    </w:rPr>
  </w:style>
  <w:style w:type="paragraph" w:customStyle="1" w:styleId="121">
    <w:name w:val="2"/>
    <w:pPr>
      <w:widowControl w:val="0"/>
      <w:jc w:val="both"/>
    </w:pPr>
    <w:rPr>
      <w:rFonts w:ascii="Times New Roman" w:eastAsia="宋体" w:cs="Times New Roman" w:hAnsi="Times New Roman"/>
      <w:kern w:val="2"/>
      <w:sz w:val="21"/>
      <w:szCs w:val="24"/>
      <w:lang w:val="en-US" w:eastAsia="zh-CN" w:bidi="ar-SA"/>
    </w:rPr>
  </w:style>
  <w:style w:type="character" w:customStyle="1" w:styleId="122">
    <w:name w:val="上标"/>
    <w:rPr>
      <w:vertAlign w:val="superscript"/>
    </w:rPr>
  </w:style>
  <w:style w:type="character" w:customStyle="1" w:styleId="123">
    <w:name w:val="z题名页日期"/>
    <w:rPr>
      <w:rFonts w:ascii="Times New Roman" w:eastAsia="宋体" w:hAnsi="Times New Roman"/>
      <w:spacing w:val="0"/>
      <w:sz w:val="28"/>
    </w:rPr>
  </w:style>
  <w:style w:type="character" w:customStyle="1" w:styleId="124">
    <w:name w:val="z题名页其他"/>
    <w:rPr>
      <w:rFonts w:ascii="Times New Roman" w:eastAsia="宋体" w:hAnsi="Times New Roman"/>
      <w:sz w:val="21"/>
    </w:rPr>
  </w:style>
  <w:style w:type="character" w:customStyle="1" w:styleId="125">
    <w:name w:val="datatitle1"/>
    <w:rPr>
      <w:b/>
      <w:bCs/>
      <w:color w:val="10619F"/>
      <w:sz w:val="21"/>
      <w:szCs w:val="21"/>
    </w:rPr>
  </w:style>
  <w:style w:type="character" w:customStyle="1" w:styleId="126">
    <w:name w:val="z题名页题名"/>
    <w:rPr>
      <w:rFonts w:ascii="Times New Roman" w:eastAsia="宋体" w:hAnsi="Times New Roman"/>
      <w:sz w:val="28"/>
    </w:rPr>
  </w:style>
  <w:style w:type="character" w:customStyle="1" w:styleId="127">
    <w:name w:val="z题名页作者"/>
    <w:basedOn w:val="126"/>
    <w:rPr>
      <w:rFonts w:ascii="Times New Roman" w:eastAsia="宋体" w:hAnsi="Times New Roman"/>
      <w:sz w:val="28"/>
    </w:rPr>
  </w:style>
  <w:style w:type="character" w:customStyle="1" w:styleId="128">
    <w:name w:val="z封面题名"/>
    <w:rPr>
      <w:rFonts w:ascii="Times New Roman" w:eastAsia="宋体" w:hAnsi="Times New Roman"/>
      <w:b/>
      <w:spacing w:val="0"/>
      <w:sz w:val="36"/>
    </w:rPr>
  </w:style>
  <w:style w:type="character" w:customStyle="1" w:styleId="129">
    <w:name w:val="z封面其他"/>
    <w:rPr>
      <w:rFonts w:ascii="Times New Roman" w:eastAsia="宋体" w:hAnsi="Times New Roman"/>
      <w:spacing w:val="0"/>
      <w:sz w:val="30"/>
    </w:rPr>
  </w:style>
  <w:style w:type="character" w:customStyle="1" w:styleId="130">
    <w:name w:val="u关键词"/>
    <w:rPr>
      <w:rFonts w:ascii="Times New Roman" w:eastAsia="黑体" w:hAnsi="Times New Roman"/>
      <w:b/>
      <w:sz w:val="24"/>
    </w:rPr>
  </w:style>
  <w:style w:type="paragraph" w:customStyle="1" w:styleId="131">
    <w:name w:val="u正文 Char"/>
    <w:basedOn w:val="0"/>
    <w:pPr>
      <w:spacing w:beforeLines="10" w:before="10" w:afterLines="10" w:after="10" w:line="312" w:lineRule="auto"/>
      <w:ind w:firstLineChars="200" w:firstLine="200"/>
    </w:pPr>
    <w:rPr>
      <w:rFonts w:cs="宋体"/>
      <w:sz w:val="24"/>
    </w:rPr>
  </w:style>
  <w:style w:type="character" w:customStyle="1" w:styleId="132">
    <w:name w:val="z封二题名"/>
    <w:rPr>
      <w:rFonts w:ascii="Times New Roman" w:eastAsia="宋体" w:hAnsi="Times New Roman"/>
      <w:sz w:val="36"/>
    </w:rPr>
  </w:style>
  <w:style w:type="character" w:customStyle="1" w:styleId="133">
    <w:name w:val="z书脊"/>
    <w:rPr>
      <w:rFonts w:ascii="Times New Roman" w:eastAsia="宋体" w:hAnsi="Times New Roman"/>
      <w:b/>
      <w:sz w:val="32"/>
    </w:rPr>
  </w:style>
  <w:style w:type="character" w:customStyle="1" w:styleId="134">
    <w:name w:val="z封二其他"/>
    <w:rPr>
      <w:rFonts w:ascii="Times New Roman" w:eastAsia="宋体" w:hAnsi="Times New Roman"/>
      <w:sz w:val="24"/>
    </w:rPr>
  </w:style>
  <w:style w:type="paragraph" w:customStyle="1" w:styleId="135">
    <w:name w:val="u页眉"/>
    <w:basedOn w:val="0"/>
    <w:pPr>
      <w:pBdr>
        <w:bottom w:val="single" w:sz="4" w:space="1" w:color="auto"/>
      </w:pBdr>
      <w:jc w:val="center"/>
    </w:pPr>
  </w:style>
  <w:style w:type="paragraph" w:customStyle="1" w:styleId="136">
    <w:name w:val="连续正文文字"/>
    <w:basedOn w:val="19"/>
    <w:pPr>
      <w:keepNext/>
      <w:widowControl/>
      <w:spacing w:after="220" w:line="180" w:lineRule="atLeast"/>
      <w:ind w:firstLine="476"/>
      <w:jc w:val="center"/>
    </w:pPr>
    <w:rPr>
      <w:spacing w:val="-5"/>
      <w:kern w:val="0"/>
      <w:sz w:val="30"/>
      <w:szCs w:val="20"/>
    </w:rPr>
  </w:style>
  <w:style w:type="paragraph" w:customStyle="1" w:styleId="137">
    <w:name w:val="正文（结尾部分）"/>
    <w:basedOn w:val="0"/>
    <w:pPr>
      <w:adjustRightInd w:val="0"/>
      <w:snapToGrid w:val="0"/>
      <w:spacing w:line="320" w:lineRule="exact"/>
      <w:ind w:firstLineChars="200" w:firstLine="200"/>
    </w:pPr>
  </w:style>
  <w:style w:type="paragraph" w:customStyle="1" w:styleId="138">
    <w:name w:val="基准页眉样式"/>
    <w:basedOn w:val="19"/>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39">
    <w:name w:val="图标题"/>
    <w:basedOn w:val="0"/>
    <w:next w:val="0"/>
    <w:pPr>
      <w:widowControl/>
      <w:spacing w:before="200" w:after="400" w:line="312" w:lineRule="auto"/>
      <w:ind w:firstLine="476"/>
      <w:jc w:val="center"/>
    </w:pPr>
    <w:rPr>
      <w:b/>
      <w:spacing w:val="-5"/>
      <w:kern w:val="0"/>
      <w:sz w:val="24"/>
      <w:szCs w:val="20"/>
    </w:rPr>
  </w:style>
  <w:style w:type="paragraph" w:customStyle="1" w:styleId="140">
    <w:name w:val="一级条标题"/>
    <w:basedOn w:val="112"/>
    <w:next w:val="113"/>
    <w:pPr>
      <w:tabs>
        <w:tab w:val="clear" w:pos="675"/>
        <w:tab w:val="left" w:pos="1680"/>
      </w:tabs>
      <w:spacing w:beforeLines="0" w:before="100" w:afterLines="0" w:after="100"/>
      <w:ind w:left="1680" w:hanging="420"/>
      <w:outlineLvl w:val="2"/>
    </w:pPr>
  </w:style>
  <w:style w:type="paragraph" w:customStyle="1" w:styleId="141">
    <w:name w:val="二级条标题"/>
    <w:basedOn w:val="140"/>
    <w:next w:val="113"/>
    <w:pPr>
      <w:tabs>
        <w:tab w:val="clear" w:pos="675"/>
        <w:tab w:val="left" w:pos="1680"/>
        <w:tab w:val="left" w:pos="2100"/>
      </w:tabs>
      <w:ind w:left="2100"/>
      <w:outlineLvl w:val="3"/>
    </w:pPr>
  </w:style>
  <w:style w:type="paragraph" w:customStyle="1" w:styleId="142">
    <w:name w:val="三级条标题"/>
    <w:basedOn w:val="141"/>
    <w:next w:val="113"/>
    <w:pPr>
      <w:tabs>
        <w:tab w:val="clear" w:pos="675"/>
        <w:tab w:val="left" w:pos="1680"/>
        <w:tab w:val="left" w:pos="2100"/>
        <w:tab w:val="left" w:pos="2520"/>
      </w:tabs>
      <w:ind w:left="2520"/>
      <w:outlineLvl w:val="4"/>
    </w:pPr>
  </w:style>
  <w:style w:type="paragraph" w:customStyle="1" w:styleId="143">
    <w:name w:val="四级条标题"/>
    <w:basedOn w:val="142"/>
    <w:next w:val="113"/>
    <w:pPr>
      <w:tabs>
        <w:tab w:val="clear" w:pos="675"/>
        <w:tab w:val="left" w:pos="1680"/>
        <w:tab w:val="left" w:pos="2100"/>
        <w:tab w:val="left" w:pos="2520"/>
        <w:tab w:val="left" w:pos="2940"/>
      </w:tabs>
      <w:ind w:left="2940"/>
      <w:outlineLvl w:val="5"/>
    </w:pPr>
  </w:style>
  <w:style w:type="paragraph" w:customStyle="1" w:styleId="144">
    <w:name w:val="五级条标题"/>
    <w:basedOn w:val="143"/>
    <w:next w:val="113"/>
    <w:pPr>
      <w:tabs>
        <w:tab w:val="clear" w:pos="675"/>
        <w:tab w:val="left" w:pos="1680"/>
        <w:tab w:val="left" w:pos="2100"/>
        <w:tab w:val="left" w:pos="2520"/>
        <w:tab w:val="left" w:pos="2940"/>
        <w:tab w:val="left" w:pos="3360"/>
      </w:tabs>
      <w:ind w:left="3360"/>
      <w:outlineLvl w:val="6"/>
    </w:pPr>
  </w:style>
  <w:style w:type="paragraph" w:customStyle="1" w:styleId="145">
    <w:name w:val="附录"/>
    <w:basedOn w:val="1"/>
    <w:next w:val="0"/>
    <w:pPr>
      <w:keepNext/>
      <w:keepLines/>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46">
    <w:name w:val="u正文"/>
    <w:basedOn w:val="0"/>
    <w:pPr>
      <w:spacing w:beforeLines="10" w:before="10" w:afterLines="10" w:after="10" w:line="312" w:lineRule="auto"/>
      <w:ind w:firstLineChars="200" w:firstLine="200"/>
    </w:pPr>
    <w:rPr>
      <w:rFonts w:cs="宋体"/>
      <w:sz w:val="24"/>
      <w:szCs w:val="20"/>
    </w:rPr>
  </w:style>
  <w:style w:type="paragraph" w:customStyle="1" w:styleId="147">
    <w:name w:val="样式 u正文 + 首行缩进:  2 字符 段前: 0.5 行 段后: 0.5 行"/>
    <w:basedOn w:val="146"/>
  </w:style>
  <w:style w:type="paragraph" w:customStyle="1" w:styleId="148">
    <w:name w:val="u标题"/>
    <w:basedOn w:val="1"/>
    <w:next w:val="131"/>
    <w:pPr>
      <w:spacing w:line="576" w:lineRule="auto"/>
      <w:jc w:val="center"/>
    </w:pPr>
    <w:rPr>
      <w:rFonts w:eastAsia="黑体"/>
      <w:sz w:val="30"/>
    </w:rPr>
  </w:style>
  <w:style w:type="paragraph" w:customStyle="1" w:styleId="149">
    <w:name w:val="u标题 自动分页"/>
    <w:basedOn w:val="148"/>
    <w:next w:val="146"/>
    <w:pPr>
      <w:keepNext/>
      <w:keepLines/>
      <w:pageBreakBefore/>
      <w:widowControl w:val="0"/>
    </w:pPr>
  </w:style>
  <w:style w:type="paragraph" w:customStyle="1" w:styleId="150">
    <w:name w:val="基准页脚样式"/>
    <w:basedOn w:val="19"/>
    <w:pPr>
      <w:keepLines/>
      <w:widowControl/>
      <w:spacing w:after="220" w:line="200" w:lineRule="atLeast"/>
      <w:ind w:firstLine="476"/>
      <w:jc w:val="center"/>
    </w:pPr>
    <w:rPr>
      <w:spacing w:val="-5"/>
      <w:kern w:val="0"/>
      <w:sz w:val="16"/>
      <w:szCs w:val="20"/>
    </w:rPr>
  </w:style>
  <w:style w:type="paragraph" w:customStyle="1" w:styleId="151">
    <w:name w:val="标准书脚_奇数页"/>
    <w:pPr>
      <w:spacing w:before="120"/>
      <w:ind w:right="198"/>
      <w:jc w:val="right"/>
    </w:pPr>
    <w:rPr>
      <w:rFonts w:ascii="宋体" w:eastAsia="宋体" w:cs="Times New Roman"/>
      <w:sz w:val="18"/>
      <w:szCs w:val="18"/>
      <w:lang w:val="en-US" w:eastAsia="zh-CN" w:bidi="ar-SA"/>
    </w:rPr>
  </w:style>
  <w:style w:type="paragraph" w:customStyle="1" w:styleId="152">
    <w:name w:val="样式 u正文 + 首行缩进:  2 字符 段前: 0.5 行 段后: 0.5 行1"/>
    <w:basedOn w:val="146"/>
  </w:style>
  <w:style w:type="paragraph" w:customStyle="1" w:styleId="153">
    <w:name w:val="前言、引言标题"/>
    <w:next w:val="0"/>
    <w:pPr>
      <w:shd w:val="clear" w:color="FFFFFF" w:fill="FFFFFF"/>
      <w:tabs>
        <w:tab w:val="left" w:pos="780"/>
      </w:tabs>
      <w:spacing w:before="640" w:after="560"/>
      <w:ind w:left="780" w:hanging="360"/>
      <w:jc w:val="center"/>
      <w:outlineLvl w:val="0"/>
    </w:pPr>
    <w:rPr>
      <w:rFonts w:ascii="黑体" w:eastAsia="黑体" w:cs="Times New Roman"/>
      <w:sz w:val="32"/>
      <w:szCs w:val="20"/>
      <w:lang w:val="en-US" w:eastAsia="zh-CN" w:bidi="ar-SA"/>
    </w:rPr>
  </w:style>
  <w:style w:type="paragraph" w:customStyle="1" w:styleId="154">
    <w:name w:val="ustb bt1"/>
    <w:basedOn w:val="1"/>
    <w:pPr>
      <w:spacing w:line="576" w:lineRule="auto"/>
    </w:pPr>
  </w:style>
  <w:style w:type="paragraph" w:customStyle="1" w:styleId="155">
    <w:name w:val="u正文2级标题"/>
    <w:basedOn w:val="2"/>
    <w:next w:val="0"/>
    <w:pPr>
      <w:spacing w:line="312" w:lineRule="auto"/>
      <w:ind w:left="360"/>
    </w:pPr>
    <w:rPr>
      <w:rFonts w:ascii="Times New Roman" w:eastAsia="Times New Roman" w:hAnsi="Times New Roman"/>
      <w:sz w:val="28"/>
    </w:rPr>
  </w:style>
  <w:style w:type="paragraph" w:customStyle="1" w:styleId="156">
    <w:name w:val="u参考文献条目著者出版年制"/>
    <w:basedOn w:val="0"/>
    <w:pPr>
      <w:spacing w:line="312" w:lineRule="auto"/>
      <w:ind w:left="200" w:hangingChars="200" w:hanging="200"/>
    </w:pPr>
    <w:rPr>
      <w:sz w:val="24"/>
    </w:rPr>
  </w:style>
  <w:style w:type="paragraph" w:customStyle="1" w:styleId="157">
    <w:name w:val="基准标题"/>
    <w:basedOn w:val="19"/>
    <w:next w:val="19"/>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58">
    <w:name w:val="Char"/>
    <w:basedOn w:val="0"/>
    <w:pPr>
      <w:widowControl/>
      <w:spacing w:after="160" w:line="240" w:lineRule="exact"/>
      <w:jc w:val="left"/>
    </w:pPr>
    <w:rPr>
      <w:rFonts w:ascii="Verdana" w:hAnsi="Verdana"/>
      <w:kern w:val="0"/>
      <w:sz w:val="20"/>
      <w:szCs w:val="20"/>
    </w:rPr>
  </w:style>
  <w:style w:type="paragraph" w:customStyle="1" w:styleId="159">
    <w:name w:val="u附录标题"/>
    <w:basedOn w:val="149"/>
    <w:pPr>
      <w:keepNext/>
      <w:keepLines/>
      <w:pageBreakBefore w:val="0"/>
      <w:widowControl w:val="0"/>
      <w:tabs>
        <w:tab w:val="left" w:pos="735"/>
        <w:tab w:val="left" w:pos="907"/>
      </w:tabs>
      <w:ind w:left="735" w:hanging="735"/>
      <w:jc w:val="left"/>
    </w:pPr>
  </w:style>
  <w:style w:type="paragraph" w:customStyle="1" w:styleId="160">
    <w:name w:val="样式 u正文 + 首行缩进:  2 字符 段前: 0.5 行1"/>
    <w:basedOn w:val="146"/>
    <w:pPr>
      <w:spacing w:beforeLines="20" w:before="20"/>
    </w:pPr>
    <w:rPr>
      <w:kern w:val="0"/>
    </w:rPr>
  </w:style>
  <w:style w:type="paragraph" w:customStyle="1" w:styleId="161">
    <w:name w:val="u表标题"/>
    <w:basedOn w:val="0"/>
    <w:pPr>
      <w:spacing w:beforeLines="150" w:before="150" w:afterLines="50" w:after="50" w:line="360" w:lineRule="auto"/>
      <w:jc w:val="center"/>
    </w:pPr>
    <w:rPr>
      <w:rFonts w:eastAsia="黑体"/>
      <w:b/>
    </w:rPr>
  </w:style>
  <w:style w:type="paragraph" w:customStyle="1" w:styleId="162">
    <w:name w:val="图表题"/>
    <w:basedOn w:val="0"/>
    <w:pPr>
      <w:adjustRightInd w:val="0"/>
      <w:snapToGrid w:val="0"/>
      <w:spacing w:line="400" w:lineRule="exact"/>
      <w:jc w:val="center"/>
    </w:pPr>
  </w:style>
  <w:style w:type="paragraph" w:customStyle="1" w:styleId="163">
    <w:name w:val="样式 u正文 + 首行缩进:  2 字符 段前: 0.5 行"/>
    <w:basedOn w:val="146"/>
    <w:pPr>
      <w:spacing w:beforeLines="0" w:before="10" w:beforeAutospacing="1"/>
    </w:pPr>
  </w:style>
  <w:style w:type="paragraph" w:customStyle="1" w:styleId="164">
    <w:name w:val="u正文1级标题"/>
    <w:basedOn w:val="1"/>
    <w:next w:val="0"/>
    <w:pPr>
      <w:keepNext/>
      <w:keepLines/>
      <w:pageBreakBefore/>
      <w:widowControl w:val="0"/>
      <w:spacing w:after="340" w:line="312" w:lineRule="auto"/>
    </w:pPr>
    <w:rPr>
      <w:rFonts w:eastAsia="黑体"/>
      <w:sz w:val="30"/>
    </w:rPr>
  </w:style>
  <w:style w:type="paragraph" w:customStyle="1" w:styleId="165">
    <w:name w:val="u脚注"/>
    <w:basedOn w:val="0"/>
    <w:pPr>
      <w:spacing w:before="100" w:beforeAutospacing="1" w:after="100" w:afterAutospacing="1"/>
    </w:pPr>
  </w:style>
  <w:style w:type="paragraph" w:customStyle="1" w:styleId="166">
    <w:name w:val="标准书眉_奇数页"/>
    <w:next w:val="0"/>
    <w:pPr>
      <w:tabs>
        <w:tab w:val="center" w:pos="4154"/>
        <w:tab w:val="right" w:pos="8306"/>
      </w:tabs>
      <w:spacing w:after="220"/>
      <w:jc w:val="right"/>
    </w:pPr>
    <w:rPr>
      <w:rFonts w:ascii="黑体" w:eastAsia="黑体" w:cs="Times New Roman"/>
      <w:sz w:val="21"/>
      <w:szCs w:val="21"/>
      <w:lang w:val="en-US" w:eastAsia="zh-CN" w:bidi="ar-SA"/>
    </w:rPr>
  </w:style>
  <w:style w:type="paragraph" w:customStyle="1" w:styleId="167">
    <w:name w:val="尾消息标题"/>
    <w:basedOn w:val="0"/>
    <w:next w:val="19"/>
    <w:pPr>
      <w:widowControl/>
      <w:pBdr>
        <w:bottom w:val="single" w:sz="6" w:space="19" w:color="auto"/>
        <w:between w:val="single" w:sz="6" w:space="1" w:color="auto"/>
      </w:pBdr>
      <w:tabs>
        <w:tab w:val="left" w:pos="1260"/>
        <w:tab w:val="left" w:pos="2940"/>
      </w:tabs>
      <w:spacing w:before="120" w:after="120" w:line="312" w:lineRule="auto"/>
      <w:jc w:val="left"/>
    </w:pPr>
    <w:rPr>
      <w:spacing w:val="-5"/>
      <w:kern w:val="0"/>
      <w:sz w:val="24"/>
      <w:szCs w:val="20"/>
    </w:rPr>
  </w:style>
  <w:style w:type="paragraph" w:customStyle="1" w:styleId="168">
    <w:name w:val="u正文3级标题"/>
    <w:basedOn w:val="3"/>
    <w:next w:val="0"/>
    <w:pPr>
      <w:spacing w:line="312" w:lineRule="auto"/>
      <w:ind w:left="2160"/>
    </w:pPr>
    <w:rPr>
      <w:rFonts w:eastAsia="Times New Roman"/>
      <w:sz w:val="28"/>
    </w:rPr>
  </w:style>
  <w:style w:type="paragraph" w:customStyle="1" w:styleId="169">
    <w:name w:val="表标题"/>
    <w:basedOn w:val="0"/>
    <w:next w:val="0"/>
    <w:pPr>
      <w:widowControl/>
      <w:spacing w:before="400" w:after="200" w:line="312" w:lineRule="auto"/>
      <w:jc w:val="left"/>
    </w:pPr>
    <w:rPr>
      <w:b/>
      <w:spacing w:val="-5"/>
      <w:kern w:val="0"/>
      <w:sz w:val="24"/>
      <w:szCs w:val="20"/>
    </w:rPr>
  </w:style>
  <w:style w:type="paragraph" w:customStyle="1" w:styleId="170">
    <w:name w:val="其他"/>
    <w:basedOn w:val="0"/>
  </w:style>
  <w:style w:type="paragraph" w:customStyle="1" w:styleId="171">
    <w:name w:val="u参考文献条目顺序编码制"/>
    <w:basedOn w:val="0"/>
    <w:pPr>
      <w:tabs>
        <w:tab w:val="left" w:pos="525"/>
        <w:tab w:val="left" w:pos="927"/>
      </w:tabs>
      <w:spacing w:before="100" w:beforeAutospacing="1" w:after="100" w:afterAutospacing="1" w:line="312" w:lineRule="auto"/>
      <w:ind w:left="525" w:hanging="525"/>
    </w:pPr>
    <w:rPr>
      <w:sz w:val="24"/>
    </w:rPr>
  </w:style>
  <w:style w:type="paragraph" w:customStyle="1" w:styleId="172">
    <w:name w:val="u正文 + 首行缩进:  2 字符 段前: 0.5 行2"/>
    <w:basedOn w:val="146"/>
    <w:pPr>
      <w:spacing w:beforeLines="20" w:before="20"/>
    </w:pPr>
    <w:rPr>
      <w:kern w:val="0"/>
    </w:rPr>
  </w:style>
  <w:style w:type="paragraph" w:customStyle="1" w:styleId="173">
    <w:name w:val="u图标题"/>
    <w:basedOn w:val="0"/>
    <w:next w:val="146"/>
    <w:pPr>
      <w:spacing w:beforeLines="50" w:before="50" w:afterLines="150" w:after="150" w:line="360" w:lineRule="auto"/>
      <w:jc w:val="center"/>
    </w:pPr>
    <w:rPr>
      <w:rFonts w:eastAsia="黑体"/>
      <w:b/>
    </w:rPr>
  </w:style>
  <w:style w:type="paragraph" w:customStyle="1" w:styleId="174">
    <w:name w:val="样式 u表标题 + 段前: 1.5 行"/>
    <w:basedOn w:val="161"/>
    <w:rPr>
      <w:rFonts w:cs="宋体"/>
      <w:bCs/>
      <w:szCs w:val="20"/>
    </w:rPr>
  </w:style>
  <w:style w:type="paragraph" w:customStyle="1" w:styleId="175">
    <w:name w:val="图片"/>
    <w:basedOn w:val="0"/>
    <w:next w:val="30"/>
    <w:pPr>
      <w:keepNext/>
      <w:widowControl/>
      <w:spacing w:line="312" w:lineRule="auto"/>
      <w:ind w:firstLine="476"/>
      <w:jc w:val="left"/>
    </w:pPr>
    <w:rPr>
      <w:spacing w:val="-5"/>
      <w:kern w:val="0"/>
      <w:sz w:val="24"/>
      <w:szCs w:val="20"/>
    </w:rPr>
  </w:style>
  <w:style w:type="paragraph" w:customStyle="1" w:styleId="176">
    <w:name w:val="Char Char Char Char Char Char Char Char Char"/>
    <w:basedOn w:val="0"/>
    <w:pPr>
      <w:widowControl/>
      <w:spacing w:after="160" w:line="240" w:lineRule="exact"/>
      <w:jc w:val="left"/>
    </w:pPr>
    <w:rPr>
      <w:rFonts w:ascii="Verdana" w:eastAsia="仿宋_GB2312" w:hAnsi="Verdana"/>
      <w:kern w:val="0"/>
      <w:sz w:val="24"/>
      <w:szCs w:val="20"/>
    </w:rPr>
  </w:style>
  <w:style w:type="paragraph" w:customStyle="1" w:styleId="177">
    <w:name w:val="样式1"/>
    <w:basedOn w:val="0"/>
    <w:pPr>
      <w:spacing w:beforeLines="10" w:before="10" w:afterLines="10" w:after="10" w:line="312" w:lineRule="auto"/>
      <w:ind w:firstLineChars="200" w:firstLine="200"/>
    </w:pPr>
    <w:rPr>
      <w:rFonts w:cs="宋体"/>
      <w:sz w:val="24"/>
    </w:rPr>
  </w:style>
  <w:style w:type="paragraph" w:customStyle="1" w:styleId="178">
    <w:name w:val="u标题 不入目录"/>
    <w:basedOn w:val="0"/>
    <w:pPr>
      <w:jc w:val="center"/>
    </w:pPr>
    <w:rPr>
      <w:rFonts w:eastAsia="黑体"/>
      <w:b/>
      <w:sz w:val="30"/>
      <w:szCs w:val="30"/>
    </w:rPr>
  </w:style>
  <w:style w:type="paragraph" w:customStyle="1" w:styleId="179">
    <w:name w:val="xl63"/>
    <w:basedOn w:val="0"/>
    <w:pPr>
      <w:widowControl/>
      <w:spacing w:before="100" w:beforeAutospacing="1" w:after="100" w:afterAutospacing="1"/>
      <w:jc w:val="center"/>
      <w:textAlignment w:val="center"/>
    </w:pPr>
    <w:rPr>
      <w:rFonts w:ascii="宋体" w:cs="宋体"/>
      <w:kern w:val="0"/>
      <w:sz w:val="24"/>
    </w:rPr>
  </w:style>
  <w:style w:type="paragraph" w:customStyle="1" w:styleId="180">
    <w:name w:val="xl6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1">
    <w:name w:val="xl6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2">
    <w:name w:val="xl6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3">
    <w:name w:val="xl6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4">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185">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6">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187">
    <w:name w:val="font5"/>
    <w:basedOn w:val="0"/>
    <w:pPr>
      <w:widowControl/>
      <w:spacing w:before="100" w:beforeAutospacing="1" w:after="100" w:afterAutospacing="1"/>
      <w:jc w:val="left"/>
    </w:pPr>
    <w:rPr>
      <w:rFonts w:ascii="宋体" w:cs="宋体"/>
      <w:kern w:val="0"/>
      <w:sz w:val="18"/>
      <w:szCs w:val="18"/>
    </w:rPr>
  </w:style>
  <w:style w:type="paragraph" w:customStyle="1" w:styleId="188">
    <w:name w:val="xl71"/>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189">
    <w:name w:val="xl72"/>
    <w:basedOn w:val="0"/>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190">
    <w:name w:val="xl73"/>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191">
    <w:name w:val="xl74"/>
    <w:basedOn w:val="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192">
    <w:name w:val="xl75"/>
    <w:basedOn w:val="0"/>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193">
    <w:name w:val="xl76"/>
    <w:basedOn w:val="0"/>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194">
    <w:name w:val="xl77"/>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195">
    <w:name w:val="xl78"/>
    <w:basedOn w:val="0"/>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196">
    <w:name w:val="xl79"/>
    <w:basedOn w:val="0"/>
    <w:pPr>
      <w:widowControl/>
      <w:pBdr>
        <w:top w:val="single" w:sz="8" w:space="0" w:color="auto"/>
        <w:left w:val="single" w:sz="8" w:space="0" w:color="auto"/>
        <w:right w:val="single" w:sz="8" w:space="0" w:color="auto"/>
      </w:pBdr>
      <w:spacing w:before="100" w:beforeAutospacing="1" w:after="100" w:afterAutospacing="1"/>
      <w:jc w:val="center"/>
    </w:pPr>
    <w:rPr>
      <w:rFonts w:ascii="宋体" w:cs="宋体"/>
      <w:kern w:val="0"/>
      <w:sz w:val="18"/>
      <w:szCs w:val="18"/>
    </w:rPr>
  </w:style>
  <w:style w:type="paragraph" w:customStyle="1" w:styleId="197">
    <w:name w:val="xl80"/>
    <w:basedOn w:val="0"/>
    <w:pPr>
      <w:widowControl/>
      <w:pBdr>
        <w:left w:val="single" w:sz="8" w:space="0" w:color="auto"/>
        <w:bottom w:val="single" w:sz="8" w:space="0" w:color="auto"/>
        <w:right w:val="single" w:sz="8" w:space="0" w:color="auto"/>
      </w:pBdr>
      <w:spacing w:before="100" w:beforeAutospacing="1" w:after="100" w:afterAutospacing="1"/>
      <w:jc w:val="center"/>
    </w:pPr>
    <w:rPr>
      <w:rFonts w:ascii="宋体" w:cs="宋体"/>
      <w:kern w:val="0"/>
      <w:sz w:val="18"/>
      <w:szCs w:val="18"/>
    </w:rPr>
  </w:style>
  <w:style w:type="paragraph" w:customStyle="1" w:styleId="198">
    <w:name w:val="xl81"/>
    <w:basedOn w:val="0"/>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199">
    <w:name w:val="xl82"/>
    <w:basedOn w:val="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200">
    <w:name w:val="xl83"/>
    <w:basedOn w:val="0"/>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201">
    <w:name w:val="xl84"/>
    <w:basedOn w:val="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202">
    <w:name w:val="xl85"/>
    <w:basedOn w:val="0"/>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203">
    <w:name w:val="1"/>
    <w:pPr>
      <w:widowControl w:val="0"/>
      <w:jc w:val="both"/>
    </w:pPr>
    <w:rPr>
      <w:rFonts w:ascii="Times New Roman" w:eastAsia="宋体" w:cs="Times New Roman" w:hAnsi="Times New Roman"/>
      <w:kern w:val="2"/>
      <w:sz w:val="21"/>
      <w:szCs w:val="24"/>
      <w:lang w:val="en-US" w:eastAsia="zh-CN" w:bidi="ar-SA"/>
    </w:rPr>
  </w:style>
  <w:style w:type="character" w:styleId="204">
    <w:name w:val="Placeholder Text"/>
    <w:basedOn w:val="10"/>
    <w:rPr>
      <w:color w:val="808080"/>
    </w:rPr>
  </w:style>
  <w:style w:type="character" w:customStyle="1" w:styleId="205">
    <w:name w:val="段 Char"/>
    <w:rPr>
      <w:rFonts w:ascii="宋体"/>
      <w:sz w:val="21"/>
      <w:lang w:bidi="ar-SA"/>
    </w:rPr>
  </w:style>
  <w:style w:type="paragraph" w:customStyle="1" w:styleId="206">
    <w:name w:val="附录标识"/>
    <w:basedOn w:val="153"/>
    <w:pPr>
      <w:numPr>
        <w:ilvl w:val="0"/>
        <w:numId w:val="10"/>
      </w:numPr>
      <w:tabs>
        <w:tab w:val="left" w:pos="780"/>
        <w:tab w:val="left" w:pos="6405"/>
      </w:tabs>
      <w:spacing w:after="200"/>
    </w:pPr>
    <w:rPr>
      <w:sz w:val="21"/>
    </w:rPr>
  </w:style>
  <w:style w:type="paragraph" w:customStyle="1" w:styleId="207">
    <w:name w:val="附录章标题"/>
    <w:next w:val="113"/>
    <w:pPr>
      <w:numPr>
        <w:ilvl w:val="1"/>
        <w:numId w:val="10"/>
      </w:num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208">
    <w:name w:val="附录一级条标题"/>
    <w:basedOn w:val="207"/>
    <w:next w:val="113"/>
    <w:pPr>
      <w:numPr>
        <w:ilvl w:val="2"/>
        <w:numId w:val="10"/>
      </w:numPr>
      <w:wordWrap w:val="0"/>
      <w:overflowPunct w:val="0"/>
      <w:autoSpaceDE w:val="0"/>
      <w:autoSpaceDN w:val="0"/>
      <w:spacing w:beforeLines="0" w:before="50" w:afterLines="0" w:after="50"/>
      <w:outlineLvl w:val="2"/>
    </w:pPr>
  </w:style>
  <w:style w:type="paragraph" w:customStyle="1" w:styleId="209">
    <w:name w:val="附录二级条标题"/>
    <w:basedOn w:val="208"/>
    <w:next w:val="113"/>
    <w:pPr>
      <w:numPr>
        <w:ilvl w:val="3"/>
        <w:numId w:val="10"/>
      </w:numPr>
      <w:outlineLvl w:val="3"/>
    </w:pPr>
  </w:style>
  <w:style w:type="paragraph" w:customStyle="1" w:styleId="210">
    <w:name w:val="附录三级条标题"/>
    <w:basedOn w:val="209"/>
    <w:next w:val="113"/>
    <w:pPr>
      <w:numPr>
        <w:ilvl w:val="4"/>
        <w:numId w:val="10"/>
      </w:numPr>
      <w:outlineLvl w:val="4"/>
    </w:pPr>
  </w:style>
  <w:style w:type="paragraph" w:customStyle="1" w:styleId="211">
    <w:name w:val="附录四级条标题"/>
    <w:basedOn w:val="210"/>
    <w:next w:val="113"/>
    <w:pPr>
      <w:numPr>
        <w:ilvl w:val="5"/>
        <w:numId w:val="10"/>
      </w:numPr>
      <w:outlineLvl w:val="5"/>
    </w:pPr>
  </w:style>
  <w:style w:type="paragraph" w:customStyle="1" w:styleId="212">
    <w:name w:val="附录五级条标题"/>
    <w:basedOn w:val="211"/>
    <w:next w:val="113"/>
    <w:pPr>
      <w:numPr>
        <w:ilvl w:val="6"/>
        <w:numId w:val="10"/>
      </w:numPr>
      <w:outlineLvl w:val="6"/>
    </w:pPr>
  </w:style>
  <w:style w:type="character" w:customStyle="1" w:styleId="213">
    <w:name w:val="font91"/>
    <w:basedOn w:val="10"/>
    <w:rPr>
      <w:rFonts w:ascii="宋体" w:eastAsia="宋体" w:cs="宋体"/>
      <w:b/>
      <w:color w:val="000000"/>
      <w:sz w:val="32"/>
      <w:szCs w:val="32"/>
      <w:u w:val="none"/>
    </w:rPr>
  </w:style>
  <w:style w:type="character" w:customStyle="1" w:styleId="214">
    <w:name w:val="font11"/>
    <w:basedOn w:val="10"/>
    <w:rPr>
      <w:rFonts w:ascii="Times New Roman" w:cs="Times New Roman" w:hAnsi="Times New Roman"/>
      <w:b/>
      <w:color w:val="000000"/>
      <w:sz w:val="32"/>
      <w:szCs w:val="32"/>
      <w:u w:val="none"/>
    </w:rPr>
  </w:style>
  <w:style w:type="character" w:customStyle="1" w:styleId="215">
    <w:name w:val="font71"/>
    <w:basedOn w:val="10"/>
    <w:rPr>
      <w:rFonts w:ascii="Times New Roman" w:cs="Times New Roman" w:hAnsi="Times New Roman"/>
      <w:b/>
      <w:color w:val="000000"/>
      <w:sz w:val="20"/>
      <w:szCs w:val="20"/>
      <w:u w:val="none"/>
    </w:rPr>
  </w:style>
  <w:style w:type="character" w:customStyle="1" w:styleId="216">
    <w:name w:val="font41"/>
    <w:basedOn w:val="10"/>
    <w:rPr>
      <w:rFonts w:ascii="宋体" w:eastAsia="宋体" w:cs="宋体"/>
      <w:b/>
      <w:color w:val="000000"/>
      <w:sz w:val="20"/>
      <w:szCs w:val="20"/>
      <w:u w:val="none"/>
    </w:rPr>
  </w:style>
  <w:style w:type="character" w:customStyle="1" w:styleId="217">
    <w:name w:val="font51"/>
    <w:basedOn w:val="10"/>
    <w:rPr>
      <w:rFonts w:ascii="宋体" w:eastAsia="宋体" w:cs="宋体"/>
      <w:color w:val="000000"/>
      <w:sz w:val="20"/>
      <w:szCs w:val="20"/>
      <w:u w:val="none"/>
    </w:rPr>
  </w:style>
  <w:style w:type="character" w:customStyle="1" w:styleId="218">
    <w:name w:val="font21"/>
    <w:basedOn w:val="10"/>
    <w:rPr>
      <w:rFonts w:ascii="Times New Roman" w:cs="Times New Roman" w:hAnsi="Times New Roman"/>
      <w:color w:val="000000"/>
      <w:sz w:val="20"/>
      <w:szCs w:val="20"/>
      <w:u w:val="none"/>
    </w:rPr>
  </w:style>
  <w:style w:type="character" w:customStyle="1" w:styleId="219">
    <w:name w:val="font81"/>
    <w:basedOn w:val="10"/>
    <w:rPr>
      <w:rFonts w:ascii="宋体" w:eastAsia="宋体" w:cs="宋体"/>
      <w:color w:val="FF0000"/>
      <w:sz w:val="20"/>
      <w:szCs w:val="20"/>
      <w:u w:val="none"/>
    </w:rPr>
  </w:style>
  <w:style w:type="character" w:customStyle="1" w:styleId="220">
    <w:name w:val="font31"/>
    <w:basedOn w:val="10"/>
    <w:rPr>
      <w:rFonts w:ascii="Times New Roman" w:cs="Times New Roman" w:hAnsi="Times New Roman"/>
      <w:color w:val="FF0000"/>
      <w:sz w:val="20"/>
      <w:szCs w:val="20"/>
      <w:u w:val="none"/>
    </w:rPr>
  </w:style>
  <w:style w:type="character" w:customStyle="1" w:styleId="221">
    <w:name w:val="font61"/>
    <w:basedOn w:val="10"/>
    <w:rPr>
      <w:rFonts w:ascii="Times New Roman" w:cs="Times New Roman" w:hAnsi="Times New Roman"/>
      <w:b/>
      <w:color w:val="000000"/>
      <w:sz w:val="20"/>
      <w:szCs w:val="20"/>
      <w:u w:val="none"/>
    </w:rPr>
  </w:style>
  <w:style w:type="character" w:customStyle="1" w:styleId="222">
    <w:name w:val="font01"/>
    <w:basedOn w:val="10"/>
    <w:rPr>
      <w:rFonts w:ascii="宋体" w:eastAsia="宋体" w:cs="宋体"/>
      <w:color w:val="000000"/>
      <w:sz w:val="22"/>
      <w:szCs w:val="22"/>
      <w:u w:val="none"/>
    </w:rPr>
  </w:style>
  <w:style w:type="paragraph" w:customStyle="1" w:styleId="223">
    <w:name w:val="ENFI正文"/>
    <w:basedOn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24">
    <w:name w:val="p0"/>
    <w:basedOn w:val="0"/>
    <w:pPr>
      <w:widowControl/>
    </w:pPr>
    <w:rPr>
      <w:rFonts w:ascii="Calibri" w:cs="宋体" w:hAnsi="Calibri"/>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wmf"/><Relationship Id="rId6" Type="http://schemas.openxmlformats.org/officeDocument/2006/relationships/oleObject" Target="embeddings/oleObject1.bin"/><Relationship Id="rId7" Type="http://schemas.openxmlformats.org/officeDocument/2006/relationships/image" Target="media/2.wmf"/><Relationship Id="rId8" Type="http://schemas.openxmlformats.org/officeDocument/2006/relationships/oleObject" Target="embeddings/oleObject2.bin"/><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1358</TotalTime>
  <Application>Yozo_Office27021597764231179</Application>
  <Pages>14</Pages>
  <Words>12738</Words>
  <Characters>18605</Characters>
  <Lines>1721</Lines>
  <Paragraphs>1501</Paragraphs>
  <CharactersWithSpaces>19923</CharactersWithSpaces>
  <Company>www.xunchi.com</Company>
</Properties>
</file>

<file path=docProps/core.xml><?xml version="1.0" encoding="utf-8"?>
<cp:coreProperties xmlns:cp="http://schemas.openxmlformats.org/package/2006/metadata/core-properties" xmlns:dc="http://purl.org/dc/elements/1.1/" xmlns:dcterms="http://purl.org/dc/terms/" xmlns:xsi="http://www.w3.org/2001/XMLSchema-instance">
  <dc:title>再生锌化学分析方法</dc:title>
  <dc:creator>zljy05</dc:creator>
  <cp:lastModifiedBy>Administrator</cp:lastModifiedBy>
  <cp:revision>24</cp:revision>
  <cp:lastPrinted>2021-07-09T07:12:00Z</cp:lastPrinted>
  <dcterms:created xsi:type="dcterms:W3CDTF">2021-04-07T07:11:00Z</dcterms:created>
  <dcterms:modified xsi:type="dcterms:W3CDTF">2022-07-21T03:05:50Z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ies>
</file>