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</w:pPr>
    </w:p>
    <w:p>
      <w:pPr>
        <w:pStyle w:val="13"/>
        <w:spacing w:line="240" w:lineRule="auto"/>
        <w:rPr>
          <w:rFonts w:hint="eastAsia" w:eastAsiaTheme="minorEastAsia"/>
          <w:b/>
          <w:bCs/>
          <w:sz w:val="19"/>
          <w:szCs w:val="19"/>
          <w:lang w:eastAsia="zh-CN"/>
        </w:rPr>
      </w:pPr>
    </w:p>
    <w:p>
      <w:pPr>
        <w:pStyle w:val="13"/>
        <w:spacing w:line="240" w:lineRule="auto"/>
      </w:pPr>
      <w:r>
        <w:rPr>
          <w:b/>
          <w:bCs/>
          <w:sz w:val="19"/>
          <w:szCs w:val="19"/>
        </w:rPr>
        <w:t xml:space="preserve">ICS </w:t>
      </w:r>
      <w:r>
        <w:t>77.150.60</w:t>
      </w:r>
    </w:p>
    <w:p>
      <w:pPr>
        <w:pStyle w:val="13"/>
        <w:spacing w:after="1300" w:line="216" w:lineRule="auto"/>
      </w:pPr>
      <w:r>
        <w:rPr>
          <w:b/>
          <w:bCs/>
          <w:sz w:val="19"/>
          <w:szCs w:val="19"/>
        </w:rPr>
        <w:t xml:space="preserve">H </w:t>
      </w:r>
      <w:r>
        <w:t>62</w:t>
      </w:r>
    </w:p>
    <w:p>
      <w:pPr>
        <w:pStyle w:val="15"/>
        <w:keepNext/>
        <w:keepLines/>
        <w:jc w:val="center"/>
        <w:rPr>
          <w:rFonts w:hint="eastAsia" w:ascii="Times New Roman" w:hAnsi="Times New Roman" w:cs="Times New Roman" w:eastAsiaTheme="minorEastAsia"/>
          <w:sz w:val="28"/>
          <w:szCs w:val="28"/>
          <w:lang w:eastAsia="zh-CN"/>
        </w:rPr>
      </w:pPr>
      <w:bookmarkStart w:id="0" w:name="bookmark2"/>
      <w:bookmarkStart w:id="1" w:name="bookmark1"/>
      <w:bookmarkStart w:id="2" w:name="bookmark0"/>
      <w:r>
        <w:rPr>
          <w:b/>
          <w:sz w:val="72"/>
          <w:szCs w:val="72"/>
        </w:rPr>
        <w:t>中华人民共和国国家标准</w:t>
      </w:r>
      <w:bookmarkEnd w:id="0"/>
      <w:bookmarkEnd w:id="1"/>
      <w:bookmarkEnd w:id="2"/>
      <w:r>
        <w:drawing>
          <wp:anchor distT="0" distB="0" distL="114300" distR="114300" simplePos="0" relativeHeight="251666432" behindDoc="0" locked="1" layoutInCell="1" allowOverlap="1">
            <wp:simplePos x="0" y="0"/>
            <wp:positionH relativeFrom="margin">
              <wp:posOffset>4523740</wp:posOffset>
            </wp:positionH>
            <wp:positionV relativeFrom="margin">
              <wp:posOffset>241300</wp:posOffset>
            </wp:positionV>
            <wp:extent cx="1403350" cy="720090"/>
            <wp:effectExtent l="0" t="0" r="6350" b="3810"/>
            <wp:wrapNone/>
            <wp:docPr id="1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Picture" descr="GB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spacing w:line="440" w:lineRule="exact"/>
        <w:jc w:val="right"/>
        <w:rPr>
          <w:rFonts w:hint="default" w:eastAsia="宋体"/>
          <w:sz w:val="28"/>
          <w:szCs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GB/T 469—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XXXX</w:t>
      </w:r>
    </w:p>
    <w:p>
      <w:pPr>
        <w:pStyle w:val="13"/>
        <w:spacing w:line="440" w:lineRule="exact"/>
        <w:jc w:val="righ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lang w:val="zh-TW" w:eastAsia="zh-CN" w:bidi="zh-TW"/>
        </w:rPr>
        <w:t xml:space="preserve">代替 </w:t>
      </w:r>
      <w:r>
        <w:rPr>
          <w:rFonts w:ascii="宋体" w:hAnsi="宋体" w:eastAsia="宋体" w:cs="宋体"/>
          <w:lang w:val="zh-TW" w:eastAsia="zh-TW" w:bidi="zh-TW"/>
        </w:rPr>
        <w:t xml:space="preserve"> </w:t>
      </w:r>
      <w:r>
        <w:t>GB/T 469—20</w:t>
      </w:r>
      <w:r>
        <w:rPr>
          <w:rFonts w:hint="eastAsia" w:eastAsia="宋体"/>
          <w:lang w:val="en-US" w:eastAsia="zh-CN"/>
        </w:rPr>
        <w:t>13</w:t>
      </w:r>
    </w:p>
    <w:p>
      <w:pPr>
        <w:pStyle w:val="13"/>
        <w:wordWrap w:val="0"/>
        <w:spacing w:line="240" w:lineRule="auto"/>
        <w:jc w:val="right"/>
        <w:rPr>
          <w:rFonts w:hint="eastAsia" w:eastAsiaTheme="minorEastAsia"/>
          <w:u w:val="single"/>
          <w:lang w:eastAsia="zh-CN"/>
        </w:rPr>
      </w:pPr>
      <w:r>
        <w:rPr>
          <w:rFonts w:hint="eastAsia" w:eastAsiaTheme="minorEastAsia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            </w:t>
      </w:r>
    </w:p>
    <w:p>
      <w:pPr>
        <w:pStyle w:val="13"/>
        <w:spacing w:line="240" w:lineRule="auto"/>
        <w:jc w:val="right"/>
        <w:rPr>
          <w:rFonts w:hint="eastAsia" w:eastAsiaTheme="minorEastAsia"/>
          <w:lang w:eastAsia="zh-CN"/>
        </w:rPr>
      </w:pPr>
    </w:p>
    <w:p>
      <w:pPr>
        <w:pStyle w:val="13"/>
        <w:spacing w:line="240" w:lineRule="auto"/>
        <w:jc w:val="right"/>
        <w:rPr>
          <w:rFonts w:hint="eastAsia" w:eastAsiaTheme="minorEastAsia"/>
          <w:lang w:eastAsia="zh-CN"/>
        </w:rPr>
      </w:pPr>
    </w:p>
    <w:p>
      <w:pPr>
        <w:pStyle w:val="13"/>
        <w:spacing w:line="240" w:lineRule="auto"/>
        <w:jc w:val="right"/>
        <w:rPr>
          <w:rFonts w:hint="eastAsia" w:eastAsiaTheme="minorEastAsia"/>
          <w:lang w:eastAsia="zh-CN"/>
        </w:rPr>
      </w:pPr>
    </w:p>
    <w:p>
      <w:pPr>
        <w:pStyle w:val="13"/>
        <w:spacing w:line="240" w:lineRule="auto"/>
        <w:jc w:val="right"/>
        <w:rPr>
          <w:rFonts w:hint="eastAsia" w:eastAsiaTheme="minorEastAsia"/>
          <w:lang w:eastAsia="zh-CN"/>
        </w:rPr>
      </w:pPr>
    </w:p>
    <w:p>
      <w:pPr>
        <w:pStyle w:val="13"/>
        <w:spacing w:line="240" w:lineRule="auto"/>
        <w:jc w:val="right"/>
        <w:rPr>
          <w:rFonts w:hint="eastAsia" w:eastAsiaTheme="minorEastAsia"/>
          <w:lang w:eastAsia="zh-CN"/>
        </w:rPr>
      </w:pPr>
    </w:p>
    <w:p>
      <w:pPr>
        <w:pStyle w:val="13"/>
        <w:spacing w:line="240" w:lineRule="auto"/>
        <w:jc w:val="right"/>
        <w:rPr>
          <w:rFonts w:hint="eastAsia" w:eastAsiaTheme="minorEastAsia"/>
          <w:lang w:eastAsia="zh-CN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eastAsia="Times New Roman" w:cs="Times New Roman"/>
          <w:b/>
          <w:bCs/>
          <w:sz w:val="26"/>
          <w:szCs w:val="26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48"/>
          <w:szCs w:val="48"/>
          <w:lang w:eastAsia="zh-CN"/>
        </w:rPr>
      </w:pPr>
      <w:r>
        <w:rPr>
          <w:rFonts w:hint="eastAsia" w:ascii="Times New Roman" w:hAnsi="Times New Roman" w:eastAsia="Times New Roman" w:cs="Times New Roman"/>
          <w:b/>
          <w:bCs/>
          <w:sz w:val="48"/>
          <w:szCs w:val="48"/>
        </w:rPr>
        <w:t>铅</w:t>
      </w:r>
      <w:r>
        <w:rPr>
          <w:rFonts w:hint="eastAsia" w:ascii="Times New Roman" w:hAnsi="Times New Roman" w:cs="Times New Roman" w:eastAsiaTheme="minorEastAsia"/>
          <w:b/>
          <w:bCs/>
          <w:sz w:val="48"/>
          <w:szCs w:val="48"/>
          <w:lang w:eastAsia="zh-CN"/>
        </w:rPr>
        <w:t xml:space="preserve">        </w:t>
      </w:r>
      <w:r>
        <w:rPr>
          <w:rFonts w:hint="eastAsia" w:ascii="Times New Roman" w:hAnsi="Times New Roman" w:eastAsia="Times New Roman" w:cs="Times New Roman"/>
          <w:b/>
          <w:bCs/>
          <w:sz w:val="48"/>
          <w:szCs w:val="48"/>
        </w:rPr>
        <w:t>锭</w:t>
      </w: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eastAsia="zh-CN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>Lead ingots</w:t>
      </w: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val="en-US" w:eastAsia="zh-CN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val="en-US"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val="en-US" w:eastAsia="zh-CN"/>
        </w:rPr>
        <w:t>（预审稿）</w:t>
      </w: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eastAsia="zh-CN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eastAsia="zh-CN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eastAsia="zh-CN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eastAsia="zh-CN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eastAsia="zh-CN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eastAsia="zh-CN"/>
        </w:rPr>
      </w:pPr>
    </w:p>
    <w:p>
      <w:pPr>
        <w:pStyle w:val="11"/>
        <w:spacing w:line="240" w:lineRule="auto"/>
        <w:jc w:val="both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eastAsia="zh-CN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eastAsia="zh-CN"/>
        </w:rPr>
      </w:pPr>
    </w:p>
    <w:p>
      <w:pPr>
        <w:pStyle w:val="11"/>
        <w:spacing w:line="240" w:lineRule="auto"/>
        <w:jc w:val="center"/>
        <w:rPr>
          <w:rFonts w:hint="eastAsia" w:ascii="Times New Roman" w:hAnsi="Times New Roman" w:cs="Times New Roman" w:eastAsiaTheme="minorEastAsia"/>
          <w:b/>
          <w:bCs/>
          <w:sz w:val="26"/>
          <w:szCs w:val="26"/>
          <w:lang w:eastAsia="zh-CN"/>
        </w:rPr>
      </w:pPr>
    </w:p>
    <w:p>
      <w:pPr>
        <w:pStyle w:val="11"/>
        <w:spacing w:line="240" w:lineRule="auto"/>
        <w:jc w:val="center"/>
        <w:rPr>
          <w:rFonts w:hint="eastAsia" w:ascii="黑体" w:hAnsi="黑体" w:eastAsia="黑体"/>
          <w:sz w:val="26"/>
          <w:szCs w:val="26"/>
          <w:lang w:eastAsia="zh-CN"/>
        </w:rPr>
      </w:pPr>
    </w:p>
    <w:p>
      <w:pPr>
        <w:pStyle w:val="11"/>
        <w:spacing w:line="240" w:lineRule="auto"/>
        <w:ind w:right="100"/>
        <w:jc w:val="center"/>
        <w:rPr>
          <w:rFonts w:hint="eastAsia" w:ascii="黑体" w:hAnsi="黑体" w:eastAsia="黑体"/>
          <w:sz w:val="26"/>
          <w:szCs w:val="26"/>
          <w:lang w:val="zh-TW" w:eastAsia="zh-CN" w:bidi="zh-TW"/>
        </w:rPr>
      </w:pPr>
      <w:r>
        <w:rPr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1202055</wp:posOffset>
                </wp:positionH>
                <wp:positionV relativeFrom="paragraph">
                  <wp:posOffset>12700</wp:posOffset>
                </wp:positionV>
                <wp:extent cx="1477645" cy="21463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黑体" w:hAnsi="黑体" w:eastAsia="黑体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黑体" w:hAnsi="黑体" w:eastAsia="黑体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黑体" w:hAnsi="黑体" w:eastAsia="黑体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zh-TW" w:eastAsia="zh-TW" w:bidi="zh-TW"/>
                              </w:rPr>
                              <w:t>发布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1026" o:spt="202" type="#_x0000_t202" style="position:absolute;left:0pt;margin-left:94.65pt;margin-top:1pt;height:16.9pt;width:116.35pt;mso-position-horizontal-relative:page;mso-wrap-distance-bottom:0pt;mso-wrap-distance-left:9pt;mso-wrap-distance-right:9pt;mso-wrap-distance-top:0pt;z-index:251663360;mso-width-relative:page;mso-height-relative:page;" filled="f" stroked="f" coordsize="21600,21600" o:gfxdata="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dbzLv1wAAAAgBAAAPAAAAAAAAAAEAIAAAACIAAABkcnMvZG93bnJldi54bWxQSwEC&#10;FAAUAAAACACHTuJA/PQhaLwBAACYAwAADgAAAAAAAAABACAAAAAm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1"/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黑体" w:hAnsi="黑体" w:eastAsia="黑体" w:cs="Times New Roman"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黑体" w:hAnsi="黑体" w:eastAsia="黑体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hAnsi="黑体" w:eastAsia="黑体" w:cs="Times New Roman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ascii="黑体" w:hAnsi="黑体" w:eastAsia="黑体" w:cs="Times New Rom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hAnsi="黑体" w:eastAsia="黑体" w:cs="Times New Roman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zh-TW" w:eastAsia="zh-TW" w:bidi="zh-TW"/>
                        </w:rPr>
                        <w:t>发布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 xml:space="preserve">                        XXXX</w:t>
      </w:r>
      <w:r>
        <w:rPr>
          <w:rFonts w:ascii="黑体" w:hAnsi="黑体" w:eastAsia="黑体" w:cs="Times New Roman"/>
          <w:sz w:val="28"/>
          <w:szCs w:val="28"/>
        </w:rPr>
        <w:t>-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XX</w:t>
      </w:r>
      <w:r>
        <w:rPr>
          <w:rFonts w:ascii="黑体" w:hAnsi="黑体" w:eastAsia="黑体" w:cs="Times New Roman"/>
          <w:sz w:val="28"/>
          <w:szCs w:val="28"/>
        </w:rPr>
        <w:t>-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XX</w:t>
      </w:r>
      <w:r>
        <w:rPr>
          <w:rFonts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/>
          <w:sz w:val="26"/>
          <w:szCs w:val="26"/>
          <w:lang w:val="zh-TW" w:eastAsia="zh-TW" w:bidi="zh-TW"/>
        </w:rPr>
        <w:t>实施</w:t>
      </w:r>
    </w:p>
    <w:p>
      <w:pPr>
        <w:pStyle w:val="11"/>
        <w:wordWrap w:val="0"/>
        <w:spacing w:line="240" w:lineRule="auto"/>
        <w:ind w:right="100"/>
        <w:jc w:val="right"/>
        <w:rPr>
          <w:rFonts w:hint="eastAsia" w:ascii="黑体" w:hAnsi="黑体" w:eastAsia="黑体"/>
          <w:sz w:val="26"/>
          <w:szCs w:val="26"/>
          <w:u w:val="single"/>
          <w:lang w:val="zh-TW" w:eastAsia="zh-CN" w:bidi="zh-TW"/>
        </w:rPr>
      </w:pPr>
      <w:r>
        <w:rPr>
          <w:rFonts w:hint="eastAsia" w:ascii="黑体" w:hAnsi="黑体" w:eastAsia="黑体"/>
          <w:sz w:val="26"/>
          <w:szCs w:val="26"/>
          <w:u w:val="single"/>
          <w:lang w:val="zh-TW" w:eastAsia="zh-CN" w:bidi="zh-TW"/>
        </w:rPr>
        <w:t xml:space="preserve">                                                                     </w:t>
      </w:r>
    </w:p>
    <w:p>
      <w:pPr>
        <w:pStyle w:val="11"/>
        <w:wordWrap w:val="0"/>
        <w:spacing w:line="240" w:lineRule="auto"/>
        <w:ind w:right="100"/>
        <w:jc w:val="right"/>
        <w:rPr>
          <w:rFonts w:hint="eastAsia" w:ascii="黑体" w:hAnsi="黑体" w:eastAsia="黑体"/>
          <w:sz w:val="26"/>
          <w:szCs w:val="26"/>
          <w:u w:val="single"/>
          <w:lang w:val="zh-TW" w:eastAsia="zh-CN" w:bidi="zh-TW"/>
        </w:rPr>
      </w:pPr>
    </w:p>
    <w:p>
      <w:pPr>
        <w:pStyle w:val="11"/>
        <w:wordWrap w:val="0"/>
        <w:spacing w:line="240" w:lineRule="auto"/>
        <w:ind w:right="100" w:firstLine="1600" w:firstLineChars="500"/>
        <w:jc w:val="both"/>
        <w:rPr>
          <w:rFonts w:hint="eastAsia" w:ascii="黑体" w:hAnsi="黑体" w:eastAsia="黑体"/>
          <w:sz w:val="32"/>
          <w:szCs w:val="32"/>
          <w:lang w:val="zh-TW" w:eastAsia="zh-CN" w:bidi="zh-TW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165735</wp:posOffset>
                </wp:positionV>
                <wp:extent cx="988060" cy="393700"/>
                <wp:effectExtent l="0" t="0" r="254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41825" y="9079230"/>
                          <a:ext cx="98806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95pt;margin-top:13.05pt;height:31pt;width:77.8pt;z-index:251665408;mso-width-relative:page;mso-height-relative:page;" fillcolor="#FFFFFF [3201]" filled="t" stroked="f" coordsize="21600,21600" o:gfxdata="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VkfU1&#10;1QAAAAkBAAAPAAAAAAAAAAEAIAAAACIAAABkcnMvZG93bnJldi54bWxQSwECFAAUAAAACACHTuJA&#10;u1x+uV0CAACa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  <w:lang w:val="zh-TW" w:eastAsia="zh-CN" w:bidi="zh-TW"/>
        </w:rPr>
        <w:t>国家市场监督管理总局</w:t>
      </w:r>
    </w:p>
    <w:p>
      <w:pPr>
        <w:pStyle w:val="11"/>
        <w:spacing w:line="700" w:lineRule="exact"/>
        <w:ind w:firstLine="1600" w:firstLineChars="500"/>
        <w:jc w:val="both"/>
        <w:rPr>
          <w:rFonts w:hint="eastAsia" w:ascii="黑体" w:hAnsi="黑体" w:eastAsia="黑体"/>
          <w:sz w:val="32"/>
          <w:szCs w:val="32"/>
          <w:lang w:val="zh-TW" w:eastAsia="zh-CN" w:bidi="zh-TW"/>
        </w:rPr>
      </w:pPr>
      <w:r>
        <w:rPr>
          <w:rFonts w:hint="eastAsia" w:ascii="黑体" w:hAnsi="黑体" w:eastAsia="黑体"/>
          <w:sz w:val="32"/>
          <w:szCs w:val="32"/>
          <w:lang w:val="zh-TW" w:eastAsia="zh-CN" w:bidi="zh-TW"/>
        </w:rPr>
        <w:t>国家标准化管理委员会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580" w:lineRule="exact"/>
        <w:ind w:firstLine="420"/>
        <w:jc w:val="center"/>
        <w:textAlignment w:val="auto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前  言</w:t>
      </w: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14" w:lineRule="exact"/>
        <w:ind w:left="0" w:right="0" w:firstLine="420" w:firstLineChars="200"/>
        <w:jc w:val="left"/>
        <w:textAlignment w:val="auto"/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zh-TW" w:eastAsia="zh-CN" w:bidi="zh-TW"/>
        </w:rPr>
      </w:pP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本文件按照GB/T 1.1-2020《标准化工作导则 第1部分：标准化文件的结构和起草规则》的规定起草。</w:t>
      </w:r>
    </w:p>
    <w:p>
      <w:pPr>
        <w:pStyle w:val="13"/>
        <w:spacing w:line="440" w:lineRule="exact"/>
        <w:ind w:firstLine="420"/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</w:pP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本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文件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代替GB/T 469—20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13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《铅锭》，与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en-US" w:bidi="zh-TW"/>
        </w:rPr>
        <w:t xml:space="preserve">GB/T 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469—20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13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相比，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除结构调整和编辑性改动外，主要技术变化如下：</w:t>
      </w:r>
    </w:p>
    <w:p>
      <w:pPr>
        <w:pStyle w:val="17"/>
        <w:numPr>
          <w:ilvl w:val="0"/>
          <w:numId w:val="1"/>
        </w:numPr>
        <w:spacing w:line="440" w:lineRule="exact"/>
        <w:ind w:firstLine="420"/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</w:pP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增加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了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Pb99.9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96牌号；</w:t>
      </w:r>
    </w:p>
    <w:p>
      <w:pPr>
        <w:pStyle w:val="17"/>
        <w:numPr>
          <w:ilvl w:val="0"/>
          <w:numId w:val="1"/>
        </w:numPr>
        <w:spacing w:line="440" w:lineRule="exact"/>
        <w:ind w:left="0" w:leftChars="0" w:firstLine="420" w:firstLineChars="0"/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</w:pP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删除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了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Pb99.9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90、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Pb99.985、Pb99.970、Pb99.940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四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个铅锭牌号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；</w:t>
      </w:r>
    </w:p>
    <w:p>
      <w:pPr>
        <w:pStyle w:val="17"/>
        <w:spacing w:line="440" w:lineRule="exact"/>
        <w:ind w:firstLine="420"/>
        <w:rPr>
          <w:rFonts w:hint="default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</w:pP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c）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修改了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牌号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Pb99.9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94中杂质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元素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Ag、Cu、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Bi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、Sb、Sn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的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含量要求，分别由0.0008%、0.001%、0.004%、0.0007%、0.0005%修改为0.0007%、0.0004%、0.0015%、0.0004%、0.0003%；</w:t>
      </w:r>
    </w:p>
    <w:p>
      <w:pPr>
        <w:pStyle w:val="17"/>
        <w:spacing w:line="440" w:lineRule="exact"/>
        <w:ind w:firstLine="420"/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</w:pP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d）在所有牌号的杂质成分中，增加了对杂质S、Te、Se的要求。</w:t>
      </w:r>
      <w:r>
        <w:rPr>
          <w:rFonts w:hint="eastAsia" w:ascii="宋体" w:hAnsi="宋体" w:eastAsia="宋体" w:cs="宋体"/>
          <w:sz w:val="24"/>
        </w:rPr>
        <w:t>Pb99.9</w:t>
      </w:r>
      <w:r>
        <w:rPr>
          <w:rFonts w:hint="eastAsia" w:ascii="宋体" w:hAnsi="宋体" w:eastAsia="宋体" w:cs="宋体"/>
          <w:sz w:val="24"/>
          <w:lang w:val="en-US" w:eastAsia="zh-CN"/>
        </w:rPr>
        <w:t>96和</w:t>
      </w:r>
      <w:r>
        <w:rPr>
          <w:rFonts w:hint="eastAsia" w:ascii="宋体" w:hAnsi="宋体" w:eastAsia="宋体" w:cs="宋体"/>
          <w:sz w:val="24"/>
        </w:rPr>
        <w:t>Pb99.9</w:t>
      </w:r>
      <w:r>
        <w:rPr>
          <w:rFonts w:hint="eastAsia" w:ascii="宋体" w:hAnsi="宋体" w:eastAsia="宋体" w:cs="宋体"/>
          <w:sz w:val="24"/>
          <w:lang w:val="en-US" w:eastAsia="zh-CN"/>
        </w:rPr>
        <w:t>94</w:t>
      </w:r>
      <w:r>
        <w:rPr>
          <w:rFonts w:hint="eastAsia" w:ascii="宋体" w:hAnsi="宋体" w:eastAsia="宋体" w:cs="宋体"/>
          <w:sz w:val="24"/>
        </w:rPr>
        <w:t>牌号</w:t>
      </w:r>
      <w:r>
        <w:rPr>
          <w:rFonts w:hint="eastAsia" w:ascii="宋体" w:hAnsi="宋体" w:eastAsia="宋体" w:cs="宋体"/>
          <w:sz w:val="24"/>
          <w:lang w:eastAsia="zh-CN"/>
        </w:rPr>
        <w:t>中</w:t>
      </w:r>
      <w:r>
        <w:rPr>
          <w:rFonts w:hint="eastAsia" w:ascii="宋体" w:hAnsi="宋体" w:eastAsia="宋体" w:cs="宋体"/>
          <w:sz w:val="24"/>
          <w:lang w:val="en-US" w:eastAsia="zh-CN"/>
        </w:rPr>
        <w:t>S、Te、Se的</w:t>
      </w:r>
      <w:r>
        <w:rPr>
          <w:rFonts w:hint="eastAsia" w:cs="宋体"/>
          <w:sz w:val="24"/>
          <w:lang w:val="en-US" w:eastAsia="zh-CN"/>
        </w:rPr>
        <w:t>成分</w:t>
      </w:r>
      <w:r>
        <w:rPr>
          <w:rFonts w:hint="eastAsia" w:ascii="宋体" w:hAnsi="宋体" w:eastAsia="宋体" w:cs="宋体"/>
          <w:sz w:val="24"/>
          <w:lang w:val="en-US" w:eastAsia="zh-CN"/>
        </w:rPr>
        <w:t>要求均分别为0.0006%、0.0001、（Se待定）</w:t>
      </w:r>
    </w:p>
    <w:p>
      <w:pPr>
        <w:pStyle w:val="17"/>
        <w:spacing w:line="440" w:lineRule="exact"/>
        <w:ind w:firstLine="420"/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</w:pP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e）增加了铅锭化学成分分析方法执行标准。</w:t>
      </w:r>
    </w:p>
    <w:p>
      <w:pPr>
        <w:pStyle w:val="17"/>
        <w:spacing w:line="440" w:lineRule="exact"/>
        <w:ind w:firstLine="420"/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</w:pP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请注意本文件的某些内容可能涉及专利。本文件的发布机构不承担识别专利的责任。</w:t>
      </w:r>
    </w:p>
    <w:p>
      <w:pPr>
        <w:pStyle w:val="17"/>
        <w:spacing w:line="440" w:lineRule="exact"/>
        <w:ind w:firstLine="420"/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</w:pP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本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文件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由全国有色金属标准化技术委员会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en-US" w:eastAsia="en-US" w:bidi="zh-TW"/>
        </w:rPr>
        <w:t xml:space="preserve">(SAC/TC 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243)归口。</w:t>
      </w:r>
    </w:p>
    <w:p>
      <w:pPr>
        <w:pStyle w:val="17"/>
        <w:spacing w:line="440" w:lineRule="exact"/>
        <w:ind w:firstLine="420"/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</w:pP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本标准负责起草单位:河南豫光金铅股份有限公司、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zh-TW" w:eastAsia="zh-CN" w:bidi="zh-TW"/>
        </w:rPr>
        <w:t>株洲冶炼集团股份有限公司、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云南驰宏锌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zh-TW" w:eastAsia="zh-CN" w:bidi="zh-TW"/>
        </w:rPr>
        <w:t>锗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股份有限公司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zh-TW" w:eastAsia="zh-CN" w:bidi="zh-TW"/>
        </w:rPr>
        <w:t>、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深圳市中金岭南有色金属股份有限公司、湖南水口山有色金属集团有限公司、江苏春兴合金集团有限公司、湖北金洋冶金股份有限公司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zh-TW" w:eastAsia="zh-CN" w:bidi="zh-TW"/>
        </w:rPr>
        <w:t>、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……</w:t>
      </w:r>
    </w:p>
    <w:p>
      <w:pPr>
        <w:pStyle w:val="17"/>
        <w:spacing w:line="440" w:lineRule="exact"/>
        <w:ind w:firstLine="420"/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</w:pP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本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文件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主要起草人: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en-US" w:eastAsia="zh-CN" w:bidi="zh-TW"/>
        </w:rPr>
        <w:t>xxx、……</w:t>
      </w:r>
    </w:p>
    <w:p>
      <w:pPr>
        <w:pStyle w:val="17"/>
        <w:spacing w:line="440" w:lineRule="exact"/>
        <w:ind w:firstLine="420"/>
        <w:rPr>
          <w:rFonts w:asciiTheme="majorEastAsia" w:hAnsiTheme="majorEastAsia" w:eastAsiaTheme="majorEastAsia"/>
          <w:sz w:val="21"/>
          <w:szCs w:val="21"/>
        </w:rPr>
      </w:pP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本</w:t>
      </w:r>
      <w:r>
        <w:rPr>
          <w:rFonts w:hint="eastAsia"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文件</w:t>
      </w:r>
      <w:r>
        <w:rPr>
          <w:rFonts w:cs="宋体" w:asciiTheme="majorEastAsia" w:hAnsiTheme="majorEastAsia" w:eastAsiaTheme="majorEastAsia"/>
          <w:color w:val="000000"/>
          <w:sz w:val="21"/>
          <w:szCs w:val="21"/>
          <w:lang w:val="zh-TW" w:eastAsia="zh-TW" w:bidi="zh-TW"/>
        </w:rPr>
        <w:t>所代替标准的历次版本发布情况为：</w:t>
      </w:r>
    </w:p>
    <w:p>
      <w:pPr>
        <w:pStyle w:val="13"/>
        <w:spacing w:line="440" w:lineRule="exact"/>
        <w:ind w:firstLine="420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——</w:t>
      </w:r>
      <w:r>
        <w:rPr>
          <w:rFonts w:asciiTheme="majorEastAsia" w:hAnsiTheme="majorEastAsia" w:eastAsiaTheme="majorEastAsia"/>
          <w:sz w:val="21"/>
          <w:szCs w:val="21"/>
        </w:rPr>
        <w:t>GB/T 469—2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013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；</w:t>
      </w:r>
    </w:p>
    <w:p>
      <w:pPr>
        <w:pStyle w:val="13"/>
        <w:spacing w:line="440" w:lineRule="exact"/>
        <w:ind w:firstLine="420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——</w:t>
      </w:r>
      <w:r>
        <w:rPr>
          <w:rFonts w:asciiTheme="majorEastAsia" w:hAnsiTheme="majorEastAsia" w:eastAsiaTheme="majorEastAsia"/>
          <w:sz w:val="21"/>
          <w:szCs w:val="21"/>
        </w:rPr>
        <w:t>GB/T 469—2005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；</w:t>
      </w:r>
    </w:p>
    <w:p>
      <w:pPr>
        <w:pStyle w:val="13"/>
        <w:spacing w:line="440" w:lineRule="exact"/>
        <w:ind w:firstLine="420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——</w:t>
      </w:r>
      <w:r>
        <w:rPr>
          <w:rFonts w:asciiTheme="majorEastAsia" w:hAnsiTheme="majorEastAsia" w:eastAsiaTheme="majorEastAsia"/>
          <w:sz w:val="21"/>
          <w:szCs w:val="21"/>
        </w:rPr>
        <w:t>GB/T 469—1995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；</w:t>
      </w:r>
    </w:p>
    <w:p>
      <w:pPr>
        <w:pStyle w:val="13"/>
        <w:spacing w:line="440" w:lineRule="exact"/>
        <w:ind w:firstLine="420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——</w:t>
      </w:r>
      <w:r>
        <w:rPr>
          <w:rFonts w:asciiTheme="majorEastAsia" w:hAnsiTheme="majorEastAsia" w:eastAsiaTheme="majorEastAsia"/>
          <w:sz w:val="21"/>
          <w:szCs w:val="21"/>
        </w:rPr>
        <w:t>GB 469—1983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；</w:t>
      </w:r>
    </w:p>
    <w:p>
      <w:pPr>
        <w:pStyle w:val="13"/>
        <w:spacing w:line="440" w:lineRule="exact"/>
        <w:ind w:firstLine="420"/>
        <w:rPr>
          <w:rFonts w:asciiTheme="majorEastAsia" w:hAnsiTheme="majorEastAsia" w:eastAsiaTheme="majorEastAsia"/>
          <w:sz w:val="24"/>
          <w:szCs w:val="24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0" w:h="16840"/>
          <w:pgMar w:top="1684" w:right="1213" w:bottom="1684" w:left="1383" w:header="0" w:footer="6" w:gutter="0"/>
          <w:pgNumType w:fmt="upperRoman" w:start="1"/>
          <w:cols w:space="0" w:num="1"/>
          <w:rtlGutter w:val="0"/>
          <w:docGrid w:linePitch="360" w:charSpace="0"/>
        </w:sectPr>
      </w:pP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——</w:t>
      </w:r>
      <w:r>
        <w:rPr>
          <w:rFonts w:asciiTheme="majorEastAsia" w:hAnsiTheme="majorEastAsia" w:eastAsiaTheme="majorEastAsia"/>
          <w:sz w:val="21"/>
          <w:szCs w:val="21"/>
        </w:rPr>
        <w:t xml:space="preserve">GB </w:t>
      </w:r>
      <w:r>
        <w:rPr>
          <w:rFonts w:asciiTheme="majorEastAsia" w:hAnsiTheme="majorEastAsia" w:eastAsiaTheme="majorEastAsia"/>
          <w:sz w:val="21"/>
          <w:szCs w:val="21"/>
          <w:lang w:val="zh-TW" w:eastAsia="zh-TW" w:bidi="zh-TW"/>
        </w:rPr>
        <w:t>469—1964</w:t>
      </w:r>
      <w:r>
        <w:rPr>
          <w:rFonts w:cs="宋体" w:asciiTheme="majorEastAsia" w:hAnsiTheme="majorEastAsia" w:eastAsiaTheme="majorEastAsia"/>
          <w:sz w:val="21"/>
          <w:szCs w:val="21"/>
          <w:lang w:val="zh-TW" w:eastAsia="zh-TW" w:bidi="zh-TW"/>
        </w:rPr>
        <w:t>。</w:t>
      </w:r>
    </w:p>
    <w:p>
      <w:pPr>
        <w:pStyle w:val="13"/>
        <w:spacing w:line="400" w:lineRule="exact"/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铅  锭</w:t>
      </w:r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1、范围</w:t>
      </w:r>
    </w:p>
    <w:p>
      <w:pPr>
        <w:pStyle w:val="13"/>
        <w:spacing w:line="400" w:lineRule="exact"/>
        <w:ind w:firstLine="420" w:firstLineChars="200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本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文件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规定了铅锭的要求、试验方法、检验规则及包装、标志、运输与贮存及质量证明书。</w:t>
      </w:r>
    </w:p>
    <w:p>
      <w:pPr>
        <w:pStyle w:val="13"/>
        <w:spacing w:line="400" w:lineRule="exact"/>
        <w:ind w:firstLine="420" w:firstLineChars="200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本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文件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适用于电解法精炼生产的铅锭。</w:t>
      </w:r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bookmarkStart w:id="18" w:name="_GoBack"/>
      <w:bookmarkEnd w:id="18"/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2  规范性引用文件</w:t>
      </w:r>
    </w:p>
    <w:p>
      <w:pPr>
        <w:pStyle w:val="13"/>
        <w:spacing w:line="400" w:lineRule="exact"/>
        <w:ind w:firstLine="210" w:firstLineChars="100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13"/>
        <w:spacing w:line="400" w:lineRule="exact"/>
        <w:ind w:firstLine="420" w:firstLineChars="200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GB/T 4103（所有部分）铅及铅合金化学分析方法</w:t>
      </w:r>
    </w:p>
    <w:p>
      <w:pPr>
        <w:pStyle w:val="13"/>
        <w:spacing w:line="400" w:lineRule="exact"/>
        <w:ind w:firstLine="420" w:firstLineChars="200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GB/T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8170  数值修约规则与极限数值的表示和判定</w:t>
      </w:r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3  要求</w:t>
      </w:r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3.1 产品分类</w:t>
      </w:r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铅锭按化学成分分为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个牌号：Pb99.99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、Pb99.99</w:t>
      </w:r>
      <w:r>
        <w:rPr>
          <w:rFonts w:hint="eastAsia" w:asciiTheme="majorEastAsia" w:hAnsiTheme="majorEastAsia" w:eastAsiaTheme="majorEastAsia"/>
          <w:sz w:val="21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。</w:t>
      </w:r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3.2  化学成分</w:t>
      </w:r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3.2.1 铅锭的化学成分应符合表1的规定。</w:t>
      </w:r>
    </w:p>
    <w:tbl>
      <w:tblPr>
        <w:tblStyle w:val="7"/>
        <w:tblpPr w:leftFromText="180" w:rightFromText="180" w:vertAnchor="text" w:horzAnchor="page" w:tblpX="894" w:tblpY="440"/>
        <w:tblOverlap w:val="never"/>
        <w:tblW w:w="105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39"/>
        <w:gridCol w:w="643"/>
        <w:gridCol w:w="610"/>
        <w:gridCol w:w="643"/>
        <w:gridCol w:w="632"/>
        <w:gridCol w:w="675"/>
        <w:gridCol w:w="654"/>
        <w:gridCol w:w="654"/>
        <w:gridCol w:w="610"/>
        <w:gridCol w:w="632"/>
        <w:gridCol w:w="643"/>
        <w:gridCol w:w="632"/>
        <w:gridCol w:w="783"/>
        <w:gridCol w:w="682"/>
        <w:gridCol w:w="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牌号</w:t>
            </w:r>
          </w:p>
        </w:tc>
        <w:tc>
          <w:tcPr>
            <w:tcW w:w="975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化学成分（质量分数）/%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Pb</w:t>
            </w:r>
          </w:p>
        </w:tc>
        <w:tc>
          <w:tcPr>
            <w:tcW w:w="911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杂质，不大于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不小于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Ag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Cu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Bi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As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Sb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Sn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Zn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Fe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Cd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Ni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Te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Se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总和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Pb99.996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99.996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0.0006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0.0015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0.0004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0.0005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Pb99.994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99.994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0.0005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0.0006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0.0001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4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注：Pb含量为100%减去表中所列杂质实测总和的余量。</w:t>
            </w:r>
          </w:p>
        </w:tc>
      </w:tr>
    </w:tbl>
    <w:p>
      <w:pPr>
        <w:pStyle w:val="13"/>
        <w:spacing w:line="400" w:lineRule="exact"/>
        <w:jc w:val="center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表1 铅锭的化学成分</w:t>
      </w:r>
    </w:p>
    <w:p>
      <w:pPr>
        <w:pStyle w:val="13"/>
        <w:spacing w:line="400" w:lineRule="exact"/>
        <w:jc w:val="both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3.2.2 当铅用于生产以表1中所列某元素为添加元素的合金时，则该元素的含量可不受本表规定的最大值的限制，可由供需双方商定。</w:t>
      </w:r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3.3物理规格</w:t>
      </w:r>
    </w:p>
    <w:p>
      <w:pPr>
        <w:pStyle w:val="13"/>
        <w:spacing w:line="400" w:lineRule="exact"/>
        <w:rPr>
          <w:rFonts w:hint="eastAsia" w:asciiTheme="majorEastAsia" w:hAnsiTheme="majorEastAsia" w:eastAsia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/>
          <w:sz w:val="21"/>
          <w:szCs w:val="21"/>
          <w:lang w:eastAsia="zh-CN"/>
        </w:rPr>
        <w:t>3.3.1 铅锭分为大锭和小锭。小锭为长方梯形，底部有打捆凹槽，两端有突出耳部。大锭为梯形，底部有T形凸块，两侧有抓吊槽。</w:t>
      </w:r>
    </w:p>
    <w:p>
      <w:pPr>
        <w:pStyle w:val="13"/>
        <w:spacing w:line="400" w:lineRule="exact"/>
        <w:rPr>
          <w:rFonts w:hint="eastAsia" w:eastAsia="宋体"/>
          <w:sz w:val="21"/>
          <w:szCs w:val="21"/>
          <w:lang w:val="en-US" w:eastAsia="zh-CN"/>
        </w:rPr>
      </w:pPr>
      <w:r>
        <w:rPr>
          <w:sz w:val="21"/>
          <w:szCs w:val="21"/>
        </w:rPr>
        <w:t xml:space="preserve">3.3.2 </w:t>
      </w:r>
      <w:r>
        <w:rPr>
          <w:rFonts w:ascii="宋体" w:hAnsi="宋体" w:eastAsia="宋体" w:cs="宋体"/>
          <w:sz w:val="21"/>
          <w:szCs w:val="21"/>
          <w:lang w:val="zh-TW" w:eastAsia="zh-TW" w:bidi="zh-TW"/>
        </w:rPr>
        <w:t>小锭单重为：</w:t>
      </w:r>
      <w:r>
        <w:rPr>
          <w:sz w:val="21"/>
          <w:szCs w:val="21"/>
          <w:lang w:val="zh-TW" w:eastAsia="zh-TW" w:bidi="zh-TW"/>
        </w:rPr>
        <w:t xml:space="preserve">48 </w:t>
      </w:r>
      <w:r>
        <w:rPr>
          <w:sz w:val="21"/>
          <w:szCs w:val="21"/>
        </w:rPr>
        <w:t>kg±3 kg</w:t>
      </w:r>
      <w:r>
        <w:rPr>
          <w:rFonts w:ascii="宋体" w:hAnsi="宋体" w:eastAsia="宋体" w:cs="宋体"/>
          <w:sz w:val="21"/>
          <w:szCs w:val="21"/>
        </w:rPr>
        <w:t>、</w:t>
      </w:r>
      <w:r>
        <w:rPr>
          <w:sz w:val="21"/>
          <w:szCs w:val="21"/>
        </w:rPr>
        <w:t>40 kg±2 kg</w:t>
      </w:r>
      <w:r>
        <w:rPr>
          <w:rFonts w:ascii="宋体" w:hAnsi="宋体" w:eastAsia="宋体" w:cs="宋体"/>
          <w:sz w:val="21"/>
          <w:szCs w:val="21"/>
        </w:rPr>
        <w:t>、</w:t>
      </w:r>
      <w:r>
        <w:rPr>
          <w:sz w:val="21"/>
          <w:szCs w:val="21"/>
        </w:rPr>
        <w:t>24 kg±l kg</w:t>
      </w:r>
      <w:r>
        <w:rPr>
          <w:rFonts w:ascii="宋体" w:hAnsi="宋体" w:eastAsia="宋体" w:cs="宋体"/>
          <w:sz w:val="21"/>
          <w:szCs w:val="21"/>
        </w:rPr>
        <w:t>；</w:t>
      </w:r>
      <w:r>
        <w:rPr>
          <w:rFonts w:ascii="宋体" w:hAnsi="宋体" w:eastAsia="宋体" w:cs="宋体"/>
          <w:sz w:val="21"/>
          <w:szCs w:val="21"/>
          <w:lang w:val="zh-TW" w:eastAsia="zh-TW" w:bidi="zh-TW"/>
        </w:rPr>
        <w:t>大锭单重为</w:t>
      </w:r>
      <w:r>
        <w:rPr>
          <w:rFonts w:ascii="宋体" w:hAnsi="宋体" w:eastAsia="宋体" w:cs="宋体"/>
          <w:sz w:val="21"/>
          <w:szCs w:val="21"/>
        </w:rPr>
        <w:t>：</w:t>
      </w:r>
      <w:r>
        <w:rPr>
          <w:sz w:val="21"/>
          <w:szCs w:val="21"/>
        </w:rPr>
        <w:t>950 kg±5</w:t>
      </w:r>
      <w:r>
        <w:rPr>
          <w:rFonts w:hint="eastAsia" w:eastAsia="宋体"/>
          <w:sz w:val="21"/>
          <w:szCs w:val="21"/>
          <w:lang w:val="en-US" w:eastAsia="zh-CN"/>
        </w:rPr>
        <w:t>0</w:t>
      </w:r>
      <w:r>
        <w:rPr>
          <w:sz w:val="21"/>
          <w:szCs w:val="21"/>
        </w:rPr>
        <w:t xml:space="preserve"> kg</w:t>
      </w:r>
      <w:r>
        <w:rPr>
          <w:rFonts w:ascii="宋体" w:hAnsi="宋体" w:eastAsia="宋体" w:cs="宋体"/>
          <w:sz w:val="21"/>
          <w:szCs w:val="21"/>
        </w:rPr>
        <w:t>、</w:t>
      </w:r>
      <w:r>
        <w:rPr>
          <w:sz w:val="21"/>
          <w:szCs w:val="21"/>
        </w:rPr>
        <w:t>500 kg±25 kg</w:t>
      </w:r>
      <w:r>
        <w:rPr>
          <w:rFonts w:hint="eastAsia" w:eastAsia="宋体"/>
          <w:sz w:val="21"/>
          <w:szCs w:val="21"/>
          <w:lang w:eastAsia="zh-CN"/>
        </w:rPr>
        <w:t>。</w:t>
      </w:r>
    </w:p>
    <w:p>
      <w:pPr>
        <w:pStyle w:val="17"/>
        <w:spacing w:line="400" w:lineRule="exact"/>
        <w:jc w:val="both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3.4</w:t>
      </w:r>
      <w:r>
        <w:rPr>
          <w:sz w:val="21"/>
          <w:szCs w:val="21"/>
        </w:rPr>
        <w:t>表面质量</w:t>
      </w:r>
    </w:p>
    <w:p>
      <w:pPr>
        <w:pStyle w:val="17"/>
        <w:spacing w:line="400" w:lineRule="exact"/>
        <w:jc w:val="both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3.4.1</w:t>
      </w:r>
      <w:r>
        <w:rPr>
          <w:sz w:val="21"/>
          <w:szCs w:val="21"/>
        </w:rPr>
        <w:t>铅锭表面不得有熔渣、熔洞、</w:t>
      </w:r>
      <w:r>
        <w:rPr>
          <w:rFonts w:hint="eastAsia"/>
          <w:sz w:val="21"/>
          <w:szCs w:val="21"/>
          <w:lang w:eastAsia="zh-CN"/>
        </w:rPr>
        <w:t>粒状</w:t>
      </w:r>
      <w:r>
        <w:rPr>
          <w:sz w:val="21"/>
          <w:szCs w:val="21"/>
        </w:rPr>
        <w:t>氧化物、夹杂物及外来污染。</w:t>
      </w:r>
    </w:p>
    <w:p>
      <w:pPr>
        <w:pStyle w:val="17"/>
        <w:spacing w:line="400" w:lineRule="exact"/>
        <w:jc w:val="both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3.4.2</w:t>
      </w:r>
      <w:r>
        <w:rPr>
          <w:sz w:val="21"/>
          <w:szCs w:val="21"/>
        </w:rPr>
        <w:t>铅锭不得有冷隔，不得有大于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10 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mm</w:t>
      </w:r>
      <w:r>
        <w:rPr>
          <w:sz w:val="21"/>
          <w:szCs w:val="21"/>
        </w:rPr>
        <w:t>的飞边毛刺（允许修整）。</w:t>
      </w:r>
    </w:p>
    <w:p>
      <w:pPr>
        <w:pStyle w:val="13"/>
        <w:spacing w:line="400" w:lineRule="exact"/>
        <w:jc w:val="both"/>
        <w:rPr>
          <w:sz w:val="21"/>
          <w:szCs w:val="21"/>
        </w:rPr>
      </w:pPr>
      <w:r>
        <w:rPr>
          <w:sz w:val="21"/>
          <w:szCs w:val="21"/>
        </w:rPr>
        <w:t>3.5</w:t>
      </w:r>
      <w:r>
        <w:rPr>
          <w:rFonts w:ascii="宋体" w:hAnsi="宋体" w:eastAsia="宋体" w:cs="宋体"/>
          <w:sz w:val="21"/>
          <w:szCs w:val="21"/>
          <w:lang w:val="zh-TW" w:eastAsia="zh-TW" w:bidi="zh-TW"/>
        </w:rPr>
        <w:t>其他</w:t>
      </w:r>
    </w:p>
    <w:p>
      <w:pPr>
        <w:pStyle w:val="17"/>
        <w:spacing w:line="400" w:lineRule="exact"/>
        <w:ind w:firstLine="440"/>
        <w:jc w:val="both"/>
        <w:rPr>
          <w:sz w:val="21"/>
          <w:szCs w:val="21"/>
        </w:rPr>
      </w:pPr>
      <w:r>
        <w:rPr>
          <w:sz w:val="21"/>
          <w:szCs w:val="21"/>
        </w:rPr>
        <w:t>需方如对铅锭的化学成分、物理规格、表面质量等有特殊要求时，可由供需双方商定。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4</w:t>
      </w:r>
      <w:r>
        <w:rPr>
          <w:sz w:val="21"/>
          <w:szCs w:val="21"/>
        </w:rPr>
        <w:t>试验方法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4.1</w:t>
      </w:r>
      <w:r>
        <w:rPr>
          <w:sz w:val="21"/>
          <w:szCs w:val="21"/>
        </w:rPr>
        <w:t>铅锭的化学成分</w:t>
      </w:r>
      <w:r>
        <w:rPr>
          <w:rFonts w:hint="eastAsia"/>
          <w:sz w:val="21"/>
          <w:szCs w:val="21"/>
          <w:lang w:eastAsia="zh-CN"/>
        </w:rPr>
        <w:t>分析和</w:t>
      </w:r>
      <w:r>
        <w:rPr>
          <w:sz w:val="21"/>
          <w:szCs w:val="21"/>
        </w:rPr>
        <w:t>仲裁分析方法</w:t>
      </w:r>
      <w:r>
        <w:rPr>
          <w:rFonts w:hint="eastAsia"/>
          <w:sz w:val="21"/>
          <w:szCs w:val="21"/>
          <w:lang w:eastAsia="zh-CN"/>
        </w:rPr>
        <w:t>均</w:t>
      </w:r>
      <w:r>
        <w:rPr>
          <w:sz w:val="21"/>
          <w:szCs w:val="21"/>
        </w:rPr>
        <w:t>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 xml:space="preserve">GB/T </w:t>
      </w:r>
      <w:r>
        <w:rPr>
          <w:rFonts w:ascii="Times New Roman" w:hAnsi="Times New Roman" w:eastAsia="Times New Roman" w:cs="Times New Roman"/>
          <w:sz w:val="21"/>
          <w:szCs w:val="21"/>
        </w:rPr>
        <w:t>4103</w:t>
      </w:r>
      <w:r>
        <w:rPr>
          <w:sz w:val="21"/>
          <w:szCs w:val="21"/>
        </w:rPr>
        <w:t>的规定进行。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4.2</w:t>
      </w:r>
      <w:r>
        <w:rPr>
          <w:sz w:val="21"/>
          <w:szCs w:val="21"/>
        </w:rPr>
        <w:t>铅锭的锭重用称量法检验。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4.3</w:t>
      </w:r>
      <w:r>
        <w:rPr>
          <w:sz w:val="21"/>
          <w:szCs w:val="21"/>
        </w:rPr>
        <w:t>铅锭的表面质量用目视法检验。</w:t>
      </w:r>
    </w:p>
    <w:p>
      <w:pPr>
        <w:pStyle w:val="17"/>
        <w:spacing w:line="400" w:lineRule="exact"/>
        <w:jc w:val="both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5</w:t>
      </w:r>
      <w:r>
        <w:rPr>
          <w:sz w:val="21"/>
          <w:szCs w:val="21"/>
        </w:rPr>
        <w:t>检验规则</w:t>
      </w:r>
    </w:p>
    <w:p>
      <w:pPr>
        <w:pStyle w:val="17"/>
        <w:spacing w:line="400" w:lineRule="exact"/>
        <w:jc w:val="both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5.1</w:t>
      </w:r>
      <w:r>
        <w:rPr>
          <w:sz w:val="21"/>
          <w:szCs w:val="21"/>
        </w:rPr>
        <w:t>检查与验收</w:t>
      </w:r>
    </w:p>
    <w:p>
      <w:pPr>
        <w:pStyle w:val="17"/>
        <w:spacing w:line="400" w:lineRule="exact"/>
        <w:jc w:val="both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5.1.1</w:t>
      </w:r>
      <w:r>
        <w:rPr>
          <w:sz w:val="21"/>
          <w:szCs w:val="21"/>
        </w:rPr>
        <w:t>铅锭应由供方质量监督部门进行检验，保证产品质量符合本标准的规定，并 填写质量证明书（合格证）。</w:t>
      </w:r>
    </w:p>
    <w:p>
      <w:pPr>
        <w:pStyle w:val="17"/>
        <w:spacing w:line="400" w:lineRule="exact"/>
        <w:jc w:val="both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5.1.2</w:t>
      </w:r>
      <w:r>
        <w:rPr>
          <w:sz w:val="21"/>
          <w:szCs w:val="21"/>
        </w:rPr>
        <w:t>需方可对收到的产品按本标准的规定进行检验,如检验结果与本标准或订货单的规定 不符时，应在收到产品之日起</w:t>
      </w:r>
      <w:r>
        <w:rPr>
          <w:rFonts w:ascii="Times New Roman" w:hAnsi="Times New Roman" w:eastAsia="Times New Roman" w:cs="Times New Roman"/>
          <w:sz w:val="21"/>
          <w:szCs w:val="21"/>
        </w:rPr>
        <w:t>30</w:t>
      </w:r>
      <w:r>
        <w:rPr>
          <w:sz w:val="21"/>
          <w:szCs w:val="21"/>
        </w:rPr>
        <w:t>天内向供方提出，由供需双方协商解决。如需仲裁，仲裁取样在需方由供需双方共同进行。</w:t>
      </w:r>
    </w:p>
    <w:p>
      <w:pPr>
        <w:pStyle w:val="13"/>
        <w:spacing w:line="400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5.2</w:t>
      </w:r>
      <w:r>
        <w:rPr>
          <w:rFonts w:ascii="宋体" w:hAnsi="宋体" w:eastAsia="宋体" w:cs="宋体"/>
          <w:sz w:val="21"/>
          <w:szCs w:val="21"/>
          <w:lang w:val="zh-TW" w:eastAsia="zh-TW" w:bidi="zh-TW"/>
        </w:rPr>
        <w:t>组批</w:t>
      </w:r>
    </w:p>
    <w:p>
      <w:pPr>
        <w:pStyle w:val="17"/>
        <w:spacing w:line="400" w:lineRule="exact"/>
        <w:jc w:val="both"/>
        <w:rPr>
          <w:rFonts w:hint="eastAsia" w:ascii="Times New Roman" w:hAnsi="Times New Roman" w:cs="Times New Roman"/>
          <w:sz w:val="21"/>
          <w:szCs w:val="21"/>
          <w:lang w:val="en-US" w:eastAsia="zh-CN" w:bidi="en-US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5.2.1</w:t>
      </w:r>
      <w:r>
        <w:rPr>
          <w:sz w:val="21"/>
          <w:szCs w:val="21"/>
        </w:rPr>
        <w:t>铅锭应成批提交检验，每批应由同一炉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sz w:val="21"/>
          <w:szCs w:val="21"/>
        </w:rPr>
        <w:t>同一牌号的产品组成，</w:t>
      </w:r>
      <w:r>
        <w:rPr>
          <w:rFonts w:hint="eastAsia"/>
          <w:sz w:val="21"/>
          <w:szCs w:val="21"/>
          <w:lang w:eastAsia="zh-CN"/>
        </w:rPr>
        <w:t>每</w:t>
      </w:r>
      <w:r>
        <w:rPr>
          <w:sz w:val="21"/>
          <w:szCs w:val="21"/>
        </w:rPr>
        <w:t>批</w:t>
      </w:r>
      <w:r>
        <w:rPr>
          <w:rFonts w:hint="eastAsia"/>
          <w:sz w:val="21"/>
          <w:szCs w:val="21"/>
          <w:lang w:eastAsia="zh-CN"/>
        </w:rPr>
        <w:t>重量</w:t>
      </w:r>
      <w:r>
        <w:rPr>
          <w:sz w:val="21"/>
          <w:szCs w:val="21"/>
        </w:rPr>
        <w:t>不大于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150 </w:t>
      </w:r>
      <w:r>
        <w:rPr>
          <w:rFonts w:hint="eastAsia" w:ascii="Times New Roman" w:hAnsi="Times New Roman" w:cs="Times New Roman"/>
          <w:sz w:val="21"/>
          <w:szCs w:val="21"/>
          <w:lang w:val="en-US" w:eastAsia="zh-CN" w:bidi="en-US"/>
        </w:rPr>
        <w:t>t。</w:t>
      </w:r>
    </w:p>
    <w:p>
      <w:pPr>
        <w:pStyle w:val="17"/>
        <w:spacing w:line="400" w:lineRule="exact"/>
        <w:jc w:val="both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5.2.2</w:t>
      </w:r>
      <w:r>
        <w:rPr>
          <w:sz w:val="21"/>
          <w:szCs w:val="21"/>
        </w:rPr>
        <w:t>根据需方要求，允许由同一牌号的多个生产批组成一个检验批。批量按需方要求执行。</w:t>
      </w:r>
    </w:p>
    <w:p>
      <w:pPr>
        <w:pStyle w:val="17"/>
        <w:spacing w:line="400" w:lineRule="exact"/>
        <w:jc w:val="both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5.3</w:t>
      </w:r>
      <w:r>
        <w:rPr>
          <w:sz w:val="21"/>
          <w:szCs w:val="21"/>
        </w:rPr>
        <w:t>检验项目</w:t>
      </w:r>
    </w:p>
    <w:p>
      <w:pPr>
        <w:pStyle w:val="17"/>
        <w:spacing w:line="400" w:lineRule="exact"/>
        <w:ind w:firstLine="440"/>
        <w:jc w:val="both"/>
        <w:rPr>
          <w:sz w:val="21"/>
          <w:szCs w:val="21"/>
        </w:rPr>
      </w:pPr>
      <w:r>
        <w:rPr>
          <w:sz w:val="21"/>
          <w:szCs w:val="21"/>
        </w:rPr>
        <w:t>每批铅锭应进行化学成分、物理规格和表面质量的检验。</w:t>
      </w:r>
    </w:p>
    <w:p>
      <w:pPr>
        <w:pStyle w:val="17"/>
        <w:spacing w:line="400" w:lineRule="exact"/>
        <w:jc w:val="both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5.4</w:t>
      </w:r>
      <w:r>
        <w:rPr>
          <w:sz w:val="21"/>
          <w:szCs w:val="21"/>
        </w:rPr>
        <w:t>取样和制样</w:t>
      </w:r>
    </w:p>
    <w:p>
      <w:pPr>
        <w:pStyle w:val="13"/>
        <w:spacing w:line="400" w:lineRule="exact"/>
        <w:jc w:val="both"/>
        <w:rPr>
          <w:sz w:val="21"/>
          <w:szCs w:val="21"/>
        </w:rPr>
      </w:pPr>
      <w:r>
        <w:rPr>
          <w:sz w:val="21"/>
          <w:szCs w:val="21"/>
        </w:rPr>
        <w:t>5.4.1</w:t>
      </w:r>
      <w:r>
        <w:rPr>
          <w:rFonts w:ascii="宋体" w:hAnsi="宋体" w:eastAsia="宋体" w:cs="宋体"/>
          <w:sz w:val="21"/>
          <w:szCs w:val="21"/>
          <w:lang w:val="zh-TW" w:eastAsia="zh-TW" w:bidi="zh-TW"/>
        </w:rPr>
        <w:t>生产取样</w:t>
      </w:r>
    </w:p>
    <w:p>
      <w:pPr>
        <w:pStyle w:val="17"/>
        <w:spacing w:line="400" w:lineRule="exact"/>
        <w:ind w:firstLine="440"/>
        <w:jc w:val="both"/>
        <w:rPr>
          <w:sz w:val="21"/>
          <w:szCs w:val="21"/>
        </w:rPr>
      </w:pPr>
      <w:r>
        <w:rPr>
          <w:sz w:val="21"/>
          <w:szCs w:val="21"/>
        </w:rPr>
        <w:t>供方用于化学成分分析的试样可从浇铸时的液态金属中采取，也可用其他方法采取。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5.4.2</w:t>
      </w:r>
      <w:r>
        <w:rPr>
          <w:sz w:val="21"/>
          <w:szCs w:val="21"/>
        </w:rPr>
        <w:t>仲裁取样和制样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5.4.2.1</w:t>
      </w:r>
      <w:r>
        <w:rPr>
          <w:sz w:val="21"/>
          <w:szCs w:val="21"/>
        </w:rPr>
        <w:t>铅小锭化学成分仲裁样的采取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5.4.2.1.1</w:t>
      </w:r>
      <w:r>
        <w:rPr>
          <w:sz w:val="21"/>
          <w:szCs w:val="21"/>
        </w:rPr>
        <w:t>仲裁取样数量:随机抽取铅锭数量的</w:t>
      </w:r>
      <w:r>
        <w:rPr>
          <w:rFonts w:ascii="Times New Roman" w:hAnsi="Times New Roman" w:eastAsia="Times New Roman" w:cs="Times New Roman"/>
          <w:sz w:val="21"/>
          <w:szCs w:val="21"/>
        </w:rPr>
        <w:t>2%</w:t>
      </w:r>
      <w:r>
        <w:rPr>
          <w:sz w:val="21"/>
          <w:szCs w:val="21"/>
        </w:rPr>
        <w:t>作为样锭,样锭总数应为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sz w:val="21"/>
          <w:szCs w:val="21"/>
        </w:rPr>
        <w:t>的倍数，以便于分组。分 组后不足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sz w:val="21"/>
          <w:szCs w:val="21"/>
        </w:rPr>
        <w:t>锭时，应从铅锭中补足，不得舍弃。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5.4.2.1.2</w:t>
      </w:r>
      <w:r>
        <w:rPr>
          <w:sz w:val="21"/>
          <w:szCs w:val="21"/>
        </w:rPr>
        <w:t>仲裁取样方法:将抽取的样锭按每</w:t>
      </w: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sz w:val="21"/>
          <w:szCs w:val="21"/>
        </w:rPr>
        <w:t>个锭为一组，用钻孔或锯切法采取试样。钻孔或锯切时,不得使用任何润滑剂，其速度不得使试料氧化。取样时应除去表皮，钻、锯深度不小于锭厚的三分之二。</w:t>
      </w:r>
    </w:p>
    <w:p>
      <w:pPr>
        <w:pStyle w:val="17"/>
        <w:spacing w:line="324" w:lineRule="exact"/>
        <w:ind w:hanging="420"/>
        <w:jc w:val="both"/>
        <w:rPr>
          <w:rFonts w:hint="eastAsia"/>
          <w:sz w:val="21"/>
          <w:szCs w:val="21"/>
          <w:lang w:eastAsia="zh-CN"/>
        </w:rPr>
      </w:pPr>
      <w:bookmarkStart w:id="3" w:name="bookmark3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a</w:t>
      </w:r>
      <w:bookmarkEnd w:id="3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sz w:val="21"/>
          <w:szCs w:val="21"/>
        </w:rPr>
        <w:t>钻孔法:用直径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10 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mm</w:t>
      </w:r>
      <w:r>
        <w:rPr>
          <w:sz w:val="21"/>
          <w:szCs w:val="21"/>
        </w:rPr>
        <w:t>〜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15 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mm</w:t>
      </w:r>
      <w:r>
        <w:rPr>
          <w:sz w:val="21"/>
          <w:szCs w:val="21"/>
        </w:rPr>
        <w:t>的钻头取样，将浇铸面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A</w:t>
      </w:r>
      <w:r>
        <w:rPr>
          <w:sz w:val="21"/>
          <w:szCs w:val="21"/>
        </w:rPr>
        <w:t>与底面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B</w:t>
      </w:r>
      <w:r>
        <w:rPr>
          <w:sz w:val="21"/>
          <w:szCs w:val="21"/>
        </w:rPr>
        <w:t>依次排列成长方形，在长 方形上划</w:t>
      </w:r>
      <w:r>
        <w:rPr>
          <w:rFonts w:ascii="Times New Roman" w:hAnsi="Times New Roman" w:eastAsia="Times New Roman" w:cs="Times New Roman"/>
          <w:sz w:val="21"/>
          <w:szCs w:val="21"/>
        </w:rPr>
        <w:t>2</w:t>
      </w:r>
      <w:r>
        <w:rPr>
          <w:sz w:val="21"/>
          <w:szCs w:val="21"/>
        </w:rPr>
        <w:t>条对角线，与每锭纵向中心线相交的两点为该锭的取样点，如图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sz w:val="21"/>
          <w:szCs w:val="21"/>
        </w:rPr>
        <w:t>所示。</w:t>
      </w:r>
    </w:p>
    <w:p>
      <w:pPr>
        <w:pStyle w:val="17"/>
        <w:spacing w:line="324" w:lineRule="exact"/>
        <w:ind w:hanging="420"/>
        <w:jc w:val="both"/>
        <w:rPr>
          <w:rFonts w:hint="eastAsia"/>
          <w:sz w:val="21"/>
          <w:szCs w:val="21"/>
          <w:lang w:eastAsia="zh-CN"/>
        </w:rPr>
      </w:pPr>
    </w:p>
    <w:p>
      <w:pPr>
        <w:jc w:val="center"/>
        <w:rPr>
          <w:sz w:val="2"/>
          <w:szCs w:val="2"/>
        </w:rPr>
      </w:pPr>
      <w:r>
        <w:rPr>
          <w:lang w:eastAsia="zh-CN" w:bidi="ar-SA"/>
        </w:rPr>
        <w:drawing>
          <wp:inline distT="0" distB="0" distL="114300" distR="114300">
            <wp:extent cx="2907665" cy="1657985"/>
            <wp:effectExtent l="0" t="0" r="6985" b="18415"/>
            <wp:docPr id="35" name="Picut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utre 3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419" w:line="1" w:lineRule="exact"/>
      </w:pPr>
    </w:p>
    <w:p>
      <w:pPr>
        <w:pStyle w:val="17"/>
        <w:spacing w:after="120" w:line="324" w:lineRule="exact"/>
        <w:jc w:val="center"/>
      </w:pPr>
      <w:r>
        <w:t>图</w:t>
      </w:r>
      <w:r>
        <w:rPr>
          <w:rFonts w:ascii="Times New Roman" w:hAnsi="Times New Roman" w:eastAsia="Times New Roman" w:cs="Times New Roman"/>
        </w:rPr>
        <w:t>1</w:t>
      </w:r>
      <w:r>
        <w:t>铅小锭钻孔布点图</w:t>
      </w:r>
    </w:p>
    <w:p>
      <w:pPr>
        <w:pStyle w:val="17"/>
        <w:spacing w:line="400" w:lineRule="exact"/>
        <w:rPr>
          <w:sz w:val="21"/>
          <w:szCs w:val="21"/>
        </w:rPr>
      </w:pPr>
      <w:bookmarkStart w:id="4" w:name="bookmark4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b</w:t>
      </w:r>
      <w:bookmarkEnd w:id="4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sz w:val="21"/>
          <w:szCs w:val="21"/>
        </w:rPr>
        <w:t>锯切法:锯条与铅锭垂直，通过钻孔法取样点横向锯切。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5.4.2.1.3</w:t>
      </w:r>
      <w:r>
        <w:rPr>
          <w:sz w:val="21"/>
          <w:szCs w:val="21"/>
        </w:rPr>
        <w:t>试样的制备:将取得的试样制成不大于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4 mm</w:t>
      </w:r>
      <w:r>
        <w:rPr>
          <w:sz w:val="21"/>
          <w:szCs w:val="21"/>
        </w:rPr>
        <w:t>屑状，用磁铁除净加工时带入的铁屑，混匀后 缩分至不少于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360 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g,</w:t>
      </w:r>
      <w:r>
        <w:rPr>
          <w:sz w:val="21"/>
          <w:szCs w:val="21"/>
        </w:rPr>
        <w:t>作为仲裁分析样品。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5.4.2.2</w:t>
      </w:r>
      <w:r>
        <w:rPr>
          <w:sz w:val="21"/>
          <w:szCs w:val="21"/>
        </w:rPr>
        <w:t>铅大锭化学成分仲裁样的釆取和制备由供需双方商定。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5.5</w:t>
      </w:r>
      <w:r>
        <w:rPr>
          <w:sz w:val="21"/>
          <w:szCs w:val="21"/>
        </w:rPr>
        <w:t>检验结果的判定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5.5.1</w:t>
      </w:r>
      <w:r>
        <w:rPr>
          <w:sz w:val="21"/>
          <w:szCs w:val="21"/>
        </w:rPr>
        <w:t>铅锭化学成分仲裁分析结果与本标准或订货单的规定不符时，按批判不合格。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5.5.2</w:t>
      </w:r>
      <w:r>
        <w:rPr>
          <w:sz w:val="21"/>
          <w:szCs w:val="21"/>
        </w:rPr>
        <w:t>铅锭的物理规格和表面质量与本标准或订货单的规定不符时，按锭判不合格。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5.5.3</w:t>
      </w:r>
      <w:r>
        <w:rPr>
          <w:sz w:val="21"/>
          <w:szCs w:val="21"/>
        </w:rPr>
        <w:t>杂质元素检验结果的修约和修约后数值的表示和判定按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 xml:space="preserve">GB/T </w:t>
      </w:r>
      <w:r>
        <w:rPr>
          <w:rFonts w:ascii="Times New Roman" w:hAnsi="Times New Roman" w:eastAsia="Times New Roman" w:cs="Times New Roman"/>
          <w:sz w:val="21"/>
          <w:szCs w:val="21"/>
        </w:rPr>
        <w:t>8170</w:t>
      </w:r>
      <w:r>
        <w:rPr>
          <w:sz w:val="21"/>
          <w:szCs w:val="21"/>
        </w:rPr>
        <w:t>中的规定进行。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6</w:t>
      </w:r>
      <w:r>
        <w:rPr>
          <w:sz w:val="21"/>
          <w:szCs w:val="21"/>
        </w:rPr>
        <w:t>包装、标志、运输与贮存、质量证明书</w:t>
      </w:r>
    </w:p>
    <w:p>
      <w:pPr>
        <w:pStyle w:val="13"/>
        <w:spacing w:line="400" w:lineRule="exact"/>
        <w:rPr>
          <w:sz w:val="21"/>
          <w:szCs w:val="21"/>
        </w:rPr>
      </w:pPr>
      <w:r>
        <w:rPr>
          <w:sz w:val="21"/>
          <w:szCs w:val="21"/>
        </w:rPr>
        <w:t>6.1</w:t>
      </w:r>
      <w:r>
        <w:rPr>
          <w:rFonts w:ascii="宋体" w:hAnsi="宋体" w:eastAsia="宋体" w:cs="宋体"/>
          <w:sz w:val="21"/>
          <w:szCs w:val="21"/>
          <w:lang w:val="zh-TW" w:eastAsia="zh-TW" w:bidi="zh-TW"/>
        </w:rPr>
        <w:t>包裝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6.1.1</w:t>
      </w:r>
      <w:r>
        <w:rPr>
          <w:sz w:val="21"/>
          <w:szCs w:val="21"/>
        </w:rPr>
        <w:t>铅小锭应用相应强度且不易锈蚀的包装带捆扎包装。铅大锭以裸锭供货。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6.1.2</w:t>
      </w:r>
      <w:r>
        <w:rPr>
          <w:sz w:val="21"/>
          <w:szCs w:val="21"/>
        </w:rPr>
        <w:t>需方如对铅锭包装有特殊要求时,可由供需双方商定。</w:t>
      </w:r>
    </w:p>
    <w:p>
      <w:pPr>
        <w:pStyle w:val="13"/>
        <w:spacing w:line="400" w:lineRule="exact"/>
        <w:rPr>
          <w:sz w:val="21"/>
          <w:szCs w:val="21"/>
        </w:rPr>
      </w:pPr>
      <w:r>
        <w:rPr>
          <w:sz w:val="21"/>
          <w:szCs w:val="21"/>
        </w:rPr>
        <w:t>6.2</w:t>
      </w:r>
      <w:r>
        <w:rPr>
          <w:rFonts w:ascii="宋体" w:hAnsi="宋体" w:eastAsia="宋体" w:cs="宋体"/>
          <w:sz w:val="21"/>
          <w:szCs w:val="21"/>
          <w:lang w:val="zh-TW" w:eastAsia="zh-TW" w:bidi="zh-TW"/>
        </w:rPr>
        <w:t>标志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6.2.1</w:t>
      </w:r>
      <w:r>
        <w:rPr>
          <w:sz w:val="21"/>
          <w:szCs w:val="21"/>
        </w:rPr>
        <w:t>每块铅锭上应浇铸或打印上商标和批号。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6.2.2</w:t>
      </w:r>
      <w:r>
        <w:rPr>
          <w:sz w:val="21"/>
          <w:szCs w:val="21"/>
        </w:rPr>
        <w:t>每捆铅锭上应有醒目的不易脱落的标识，注明生产厂名称、产品名称、牌号、批号和净重。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6.3</w:t>
      </w:r>
      <w:r>
        <w:rPr>
          <w:sz w:val="21"/>
          <w:szCs w:val="21"/>
        </w:rPr>
        <w:t>运输与贮存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6.3.1</w:t>
      </w:r>
      <w:r>
        <w:rPr>
          <w:sz w:val="21"/>
          <w:szCs w:val="21"/>
        </w:rPr>
        <w:t>铅锭应用无腐蚀性物质的运输工具装运，防止被雨淋。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6.3.2</w:t>
      </w:r>
      <w:r>
        <w:rPr>
          <w:sz w:val="21"/>
          <w:szCs w:val="21"/>
        </w:rPr>
        <w:t>铅锭应贮存在通风、干燥、无腐蚀性物质的库房内。</w:t>
      </w:r>
    </w:p>
    <w:p>
      <w:pPr>
        <w:pStyle w:val="17"/>
        <w:spacing w:line="400" w:lineRule="exact"/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6.3.3</w:t>
      </w:r>
      <w:r>
        <w:rPr>
          <w:sz w:val="21"/>
          <w:szCs w:val="21"/>
        </w:rPr>
        <w:t>铅锭在运输与贮存过程中，由于自然氧化表面生成的白色、灰白色或黄白色薄膜，不作报废 依据。</w:t>
      </w:r>
      <w:r>
        <w:br w:type="page"/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6.4</w:t>
      </w:r>
      <w:r>
        <w:rPr>
          <w:sz w:val="21"/>
          <w:szCs w:val="21"/>
        </w:rPr>
        <w:t>质量证明书</w:t>
      </w:r>
    </w:p>
    <w:p>
      <w:pPr>
        <w:pStyle w:val="17"/>
        <w:spacing w:line="400" w:lineRule="exact"/>
        <w:ind w:firstLine="400"/>
        <w:rPr>
          <w:sz w:val="21"/>
          <w:szCs w:val="21"/>
        </w:rPr>
      </w:pPr>
      <w:r>
        <w:rPr>
          <w:sz w:val="21"/>
          <w:szCs w:val="21"/>
        </w:rPr>
        <w:t>每批铅锭应附有产品质量证明书（合格证），其上注明：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5" w:name="bookmark5"/>
      <w:r>
        <w:rPr>
          <w:rFonts w:ascii="Times New Roman" w:hAnsi="Times New Roman" w:eastAsia="Times New Roman" w:cs="Times New Roman"/>
          <w:i/>
          <w:iCs/>
          <w:sz w:val="21"/>
          <w:szCs w:val="21"/>
          <w:lang w:val="en-US" w:eastAsia="en-US" w:bidi="en-US"/>
        </w:rPr>
        <w:t>a</w:t>
      </w:r>
      <w:bookmarkEnd w:id="5"/>
      <w:r>
        <w:rPr>
          <w:rFonts w:ascii="Times New Roman" w:hAnsi="Times New Roman" w:eastAsia="Times New Roman" w:cs="Times New Roman"/>
          <w:i/>
          <w:iCs/>
          <w:sz w:val="21"/>
          <w:szCs w:val="21"/>
          <w:lang w:val="en-US" w:eastAsia="en-US" w:bidi="en-US"/>
        </w:rPr>
        <w:t>）</w:t>
      </w:r>
      <w:r>
        <w:rPr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供方名称和商标、地址、电话或传真；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6" w:name="bookmark6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b</w:t>
      </w:r>
      <w:bookmarkEnd w:id="6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产品名称和牌号；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7" w:name="bookmark7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c</w:t>
      </w:r>
      <w:bookmarkEnd w:id="7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批号；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8" w:name="bookmark8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d</w:t>
      </w:r>
      <w:bookmarkEnd w:id="8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净重和件数；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9" w:name="bookmark9"/>
      <w:r>
        <w:rPr>
          <w:rFonts w:ascii="Times New Roman" w:hAnsi="Times New Roman" w:eastAsia="Times New Roman" w:cs="Times New Roman"/>
          <w:color w:val="334E55"/>
          <w:sz w:val="21"/>
          <w:szCs w:val="21"/>
          <w:lang w:val="en-US" w:eastAsia="en-US" w:bidi="en-US"/>
        </w:rPr>
        <w:t>e</w:t>
      </w:r>
      <w:bookmarkEnd w:id="9"/>
      <w:r>
        <w:rPr>
          <w:rFonts w:ascii="Times New Roman" w:hAnsi="Times New Roman" w:eastAsia="Times New Roman" w:cs="Times New Roman"/>
          <w:color w:val="334E55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color w:val="334E55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分析检验结果和质量监督部门印记；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10" w:name="bookmark10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f</w:t>
      </w:r>
      <w:bookmarkEnd w:id="10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本标准编号；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11" w:name="bookmark11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g</w:t>
      </w:r>
      <w:bookmarkEnd w:id="11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出厂日期。</w:t>
      </w:r>
    </w:p>
    <w:p>
      <w:pPr>
        <w:pStyle w:val="17"/>
        <w:spacing w:line="400" w:lineRule="exact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7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t>订货单内容</w:t>
      </w:r>
    </w:p>
    <w:p>
      <w:pPr>
        <w:pStyle w:val="17"/>
        <w:spacing w:line="400" w:lineRule="exact"/>
        <w:ind w:firstLine="400"/>
        <w:rPr>
          <w:sz w:val="21"/>
          <w:szCs w:val="21"/>
        </w:rPr>
      </w:pPr>
      <w:r>
        <w:rPr>
          <w:sz w:val="21"/>
          <w:szCs w:val="21"/>
        </w:rPr>
        <w:t>本标准所列材料的订货单内应包括下列内容: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12" w:name="bookmark12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a</w:t>
      </w:r>
      <w:bookmarkEnd w:id="12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产品名称；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13" w:name="bookmark13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b</w:t>
      </w:r>
      <w:bookmarkEnd w:id="13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牌号；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14" w:name="bookmark14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c</w:t>
      </w:r>
      <w:bookmarkEnd w:id="14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化学成分、物理规格、表面质量等特殊要求；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15" w:name="bookmark15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d</w:t>
      </w:r>
      <w:bookmarkEnd w:id="15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净重和件数；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bookmarkStart w:id="16" w:name="bookmark16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e</w:t>
      </w:r>
      <w:bookmarkEnd w:id="16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本标准编号；</w:t>
      </w:r>
    </w:p>
    <w:p>
      <w:pPr>
        <w:pStyle w:val="17"/>
        <w:tabs>
          <w:tab w:val="left" w:pos="810"/>
        </w:tabs>
        <w:spacing w:line="400" w:lineRule="exact"/>
        <w:ind w:firstLine="420" w:firstLineChars="200"/>
        <w:rPr>
          <w:sz w:val="21"/>
          <w:szCs w:val="21"/>
        </w:rPr>
      </w:pPr>
      <w:bookmarkStart w:id="17" w:name="bookmark17"/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>f</w:t>
      </w:r>
      <w:bookmarkEnd w:id="17"/>
      <w:r>
        <w:rPr>
          <w:rFonts w:hint="eastAsia"/>
          <w:sz w:val="21"/>
          <w:szCs w:val="21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sz w:val="21"/>
          <w:szCs w:val="21"/>
          <w:lang w:val="en-US" w:eastAsia="en-US" w:bidi="en-US"/>
        </w:rPr>
        <w:tab/>
      </w:r>
      <w:r>
        <w:rPr>
          <w:sz w:val="21"/>
          <w:szCs w:val="21"/>
        </w:rPr>
        <w:t>其他。</w: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18415</wp:posOffset>
                </wp:positionV>
                <wp:extent cx="26701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545" y="4207510"/>
                          <a:ext cx="267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35pt;margin-top:1.45pt;height:0pt;width:210.25pt;z-index:251664384;mso-width-relative:page;mso-height-relative:page;" filled="f" stroked="t" coordsize="21600,21600" o:gfxdata="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Rl+m31AAAAAcBAAAP&#10;AAAAAAAAAAEAIAAAACIAAABkcnMvZG93bnJldi54bWxQSwECFAAUAAAACACHTuJATs/Y1eMBAACm&#10;AwAADgAAAAAAAAABACAAAAAjAQAAZHJzL2Uyb0RvYy54bWxQSwUGAAAAAAYABgBZAQAAe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</w:pPr>
    </w:p>
    <w:p>
      <w:pPr>
        <w:pStyle w:val="17"/>
        <w:tabs>
          <w:tab w:val="left" w:pos="810"/>
        </w:tabs>
        <w:spacing w:line="400" w:lineRule="exact"/>
        <w:ind w:firstLine="400"/>
        <w:rPr>
          <w:sz w:val="21"/>
          <w:szCs w:val="21"/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1900" w:h="16840"/>
          <w:pgMar w:top="1797" w:right="1440" w:bottom="1797" w:left="1440" w:header="0" w:footer="6" w:gutter="0"/>
          <w:pgNumType w:start="5"/>
          <w:cols w:space="720" w:num="1"/>
          <w:docGrid w:linePitch="360" w:charSpace="0"/>
        </w:sectPr>
      </w:pPr>
    </w:p>
    <w:p>
      <w:pPr>
        <w:spacing w:after="496" w:line="1" w:lineRule="exact"/>
      </w:pPr>
      <w:r>
        <w:rPr>
          <w:sz w:val="17"/>
          <w:szCs w:val="17"/>
          <w:lang w:val="zh-TW" w:eastAsia="zh-TW" w:bidi="zh-TW"/>
        </w:rPr>
        <w:t>版</w:t>
      </w:r>
    </w:p>
    <w:p>
      <w:pPr>
        <w:spacing w:line="1" w:lineRule="exact"/>
      </w:pPr>
    </w:p>
    <w:sectPr>
      <w:type w:val="continuous"/>
      <w:pgSz w:w="11900" w:h="16840"/>
      <w:pgMar w:top="1802" w:right="1410" w:bottom="1328" w:left="1194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9872980</wp:posOffset>
              </wp:positionV>
              <wp:extent cx="41275" cy="825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9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lang w:val="zh-TW" w:eastAsia="zh-TW" w:bidi="zh-TW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515.1pt;margin-top:777.4pt;height:6.5pt;width:3.2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J7SPfZAAAADwEAAA8AAAAAAAAAAQAgAAAAIgAAAGRycy9kb3ducmV2LnhtbFBLAQIU&#10;ABQAAAAIAIdO4kAgPcLtuQEAAJU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9"/>
                        <w:szCs w:val="19"/>
                        <w:lang w:val="zh-TW" w:eastAsia="zh-TW" w:bidi="zh-TW"/>
                      </w:rPr>
                      <w:t>I</w:t>
                    </w:r>
                    <w:r>
                      <w:rPr>
                        <w:b/>
                        <w:bCs/>
                        <w:sz w:val="19"/>
                        <w:szCs w:val="19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9872980</wp:posOffset>
              </wp:positionV>
              <wp:extent cx="41275" cy="825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9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lang w:val="zh-TW" w:eastAsia="zh-TW" w:bidi="zh-TW"/>
                            </w:rPr>
                            <w:t>II</w:t>
                          </w:r>
                          <w:r>
                            <w:rPr>
                              <w:b/>
                              <w:bCs/>
                              <w:sz w:val="19"/>
                              <w:szCs w:val="19"/>
                              <w:lang w:val="zh-TW" w:eastAsia="zh-TW" w:bidi="zh-T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515.1pt;margin-top:777.4pt;height:6.5pt;width:3.25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ntI99kAAAAPAQAADwAAAAAAAAABACAAAAAiAAAAZHJzL2Rvd25yZXYueG1sUEsBAhQA&#10;FAAAAAgAh07iQFmXrvq4AQAAlQMAAA4AAAAAAAAAAQAgAAAAK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sz w:val="19"/>
                        <w:szCs w:val="19"/>
                        <w:lang w:val="zh-TW" w:eastAsia="zh-TW" w:bidi="zh-TW"/>
                      </w:rPr>
                      <w:t>II</w:t>
                    </w:r>
                    <w:r>
                      <w:rPr>
                        <w:b/>
                        <w:bCs/>
                        <w:sz w:val="19"/>
                        <w:szCs w:val="19"/>
                        <w:lang w:val="zh-TW" w:eastAsia="zh-TW" w:bidi="zh-TW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5778500</wp:posOffset>
              </wp:positionH>
              <wp:positionV relativeFrom="page">
                <wp:posOffset>884555</wp:posOffset>
              </wp:positionV>
              <wp:extent cx="982980" cy="11874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98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9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t>GB/T 469—20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55pt;margin-top:69.65pt;height:9.35pt;width:77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8m8tK1wAAAAwBAAAPAAAAAAAAAAEAIAAAACIAAABkcnMvZG93bnJldi54bWxQSwECFAAU&#10;AAAACACHTuJArBwejLkBAACVAwAADgAAAAAAAAABACAAAAAm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t>GB/T 469—20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>xx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5778500</wp:posOffset>
              </wp:positionH>
              <wp:positionV relativeFrom="page">
                <wp:posOffset>884555</wp:posOffset>
              </wp:positionV>
              <wp:extent cx="98298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98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t>GB/T 469—2013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55pt;margin-top:69.65pt;height:9.35pt;width:77.4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/JvLStcAAAAMAQAADwAAAAAAAAABACAAAAAiAAAAZHJzL2Rvd25yZXYueG1sUEsBAhQA&#10;FAAAAAgAh07iQIHtHm26AQAAlw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t>GB/T 469—2013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5735955</wp:posOffset>
              </wp:positionH>
              <wp:positionV relativeFrom="page">
                <wp:posOffset>929640</wp:posOffset>
              </wp:positionV>
              <wp:extent cx="974090" cy="11430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0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9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t>GB/T 469—20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6" o:spid="_x0000_s1026" o:spt="202" type="#_x0000_t202" style="position:absolute;left:0pt;margin-left:451.65pt;margin-top:73.2pt;height:9pt;width:76.7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8/yNdgAAAAMAQAADwAAAAAAAAABACAAAAAiAAAAZHJzL2Rvd25yZXYueG1sUEsB&#10;AhQAFAAAAAgAh07iQNbNrva8AQAAlw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t>GB/T 469—20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>xx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1033780</wp:posOffset>
              </wp:positionH>
              <wp:positionV relativeFrom="page">
                <wp:posOffset>962025</wp:posOffset>
              </wp:positionV>
              <wp:extent cx="892810" cy="14605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9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t>GB/T 469—20</w:t>
                          </w:r>
                          <w:r>
                            <w:rPr>
                              <w:rFonts w:hint="eastAsia" w:eastAsia="宋体"/>
                              <w:lang w:val="en-US" w:eastAsia="zh-CN"/>
                            </w:rPr>
                            <w:t>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8" o:spid="_x0000_s1026" o:spt="202" type="#_x0000_t202" style="position:absolute;left:0pt;margin-left:81.4pt;margin-top:75.75pt;height:11.5pt;width:70.3pt;mso-position-horizontal-relative:page;mso-position-vertical-relative:page;mso-wrap-style:none;z-index:-251651072;mso-width-relative:page;mso-height-relative:page;" filled="f" stroked="f" coordsize="21600,21600" o:gfxdata="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pOmp9cAAAALAQAADwAAAAAAAAABACAAAAAiAAAAZHJzL2Rvd25yZXYueG1sUEsB&#10;AhQAFAAAAAgAh07iQBIJSPe9AQAAlw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t>GB/T 469—20</w:t>
                    </w:r>
                    <w:r>
                      <w:rPr>
                        <w:rFonts w:hint="eastAsia" w:eastAsia="宋体"/>
                        <w:lang w:val="en-US" w:eastAsia="zh-CN"/>
                      </w:rPr>
                      <w:t>xx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E3361"/>
    <w:multiLevelType w:val="singleLevel"/>
    <w:tmpl w:val="284E3361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NWRmMjAyMzAxMWI2NWU2ZmI5ZTFlZDA0ZWMzZTgifQ=="/>
  </w:docVars>
  <w:rsids>
    <w:rsidRoot w:val="00F14D9D"/>
    <w:rsid w:val="0021270A"/>
    <w:rsid w:val="002322CD"/>
    <w:rsid w:val="00443143"/>
    <w:rsid w:val="00740364"/>
    <w:rsid w:val="007939E7"/>
    <w:rsid w:val="00841B61"/>
    <w:rsid w:val="0085012E"/>
    <w:rsid w:val="008800FA"/>
    <w:rsid w:val="009C7453"/>
    <w:rsid w:val="009E5AAB"/>
    <w:rsid w:val="00B045A3"/>
    <w:rsid w:val="00EB0CE2"/>
    <w:rsid w:val="00F14D9D"/>
    <w:rsid w:val="022E6370"/>
    <w:rsid w:val="02B272ED"/>
    <w:rsid w:val="02CA4A44"/>
    <w:rsid w:val="037B31C4"/>
    <w:rsid w:val="04517A44"/>
    <w:rsid w:val="06094CCE"/>
    <w:rsid w:val="079B686A"/>
    <w:rsid w:val="088405FC"/>
    <w:rsid w:val="08AA0601"/>
    <w:rsid w:val="09C31342"/>
    <w:rsid w:val="09EF42C2"/>
    <w:rsid w:val="0A01668F"/>
    <w:rsid w:val="0A310639"/>
    <w:rsid w:val="0D4A78D7"/>
    <w:rsid w:val="0E8D4E81"/>
    <w:rsid w:val="0EB5198C"/>
    <w:rsid w:val="10A01B76"/>
    <w:rsid w:val="10B15ECC"/>
    <w:rsid w:val="11136A2E"/>
    <w:rsid w:val="11AD675C"/>
    <w:rsid w:val="13B34458"/>
    <w:rsid w:val="140902ED"/>
    <w:rsid w:val="159C4CE4"/>
    <w:rsid w:val="15C512C6"/>
    <w:rsid w:val="16050F1F"/>
    <w:rsid w:val="16DA151A"/>
    <w:rsid w:val="186E0C81"/>
    <w:rsid w:val="198C281F"/>
    <w:rsid w:val="1A1C5EEB"/>
    <w:rsid w:val="1AFB662B"/>
    <w:rsid w:val="1B0A17D8"/>
    <w:rsid w:val="1B9579D4"/>
    <w:rsid w:val="1BF340A2"/>
    <w:rsid w:val="1C3E0403"/>
    <w:rsid w:val="1CA71EC4"/>
    <w:rsid w:val="1E3050DE"/>
    <w:rsid w:val="1F974A18"/>
    <w:rsid w:val="1FA538AB"/>
    <w:rsid w:val="204F3A6D"/>
    <w:rsid w:val="222B676F"/>
    <w:rsid w:val="22B95323"/>
    <w:rsid w:val="23A567BF"/>
    <w:rsid w:val="23AF3600"/>
    <w:rsid w:val="23CA76FC"/>
    <w:rsid w:val="24063A57"/>
    <w:rsid w:val="24375ACD"/>
    <w:rsid w:val="24D94C27"/>
    <w:rsid w:val="28AD069E"/>
    <w:rsid w:val="29107088"/>
    <w:rsid w:val="29FB3E3B"/>
    <w:rsid w:val="2A267371"/>
    <w:rsid w:val="2B163D88"/>
    <w:rsid w:val="2C23464B"/>
    <w:rsid w:val="2C3236A2"/>
    <w:rsid w:val="2C5724E3"/>
    <w:rsid w:val="2C923FD4"/>
    <w:rsid w:val="2CEF1C3F"/>
    <w:rsid w:val="2D250710"/>
    <w:rsid w:val="2D56257D"/>
    <w:rsid w:val="2DFA202B"/>
    <w:rsid w:val="2ECF6FC1"/>
    <w:rsid w:val="2F6165F8"/>
    <w:rsid w:val="2F761B18"/>
    <w:rsid w:val="2FD16B61"/>
    <w:rsid w:val="301A0CC7"/>
    <w:rsid w:val="3046731A"/>
    <w:rsid w:val="306A2382"/>
    <w:rsid w:val="31BC3D11"/>
    <w:rsid w:val="3277050E"/>
    <w:rsid w:val="32CF1D0A"/>
    <w:rsid w:val="332541B5"/>
    <w:rsid w:val="33D417E9"/>
    <w:rsid w:val="34E574F7"/>
    <w:rsid w:val="358C31E4"/>
    <w:rsid w:val="367244D5"/>
    <w:rsid w:val="36933075"/>
    <w:rsid w:val="36E83AE9"/>
    <w:rsid w:val="36FF0B5E"/>
    <w:rsid w:val="37177434"/>
    <w:rsid w:val="388206C5"/>
    <w:rsid w:val="38855C35"/>
    <w:rsid w:val="39362210"/>
    <w:rsid w:val="39362890"/>
    <w:rsid w:val="398F1D60"/>
    <w:rsid w:val="3C9D5848"/>
    <w:rsid w:val="3D164641"/>
    <w:rsid w:val="3D3260F3"/>
    <w:rsid w:val="3D597440"/>
    <w:rsid w:val="3E0D7471"/>
    <w:rsid w:val="3E51188B"/>
    <w:rsid w:val="3F274C13"/>
    <w:rsid w:val="3F6274F1"/>
    <w:rsid w:val="401119B5"/>
    <w:rsid w:val="41AC17F9"/>
    <w:rsid w:val="42EA3E8E"/>
    <w:rsid w:val="43497B0A"/>
    <w:rsid w:val="435B472E"/>
    <w:rsid w:val="440A1625"/>
    <w:rsid w:val="44AB47AE"/>
    <w:rsid w:val="45CA31F2"/>
    <w:rsid w:val="464C088F"/>
    <w:rsid w:val="46AD17CC"/>
    <w:rsid w:val="481C1FC8"/>
    <w:rsid w:val="48D24D96"/>
    <w:rsid w:val="49510026"/>
    <w:rsid w:val="49937941"/>
    <w:rsid w:val="49C87064"/>
    <w:rsid w:val="4DBB195C"/>
    <w:rsid w:val="4E8E6936"/>
    <w:rsid w:val="4E9C544C"/>
    <w:rsid w:val="4EBF431C"/>
    <w:rsid w:val="4EF055A8"/>
    <w:rsid w:val="4F642D57"/>
    <w:rsid w:val="506710FA"/>
    <w:rsid w:val="50E25CCB"/>
    <w:rsid w:val="51A8171A"/>
    <w:rsid w:val="538B6215"/>
    <w:rsid w:val="53A849E7"/>
    <w:rsid w:val="53E048CD"/>
    <w:rsid w:val="54700746"/>
    <w:rsid w:val="548B4E5B"/>
    <w:rsid w:val="57106082"/>
    <w:rsid w:val="57EC39F4"/>
    <w:rsid w:val="587666F0"/>
    <w:rsid w:val="58E309B3"/>
    <w:rsid w:val="593D6F4C"/>
    <w:rsid w:val="59F10682"/>
    <w:rsid w:val="5A8024C8"/>
    <w:rsid w:val="5AF5225B"/>
    <w:rsid w:val="5B5100C1"/>
    <w:rsid w:val="5B512DEA"/>
    <w:rsid w:val="5BFF327F"/>
    <w:rsid w:val="5DD772E8"/>
    <w:rsid w:val="5E1725C0"/>
    <w:rsid w:val="5F4F0D04"/>
    <w:rsid w:val="5F4F7909"/>
    <w:rsid w:val="5F6B60B4"/>
    <w:rsid w:val="5F8559FE"/>
    <w:rsid w:val="60BD2690"/>
    <w:rsid w:val="60D565B3"/>
    <w:rsid w:val="62E66FFC"/>
    <w:rsid w:val="63307984"/>
    <w:rsid w:val="64707E74"/>
    <w:rsid w:val="66FA639A"/>
    <w:rsid w:val="67194C2B"/>
    <w:rsid w:val="69B905B6"/>
    <w:rsid w:val="6A9F1751"/>
    <w:rsid w:val="6AA00DDE"/>
    <w:rsid w:val="6D486510"/>
    <w:rsid w:val="6D94375F"/>
    <w:rsid w:val="6DBA6F61"/>
    <w:rsid w:val="6DC0119E"/>
    <w:rsid w:val="6E1B3237"/>
    <w:rsid w:val="6E6867F0"/>
    <w:rsid w:val="6F1F566D"/>
    <w:rsid w:val="6F48310A"/>
    <w:rsid w:val="6F9D6B6D"/>
    <w:rsid w:val="70D52DE9"/>
    <w:rsid w:val="70DA4459"/>
    <w:rsid w:val="7113463D"/>
    <w:rsid w:val="71C627F8"/>
    <w:rsid w:val="71C63347"/>
    <w:rsid w:val="71EA05FD"/>
    <w:rsid w:val="73974986"/>
    <w:rsid w:val="765D2508"/>
    <w:rsid w:val="767640D2"/>
    <w:rsid w:val="76F02EE7"/>
    <w:rsid w:val="7855180D"/>
    <w:rsid w:val="78B62905"/>
    <w:rsid w:val="78DC5050"/>
    <w:rsid w:val="79A6742C"/>
    <w:rsid w:val="79BE3000"/>
    <w:rsid w:val="79C008AB"/>
    <w:rsid w:val="7AAF0391"/>
    <w:rsid w:val="7AC75830"/>
    <w:rsid w:val="7AE91D8C"/>
    <w:rsid w:val="7B63470E"/>
    <w:rsid w:val="7C401EE0"/>
    <w:rsid w:val="7CB3080D"/>
    <w:rsid w:val="7CDD0098"/>
    <w:rsid w:val="7D7202C5"/>
    <w:rsid w:val="7D8D75CD"/>
    <w:rsid w:val="7ED519F4"/>
    <w:rsid w:val="7F3855A4"/>
    <w:rsid w:val="7F777670"/>
    <w:rsid w:val="7FD2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8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26"/>
    <w:qFormat/>
    <w:uiPriority w:val="0"/>
    <w:rPr>
      <w:sz w:val="18"/>
      <w:szCs w:val="18"/>
    </w:rPr>
  </w:style>
  <w:style w:type="paragraph" w:styleId="5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Other|1_"/>
    <w:basedOn w:val="9"/>
    <w:link w:val="11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</w:rPr>
  </w:style>
  <w:style w:type="paragraph" w:customStyle="1" w:styleId="11">
    <w:name w:val="Other|1"/>
    <w:basedOn w:val="1"/>
    <w:link w:val="10"/>
    <w:qFormat/>
    <w:uiPriority w:val="0"/>
    <w:pPr>
      <w:spacing w:line="326" w:lineRule="auto"/>
    </w:pPr>
    <w:rPr>
      <w:rFonts w:ascii="宋体" w:hAnsi="宋体" w:eastAsia="宋体" w:cs="宋体"/>
      <w:sz w:val="20"/>
      <w:szCs w:val="20"/>
    </w:rPr>
  </w:style>
  <w:style w:type="character" w:customStyle="1" w:styleId="12">
    <w:name w:val="Body text|2_"/>
    <w:basedOn w:val="9"/>
    <w:link w:val="13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3">
    <w:name w:val="Body text|2"/>
    <w:basedOn w:val="1"/>
    <w:link w:val="12"/>
    <w:qFormat/>
    <w:uiPriority w:val="0"/>
    <w:pPr>
      <w:spacing w:line="317" w:lineRule="auto"/>
    </w:pPr>
    <w:rPr>
      <w:sz w:val="20"/>
      <w:szCs w:val="20"/>
    </w:rPr>
  </w:style>
  <w:style w:type="character" w:customStyle="1" w:styleId="14">
    <w:name w:val="Heading #1|1_"/>
    <w:basedOn w:val="9"/>
    <w:link w:val="15"/>
    <w:qFormat/>
    <w:uiPriority w:val="0"/>
    <w:rPr>
      <w:rFonts w:ascii="宋体" w:hAnsi="宋体" w:eastAsia="宋体" w:cs="宋体"/>
      <w:sz w:val="54"/>
      <w:szCs w:val="54"/>
      <w:u w:val="none"/>
      <w:shd w:val="clear" w:color="auto" w:fill="auto"/>
      <w:lang w:val="zh-TW" w:eastAsia="zh-TW" w:bidi="zh-TW"/>
    </w:rPr>
  </w:style>
  <w:style w:type="paragraph" w:customStyle="1" w:styleId="15">
    <w:name w:val="Heading #1|1"/>
    <w:basedOn w:val="1"/>
    <w:link w:val="14"/>
    <w:qFormat/>
    <w:uiPriority w:val="0"/>
    <w:pPr>
      <w:spacing w:after="380"/>
      <w:outlineLvl w:val="0"/>
    </w:pPr>
    <w:rPr>
      <w:rFonts w:ascii="宋体" w:hAnsi="宋体" w:eastAsia="宋体" w:cs="宋体"/>
      <w:sz w:val="54"/>
      <w:szCs w:val="54"/>
      <w:lang w:val="zh-TW" w:eastAsia="zh-TW" w:bidi="zh-TW"/>
    </w:rPr>
  </w:style>
  <w:style w:type="character" w:customStyle="1" w:styleId="16">
    <w:name w:val="Body text|1_"/>
    <w:basedOn w:val="9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line="326" w:lineRule="auto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8">
    <w:name w:val="Header or footer|2_"/>
    <w:basedOn w:val="9"/>
    <w:link w:val="19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9">
    <w:name w:val="Header or footer|2"/>
    <w:basedOn w:val="1"/>
    <w:link w:val="18"/>
    <w:qFormat/>
    <w:uiPriority w:val="0"/>
    <w:rPr>
      <w:sz w:val="20"/>
      <w:szCs w:val="20"/>
    </w:rPr>
  </w:style>
  <w:style w:type="character" w:customStyle="1" w:styleId="20">
    <w:name w:val="Picture caption|1_"/>
    <w:basedOn w:val="9"/>
    <w:link w:val="21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21">
    <w:name w:val="Picture caption|1"/>
    <w:basedOn w:val="1"/>
    <w:link w:val="20"/>
    <w:qFormat/>
    <w:uiPriority w:val="0"/>
    <w:rPr>
      <w:sz w:val="20"/>
      <w:szCs w:val="20"/>
    </w:rPr>
  </w:style>
  <w:style w:type="character" w:customStyle="1" w:styleId="22">
    <w:name w:val="Table caption|1_"/>
    <w:basedOn w:val="9"/>
    <w:link w:val="23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3">
    <w:name w:val="Table caption|1"/>
    <w:basedOn w:val="1"/>
    <w:link w:val="22"/>
    <w:qFormat/>
    <w:uiPriority w:val="0"/>
    <w:rPr>
      <w:rFonts w:ascii="宋体" w:hAnsi="宋体" w:eastAsia="宋体" w:cs="宋体"/>
      <w:sz w:val="17"/>
      <w:szCs w:val="17"/>
      <w:lang w:val="zh-TW" w:eastAsia="zh-TW" w:bidi="zh-TW"/>
    </w:rPr>
  </w:style>
  <w:style w:type="character" w:customStyle="1" w:styleId="24">
    <w:name w:val="页眉 Char"/>
    <w:basedOn w:val="9"/>
    <w:link w:val="6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5">
    <w:name w:val="页脚 Char"/>
    <w:basedOn w:val="9"/>
    <w:link w:val="5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6">
    <w:name w:val="批注框文本 Char"/>
    <w:basedOn w:val="9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NormalCharacter"/>
    <w:link w:val="1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2.jpe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2398</Words>
  <Characters>3063</Characters>
  <Lines>27</Lines>
  <Paragraphs>7</Paragraphs>
  <TotalTime>1</TotalTime>
  <ScaleCrop>false</ScaleCrop>
  <LinksUpToDate>false</LinksUpToDate>
  <CharactersWithSpaces>3421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2020-10-15T05:42:00Z</dcterms:created>
  <dc:creator>Administrator</dc:creator>
  <cp:lastModifiedBy>林若虚</cp:lastModifiedBy>
  <cp:lastPrinted>2020-11-13T01:14:00Z</cp:lastPrinted>
  <dcterms:modified xsi:type="dcterms:W3CDTF">2022-07-20T14:12:22Z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F601C6CB2FF7451D8A30D04562581BE0</vt:lpwstr>
  </property>
</Properties>
</file>