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Cs/>
          <w:sz w:val="28"/>
          <w:szCs w:val="28"/>
        </w:rPr>
      </w:pPr>
      <w:r>
        <w:rPr>
          <w:rFonts w:hint="eastAsia" w:ascii="黑体" w:hAnsi="黑体" w:eastAsia="黑体" w:cs="黑体"/>
          <w:bCs/>
          <w:sz w:val="28"/>
          <w:szCs w:val="28"/>
        </w:rPr>
        <w:t>国家标准《钼及钼合金管靶》</w:t>
      </w:r>
    </w:p>
    <w:p>
      <w:pPr>
        <w:pStyle w:val="10"/>
        <w:numPr>
          <w:ilvl w:val="1"/>
          <w:numId w:val="0"/>
        </w:numPr>
        <w:adjustRightInd w:val="0"/>
        <w:snapToGrid w:val="0"/>
        <w:spacing w:beforeLines="0" w:afterLines="0" w:line="360" w:lineRule="auto"/>
        <w:jc w:val="center"/>
        <w:rPr>
          <w:rFonts w:hAnsi="黑体" w:cs="黑体"/>
          <w:color w:val="000000"/>
          <w:sz w:val="28"/>
          <w:szCs w:val="28"/>
        </w:rPr>
      </w:pPr>
      <w:r>
        <w:rPr>
          <w:rFonts w:hint="eastAsia" w:hAnsi="黑体" w:cs="黑体"/>
          <w:color w:val="000000"/>
          <w:sz w:val="28"/>
          <w:szCs w:val="28"/>
        </w:rPr>
        <w:t xml:space="preserve"> 编制说明（讨论稿）</w:t>
      </w:r>
    </w:p>
    <w:p>
      <w:pPr>
        <w:rPr>
          <w:rFonts w:ascii="宋体" w:hAnsi="宋体" w:cs="宋体"/>
          <w:b/>
          <w:color w:val="000000"/>
          <w:szCs w:val="21"/>
        </w:rPr>
      </w:pPr>
      <w:r>
        <w:rPr>
          <w:rFonts w:hint="eastAsia" w:ascii="宋体" w:hAnsi="宋体" w:cs="宋体"/>
          <w:color w:val="000000"/>
          <w:szCs w:val="21"/>
        </w:rPr>
        <w:t>一、</w:t>
      </w:r>
      <w:r>
        <w:rPr>
          <w:rFonts w:hint="eastAsia" w:ascii="宋体" w:hAnsi="宋体" w:cs="宋体"/>
          <w:b/>
          <w:color w:val="000000"/>
          <w:szCs w:val="21"/>
        </w:rPr>
        <w:t>工作简况</w:t>
      </w:r>
    </w:p>
    <w:p>
      <w:pPr>
        <w:keepNext w:val="0"/>
        <w:keepLines w:val="0"/>
        <w:pageBreakBefore w:val="0"/>
        <w:widowControl/>
        <w:kinsoku/>
        <w:wordWrap/>
        <w:overflowPunct/>
        <w:topLinePunct w:val="0"/>
        <w:autoSpaceDE/>
        <w:autoSpaceDN/>
        <w:bidi w:val="0"/>
        <w:spacing w:line="240" w:lineRule="auto"/>
        <w:textAlignment w:val="auto"/>
        <w:rPr>
          <w:rFonts w:ascii="黑体" w:hAnsi="黑体" w:eastAsia="黑体" w:cs="黑体"/>
          <w:szCs w:val="21"/>
        </w:rPr>
      </w:pPr>
      <w:r>
        <w:rPr>
          <w:rFonts w:hint="eastAsia" w:ascii="黑体" w:hAnsi="黑体" w:eastAsia="黑体" w:cs="黑体"/>
          <w:szCs w:val="21"/>
        </w:rPr>
        <w:t>（一）任务来源</w:t>
      </w:r>
    </w:p>
    <w:p>
      <w:pPr>
        <w:keepNext w:val="0"/>
        <w:keepLines w:val="0"/>
        <w:pageBreakBefore w:val="0"/>
        <w:kinsoku/>
        <w:wordWrap/>
        <w:overflowPunct/>
        <w:topLinePunct w:val="0"/>
        <w:autoSpaceDE/>
        <w:autoSpaceDN/>
        <w:bidi w:val="0"/>
        <w:spacing w:line="240" w:lineRule="auto"/>
        <w:textAlignment w:val="auto"/>
        <w:rPr>
          <w:rFonts w:ascii="宋体" w:hAnsi="宋体" w:cs="宋体"/>
          <w:szCs w:val="21"/>
        </w:rPr>
      </w:pPr>
      <w:r>
        <w:rPr>
          <w:rFonts w:hint="eastAsia" w:ascii="宋体" w:hAnsi="宋体" w:cs="宋体"/>
          <w:szCs w:val="21"/>
        </w:rPr>
        <w:t>1.1根据2021年4月30日，国家标准化管理委员会关于下达《2021年第一批推荐性国家标准计划及相关标准外文版计划的通知》（国标委发[2021]12号）的要求，国家标准《钼及钼合金管靶》制订项目由全国有色金属标准化技术委员会归口，计划编号：</w:t>
      </w:r>
      <w:bookmarkStart w:id="0" w:name="_Hlk74694747"/>
      <w:r>
        <w:rPr>
          <w:rFonts w:hint="eastAsia" w:ascii="宋体" w:hAnsi="宋体" w:cs="宋体"/>
          <w:szCs w:val="21"/>
        </w:rPr>
        <w:t>20210819-T-</w:t>
      </w:r>
      <w:bookmarkEnd w:id="0"/>
      <w:r>
        <w:rPr>
          <w:rFonts w:hint="eastAsia" w:ascii="宋体" w:hAnsi="宋体" w:cs="宋体"/>
          <w:szCs w:val="21"/>
        </w:rPr>
        <w:t>610，项目周期为24个月，完成年限为2023年5月，由金堆城钼业股份有限公司、株洲硬质合金有限公司、安泰天龙钨钼科技有限公司、洛阳科威钨钼有限公司等进行编制。</w:t>
      </w:r>
    </w:p>
    <w:p>
      <w:pPr>
        <w:keepNext w:val="0"/>
        <w:keepLines w:val="0"/>
        <w:pageBreakBefore w:val="0"/>
        <w:kinsoku/>
        <w:wordWrap/>
        <w:overflowPunct/>
        <w:topLinePunct w:val="0"/>
        <w:autoSpaceDE/>
        <w:autoSpaceDN/>
        <w:bidi w:val="0"/>
        <w:spacing w:line="240" w:lineRule="auto"/>
        <w:textAlignment w:val="auto"/>
        <w:rPr>
          <w:rFonts w:hAnsi="宋体"/>
          <w:bCs/>
          <w:szCs w:val="21"/>
        </w:rPr>
      </w:pPr>
      <w:r>
        <w:rPr>
          <w:rFonts w:hint="eastAsia" w:hAnsi="宋体"/>
          <w:bCs/>
          <w:szCs w:val="21"/>
        </w:rPr>
        <w:t>1.2 项目编制组单位变化情况</w:t>
      </w:r>
    </w:p>
    <w:p>
      <w:pPr>
        <w:keepNext w:val="0"/>
        <w:keepLines w:val="0"/>
        <w:pageBreakBefore w:val="0"/>
        <w:kinsoku/>
        <w:wordWrap/>
        <w:overflowPunct/>
        <w:topLinePunct w:val="0"/>
        <w:autoSpaceDE/>
        <w:autoSpaceDN/>
        <w:bidi w:val="0"/>
        <w:spacing w:line="240" w:lineRule="auto"/>
        <w:ind w:firstLine="420" w:firstLineChars="200"/>
        <w:textAlignment w:val="auto"/>
        <w:rPr>
          <w:rFonts w:ascii="宋体" w:hAnsi="宋体" w:cs="宋体"/>
          <w:szCs w:val="21"/>
        </w:rPr>
      </w:pPr>
      <w:r>
        <w:rPr>
          <w:rFonts w:hint="eastAsia" w:hAnsi="宋体"/>
          <w:bCs/>
          <w:szCs w:val="21"/>
        </w:rPr>
        <w:t>技术审查会前，依据标准编制工作任务量，重新调整了编制组构成，具体为</w:t>
      </w:r>
      <w:r>
        <w:rPr>
          <w:rFonts w:hint="eastAsia" w:ascii="宋体" w:hAnsi="宋体" w:cs="宋体"/>
          <w:szCs w:val="21"/>
        </w:rPr>
        <w:t>金堆城钼业股份有限公司、福建阿石创新材料股份有限公司、株洲硬质合金有限公司、宁波江丰电子材料股份有限公司、常州苏晶电子材料有限公司、</w:t>
      </w:r>
      <w:r>
        <w:rPr>
          <w:rFonts w:hint="eastAsia" w:ascii="宋体" w:hAnsi="宋体"/>
        </w:rPr>
        <w:t>安泰天龙钨钼科技有限公司、洛阳科威钨钼有限公司。</w:t>
      </w:r>
    </w:p>
    <w:p>
      <w:pPr>
        <w:keepNext w:val="0"/>
        <w:keepLines w:val="0"/>
        <w:pageBreakBefore w:val="0"/>
        <w:widowControl/>
        <w:numPr>
          <w:ilvl w:val="0"/>
          <w:numId w:val="3"/>
        </w:numPr>
        <w:tabs>
          <w:tab w:val="left" w:pos="567"/>
        </w:tabs>
        <w:kinsoku/>
        <w:wordWrap/>
        <w:overflowPunct/>
        <w:topLinePunct w:val="0"/>
        <w:autoSpaceDE/>
        <w:autoSpaceDN/>
        <w:bidi w:val="0"/>
        <w:adjustRightInd w:val="0"/>
        <w:snapToGrid w:val="0"/>
        <w:spacing w:line="240" w:lineRule="auto"/>
        <w:jc w:val="left"/>
        <w:textAlignment w:val="auto"/>
        <w:outlineLvl w:val="2"/>
        <w:rPr>
          <w:rFonts w:ascii="宋体" w:hAnsi="宋体"/>
          <w:b/>
          <w:kern w:val="0"/>
          <w:szCs w:val="21"/>
        </w:rPr>
      </w:pPr>
      <w:r>
        <w:rPr>
          <w:rFonts w:hint="eastAsia" w:ascii="宋体" w:hAnsi="宋体" w:cs="宋体"/>
          <w:b/>
          <w:color w:val="000000"/>
          <w:kern w:val="0"/>
          <w:szCs w:val="21"/>
        </w:rPr>
        <w:t>立项依据</w:t>
      </w:r>
    </w:p>
    <w:p>
      <w:pPr>
        <w:keepNext w:val="0"/>
        <w:keepLines w:val="0"/>
        <w:pageBreakBefore w:val="0"/>
        <w:widowControl/>
        <w:kinsoku/>
        <w:wordWrap/>
        <w:overflowPunct/>
        <w:topLinePunct w:val="0"/>
        <w:autoSpaceDE/>
        <w:autoSpaceDN/>
        <w:bidi w:val="0"/>
        <w:spacing w:line="240" w:lineRule="auto"/>
        <w:ind w:firstLine="420" w:firstLineChars="200"/>
        <w:textAlignment w:val="auto"/>
        <w:rPr>
          <w:szCs w:val="21"/>
        </w:rPr>
      </w:pPr>
      <w:r>
        <w:rPr>
          <w:szCs w:val="21"/>
        </w:rPr>
        <w:t>钼及钼合金管靶是以粉末冶金法制备的大直径钼管坯料，通过后续挤压、锻造或热等静压加工而成的一大类高附加值和高技术含量的钼金属深加工产品。</w:t>
      </w:r>
      <w:r>
        <w:rPr>
          <w:rFonts w:hint="eastAsia"/>
          <w:szCs w:val="21"/>
        </w:rPr>
        <w:t>因其</w:t>
      </w:r>
      <w:r>
        <w:rPr>
          <w:szCs w:val="21"/>
        </w:rPr>
        <w:t>具有高熔点、高电导率、较低的比阻抗、较好的耐腐蚀性以及良好的环保性能，可在各类基材上形成薄膜，广泛应用于电子部件和电子产品，如目前广泛应用的TFT-LCD（薄膜半导体管-液晶显示器）、等离子显示屏、薄膜太阳能电池、隔热屏等。近年来，钼及钼合金管靶在国内外市场的需求不断增长，仅2015年统计需求量为2200吨，到2017年全球钼及钼合金管溅射靶材的市场需求量达到4000吨左右。随着平面显示器LCD行业仍将保持一个增长阶段，太阳能电池行业的迅猛发展，将极大地带动了钼溅射靶材的市场需求量。</w:t>
      </w:r>
    </w:p>
    <w:p>
      <w:pPr>
        <w:keepNext w:val="0"/>
        <w:keepLines w:val="0"/>
        <w:pageBreakBefore w:val="0"/>
        <w:tabs>
          <w:tab w:val="left" w:pos="1440"/>
        </w:tabs>
        <w:kinsoku/>
        <w:wordWrap/>
        <w:overflowPunct/>
        <w:topLinePunct w:val="0"/>
        <w:autoSpaceDE/>
        <w:autoSpaceDN/>
        <w:bidi w:val="0"/>
        <w:spacing w:line="240" w:lineRule="auto"/>
        <w:ind w:firstLine="525" w:firstLineChars="250"/>
        <w:textAlignment w:val="auto"/>
        <w:rPr>
          <w:szCs w:val="21"/>
        </w:rPr>
      </w:pPr>
      <w:r>
        <w:rPr>
          <w:szCs w:val="21"/>
        </w:rPr>
        <w:t>该领域主要被国外钼加工企业如奥地利的普兰西（Plansee）、德国的斯达克(H.C Starck)和贺力氏(Heraeus)、日本Tosho公司、日本的日立金属(HitachMetal)等垄断。目前，国内少数企业如金堆城钼业股份有限公司、洛阳科威钨钼有限公司等也掌握了该产品的生产技术，均处于批量化生产上升阶段，产品的未来发展趋势良好</w:t>
      </w:r>
      <w:r>
        <w:rPr>
          <w:rFonts w:hint="eastAsia"/>
          <w:szCs w:val="21"/>
        </w:rPr>
        <w:t>。</w:t>
      </w:r>
      <w:r>
        <w:rPr>
          <w:szCs w:val="21"/>
        </w:rPr>
        <w:t>但各企业产品标准不同，产品的型号、规格等差异较大，导致客户选择产品没有针对性，产品使用效果差异很大。因此制订统一规范的钼及钼合金管靶国家标准对其生产、使用、贮存和运输具有重要的指导意义。同时，本标准的制定满足钼金属材料由原料供应商向终端产品供应商发展的客观需求，而且为TFT-LCD（薄膜半导体管-液晶显示器）、等离子显示屏、薄膜太阳能电池、隔热屏等领域的材料选用提供质量规范，对引领钼金属加工业及其相关产业的发展，具有重要的指导意义。此外，奥地利、日本、美国、德国、中国等钼及钼合金管靶的主要生产、使用区域尚未形成规范的国际、国家或行业标准，也未发现相关专利报道。因此，本标准不会与其他国内外标准形成技术冲突和知识产权纠纷。</w:t>
      </w:r>
    </w:p>
    <w:p>
      <w:pPr>
        <w:keepNext w:val="0"/>
        <w:keepLines w:val="0"/>
        <w:pageBreakBefore w:val="0"/>
        <w:widowControl/>
        <w:numPr>
          <w:ilvl w:val="0"/>
          <w:numId w:val="3"/>
        </w:numPr>
        <w:tabs>
          <w:tab w:val="left" w:pos="567"/>
        </w:tabs>
        <w:kinsoku/>
        <w:wordWrap/>
        <w:overflowPunct/>
        <w:topLinePunct w:val="0"/>
        <w:autoSpaceDE/>
        <w:autoSpaceDN/>
        <w:bidi w:val="0"/>
        <w:adjustRightInd w:val="0"/>
        <w:snapToGrid w:val="0"/>
        <w:spacing w:line="240" w:lineRule="auto"/>
        <w:jc w:val="left"/>
        <w:textAlignment w:val="auto"/>
        <w:outlineLvl w:val="2"/>
        <w:rPr>
          <w:rFonts w:ascii="宋体" w:hAnsi="宋体"/>
          <w:b/>
          <w:kern w:val="0"/>
          <w:szCs w:val="21"/>
        </w:rPr>
      </w:pPr>
      <w:r>
        <w:rPr>
          <w:rFonts w:hint="eastAsia" w:ascii="宋体" w:hAnsi="宋体"/>
          <w:b/>
          <w:kern w:val="0"/>
          <w:szCs w:val="21"/>
        </w:rPr>
        <w:t>主要参加单位和工作组成员及其所作的工作</w:t>
      </w:r>
    </w:p>
    <w:p>
      <w:pPr>
        <w:pStyle w:val="11"/>
        <w:keepNext w:val="0"/>
        <w:keepLines w:val="0"/>
        <w:pageBreakBefore w:val="0"/>
        <w:numPr>
          <w:ilvl w:val="0"/>
          <w:numId w:val="0"/>
        </w:numPr>
        <w:kinsoku/>
        <w:wordWrap/>
        <w:overflowPunct/>
        <w:topLinePunct w:val="0"/>
        <w:autoSpaceDE/>
        <w:autoSpaceDN/>
        <w:bidi w:val="0"/>
        <w:spacing w:beforeLines="0" w:afterLines="0" w:line="240" w:lineRule="auto"/>
        <w:textAlignment w:val="auto"/>
        <w:rPr>
          <w:rFonts w:ascii="Times New Roman" w:eastAsia="宋体"/>
          <w:b/>
          <w:bCs/>
          <w:color w:val="000000"/>
          <w:szCs w:val="21"/>
        </w:rPr>
      </w:pPr>
      <w:r>
        <w:rPr>
          <w:rFonts w:hint="eastAsia" w:ascii="Times New Roman" w:eastAsia="宋体"/>
          <w:b/>
          <w:bCs/>
          <w:color w:val="000000"/>
          <w:szCs w:val="21"/>
        </w:rPr>
        <w:t>3.1 主要参加单位情况</w:t>
      </w:r>
    </w:p>
    <w:p>
      <w:pPr>
        <w:keepNext w:val="0"/>
        <w:keepLines w:val="0"/>
        <w:pageBreakBefore w:val="0"/>
        <w:kinsoku/>
        <w:wordWrap/>
        <w:overflowPunct/>
        <w:topLinePunct w:val="0"/>
        <w:autoSpaceDE/>
        <w:autoSpaceDN/>
        <w:bidi w:val="0"/>
        <w:spacing w:line="240" w:lineRule="auto"/>
        <w:ind w:firstLine="420" w:firstLineChars="200"/>
        <w:textAlignment w:val="auto"/>
        <w:rPr>
          <w:rFonts w:hAnsi="宋体"/>
          <w:bCs/>
          <w:szCs w:val="21"/>
        </w:rPr>
      </w:pPr>
      <w:r>
        <w:rPr>
          <w:rFonts w:hint="eastAsia" w:hAnsi="宋体"/>
          <w:bCs/>
          <w:szCs w:val="21"/>
        </w:rPr>
        <w:t>标准主编单位金堆城钼业股份有限公司在标准的编制过程中，充分收集、认真研究国内外相关技术标准资料，结合生产实际条件和本标准方法的技术特点，负责项目的总体实施，带领编制组成员单位到现场了解实际情况，收集实测数据，编制实测数据统计表，认真细致修改标准文本，征求多家企业意见，带领编制组完成标准的编制工作。</w:t>
      </w:r>
    </w:p>
    <w:p>
      <w:pPr>
        <w:keepNext w:val="0"/>
        <w:keepLines w:val="0"/>
        <w:pageBreakBefore w:val="0"/>
        <w:kinsoku/>
        <w:wordWrap/>
        <w:overflowPunct/>
        <w:topLinePunct w:val="0"/>
        <w:autoSpaceDE/>
        <w:autoSpaceDN/>
        <w:bidi w:val="0"/>
        <w:spacing w:line="240" w:lineRule="auto"/>
        <w:ind w:firstLine="420" w:firstLineChars="200"/>
        <w:textAlignment w:val="auto"/>
        <w:rPr>
          <w:rFonts w:hAnsi="宋体"/>
          <w:bCs/>
          <w:szCs w:val="21"/>
        </w:rPr>
      </w:pPr>
      <w:r>
        <w:rPr>
          <w:rFonts w:hint="eastAsia" w:ascii="宋体" w:hAnsi="宋体" w:cs="宋体"/>
          <w:szCs w:val="21"/>
        </w:rPr>
        <w:t>福建阿石创新材料股份有限公司、株洲硬质合金有限公司</w:t>
      </w:r>
      <w:r>
        <w:rPr>
          <w:rFonts w:hint="eastAsia" w:hAnsi="宋体"/>
          <w:bCs/>
          <w:szCs w:val="21"/>
        </w:rPr>
        <w:t>为本标准提供理论研究基础，并为国内外钼及钼合金管靶标准研究工作提供有力支持。</w:t>
      </w:r>
    </w:p>
    <w:p>
      <w:pPr>
        <w:keepNext w:val="0"/>
        <w:keepLines w:val="0"/>
        <w:pageBreakBefore w:val="0"/>
        <w:kinsoku/>
        <w:wordWrap/>
        <w:overflowPunct/>
        <w:topLinePunct w:val="0"/>
        <w:autoSpaceDE/>
        <w:autoSpaceDN/>
        <w:bidi w:val="0"/>
        <w:spacing w:line="240" w:lineRule="auto"/>
        <w:ind w:firstLine="420" w:firstLineChars="200"/>
        <w:textAlignment w:val="auto"/>
        <w:rPr>
          <w:rFonts w:hAnsi="宋体"/>
          <w:bCs/>
          <w:szCs w:val="21"/>
        </w:rPr>
      </w:pPr>
      <w:r>
        <w:rPr>
          <w:rFonts w:hint="eastAsia" w:ascii="宋体" w:hAnsi="宋体" w:cs="宋体"/>
          <w:szCs w:val="21"/>
        </w:rPr>
        <w:t>宁波江丰电子材料股份有限公司、常州苏晶电子材料有限公司</w:t>
      </w:r>
      <w:r>
        <w:rPr>
          <w:rFonts w:hint="eastAsia" w:hAnsi="宋体"/>
          <w:bCs/>
          <w:szCs w:val="21"/>
        </w:rPr>
        <w:t>为本标准提供钼及钼合金管靶的具体要求、客户使用反馈等基础资料，为钼及钼合金管靶标准研究工作提供有力支持。积极配合编制组开展现场取样及试验验证工作，承担了标准中第三方的试验验证工作，主要完成了钼及钼合金管靶验证数据的对比，为标准技术要求部分提供有力保障。</w:t>
      </w:r>
    </w:p>
    <w:p>
      <w:pPr>
        <w:keepNext w:val="0"/>
        <w:keepLines w:val="0"/>
        <w:pageBreakBefore w:val="0"/>
        <w:kinsoku/>
        <w:wordWrap/>
        <w:overflowPunct/>
        <w:topLinePunct w:val="0"/>
        <w:autoSpaceDE/>
        <w:autoSpaceDN/>
        <w:bidi w:val="0"/>
        <w:spacing w:line="240" w:lineRule="auto"/>
        <w:ind w:firstLine="420" w:firstLineChars="200"/>
        <w:textAlignment w:val="auto"/>
        <w:rPr>
          <w:rFonts w:hAnsi="宋体"/>
          <w:bCs/>
          <w:szCs w:val="21"/>
        </w:rPr>
      </w:pPr>
      <w:r>
        <w:rPr>
          <w:rFonts w:hint="eastAsia" w:ascii="宋体" w:hAnsi="宋体"/>
        </w:rPr>
        <w:t>安泰天龙钨钼科技有限公司、洛阳科威钨钼有限公司</w:t>
      </w:r>
      <w:r>
        <w:rPr>
          <w:rFonts w:hint="eastAsia" w:hAnsi="宋体"/>
          <w:bCs/>
          <w:szCs w:val="21"/>
        </w:rPr>
        <w:t>积极参加标准调研工作，配合主编单位开展大量的现场调研、开展各种试验工作，为标准编写提供了真实有效的实测数据，针对标准的讨论稿和征求意见稿提出修改意见。</w:t>
      </w:r>
    </w:p>
    <w:p>
      <w:pPr>
        <w:pStyle w:val="11"/>
        <w:keepNext w:val="0"/>
        <w:keepLines w:val="0"/>
        <w:pageBreakBefore w:val="0"/>
        <w:numPr>
          <w:ilvl w:val="0"/>
          <w:numId w:val="0"/>
        </w:numPr>
        <w:kinsoku/>
        <w:wordWrap/>
        <w:overflowPunct/>
        <w:topLinePunct w:val="0"/>
        <w:autoSpaceDE/>
        <w:autoSpaceDN/>
        <w:bidi w:val="0"/>
        <w:spacing w:beforeLines="0" w:afterLines="0" w:line="240" w:lineRule="auto"/>
        <w:textAlignment w:val="auto"/>
        <w:rPr>
          <w:rFonts w:ascii="Times New Roman" w:eastAsia="宋体"/>
          <w:b/>
          <w:bCs/>
          <w:color w:val="000000"/>
          <w:szCs w:val="21"/>
        </w:rPr>
      </w:pPr>
      <w:r>
        <w:rPr>
          <w:rFonts w:hint="eastAsia" w:ascii="Times New Roman" w:eastAsia="宋体"/>
          <w:b/>
          <w:bCs/>
          <w:color w:val="000000"/>
          <w:szCs w:val="21"/>
        </w:rPr>
        <w:t>3.2 主要工作成员所负责的工作情况</w:t>
      </w:r>
    </w:p>
    <w:p>
      <w:pPr>
        <w:pStyle w:val="11"/>
        <w:keepNext w:val="0"/>
        <w:keepLines w:val="0"/>
        <w:pageBreakBefore w:val="0"/>
        <w:numPr>
          <w:ilvl w:val="0"/>
          <w:numId w:val="0"/>
        </w:numPr>
        <w:kinsoku/>
        <w:wordWrap/>
        <w:overflowPunct/>
        <w:topLinePunct w:val="0"/>
        <w:autoSpaceDE/>
        <w:autoSpaceDN/>
        <w:bidi w:val="0"/>
        <w:spacing w:beforeLines="0" w:afterLines="0" w:line="240" w:lineRule="auto"/>
        <w:ind w:firstLine="420" w:firstLineChars="200"/>
        <w:textAlignment w:val="auto"/>
        <w:rPr>
          <w:rFonts w:ascii="宋体" w:hAnsi="宋体" w:eastAsia="宋体" w:cs="宋体"/>
          <w:color w:val="000000"/>
          <w:szCs w:val="21"/>
        </w:rPr>
      </w:pPr>
      <w:r>
        <w:rPr>
          <w:rFonts w:hint="eastAsia" w:ascii="宋体" w:hAnsi="宋体" w:eastAsia="宋体" w:cs="宋体"/>
          <w:color w:val="000000"/>
          <w:szCs w:val="21"/>
        </w:rPr>
        <w:t>本标准主要起草人及工作职责见表1。</w:t>
      </w:r>
    </w:p>
    <w:p>
      <w:pPr>
        <w:pStyle w:val="13"/>
        <w:widowControl w:val="0"/>
        <w:numPr>
          <w:ilvl w:val="0"/>
          <w:numId w:val="4"/>
        </w:numPr>
        <w:tabs>
          <w:tab w:val="left" w:pos="0"/>
        </w:tabs>
        <w:spacing w:before="156" w:beforeLines="50"/>
        <w:rPr>
          <w:color w:val="000000"/>
          <w:sz w:val="18"/>
          <w:szCs w:val="18"/>
        </w:rPr>
      </w:pPr>
      <w:r>
        <w:rPr>
          <w:rFonts w:hint="eastAsia"/>
          <w:color w:val="000000"/>
          <w:sz w:val="18"/>
          <w:szCs w:val="18"/>
        </w:rPr>
        <w:t>主要起草人及工作职责</w:t>
      </w:r>
    </w:p>
    <w:tbl>
      <w:tblPr>
        <w:tblStyle w:val="5"/>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6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2" w:type="dxa"/>
            <w:vAlign w:val="center"/>
          </w:tcPr>
          <w:p>
            <w:pPr>
              <w:widowControl/>
              <w:tabs>
                <w:tab w:val="left" w:pos="567"/>
              </w:tabs>
              <w:jc w:val="center"/>
              <w:outlineLvl w:val="2"/>
              <w:rPr>
                <w:rFonts w:ascii="宋体" w:hAnsi="宋体"/>
                <w:color w:val="000000"/>
                <w:kern w:val="0"/>
                <w:sz w:val="18"/>
                <w:szCs w:val="18"/>
              </w:rPr>
            </w:pPr>
            <w:r>
              <w:rPr>
                <w:rFonts w:hint="eastAsia" w:ascii="宋体" w:hAnsi="宋体"/>
                <w:color w:val="000000"/>
                <w:kern w:val="0"/>
                <w:sz w:val="18"/>
                <w:szCs w:val="18"/>
              </w:rPr>
              <w:t>起草人</w:t>
            </w:r>
          </w:p>
        </w:tc>
        <w:tc>
          <w:tcPr>
            <w:tcW w:w="6362" w:type="dxa"/>
          </w:tcPr>
          <w:p>
            <w:pPr>
              <w:widowControl/>
              <w:tabs>
                <w:tab w:val="left" w:pos="567"/>
              </w:tabs>
              <w:jc w:val="center"/>
              <w:outlineLvl w:val="2"/>
              <w:rPr>
                <w:rFonts w:ascii="宋体" w:hAnsi="宋体"/>
                <w:color w:val="000000"/>
                <w:kern w:val="0"/>
                <w:sz w:val="18"/>
                <w:szCs w:val="18"/>
              </w:rPr>
            </w:pPr>
            <w:r>
              <w:rPr>
                <w:rFonts w:hint="eastAsia" w:ascii="宋体" w:hAnsi="宋体"/>
                <w:color w:val="000000"/>
                <w:kern w:val="0"/>
                <w:sz w:val="18"/>
                <w:szCs w:val="18"/>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2" w:type="dxa"/>
            <w:vAlign w:val="center"/>
          </w:tcPr>
          <w:p>
            <w:pPr>
              <w:widowControl/>
              <w:tabs>
                <w:tab w:val="left" w:pos="567"/>
              </w:tabs>
              <w:jc w:val="center"/>
              <w:outlineLvl w:val="2"/>
              <w:rPr>
                <w:rFonts w:ascii="宋体" w:hAnsi="宋体"/>
                <w:color w:val="000000"/>
                <w:kern w:val="0"/>
                <w:sz w:val="18"/>
                <w:szCs w:val="18"/>
              </w:rPr>
            </w:pPr>
            <w:r>
              <w:rPr>
                <w:rFonts w:hint="eastAsia" w:ascii="宋体" w:hAnsi="宋体"/>
                <w:color w:val="000000"/>
                <w:kern w:val="0"/>
                <w:sz w:val="18"/>
                <w:szCs w:val="18"/>
              </w:rPr>
              <w:t>X</w:t>
            </w:r>
            <w:r>
              <w:rPr>
                <w:rFonts w:ascii="宋体" w:hAnsi="宋体"/>
                <w:color w:val="000000"/>
                <w:kern w:val="0"/>
                <w:sz w:val="18"/>
                <w:szCs w:val="18"/>
              </w:rPr>
              <w:t>XX</w:t>
            </w:r>
          </w:p>
        </w:tc>
        <w:tc>
          <w:tcPr>
            <w:tcW w:w="6362" w:type="dxa"/>
            <w:vAlign w:val="center"/>
          </w:tcPr>
          <w:p>
            <w:pPr>
              <w:widowControl/>
              <w:tabs>
                <w:tab w:val="left" w:pos="567"/>
              </w:tabs>
              <w:outlineLvl w:val="2"/>
              <w:rPr>
                <w:rFonts w:ascii="宋体" w:hAnsi="宋体"/>
                <w:color w:val="000000"/>
                <w:kern w:val="0"/>
                <w:sz w:val="18"/>
                <w:szCs w:val="18"/>
              </w:rPr>
            </w:pPr>
            <w:r>
              <w:rPr>
                <w:rFonts w:hint="eastAsia" w:ascii="宋体" w:hAnsi="宋体"/>
                <w:color w:val="000000"/>
                <w:kern w:val="0"/>
                <w:sz w:val="18"/>
                <w:szCs w:val="18"/>
              </w:rPr>
              <w:t>负责标准的工作指导、标准的编写及组织协调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2" w:type="dxa"/>
            <w:vAlign w:val="center"/>
          </w:tcPr>
          <w:p>
            <w:pPr>
              <w:widowControl/>
              <w:tabs>
                <w:tab w:val="left" w:pos="567"/>
              </w:tabs>
              <w:jc w:val="center"/>
              <w:outlineLvl w:val="2"/>
              <w:rPr>
                <w:rFonts w:ascii="宋体" w:hAnsi="宋体"/>
                <w:color w:val="000000"/>
                <w:kern w:val="0"/>
                <w:sz w:val="18"/>
                <w:szCs w:val="18"/>
              </w:rPr>
            </w:pPr>
            <w:r>
              <w:rPr>
                <w:rFonts w:hint="eastAsia" w:ascii="宋体" w:hAnsi="宋体"/>
                <w:color w:val="000000"/>
                <w:kern w:val="0"/>
                <w:sz w:val="18"/>
                <w:szCs w:val="18"/>
              </w:rPr>
              <w:t>X</w:t>
            </w:r>
            <w:r>
              <w:rPr>
                <w:rFonts w:ascii="宋体" w:hAnsi="宋体"/>
                <w:color w:val="000000"/>
                <w:kern w:val="0"/>
                <w:sz w:val="18"/>
                <w:szCs w:val="18"/>
              </w:rPr>
              <w:t>XX</w:t>
            </w:r>
          </w:p>
        </w:tc>
        <w:tc>
          <w:tcPr>
            <w:tcW w:w="6362" w:type="dxa"/>
            <w:vAlign w:val="center"/>
          </w:tcPr>
          <w:p>
            <w:pPr>
              <w:widowControl/>
              <w:tabs>
                <w:tab w:val="left" w:pos="567"/>
              </w:tabs>
              <w:outlineLvl w:val="2"/>
              <w:rPr>
                <w:rFonts w:ascii="宋体" w:hAnsi="宋体"/>
                <w:color w:val="000000"/>
                <w:kern w:val="0"/>
                <w:sz w:val="18"/>
                <w:szCs w:val="18"/>
              </w:rPr>
            </w:pPr>
            <w:r>
              <w:rPr>
                <w:rFonts w:hint="eastAsia" w:ascii="宋体" w:hAnsi="宋体"/>
                <w:color w:val="000000"/>
                <w:kern w:val="0"/>
                <w:sz w:val="18"/>
                <w:szCs w:val="18"/>
              </w:rPr>
              <w:t>负责标准中相关技术要求内容的编写及把关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2" w:type="dxa"/>
            <w:vAlign w:val="center"/>
          </w:tcPr>
          <w:p>
            <w:pPr>
              <w:widowControl/>
              <w:tabs>
                <w:tab w:val="left" w:pos="567"/>
              </w:tabs>
              <w:jc w:val="center"/>
              <w:outlineLvl w:val="2"/>
              <w:rPr>
                <w:rFonts w:ascii="宋体" w:hAnsi="宋体"/>
                <w:color w:val="000000"/>
                <w:kern w:val="0"/>
                <w:sz w:val="18"/>
                <w:szCs w:val="18"/>
              </w:rPr>
            </w:pPr>
            <w:r>
              <w:rPr>
                <w:rFonts w:hint="eastAsia" w:ascii="宋体" w:hAnsi="宋体"/>
                <w:color w:val="000000"/>
                <w:kern w:val="0"/>
                <w:sz w:val="18"/>
                <w:szCs w:val="18"/>
              </w:rPr>
              <w:t>X</w:t>
            </w:r>
            <w:r>
              <w:rPr>
                <w:rFonts w:ascii="宋体" w:hAnsi="宋体"/>
                <w:color w:val="000000"/>
                <w:kern w:val="0"/>
                <w:sz w:val="18"/>
                <w:szCs w:val="18"/>
              </w:rPr>
              <w:t>XX</w:t>
            </w:r>
          </w:p>
        </w:tc>
        <w:tc>
          <w:tcPr>
            <w:tcW w:w="6362" w:type="dxa"/>
            <w:vAlign w:val="center"/>
          </w:tcPr>
          <w:p>
            <w:pPr>
              <w:widowControl/>
              <w:tabs>
                <w:tab w:val="left" w:pos="567"/>
              </w:tabs>
              <w:outlineLvl w:val="2"/>
              <w:rPr>
                <w:rFonts w:ascii="宋体" w:hAnsi="宋体"/>
                <w:color w:val="000000"/>
                <w:kern w:val="0"/>
                <w:sz w:val="18"/>
                <w:szCs w:val="18"/>
              </w:rPr>
            </w:pPr>
            <w:r>
              <w:rPr>
                <w:rFonts w:hint="eastAsia" w:ascii="宋体" w:hAnsi="宋体"/>
                <w:color w:val="000000"/>
                <w:kern w:val="0"/>
                <w:sz w:val="18"/>
                <w:szCs w:val="18"/>
              </w:rPr>
              <w:t>负责试验方案确定，标准编写材料的收集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2" w:type="dxa"/>
            <w:vAlign w:val="center"/>
          </w:tcPr>
          <w:p>
            <w:pPr>
              <w:widowControl/>
              <w:tabs>
                <w:tab w:val="left" w:pos="567"/>
              </w:tabs>
              <w:jc w:val="center"/>
              <w:outlineLvl w:val="2"/>
              <w:rPr>
                <w:rFonts w:ascii="宋体" w:hAnsi="宋体"/>
                <w:color w:val="000000"/>
                <w:kern w:val="0"/>
                <w:sz w:val="18"/>
                <w:szCs w:val="18"/>
              </w:rPr>
            </w:pPr>
            <w:r>
              <w:rPr>
                <w:rFonts w:hint="eastAsia" w:ascii="宋体" w:hAnsi="宋体"/>
                <w:color w:val="000000"/>
                <w:kern w:val="0"/>
                <w:sz w:val="18"/>
                <w:szCs w:val="18"/>
              </w:rPr>
              <w:t>X</w:t>
            </w:r>
            <w:r>
              <w:rPr>
                <w:rFonts w:ascii="宋体" w:hAnsi="宋体"/>
                <w:color w:val="000000"/>
                <w:kern w:val="0"/>
                <w:sz w:val="18"/>
                <w:szCs w:val="18"/>
              </w:rPr>
              <w:t>XX</w:t>
            </w:r>
          </w:p>
        </w:tc>
        <w:tc>
          <w:tcPr>
            <w:tcW w:w="6362" w:type="dxa"/>
            <w:vAlign w:val="center"/>
          </w:tcPr>
          <w:p>
            <w:pPr>
              <w:widowControl/>
              <w:tabs>
                <w:tab w:val="left" w:pos="567"/>
              </w:tabs>
              <w:outlineLvl w:val="2"/>
              <w:rPr>
                <w:rFonts w:ascii="宋体" w:hAnsi="宋体"/>
                <w:color w:val="000000"/>
                <w:kern w:val="0"/>
                <w:sz w:val="18"/>
                <w:szCs w:val="18"/>
              </w:rPr>
            </w:pPr>
            <w:r>
              <w:rPr>
                <w:rFonts w:hint="eastAsia" w:ascii="宋体" w:hAnsi="宋体"/>
                <w:color w:val="000000"/>
                <w:kern w:val="0"/>
                <w:sz w:val="18"/>
                <w:szCs w:val="18"/>
              </w:rPr>
              <w:t>负责标准中相关技术要求内容的审验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2" w:type="dxa"/>
            <w:vAlign w:val="center"/>
          </w:tcPr>
          <w:p>
            <w:pPr>
              <w:widowControl/>
              <w:tabs>
                <w:tab w:val="left" w:pos="567"/>
              </w:tabs>
              <w:jc w:val="center"/>
              <w:outlineLvl w:val="2"/>
              <w:rPr>
                <w:rFonts w:ascii="宋体" w:hAnsi="宋体"/>
                <w:color w:val="000000"/>
                <w:kern w:val="0"/>
                <w:sz w:val="18"/>
                <w:szCs w:val="18"/>
              </w:rPr>
            </w:pPr>
            <w:r>
              <w:rPr>
                <w:rFonts w:hint="eastAsia" w:ascii="宋体" w:hAnsi="宋体"/>
                <w:color w:val="000000"/>
                <w:kern w:val="0"/>
                <w:sz w:val="18"/>
                <w:szCs w:val="18"/>
              </w:rPr>
              <w:t>X</w:t>
            </w:r>
            <w:r>
              <w:rPr>
                <w:rFonts w:ascii="宋体" w:hAnsi="宋体"/>
                <w:color w:val="000000"/>
                <w:kern w:val="0"/>
                <w:sz w:val="18"/>
                <w:szCs w:val="18"/>
              </w:rPr>
              <w:t>XX</w:t>
            </w:r>
          </w:p>
        </w:tc>
        <w:tc>
          <w:tcPr>
            <w:tcW w:w="6362" w:type="dxa"/>
            <w:vAlign w:val="center"/>
          </w:tcPr>
          <w:p>
            <w:pPr>
              <w:widowControl/>
              <w:tabs>
                <w:tab w:val="left" w:pos="567"/>
              </w:tabs>
              <w:outlineLvl w:val="2"/>
              <w:rPr>
                <w:rFonts w:ascii="宋体" w:hAnsi="宋体"/>
                <w:color w:val="000000"/>
                <w:kern w:val="0"/>
                <w:sz w:val="18"/>
                <w:szCs w:val="18"/>
              </w:rPr>
            </w:pPr>
            <w:r>
              <w:rPr>
                <w:rFonts w:hint="eastAsia" w:ascii="宋体" w:hAnsi="宋体"/>
                <w:color w:val="000000"/>
                <w:kern w:val="0"/>
                <w:sz w:val="18"/>
                <w:szCs w:val="18"/>
              </w:rPr>
              <w:t>负责提供企业的现场调研及配合标准编写开展现场试验验证及数据积累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32" w:type="dxa"/>
            <w:vAlign w:val="center"/>
          </w:tcPr>
          <w:p>
            <w:pPr>
              <w:widowControl/>
              <w:tabs>
                <w:tab w:val="left" w:pos="567"/>
              </w:tabs>
              <w:jc w:val="center"/>
              <w:outlineLvl w:val="2"/>
              <w:rPr>
                <w:rFonts w:ascii="宋体" w:hAnsi="宋体"/>
                <w:color w:val="000000"/>
                <w:kern w:val="0"/>
                <w:sz w:val="18"/>
                <w:szCs w:val="18"/>
              </w:rPr>
            </w:pPr>
            <w:r>
              <w:rPr>
                <w:rFonts w:hint="eastAsia" w:ascii="宋体" w:hAnsi="宋体"/>
                <w:color w:val="000000"/>
                <w:kern w:val="0"/>
                <w:sz w:val="18"/>
                <w:szCs w:val="18"/>
              </w:rPr>
              <w:t>X</w:t>
            </w:r>
            <w:r>
              <w:rPr>
                <w:rFonts w:ascii="宋体" w:hAnsi="宋体"/>
                <w:color w:val="000000"/>
                <w:kern w:val="0"/>
                <w:sz w:val="18"/>
                <w:szCs w:val="18"/>
              </w:rPr>
              <w:t>XX</w:t>
            </w:r>
          </w:p>
        </w:tc>
        <w:tc>
          <w:tcPr>
            <w:tcW w:w="6362" w:type="dxa"/>
            <w:vAlign w:val="center"/>
          </w:tcPr>
          <w:p>
            <w:pPr>
              <w:widowControl/>
              <w:tabs>
                <w:tab w:val="left" w:pos="567"/>
              </w:tabs>
              <w:outlineLvl w:val="2"/>
              <w:rPr>
                <w:rFonts w:ascii="宋体" w:hAnsi="宋体"/>
                <w:color w:val="000000"/>
                <w:kern w:val="0"/>
                <w:sz w:val="18"/>
                <w:szCs w:val="18"/>
              </w:rPr>
            </w:pPr>
            <w:r>
              <w:rPr>
                <w:rFonts w:hint="eastAsia" w:ascii="宋体" w:hAnsi="宋体"/>
                <w:color w:val="000000"/>
                <w:kern w:val="0"/>
                <w:sz w:val="18"/>
                <w:szCs w:val="18"/>
              </w:rPr>
              <w:t>提供理论支撑，并对国内外钼管材标准对比提供支持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32" w:type="dxa"/>
            <w:vAlign w:val="center"/>
          </w:tcPr>
          <w:p>
            <w:pPr>
              <w:widowControl/>
              <w:tabs>
                <w:tab w:val="left" w:pos="567"/>
              </w:tabs>
              <w:jc w:val="center"/>
              <w:outlineLvl w:val="2"/>
              <w:rPr>
                <w:rFonts w:ascii="宋体" w:hAnsi="宋体"/>
                <w:color w:val="000000"/>
                <w:kern w:val="0"/>
                <w:sz w:val="18"/>
                <w:szCs w:val="18"/>
              </w:rPr>
            </w:pPr>
            <w:r>
              <w:rPr>
                <w:rFonts w:hint="eastAsia" w:ascii="宋体" w:hAnsi="宋体"/>
                <w:color w:val="000000"/>
                <w:kern w:val="0"/>
                <w:sz w:val="18"/>
                <w:szCs w:val="18"/>
              </w:rPr>
              <w:t>X</w:t>
            </w:r>
            <w:r>
              <w:rPr>
                <w:rFonts w:ascii="宋体" w:hAnsi="宋体"/>
                <w:color w:val="000000"/>
                <w:kern w:val="0"/>
                <w:sz w:val="18"/>
                <w:szCs w:val="18"/>
              </w:rPr>
              <w:t>XX</w:t>
            </w:r>
          </w:p>
        </w:tc>
        <w:tc>
          <w:tcPr>
            <w:tcW w:w="6362" w:type="dxa"/>
            <w:vAlign w:val="center"/>
          </w:tcPr>
          <w:p>
            <w:pPr>
              <w:widowControl/>
              <w:tabs>
                <w:tab w:val="left" w:pos="567"/>
              </w:tabs>
              <w:outlineLvl w:val="2"/>
              <w:rPr>
                <w:rFonts w:ascii="宋体" w:hAnsi="宋体"/>
                <w:color w:val="000000"/>
                <w:kern w:val="0"/>
                <w:sz w:val="18"/>
                <w:szCs w:val="18"/>
              </w:rPr>
            </w:pPr>
            <w:r>
              <w:rPr>
                <w:rFonts w:hint="eastAsia" w:ascii="宋体" w:hAnsi="宋体"/>
                <w:color w:val="000000"/>
                <w:kern w:val="0"/>
                <w:sz w:val="18"/>
                <w:szCs w:val="18"/>
              </w:rPr>
              <w:t>提供第三方的检测服务，指导企业现场检验的规范化并编写标准试验验证数据的对比分析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2" w:type="dxa"/>
            <w:vAlign w:val="center"/>
          </w:tcPr>
          <w:p>
            <w:pPr>
              <w:widowControl/>
              <w:tabs>
                <w:tab w:val="left" w:pos="567"/>
              </w:tabs>
              <w:jc w:val="center"/>
              <w:outlineLvl w:val="2"/>
              <w:rPr>
                <w:rFonts w:ascii="宋体" w:hAnsi="宋体"/>
                <w:color w:val="000000"/>
                <w:kern w:val="0"/>
                <w:sz w:val="18"/>
                <w:szCs w:val="18"/>
              </w:rPr>
            </w:pPr>
            <w:r>
              <w:rPr>
                <w:rFonts w:hint="eastAsia" w:ascii="宋体" w:hAnsi="宋体"/>
                <w:color w:val="000000"/>
                <w:kern w:val="0"/>
                <w:sz w:val="18"/>
                <w:szCs w:val="18"/>
              </w:rPr>
              <w:t>X</w:t>
            </w:r>
            <w:r>
              <w:rPr>
                <w:rFonts w:ascii="宋体" w:hAnsi="宋体"/>
                <w:color w:val="000000"/>
                <w:kern w:val="0"/>
                <w:sz w:val="18"/>
                <w:szCs w:val="18"/>
              </w:rPr>
              <w:t>XX</w:t>
            </w:r>
          </w:p>
        </w:tc>
        <w:tc>
          <w:tcPr>
            <w:tcW w:w="6362" w:type="dxa"/>
            <w:vAlign w:val="center"/>
          </w:tcPr>
          <w:p>
            <w:pPr>
              <w:widowControl/>
              <w:tabs>
                <w:tab w:val="left" w:pos="567"/>
              </w:tabs>
              <w:outlineLvl w:val="2"/>
              <w:rPr>
                <w:rFonts w:ascii="宋体" w:hAnsi="宋体"/>
                <w:color w:val="000000"/>
                <w:kern w:val="0"/>
                <w:sz w:val="18"/>
                <w:szCs w:val="18"/>
              </w:rPr>
            </w:pPr>
            <w:r>
              <w:rPr>
                <w:rFonts w:hint="eastAsia" w:ascii="宋体" w:hAnsi="宋体"/>
                <w:color w:val="000000"/>
                <w:kern w:val="0"/>
                <w:sz w:val="18"/>
                <w:szCs w:val="18"/>
              </w:rPr>
              <w:t>提供技术指导</w:t>
            </w:r>
          </w:p>
        </w:tc>
      </w:tr>
    </w:tbl>
    <w:p>
      <w:pPr>
        <w:widowControl/>
        <w:numPr>
          <w:ilvl w:val="0"/>
          <w:numId w:val="3"/>
        </w:numPr>
        <w:tabs>
          <w:tab w:val="left" w:pos="567"/>
        </w:tabs>
        <w:adjustRightInd w:val="0"/>
        <w:snapToGrid w:val="0"/>
        <w:spacing w:before="156" w:beforeLines="50" w:after="156" w:afterLines="50"/>
        <w:jc w:val="left"/>
        <w:outlineLvl w:val="2"/>
        <w:rPr>
          <w:rFonts w:ascii="宋体" w:hAnsi="宋体"/>
          <w:b/>
          <w:kern w:val="0"/>
          <w:szCs w:val="21"/>
        </w:rPr>
      </w:pPr>
      <w:r>
        <w:rPr>
          <w:rFonts w:hint="eastAsia" w:ascii="宋体" w:hAnsi="宋体"/>
          <w:b/>
          <w:kern w:val="0"/>
          <w:szCs w:val="21"/>
        </w:rPr>
        <w:t>工作过程</w:t>
      </w:r>
    </w:p>
    <w:p>
      <w:pPr>
        <w:pStyle w:val="11"/>
        <w:keepNext w:val="0"/>
        <w:keepLines w:val="0"/>
        <w:pageBreakBefore w:val="0"/>
        <w:numPr>
          <w:ilvl w:val="0"/>
          <w:numId w:val="0"/>
        </w:numPr>
        <w:kinsoku/>
        <w:wordWrap/>
        <w:overflowPunct/>
        <w:topLinePunct w:val="0"/>
        <w:autoSpaceDE/>
        <w:autoSpaceDN/>
        <w:bidi w:val="0"/>
        <w:snapToGrid/>
        <w:spacing w:beforeLines="0" w:afterLines="0" w:line="240" w:lineRule="auto"/>
        <w:textAlignment w:val="auto"/>
        <w:rPr>
          <w:rFonts w:ascii="Times New Roman" w:eastAsia="宋体"/>
          <w:b/>
          <w:bCs/>
          <w:color w:val="000000"/>
          <w:szCs w:val="21"/>
        </w:rPr>
      </w:pPr>
      <w:r>
        <w:rPr>
          <w:rFonts w:hint="eastAsia" w:ascii="Times New Roman" w:eastAsia="宋体"/>
          <w:b/>
          <w:bCs/>
          <w:color w:val="000000"/>
          <w:szCs w:val="21"/>
        </w:rPr>
        <w:t>4.1 预研阶段</w:t>
      </w:r>
    </w:p>
    <w:p>
      <w:pPr>
        <w:pStyle w:val="11"/>
        <w:keepNext w:val="0"/>
        <w:keepLines w:val="0"/>
        <w:pageBreakBefore w:val="0"/>
        <w:numPr>
          <w:ilvl w:val="0"/>
          <w:numId w:val="0"/>
        </w:numPr>
        <w:kinsoku/>
        <w:wordWrap/>
        <w:overflowPunct/>
        <w:topLinePunct w:val="0"/>
        <w:autoSpaceDE/>
        <w:autoSpaceDN/>
        <w:bidi w:val="0"/>
        <w:snapToGrid/>
        <w:spacing w:beforeLines="0" w:afterLines="0" w:line="240" w:lineRule="auto"/>
        <w:ind w:firstLine="420" w:firstLineChars="200"/>
        <w:textAlignment w:val="auto"/>
        <w:rPr>
          <w:rFonts w:ascii="宋体" w:hAnsi="宋体" w:eastAsia="宋体" w:cs="宋体"/>
          <w:szCs w:val="21"/>
        </w:rPr>
      </w:pPr>
      <w:r>
        <w:rPr>
          <w:rFonts w:hint="eastAsia" w:ascii="宋体" w:hAnsi="宋体" w:eastAsia="宋体" w:cs="宋体"/>
          <w:szCs w:val="21"/>
        </w:rPr>
        <w:t>2019年</w:t>
      </w:r>
      <w:r>
        <w:rPr>
          <w:rFonts w:ascii="宋体" w:hAnsi="宋体" w:eastAsia="宋体" w:cs="宋体"/>
          <w:szCs w:val="21"/>
        </w:rPr>
        <w:t>10</w:t>
      </w:r>
      <w:r>
        <w:rPr>
          <w:rFonts w:hint="eastAsia" w:ascii="宋体" w:hAnsi="宋体" w:eastAsia="宋体" w:cs="宋体"/>
          <w:szCs w:val="21"/>
        </w:rPr>
        <w:t>月至2020年</w:t>
      </w:r>
      <w:r>
        <w:rPr>
          <w:rFonts w:ascii="宋体" w:hAnsi="宋体" w:eastAsia="宋体" w:cs="宋体"/>
          <w:szCs w:val="21"/>
        </w:rPr>
        <w:t>10</w:t>
      </w:r>
      <w:r>
        <w:rPr>
          <w:rFonts w:hint="eastAsia" w:ascii="宋体" w:hAnsi="宋体" w:eastAsia="宋体" w:cs="宋体"/>
          <w:szCs w:val="21"/>
        </w:rPr>
        <w:t>月，由金堆城钼业股份有限公司、福建阿石创新材料股份有限公司对国内钼及</w:t>
      </w:r>
      <w:r>
        <w:rPr>
          <w:rFonts w:ascii="宋体" w:hAnsi="宋体" w:eastAsia="宋体" w:cs="宋体"/>
          <w:szCs w:val="21"/>
        </w:rPr>
        <w:t>钼合金管靶</w:t>
      </w:r>
      <w:r>
        <w:rPr>
          <w:rFonts w:hint="eastAsia" w:ascii="宋体" w:hAnsi="宋体" w:eastAsia="宋体" w:cs="宋体"/>
          <w:szCs w:val="21"/>
        </w:rPr>
        <w:t>的生产现状进行了现场调研，具体内容为：了解国内钼及</w:t>
      </w:r>
      <w:r>
        <w:rPr>
          <w:rFonts w:ascii="宋体" w:hAnsi="宋体" w:eastAsia="宋体" w:cs="宋体"/>
          <w:szCs w:val="21"/>
        </w:rPr>
        <w:t>钼合金管靶</w:t>
      </w:r>
      <w:r>
        <w:rPr>
          <w:rFonts w:hint="eastAsia" w:ascii="宋体" w:hAnsi="宋体" w:eastAsia="宋体" w:cs="宋体"/>
          <w:szCs w:val="21"/>
        </w:rPr>
        <w:t>的制备技术水平、检测及应用情况，与企业技术人员深入讨论技术标准的具体技术要求，参观企业现场生产情况，根据调研情况，整理并编制形成了《钼及</w:t>
      </w:r>
      <w:r>
        <w:rPr>
          <w:rFonts w:ascii="宋体" w:hAnsi="宋体" w:eastAsia="宋体" w:cs="宋体"/>
          <w:szCs w:val="21"/>
        </w:rPr>
        <w:t>钼合金管靶</w:t>
      </w:r>
      <w:r>
        <w:rPr>
          <w:rFonts w:hint="eastAsia" w:ascii="宋体" w:hAnsi="宋体" w:eastAsia="宋体" w:cs="宋体"/>
          <w:szCs w:val="21"/>
        </w:rPr>
        <w:t>》标准项目建议书、标准草案及标准立项说明等材料。</w:t>
      </w:r>
    </w:p>
    <w:p>
      <w:pPr>
        <w:pStyle w:val="11"/>
        <w:keepNext w:val="0"/>
        <w:keepLines w:val="0"/>
        <w:pageBreakBefore w:val="0"/>
        <w:numPr>
          <w:ilvl w:val="0"/>
          <w:numId w:val="0"/>
        </w:numPr>
        <w:kinsoku/>
        <w:wordWrap/>
        <w:overflowPunct/>
        <w:topLinePunct w:val="0"/>
        <w:autoSpaceDE/>
        <w:autoSpaceDN/>
        <w:bidi w:val="0"/>
        <w:snapToGrid/>
        <w:spacing w:beforeLines="0" w:afterLines="0" w:line="240" w:lineRule="auto"/>
        <w:textAlignment w:val="auto"/>
        <w:rPr>
          <w:rFonts w:ascii="Times New Roman" w:eastAsia="宋体"/>
          <w:b/>
          <w:bCs/>
          <w:color w:val="000000"/>
          <w:szCs w:val="21"/>
        </w:rPr>
      </w:pPr>
      <w:r>
        <w:rPr>
          <w:rFonts w:hint="eastAsia" w:ascii="Times New Roman" w:eastAsia="宋体"/>
          <w:b/>
          <w:bCs/>
          <w:color w:val="000000"/>
          <w:szCs w:val="21"/>
        </w:rPr>
        <w:t>4.2 立项阶段</w:t>
      </w:r>
    </w:p>
    <w:p>
      <w:pPr>
        <w:pStyle w:val="11"/>
        <w:keepNext w:val="0"/>
        <w:keepLines w:val="0"/>
        <w:pageBreakBefore w:val="0"/>
        <w:numPr>
          <w:ilvl w:val="0"/>
          <w:numId w:val="0"/>
        </w:numPr>
        <w:kinsoku/>
        <w:wordWrap/>
        <w:overflowPunct/>
        <w:topLinePunct w:val="0"/>
        <w:autoSpaceDE/>
        <w:autoSpaceDN/>
        <w:bidi w:val="0"/>
        <w:snapToGrid/>
        <w:spacing w:beforeLines="0" w:afterLines="0" w:line="240" w:lineRule="auto"/>
        <w:ind w:firstLine="420" w:firstLineChars="200"/>
        <w:textAlignment w:val="auto"/>
        <w:rPr>
          <w:rFonts w:ascii="宋体" w:hAnsi="宋体" w:eastAsia="宋体" w:cs="宋体"/>
          <w:szCs w:val="21"/>
        </w:rPr>
      </w:pPr>
      <w:r>
        <w:rPr>
          <w:rFonts w:hint="eastAsia" w:ascii="宋体" w:hAnsi="宋体" w:eastAsia="宋体" w:cs="宋体"/>
          <w:szCs w:val="21"/>
        </w:rPr>
        <w:t>2020年</w:t>
      </w:r>
      <w:r>
        <w:rPr>
          <w:rFonts w:ascii="宋体" w:hAnsi="宋体" w:eastAsia="宋体" w:cs="宋体"/>
          <w:szCs w:val="21"/>
        </w:rPr>
        <w:t>11</w:t>
      </w:r>
      <w:r>
        <w:rPr>
          <w:rFonts w:hint="eastAsia" w:ascii="宋体" w:hAnsi="宋体" w:eastAsia="宋体" w:cs="宋体"/>
          <w:szCs w:val="21"/>
        </w:rPr>
        <w:t>月，金堆城钼业股份有限公司向全体委员会议提交了《钼及</w:t>
      </w:r>
      <w:r>
        <w:rPr>
          <w:rFonts w:ascii="宋体" w:hAnsi="宋体" w:eastAsia="宋体" w:cs="宋体"/>
          <w:szCs w:val="21"/>
        </w:rPr>
        <w:t>钼合金管靶</w:t>
      </w:r>
      <w:r>
        <w:rPr>
          <w:rFonts w:hint="eastAsia" w:ascii="宋体" w:hAnsi="宋体" w:eastAsia="宋体" w:cs="宋体"/>
          <w:szCs w:val="21"/>
        </w:rPr>
        <w:t>》的标准项目建议书、标准草案及标准立项说明等材料，全体委员会议论证结论为同意国家标准立项。2</w:t>
      </w:r>
      <w:r>
        <w:rPr>
          <w:rFonts w:ascii="宋体" w:hAnsi="宋体" w:eastAsia="宋体" w:cs="宋体"/>
          <w:szCs w:val="21"/>
        </w:rPr>
        <w:t>0</w:t>
      </w:r>
      <w:r>
        <w:rPr>
          <w:rFonts w:hint="eastAsia" w:ascii="宋体" w:hAnsi="宋体" w:eastAsia="宋体" w:cs="宋体"/>
          <w:szCs w:val="21"/>
        </w:rPr>
        <w:t>20年12月</w:t>
      </w:r>
      <w:r>
        <w:rPr>
          <w:rFonts w:ascii="宋体" w:hAnsi="宋体" w:eastAsia="宋体" w:cs="宋体"/>
          <w:szCs w:val="21"/>
        </w:rPr>
        <w:t>到</w:t>
      </w:r>
      <w:r>
        <w:rPr>
          <w:rFonts w:hint="eastAsia" w:ascii="宋体" w:hAnsi="宋体" w:eastAsia="宋体" w:cs="宋体"/>
          <w:szCs w:val="21"/>
        </w:rPr>
        <w:t>2021年1月由秘书处组织委员网上投票，并挂网向社会公开征求意见，</w:t>
      </w:r>
      <w:r>
        <w:rPr>
          <w:rFonts w:ascii="宋体" w:hAnsi="宋体" w:eastAsia="宋体" w:cs="宋体"/>
          <w:szCs w:val="21"/>
        </w:rPr>
        <w:t>投票获通过率较高</w:t>
      </w:r>
      <w:r>
        <w:rPr>
          <w:rFonts w:hint="eastAsia" w:ascii="宋体" w:hAnsi="宋体" w:eastAsia="宋体" w:cs="宋体"/>
          <w:szCs w:val="21"/>
        </w:rPr>
        <w:t>。</w:t>
      </w:r>
    </w:p>
    <w:p>
      <w:pPr>
        <w:pStyle w:val="11"/>
        <w:keepNext w:val="0"/>
        <w:keepLines w:val="0"/>
        <w:pageBreakBefore w:val="0"/>
        <w:numPr>
          <w:ilvl w:val="0"/>
          <w:numId w:val="0"/>
        </w:numPr>
        <w:kinsoku/>
        <w:wordWrap/>
        <w:overflowPunct/>
        <w:topLinePunct w:val="0"/>
        <w:autoSpaceDE/>
        <w:autoSpaceDN/>
        <w:bidi w:val="0"/>
        <w:snapToGrid/>
        <w:spacing w:beforeLines="0" w:afterLines="0" w:line="240" w:lineRule="auto"/>
        <w:ind w:firstLine="315" w:firstLineChars="150"/>
        <w:textAlignment w:val="auto"/>
        <w:rPr>
          <w:rFonts w:ascii="宋体" w:hAnsi="宋体" w:eastAsia="宋体" w:cs="宋体"/>
          <w:szCs w:val="21"/>
        </w:rPr>
      </w:pPr>
      <w:r>
        <w:rPr>
          <w:rFonts w:hint="eastAsia" w:ascii="宋体" w:hAnsi="宋体" w:eastAsia="宋体" w:cs="宋体"/>
          <w:szCs w:val="21"/>
        </w:rPr>
        <w:t>202</w:t>
      </w:r>
      <w:r>
        <w:rPr>
          <w:rFonts w:ascii="宋体" w:hAnsi="宋体" w:eastAsia="宋体" w:cs="宋体"/>
          <w:szCs w:val="21"/>
        </w:rPr>
        <w:t>1</w:t>
      </w:r>
      <w:r>
        <w:rPr>
          <w:rFonts w:hint="eastAsia" w:ascii="宋体" w:hAnsi="宋体" w:eastAsia="宋体" w:cs="宋体"/>
          <w:szCs w:val="21"/>
        </w:rPr>
        <w:t>年4月30日，国家标准化管理</w:t>
      </w:r>
      <w:r>
        <w:rPr>
          <w:rFonts w:ascii="宋体" w:hAnsi="宋体" w:eastAsia="宋体" w:cs="宋体"/>
          <w:szCs w:val="21"/>
        </w:rPr>
        <w:t>委员会</w:t>
      </w:r>
      <w:r>
        <w:rPr>
          <w:rFonts w:hint="eastAsia" w:ascii="宋体" w:hAnsi="宋体" w:eastAsia="宋体" w:cs="宋体"/>
          <w:szCs w:val="21"/>
        </w:rPr>
        <w:t>下达了制定国家标准《钼及</w:t>
      </w:r>
      <w:r>
        <w:rPr>
          <w:rFonts w:ascii="宋体" w:hAnsi="宋体" w:eastAsia="宋体" w:cs="宋体"/>
          <w:szCs w:val="21"/>
        </w:rPr>
        <w:t>钼合金管靶</w:t>
      </w:r>
      <w:r>
        <w:rPr>
          <w:rFonts w:hint="eastAsia" w:ascii="宋体" w:hAnsi="宋体" w:eastAsia="宋体" w:cs="宋体"/>
          <w:szCs w:val="21"/>
        </w:rPr>
        <w:t>》的任务，计划编号为：20210819-T-610，项目周期为24个月，完成年限为202</w:t>
      </w:r>
      <w:r>
        <w:rPr>
          <w:rFonts w:ascii="宋体" w:hAnsi="宋体" w:eastAsia="宋体" w:cs="宋体"/>
          <w:szCs w:val="21"/>
        </w:rPr>
        <w:t>3</w:t>
      </w:r>
      <w:r>
        <w:rPr>
          <w:rFonts w:hint="eastAsia" w:ascii="宋体" w:hAnsi="宋体" w:eastAsia="宋体" w:cs="宋体"/>
          <w:szCs w:val="21"/>
        </w:rPr>
        <w:t>年</w:t>
      </w:r>
      <w:r>
        <w:rPr>
          <w:rFonts w:ascii="宋体" w:hAnsi="宋体" w:eastAsia="宋体" w:cs="宋体"/>
          <w:szCs w:val="21"/>
        </w:rPr>
        <w:t>5</w:t>
      </w:r>
      <w:r>
        <w:rPr>
          <w:rFonts w:hint="eastAsia" w:ascii="宋体" w:hAnsi="宋体" w:eastAsia="宋体" w:cs="宋体"/>
          <w:szCs w:val="21"/>
        </w:rPr>
        <w:t>月，技术归口单位为全国有色金属标准化技术委员会。</w:t>
      </w:r>
    </w:p>
    <w:p>
      <w:pPr>
        <w:pStyle w:val="11"/>
        <w:keepNext w:val="0"/>
        <w:keepLines w:val="0"/>
        <w:pageBreakBefore w:val="0"/>
        <w:numPr>
          <w:ilvl w:val="0"/>
          <w:numId w:val="0"/>
        </w:numPr>
        <w:kinsoku/>
        <w:wordWrap/>
        <w:overflowPunct/>
        <w:topLinePunct w:val="0"/>
        <w:autoSpaceDE/>
        <w:autoSpaceDN/>
        <w:bidi w:val="0"/>
        <w:snapToGrid/>
        <w:spacing w:beforeLines="0" w:afterLines="0" w:line="240" w:lineRule="auto"/>
        <w:textAlignment w:val="auto"/>
        <w:rPr>
          <w:rFonts w:ascii="Times New Roman" w:eastAsia="宋体"/>
          <w:b/>
          <w:bCs/>
          <w:color w:val="000000"/>
          <w:szCs w:val="21"/>
        </w:rPr>
      </w:pPr>
      <w:r>
        <w:rPr>
          <w:rFonts w:hint="eastAsia" w:ascii="Times New Roman" w:eastAsia="宋体"/>
          <w:b/>
          <w:bCs/>
          <w:color w:val="000000"/>
          <w:szCs w:val="21"/>
        </w:rPr>
        <w:t>4.3 起草阶段</w:t>
      </w:r>
    </w:p>
    <w:p>
      <w:pPr>
        <w:keepNext w:val="0"/>
        <w:keepLines w:val="0"/>
        <w:pageBreakBefore w:val="0"/>
        <w:kinsoku/>
        <w:wordWrap/>
        <w:overflowPunct/>
        <w:topLinePunct w:val="0"/>
        <w:autoSpaceDE/>
        <w:autoSpaceDN/>
        <w:bidi w:val="0"/>
        <w:snapToGrid/>
        <w:spacing w:line="240" w:lineRule="auto"/>
        <w:ind w:firstLine="420" w:firstLineChars="200"/>
        <w:textAlignment w:val="auto"/>
        <w:rPr>
          <w:rFonts w:ascii="宋体" w:hAnsi="宋体"/>
          <w:color w:val="000000"/>
          <w:kern w:val="0"/>
          <w:szCs w:val="21"/>
        </w:rPr>
      </w:pPr>
      <w:r>
        <w:rPr>
          <w:rFonts w:hint="eastAsia" w:ascii="宋体" w:hAnsi="宋体"/>
          <w:color w:val="000000"/>
          <w:kern w:val="0"/>
          <w:szCs w:val="21"/>
        </w:rPr>
        <w:t>本标准为新制定标准，在起草阶段进行了大量的数据收集，同时兼顾全国</w:t>
      </w:r>
      <w:r>
        <w:rPr>
          <w:rFonts w:hint="eastAsia" w:ascii="宋体" w:hAnsi="宋体" w:cs="宋体"/>
          <w:szCs w:val="21"/>
        </w:rPr>
        <w:t>钼及</w:t>
      </w:r>
      <w:r>
        <w:rPr>
          <w:rFonts w:ascii="宋体" w:hAnsi="宋体" w:cs="宋体"/>
          <w:szCs w:val="21"/>
        </w:rPr>
        <w:t>钼合金管靶</w:t>
      </w:r>
      <w:r>
        <w:rPr>
          <w:rFonts w:ascii="宋体" w:hAnsi="宋体"/>
          <w:color w:val="000000"/>
          <w:kern w:val="0"/>
          <w:szCs w:val="21"/>
        </w:rPr>
        <w:t>生产</w:t>
      </w:r>
      <w:r>
        <w:rPr>
          <w:rFonts w:hint="eastAsia" w:ascii="宋体" w:hAnsi="宋体"/>
          <w:color w:val="000000"/>
          <w:kern w:val="0"/>
          <w:szCs w:val="21"/>
        </w:rPr>
        <w:t>厂家的现状。</w:t>
      </w:r>
    </w:p>
    <w:p>
      <w:pPr>
        <w:keepNext w:val="0"/>
        <w:keepLines w:val="0"/>
        <w:pageBreakBefore w:val="0"/>
        <w:kinsoku/>
        <w:wordWrap/>
        <w:overflowPunct/>
        <w:topLinePunct w:val="0"/>
        <w:autoSpaceDE/>
        <w:autoSpaceDN/>
        <w:bidi w:val="0"/>
        <w:snapToGrid/>
        <w:spacing w:line="240" w:lineRule="auto"/>
        <w:ind w:firstLine="420" w:firstLineChars="200"/>
        <w:textAlignment w:val="auto"/>
        <w:rPr>
          <w:rFonts w:ascii="宋体" w:hAnsi="宋体"/>
          <w:color w:val="000000"/>
          <w:kern w:val="0"/>
          <w:szCs w:val="21"/>
        </w:rPr>
      </w:pPr>
      <w:r>
        <w:rPr>
          <w:rFonts w:hint="eastAsia" w:ascii="宋体" w:hAnsi="宋体"/>
          <w:color w:val="000000"/>
          <w:kern w:val="0"/>
          <w:szCs w:val="21"/>
        </w:rPr>
        <w:t>1）2021年</w:t>
      </w:r>
      <w:r>
        <w:rPr>
          <w:rFonts w:ascii="宋体" w:hAnsi="宋体"/>
          <w:color w:val="000000"/>
          <w:kern w:val="0"/>
          <w:szCs w:val="21"/>
        </w:rPr>
        <w:t>10</w:t>
      </w:r>
      <w:r>
        <w:rPr>
          <w:rFonts w:hint="eastAsia" w:ascii="宋体" w:hAnsi="宋体"/>
          <w:color w:val="000000"/>
          <w:kern w:val="0"/>
          <w:szCs w:val="21"/>
        </w:rPr>
        <w:t>月，成立标准编制组，初步制定了工作计划和进度安排，明确了各参与单位的工作职能和任务。</w:t>
      </w:r>
    </w:p>
    <w:p>
      <w:pPr>
        <w:keepNext w:val="0"/>
        <w:keepLines w:val="0"/>
        <w:pageBreakBefore w:val="0"/>
        <w:kinsoku/>
        <w:wordWrap/>
        <w:overflowPunct/>
        <w:topLinePunct w:val="0"/>
        <w:autoSpaceDE/>
        <w:autoSpaceDN/>
        <w:bidi w:val="0"/>
        <w:snapToGrid/>
        <w:spacing w:line="240" w:lineRule="auto"/>
        <w:ind w:firstLine="420" w:firstLineChars="200"/>
        <w:textAlignment w:val="auto"/>
        <w:rPr>
          <w:rFonts w:ascii="宋体" w:hAnsi="宋体"/>
          <w:color w:val="000000"/>
          <w:kern w:val="0"/>
          <w:szCs w:val="21"/>
        </w:rPr>
      </w:pPr>
      <w:r>
        <w:rPr>
          <w:rFonts w:hint="eastAsia" w:ascii="宋体" w:hAnsi="宋体"/>
          <w:color w:val="000000"/>
          <w:kern w:val="0"/>
          <w:szCs w:val="21"/>
        </w:rPr>
        <w:t>2</w:t>
      </w:r>
      <w:r>
        <w:rPr>
          <w:rFonts w:hint="eastAsia" w:ascii="宋体" w:hAnsi="宋体"/>
          <w:color w:val="000000"/>
          <w:spacing w:val="20"/>
          <w:kern w:val="0"/>
          <w:szCs w:val="21"/>
        </w:rPr>
        <w:t>）20</w:t>
      </w:r>
      <w:r>
        <w:rPr>
          <w:rFonts w:hint="eastAsia" w:ascii="宋体" w:hAnsi="宋体"/>
          <w:color w:val="000000"/>
          <w:kern w:val="0"/>
          <w:szCs w:val="21"/>
        </w:rPr>
        <w:t>21年</w:t>
      </w:r>
      <w:r>
        <w:rPr>
          <w:rFonts w:ascii="宋体" w:hAnsi="宋体"/>
          <w:color w:val="000000"/>
          <w:kern w:val="0"/>
          <w:szCs w:val="21"/>
        </w:rPr>
        <w:t>10</w:t>
      </w:r>
      <w:r>
        <w:rPr>
          <w:rFonts w:hint="eastAsia" w:ascii="宋体" w:hAnsi="宋体"/>
          <w:color w:val="000000"/>
          <w:kern w:val="0"/>
          <w:szCs w:val="21"/>
        </w:rPr>
        <w:t>月～20</w:t>
      </w:r>
      <w:r>
        <w:rPr>
          <w:rFonts w:ascii="宋体" w:hAnsi="宋体"/>
          <w:color w:val="000000"/>
          <w:kern w:val="0"/>
          <w:szCs w:val="21"/>
        </w:rPr>
        <w:t>2</w:t>
      </w:r>
      <w:r>
        <w:rPr>
          <w:rFonts w:hint="eastAsia" w:ascii="宋体" w:hAnsi="宋体"/>
          <w:color w:val="000000"/>
          <w:kern w:val="0"/>
          <w:szCs w:val="21"/>
        </w:rPr>
        <w:t>1年</w:t>
      </w:r>
      <w:r>
        <w:rPr>
          <w:rFonts w:ascii="宋体" w:hAnsi="宋体"/>
          <w:color w:val="000000"/>
          <w:kern w:val="0"/>
          <w:szCs w:val="21"/>
        </w:rPr>
        <w:t>1</w:t>
      </w:r>
      <w:r>
        <w:rPr>
          <w:rFonts w:hint="eastAsia" w:ascii="宋体" w:hAnsi="宋体"/>
          <w:color w:val="000000"/>
          <w:kern w:val="0"/>
          <w:szCs w:val="21"/>
        </w:rPr>
        <w:t>2月，编制小组对</w:t>
      </w:r>
      <w:r>
        <w:rPr>
          <w:rFonts w:hint="eastAsia" w:ascii="宋体" w:hAnsi="宋体" w:cs="宋体"/>
          <w:szCs w:val="21"/>
        </w:rPr>
        <w:t>钼及</w:t>
      </w:r>
      <w:r>
        <w:rPr>
          <w:rFonts w:ascii="宋体" w:hAnsi="宋体" w:cs="宋体"/>
          <w:szCs w:val="21"/>
        </w:rPr>
        <w:t>钼合金管靶</w:t>
      </w:r>
      <w:r>
        <w:rPr>
          <w:rFonts w:hint="eastAsia" w:ascii="宋体" w:hAnsi="宋体"/>
          <w:color w:val="000000"/>
          <w:kern w:val="0"/>
          <w:szCs w:val="21"/>
        </w:rPr>
        <w:t>使用状况进行了相关资料的收集和总结，并对相关的技术资料进行了对比分析</w:t>
      </w:r>
      <w:r>
        <w:rPr>
          <w:rFonts w:hint="eastAsia" w:ascii="宋体" w:hAnsi="宋体" w:cs="宋体"/>
          <w:szCs w:val="21"/>
        </w:rPr>
        <w:t>。</w:t>
      </w:r>
    </w:p>
    <w:p>
      <w:pPr>
        <w:keepNext w:val="0"/>
        <w:keepLines w:val="0"/>
        <w:pageBreakBefore w:val="0"/>
        <w:widowControl/>
        <w:kinsoku/>
        <w:wordWrap/>
        <w:overflowPunct/>
        <w:topLinePunct w:val="0"/>
        <w:autoSpaceDE/>
        <w:autoSpaceDN/>
        <w:bidi w:val="0"/>
        <w:adjustRightInd w:val="0"/>
        <w:snapToGrid/>
        <w:spacing w:line="240" w:lineRule="auto"/>
        <w:ind w:firstLine="420" w:firstLineChars="200"/>
        <w:textAlignment w:val="auto"/>
        <w:outlineLvl w:val="2"/>
        <w:rPr>
          <w:rFonts w:ascii="宋体" w:hAnsi="宋体"/>
          <w:color w:val="000000"/>
          <w:kern w:val="0"/>
        </w:rPr>
      </w:pPr>
      <w:r>
        <w:rPr>
          <w:rFonts w:hint="eastAsia" w:ascii="宋体" w:hAnsi="宋体"/>
          <w:color w:val="000000"/>
          <w:kern w:val="0"/>
          <w:szCs w:val="21"/>
        </w:rPr>
        <w:t>3）20</w:t>
      </w:r>
      <w:r>
        <w:rPr>
          <w:rFonts w:ascii="宋体" w:hAnsi="宋体"/>
          <w:color w:val="000000"/>
          <w:kern w:val="0"/>
          <w:szCs w:val="21"/>
        </w:rPr>
        <w:t>2</w:t>
      </w:r>
      <w:r>
        <w:rPr>
          <w:rFonts w:hint="eastAsia" w:ascii="宋体" w:hAnsi="宋体"/>
          <w:color w:val="000000"/>
          <w:kern w:val="0"/>
          <w:szCs w:val="21"/>
        </w:rPr>
        <w:t>2年</w:t>
      </w:r>
      <w:r>
        <w:rPr>
          <w:rFonts w:ascii="宋体" w:hAnsi="宋体"/>
          <w:color w:val="000000"/>
          <w:kern w:val="0"/>
          <w:szCs w:val="21"/>
        </w:rPr>
        <w:t>1</w:t>
      </w:r>
      <w:r>
        <w:rPr>
          <w:rFonts w:hint="eastAsia" w:ascii="宋体" w:hAnsi="宋体"/>
          <w:color w:val="000000"/>
          <w:kern w:val="0"/>
          <w:szCs w:val="21"/>
        </w:rPr>
        <w:t>月～20</w:t>
      </w:r>
      <w:r>
        <w:rPr>
          <w:rFonts w:ascii="宋体" w:hAnsi="宋体"/>
          <w:color w:val="000000"/>
          <w:kern w:val="0"/>
          <w:szCs w:val="21"/>
        </w:rPr>
        <w:t>2</w:t>
      </w:r>
      <w:r>
        <w:rPr>
          <w:rFonts w:hint="eastAsia" w:ascii="宋体" w:hAnsi="宋体"/>
          <w:color w:val="000000"/>
          <w:kern w:val="0"/>
          <w:szCs w:val="21"/>
        </w:rPr>
        <w:t>2年5月，根据编制小组对</w:t>
      </w:r>
      <w:r>
        <w:rPr>
          <w:rFonts w:hint="eastAsia" w:ascii="宋体" w:hAnsi="宋体" w:cs="宋体"/>
          <w:szCs w:val="21"/>
        </w:rPr>
        <w:t>钼及</w:t>
      </w:r>
      <w:r>
        <w:rPr>
          <w:rFonts w:ascii="宋体" w:hAnsi="宋体" w:cs="宋体"/>
          <w:szCs w:val="21"/>
        </w:rPr>
        <w:t>钼合金管靶</w:t>
      </w:r>
      <w:r>
        <w:rPr>
          <w:rFonts w:hint="eastAsia" w:ascii="宋体" w:hAnsi="宋体"/>
          <w:color w:val="000000"/>
          <w:kern w:val="0"/>
          <w:szCs w:val="21"/>
        </w:rPr>
        <w:t>的相关资料进行分析和总结，并对相关牌号的国外标准进行调研，对产品牌号、化学成分等一系列相关问题逐一进行了重新核实，经修改，形成了《</w:t>
      </w:r>
      <w:r>
        <w:rPr>
          <w:rFonts w:hint="eastAsia" w:ascii="宋体" w:hAnsi="宋体" w:cs="宋体"/>
          <w:szCs w:val="21"/>
        </w:rPr>
        <w:t>钼及</w:t>
      </w:r>
      <w:r>
        <w:rPr>
          <w:rFonts w:ascii="宋体" w:hAnsi="宋体" w:cs="宋体"/>
          <w:szCs w:val="21"/>
        </w:rPr>
        <w:t>钼合金管靶</w:t>
      </w:r>
      <w:r>
        <w:rPr>
          <w:rFonts w:hint="eastAsia" w:ascii="宋体" w:hAnsi="宋体"/>
          <w:color w:val="000000"/>
          <w:kern w:val="0"/>
          <w:szCs w:val="21"/>
        </w:rPr>
        <w:t>》的讨论稿。并进行了</w:t>
      </w:r>
      <w:r>
        <w:rPr>
          <w:rFonts w:hint="eastAsia" w:ascii="宋体" w:hAnsi="宋体"/>
          <w:color w:val="000000"/>
          <w:kern w:val="0"/>
        </w:rPr>
        <w:t>广泛的征求意见工作。</w:t>
      </w:r>
    </w:p>
    <w:p>
      <w:pPr>
        <w:keepNext w:val="0"/>
        <w:keepLines w:val="0"/>
        <w:pageBreakBefore w:val="0"/>
        <w:widowControl/>
        <w:kinsoku/>
        <w:wordWrap/>
        <w:overflowPunct/>
        <w:topLinePunct w:val="0"/>
        <w:autoSpaceDE/>
        <w:autoSpaceDN/>
        <w:bidi w:val="0"/>
        <w:adjustRightInd w:val="0"/>
        <w:snapToGrid/>
        <w:spacing w:line="240" w:lineRule="auto"/>
        <w:ind w:firstLine="420" w:firstLineChars="200"/>
        <w:textAlignment w:val="auto"/>
        <w:outlineLvl w:val="2"/>
        <w:rPr>
          <w:rFonts w:hint="eastAsia" w:ascii="宋体" w:hAnsi="宋体" w:eastAsia="宋体"/>
          <w:color w:val="000000"/>
          <w:kern w:val="0"/>
          <w:lang w:eastAsia="zh-CN"/>
        </w:rPr>
      </w:pPr>
      <w:r>
        <w:rPr>
          <w:rFonts w:hint="eastAsia" w:ascii="宋体" w:hAnsi="宋体"/>
          <w:color w:val="000000"/>
          <w:kern w:val="0"/>
        </w:rPr>
        <w:t>4）第一次标准工作会</w:t>
      </w:r>
      <w:r>
        <w:rPr>
          <w:rFonts w:hint="eastAsia" w:ascii="宋体" w:hAnsi="宋体"/>
          <w:color w:val="000000"/>
          <w:kern w:val="0"/>
          <w:lang w:eastAsia="zh-CN"/>
        </w:rPr>
        <w:t>：</w:t>
      </w:r>
    </w:p>
    <w:p>
      <w:pPr>
        <w:numPr>
          <w:ilvl w:val="0"/>
          <w:numId w:val="5"/>
        </w:numPr>
        <w:spacing w:before="156" w:beforeLines="50" w:after="156" w:afterLines="50"/>
        <w:rPr>
          <w:rFonts w:ascii="宋体" w:hAnsi="宋体" w:cs="宋体"/>
          <w:b/>
          <w:bCs/>
          <w:color w:val="000000"/>
          <w:szCs w:val="21"/>
        </w:rPr>
      </w:pPr>
      <w:r>
        <w:rPr>
          <w:rFonts w:hint="eastAsia" w:ascii="宋体" w:hAnsi="宋体" w:cs="宋体"/>
          <w:b/>
          <w:bCs/>
          <w:color w:val="000000"/>
          <w:szCs w:val="21"/>
        </w:rPr>
        <w:t>标准编制原则</w:t>
      </w:r>
    </w:p>
    <w:p>
      <w:pPr>
        <w:keepNext w:val="0"/>
        <w:keepLines w:val="0"/>
        <w:pageBreakBefore w:val="0"/>
        <w:kinsoku/>
        <w:wordWrap/>
        <w:overflowPunct/>
        <w:topLinePunct w:val="0"/>
        <w:autoSpaceDE/>
        <w:autoSpaceDN/>
        <w:bidi w:val="0"/>
        <w:adjustRightInd/>
        <w:snapToGrid/>
        <w:textAlignment w:val="auto"/>
        <w:rPr>
          <w:rFonts w:ascii="宋体" w:hAnsi="宋体"/>
          <w:b/>
          <w:kern w:val="0"/>
          <w:szCs w:val="21"/>
        </w:rPr>
      </w:pPr>
      <w:r>
        <w:rPr>
          <w:rFonts w:hint="eastAsia" w:ascii="宋体" w:hAnsi="宋体"/>
          <w:b/>
          <w:kern w:val="0"/>
          <w:szCs w:val="21"/>
          <w:lang w:val="en-US" w:eastAsia="zh-CN"/>
        </w:rPr>
        <w:t>1.</w:t>
      </w:r>
      <w:r>
        <w:rPr>
          <w:rFonts w:hint="eastAsia" w:ascii="宋体" w:hAnsi="宋体"/>
          <w:b/>
          <w:kern w:val="0"/>
          <w:szCs w:val="21"/>
        </w:rPr>
        <w:t>原则性</w:t>
      </w:r>
    </w:p>
    <w:p>
      <w:pPr>
        <w:pStyle w:val="11"/>
        <w:keepNext w:val="0"/>
        <w:keepLines w:val="0"/>
        <w:pageBreakBefore w:val="0"/>
        <w:numPr>
          <w:ilvl w:val="0"/>
          <w:numId w:val="0"/>
        </w:numPr>
        <w:kinsoku/>
        <w:wordWrap/>
        <w:overflowPunct/>
        <w:topLinePunct w:val="0"/>
        <w:autoSpaceDE/>
        <w:autoSpaceDN/>
        <w:bidi w:val="0"/>
        <w:adjustRightInd/>
        <w:snapToGrid/>
        <w:spacing w:beforeLines="0" w:afterLines="0"/>
        <w:ind w:firstLine="420" w:firstLineChars="200"/>
        <w:textAlignment w:val="auto"/>
        <w:rPr>
          <w:rFonts w:ascii="宋体" w:hAnsi="宋体" w:eastAsia="宋体" w:cs="宋体"/>
          <w:color w:val="000000"/>
          <w:szCs w:val="21"/>
        </w:rPr>
      </w:pPr>
      <w:r>
        <w:rPr>
          <w:rFonts w:hint="eastAsia" w:ascii="宋体" w:hAnsi="宋体" w:eastAsia="宋体" w:cs="宋体"/>
          <w:color w:val="000000"/>
          <w:szCs w:val="21"/>
        </w:rPr>
        <w:t>本着与时俱进、切合实际、合理利用资源、促进科技进步、促进产业升级与产品结构调整、满足市场需要和供需双方公平受益、获取最大社会综合效益的基本原则。标准的制定格式严格按照GB/T 1.1《标准化工作导则第一部分：标准的结构与编写规则》的规定进行。</w:t>
      </w:r>
    </w:p>
    <w:p>
      <w:pPr>
        <w:keepNext w:val="0"/>
        <w:keepLines w:val="0"/>
        <w:pageBreakBefore w:val="0"/>
        <w:kinsoku/>
        <w:wordWrap/>
        <w:overflowPunct/>
        <w:topLinePunct w:val="0"/>
        <w:autoSpaceDE/>
        <w:autoSpaceDN/>
        <w:bidi w:val="0"/>
        <w:adjustRightInd/>
        <w:snapToGrid/>
        <w:textAlignment w:val="auto"/>
        <w:rPr>
          <w:rFonts w:ascii="宋体" w:hAnsi="宋体"/>
          <w:b/>
          <w:kern w:val="0"/>
          <w:szCs w:val="21"/>
        </w:rPr>
      </w:pPr>
      <w:r>
        <w:rPr>
          <w:rFonts w:hint="eastAsia" w:ascii="宋体" w:hAnsi="宋体"/>
          <w:b/>
          <w:kern w:val="0"/>
          <w:szCs w:val="21"/>
          <w:lang w:val="en-US" w:eastAsia="zh-CN"/>
        </w:rPr>
        <w:t>2.</w:t>
      </w:r>
      <w:r>
        <w:rPr>
          <w:rFonts w:hint="eastAsia" w:ascii="宋体" w:hAnsi="宋体"/>
          <w:b/>
          <w:kern w:val="0"/>
          <w:szCs w:val="21"/>
        </w:rPr>
        <w:t>适应性</w:t>
      </w:r>
    </w:p>
    <w:p>
      <w:pPr>
        <w:keepNext w:val="0"/>
        <w:keepLines w:val="0"/>
        <w:pageBreakBefore w:val="0"/>
        <w:kinsoku/>
        <w:wordWrap/>
        <w:overflowPunct/>
        <w:topLinePunct w:val="0"/>
        <w:autoSpaceDE/>
        <w:autoSpaceDN/>
        <w:bidi w:val="0"/>
        <w:adjustRightInd/>
        <w:snapToGrid/>
        <w:ind w:firstLine="420" w:firstLineChars="200"/>
        <w:textAlignment w:val="auto"/>
        <w:rPr>
          <w:rFonts w:ascii="宋体" w:hAnsi="宋体" w:cs="宋体"/>
          <w:color w:val="000000"/>
          <w:szCs w:val="21"/>
        </w:rPr>
      </w:pPr>
      <w:r>
        <w:rPr>
          <w:rFonts w:hint="eastAsia" w:ascii="宋体" w:hAnsi="宋体" w:cs="宋体"/>
          <w:color w:val="000000"/>
          <w:szCs w:val="21"/>
        </w:rPr>
        <w:t>当前国内外</w:t>
      </w:r>
      <w:r>
        <w:rPr>
          <w:rFonts w:hint="eastAsia" w:ascii="宋体" w:hAnsi="宋体" w:cs="宋体"/>
          <w:szCs w:val="21"/>
        </w:rPr>
        <w:t>钼及</w:t>
      </w:r>
      <w:r>
        <w:rPr>
          <w:rFonts w:ascii="宋体" w:hAnsi="宋体" w:cs="宋体"/>
          <w:szCs w:val="21"/>
        </w:rPr>
        <w:t>钼合金管靶</w:t>
      </w:r>
      <w:r>
        <w:rPr>
          <w:rFonts w:hint="eastAsia" w:ascii="宋体" w:hAnsi="宋体" w:cs="宋体"/>
          <w:color w:val="000000"/>
          <w:szCs w:val="21"/>
        </w:rPr>
        <w:t>的生产单位主要有金堆城钼业股份有限公司、洛阳科威钨钼有限公司、奥地利Plansee公司、德国HC Starck公司等。国内外厂家生产的</w:t>
      </w:r>
      <w:r>
        <w:rPr>
          <w:rFonts w:hint="eastAsia" w:ascii="宋体" w:hAnsi="宋体" w:cs="宋体"/>
          <w:szCs w:val="21"/>
        </w:rPr>
        <w:t>钼及</w:t>
      </w:r>
      <w:r>
        <w:rPr>
          <w:rFonts w:ascii="宋体" w:hAnsi="宋体" w:cs="宋体"/>
          <w:szCs w:val="21"/>
        </w:rPr>
        <w:t>钼合金管靶</w:t>
      </w:r>
      <w:r>
        <w:rPr>
          <w:rFonts w:hint="eastAsia" w:ascii="宋体" w:hAnsi="宋体" w:cs="宋体"/>
          <w:color w:val="000000"/>
          <w:szCs w:val="21"/>
        </w:rPr>
        <w:t>的型号和尺寸依据市场的需求基本相似，基本上均采用</w:t>
      </w:r>
      <w:r>
        <w:rPr>
          <w:szCs w:val="21"/>
        </w:rPr>
        <w:t>粉末冶金烧结钼管坯为原料、经挤压、锻造或热等静压加工生产溅射靶材用钼及钼合金管</w:t>
      </w:r>
      <w:r>
        <w:rPr>
          <w:rFonts w:hint="eastAsia" w:ascii="宋体" w:hAnsi="宋体" w:cs="宋体"/>
          <w:color w:val="000000"/>
          <w:szCs w:val="21"/>
        </w:rPr>
        <w:t>。目前国内不同厂家产品的区别在于</w:t>
      </w:r>
      <w:r>
        <w:rPr>
          <w:szCs w:val="21"/>
        </w:rPr>
        <w:t>各企业产品的型号、规格等差异较大，导致客户选择产品没有针对性，产品使用效果差异很大</w:t>
      </w:r>
      <w:r>
        <w:rPr>
          <w:rFonts w:hint="eastAsia" w:ascii="宋体" w:hAnsi="宋体" w:cs="宋体"/>
          <w:color w:val="000000"/>
          <w:szCs w:val="21"/>
        </w:rPr>
        <w:t>。在对生产厂家和适用领域的充分调研的基础上，制定的本标准充分反映了当前国内钼行业各生产企业的技术水平，便于生产、贸易，宜于应用。</w:t>
      </w:r>
    </w:p>
    <w:p>
      <w:pPr>
        <w:keepNext w:val="0"/>
        <w:keepLines w:val="0"/>
        <w:pageBreakBefore w:val="0"/>
        <w:kinsoku/>
        <w:wordWrap/>
        <w:overflowPunct/>
        <w:topLinePunct w:val="0"/>
        <w:autoSpaceDE/>
        <w:autoSpaceDN/>
        <w:bidi w:val="0"/>
        <w:adjustRightInd/>
        <w:snapToGrid/>
        <w:textAlignment w:val="auto"/>
        <w:rPr>
          <w:rFonts w:ascii="宋体" w:hAnsi="宋体"/>
          <w:b/>
          <w:kern w:val="0"/>
          <w:szCs w:val="21"/>
        </w:rPr>
      </w:pPr>
      <w:r>
        <w:rPr>
          <w:rFonts w:hint="eastAsia" w:ascii="宋体" w:hAnsi="宋体"/>
          <w:b/>
          <w:kern w:val="0"/>
          <w:szCs w:val="21"/>
          <w:lang w:val="en-US" w:eastAsia="zh-CN"/>
        </w:rPr>
        <w:t>3.</w:t>
      </w:r>
      <w:r>
        <w:rPr>
          <w:rFonts w:hint="eastAsia" w:ascii="宋体" w:hAnsi="宋体"/>
          <w:b/>
          <w:kern w:val="0"/>
          <w:szCs w:val="21"/>
        </w:rPr>
        <w:t>先进性</w:t>
      </w:r>
    </w:p>
    <w:p>
      <w:pPr>
        <w:pStyle w:val="11"/>
        <w:keepNext w:val="0"/>
        <w:keepLines w:val="0"/>
        <w:pageBreakBefore w:val="0"/>
        <w:numPr>
          <w:ilvl w:val="0"/>
          <w:numId w:val="0"/>
        </w:numPr>
        <w:kinsoku/>
        <w:wordWrap/>
        <w:overflowPunct/>
        <w:topLinePunct w:val="0"/>
        <w:autoSpaceDE/>
        <w:autoSpaceDN/>
        <w:bidi w:val="0"/>
        <w:adjustRightInd/>
        <w:snapToGrid/>
        <w:spacing w:beforeLines="0" w:afterLines="0"/>
        <w:ind w:firstLine="420" w:firstLineChars="200"/>
        <w:textAlignment w:val="auto"/>
        <w:rPr>
          <w:rFonts w:ascii="宋体" w:hAnsi="宋体" w:eastAsia="宋体" w:cs="宋体"/>
          <w:color w:val="000000"/>
          <w:szCs w:val="21"/>
        </w:rPr>
      </w:pPr>
      <w:r>
        <w:rPr>
          <w:rFonts w:hint="eastAsia" w:ascii="宋体" w:hAnsi="宋体" w:eastAsia="宋体" w:cs="宋体"/>
          <w:color w:val="000000"/>
          <w:szCs w:val="21"/>
        </w:rPr>
        <w:t xml:space="preserve">通过本标准的制定，促使国内生产企业和相关行业的技术进步以及钼资源的充分利用起到积极作用。 </w:t>
      </w:r>
    </w:p>
    <w:p>
      <w:pPr>
        <w:pStyle w:val="14"/>
        <w:numPr>
          <w:ilvl w:val="0"/>
          <w:numId w:val="6"/>
        </w:numPr>
        <w:spacing w:before="156" w:beforeLines="50" w:after="156" w:afterLines="50" w:line="360" w:lineRule="auto"/>
        <w:ind w:firstLineChars="0"/>
        <w:jc w:val="left"/>
        <w:rPr>
          <w:rFonts w:ascii="宋体" w:hAnsi="宋体"/>
          <w:b/>
          <w:color w:val="000000"/>
          <w:szCs w:val="21"/>
        </w:rPr>
      </w:pPr>
      <w:r>
        <w:rPr>
          <w:rFonts w:hint="eastAsia" w:ascii="宋体" w:hAnsi="宋体"/>
          <w:b/>
          <w:color w:val="000000"/>
          <w:szCs w:val="21"/>
        </w:rPr>
        <w:t>标准主要内容的确定依据及主要试验和验证情况分析</w:t>
      </w:r>
    </w:p>
    <w:p>
      <w:pPr>
        <w:widowControl/>
        <w:numPr>
          <w:ilvl w:val="0"/>
          <w:numId w:val="7"/>
        </w:numPr>
        <w:tabs>
          <w:tab w:val="left" w:pos="567"/>
        </w:tabs>
        <w:spacing w:before="156" w:beforeLines="50" w:after="156" w:afterLines="50" w:line="300" w:lineRule="auto"/>
        <w:jc w:val="left"/>
        <w:outlineLvl w:val="2"/>
        <w:rPr>
          <w:rFonts w:ascii="宋体" w:hAnsi="宋体" w:cs="宋体"/>
          <w:b/>
          <w:color w:val="000000"/>
          <w:kern w:val="0"/>
          <w:szCs w:val="21"/>
        </w:rPr>
      </w:pPr>
      <w:r>
        <w:rPr>
          <w:rFonts w:hint="eastAsia" w:ascii="宋体" w:hAnsi="宋体" w:cs="宋体"/>
          <w:b/>
          <w:color w:val="000000"/>
          <w:kern w:val="0"/>
          <w:szCs w:val="21"/>
        </w:rPr>
        <w:t>确定标准主要内容的论据</w:t>
      </w:r>
    </w:p>
    <w:p>
      <w:pPr>
        <w:widowControl/>
        <w:tabs>
          <w:tab w:val="left" w:pos="567"/>
        </w:tabs>
        <w:ind w:firstLine="420" w:firstLineChars="200"/>
        <w:jc w:val="left"/>
        <w:outlineLvl w:val="2"/>
        <w:rPr>
          <w:rFonts w:ascii="宋体" w:hAnsi="宋体" w:cs="宋体"/>
          <w:color w:val="000000"/>
          <w:szCs w:val="21"/>
        </w:rPr>
      </w:pPr>
      <w:r>
        <w:rPr>
          <w:rFonts w:hint="eastAsia" w:ascii="宋体" w:hAnsi="宋体" w:cs="宋体"/>
          <w:color w:val="000000"/>
          <w:szCs w:val="21"/>
        </w:rPr>
        <w:t>经过广泛调研后根据</w:t>
      </w:r>
      <w:r>
        <w:rPr>
          <w:rFonts w:hint="eastAsia" w:ascii="宋体" w:hAnsi="宋体" w:cs="宋体"/>
          <w:szCs w:val="21"/>
        </w:rPr>
        <w:t>钼及</w:t>
      </w:r>
      <w:r>
        <w:rPr>
          <w:rFonts w:ascii="宋体" w:hAnsi="宋体" w:cs="宋体"/>
          <w:szCs w:val="21"/>
        </w:rPr>
        <w:t>钼合金管靶</w:t>
      </w:r>
      <w:r>
        <w:rPr>
          <w:rFonts w:hint="eastAsia" w:ascii="宋体" w:hAnsi="宋体" w:cs="宋体"/>
          <w:color w:val="000000"/>
          <w:szCs w:val="21"/>
        </w:rPr>
        <w:t>的材质确定本标准的产品类型，对市场的要求</w:t>
      </w:r>
    </w:p>
    <w:p>
      <w:pPr>
        <w:widowControl/>
        <w:tabs>
          <w:tab w:val="left" w:pos="567"/>
        </w:tabs>
        <w:jc w:val="left"/>
        <w:outlineLvl w:val="2"/>
        <w:rPr>
          <w:rFonts w:ascii="宋体" w:hAnsi="宋体" w:cs="宋体"/>
          <w:color w:val="000000"/>
          <w:szCs w:val="21"/>
        </w:rPr>
      </w:pPr>
      <w:r>
        <w:rPr>
          <w:rFonts w:hint="eastAsia" w:ascii="宋体" w:hAnsi="宋体" w:cs="宋体"/>
          <w:color w:val="000000"/>
          <w:szCs w:val="21"/>
        </w:rPr>
        <w:t>和</w:t>
      </w:r>
      <w:r>
        <w:rPr>
          <w:rFonts w:hint="eastAsia" w:ascii="宋体" w:hAnsi="宋体" w:cs="宋体"/>
          <w:szCs w:val="21"/>
        </w:rPr>
        <w:t>钼及</w:t>
      </w:r>
      <w:r>
        <w:rPr>
          <w:rFonts w:ascii="宋体" w:hAnsi="宋体" w:cs="宋体"/>
          <w:szCs w:val="21"/>
        </w:rPr>
        <w:t>钼合金管靶</w:t>
      </w:r>
      <w:r>
        <w:rPr>
          <w:rFonts w:hint="eastAsia" w:ascii="宋体" w:hAnsi="宋体" w:cs="宋体"/>
          <w:color w:val="000000"/>
          <w:szCs w:val="21"/>
        </w:rPr>
        <w:t>的实际质量水平，从而制定本标准。</w:t>
      </w:r>
    </w:p>
    <w:p>
      <w:pPr>
        <w:pStyle w:val="11"/>
        <w:numPr>
          <w:ilvl w:val="0"/>
          <w:numId w:val="0"/>
        </w:numPr>
        <w:spacing w:beforeLines="0" w:afterLines="0" w:line="480" w:lineRule="exact"/>
        <w:rPr>
          <w:rFonts w:ascii="Times New Roman" w:eastAsia="宋体"/>
          <w:b/>
          <w:bCs/>
          <w:color w:val="000000"/>
          <w:szCs w:val="21"/>
        </w:rPr>
      </w:pPr>
      <w:r>
        <w:rPr>
          <w:rFonts w:hint="eastAsia" w:ascii="Times New Roman" w:eastAsia="宋体"/>
          <w:b/>
          <w:bCs/>
          <w:color w:val="000000"/>
          <w:szCs w:val="21"/>
        </w:rPr>
        <w:t>1.1化学成分</w:t>
      </w:r>
    </w:p>
    <w:p>
      <w:pPr>
        <w:pStyle w:val="11"/>
        <w:numPr>
          <w:ilvl w:val="0"/>
          <w:numId w:val="0"/>
        </w:numPr>
        <w:spacing w:beforeLines="0" w:afterLines="0"/>
        <w:ind w:firstLine="420" w:firstLineChars="200"/>
        <w:rPr>
          <w:rFonts w:ascii="宋体" w:hAnsi="宋体" w:eastAsia="宋体" w:cs="宋体"/>
          <w:szCs w:val="21"/>
        </w:rPr>
      </w:pPr>
      <w:r>
        <w:rPr>
          <w:rFonts w:hint="eastAsia" w:ascii="宋体" w:hAnsi="宋体" w:eastAsia="宋体" w:cs="宋体"/>
          <w:szCs w:val="21"/>
        </w:rPr>
        <w:t>（1）关于钼及钼合金管靶化学成分中钼含量的确定：</w:t>
      </w:r>
      <w:r>
        <w:rPr>
          <w:rFonts w:ascii="宋体" w:hAnsi="宋体" w:eastAsia="宋体" w:cs="宋体"/>
          <w:szCs w:val="21"/>
        </w:rPr>
        <w:t>靶材的纯度对溅射薄膜的性能影响很大，靶材的纯度越高，溅射薄膜的性能越好。一般工业用靶材对纯度并不苛求，而半导体、显示器件等领域用靶材对纯度的要求</w:t>
      </w:r>
      <w:r>
        <w:rPr>
          <w:rFonts w:hint="eastAsia" w:ascii="宋体" w:hAnsi="宋体" w:eastAsia="宋体" w:cs="宋体"/>
          <w:szCs w:val="21"/>
        </w:rPr>
        <w:t>较高</w:t>
      </w:r>
      <w:r>
        <w:rPr>
          <w:rFonts w:ascii="宋体" w:hAnsi="宋体" w:eastAsia="宋体" w:cs="宋体"/>
          <w:szCs w:val="21"/>
        </w:rPr>
        <w:t>。随着LCD行业玻璃基板尺寸的不断</w:t>
      </w:r>
      <w:r>
        <w:rPr>
          <w:rFonts w:hint="eastAsia" w:ascii="宋体" w:hAnsi="宋体" w:eastAsia="宋体" w:cs="宋体"/>
          <w:szCs w:val="21"/>
        </w:rPr>
        <w:t>增大</w:t>
      </w:r>
      <w:r>
        <w:rPr>
          <w:rFonts w:ascii="宋体" w:hAnsi="宋体" w:eastAsia="宋体" w:cs="宋体"/>
          <w:szCs w:val="21"/>
        </w:rPr>
        <w:t>，要求配线的长度延长、线宽变细，为了保证薄膜的均匀性以及布线的质量，钼溅射靶材的纯度也相应提高。</w:t>
      </w:r>
      <w:r>
        <w:rPr>
          <w:rFonts w:hint="eastAsia" w:ascii="宋体" w:hAnsi="宋体" w:eastAsia="宋体" w:cs="宋体"/>
          <w:szCs w:val="21"/>
        </w:rPr>
        <w:t>关于最低钼含量的确定，根据GB/T3461《钼粉》的实物质量水平，结合国内金属烧结和压力加工装备水平，经过广泛调研后最终确定除了</w:t>
      </w:r>
      <w:r>
        <w:rPr>
          <w:rFonts w:ascii="宋体" w:hAnsi="宋体" w:eastAsia="宋体" w:cs="宋体"/>
          <w:szCs w:val="21"/>
        </w:rPr>
        <w:t>合金成分外，</w:t>
      </w:r>
      <w:r>
        <w:rPr>
          <w:rFonts w:hint="eastAsia" w:ascii="宋体" w:hAnsi="宋体" w:eastAsia="宋体" w:cs="宋体"/>
          <w:szCs w:val="21"/>
        </w:rPr>
        <w:t>钼的纯度Mo≥99.9</w:t>
      </w:r>
      <w:r>
        <w:rPr>
          <w:rFonts w:ascii="宋体" w:hAnsi="宋体" w:eastAsia="宋体" w:cs="宋体"/>
          <w:szCs w:val="21"/>
        </w:rPr>
        <w:t>5</w:t>
      </w:r>
      <w:r>
        <w:rPr>
          <w:rFonts w:hint="eastAsia" w:ascii="宋体" w:hAnsi="宋体" w:eastAsia="宋体" w:cs="宋体"/>
          <w:szCs w:val="21"/>
        </w:rPr>
        <w:t>%。</w:t>
      </w:r>
    </w:p>
    <w:p>
      <w:pPr>
        <w:ind w:firstLine="420" w:firstLineChars="200"/>
        <w:rPr>
          <w:sz w:val="24"/>
        </w:rPr>
      </w:pPr>
      <w:r>
        <w:rPr>
          <w:rFonts w:hint="eastAsia" w:ascii="宋体" w:hAnsi="宋体" w:cs="宋体"/>
          <w:szCs w:val="21"/>
        </w:rPr>
        <w:t>（2）关于杂质元素含量的确定：</w:t>
      </w:r>
      <w:r>
        <w:rPr>
          <w:rFonts w:ascii="宋体" w:hAnsi="宋体" w:cs="宋体"/>
          <w:kern w:val="0"/>
          <w:szCs w:val="21"/>
        </w:rPr>
        <w:t>靶材作为溅射中的阴极源，固体中的杂质和</w:t>
      </w:r>
      <w:r>
        <w:rPr>
          <w:rFonts w:hint="eastAsia" w:ascii="宋体" w:hAnsi="宋体" w:cs="宋体"/>
          <w:kern w:val="0"/>
          <w:szCs w:val="21"/>
        </w:rPr>
        <w:t>微</w:t>
      </w:r>
      <w:r>
        <w:rPr>
          <w:rFonts w:ascii="宋体" w:hAnsi="宋体" w:cs="宋体"/>
          <w:kern w:val="0"/>
          <w:szCs w:val="21"/>
        </w:rPr>
        <w:t>气孔中的氧气和水是沉积薄膜的主要污染源。不同用途靶材对单个杂质含量也有不同的要求</w:t>
      </w:r>
      <w:r>
        <w:rPr>
          <w:rFonts w:hint="eastAsia" w:ascii="宋体" w:hAnsi="宋体" w:cs="宋体"/>
          <w:kern w:val="0"/>
          <w:szCs w:val="21"/>
        </w:rPr>
        <w:t>，</w:t>
      </w:r>
      <w:r>
        <w:rPr>
          <w:rFonts w:ascii="宋体" w:hAnsi="宋体" w:cs="宋体"/>
          <w:kern w:val="0"/>
          <w:szCs w:val="21"/>
        </w:rPr>
        <w:t>如半导体电极布线用的Mo靶材对U，Th等放射性元素的含量要求低于3</w:t>
      </w:r>
      <w:r>
        <w:rPr>
          <w:rFonts w:hint="eastAsia" w:ascii="宋体" w:hAnsi="宋体" w:cs="宋体"/>
          <w:kern w:val="0"/>
          <w:szCs w:val="21"/>
        </w:rPr>
        <w:t>×</w:t>
      </w:r>
      <w:r>
        <w:rPr>
          <w:rFonts w:ascii="宋体" w:hAnsi="宋体" w:cs="宋体"/>
          <w:kern w:val="0"/>
          <w:szCs w:val="21"/>
        </w:rPr>
        <w:t>10</w:t>
      </w:r>
      <w:r>
        <w:rPr>
          <w:rFonts w:ascii="宋体" w:hAnsi="宋体" w:cs="宋体"/>
          <w:kern w:val="0"/>
          <w:szCs w:val="21"/>
          <w:vertAlign w:val="superscript"/>
        </w:rPr>
        <w:t>-9</w:t>
      </w:r>
      <w:r>
        <w:rPr>
          <w:rFonts w:hint="eastAsia" w:ascii="宋体" w:hAnsi="宋体" w:cs="宋体"/>
          <w:kern w:val="0"/>
          <w:szCs w:val="21"/>
        </w:rPr>
        <w:t>（</w:t>
      </w:r>
      <w:r>
        <w:rPr>
          <w:rFonts w:hint="eastAsia" w:ascii="宋体" w:hAnsi="宋体" w:cs="宋体"/>
          <w:kern w:val="0"/>
          <w:szCs w:val="21"/>
          <w:lang w:eastAsia="zh-CN"/>
        </w:rPr>
        <w:t>很难</w:t>
      </w:r>
      <w:r>
        <w:rPr>
          <w:rFonts w:hint="eastAsia" w:ascii="宋体" w:hAnsi="宋体" w:cs="宋体"/>
          <w:kern w:val="0"/>
          <w:szCs w:val="21"/>
        </w:rPr>
        <w:t>检测）</w:t>
      </w:r>
      <w:r>
        <w:rPr>
          <w:rFonts w:ascii="宋体" w:hAnsi="宋体" w:cs="宋体"/>
          <w:kern w:val="0"/>
          <w:szCs w:val="21"/>
        </w:rPr>
        <w:t>；</w:t>
      </w:r>
      <w:r>
        <w:rPr>
          <w:rFonts w:hint="eastAsia" w:ascii="宋体" w:hAnsi="宋体" w:cs="宋体"/>
          <w:kern w:val="0"/>
          <w:szCs w:val="21"/>
        </w:rPr>
        <w:t>等离子显示器</w:t>
      </w:r>
      <w:r>
        <w:rPr>
          <w:rFonts w:ascii="宋体" w:hAnsi="宋体" w:cs="宋体"/>
          <w:kern w:val="0"/>
          <w:szCs w:val="21"/>
        </w:rPr>
        <w:t>中，碱金属离子(Na+、K+)</w:t>
      </w:r>
      <w:r>
        <w:rPr>
          <w:rFonts w:hint="eastAsia" w:ascii="宋体" w:hAnsi="宋体" w:cs="宋体"/>
          <w:kern w:val="0"/>
          <w:szCs w:val="21"/>
        </w:rPr>
        <w:t>会</w:t>
      </w:r>
      <w:r>
        <w:rPr>
          <w:rFonts w:ascii="宋体" w:hAnsi="宋体" w:cs="宋体"/>
          <w:kern w:val="0"/>
          <w:szCs w:val="21"/>
        </w:rPr>
        <w:t>成为可移动性离子</w:t>
      </w:r>
      <w:r>
        <w:rPr>
          <w:rFonts w:hint="eastAsia" w:ascii="宋体" w:hAnsi="宋体" w:cs="宋体"/>
          <w:kern w:val="0"/>
          <w:szCs w:val="21"/>
        </w:rPr>
        <w:t>而</w:t>
      </w:r>
      <w:r>
        <w:rPr>
          <w:rFonts w:ascii="宋体" w:hAnsi="宋体" w:cs="宋体"/>
          <w:kern w:val="0"/>
          <w:szCs w:val="21"/>
        </w:rPr>
        <w:t>降低元器件性能</w:t>
      </w:r>
      <w:r>
        <w:rPr>
          <w:rFonts w:hint="eastAsia" w:ascii="宋体" w:hAnsi="宋体" w:cs="宋体"/>
          <w:kern w:val="0"/>
          <w:szCs w:val="21"/>
        </w:rPr>
        <w:t>，</w:t>
      </w:r>
      <w:r>
        <w:rPr>
          <w:rFonts w:ascii="宋体" w:hAnsi="宋体" w:cs="宋体"/>
          <w:kern w:val="0"/>
          <w:szCs w:val="21"/>
        </w:rPr>
        <w:t>铁、镍离子会产生界面漏电及氧元素增加等。因此，在钼</w:t>
      </w:r>
      <w:r>
        <w:rPr>
          <w:rFonts w:hint="eastAsia" w:ascii="宋体" w:hAnsi="宋体" w:cs="宋体"/>
          <w:kern w:val="0"/>
          <w:szCs w:val="21"/>
        </w:rPr>
        <w:t>及其合金</w:t>
      </w:r>
      <w:r>
        <w:rPr>
          <w:rFonts w:ascii="宋体" w:hAnsi="宋体" w:cs="宋体"/>
          <w:kern w:val="0"/>
          <w:szCs w:val="21"/>
        </w:rPr>
        <w:t>溅射靶材的制备过程中，需要严格控制这些杂质元素，最大程度的降低其在靶材中的含量。</w:t>
      </w:r>
      <w:r>
        <w:rPr>
          <w:rFonts w:hint="eastAsia" w:ascii="宋体" w:hAnsi="宋体" w:cs="宋体"/>
          <w:szCs w:val="21"/>
        </w:rPr>
        <w:t>考虑到钼及钼合金管靶主</w:t>
      </w:r>
      <w:r>
        <w:rPr>
          <w:rFonts w:ascii="宋体" w:hAnsi="宋体" w:cs="宋体"/>
          <w:szCs w:val="21"/>
        </w:rPr>
        <w:t>要用作TFT-LCD、等离子显示屏、薄膜太阳能电池、隔热屏等领域</w:t>
      </w:r>
      <w:r>
        <w:rPr>
          <w:rFonts w:hint="eastAsia" w:ascii="宋体" w:hAnsi="宋体" w:cs="宋体"/>
          <w:szCs w:val="21"/>
        </w:rPr>
        <w:t>，靶材溅射</w:t>
      </w:r>
      <w:r>
        <w:rPr>
          <w:rFonts w:ascii="宋体" w:hAnsi="宋体" w:cs="宋体"/>
          <w:szCs w:val="21"/>
        </w:rPr>
        <w:t>薄膜的质量</w:t>
      </w:r>
      <w:r>
        <w:rPr>
          <w:rFonts w:hint="eastAsia" w:ascii="宋体" w:hAnsi="宋体" w:cs="宋体"/>
          <w:szCs w:val="21"/>
        </w:rPr>
        <w:t>直接</w:t>
      </w:r>
      <w:r>
        <w:rPr>
          <w:rFonts w:ascii="宋体" w:hAnsi="宋体" w:cs="宋体"/>
          <w:szCs w:val="21"/>
        </w:rPr>
        <w:t>影响产品的使用寿命</w:t>
      </w:r>
      <w:r>
        <w:rPr>
          <w:rFonts w:hint="eastAsia" w:ascii="宋体" w:hAnsi="宋体" w:cs="宋体"/>
          <w:szCs w:val="21"/>
        </w:rPr>
        <w:t>，通过客户的不同需求和长期的生产实践，杂质</w:t>
      </w:r>
      <w:r>
        <w:rPr>
          <w:rFonts w:ascii="宋体" w:hAnsi="宋体" w:cs="宋体"/>
          <w:szCs w:val="21"/>
        </w:rPr>
        <w:t>含量总体要求</w:t>
      </w:r>
      <w:r>
        <w:rPr>
          <w:rFonts w:hint="eastAsia" w:ascii="宋体" w:hAnsi="宋体" w:cs="宋体"/>
          <w:szCs w:val="21"/>
        </w:rPr>
        <w:t>≤</w:t>
      </w:r>
      <w:r>
        <w:rPr>
          <w:rFonts w:ascii="宋体" w:hAnsi="宋体" w:cs="宋体"/>
          <w:szCs w:val="21"/>
        </w:rPr>
        <w:t>0.05%</w:t>
      </w:r>
      <w:r>
        <w:rPr>
          <w:rFonts w:hint="eastAsia" w:ascii="宋体" w:hAnsi="宋体" w:cs="宋体"/>
          <w:szCs w:val="21"/>
        </w:rPr>
        <w:t>，</w:t>
      </w:r>
      <w:r>
        <w:rPr>
          <w:rFonts w:ascii="宋体" w:hAnsi="宋体" w:cs="宋体"/>
          <w:szCs w:val="21"/>
        </w:rPr>
        <w:t>具体见表</w:t>
      </w:r>
      <w:r>
        <w:rPr>
          <w:rFonts w:hint="eastAsia" w:ascii="宋体" w:hAnsi="宋体" w:cs="宋体"/>
          <w:szCs w:val="21"/>
        </w:rPr>
        <w:t>2的规定。由于W为Mo原生矿的伴生元素，且W和Mo为无限固溶同族元素，在湿法冶金工艺阶段和粉末冶金工艺阶段难以降低或去除，所以本标准对W元素含量未作要求。</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eastAsia="仿宋_GB2312"/>
          <w:sz w:val="28"/>
          <w:szCs w:val="28"/>
        </w:rPr>
      </w:pPr>
      <w:r>
        <w:rPr>
          <w:rFonts w:hint="eastAsia" w:ascii="宋体" w:hAnsi="宋体" w:cs="宋体"/>
          <w:szCs w:val="21"/>
        </w:rPr>
        <w:t>（</w:t>
      </w:r>
      <w:r>
        <w:rPr>
          <w:rFonts w:ascii="宋体" w:hAnsi="宋体" w:cs="宋体"/>
          <w:szCs w:val="21"/>
        </w:rPr>
        <w:t>3</w:t>
      </w:r>
      <w:r>
        <w:rPr>
          <w:rFonts w:hint="eastAsia" w:ascii="宋体" w:hAnsi="宋体" w:cs="宋体"/>
          <w:szCs w:val="21"/>
        </w:rPr>
        <w:t>）关于合金元素含量的确定：</w:t>
      </w:r>
      <w:r>
        <w:rPr>
          <w:rFonts w:ascii="宋体" w:hAnsi="宋体" w:cs="宋体"/>
          <w:szCs w:val="21"/>
        </w:rPr>
        <w:t>合金元素的添加</w:t>
      </w:r>
      <w:r>
        <w:rPr>
          <w:rFonts w:hint="eastAsia" w:ascii="宋体" w:hAnsi="宋体" w:cs="宋体"/>
          <w:szCs w:val="21"/>
        </w:rPr>
        <w:t>与管靶的</w:t>
      </w:r>
      <w:r>
        <w:rPr>
          <w:rFonts w:ascii="宋体" w:hAnsi="宋体" w:cs="宋体"/>
          <w:szCs w:val="21"/>
        </w:rPr>
        <w:t>应用领域</w:t>
      </w:r>
      <w:r>
        <w:rPr>
          <w:rFonts w:hint="eastAsia" w:ascii="宋体" w:hAnsi="宋体" w:cs="宋体"/>
          <w:szCs w:val="21"/>
        </w:rPr>
        <w:t>密切</w:t>
      </w:r>
      <w:r>
        <w:rPr>
          <w:rFonts w:ascii="宋体" w:hAnsi="宋体" w:cs="宋体"/>
          <w:szCs w:val="21"/>
        </w:rPr>
        <w:t>相关，</w:t>
      </w:r>
      <w:r>
        <w:rPr>
          <w:rFonts w:hint="eastAsia" w:ascii="宋体" w:hAnsi="宋体" w:cs="宋体"/>
          <w:szCs w:val="21"/>
        </w:rPr>
        <w:t>Mo-20W合金材料，由于其具有极佳的电阻率、良好的加工性、很强的抗腐蚀性和</w:t>
      </w:r>
      <w:r>
        <w:rPr>
          <w:rFonts w:ascii="宋体" w:hAnsi="宋体" w:cs="宋体"/>
          <w:szCs w:val="21"/>
        </w:rPr>
        <w:t>优良的刻蚀性能</w:t>
      </w:r>
      <w:r>
        <w:rPr>
          <w:rFonts w:hint="eastAsia" w:ascii="宋体" w:hAnsi="宋体" w:cs="宋体"/>
          <w:szCs w:val="21"/>
        </w:rPr>
        <w:t>，用作液晶显示的靶和薄膜，能大大提高液晶显示的灵敏度和可靠性。资料显示</w:t>
      </w:r>
      <w:r>
        <w:rPr>
          <w:rFonts w:ascii="宋体" w:hAnsi="宋体" w:cs="宋体"/>
          <w:szCs w:val="21"/>
        </w:rPr>
        <w:t>：日本东芝公司</w:t>
      </w:r>
      <w:r>
        <w:rPr>
          <w:rFonts w:hint="eastAsia" w:ascii="宋体" w:hAnsi="宋体" w:cs="宋体"/>
          <w:szCs w:val="21"/>
        </w:rPr>
        <w:t>和</w:t>
      </w:r>
      <w:r>
        <w:rPr>
          <w:rFonts w:ascii="宋体" w:hAnsi="宋体" w:cs="宋体"/>
          <w:szCs w:val="21"/>
        </w:rPr>
        <w:t>Plansee生产</w:t>
      </w:r>
      <w:r>
        <w:rPr>
          <w:rFonts w:hint="eastAsia" w:ascii="宋体" w:hAnsi="宋体" w:cs="宋体"/>
          <w:szCs w:val="21"/>
        </w:rPr>
        <w:t>的</w:t>
      </w:r>
      <w:r>
        <w:rPr>
          <w:rFonts w:ascii="宋体" w:hAnsi="宋体" w:cs="宋体"/>
          <w:szCs w:val="21"/>
        </w:rPr>
        <w:t>钼钨合金溅射靶材，用于平面显示器行业。</w:t>
      </w:r>
      <w:r>
        <w:rPr>
          <w:rFonts w:hint="eastAsia" w:ascii="宋体" w:hAnsi="宋体" w:cs="宋体"/>
          <w:szCs w:val="21"/>
        </w:rPr>
        <w:t>随着</w:t>
      </w:r>
      <w:r>
        <w:rPr>
          <w:rFonts w:ascii="宋体" w:hAnsi="宋体" w:cs="宋体"/>
          <w:szCs w:val="21"/>
        </w:rPr>
        <w:t>平面显示器的大型化和高精度</w:t>
      </w:r>
      <w:r>
        <w:rPr>
          <w:rFonts w:hint="eastAsia" w:ascii="宋体" w:hAnsi="宋体" w:cs="宋体"/>
          <w:szCs w:val="21"/>
        </w:rPr>
        <w:t>化</w:t>
      </w:r>
      <w:r>
        <w:rPr>
          <w:rFonts w:ascii="宋体" w:hAnsi="宋体" w:cs="宋体"/>
          <w:szCs w:val="21"/>
        </w:rPr>
        <w:t>，</w:t>
      </w:r>
      <w:r>
        <w:rPr>
          <w:rFonts w:hint="eastAsia" w:ascii="宋体" w:hAnsi="宋体" w:cs="宋体"/>
          <w:szCs w:val="21"/>
        </w:rPr>
        <w:t>钼</w:t>
      </w:r>
      <w:r>
        <w:rPr>
          <w:rFonts w:ascii="宋体" w:hAnsi="宋体" w:cs="宋体"/>
          <w:szCs w:val="21"/>
        </w:rPr>
        <w:t>已经成为较为理想的平面显示器、薄膜太阳能电池的电极和配线材料及半导体的阻挡层材料，但应用中发现钼在耐腐蚀性（</w:t>
      </w:r>
      <w:r>
        <w:rPr>
          <w:rFonts w:hint="eastAsia" w:ascii="宋体" w:hAnsi="宋体" w:cs="宋体"/>
          <w:szCs w:val="21"/>
        </w:rPr>
        <w:t>变色</w:t>
      </w:r>
      <w:r>
        <w:rPr>
          <w:rFonts w:ascii="宋体" w:hAnsi="宋体" w:cs="宋体"/>
          <w:szCs w:val="21"/>
        </w:rPr>
        <w:t>）</w:t>
      </w:r>
      <w:r>
        <w:rPr>
          <w:rFonts w:hint="eastAsia" w:ascii="宋体" w:hAnsi="宋体" w:cs="宋体"/>
          <w:szCs w:val="21"/>
        </w:rPr>
        <w:t>和</w:t>
      </w:r>
      <w:r>
        <w:rPr>
          <w:rFonts w:ascii="宋体" w:hAnsi="宋体" w:cs="宋体"/>
          <w:szCs w:val="21"/>
        </w:rPr>
        <w:t>密着性（</w:t>
      </w:r>
      <w:r>
        <w:rPr>
          <w:rFonts w:hint="eastAsia" w:ascii="宋体" w:hAnsi="宋体" w:cs="宋体"/>
          <w:szCs w:val="21"/>
        </w:rPr>
        <w:t>膜</w:t>
      </w:r>
      <w:r>
        <w:rPr>
          <w:rFonts w:ascii="宋体" w:hAnsi="宋体" w:cs="宋体"/>
          <w:szCs w:val="21"/>
        </w:rPr>
        <w:t>的剥离）</w:t>
      </w:r>
      <w:r>
        <w:rPr>
          <w:rFonts w:hint="eastAsia" w:ascii="宋体" w:hAnsi="宋体" w:cs="宋体"/>
          <w:szCs w:val="21"/>
        </w:rPr>
        <w:t>方面</w:t>
      </w:r>
      <w:r>
        <w:rPr>
          <w:rFonts w:ascii="宋体" w:hAnsi="宋体" w:cs="宋体"/>
          <w:szCs w:val="21"/>
        </w:rPr>
        <w:t>仍存在问题，</w:t>
      </w:r>
      <w:r>
        <w:rPr>
          <w:rFonts w:hint="eastAsia" w:ascii="宋体" w:hAnsi="宋体" w:cs="宋体"/>
          <w:szCs w:val="21"/>
        </w:rPr>
        <w:t>加入10</w:t>
      </w:r>
      <w:r>
        <w:rPr>
          <w:rFonts w:ascii="宋体" w:hAnsi="宋体" w:cs="宋体"/>
          <w:szCs w:val="21"/>
        </w:rPr>
        <w:t>wt%左右</w:t>
      </w:r>
      <w:r>
        <w:rPr>
          <w:rFonts w:hint="eastAsia" w:ascii="宋体" w:hAnsi="宋体" w:cs="宋体"/>
          <w:szCs w:val="21"/>
        </w:rPr>
        <w:t>钽的</w:t>
      </w:r>
      <w:r>
        <w:rPr>
          <w:rFonts w:ascii="宋体" w:hAnsi="宋体" w:cs="宋体"/>
          <w:szCs w:val="21"/>
        </w:rPr>
        <w:t>钼钽</w:t>
      </w:r>
      <w:r>
        <w:rPr>
          <w:rFonts w:hint="eastAsia" w:ascii="宋体" w:hAnsi="宋体" w:cs="宋体"/>
          <w:szCs w:val="21"/>
        </w:rPr>
        <w:t>合金可使溅射后薄膜</w:t>
      </w:r>
      <w:r>
        <w:rPr>
          <w:rFonts w:ascii="宋体" w:hAnsi="宋体" w:cs="宋体"/>
          <w:szCs w:val="21"/>
        </w:rPr>
        <w:t>的比阻抗、应力、耐蚀性等各种性能达到均衡</w:t>
      </w:r>
      <w:r>
        <w:rPr>
          <w:rFonts w:hint="eastAsia" w:ascii="宋体" w:hAnsi="宋体" w:cs="宋体"/>
          <w:szCs w:val="21"/>
        </w:rPr>
        <w:t>，</w:t>
      </w:r>
      <w:r>
        <w:rPr>
          <w:rFonts w:ascii="宋体" w:hAnsi="宋体" w:cs="宋体"/>
          <w:szCs w:val="21"/>
        </w:rPr>
        <w:t>能满足</w:t>
      </w:r>
      <w:r>
        <w:rPr>
          <w:rFonts w:hint="eastAsia" w:ascii="宋体" w:hAnsi="宋体" w:cs="宋体"/>
          <w:szCs w:val="21"/>
        </w:rPr>
        <w:t>TFT</w:t>
      </w:r>
      <w:r>
        <w:rPr>
          <w:rFonts w:ascii="宋体" w:hAnsi="宋体" w:cs="宋体"/>
          <w:szCs w:val="21"/>
        </w:rPr>
        <w:t>-LCD</w:t>
      </w:r>
      <w:r>
        <w:rPr>
          <w:rFonts w:hint="eastAsia" w:ascii="宋体" w:hAnsi="宋体" w:cs="宋体"/>
          <w:szCs w:val="21"/>
        </w:rPr>
        <w:t>、</w:t>
      </w:r>
      <w:r>
        <w:rPr>
          <w:rFonts w:ascii="宋体" w:hAnsi="宋体" w:cs="宋体"/>
          <w:szCs w:val="21"/>
        </w:rPr>
        <w:t>PDP</w:t>
      </w:r>
      <w:r>
        <w:rPr>
          <w:rFonts w:hint="eastAsia" w:ascii="宋体" w:hAnsi="宋体" w:cs="宋体"/>
          <w:szCs w:val="21"/>
        </w:rPr>
        <w:t>平板</w:t>
      </w:r>
      <w:r>
        <w:rPr>
          <w:rFonts w:ascii="宋体" w:hAnsi="宋体" w:cs="宋体"/>
          <w:szCs w:val="21"/>
        </w:rPr>
        <w:t>显示和封装制造要求。</w:t>
      </w:r>
      <w:r>
        <w:rPr>
          <w:rFonts w:hint="eastAsia" w:ascii="宋体" w:hAnsi="宋体" w:cs="宋体"/>
          <w:szCs w:val="21"/>
        </w:rPr>
        <w:t>Mo-Na和</w:t>
      </w:r>
      <w:r>
        <w:rPr>
          <w:rFonts w:ascii="宋体" w:hAnsi="宋体" w:cs="宋体"/>
          <w:szCs w:val="21"/>
        </w:rPr>
        <w:t>Mo</w:t>
      </w:r>
      <w:r>
        <w:rPr>
          <w:rFonts w:hint="eastAsia" w:ascii="宋体" w:hAnsi="宋体" w:cs="宋体"/>
          <w:szCs w:val="21"/>
        </w:rPr>
        <w:t>-K</w:t>
      </w:r>
      <w:r>
        <w:rPr>
          <w:rFonts w:ascii="宋体" w:hAnsi="宋体" w:cs="宋体"/>
          <w:szCs w:val="21"/>
        </w:rPr>
        <w:t>合金产品的主要应用领域是太阳能薄膜电池。研究表明，</w:t>
      </w:r>
      <w:r>
        <w:rPr>
          <w:rFonts w:hint="eastAsia" w:ascii="宋体" w:hAnsi="宋体" w:cs="宋体"/>
          <w:szCs w:val="21"/>
        </w:rPr>
        <w:t>K、Na</w:t>
      </w:r>
      <w:r>
        <w:rPr>
          <w:rFonts w:ascii="宋体" w:hAnsi="宋体" w:cs="宋体"/>
          <w:szCs w:val="21"/>
        </w:rPr>
        <w:t>能提高CIGS电池的能量转化效率</w:t>
      </w:r>
      <w:r>
        <w:rPr>
          <w:rFonts w:hint="eastAsia" w:ascii="宋体" w:hAnsi="宋体" w:cs="宋体"/>
          <w:szCs w:val="21"/>
        </w:rPr>
        <w:t>，钼钾和钼钠在提升CIGS性能方面的原理不同，同时使用有加成效果，其中</w:t>
      </w:r>
      <w:r>
        <w:rPr>
          <w:rFonts w:ascii="宋体" w:hAnsi="宋体" w:cs="宋体"/>
          <w:szCs w:val="21"/>
        </w:rPr>
        <w:t>钠、钾含量</w:t>
      </w:r>
      <w:r>
        <w:rPr>
          <w:rFonts w:hint="eastAsia" w:ascii="宋体" w:hAnsi="宋体" w:cs="宋体"/>
          <w:szCs w:val="21"/>
        </w:rPr>
        <w:t>要求</w:t>
      </w:r>
      <w:r>
        <w:rPr>
          <w:rFonts w:ascii="宋体" w:hAnsi="宋体" w:cs="宋体"/>
          <w:szCs w:val="21"/>
        </w:rPr>
        <w:t>越来越高，从初期的</w:t>
      </w:r>
      <w:r>
        <w:rPr>
          <w:rFonts w:hint="eastAsia" w:ascii="宋体" w:hAnsi="宋体" w:cs="宋体"/>
          <w:szCs w:val="21"/>
        </w:rPr>
        <w:t>1</w:t>
      </w:r>
      <w:r>
        <w:rPr>
          <w:rFonts w:ascii="宋体" w:hAnsi="宋体" w:cs="宋体"/>
          <w:szCs w:val="21"/>
        </w:rPr>
        <w:t>wt%左右到目前的</w:t>
      </w:r>
      <w:r>
        <w:rPr>
          <w:rFonts w:hint="eastAsia" w:ascii="宋体" w:hAnsi="宋体" w:cs="宋体"/>
          <w:szCs w:val="21"/>
        </w:rPr>
        <w:t>4.3</w:t>
      </w:r>
      <w:r>
        <w:rPr>
          <w:rFonts w:ascii="宋体" w:hAnsi="宋体" w:cs="宋体"/>
          <w:szCs w:val="21"/>
        </w:rPr>
        <w:t>wt%不等。</w:t>
      </w:r>
      <w:r>
        <w:rPr>
          <w:rFonts w:hint="eastAsia" w:ascii="宋体" w:hAnsi="宋体" w:cs="宋体"/>
          <w:szCs w:val="21"/>
        </w:rPr>
        <w:t>用作</w:t>
      </w:r>
      <w:r>
        <w:rPr>
          <w:rFonts w:ascii="宋体" w:hAnsi="宋体" w:cs="宋体"/>
          <w:szCs w:val="21"/>
        </w:rPr>
        <w:t>隔热屏</w:t>
      </w:r>
      <w:r>
        <w:rPr>
          <w:rFonts w:hint="eastAsia" w:ascii="宋体" w:hAnsi="宋体" w:cs="宋体"/>
          <w:szCs w:val="21"/>
        </w:rPr>
        <w:t>的钼铌合金，在</w:t>
      </w:r>
      <w:r>
        <w:rPr>
          <w:rFonts w:ascii="宋体" w:hAnsi="宋体" w:cs="宋体"/>
          <w:szCs w:val="21"/>
        </w:rPr>
        <w:t>铌含量</w:t>
      </w:r>
      <w:r>
        <w:rPr>
          <w:rFonts w:hint="eastAsia" w:ascii="宋体" w:hAnsi="宋体" w:cs="宋体"/>
          <w:szCs w:val="21"/>
        </w:rPr>
        <w:t>10</w:t>
      </w:r>
      <w:r>
        <w:rPr>
          <w:rFonts w:ascii="宋体" w:hAnsi="宋体" w:cs="宋体"/>
          <w:szCs w:val="21"/>
        </w:rPr>
        <w:t>%左右显示了</w:t>
      </w:r>
      <w:r>
        <w:rPr>
          <w:rFonts w:hint="eastAsia" w:ascii="宋体" w:hAnsi="宋体" w:cs="宋体"/>
          <w:szCs w:val="21"/>
        </w:rPr>
        <w:t>优良</w:t>
      </w:r>
      <w:r>
        <w:rPr>
          <w:rFonts w:ascii="宋体" w:hAnsi="宋体" w:cs="宋体"/>
          <w:szCs w:val="21"/>
        </w:rPr>
        <w:t>的高温屈服强度</w:t>
      </w:r>
      <w:r>
        <w:rPr>
          <w:rFonts w:hint="eastAsia" w:ascii="宋体" w:hAnsi="宋体" w:cs="宋体"/>
          <w:szCs w:val="21"/>
        </w:rPr>
        <w:t>，</w:t>
      </w:r>
      <w:r>
        <w:rPr>
          <w:rFonts w:ascii="宋体" w:hAnsi="宋体" w:cs="宋体"/>
          <w:szCs w:val="21"/>
        </w:rPr>
        <w:t>资料显示</w:t>
      </w:r>
      <w:r>
        <w:rPr>
          <w:rFonts w:hint="eastAsia" w:ascii="宋体" w:hAnsi="宋体" w:cs="宋体"/>
          <w:szCs w:val="21"/>
        </w:rPr>
        <w:t>，添加6</w:t>
      </w:r>
      <w:r>
        <w:rPr>
          <w:rFonts w:ascii="宋体" w:hAnsi="宋体" w:cs="宋体"/>
          <w:szCs w:val="21"/>
        </w:rPr>
        <w:t>wt%Nb的钼铌合金，高温屈服强度</w:t>
      </w:r>
      <w:r>
        <w:rPr>
          <w:rFonts w:hint="eastAsia" w:ascii="宋体" w:hAnsi="宋体" w:cs="宋体"/>
          <w:szCs w:val="21"/>
        </w:rPr>
        <w:t>比</w:t>
      </w:r>
      <w:r>
        <w:rPr>
          <w:rFonts w:ascii="宋体" w:hAnsi="宋体" w:cs="宋体"/>
          <w:szCs w:val="21"/>
        </w:rPr>
        <w:t>纯钼几乎增加了一个数量级</w:t>
      </w:r>
      <w:r>
        <w:rPr>
          <w:rFonts w:hint="eastAsia" w:ascii="宋体" w:hAnsi="宋体" w:cs="宋体"/>
          <w:szCs w:val="21"/>
        </w:rPr>
        <w:t>。</w:t>
      </w:r>
      <w:r>
        <w:rPr>
          <w:rFonts w:ascii="宋体" w:hAnsi="宋体" w:cs="宋体"/>
          <w:szCs w:val="21"/>
        </w:rPr>
        <w:t>低于</w:t>
      </w:r>
      <w:r>
        <w:rPr>
          <w:rFonts w:hint="eastAsia" w:ascii="宋体" w:hAnsi="宋体" w:cs="宋体"/>
          <w:szCs w:val="21"/>
        </w:rPr>
        <w:t>10</w:t>
      </w:r>
      <w:r>
        <w:rPr>
          <w:rFonts w:ascii="宋体" w:hAnsi="宋体" w:cs="宋体"/>
          <w:szCs w:val="21"/>
        </w:rPr>
        <w:t>wt%Nb含量的钼铌合金为Mo和Nb的固溶体，</w:t>
      </w:r>
      <w:r>
        <w:rPr>
          <w:rFonts w:hint="eastAsia" w:ascii="宋体" w:hAnsi="宋体" w:cs="宋体"/>
          <w:szCs w:val="21"/>
        </w:rPr>
        <w:t>当</w:t>
      </w:r>
      <w:r>
        <w:rPr>
          <w:rFonts w:ascii="宋体" w:hAnsi="宋体" w:cs="宋体"/>
          <w:szCs w:val="21"/>
        </w:rPr>
        <w:t>Nb含量</w:t>
      </w:r>
      <w:r>
        <w:rPr>
          <w:rFonts w:hint="eastAsia" w:ascii="宋体" w:hAnsi="宋体" w:cs="宋体"/>
          <w:szCs w:val="21"/>
        </w:rPr>
        <w:t>在15</w:t>
      </w:r>
      <w:r>
        <w:rPr>
          <w:rFonts w:ascii="宋体" w:hAnsi="宋体" w:cs="宋体"/>
          <w:szCs w:val="21"/>
        </w:rPr>
        <w:t>wt%</w:t>
      </w:r>
      <w:r>
        <w:rPr>
          <w:rFonts w:hint="eastAsia" w:ascii="宋体" w:hAnsi="宋体" w:cs="宋体"/>
          <w:szCs w:val="21"/>
        </w:rPr>
        <w:t>甚至20</w:t>
      </w:r>
      <w:r>
        <w:rPr>
          <w:rFonts w:ascii="宋体" w:hAnsi="宋体" w:cs="宋体"/>
          <w:szCs w:val="21"/>
        </w:rPr>
        <w:t>wt%时，就会出现氧化铌</w:t>
      </w:r>
      <w:r>
        <w:rPr>
          <w:rFonts w:hint="eastAsia" w:ascii="宋体" w:hAnsi="宋体" w:cs="宋体"/>
          <w:szCs w:val="21"/>
        </w:rPr>
        <w:t>相</w:t>
      </w:r>
      <w:r>
        <w:rPr>
          <w:rFonts w:ascii="宋体" w:hAnsi="宋体" w:cs="宋体"/>
          <w:szCs w:val="21"/>
        </w:rPr>
        <w:t>和碳化铌</w:t>
      </w:r>
      <w:r>
        <w:rPr>
          <w:rFonts w:hint="eastAsia" w:ascii="宋体" w:hAnsi="宋体" w:cs="宋体"/>
          <w:szCs w:val="21"/>
        </w:rPr>
        <w:t>相，</w:t>
      </w:r>
      <w:r>
        <w:rPr>
          <w:rFonts w:ascii="宋体" w:hAnsi="宋体" w:cs="宋体"/>
          <w:szCs w:val="21"/>
        </w:rPr>
        <w:t>组织粗化</w:t>
      </w:r>
      <w:r>
        <w:rPr>
          <w:rFonts w:hint="eastAsia" w:ascii="宋体" w:hAnsi="宋体" w:cs="宋体"/>
          <w:szCs w:val="21"/>
        </w:rPr>
        <w:t>，所以</w:t>
      </w:r>
      <w:r>
        <w:rPr>
          <w:rFonts w:ascii="宋体" w:hAnsi="宋体" w:cs="宋体"/>
          <w:szCs w:val="21"/>
        </w:rPr>
        <w:t>目前使用比较广泛的钼铌合金，其Nb含量在</w:t>
      </w:r>
      <w:r>
        <w:rPr>
          <w:rFonts w:hint="eastAsia" w:ascii="宋体" w:hAnsi="宋体" w:cs="宋体"/>
          <w:szCs w:val="21"/>
        </w:rPr>
        <w:t>5</w:t>
      </w:r>
      <w:r>
        <w:rPr>
          <w:rFonts w:ascii="宋体" w:hAnsi="宋体" w:cs="宋体"/>
          <w:szCs w:val="21"/>
        </w:rPr>
        <w:t>-10wt%</w:t>
      </w:r>
      <w:r>
        <w:rPr>
          <w:rFonts w:hint="eastAsia" w:ascii="宋体" w:hAnsi="宋体" w:cs="宋体"/>
          <w:szCs w:val="21"/>
        </w:rPr>
        <w:t>。</w:t>
      </w:r>
    </w:p>
    <w:p>
      <w:pPr>
        <w:pStyle w:val="11"/>
        <w:keepNext w:val="0"/>
        <w:keepLines w:val="0"/>
        <w:pageBreakBefore w:val="0"/>
        <w:numPr>
          <w:ilvl w:val="0"/>
          <w:numId w:val="0"/>
        </w:numPr>
        <w:kinsoku/>
        <w:wordWrap/>
        <w:overflowPunct/>
        <w:topLinePunct w:val="0"/>
        <w:autoSpaceDE/>
        <w:autoSpaceDN/>
        <w:bidi w:val="0"/>
        <w:adjustRightInd/>
        <w:snapToGrid/>
        <w:spacing w:beforeLines="0" w:afterLines="0" w:line="240" w:lineRule="auto"/>
        <w:ind w:firstLine="420" w:firstLineChars="200"/>
        <w:textAlignment w:val="auto"/>
        <w:rPr>
          <w:rFonts w:eastAsia="宋体"/>
          <w:highlight w:val="yellow"/>
        </w:rPr>
      </w:pPr>
      <w:r>
        <w:rPr>
          <w:rFonts w:hint="eastAsia" w:ascii="宋体" w:hAnsi="宋体" w:eastAsia="宋体" w:cs="宋体"/>
          <w:color w:val="000000"/>
          <w:szCs w:val="21"/>
        </w:rPr>
        <w:t>产品化学成分</w:t>
      </w:r>
      <w:r>
        <w:rPr>
          <w:rFonts w:hint="eastAsia" w:ascii="宋体" w:hAnsi="宋体" w:eastAsia="宋体"/>
          <w:color w:val="000000"/>
          <w:szCs w:val="21"/>
        </w:rPr>
        <w:t>应符合表2的规定。</w:t>
      </w:r>
    </w:p>
    <w:p>
      <w:pPr>
        <w:spacing w:before="156" w:beforeLines="50"/>
        <w:rPr>
          <w:rFonts w:ascii="黑体" w:hAnsi="黑体" w:eastAsia="黑体" w:cs="黑体"/>
          <w:sz w:val="18"/>
          <w:szCs w:val="18"/>
        </w:rPr>
      </w:pPr>
      <w:r>
        <w:rPr>
          <w:rFonts w:ascii="宋体" w:hAnsi="宋体" w:cs="宋体"/>
          <w:color w:val="000000"/>
          <w:szCs w:val="21"/>
        </w:rPr>
        <w:t xml:space="preserve">       </w:t>
      </w:r>
      <w:r>
        <w:rPr>
          <w:szCs w:val="21"/>
        </w:rPr>
        <w:t xml:space="preserve">  </w:t>
      </w:r>
      <w:r>
        <w:rPr>
          <w:rFonts w:hint="eastAsia"/>
          <w:szCs w:val="21"/>
        </w:rPr>
        <w:t xml:space="preserve">            </w:t>
      </w:r>
      <w:r>
        <w:rPr>
          <w:szCs w:val="21"/>
        </w:rPr>
        <w:t xml:space="preserve">    </w:t>
      </w:r>
      <w:r>
        <w:rPr>
          <w:sz w:val="18"/>
          <w:szCs w:val="18"/>
        </w:rPr>
        <w:t xml:space="preserve"> </w:t>
      </w:r>
      <w:r>
        <w:rPr>
          <w:rFonts w:hint="eastAsia"/>
          <w:sz w:val="18"/>
          <w:szCs w:val="18"/>
        </w:rPr>
        <w:t xml:space="preserve"> </w:t>
      </w:r>
      <w:r>
        <w:rPr>
          <w:rFonts w:hint="eastAsia" w:ascii="黑体" w:hAnsi="黑体" w:eastAsia="黑体" w:cs="黑体"/>
          <w:sz w:val="18"/>
          <w:szCs w:val="18"/>
        </w:rPr>
        <w:t xml:space="preserve">表2  钼及钼合金管靶化学成分 </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264"/>
        <w:gridCol w:w="1461"/>
        <w:gridCol w:w="1398"/>
        <w:gridCol w:w="1231"/>
        <w:gridCol w:w="1254"/>
        <w:gridCol w:w="19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742" w:type="pct"/>
            <w:vMerge w:val="restar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元素</w:t>
            </w:r>
          </w:p>
        </w:tc>
        <w:tc>
          <w:tcPr>
            <w:tcW w:w="4257" w:type="pct"/>
            <w:gridSpan w:val="5"/>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含量，%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742" w:type="pct"/>
            <w:vMerge w:val="continue"/>
            <w:tcBorders>
              <w:tl2br w:val="nil"/>
              <w:tr2bl w:val="nil"/>
            </w:tcBorders>
            <w:vAlign w:val="center"/>
          </w:tcPr>
          <w:p>
            <w:pPr>
              <w:jc w:val="center"/>
              <w:rPr>
                <w:rFonts w:ascii="宋体" w:hAnsi="宋体" w:cs="宋体"/>
                <w:sz w:val="18"/>
                <w:szCs w:val="18"/>
              </w:rPr>
            </w:pPr>
          </w:p>
        </w:tc>
        <w:tc>
          <w:tcPr>
            <w:tcW w:w="857"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F</w:t>
            </w:r>
            <w:r>
              <w:rPr>
                <w:rFonts w:ascii="宋体" w:hAnsi="宋体" w:cs="宋体"/>
                <w:sz w:val="18"/>
                <w:szCs w:val="18"/>
              </w:rPr>
              <w:t>G</w:t>
            </w:r>
            <w:r>
              <w:rPr>
                <w:rFonts w:hint="eastAsia" w:ascii="宋体" w:hAnsi="宋体" w:cs="宋体"/>
                <w:sz w:val="18"/>
                <w:szCs w:val="18"/>
              </w:rPr>
              <w:t>Mo</w:t>
            </w:r>
          </w:p>
        </w:tc>
        <w:tc>
          <w:tcPr>
            <w:tcW w:w="820"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F</w:t>
            </w:r>
            <w:r>
              <w:rPr>
                <w:rFonts w:ascii="宋体" w:hAnsi="宋体" w:cs="宋体"/>
                <w:sz w:val="18"/>
                <w:szCs w:val="18"/>
              </w:rPr>
              <w:t>G</w:t>
            </w:r>
            <w:r>
              <w:rPr>
                <w:rFonts w:hint="eastAsia" w:ascii="宋体" w:hAnsi="宋体" w:cs="宋体"/>
                <w:sz w:val="18"/>
                <w:szCs w:val="18"/>
              </w:rPr>
              <w:t>MoW</w:t>
            </w:r>
          </w:p>
        </w:tc>
        <w:tc>
          <w:tcPr>
            <w:tcW w:w="722"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F</w:t>
            </w:r>
            <w:r>
              <w:rPr>
                <w:rFonts w:ascii="宋体" w:hAnsi="宋体" w:cs="宋体"/>
                <w:sz w:val="18"/>
                <w:szCs w:val="18"/>
              </w:rPr>
              <w:t>G</w:t>
            </w:r>
            <w:r>
              <w:rPr>
                <w:rFonts w:hint="eastAsia" w:ascii="宋体" w:hAnsi="宋体" w:cs="宋体"/>
                <w:sz w:val="18"/>
                <w:szCs w:val="18"/>
              </w:rPr>
              <w:t>MoTa</w:t>
            </w:r>
          </w:p>
        </w:tc>
        <w:tc>
          <w:tcPr>
            <w:tcW w:w="736"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F</w:t>
            </w:r>
            <w:r>
              <w:rPr>
                <w:rFonts w:ascii="宋体" w:hAnsi="宋体" w:cs="宋体"/>
                <w:sz w:val="18"/>
                <w:szCs w:val="18"/>
              </w:rPr>
              <w:t>G</w:t>
            </w:r>
            <w:r>
              <w:rPr>
                <w:rFonts w:hint="eastAsia" w:ascii="宋体" w:hAnsi="宋体" w:cs="宋体"/>
                <w:sz w:val="18"/>
                <w:szCs w:val="18"/>
              </w:rPr>
              <w:t>MoNa</w:t>
            </w:r>
          </w:p>
        </w:tc>
        <w:tc>
          <w:tcPr>
            <w:tcW w:w="1119"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F</w:t>
            </w:r>
            <w:r>
              <w:rPr>
                <w:rFonts w:ascii="宋体" w:hAnsi="宋体" w:cs="宋体"/>
                <w:sz w:val="18"/>
                <w:szCs w:val="18"/>
              </w:rPr>
              <w:t>G</w:t>
            </w:r>
            <w:r>
              <w:rPr>
                <w:rFonts w:hint="eastAsia" w:ascii="宋体" w:hAnsi="宋体" w:cs="宋体"/>
                <w:sz w:val="18"/>
                <w:szCs w:val="18"/>
              </w:rPr>
              <w:t>MoNb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742"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C</w:t>
            </w:r>
          </w:p>
        </w:tc>
        <w:tc>
          <w:tcPr>
            <w:tcW w:w="857"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≤0.0020</w:t>
            </w:r>
          </w:p>
        </w:tc>
        <w:tc>
          <w:tcPr>
            <w:tcW w:w="820"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≤0.0020</w:t>
            </w:r>
          </w:p>
        </w:tc>
        <w:tc>
          <w:tcPr>
            <w:tcW w:w="722"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≤0.0030</w:t>
            </w:r>
          </w:p>
        </w:tc>
        <w:tc>
          <w:tcPr>
            <w:tcW w:w="736"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≤0.0030</w:t>
            </w:r>
          </w:p>
        </w:tc>
        <w:tc>
          <w:tcPr>
            <w:tcW w:w="1119"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742" w:type="pct"/>
            <w:tcBorders>
              <w:tl2br w:val="nil"/>
              <w:tr2bl w:val="nil"/>
            </w:tcBorders>
            <w:vAlign w:val="center"/>
          </w:tcPr>
          <w:p>
            <w:pPr>
              <w:jc w:val="center"/>
              <w:rPr>
                <w:rFonts w:ascii="宋体" w:hAnsi="宋体" w:cs="宋体"/>
                <w:sz w:val="18"/>
                <w:szCs w:val="18"/>
                <w:vertAlign w:val="superscript"/>
              </w:rPr>
            </w:pPr>
            <w:r>
              <w:rPr>
                <w:rFonts w:hint="eastAsia" w:ascii="宋体" w:hAnsi="宋体" w:cs="宋体"/>
                <w:sz w:val="18"/>
                <w:szCs w:val="18"/>
              </w:rPr>
              <w:t>O</w:t>
            </w:r>
          </w:p>
        </w:tc>
        <w:tc>
          <w:tcPr>
            <w:tcW w:w="857"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≤0.0020</w:t>
            </w:r>
          </w:p>
        </w:tc>
        <w:tc>
          <w:tcPr>
            <w:tcW w:w="820"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≤0.0030</w:t>
            </w:r>
          </w:p>
        </w:tc>
        <w:tc>
          <w:tcPr>
            <w:tcW w:w="722"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≤0.020</w:t>
            </w:r>
          </w:p>
        </w:tc>
        <w:tc>
          <w:tcPr>
            <w:tcW w:w="736"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≤7.0</w:t>
            </w:r>
          </w:p>
        </w:tc>
        <w:tc>
          <w:tcPr>
            <w:tcW w:w="1119"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742"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N</w:t>
            </w:r>
          </w:p>
        </w:tc>
        <w:tc>
          <w:tcPr>
            <w:tcW w:w="857"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≤0.0010</w:t>
            </w:r>
          </w:p>
        </w:tc>
        <w:tc>
          <w:tcPr>
            <w:tcW w:w="820"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≤0.0010</w:t>
            </w:r>
          </w:p>
        </w:tc>
        <w:tc>
          <w:tcPr>
            <w:tcW w:w="722"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≤0.0010</w:t>
            </w:r>
          </w:p>
        </w:tc>
        <w:tc>
          <w:tcPr>
            <w:tcW w:w="736"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≤0.0010</w:t>
            </w:r>
          </w:p>
        </w:tc>
        <w:tc>
          <w:tcPr>
            <w:tcW w:w="1119"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742"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Fe</w:t>
            </w:r>
          </w:p>
        </w:tc>
        <w:tc>
          <w:tcPr>
            <w:tcW w:w="857"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≤0.0020</w:t>
            </w:r>
          </w:p>
        </w:tc>
        <w:tc>
          <w:tcPr>
            <w:tcW w:w="820"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≤0.0020</w:t>
            </w:r>
          </w:p>
        </w:tc>
        <w:tc>
          <w:tcPr>
            <w:tcW w:w="722"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≤0.0020</w:t>
            </w:r>
          </w:p>
        </w:tc>
        <w:tc>
          <w:tcPr>
            <w:tcW w:w="736"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≤0.0020</w:t>
            </w:r>
          </w:p>
        </w:tc>
        <w:tc>
          <w:tcPr>
            <w:tcW w:w="1119"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742"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Ni</w:t>
            </w:r>
          </w:p>
        </w:tc>
        <w:tc>
          <w:tcPr>
            <w:tcW w:w="857"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≤0.0010</w:t>
            </w:r>
          </w:p>
        </w:tc>
        <w:tc>
          <w:tcPr>
            <w:tcW w:w="820"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≤0.0010</w:t>
            </w:r>
          </w:p>
        </w:tc>
        <w:tc>
          <w:tcPr>
            <w:tcW w:w="722"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≤0.0010</w:t>
            </w:r>
          </w:p>
        </w:tc>
        <w:tc>
          <w:tcPr>
            <w:tcW w:w="736"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≤0.0010</w:t>
            </w:r>
          </w:p>
        </w:tc>
        <w:tc>
          <w:tcPr>
            <w:tcW w:w="1119"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742"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Si</w:t>
            </w:r>
          </w:p>
        </w:tc>
        <w:tc>
          <w:tcPr>
            <w:tcW w:w="857" w:type="pct"/>
            <w:tcBorders>
              <w:tl2br w:val="nil"/>
              <w:tr2bl w:val="nil"/>
            </w:tcBorders>
          </w:tcPr>
          <w:p>
            <w:pPr>
              <w:jc w:val="center"/>
              <w:rPr>
                <w:rFonts w:ascii="宋体" w:hAnsi="宋体" w:cs="宋体"/>
                <w:sz w:val="18"/>
                <w:szCs w:val="18"/>
              </w:rPr>
            </w:pPr>
            <w:r>
              <w:rPr>
                <w:rFonts w:hint="eastAsia" w:ascii="宋体" w:hAnsi="宋体" w:cs="宋体"/>
                <w:sz w:val="18"/>
                <w:szCs w:val="18"/>
              </w:rPr>
              <w:t>≤0.0020</w:t>
            </w:r>
          </w:p>
        </w:tc>
        <w:tc>
          <w:tcPr>
            <w:tcW w:w="820" w:type="pct"/>
            <w:tcBorders>
              <w:tl2br w:val="nil"/>
              <w:tr2bl w:val="nil"/>
            </w:tcBorders>
          </w:tcPr>
          <w:p>
            <w:pPr>
              <w:jc w:val="center"/>
              <w:rPr>
                <w:rFonts w:ascii="宋体" w:hAnsi="宋体" w:cs="宋体"/>
                <w:sz w:val="18"/>
                <w:szCs w:val="18"/>
              </w:rPr>
            </w:pPr>
            <w:r>
              <w:rPr>
                <w:rFonts w:hint="eastAsia" w:ascii="宋体" w:hAnsi="宋体" w:cs="宋体"/>
                <w:sz w:val="18"/>
                <w:szCs w:val="18"/>
              </w:rPr>
              <w:t>≤0.0020</w:t>
            </w:r>
          </w:p>
        </w:tc>
        <w:tc>
          <w:tcPr>
            <w:tcW w:w="722" w:type="pct"/>
            <w:tcBorders>
              <w:tl2br w:val="nil"/>
              <w:tr2bl w:val="nil"/>
            </w:tcBorders>
          </w:tcPr>
          <w:p>
            <w:pPr>
              <w:jc w:val="center"/>
              <w:rPr>
                <w:rFonts w:ascii="宋体" w:hAnsi="宋体" w:cs="宋体"/>
                <w:sz w:val="18"/>
                <w:szCs w:val="18"/>
              </w:rPr>
            </w:pPr>
            <w:r>
              <w:rPr>
                <w:rFonts w:hint="eastAsia" w:ascii="宋体" w:hAnsi="宋体" w:cs="宋体"/>
                <w:sz w:val="18"/>
                <w:szCs w:val="18"/>
              </w:rPr>
              <w:t>≤0.0020</w:t>
            </w:r>
          </w:p>
        </w:tc>
        <w:tc>
          <w:tcPr>
            <w:tcW w:w="736" w:type="pct"/>
            <w:tcBorders>
              <w:tl2br w:val="nil"/>
              <w:tr2bl w:val="nil"/>
            </w:tcBorders>
          </w:tcPr>
          <w:p>
            <w:pPr>
              <w:jc w:val="center"/>
              <w:rPr>
                <w:rFonts w:ascii="宋体" w:hAnsi="宋体" w:cs="宋体"/>
                <w:sz w:val="18"/>
                <w:szCs w:val="18"/>
              </w:rPr>
            </w:pPr>
            <w:r>
              <w:rPr>
                <w:rFonts w:hint="eastAsia" w:ascii="宋体" w:hAnsi="宋体" w:cs="宋体"/>
                <w:sz w:val="18"/>
                <w:szCs w:val="18"/>
              </w:rPr>
              <w:t>≤0.0020</w:t>
            </w:r>
          </w:p>
        </w:tc>
        <w:tc>
          <w:tcPr>
            <w:tcW w:w="1119" w:type="pct"/>
            <w:tcBorders>
              <w:tl2br w:val="nil"/>
              <w:tr2bl w:val="nil"/>
            </w:tcBorders>
          </w:tcPr>
          <w:p>
            <w:pPr>
              <w:jc w:val="center"/>
              <w:rPr>
                <w:rFonts w:ascii="宋体" w:hAnsi="宋体" w:cs="宋体"/>
                <w:sz w:val="18"/>
                <w:szCs w:val="18"/>
              </w:rPr>
            </w:pPr>
            <w:r>
              <w:rPr>
                <w:rFonts w:hint="eastAsia" w:ascii="宋体" w:hAnsi="宋体" w:cs="宋体"/>
                <w:sz w:val="18"/>
                <w:szCs w:val="18"/>
              </w:rPr>
              <w:t>≤0.0020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742"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Al</w:t>
            </w:r>
          </w:p>
        </w:tc>
        <w:tc>
          <w:tcPr>
            <w:tcW w:w="857" w:type="pct"/>
            <w:tcBorders>
              <w:tl2br w:val="nil"/>
              <w:tr2bl w:val="nil"/>
            </w:tcBorders>
          </w:tcPr>
          <w:p>
            <w:pPr>
              <w:jc w:val="center"/>
              <w:rPr>
                <w:rFonts w:ascii="宋体" w:hAnsi="宋体" w:cs="宋体"/>
                <w:sz w:val="18"/>
                <w:szCs w:val="18"/>
              </w:rPr>
            </w:pPr>
            <w:r>
              <w:rPr>
                <w:rFonts w:hint="eastAsia" w:ascii="宋体" w:hAnsi="宋体" w:cs="宋体"/>
                <w:sz w:val="18"/>
                <w:szCs w:val="18"/>
              </w:rPr>
              <w:t>≤0.0020</w:t>
            </w:r>
          </w:p>
        </w:tc>
        <w:tc>
          <w:tcPr>
            <w:tcW w:w="820" w:type="pct"/>
            <w:tcBorders>
              <w:tl2br w:val="nil"/>
              <w:tr2bl w:val="nil"/>
            </w:tcBorders>
          </w:tcPr>
          <w:p>
            <w:pPr>
              <w:jc w:val="center"/>
              <w:rPr>
                <w:rFonts w:ascii="宋体" w:hAnsi="宋体" w:cs="宋体"/>
                <w:sz w:val="18"/>
                <w:szCs w:val="18"/>
              </w:rPr>
            </w:pPr>
            <w:r>
              <w:rPr>
                <w:rFonts w:hint="eastAsia" w:ascii="宋体" w:hAnsi="宋体" w:cs="宋体"/>
                <w:sz w:val="18"/>
                <w:szCs w:val="18"/>
              </w:rPr>
              <w:t>≤0.0020</w:t>
            </w:r>
          </w:p>
        </w:tc>
        <w:tc>
          <w:tcPr>
            <w:tcW w:w="722" w:type="pct"/>
            <w:tcBorders>
              <w:tl2br w:val="nil"/>
              <w:tr2bl w:val="nil"/>
            </w:tcBorders>
          </w:tcPr>
          <w:p>
            <w:pPr>
              <w:jc w:val="center"/>
              <w:rPr>
                <w:rFonts w:ascii="宋体" w:hAnsi="宋体" w:cs="宋体"/>
                <w:sz w:val="18"/>
                <w:szCs w:val="18"/>
              </w:rPr>
            </w:pPr>
            <w:r>
              <w:rPr>
                <w:rFonts w:hint="eastAsia" w:ascii="宋体" w:hAnsi="宋体" w:cs="宋体"/>
                <w:sz w:val="18"/>
                <w:szCs w:val="18"/>
              </w:rPr>
              <w:t>≤0.0020</w:t>
            </w:r>
          </w:p>
        </w:tc>
        <w:tc>
          <w:tcPr>
            <w:tcW w:w="736" w:type="pct"/>
            <w:tcBorders>
              <w:tl2br w:val="nil"/>
              <w:tr2bl w:val="nil"/>
            </w:tcBorders>
          </w:tcPr>
          <w:p>
            <w:pPr>
              <w:jc w:val="center"/>
              <w:rPr>
                <w:rFonts w:ascii="宋体" w:hAnsi="宋体" w:cs="宋体"/>
                <w:sz w:val="18"/>
                <w:szCs w:val="18"/>
              </w:rPr>
            </w:pPr>
            <w:r>
              <w:rPr>
                <w:rFonts w:hint="eastAsia" w:ascii="宋体" w:hAnsi="宋体" w:cs="宋体"/>
                <w:sz w:val="18"/>
                <w:szCs w:val="18"/>
              </w:rPr>
              <w:t>≤0.0020</w:t>
            </w:r>
          </w:p>
        </w:tc>
        <w:tc>
          <w:tcPr>
            <w:tcW w:w="1119" w:type="pct"/>
            <w:tcBorders>
              <w:tl2br w:val="nil"/>
              <w:tr2bl w:val="nil"/>
            </w:tcBorders>
          </w:tcPr>
          <w:p>
            <w:pPr>
              <w:jc w:val="center"/>
              <w:rPr>
                <w:rFonts w:ascii="宋体" w:hAnsi="宋体" w:cs="宋体"/>
                <w:sz w:val="18"/>
                <w:szCs w:val="18"/>
              </w:rPr>
            </w:pPr>
            <w:r>
              <w:rPr>
                <w:rFonts w:hint="eastAsia" w:ascii="宋体" w:hAnsi="宋体" w:cs="宋体"/>
                <w:sz w:val="18"/>
                <w:szCs w:val="18"/>
              </w:rPr>
              <w:t>≤0.0020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742"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Cu/Mn</w:t>
            </w:r>
          </w:p>
        </w:tc>
        <w:tc>
          <w:tcPr>
            <w:tcW w:w="857" w:type="pct"/>
            <w:tcBorders>
              <w:tl2br w:val="nil"/>
              <w:tr2bl w:val="nil"/>
            </w:tcBorders>
          </w:tcPr>
          <w:p>
            <w:pPr>
              <w:jc w:val="center"/>
              <w:rPr>
                <w:rFonts w:ascii="宋体" w:hAnsi="宋体" w:cs="宋体"/>
                <w:sz w:val="18"/>
                <w:szCs w:val="18"/>
              </w:rPr>
            </w:pPr>
            <w:r>
              <w:rPr>
                <w:rFonts w:hint="eastAsia" w:ascii="宋体" w:hAnsi="宋体" w:cs="宋体"/>
                <w:sz w:val="18"/>
                <w:szCs w:val="18"/>
              </w:rPr>
              <w:t>≤0.0005</w:t>
            </w:r>
          </w:p>
        </w:tc>
        <w:tc>
          <w:tcPr>
            <w:tcW w:w="820" w:type="pct"/>
            <w:tcBorders>
              <w:tl2br w:val="nil"/>
              <w:tr2bl w:val="nil"/>
            </w:tcBorders>
          </w:tcPr>
          <w:p>
            <w:pPr>
              <w:jc w:val="center"/>
              <w:rPr>
                <w:rFonts w:ascii="宋体" w:hAnsi="宋体" w:cs="宋体"/>
                <w:sz w:val="18"/>
                <w:szCs w:val="18"/>
              </w:rPr>
            </w:pPr>
            <w:r>
              <w:rPr>
                <w:rFonts w:hint="eastAsia" w:ascii="宋体" w:hAnsi="宋体" w:cs="宋体"/>
                <w:sz w:val="18"/>
                <w:szCs w:val="18"/>
              </w:rPr>
              <w:t>≤0.0005</w:t>
            </w:r>
          </w:p>
        </w:tc>
        <w:tc>
          <w:tcPr>
            <w:tcW w:w="722" w:type="pct"/>
            <w:tcBorders>
              <w:tl2br w:val="nil"/>
              <w:tr2bl w:val="nil"/>
            </w:tcBorders>
          </w:tcPr>
          <w:p>
            <w:pPr>
              <w:jc w:val="center"/>
              <w:rPr>
                <w:rFonts w:ascii="宋体" w:hAnsi="宋体" w:cs="宋体"/>
                <w:sz w:val="18"/>
                <w:szCs w:val="18"/>
              </w:rPr>
            </w:pPr>
            <w:r>
              <w:rPr>
                <w:rFonts w:hint="eastAsia" w:ascii="宋体" w:hAnsi="宋体" w:cs="宋体"/>
                <w:sz w:val="18"/>
                <w:szCs w:val="18"/>
              </w:rPr>
              <w:t>≤0.0005</w:t>
            </w:r>
          </w:p>
        </w:tc>
        <w:tc>
          <w:tcPr>
            <w:tcW w:w="736" w:type="pct"/>
            <w:tcBorders>
              <w:tl2br w:val="nil"/>
              <w:tr2bl w:val="nil"/>
            </w:tcBorders>
          </w:tcPr>
          <w:p>
            <w:pPr>
              <w:jc w:val="center"/>
              <w:rPr>
                <w:rFonts w:ascii="宋体" w:hAnsi="宋体" w:cs="宋体"/>
                <w:sz w:val="18"/>
                <w:szCs w:val="18"/>
              </w:rPr>
            </w:pPr>
            <w:r>
              <w:rPr>
                <w:rFonts w:hint="eastAsia" w:ascii="宋体" w:hAnsi="宋体" w:cs="宋体"/>
                <w:sz w:val="18"/>
                <w:szCs w:val="18"/>
              </w:rPr>
              <w:t>≤0.0005</w:t>
            </w:r>
          </w:p>
        </w:tc>
        <w:tc>
          <w:tcPr>
            <w:tcW w:w="1119" w:type="pct"/>
            <w:tcBorders>
              <w:tl2br w:val="nil"/>
              <w:tr2bl w:val="nil"/>
            </w:tcBorders>
          </w:tcPr>
          <w:p>
            <w:pPr>
              <w:jc w:val="center"/>
              <w:rPr>
                <w:rFonts w:ascii="宋体" w:hAnsi="宋体" w:cs="宋体"/>
                <w:sz w:val="18"/>
                <w:szCs w:val="18"/>
              </w:rPr>
            </w:pPr>
            <w:r>
              <w:rPr>
                <w:rFonts w:hint="eastAsia" w:ascii="宋体" w:hAnsi="宋体" w:cs="宋体"/>
                <w:sz w:val="18"/>
                <w:szCs w:val="18"/>
              </w:rPr>
              <w:t>≤0.0005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742"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Ca</w:t>
            </w:r>
          </w:p>
        </w:tc>
        <w:tc>
          <w:tcPr>
            <w:tcW w:w="857"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≤0.0010</w:t>
            </w:r>
          </w:p>
        </w:tc>
        <w:tc>
          <w:tcPr>
            <w:tcW w:w="820"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≤0.0010</w:t>
            </w:r>
          </w:p>
        </w:tc>
        <w:tc>
          <w:tcPr>
            <w:tcW w:w="722"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≤0.0010</w:t>
            </w:r>
          </w:p>
        </w:tc>
        <w:tc>
          <w:tcPr>
            <w:tcW w:w="736"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≤0.0010</w:t>
            </w:r>
          </w:p>
        </w:tc>
        <w:tc>
          <w:tcPr>
            <w:tcW w:w="1119"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742"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Mg</w:t>
            </w:r>
          </w:p>
        </w:tc>
        <w:tc>
          <w:tcPr>
            <w:tcW w:w="857"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≤0.0005</w:t>
            </w:r>
          </w:p>
        </w:tc>
        <w:tc>
          <w:tcPr>
            <w:tcW w:w="820"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≤0.0005</w:t>
            </w:r>
          </w:p>
        </w:tc>
        <w:tc>
          <w:tcPr>
            <w:tcW w:w="722"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≤0.0005</w:t>
            </w:r>
          </w:p>
        </w:tc>
        <w:tc>
          <w:tcPr>
            <w:tcW w:w="736"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≤0.0005</w:t>
            </w:r>
          </w:p>
        </w:tc>
        <w:tc>
          <w:tcPr>
            <w:tcW w:w="1119"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742"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Cr</w:t>
            </w:r>
          </w:p>
        </w:tc>
        <w:tc>
          <w:tcPr>
            <w:tcW w:w="857"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≤0.0010</w:t>
            </w:r>
          </w:p>
        </w:tc>
        <w:tc>
          <w:tcPr>
            <w:tcW w:w="820"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≤0.0010</w:t>
            </w:r>
          </w:p>
        </w:tc>
        <w:tc>
          <w:tcPr>
            <w:tcW w:w="722"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≤0.0010</w:t>
            </w:r>
          </w:p>
        </w:tc>
        <w:tc>
          <w:tcPr>
            <w:tcW w:w="736"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≤0.0010</w:t>
            </w:r>
          </w:p>
        </w:tc>
        <w:tc>
          <w:tcPr>
            <w:tcW w:w="1119"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≤0.0010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742"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Co/Zn</w:t>
            </w:r>
          </w:p>
        </w:tc>
        <w:tc>
          <w:tcPr>
            <w:tcW w:w="857" w:type="pct"/>
            <w:tcBorders>
              <w:tl2br w:val="nil"/>
              <w:tr2bl w:val="nil"/>
            </w:tcBorders>
          </w:tcPr>
          <w:p>
            <w:pPr>
              <w:jc w:val="center"/>
              <w:rPr>
                <w:rFonts w:ascii="宋体" w:hAnsi="宋体" w:cs="宋体"/>
                <w:sz w:val="18"/>
                <w:szCs w:val="18"/>
              </w:rPr>
            </w:pPr>
            <w:r>
              <w:rPr>
                <w:rFonts w:hint="eastAsia" w:ascii="宋体" w:hAnsi="宋体" w:cs="宋体"/>
                <w:sz w:val="18"/>
                <w:szCs w:val="18"/>
              </w:rPr>
              <w:t>≤0.0010</w:t>
            </w:r>
          </w:p>
        </w:tc>
        <w:tc>
          <w:tcPr>
            <w:tcW w:w="820" w:type="pct"/>
            <w:tcBorders>
              <w:tl2br w:val="nil"/>
              <w:tr2bl w:val="nil"/>
            </w:tcBorders>
          </w:tcPr>
          <w:p>
            <w:pPr>
              <w:jc w:val="center"/>
              <w:rPr>
                <w:rFonts w:ascii="宋体" w:hAnsi="宋体" w:cs="宋体"/>
                <w:sz w:val="18"/>
                <w:szCs w:val="18"/>
              </w:rPr>
            </w:pPr>
            <w:r>
              <w:rPr>
                <w:rFonts w:hint="eastAsia" w:ascii="宋体" w:hAnsi="宋体" w:cs="宋体"/>
                <w:sz w:val="18"/>
                <w:szCs w:val="18"/>
              </w:rPr>
              <w:t>≤0.0010</w:t>
            </w:r>
          </w:p>
        </w:tc>
        <w:tc>
          <w:tcPr>
            <w:tcW w:w="722" w:type="pct"/>
            <w:tcBorders>
              <w:tl2br w:val="nil"/>
              <w:tr2bl w:val="nil"/>
            </w:tcBorders>
          </w:tcPr>
          <w:p>
            <w:pPr>
              <w:jc w:val="center"/>
              <w:rPr>
                <w:rFonts w:ascii="宋体" w:hAnsi="宋体" w:cs="宋体"/>
                <w:sz w:val="18"/>
                <w:szCs w:val="18"/>
              </w:rPr>
            </w:pPr>
            <w:r>
              <w:rPr>
                <w:rFonts w:hint="eastAsia" w:ascii="宋体" w:hAnsi="宋体" w:cs="宋体"/>
                <w:sz w:val="18"/>
                <w:szCs w:val="18"/>
              </w:rPr>
              <w:t>≤0.0010</w:t>
            </w:r>
          </w:p>
        </w:tc>
        <w:tc>
          <w:tcPr>
            <w:tcW w:w="736" w:type="pct"/>
            <w:tcBorders>
              <w:tl2br w:val="nil"/>
              <w:tr2bl w:val="nil"/>
            </w:tcBorders>
          </w:tcPr>
          <w:p>
            <w:pPr>
              <w:jc w:val="center"/>
              <w:rPr>
                <w:rFonts w:ascii="宋体" w:hAnsi="宋体" w:cs="宋体"/>
                <w:sz w:val="18"/>
                <w:szCs w:val="18"/>
              </w:rPr>
            </w:pPr>
            <w:r>
              <w:rPr>
                <w:rFonts w:hint="eastAsia" w:ascii="宋体" w:hAnsi="宋体" w:cs="宋体"/>
                <w:sz w:val="18"/>
                <w:szCs w:val="18"/>
              </w:rPr>
              <w:t>≤0.0010</w:t>
            </w:r>
          </w:p>
        </w:tc>
        <w:tc>
          <w:tcPr>
            <w:tcW w:w="1119" w:type="pct"/>
            <w:tcBorders>
              <w:tl2br w:val="nil"/>
              <w:tr2bl w:val="nil"/>
            </w:tcBorders>
          </w:tcPr>
          <w:p>
            <w:pPr>
              <w:jc w:val="center"/>
              <w:rPr>
                <w:rFonts w:ascii="宋体" w:hAnsi="宋体" w:cs="宋体"/>
                <w:sz w:val="18"/>
                <w:szCs w:val="18"/>
              </w:rPr>
            </w:pPr>
            <w:r>
              <w:rPr>
                <w:rFonts w:hint="eastAsia" w:ascii="宋体" w:hAnsi="宋体" w:cs="宋体"/>
                <w:sz w:val="18"/>
                <w:szCs w:val="18"/>
              </w:rPr>
              <w:t>≤0.0010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742"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W</w:t>
            </w:r>
          </w:p>
        </w:tc>
        <w:tc>
          <w:tcPr>
            <w:tcW w:w="857"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w:t>
            </w:r>
          </w:p>
        </w:tc>
        <w:tc>
          <w:tcPr>
            <w:tcW w:w="820" w:type="pct"/>
            <w:tcBorders>
              <w:tl2br w:val="nil"/>
              <w:tr2bl w:val="nil"/>
            </w:tcBorders>
            <w:vAlign w:val="center"/>
          </w:tcPr>
          <w:p>
            <w:pPr>
              <w:jc w:val="center"/>
              <w:rPr>
                <w:rFonts w:ascii="宋体" w:hAnsi="宋体" w:cs="宋体"/>
                <w:sz w:val="18"/>
                <w:szCs w:val="18"/>
              </w:rPr>
            </w:pPr>
            <w:r>
              <w:rPr>
                <w:rFonts w:hint="eastAsia" w:ascii="宋体" w:hAnsi="宋体" w:cs="宋体"/>
                <w:color w:val="000000" w:themeColor="text1"/>
                <w:sz w:val="18"/>
                <w:szCs w:val="18"/>
              </w:rPr>
              <w:t>3～</w:t>
            </w:r>
            <w:r>
              <w:rPr>
                <w:rFonts w:hint="eastAsia" w:ascii="宋体" w:hAnsi="宋体" w:cs="宋体"/>
                <w:sz w:val="18"/>
                <w:szCs w:val="18"/>
              </w:rPr>
              <w:t>50</w:t>
            </w:r>
          </w:p>
        </w:tc>
        <w:tc>
          <w:tcPr>
            <w:tcW w:w="722"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w:t>
            </w:r>
          </w:p>
        </w:tc>
        <w:tc>
          <w:tcPr>
            <w:tcW w:w="736"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w:t>
            </w:r>
          </w:p>
        </w:tc>
        <w:tc>
          <w:tcPr>
            <w:tcW w:w="1119"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742"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Ta</w:t>
            </w:r>
          </w:p>
        </w:tc>
        <w:tc>
          <w:tcPr>
            <w:tcW w:w="857"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w:t>
            </w:r>
          </w:p>
        </w:tc>
        <w:tc>
          <w:tcPr>
            <w:tcW w:w="820"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w:t>
            </w:r>
          </w:p>
        </w:tc>
        <w:tc>
          <w:tcPr>
            <w:tcW w:w="722"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5</w:t>
            </w:r>
            <w:r>
              <w:rPr>
                <w:rFonts w:hint="eastAsia" w:ascii="宋体" w:hAnsi="宋体" w:cs="宋体"/>
                <w:color w:val="000000" w:themeColor="text1"/>
                <w:sz w:val="18"/>
                <w:szCs w:val="18"/>
              </w:rPr>
              <w:t>～20</w:t>
            </w:r>
          </w:p>
        </w:tc>
        <w:tc>
          <w:tcPr>
            <w:tcW w:w="736"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w:t>
            </w:r>
          </w:p>
        </w:tc>
        <w:tc>
          <w:tcPr>
            <w:tcW w:w="1119"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742"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Na</w:t>
            </w:r>
          </w:p>
        </w:tc>
        <w:tc>
          <w:tcPr>
            <w:tcW w:w="857"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w:t>
            </w:r>
          </w:p>
        </w:tc>
        <w:tc>
          <w:tcPr>
            <w:tcW w:w="820"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w:t>
            </w:r>
          </w:p>
        </w:tc>
        <w:tc>
          <w:tcPr>
            <w:tcW w:w="722"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w:t>
            </w:r>
          </w:p>
        </w:tc>
        <w:tc>
          <w:tcPr>
            <w:tcW w:w="736"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1</w:t>
            </w:r>
            <w:r>
              <w:rPr>
                <w:rFonts w:hint="eastAsia" w:ascii="宋体" w:hAnsi="宋体" w:cs="宋体"/>
                <w:color w:val="000000" w:themeColor="text1"/>
                <w:sz w:val="18"/>
                <w:szCs w:val="18"/>
              </w:rPr>
              <w:t>～5</w:t>
            </w:r>
          </w:p>
        </w:tc>
        <w:tc>
          <w:tcPr>
            <w:tcW w:w="1119"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742"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Nb</w:t>
            </w:r>
          </w:p>
        </w:tc>
        <w:tc>
          <w:tcPr>
            <w:tcW w:w="857"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w:t>
            </w:r>
          </w:p>
        </w:tc>
        <w:tc>
          <w:tcPr>
            <w:tcW w:w="820"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w:t>
            </w:r>
          </w:p>
        </w:tc>
        <w:tc>
          <w:tcPr>
            <w:tcW w:w="722"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w:t>
            </w:r>
          </w:p>
        </w:tc>
        <w:tc>
          <w:tcPr>
            <w:tcW w:w="736"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w:t>
            </w:r>
          </w:p>
        </w:tc>
        <w:tc>
          <w:tcPr>
            <w:tcW w:w="1119"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5</w:t>
            </w:r>
            <w:r>
              <w:rPr>
                <w:rFonts w:hint="eastAsia" w:ascii="宋体" w:hAnsi="宋体" w:cs="宋体"/>
                <w:color w:val="000000" w:themeColor="text1"/>
                <w:sz w:val="18"/>
                <w:szCs w:val="18"/>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742"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Mo</w:t>
            </w:r>
          </w:p>
        </w:tc>
        <w:tc>
          <w:tcPr>
            <w:tcW w:w="857"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余量</w:t>
            </w:r>
          </w:p>
        </w:tc>
        <w:tc>
          <w:tcPr>
            <w:tcW w:w="820"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余量</w:t>
            </w:r>
          </w:p>
        </w:tc>
        <w:tc>
          <w:tcPr>
            <w:tcW w:w="722"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余量</w:t>
            </w:r>
          </w:p>
        </w:tc>
        <w:tc>
          <w:tcPr>
            <w:tcW w:w="736"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余量</w:t>
            </w:r>
          </w:p>
        </w:tc>
        <w:tc>
          <w:tcPr>
            <w:tcW w:w="1119" w:type="pc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余量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5000" w:type="pct"/>
            <w:gridSpan w:val="6"/>
            <w:tcBorders>
              <w:tl2br w:val="nil"/>
              <w:tr2bl w:val="nil"/>
            </w:tcBorders>
            <w:vAlign w:val="center"/>
          </w:tcPr>
          <w:p>
            <w:pPr>
              <w:rPr>
                <w:rFonts w:ascii="宋体" w:hAnsi="宋体" w:cs="宋体"/>
                <w:sz w:val="18"/>
                <w:szCs w:val="18"/>
              </w:rPr>
            </w:pPr>
            <w:r>
              <w:rPr>
                <w:rFonts w:hint="eastAsia" w:ascii="宋体" w:hAnsi="宋体" w:cs="宋体"/>
                <w:sz w:val="18"/>
                <w:szCs w:val="18"/>
              </w:rPr>
              <w:t>注：</w:t>
            </w:r>
            <w:r>
              <w:rPr>
                <w:rFonts w:hint="eastAsia" w:ascii="宋体" w:hAnsi="宋体" w:cs="宋体"/>
                <w:color w:val="000000"/>
                <w:sz w:val="18"/>
                <w:szCs w:val="18"/>
              </w:rPr>
              <w:t>其它元素含量由供需双方协商确定</w:t>
            </w:r>
          </w:p>
        </w:tc>
      </w:tr>
    </w:tbl>
    <w:p>
      <w:pPr>
        <w:pStyle w:val="11"/>
        <w:numPr>
          <w:ilvl w:val="0"/>
          <w:numId w:val="0"/>
        </w:numPr>
        <w:spacing w:beforeLines="0" w:afterLines="0" w:line="480" w:lineRule="exact"/>
        <w:rPr>
          <w:rFonts w:ascii="Times New Roman" w:eastAsia="宋体"/>
          <w:b/>
          <w:bCs/>
          <w:color w:val="000000"/>
          <w:szCs w:val="21"/>
        </w:rPr>
      </w:pPr>
    </w:p>
    <w:p>
      <w:pPr>
        <w:pStyle w:val="11"/>
        <w:numPr>
          <w:ilvl w:val="0"/>
          <w:numId w:val="0"/>
        </w:numPr>
        <w:spacing w:beforeLines="0" w:afterLines="0" w:line="480" w:lineRule="exact"/>
        <w:rPr>
          <w:rFonts w:ascii="Times New Roman" w:eastAsia="宋体"/>
          <w:b/>
          <w:bCs/>
          <w:color w:val="000000"/>
          <w:szCs w:val="21"/>
        </w:rPr>
      </w:pPr>
      <w:r>
        <w:rPr>
          <w:rFonts w:ascii="Times New Roman" w:eastAsia="宋体"/>
          <w:b/>
          <w:bCs/>
          <w:color w:val="000000"/>
          <w:szCs w:val="21"/>
        </w:rPr>
        <w:t>1.2产品规格</w:t>
      </w:r>
    </w:p>
    <w:p>
      <w:pPr>
        <w:pStyle w:val="11"/>
        <w:numPr>
          <w:ilvl w:val="0"/>
          <w:numId w:val="0"/>
        </w:numPr>
        <w:spacing w:beforeLines="0" w:afterLines="0"/>
        <w:ind w:firstLine="420" w:firstLineChars="200"/>
        <w:outlineLvl w:val="9"/>
        <w:rPr>
          <w:rFonts w:ascii="宋体" w:hAnsi="宋体" w:eastAsia="宋体" w:cs="宋体"/>
          <w:color w:val="000000"/>
          <w:szCs w:val="21"/>
        </w:rPr>
      </w:pPr>
      <w:r>
        <w:rPr>
          <w:rFonts w:hint="eastAsia" w:ascii="宋体" w:hAnsi="宋体" w:eastAsia="宋体" w:cs="宋体"/>
          <w:color w:val="000000"/>
          <w:szCs w:val="21"/>
        </w:rPr>
        <w:t>依据国内外</w:t>
      </w:r>
      <w:r>
        <w:rPr>
          <w:rFonts w:ascii="宋体" w:hAnsi="宋体" w:eastAsia="宋体" w:cs="宋体"/>
          <w:color w:val="000000"/>
          <w:szCs w:val="21"/>
        </w:rPr>
        <w:t>钼及钼合金靶材的应用领域</w:t>
      </w:r>
      <w:r>
        <w:rPr>
          <w:rFonts w:hint="eastAsia" w:ascii="宋体" w:hAnsi="宋体" w:eastAsia="宋体" w:cs="宋体"/>
          <w:color w:val="000000"/>
          <w:szCs w:val="21"/>
        </w:rPr>
        <w:t>及工装</w:t>
      </w:r>
      <w:r>
        <w:rPr>
          <w:rFonts w:ascii="宋体" w:hAnsi="宋体" w:eastAsia="宋体" w:cs="宋体"/>
          <w:color w:val="000000"/>
          <w:szCs w:val="21"/>
        </w:rPr>
        <w:t>现状，目前采用挤压或锻造的钼管</w:t>
      </w:r>
      <w:r>
        <w:rPr>
          <w:rFonts w:hint="eastAsia" w:ascii="宋体" w:hAnsi="宋体" w:eastAsia="宋体" w:cs="宋体"/>
          <w:color w:val="000000"/>
          <w:szCs w:val="21"/>
        </w:rPr>
        <w:t>外径尺寸最小</w:t>
      </w:r>
      <w:r>
        <w:rPr>
          <w:rFonts w:ascii="宋体" w:hAnsi="宋体" w:eastAsia="宋体" w:cs="宋体"/>
          <w:color w:val="000000"/>
          <w:szCs w:val="21"/>
        </w:rPr>
        <w:t>为</w:t>
      </w:r>
      <w:r>
        <w:rPr>
          <w:rFonts w:hint="eastAsia" w:ascii="宋体" w:hAnsi="宋体" w:eastAsia="宋体" w:cs="宋体"/>
          <w:color w:val="000000"/>
          <w:szCs w:val="21"/>
        </w:rPr>
        <w:t>80</w:t>
      </w:r>
      <w:r>
        <w:rPr>
          <w:rFonts w:ascii="宋体" w:hAnsi="宋体" w:eastAsia="宋体" w:cs="宋体"/>
          <w:color w:val="000000"/>
          <w:szCs w:val="21"/>
        </w:rPr>
        <w:t>mm，</w:t>
      </w:r>
      <w:r>
        <w:rPr>
          <w:rFonts w:hint="eastAsia" w:ascii="宋体" w:hAnsi="宋体" w:eastAsia="宋体" w:cs="宋体"/>
          <w:color w:val="000000"/>
          <w:szCs w:val="21"/>
        </w:rPr>
        <w:t>最大在200</w:t>
      </w:r>
      <w:r>
        <w:rPr>
          <w:rFonts w:ascii="宋体" w:hAnsi="宋体" w:eastAsia="宋体" w:cs="宋体"/>
          <w:color w:val="000000"/>
          <w:szCs w:val="21"/>
        </w:rPr>
        <w:t>mm</w:t>
      </w:r>
      <w:r>
        <w:rPr>
          <w:rFonts w:hint="eastAsia" w:ascii="宋体" w:hAnsi="宋体" w:eastAsia="宋体" w:cs="宋体"/>
          <w:color w:val="000000"/>
          <w:szCs w:val="21"/>
        </w:rPr>
        <w:t>，</w:t>
      </w:r>
      <w:r>
        <w:rPr>
          <w:rFonts w:ascii="宋体" w:hAnsi="宋体" w:eastAsia="宋体" w:cs="宋体"/>
          <w:color w:val="000000"/>
          <w:szCs w:val="21"/>
        </w:rPr>
        <w:t>长度从</w:t>
      </w:r>
      <w:r>
        <w:rPr>
          <w:rFonts w:hint="eastAsia" w:ascii="宋体" w:hAnsi="宋体" w:eastAsia="宋体" w:cs="宋体"/>
          <w:color w:val="000000"/>
          <w:szCs w:val="21"/>
        </w:rPr>
        <w:t>400</w:t>
      </w:r>
      <w:r>
        <w:rPr>
          <w:rFonts w:ascii="宋体" w:hAnsi="宋体" w:eastAsia="宋体" w:cs="宋体"/>
          <w:color w:val="000000"/>
          <w:szCs w:val="21"/>
        </w:rPr>
        <w:t>mm到</w:t>
      </w:r>
      <w:r>
        <w:rPr>
          <w:rFonts w:hint="eastAsia" w:ascii="宋体" w:hAnsi="宋体" w:eastAsia="宋体" w:cs="宋体"/>
          <w:color w:val="000000"/>
          <w:szCs w:val="21"/>
        </w:rPr>
        <w:t>4000</w:t>
      </w:r>
      <w:r>
        <w:rPr>
          <w:rFonts w:ascii="宋体" w:hAnsi="宋体" w:eastAsia="宋体" w:cs="宋体"/>
          <w:color w:val="000000"/>
          <w:szCs w:val="21"/>
        </w:rPr>
        <w:t>mm不等</w:t>
      </w:r>
      <w:r>
        <w:rPr>
          <w:rFonts w:hint="eastAsia" w:ascii="宋体" w:hAnsi="宋体" w:eastAsia="宋体" w:cs="宋体"/>
          <w:color w:val="000000"/>
          <w:szCs w:val="21"/>
        </w:rPr>
        <w:t>，</w:t>
      </w:r>
      <w:r>
        <w:rPr>
          <w:rFonts w:ascii="宋体" w:hAnsi="宋体" w:eastAsia="宋体" w:cs="宋体"/>
          <w:color w:val="000000"/>
          <w:szCs w:val="21"/>
        </w:rPr>
        <w:t>允许尺寸偏差根据不同规格有相应的要求。</w:t>
      </w:r>
      <w:r>
        <w:rPr>
          <w:rFonts w:hint="eastAsia" w:ascii="宋体" w:hAnsi="宋体" w:eastAsia="宋体" w:cs="宋体"/>
          <w:color w:val="000000"/>
          <w:szCs w:val="21"/>
        </w:rPr>
        <w:t>本标准为提高产品规格的通用性，根据客户已有需求，明确产品推荐的公称尺寸；依据产品规格和实际生产控制水平，明确其允许偏差。产品规格应符合表3。</w:t>
      </w:r>
    </w:p>
    <w:p>
      <w:pPr>
        <w:pStyle w:val="11"/>
        <w:numPr>
          <w:ilvl w:val="0"/>
          <w:numId w:val="0"/>
        </w:numPr>
        <w:spacing w:before="156" w:afterLines="0"/>
        <w:jc w:val="center"/>
        <w:outlineLvl w:val="9"/>
        <w:rPr>
          <w:rFonts w:hAnsi="黑体" w:cs="黑体"/>
          <w:sz w:val="18"/>
          <w:szCs w:val="18"/>
        </w:rPr>
      </w:pPr>
      <w:r>
        <w:rPr>
          <w:rFonts w:hint="eastAsia" w:hAnsi="黑体" w:cs="黑体"/>
          <w:sz w:val="18"/>
          <w:szCs w:val="18"/>
        </w:rPr>
        <w:t>表3</w:t>
      </w:r>
      <w:r>
        <w:rPr>
          <w:rFonts w:hAnsi="黑体" w:cs="黑体"/>
          <w:sz w:val="18"/>
          <w:szCs w:val="18"/>
        </w:rPr>
        <w:t xml:space="preserve"> </w:t>
      </w:r>
      <w:r>
        <w:rPr>
          <w:rFonts w:hint="eastAsia" w:hAnsi="黑体" w:cs="黑体"/>
          <w:sz w:val="18"/>
          <w:szCs w:val="18"/>
        </w:rPr>
        <w:t>钼及钼合金管靶尺寸规格</w:t>
      </w:r>
    </w:p>
    <w:tbl>
      <w:tblPr>
        <w:tblStyle w:val="5"/>
        <w:tblW w:w="525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82"/>
        <w:gridCol w:w="1300"/>
        <w:gridCol w:w="1560"/>
        <w:gridCol w:w="1200"/>
        <w:gridCol w:w="1203"/>
        <w:gridCol w:w="23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7" w:hRule="atLeast"/>
          <w:jc w:val="center"/>
        </w:trPr>
        <w:tc>
          <w:tcPr>
            <w:tcW w:w="2683" w:type="dxa"/>
            <w:gridSpan w:val="2"/>
            <w:vMerge w:val="restart"/>
            <w:tcBorders>
              <w:tl2br w:val="nil"/>
              <w:tr2bl w:val="nil"/>
            </w:tcBorders>
            <w:vAlign w:val="center"/>
          </w:tcPr>
          <w:p>
            <w:pPr>
              <w:jc w:val="center"/>
              <w:rPr>
                <w:sz w:val="18"/>
                <w:szCs w:val="18"/>
              </w:rPr>
            </w:pPr>
            <w:r>
              <w:rPr>
                <w:rFonts w:hint="eastAsia"/>
                <w:sz w:val="18"/>
                <w:szCs w:val="18"/>
              </w:rPr>
              <w:t>外径</w:t>
            </w:r>
          </w:p>
        </w:tc>
        <w:tc>
          <w:tcPr>
            <w:tcW w:w="3963" w:type="dxa"/>
            <w:gridSpan w:val="3"/>
            <w:tcBorders>
              <w:tl2br w:val="nil"/>
              <w:tr2bl w:val="nil"/>
            </w:tcBorders>
            <w:vAlign w:val="center"/>
          </w:tcPr>
          <w:p>
            <w:pPr>
              <w:jc w:val="center"/>
              <w:rPr>
                <w:sz w:val="18"/>
                <w:szCs w:val="18"/>
              </w:rPr>
            </w:pPr>
            <w:r>
              <w:rPr>
                <w:rFonts w:eastAsiaTheme="minorEastAsia"/>
                <w:color w:val="000000" w:themeColor="text1"/>
                <w:sz w:val="18"/>
                <w:szCs w:val="18"/>
              </w:rPr>
              <w:t>壁厚/mm</w:t>
            </w:r>
          </w:p>
        </w:tc>
        <w:tc>
          <w:tcPr>
            <w:tcW w:w="2312" w:type="dxa"/>
            <w:vMerge w:val="restart"/>
            <w:tcBorders>
              <w:tl2br w:val="nil"/>
              <w:tr2bl w:val="nil"/>
            </w:tcBorders>
            <w:vAlign w:val="center"/>
          </w:tcPr>
          <w:p>
            <w:pPr>
              <w:jc w:val="center"/>
              <w:rPr>
                <w:rFonts w:eastAsiaTheme="minorEastAsia"/>
                <w:color w:val="000000" w:themeColor="text1"/>
                <w:sz w:val="18"/>
                <w:szCs w:val="18"/>
              </w:rPr>
            </w:pPr>
            <w:r>
              <w:rPr>
                <w:rFonts w:eastAsiaTheme="minorEastAsia"/>
                <w:color w:val="000000" w:themeColor="text1"/>
                <w:sz w:val="18"/>
                <w:szCs w:val="18"/>
              </w:rPr>
              <w:t>长度/mm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2683" w:type="dxa"/>
            <w:gridSpan w:val="2"/>
            <w:vMerge w:val="continue"/>
            <w:tcBorders>
              <w:tl2br w:val="nil"/>
              <w:tr2bl w:val="nil"/>
            </w:tcBorders>
            <w:vAlign w:val="center"/>
          </w:tcPr>
          <w:p>
            <w:pPr>
              <w:jc w:val="center"/>
              <w:rPr>
                <w:sz w:val="18"/>
                <w:szCs w:val="18"/>
              </w:rPr>
            </w:pPr>
          </w:p>
        </w:tc>
        <w:tc>
          <w:tcPr>
            <w:tcW w:w="1560" w:type="dxa"/>
            <w:tcBorders>
              <w:tl2br w:val="nil"/>
              <w:tr2bl w:val="nil"/>
            </w:tcBorders>
            <w:vAlign w:val="center"/>
          </w:tcPr>
          <w:p>
            <w:pPr>
              <w:jc w:val="center"/>
              <w:rPr>
                <w:sz w:val="18"/>
                <w:szCs w:val="18"/>
              </w:rPr>
            </w:pPr>
            <w:r>
              <w:rPr>
                <w:rFonts w:eastAsiaTheme="minorEastAsia"/>
                <w:color w:val="000000" w:themeColor="text1"/>
                <w:sz w:val="18"/>
                <w:szCs w:val="18"/>
              </w:rPr>
              <w:t>6～10</w:t>
            </w:r>
          </w:p>
        </w:tc>
        <w:tc>
          <w:tcPr>
            <w:tcW w:w="1200" w:type="dxa"/>
            <w:tcBorders>
              <w:tl2br w:val="nil"/>
              <w:tr2bl w:val="nil"/>
            </w:tcBorders>
            <w:vAlign w:val="center"/>
          </w:tcPr>
          <w:p>
            <w:pPr>
              <w:jc w:val="center"/>
              <w:rPr>
                <w:sz w:val="18"/>
                <w:szCs w:val="18"/>
              </w:rPr>
            </w:pPr>
            <w:r>
              <w:rPr>
                <w:rFonts w:eastAsiaTheme="minorEastAsia"/>
                <w:color w:val="000000" w:themeColor="text1"/>
                <w:sz w:val="18"/>
                <w:szCs w:val="18"/>
              </w:rPr>
              <w:t>10～20</w:t>
            </w:r>
          </w:p>
        </w:tc>
        <w:tc>
          <w:tcPr>
            <w:tcW w:w="1203" w:type="dxa"/>
            <w:tcBorders>
              <w:tl2br w:val="nil"/>
              <w:tr2bl w:val="nil"/>
            </w:tcBorders>
            <w:vAlign w:val="center"/>
          </w:tcPr>
          <w:p>
            <w:pPr>
              <w:jc w:val="center"/>
              <w:rPr>
                <w:sz w:val="18"/>
                <w:szCs w:val="18"/>
              </w:rPr>
            </w:pPr>
            <w:r>
              <w:rPr>
                <w:rFonts w:eastAsiaTheme="minorEastAsia"/>
                <w:color w:val="000000" w:themeColor="text1"/>
                <w:sz w:val="18"/>
                <w:szCs w:val="18"/>
              </w:rPr>
              <w:t>〉20</w:t>
            </w:r>
          </w:p>
        </w:tc>
        <w:tc>
          <w:tcPr>
            <w:tcW w:w="2312" w:type="dxa"/>
            <w:vMerge w:val="continue"/>
            <w:tcBorders>
              <w:tl2br w:val="nil"/>
              <w:tr2bl w:val="nil"/>
            </w:tcBorders>
            <w:vAlign w:val="center"/>
          </w:tcPr>
          <w:p>
            <w:pPr>
              <w:jc w:val="center"/>
              <w:rPr>
                <w:rFonts w:eastAsiaTheme="minorEastAsia"/>
                <w:color w:val="000000" w:themeColor="text1"/>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1383" w:type="dxa"/>
            <w:tcBorders>
              <w:tl2br w:val="nil"/>
              <w:tr2bl w:val="nil"/>
            </w:tcBorders>
            <w:vAlign w:val="center"/>
          </w:tcPr>
          <w:p>
            <w:pPr>
              <w:jc w:val="center"/>
              <w:rPr>
                <w:sz w:val="18"/>
                <w:szCs w:val="18"/>
              </w:rPr>
            </w:pPr>
            <w:r>
              <w:rPr>
                <w:rFonts w:eastAsiaTheme="minorEastAsia"/>
                <w:sz w:val="18"/>
                <w:szCs w:val="18"/>
              </w:rPr>
              <w:t>尺寸/mm</w:t>
            </w:r>
          </w:p>
        </w:tc>
        <w:tc>
          <w:tcPr>
            <w:tcW w:w="1300" w:type="dxa"/>
            <w:tcBorders>
              <w:tl2br w:val="nil"/>
              <w:tr2bl w:val="nil"/>
            </w:tcBorders>
            <w:vAlign w:val="center"/>
          </w:tcPr>
          <w:p>
            <w:pPr>
              <w:jc w:val="center"/>
              <w:rPr>
                <w:sz w:val="18"/>
                <w:szCs w:val="18"/>
              </w:rPr>
            </w:pPr>
            <w:r>
              <w:rPr>
                <w:rFonts w:eastAsiaTheme="minorEastAsia"/>
                <w:sz w:val="18"/>
                <w:szCs w:val="18"/>
              </w:rPr>
              <w:t>允许偏差/mm</w:t>
            </w:r>
          </w:p>
        </w:tc>
        <w:tc>
          <w:tcPr>
            <w:tcW w:w="3963" w:type="dxa"/>
            <w:gridSpan w:val="3"/>
            <w:tcBorders>
              <w:tl2br w:val="nil"/>
              <w:tr2bl w:val="nil"/>
            </w:tcBorders>
            <w:vAlign w:val="center"/>
          </w:tcPr>
          <w:p>
            <w:pPr>
              <w:jc w:val="center"/>
              <w:rPr>
                <w:sz w:val="18"/>
                <w:szCs w:val="18"/>
              </w:rPr>
            </w:pPr>
            <w:r>
              <w:rPr>
                <w:rFonts w:eastAsiaTheme="minorEastAsia"/>
                <w:color w:val="000000" w:themeColor="text1"/>
                <w:sz w:val="18"/>
                <w:szCs w:val="18"/>
              </w:rPr>
              <w:t>内径允许偏差/mm</w:t>
            </w:r>
          </w:p>
        </w:tc>
        <w:tc>
          <w:tcPr>
            <w:tcW w:w="2312" w:type="dxa"/>
            <w:vMerge w:val="continue"/>
            <w:tcBorders>
              <w:tl2br w:val="nil"/>
              <w:tr2bl w:val="nil"/>
            </w:tcBorders>
            <w:vAlign w:val="center"/>
          </w:tcPr>
          <w:p>
            <w:pPr>
              <w:jc w:val="center"/>
              <w:rPr>
                <w:rFonts w:eastAsiaTheme="minorEastAsia"/>
                <w:color w:val="000000" w:themeColor="text1"/>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1383" w:type="dxa"/>
            <w:tcBorders>
              <w:tl2br w:val="nil"/>
              <w:tr2bl w:val="nil"/>
            </w:tcBorders>
            <w:vAlign w:val="center"/>
          </w:tcPr>
          <w:p>
            <w:pPr>
              <w:jc w:val="center"/>
              <w:rPr>
                <w:sz w:val="18"/>
                <w:szCs w:val="18"/>
                <w:vertAlign w:val="superscript"/>
              </w:rPr>
            </w:pPr>
            <w:r>
              <w:rPr>
                <w:rFonts w:eastAsiaTheme="minorEastAsia"/>
                <w:sz w:val="18"/>
                <w:szCs w:val="18"/>
              </w:rPr>
              <w:t>80～120</w:t>
            </w:r>
          </w:p>
        </w:tc>
        <w:tc>
          <w:tcPr>
            <w:tcW w:w="1300" w:type="dxa"/>
            <w:tcBorders>
              <w:tl2br w:val="nil"/>
              <w:tr2bl w:val="nil"/>
            </w:tcBorders>
            <w:vAlign w:val="center"/>
          </w:tcPr>
          <w:p>
            <w:pPr>
              <w:jc w:val="center"/>
              <w:rPr>
                <w:sz w:val="18"/>
                <w:szCs w:val="18"/>
              </w:rPr>
            </w:pPr>
            <w:r>
              <w:rPr>
                <w:rFonts w:eastAsiaTheme="minorEastAsia"/>
                <w:sz w:val="18"/>
                <w:szCs w:val="18"/>
              </w:rPr>
              <w:t>±1.0</w:t>
            </w:r>
          </w:p>
        </w:tc>
        <w:tc>
          <w:tcPr>
            <w:tcW w:w="1560" w:type="dxa"/>
            <w:tcBorders>
              <w:tl2br w:val="nil"/>
              <w:tr2bl w:val="nil"/>
            </w:tcBorders>
            <w:vAlign w:val="center"/>
          </w:tcPr>
          <w:p>
            <w:pPr>
              <w:jc w:val="center"/>
              <w:rPr>
                <w:sz w:val="18"/>
                <w:szCs w:val="18"/>
              </w:rPr>
            </w:pPr>
            <w:r>
              <w:rPr>
                <w:rFonts w:eastAsiaTheme="minorEastAsia"/>
                <w:color w:val="000000" w:themeColor="text1"/>
                <w:sz w:val="18"/>
                <w:szCs w:val="18"/>
              </w:rPr>
              <w:t>±1.0</w:t>
            </w:r>
          </w:p>
        </w:tc>
        <w:tc>
          <w:tcPr>
            <w:tcW w:w="1200" w:type="dxa"/>
            <w:tcBorders>
              <w:tl2br w:val="nil"/>
              <w:tr2bl w:val="nil"/>
            </w:tcBorders>
            <w:vAlign w:val="center"/>
          </w:tcPr>
          <w:p>
            <w:pPr>
              <w:jc w:val="center"/>
              <w:rPr>
                <w:sz w:val="18"/>
                <w:szCs w:val="18"/>
              </w:rPr>
            </w:pPr>
            <w:r>
              <w:rPr>
                <w:rFonts w:eastAsiaTheme="minorEastAsia"/>
                <w:color w:val="000000" w:themeColor="text1"/>
                <w:sz w:val="18"/>
                <w:szCs w:val="18"/>
              </w:rPr>
              <w:t>±1.5</w:t>
            </w:r>
          </w:p>
        </w:tc>
        <w:tc>
          <w:tcPr>
            <w:tcW w:w="1203" w:type="dxa"/>
            <w:tcBorders>
              <w:tl2br w:val="nil"/>
              <w:tr2bl w:val="nil"/>
            </w:tcBorders>
            <w:vAlign w:val="center"/>
          </w:tcPr>
          <w:p>
            <w:pPr>
              <w:jc w:val="center"/>
              <w:rPr>
                <w:sz w:val="18"/>
                <w:szCs w:val="18"/>
              </w:rPr>
            </w:pPr>
            <w:r>
              <w:rPr>
                <w:rFonts w:eastAsiaTheme="minorEastAsia"/>
                <w:color w:val="000000" w:themeColor="text1"/>
                <w:sz w:val="18"/>
                <w:szCs w:val="18"/>
              </w:rPr>
              <w:t>±1.0</w:t>
            </w:r>
          </w:p>
        </w:tc>
        <w:tc>
          <w:tcPr>
            <w:tcW w:w="2312" w:type="dxa"/>
            <w:vMerge w:val="restart"/>
            <w:tcBorders>
              <w:tl2br w:val="nil"/>
              <w:tr2bl w:val="nil"/>
            </w:tcBorders>
            <w:vAlign w:val="center"/>
          </w:tcPr>
          <w:p>
            <w:pPr>
              <w:jc w:val="center"/>
              <w:rPr>
                <w:rFonts w:eastAsiaTheme="minorEastAsia"/>
                <w:color w:val="000000" w:themeColor="text1"/>
                <w:sz w:val="18"/>
                <w:szCs w:val="18"/>
              </w:rPr>
            </w:pPr>
            <w:r>
              <w:rPr>
                <w:rFonts w:eastAsiaTheme="minorEastAsia"/>
                <w:sz w:val="18"/>
                <w:szCs w:val="18"/>
              </w:rPr>
              <w:t>400～4000mm，</w:t>
            </w:r>
            <w:r>
              <w:rPr>
                <w:rFonts w:eastAsiaTheme="minorEastAsia"/>
                <w:color w:val="000000" w:themeColor="text1"/>
                <w:sz w:val="18"/>
                <w:szCs w:val="18"/>
              </w:rPr>
              <w:t>允许偏差为长度≤1 000mm±2mm，长度＞1000mm±5mm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1383" w:type="dxa"/>
            <w:tcBorders>
              <w:tl2br w:val="nil"/>
              <w:tr2bl w:val="nil"/>
            </w:tcBorders>
            <w:vAlign w:val="center"/>
          </w:tcPr>
          <w:p>
            <w:pPr>
              <w:jc w:val="center"/>
              <w:rPr>
                <w:sz w:val="18"/>
                <w:szCs w:val="18"/>
              </w:rPr>
            </w:pPr>
            <w:r>
              <w:rPr>
                <w:rFonts w:eastAsiaTheme="minorEastAsia"/>
                <w:sz w:val="18"/>
                <w:szCs w:val="18"/>
              </w:rPr>
              <w:t>120～160</w:t>
            </w:r>
          </w:p>
        </w:tc>
        <w:tc>
          <w:tcPr>
            <w:tcW w:w="1300" w:type="dxa"/>
            <w:tcBorders>
              <w:tl2br w:val="nil"/>
              <w:tr2bl w:val="nil"/>
            </w:tcBorders>
            <w:vAlign w:val="center"/>
          </w:tcPr>
          <w:p>
            <w:pPr>
              <w:jc w:val="center"/>
              <w:rPr>
                <w:sz w:val="18"/>
                <w:szCs w:val="18"/>
              </w:rPr>
            </w:pPr>
            <w:r>
              <w:rPr>
                <w:rFonts w:eastAsiaTheme="minorEastAsia"/>
                <w:sz w:val="18"/>
                <w:szCs w:val="18"/>
              </w:rPr>
              <w:t>±2.0</w:t>
            </w:r>
          </w:p>
        </w:tc>
        <w:tc>
          <w:tcPr>
            <w:tcW w:w="1560" w:type="dxa"/>
            <w:tcBorders>
              <w:tl2br w:val="nil"/>
              <w:tr2bl w:val="nil"/>
            </w:tcBorders>
            <w:vAlign w:val="center"/>
          </w:tcPr>
          <w:p>
            <w:pPr>
              <w:jc w:val="center"/>
              <w:rPr>
                <w:sz w:val="18"/>
                <w:szCs w:val="18"/>
              </w:rPr>
            </w:pPr>
            <w:r>
              <w:rPr>
                <w:rFonts w:eastAsiaTheme="minorEastAsia"/>
                <w:sz w:val="18"/>
                <w:szCs w:val="18"/>
              </w:rPr>
              <w:t>±2.0</w:t>
            </w:r>
          </w:p>
        </w:tc>
        <w:tc>
          <w:tcPr>
            <w:tcW w:w="1200" w:type="dxa"/>
            <w:tcBorders>
              <w:tl2br w:val="nil"/>
              <w:tr2bl w:val="nil"/>
            </w:tcBorders>
            <w:vAlign w:val="center"/>
          </w:tcPr>
          <w:p>
            <w:pPr>
              <w:jc w:val="center"/>
              <w:rPr>
                <w:sz w:val="18"/>
                <w:szCs w:val="18"/>
              </w:rPr>
            </w:pPr>
            <w:r>
              <w:rPr>
                <w:rFonts w:eastAsiaTheme="minorEastAsia"/>
                <w:color w:val="000000" w:themeColor="text1"/>
                <w:sz w:val="18"/>
                <w:szCs w:val="18"/>
              </w:rPr>
              <w:t>±2.0</w:t>
            </w:r>
          </w:p>
        </w:tc>
        <w:tc>
          <w:tcPr>
            <w:tcW w:w="1203" w:type="dxa"/>
            <w:tcBorders>
              <w:tl2br w:val="nil"/>
              <w:tr2bl w:val="nil"/>
            </w:tcBorders>
            <w:vAlign w:val="center"/>
          </w:tcPr>
          <w:p>
            <w:pPr>
              <w:jc w:val="center"/>
              <w:rPr>
                <w:sz w:val="18"/>
                <w:szCs w:val="18"/>
              </w:rPr>
            </w:pPr>
            <w:r>
              <w:rPr>
                <w:rFonts w:eastAsiaTheme="minorEastAsia"/>
                <w:color w:val="000000" w:themeColor="text1"/>
                <w:sz w:val="18"/>
                <w:szCs w:val="18"/>
              </w:rPr>
              <w:t>±1.5</w:t>
            </w:r>
          </w:p>
        </w:tc>
        <w:tc>
          <w:tcPr>
            <w:tcW w:w="2312" w:type="dxa"/>
            <w:vMerge w:val="continue"/>
            <w:tcBorders>
              <w:tl2br w:val="nil"/>
              <w:tr2bl w:val="nil"/>
            </w:tcBorders>
            <w:vAlign w:val="center"/>
          </w:tcPr>
          <w:p>
            <w:pPr>
              <w:jc w:val="center"/>
              <w:rPr>
                <w:rFonts w:eastAsiaTheme="minorEastAsia"/>
                <w:color w:val="000000" w:themeColor="text1"/>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1383" w:type="dxa"/>
            <w:tcBorders>
              <w:tl2br w:val="nil"/>
              <w:tr2bl w:val="nil"/>
            </w:tcBorders>
            <w:vAlign w:val="center"/>
          </w:tcPr>
          <w:p>
            <w:pPr>
              <w:jc w:val="center"/>
              <w:rPr>
                <w:sz w:val="18"/>
                <w:szCs w:val="18"/>
              </w:rPr>
            </w:pPr>
            <w:r>
              <w:rPr>
                <w:rFonts w:eastAsiaTheme="minorEastAsia"/>
                <w:sz w:val="18"/>
                <w:szCs w:val="18"/>
              </w:rPr>
              <w:t>160～200</w:t>
            </w:r>
          </w:p>
        </w:tc>
        <w:tc>
          <w:tcPr>
            <w:tcW w:w="1300" w:type="dxa"/>
            <w:tcBorders>
              <w:tl2br w:val="nil"/>
              <w:tr2bl w:val="nil"/>
            </w:tcBorders>
            <w:vAlign w:val="center"/>
          </w:tcPr>
          <w:p>
            <w:pPr>
              <w:jc w:val="center"/>
              <w:rPr>
                <w:sz w:val="18"/>
                <w:szCs w:val="18"/>
              </w:rPr>
            </w:pPr>
            <w:r>
              <w:rPr>
                <w:rFonts w:eastAsiaTheme="minorEastAsia"/>
                <w:sz w:val="18"/>
                <w:szCs w:val="18"/>
              </w:rPr>
              <w:t>±3.0</w:t>
            </w:r>
          </w:p>
        </w:tc>
        <w:tc>
          <w:tcPr>
            <w:tcW w:w="1560" w:type="dxa"/>
            <w:tcBorders>
              <w:tl2br w:val="nil"/>
              <w:tr2bl w:val="nil"/>
            </w:tcBorders>
            <w:vAlign w:val="center"/>
          </w:tcPr>
          <w:p>
            <w:pPr>
              <w:jc w:val="center"/>
              <w:rPr>
                <w:rFonts w:asciiTheme="majorEastAsia" w:hAnsiTheme="majorEastAsia" w:eastAsiaTheme="majorEastAsia" w:cstheme="majorEastAsia"/>
                <w:sz w:val="18"/>
                <w:szCs w:val="18"/>
              </w:rPr>
            </w:pPr>
            <w:r>
              <w:rPr>
                <w:rFonts w:eastAsiaTheme="minorEastAsia"/>
                <w:sz w:val="18"/>
                <w:szCs w:val="18"/>
              </w:rPr>
              <w:t>±3.0</w:t>
            </w:r>
          </w:p>
        </w:tc>
        <w:tc>
          <w:tcPr>
            <w:tcW w:w="1200" w:type="dxa"/>
            <w:tcBorders>
              <w:tl2br w:val="nil"/>
              <w:tr2bl w:val="nil"/>
            </w:tcBorders>
            <w:vAlign w:val="center"/>
          </w:tcPr>
          <w:p>
            <w:pPr>
              <w:jc w:val="center"/>
              <w:rPr>
                <w:rFonts w:asciiTheme="majorEastAsia" w:hAnsiTheme="majorEastAsia" w:eastAsiaTheme="majorEastAsia" w:cstheme="majorEastAsia"/>
                <w:sz w:val="18"/>
                <w:szCs w:val="18"/>
              </w:rPr>
            </w:pPr>
            <w:r>
              <w:rPr>
                <w:rFonts w:eastAsiaTheme="minorEastAsia"/>
                <w:color w:val="000000" w:themeColor="text1"/>
                <w:sz w:val="18"/>
                <w:szCs w:val="18"/>
              </w:rPr>
              <w:t>±3.0</w:t>
            </w:r>
          </w:p>
        </w:tc>
        <w:tc>
          <w:tcPr>
            <w:tcW w:w="1203" w:type="dxa"/>
            <w:tcBorders>
              <w:tl2br w:val="nil"/>
              <w:tr2bl w:val="nil"/>
            </w:tcBorders>
            <w:vAlign w:val="center"/>
          </w:tcPr>
          <w:p>
            <w:pPr>
              <w:jc w:val="center"/>
              <w:rPr>
                <w:sz w:val="18"/>
                <w:szCs w:val="18"/>
              </w:rPr>
            </w:pPr>
            <w:r>
              <w:rPr>
                <w:rFonts w:eastAsiaTheme="minorEastAsia"/>
                <w:color w:val="000000" w:themeColor="text1"/>
                <w:sz w:val="18"/>
                <w:szCs w:val="18"/>
              </w:rPr>
              <w:t>±2.0</w:t>
            </w:r>
          </w:p>
        </w:tc>
        <w:tc>
          <w:tcPr>
            <w:tcW w:w="2312" w:type="dxa"/>
            <w:vMerge w:val="continue"/>
            <w:tcBorders>
              <w:tl2br w:val="nil"/>
              <w:tr2bl w:val="nil"/>
            </w:tcBorders>
            <w:vAlign w:val="center"/>
          </w:tcPr>
          <w:p>
            <w:pPr>
              <w:jc w:val="center"/>
              <w:rPr>
                <w:rFonts w:eastAsiaTheme="minorEastAsia"/>
                <w:color w:val="000000" w:themeColor="text1"/>
                <w:sz w:val="18"/>
                <w:szCs w:val="18"/>
              </w:rPr>
            </w:pPr>
          </w:p>
        </w:tc>
      </w:tr>
    </w:tbl>
    <w:p>
      <w:pPr>
        <w:ind w:firstLine="360" w:firstLineChars="200"/>
        <w:rPr>
          <w:szCs w:val="21"/>
        </w:rPr>
      </w:pPr>
      <w:r>
        <w:rPr>
          <w:rFonts w:eastAsiaTheme="minorEastAsia"/>
          <w:color w:val="000000"/>
          <w:sz w:val="18"/>
          <w:szCs w:val="18"/>
        </w:rPr>
        <w:t>注：</w:t>
      </w:r>
      <w:r>
        <w:rPr>
          <w:rFonts w:eastAsiaTheme="minorEastAsia"/>
          <w:sz w:val="18"/>
          <w:szCs w:val="18"/>
        </w:rPr>
        <w:t>钼及钼合金管靶加工状态为去应力退火态；钼及钼合金管靶成分为纯钼管与钼合金管，钼合金管为Mo-W、Mo-Ta、Mo-Na、Mo-Nb及其他钼合金管。</w:t>
      </w:r>
    </w:p>
    <w:p>
      <w:pPr>
        <w:pStyle w:val="11"/>
        <w:numPr>
          <w:ilvl w:val="0"/>
          <w:numId w:val="0"/>
        </w:numPr>
        <w:spacing w:beforeLines="0" w:afterLines="0" w:line="480" w:lineRule="exact"/>
        <w:rPr>
          <w:rFonts w:ascii="Times New Roman" w:eastAsia="宋体"/>
          <w:b/>
          <w:bCs/>
          <w:color w:val="000000"/>
          <w:szCs w:val="21"/>
        </w:rPr>
      </w:pPr>
      <w:r>
        <w:rPr>
          <w:rFonts w:hint="eastAsia" w:ascii="Times New Roman" w:eastAsia="宋体"/>
          <w:b/>
          <w:bCs/>
          <w:color w:val="000000"/>
          <w:szCs w:val="21"/>
        </w:rPr>
        <w:t>1.3</w:t>
      </w:r>
      <w:bookmarkStart w:id="1" w:name="_Hlk74073210"/>
      <w:r>
        <w:rPr>
          <w:rFonts w:hint="eastAsia" w:ascii="Times New Roman" w:eastAsia="宋体"/>
          <w:b/>
          <w:bCs/>
          <w:color w:val="000000"/>
          <w:szCs w:val="21"/>
        </w:rPr>
        <w:t>密度</w:t>
      </w:r>
    </w:p>
    <w:p>
      <w:pPr>
        <w:pStyle w:val="11"/>
        <w:numPr>
          <w:ilvl w:val="0"/>
          <w:numId w:val="0"/>
        </w:numPr>
        <w:spacing w:beforeLines="0" w:afterLines="0"/>
        <w:ind w:firstLine="420" w:firstLineChars="200"/>
        <w:rPr>
          <w:rFonts w:ascii="宋体" w:hAnsi="宋体" w:eastAsia="宋体" w:cs="宋体"/>
          <w:color w:val="000000"/>
          <w:szCs w:val="21"/>
        </w:rPr>
      </w:pPr>
      <w:r>
        <w:rPr>
          <w:rFonts w:hint="eastAsia" w:ascii="宋体" w:hAnsi="宋体" w:eastAsia="宋体" w:cs="宋体"/>
          <w:color w:val="000000"/>
          <w:szCs w:val="21"/>
        </w:rPr>
        <w:t>根据需方要求，并在合同中注明，钼及</w:t>
      </w:r>
      <w:r>
        <w:rPr>
          <w:rFonts w:ascii="宋体" w:hAnsi="宋体" w:eastAsia="宋体" w:cs="宋体"/>
          <w:color w:val="000000"/>
          <w:szCs w:val="21"/>
        </w:rPr>
        <w:t>钼合金</w:t>
      </w:r>
      <w:r>
        <w:rPr>
          <w:rFonts w:hint="eastAsia" w:ascii="宋体" w:hAnsi="宋体" w:eastAsia="宋体" w:cs="宋体"/>
          <w:color w:val="000000"/>
          <w:szCs w:val="21"/>
        </w:rPr>
        <w:t>管可逐根进行密度测试。由于钼溅射靶材</w:t>
      </w:r>
      <w:r>
        <w:rPr>
          <w:rFonts w:ascii="宋体" w:hAnsi="宋体" w:eastAsia="宋体" w:cs="宋体"/>
          <w:color w:val="000000"/>
          <w:szCs w:val="21"/>
        </w:rPr>
        <w:t>对产品密度有较高要求，一般根据客户要求可以进行排水法测量</w:t>
      </w:r>
      <w:r>
        <w:rPr>
          <w:rFonts w:hint="eastAsia" w:ascii="宋体" w:hAnsi="宋体" w:eastAsia="宋体" w:cs="宋体"/>
          <w:color w:val="000000"/>
          <w:szCs w:val="21"/>
        </w:rPr>
        <w:t>，</w:t>
      </w:r>
      <w:r>
        <w:rPr>
          <w:rFonts w:ascii="宋体" w:hAnsi="宋体" w:eastAsia="宋体" w:cs="宋体"/>
          <w:color w:val="000000"/>
          <w:szCs w:val="21"/>
        </w:rPr>
        <w:t>密</w:t>
      </w:r>
      <w:r>
        <w:rPr>
          <w:rFonts w:hint="eastAsia" w:ascii="宋体" w:hAnsi="宋体" w:eastAsia="宋体" w:cs="宋体"/>
          <w:color w:val="000000"/>
          <w:szCs w:val="21"/>
        </w:rPr>
        <w:t>度</w:t>
      </w:r>
      <w:r>
        <w:rPr>
          <w:rFonts w:ascii="宋体" w:hAnsi="宋体" w:eastAsia="宋体" w:cs="宋体"/>
          <w:color w:val="000000"/>
          <w:szCs w:val="21"/>
        </w:rPr>
        <w:t>检验应按GB/T</w:t>
      </w:r>
      <w:r>
        <w:rPr>
          <w:rFonts w:hint="eastAsia" w:ascii="宋体" w:hAnsi="宋体" w:eastAsia="宋体" w:cs="宋体"/>
          <w:color w:val="000000"/>
          <w:szCs w:val="21"/>
        </w:rPr>
        <w:t>4196</w:t>
      </w:r>
      <w:r>
        <w:rPr>
          <w:rFonts w:ascii="宋体" w:hAnsi="宋体" w:eastAsia="宋体" w:cs="宋体"/>
          <w:color w:val="000000"/>
          <w:szCs w:val="21"/>
        </w:rPr>
        <w:t>检验。</w:t>
      </w:r>
      <w:r>
        <w:rPr>
          <w:rFonts w:hint="eastAsia" w:ascii="宋体" w:hAnsi="宋体" w:eastAsia="宋体" w:cs="宋体"/>
          <w:color w:val="000000"/>
          <w:szCs w:val="21"/>
        </w:rPr>
        <w:t xml:space="preserve">  </w:t>
      </w:r>
    </w:p>
    <w:bookmarkEnd w:id="1"/>
    <w:p>
      <w:pPr>
        <w:pStyle w:val="11"/>
        <w:numPr>
          <w:ilvl w:val="0"/>
          <w:numId w:val="0"/>
        </w:numPr>
        <w:spacing w:beforeLines="0" w:afterLines="0" w:line="480" w:lineRule="exact"/>
        <w:rPr>
          <w:rFonts w:ascii="Times New Roman" w:eastAsia="宋体"/>
          <w:b/>
          <w:bCs/>
          <w:color w:val="000000"/>
          <w:szCs w:val="21"/>
        </w:rPr>
      </w:pPr>
      <w:r>
        <w:rPr>
          <w:rFonts w:hint="eastAsia" w:ascii="Times New Roman" w:eastAsia="宋体"/>
          <w:b/>
          <w:bCs/>
          <w:color w:val="000000"/>
          <w:szCs w:val="21"/>
        </w:rPr>
        <w:t>1.4表面粗糙度</w:t>
      </w:r>
    </w:p>
    <w:p>
      <w:pPr>
        <w:ind w:firstLine="420" w:firstLineChars="200"/>
        <w:rPr>
          <w:kern w:val="0"/>
          <w:szCs w:val="21"/>
        </w:rPr>
      </w:pPr>
      <w:r>
        <w:rPr>
          <w:rFonts w:hint="eastAsia"/>
          <w:kern w:val="0"/>
          <w:szCs w:val="21"/>
        </w:rPr>
        <w:t>一般</w:t>
      </w:r>
      <w:r>
        <w:rPr>
          <w:kern w:val="0"/>
          <w:szCs w:val="21"/>
        </w:rPr>
        <w:t>，钼及钼合金管产品外表面的表面粗糙度应不大于Ra1.25μm，内表面的表面粗糙度应不大于Ra2.5μm。</w:t>
      </w:r>
      <w:r>
        <w:rPr>
          <w:rFonts w:hint="eastAsia" w:ascii="宋体" w:hAnsi="宋体" w:cs="宋体"/>
          <w:color w:val="000000"/>
          <w:szCs w:val="21"/>
        </w:rPr>
        <w:t>内外</w:t>
      </w:r>
      <w:r>
        <w:rPr>
          <w:rFonts w:ascii="宋体" w:hAnsi="宋体" w:cs="宋体"/>
          <w:color w:val="000000"/>
          <w:szCs w:val="21"/>
        </w:rPr>
        <w:t>表面的</w:t>
      </w:r>
      <w:r>
        <w:rPr>
          <w:rFonts w:hint="eastAsia" w:ascii="宋体" w:hAnsi="宋体" w:cs="宋体"/>
          <w:color w:val="000000"/>
          <w:szCs w:val="21"/>
        </w:rPr>
        <w:t>粗糙度</w:t>
      </w:r>
      <w:r>
        <w:rPr>
          <w:rFonts w:ascii="宋体" w:hAnsi="宋体" w:cs="宋体"/>
          <w:color w:val="000000"/>
          <w:szCs w:val="21"/>
        </w:rPr>
        <w:t>可以通过</w:t>
      </w:r>
      <w:r>
        <w:rPr>
          <w:rFonts w:hint="eastAsia" w:ascii="宋体" w:hAnsi="宋体" w:cs="宋体"/>
          <w:color w:val="000000"/>
          <w:szCs w:val="21"/>
        </w:rPr>
        <w:t>珩磨或其它加工方式得到</w:t>
      </w:r>
      <w:r>
        <w:rPr>
          <w:rFonts w:ascii="宋体" w:hAnsi="宋体" w:cs="宋体"/>
          <w:color w:val="000000"/>
          <w:szCs w:val="21"/>
        </w:rPr>
        <w:t>提高</w:t>
      </w:r>
      <w:r>
        <w:rPr>
          <w:rFonts w:hint="eastAsia" w:ascii="宋体" w:hAnsi="宋体" w:cs="宋体"/>
          <w:color w:val="000000"/>
          <w:szCs w:val="21"/>
        </w:rPr>
        <w:t>，但表面精度要求过高，会导致加工成本显著增加。</w:t>
      </w:r>
    </w:p>
    <w:p>
      <w:pPr>
        <w:pStyle w:val="11"/>
        <w:numPr>
          <w:ilvl w:val="0"/>
          <w:numId w:val="0"/>
        </w:numPr>
        <w:spacing w:beforeLines="0" w:afterLines="0"/>
        <w:ind w:firstLine="420" w:firstLineChars="200"/>
        <w:rPr>
          <w:rFonts w:ascii="宋体" w:hAnsi="宋体" w:eastAsia="宋体" w:cs="宋体"/>
          <w:color w:val="000000"/>
          <w:szCs w:val="21"/>
        </w:rPr>
      </w:pPr>
      <w:r>
        <w:rPr>
          <w:rFonts w:hint="eastAsia" w:ascii="宋体" w:hAnsi="宋体" w:eastAsia="宋体" w:cs="宋体"/>
          <w:color w:val="000000"/>
          <w:szCs w:val="21"/>
        </w:rPr>
        <w:t>当需方对钼管表面有粗糙度特殊要求时，</w:t>
      </w:r>
      <w:r>
        <w:rPr>
          <w:rFonts w:ascii="宋体" w:hAnsi="宋体" w:eastAsia="宋体" w:cs="宋体"/>
          <w:color w:val="000000"/>
          <w:szCs w:val="21"/>
        </w:rPr>
        <w:t>应在合同中注明</w:t>
      </w:r>
      <w:r>
        <w:rPr>
          <w:rFonts w:hint="eastAsia" w:ascii="宋体" w:hAnsi="宋体" w:eastAsia="宋体" w:cs="宋体"/>
          <w:color w:val="000000"/>
          <w:szCs w:val="21"/>
        </w:rPr>
        <w:t>，并由供需双方协商。</w:t>
      </w:r>
    </w:p>
    <w:p>
      <w:pPr>
        <w:pStyle w:val="11"/>
        <w:numPr>
          <w:ilvl w:val="0"/>
          <w:numId w:val="0"/>
        </w:numPr>
        <w:spacing w:beforeLines="0" w:afterLines="0" w:line="480" w:lineRule="exact"/>
        <w:rPr>
          <w:rFonts w:ascii="Times New Roman" w:eastAsia="宋体"/>
          <w:b/>
          <w:bCs/>
          <w:color w:val="000000"/>
          <w:szCs w:val="21"/>
        </w:rPr>
      </w:pPr>
      <w:r>
        <w:rPr>
          <w:rFonts w:hint="eastAsia" w:ascii="Times New Roman" w:eastAsia="宋体"/>
          <w:b/>
          <w:bCs/>
          <w:color w:val="000000"/>
          <w:szCs w:val="21"/>
        </w:rPr>
        <w:t>1.5表面质量</w:t>
      </w:r>
    </w:p>
    <w:p>
      <w:pPr>
        <w:ind w:firstLine="420" w:firstLineChars="200"/>
        <w:rPr>
          <w:rFonts w:ascii="宋体" w:hAnsi="宋体" w:cs="宋体"/>
          <w:color w:val="000000"/>
          <w:kern w:val="0"/>
          <w:szCs w:val="21"/>
        </w:rPr>
      </w:pPr>
      <w:r>
        <w:rPr>
          <w:rFonts w:hint="eastAsia" w:ascii="宋体" w:hAnsi="宋体" w:cs="宋体"/>
          <w:color w:val="000000"/>
          <w:kern w:val="0"/>
          <w:szCs w:val="21"/>
        </w:rPr>
        <w:t>产品的外观质量直接决定着钼及钼合金管靶的溅射</w:t>
      </w:r>
      <w:r>
        <w:rPr>
          <w:rFonts w:ascii="宋体" w:hAnsi="宋体" w:cs="宋体"/>
          <w:color w:val="000000"/>
          <w:kern w:val="0"/>
          <w:szCs w:val="21"/>
        </w:rPr>
        <w:t>速率</w:t>
      </w:r>
      <w:r>
        <w:rPr>
          <w:rFonts w:hint="eastAsia" w:ascii="宋体" w:hAnsi="宋体" w:cs="宋体"/>
          <w:color w:val="000000"/>
          <w:kern w:val="0"/>
          <w:szCs w:val="21"/>
        </w:rPr>
        <w:t>、薄膜均匀性和产品的使用安全性。根据长期的生产实践和客户的不同需求，确定产品的外观质量要求如下：</w:t>
      </w:r>
    </w:p>
    <w:p>
      <w:pPr>
        <w:ind w:firstLine="420" w:firstLineChars="200"/>
        <w:rPr>
          <w:kern w:val="0"/>
          <w:szCs w:val="21"/>
        </w:rPr>
      </w:pPr>
      <w:r>
        <w:rPr>
          <w:rFonts w:hint="eastAsia"/>
          <w:kern w:val="0"/>
          <w:szCs w:val="21"/>
        </w:rPr>
        <w:t>产品</w:t>
      </w:r>
      <w:r>
        <w:rPr>
          <w:kern w:val="0"/>
          <w:szCs w:val="21"/>
        </w:rPr>
        <w:t>的内外表面应光滑，无裂纹，局部凹坑、擦伤和细小划道的深度均应不超过0.08mm</w:t>
      </w:r>
      <w:r>
        <w:rPr>
          <w:rFonts w:hint="eastAsia"/>
          <w:kern w:val="0"/>
          <w:szCs w:val="21"/>
        </w:rPr>
        <w:t>。</w:t>
      </w:r>
      <w:r>
        <w:rPr>
          <w:kern w:val="0"/>
          <w:szCs w:val="21"/>
        </w:rPr>
        <w:t>这些缺陷处钼管的实际壁厚应符合表</w:t>
      </w:r>
      <w:r>
        <w:rPr>
          <w:rFonts w:hint="eastAsia"/>
          <w:kern w:val="0"/>
          <w:szCs w:val="21"/>
        </w:rPr>
        <w:t>3</w:t>
      </w:r>
      <w:r>
        <w:rPr>
          <w:kern w:val="0"/>
          <w:szCs w:val="21"/>
        </w:rPr>
        <w:t>。</w:t>
      </w:r>
    </w:p>
    <w:p>
      <w:pPr>
        <w:ind w:firstLine="420" w:firstLineChars="200"/>
        <w:rPr>
          <w:kern w:val="0"/>
          <w:szCs w:val="21"/>
        </w:rPr>
      </w:pPr>
      <w:r>
        <w:rPr>
          <w:rFonts w:hint="eastAsia"/>
          <w:kern w:val="0"/>
          <w:szCs w:val="21"/>
        </w:rPr>
        <w:t>产品</w:t>
      </w:r>
      <w:r>
        <w:rPr>
          <w:kern w:val="0"/>
          <w:szCs w:val="21"/>
        </w:rPr>
        <w:t>内外表面的其他缺陷可用适当的方法清除，清除后钼管的实际壁厚应符合表2。</w:t>
      </w:r>
    </w:p>
    <w:p>
      <w:pPr>
        <w:ind w:firstLine="420" w:firstLineChars="200"/>
        <w:rPr>
          <w:kern w:val="0"/>
          <w:szCs w:val="21"/>
        </w:rPr>
      </w:pPr>
      <w:r>
        <w:rPr>
          <w:rFonts w:hint="eastAsia"/>
          <w:kern w:val="0"/>
          <w:szCs w:val="21"/>
        </w:rPr>
        <w:t>钼及钼合金管靶材不应有分层、疏松、夹杂和气孔等内部质量缺陷。</w:t>
      </w:r>
    </w:p>
    <w:p>
      <w:pPr>
        <w:widowControl/>
        <w:numPr>
          <w:ilvl w:val="0"/>
          <w:numId w:val="7"/>
        </w:numPr>
        <w:tabs>
          <w:tab w:val="left" w:pos="567"/>
        </w:tabs>
        <w:spacing w:before="156" w:beforeLines="50" w:after="156" w:afterLines="50" w:line="300" w:lineRule="auto"/>
        <w:jc w:val="left"/>
        <w:outlineLvl w:val="2"/>
        <w:rPr>
          <w:rFonts w:ascii="宋体" w:hAnsi="宋体" w:cs="宋体"/>
          <w:b/>
          <w:color w:val="000000"/>
          <w:kern w:val="0"/>
          <w:szCs w:val="21"/>
        </w:rPr>
      </w:pPr>
      <w:r>
        <w:rPr>
          <w:rFonts w:hint="eastAsia" w:ascii="宋体" w:hAnsi="宋体" w:cs="宋体"/>
          <w:b/>
          <w:color w:val="000000"/>
          <w:kern w:val="0"/>
          <w:szCs w:val="21"/>
        </w:rPr>
        <w:t>主要试验（或验证）情况分析</w:t>
      </w:r>
    </w:p>
    <w:p>
      <w:pPr>
        <w:adjustRightInd w:val="0"/>
        <w:ind w:firstLine="420" w:firstLineChars="200"/>
        <w:rPr>
          <w:rFonts w:hAnsi="宋体"/>
          <w:szCs w:val="21"/>
        </w:rPr>
      </w:pPr>
      <w:r>
        <w:rPr>
          <w:rFonts w:hint="eastAsia" w:hAnsi="宋体"/>
          <w:szCs w:val="21"/>
        </w:rPr>
        <w:t>1、</w:t>
      </w:r>
      <w:r>
        <w:rPr>
          <w:rFonts w:hAnsi="宋体"/>
          <w:szCs w:val="21"/>
        </w:rPr>
        <w:t>针对</w:t>
      </w:r>
      <w:r>
        <w:rPr>
          <w:rFonts w:hint="eastAsia" w:hAnsi="宋体"/>
          <w:szCs w:val="21"/>
        </w:rPr>
        <w:t>钼及钼合金管靶</w:t>
      </w:r>
      <w:r>
        <w:rPr>
          <w:rFonts w:hAnsi="宋体"/>
          <w:szCs w:val="21"/>
        </w:rPr>
        <w:t>，按本标准规定的方法，对主要技术指标</w:t>
      </w:r>
      <w:r>
        <w:rPr>
          <w:rFonts w:hint="eastAsia" w:hAnsi="宋体"/>
          <w:szCs w:val="21"/>
        </w:rPr>
        <w:t>化学成分</w:t>
      </w:r>
      <w:r>
        <w:rPr>
          <w:rFonts w:hAnsi="宋体"/>
          <w:szCs w:val="21"/>
        </w:rPr>
        <w:t>进行了验证，验证数据结果见表</w:t>
      </w:r>
      <w:r>
        <w:rPr>
          <w:rFonts w:hint="eastAsia"/>
          <w:szCs w:val="21"/>
        </w:rPr>
        <w:t>4</w:t>
      </w:r>
      <w:r>
        <w:rPr>
          <w:rFonts w:hAnsi="宋体"/>
          <w:szCs w:val="21"/>
        </w:rPr>
        <w:t>。</w:t>
      </w:r>
    </w:p>
    <w:p>
      <w:pPr>
        <w:spacing w:before="156" w:beforeLines="50"/>
        <w:jc w:val="center"/>
        <w:rPr>
          <w:rFonts w:hint="eastAsia" w:ascii="黑体" w:hAnsi="黑体" w:eastAsia="黑体" w:cs="黑体"/>
          <w:sz w:val="18"/>
          <w:szCs w:val="18"/>
        </w:rPr>
      </w:pPr>
    </w:p>
    <w:p>
      <w:pPr>
        <w:spacing w:before="156" w:beforeLines="50"/>
        <w:jc w:val="center"/>
        <w:rPr>
          <w:rFonts w:hint="eastAsia" w:ascii="黑体" w:hAnsi="黑体" w:eastAsia="黑体" w:cs="黑体"/>
          <w:sz w:val="18"/>
          <w:szCs w:val="18"/>
        </w:rPr>
      </w:pPr>
    </w:p>
    <w:p>
      <w:pPr>
        <w:spacing w:before="156" w:beforeLines="50"/>
        <w:jc w:val="center"/>
        <w:rPr>
          <w:rFonts w:hint="eastAsia" w:ascii="黑体" w:hAnsi="黑体" w:eastAsia="黑体" w:cs="黑体"/>
          <w:sz w:val="18"/>
          <w:szCs w:val="18"/>
        </w:rPr>
      </w:pPr>
    </w:p>
    <w:p>
      <w:pPr>
        <w:spacing w:before="156" w:beforeLines="50"/>
        <w:jc w:val="center"/>
        <w:rPr>
          <w:rFonts w:hint="eastAsia" w:ascii="黑体" w:hAnsi="黑体" w:eastAsia="黑体" w:cs="黑体"/>
          <w:sz w:val="21"/>
          <w:szCs w:val="21"/>
        </w:rPr>
      </w:pPr>
    </w:p>
    <w:p>
      <w:pPr>
        <w:spacing w:before="156" w:beforeLines="50"/>
        <w:jc w:val="center"/>
        <w:rPr>
          <w:rFonts w:ascii="黑体" w:hAnsi="黑体" w:eastAsia="黑体" w:cs="黑体"/>
          <w:sz w:val="21"/>
          <w:szCs w:val="21"/>
        </w:rPr>
      </w:pPr>
      <w:bookmarkStart w:id="3" w:name="_GoBack"/>
      <w:bookmarkEnd w:id="3"/>
      <w:r>
        <w:rPr>
          <w:rFonts w:hint="eastAsia" w:ascii="黑体" w:hAnsi="黑体" w:eastAsia="黑体" w:cs="黑体"/>
          <w:sz w:val="21"/>
          <w:szCs w:val="21"/>
        </w:rPr>
        <w:t>表4  钼及钼合金管靶化学成分验证试验</w:t>
      </w:r>
    </w:p>
    <w:tbl>
      <w:tblPr>
        <w:tblStyle w:val="5"/>
        <w:tblW w:w="5000" w:type="pct"/>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6"/>
        <w:gridCol w:w="1462"/>
        <w:gridCol w:w="1398"/>
        <w:gridCol w:w="1232"/>
        <w:gridCol w:w="1256"/>
        <w:gridCol w:w="1908"/>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743" w:type="pct"/>
            <w:vMerge w:val="restart"/>
            <w:tcBorders>
              <w:top w:val="single" w:color="auto" w:sz="6" w:space="0"/>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元素</w:t>
            </w:r>
          </w:p>
        </w:tc>
        <w:tc>
          <w:tcPr>
            <w:tcW w:w="4257" w:type="pct"/>
            <w:gridSpan w:val="5"/>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含量，%</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743" w:type="pct"/>
            <w:vMerge w:val="continue"/>
            <w:tcBorders>
              <w:left w:val="single" w:color="auto" w:sz="6" w:space="0"/>
              <w:right w:val="single" w:color="auto" w:sz="6" w:space="0"/>
            </w:tcBorders>
            <w:vAlign w:val="center"/>
          </w:tcPr>
          <w:p>
            <w:pPr>
              <w:jc w:val="center"/>
              <w:rPr>
                <w:rFonts w:hint="eastAsia" w:ascii="宋体" w:hAnsi="宋体" w:eastAsia="宋体" w:cs="宋体"/>
                <w:sz w:val="18"/>
                <w:szCs w:val="18"/>
              </w:rPr>
            </w:pPr>
          </w:p>
        </w:tc>
        <w:tc>
          <w:tcPr>
            <w:tcW w:w="4257" w:type="pct"/>
            <w:gridSpan w:val="5"/>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材料牌号</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743" w:type="pct"/>
            <w:vMerge w:val="continue"/>
            <w:tcBorders>
              <w:left w:val="single" w:color="auto" w:sz="6" w:space="0"/>
              <w:bottom w:val="single" w:color="auto" w:sz="6" w:space="0"/>
              <w:right w:val="single" w:color="auto" w:sz="6" w:space="0"/>
            </w:tcBorders>
            <w:vAlign w:val="center"/>
          </w:tcPr>
          <w:p>
            <w:pPr>
              <w:jc w:val="center"/>
              <w:rPr>
                <w:rFonts w:hint="eastAsia" w:ascii="宋体" w:hAnsi="宋体" w:eastAsia="宋体" w:cs="宋体"/>
                <w:sz w:val="18"/>
                <w:szCs w:val="18"/>
              </w:rPr>
            </w:pPr>
          </w:p>
        </w:tc>
        <w:tc>
          <w:tcPr>
            <w:tcW w:w="858" w:type="pct"/>
            <w:tcBorders>
              <w:left w:val="single" w:color="auto" w:sz="6" w:space="0"/>
              <w:bottom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FMo</w:t>
            </w:r>
          </w:p>
        </w:tc>
        <w:tc>
          <w:tcPr>
            <w:tcW w:w="820" w:type="pct"/>
            <w:tcBorders>
              <w:left w:val="single" w:color="auto" w:sz="6" w:space="0"/>
              <w:bottom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FMW</w:t>
            </w:r>
          </w:p>
        </w:tc>
        <w:tc>
          <w:tcPr>
            <w:tcW w:w="723" w:type="pct"/>
            <w:tcBorders>
              <w:left w:val="single" w:color="auto" w:sz="6" w:space="0"/>
              <w:bottom w:val="single" w:color="auto" w:sz="6"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FMT</w:t>
            </w:r>
          </w:p>
        </w:tc>
        <w:tc>
          <w:tcPr>
            <w:tcW w:w="737" w:type="pct"/>
            <w:tcBorders>
              <w:left w:val="single" w:color="auto" w:sz="4" w:space="0"/>
              <w:bottom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FMNa</w:t>
            </w:r>
          </w:p>
        </w:tc>
        <w:tc>
          <w:tcPr>
            <w:tcW w:w="1119" w:type="pct"/>
            <w:tcBorders>
              <w:left w:val="single" w:color="auto" w:sz="6" w:space="0"/>
              <w:bottom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FMNb</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743" w:type="pct"/>
            <w:tcBorders>
              <w:top w:val="single" w:color="auto" w:sz="6" w:space="0"/>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C</w:t>
            </w:r>
          </w:p>
        </w:tc>
        <w:tc>
          <w:tcPr>
            <w:tcW w:w="858" w:type="pct"/>
            <w:tcBorders>
              <w:top w:val="single" w:color="auto" w:sz="6" w:space="0"/>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0.0017</w:t>
            </w:r>
          </w:p>
        </w:tc>
        <w:tc>
          <w:tcPr>
            <w:tcW w:w="820" w:type="pct"/>
            <w:tcBorders>
              <w:top w:val="single" w:color="auto" w:sz="6" w:space="0"/>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0.0012</w:t>
            </w:r>
          </w:p>
        </w:tc>
        <w:tc>
          <w:tcPr>
            <w:tcW w:w="723" w:type="pct"/>
            <w:tcBorders>
              <w:top w:val="single" w:color="auto" w:sz="6" w:space="0"/>
              <w:left w:val="single" w:color="auto" w:sz="6"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0.0021</w:t>
            </w:r>
          </w:p>
        </w:tc>
        <w:tc>
          <w:tcPr>
            <w:tcW w:w="737" w:type="pct"/>
            <w:tcBorders>
              <w:top w:val="single" w:color="auto" w:sz="6" w:space="0"/>
              <w:left w:val="single" w:color="auto" w:sz="4"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0.0025</w:t>
            </w:r>
          </w:p>
        </w:tc>
        <w:tc>
          <w:tcPr>
            <w:tcW w:w="1119" w:type="pct"/>
            <w:tcBorders>
              <w:top w:val="single" w:color="auto" w:sz="6" w:space="0"/>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0.0030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43" w:type="pct"/>
            <w:tcBorders>
              <w:left w:val="single" w:color="auto" w:sz="6" w:space="0"/>
              <w:right w:val="single" w:color="auto" w:sz="6" w:space="0"/>
            </w:tcBorders>
            <w:vAlign w:val="center"/>
          </w:tcPr>
          <w:p>
            <w:pPr>
              <w:jc w:val="center"/>
              <w:rPr>
                <w:rFonts w:hint="eastAsia" w:ascii="宋体" w:hAnsi="宋体" w:eastAsia="宋体" w:cs="宋体"/>
                <w:sz w:val="18"/>
                <w:szCs w:val="18"/>
                <w:vertAlign w:val="superscript"/>
              </w:rPr>
            </w:pPr>
            <w:r>
              <w:rPr>
                <w:rFonts w:hint="eastAsia" w:ascii="宋体" w:hAnsi="宋体" w:eastAsia="宋体" w:cs="宋体"/>
                <w:sz w:val="18"/>
                <w:szCs w:val="18"/>
              </w:rPr>
              <w:t>O</w:t>
            </w:r>
          </w:p>
        </w:tc>
        <w:tc>
          <w:tcPr>
            <w:tcW w:w="858"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0.0018</w:t>
            </w:r>
          </w:p>
        </w:tc>
        <w:tc>
          <w:tcPr>
            <w:tcW w:w="820"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0.0022</w:t>
            </w:r>
          </w:p>
        </w:tc>
        <w:tc>
          <w:tcPr>
            <w:tcW w:w="723" w:type="pct"/>
            <w:tcBorders>
              <w:left w:val="single" w:color="auto" w:sz="6"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0.020</w:t>
            </w:r>
          </w:p>
        </w:tc>
        <w:tc>
          <w:tcPr>
            <w:tcW w:w="737" w:type="pct"/>
            <w:tcBorders>
              <w:left w:val="single" w:color="auto" w:sz="4"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2.5</w:t>
            </w:r>
          </w:p>
        </w:tc>
        <w:tc>
          <w:tcPr>
            <w:tcW w:w="1119"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0.1</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43"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N</w:t>
            </w:r>
          </w:p>
        </w:tc>
        <w:tc>
          <w:tcPr>
            <w:tcW w:w="858"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0.0005</w:t>
            </w:r>
          </w:p>
        </w:tc>
        <w:tc>
          <w:tcPr>
            <w:tcW w:w="820"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0.0004</w:t>
            </w:r>
          </w:p>
        </w:tc>
        <w:tc>
          <w:tcPr>
            <w:tcW w:w="723" w:type="pct"/>
            <w:tcBorders>
              <w:left w:val="single" w:color="auto" w:sz="6"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0.0005</w:t>
            </w:r>
          </w:p>
        </w:tc>
        <w:tc>
          <w:tcPr>
            <w:tcW w:w="737" w:type="pct"/>
            <w:tcBorders>
              <w:left w:val="single" w:color="auto" w:sz="4"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0.0006</w:t>
            </w:r>
          </w:p>
        </w:tc>
        <w:tc>
          <w:tcPr>
            <w:tcW w:w="1119"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0.0008</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43"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Fe</w:t>
            </w:r>
          </w:p>
        </w:tc>
        <w:tc>
          <w:tcPr>
            <w:tcW w:w="858"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0.0014</w:t>
            </w:r>
          </w:p>
        </w:tc>
        <w:tc>
          <w:tcPr>
            <w:tcW w:w="820"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0.0013</w:t>
            </w:r>
          </w:p>
        </w:tc>
        <w:tc>
          <w:tcPr>
            <w:tcW w:w="723" w:type="pct"/>
            <w:tcBorders>
              <w:left w:val="single" w:color="auto" w:sz="6"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0.0016</w:t>
            </w:r>
          </w:p>
        </w:tc>
        <w:tc>
          <w:tcPr>
            <w:tcW w:w="737" w:type="pct"/>
            <w:tcBorders>
              <w:left w:val="single" w:color="auto" w:sz="4"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0.0016</w:t>
            </w:r>
          </w:p>
        </w:tc>
        <w:tc>
          <w:tcPr>
            <w:tcW w:w="1119"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0.0016</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43"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Ni</w:t>
            </w:r>
          </w:p>
        </w:tc>
        <w:tc>
          <w:tcPr>
            <w:tcW w:w="858"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0.0003</w:t>
            </w:r>
          </w:p>
        </w:tc>
        <w:tc>
          <w:tcPr>
            <w:tcW w:w="820"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0.0002</w:t>
            </w:r>
          </w:p>
        </w:tc>
        <w:tc>
          <w:tcPr>
            <w:tcW w:w="723" w:type="pct"/>
            <w:tcBorders>
              <w:left w:val="single" w:color="auto" w:sz="6"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0.0005</w:t>
            </w:r>
          </w:p>
        </w:tc>
        <w:tc>
          <w:tcPr>
            <w:tcW w:w="737" w:type="pct"/>
            <w:tcBorders>
              <w:left w:val="single" w:color="auto" w:sz="4"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0.0008</w:t>
            </w:r>
          </w:p>
        </w:tc>
        <w:tc>
          <w:tcPr>
            <w:tcW w:w="1119"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0.0007</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43"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Si</w:t>
            </w:r>
          </w:p>
        </w:tc>
        <w:tc>
          <w:tcPr>
            <w:tcW w:w="858" w:type="pct"/>
            <w:tcBorders>
              <w:left w:val="single" w:color="auto" w:sz="6" w:space="0"/>
              <w:right w:val="single" w:color="auto" w:sz="6" w:space="0"/>
            </w:tcBorders>
          </w:tcPr>
          <w:p>
            <w:pPr>
              <w:jc w:val="center"/>
              <w:rPr>
                <w:rFonts w:hint="eastAsia" w:ascii="宋体" w:hAnsi="宋体" w:eastAsia="宋体" w:cs="宋体"/>
                <w:sz w:val="18"/>
                <w:szCs w:val="18"/>
              </w:rPr>
            </w:pPr>
            <w:r>
              <w:rPr>
                <w:rFonts w:hint="eastAsia" w:ascii="宋体" w:hAnsi="宋体" w:eastAsia="宋体" w:cs="宋体"/>
                <w:sz w:val="18"/>
                <w:szCs w:val="18"/>
              </w:rPr>
              <w:t>0.0012</w:t>
            </w:r>
          </w:p>
        </w:tc>
        <w:tc>
          <w:tcPr>
            <w:tcW w:w="820" w:type="pct"/>
            <w:tcBorders>
              <w:left w:val="single" w:color="auto" w:sz="6" w:space="0"/>
              <w:right w:val="single" w:color="auto" w:sz="6" w:space="0"/>
            </w:tcBorders>
          </w:tcPr>
          <w:p>
            <w:pPr>
              <w:jc w:val="center"/>
              <w:rPr>
                <w:rFonts w:hint="eastAsia" w:ascii="宋体" w:hAnsi="宋体" w:eastAsia="宋体" w:cs="宋体"/>
                <w:sz w:val="18"/>
                <w:szCs w:val="18"/>
              </w:rPr>
            </w:pPr>
            <w:r>
              <w:rPr>
                <w:rFonts w:hint="eastAsia" w:ascii="宋体" w:hAnsi="宋体" w:eastAsia="宋体" w:cs="宋体"/>
                <w:sz w:val="18"/>
                <w:szCs w:val="18"/>
              </w:rPr>
              <w:t>0.0008</w:t>
            </w:r>
          </w:p>
        </w:tc>
        <w:tc>
          <w:tcPr>
            <w:tcW w:w="723" w:type="pct"/>
            <w:tcBorders>
              <w:left w:val="single" w:color="auto" w:sz="6" w:space="0"/>
              <w:right w:val="single" w:color="auto" w:sz="4" w:space="0"/>
            </w:tcBorders>
          </w:tcPr>
          <w:p>
            <w:pPr>
              <w:jc w:val="center"/>
              <w:rPr>
                <w:rFonts w:hint="eastAsia" w:ascii="宋体" w:hAnsi="宋体" w:eastAsia="宋体" w:cs="宋体"/>
                <w:sz w:val="18"/>
                <w:szCs w:val="18"/>
              </w:rPr>
            </w:pPr>
            <w:r>
              <w:rPr>
                <w:rFonts w:hint="eastAsia" w:ascii="宋体" w:hAnsi="宋体" w:eastAsia="宋体" w:cs="宋体"/>
                <w:sz w:val="18"/>
                <w:szCs w:val="18"/>
              </w:rPr>
              <w:t>0.0012</w:t>
            </w:r>
          </w:p>
        </w:tc>
        <w:tc>
          <w:tcPr>
            <w:tcW w:w="737" w:type="pct"/>
            <w:tcBorders>
              <w:left w:val="single" w:color="auto" w:sz="4" w:space="0"/>
              <w:right w:val="single" w:color="auto" w:sz="6" w:space="0"/>
            </w:tcBorders>
          </w:tcPr>
          <w:p>
            <w:pPr>
              <w:jc w:val="center"/>
              <w:rPr>
                <w:rFonts w:hint="eastAsia" w:ascii="宋体" w:hAnsi="宋体" w:eastAsia="宋体" w:cs="宋体"/>
                <w:sz w:val="18"/>
                <w:szCs w:val="18"/>
              </w:rPr>
            </w:pPr>
            <w:r>
              <w:rPr>
                <w:rFonts w:hint="eastAsia" w:ascii="宋体" w:hAnsi="宋体" w:eastAsia="宋体" w:cs="宋体"/>
                <w:sz w:val="18"/>
                <w:szCs w:val="18"/>
              </w:rPr>
              <w:t>0.0012</w:t>
            </w:r>
          </w:p>
        </w:tc>
        <w:tc>
          <w:tcPr>
            <w:tcW w:w="1119" w:type="pct"/>
            <w:tcBorders>
              <w:left w:val="single" w:color="auto" w:sz="6" w:space="0"/>
              <w:right w:val="single" w:color="auto" w:sz="6" w:space="0"/>
            </w:tcBorders>
          </w:tcPr>
          <w:p>
            <w:pPr>
              <w:jc w:val="center"/>
              <w:rPr>
                <w:rFonts w:hint="eastAsia" w:ascii="宋体" w:hAnsi="宋体" w:eastAsia="宋体" w:cs="宋体"/>
                <w:sz w:val="18"/>
                <w:szCs w:val="18"/>
              </w:rPr>
            </w:pPr>
            <w:r>
              <w:rPr>
                <w:rFonts w:hint="eastAsia" w:ascii="宋体" w:hAnsi="宋体" w:eastAsia="宋体" w:cs="宋体"/>
                <w:sz w:val="18"/>
                <w:szCs w:val="18"/>
              </w:rPr>
              <w:t>0.0014</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43"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Al</w:t>
            </w:r>
          </w:p>
        </w:tc>
        <w:tc>
          <w:tcPr>
            <w:tcW w:w="858" w:type="pct"/>
            <w:tcBorders>
              <w:left w:val="single" w:color="auto" w:sz="6" w:space="0"/>
              <w:right w:val="single" w:color="auto" w:sz="6" w:space="0"/>
            </w:tcBorders>
          </w:tcPr>
          <w:p>
            <w:pPr>
              <w:jc w:val="center"/>
              <w:rPr>
                <w:rFonts w:hint="eastAsia" w:ascii="宋体" w:hAnsi="宋体" w:eastAsia="宋体" w:cs="宋体"/>
                <w:sz w:val="18"/>
                <w:szCs w:val="18"/>
              </w:rPr>
            </w:pPr>
            <w:r>
              <w:rPr>
                <w:rFonts w:hint="eastAsia" w:ascii="宋体" w:hAnsi="宋体" w:eastAsia="宋体" w:cs="宋体"/>
                <w:sz w:val="18"/>
                <w:szCs w:val="18"/>
              </w:rPr>
              <w:t>0.0012</w:t>
            </w:r>
          </w:p>
        </w:tc>
        <w:tc>
          <w:tcPr>
            <w:tcW w:w="820" w:type="pct"/>
            <w:tcBorders>
              <w:left w:val="single" w:color="auto" w:sz="6" w:space="0"/>
              <w:right w:val="single" w:color="auto" w:sz="6" w:space="0"/>
            </w:tcBorders>
          </w:tcPr>
          <w:p>
            <w:pPr>
              <w:jc w:val="center"/>
              <w:rPr>
                <w:rFonts w:hint="eastAsia" w:ascii="宋体" w:hAnsi="宋体" w:eastAsia="宋体" w:cs="宋体"/>
                <w:sz w:val="18"/>
                <w:szCs w:val="18"/>
              </w:rPr>
            </w:pPr>
            <w:r>
              <w:rPr>
                <w:rFonts w:hint="eastAsia" w:ascii="宋体" w:hAnsi="宋体" w:eastAsia="宋体" w:cs="宋体"/>
                <w:sz w:val="18"/>
                <w:szCs w:val="18"/>
              </w:rPr>
              <w:t>0.0006</w:t>
            </w:r>
          </w:p>
        </w:tc>
        <w:tc>
          <w:tcPr>
            <w:tcW w:w="723" w:type="pct"/>
            <w:tcBorders>
              <w:left w:val="single" w:color="auto" w:sz="6" w:space="0"/>
              <w:right w:val="single" w:color="auto" w:sz="4" w:space="0"/>
            </w:tcBorders>
          </w:tcPr>
          <w:p>
            <w:pPr>
              <w:jc w:val="center"/>
              <w:rPr>
                <w:rFonts w:hint="eastAsia" w:ascii="宋体" w:hAnsi="宋体" w:eastAsia="宋体" w:cs="宋体"/>
                <w:sz w:val="18"/>
                <w:szCs w:val="18"/>
              </w:rPr>
            </w:pPr>
            <w:r>
              <w:rPr>
                <w:rFonts w:hint="eastAsia" w:ascii="宋体" w:hAnsi="宋体" w:eastAsia="宋体" w:cs="宋体"/>
                <w:sz w:val="18"/>
                <w:szCs w:val="18"/>
              </w:rPr>
              <w:t>0.0008</w:t>
            </w:r>
          </w:p>
        </w:tc>
        <w:tc>
          <w:tcPr>
            <w:tcW w:w="737" w:type="pct"/>
            <w:tcBorders>
              <w:left w:val="single" w:color="auto" w:sz="4" w:space="0"/>
              <w:right w:val="single" w:color="auto" w:sz="6" w:space="0"/>
            </w:tcBorders>
          </w:tcPr>
          <w:p>
            <w:pPr>
              <w:jc w:val="center"/>
              <w:rPr>
                <w:rFonts w:hint="eastAsia" w:ascii="宋体" w:hAnsi="宋体" w:eastAsia="宋体" w:cs="宋体"/>
                <w:sz w:val="18"/>
                <w:szCs w:val="18"/>
              </w:rPr>
            </w:pPr>
            <w:r>
              <w:rPr>
                <w:rFonts w:hint="eastAsia" w:ascii="宋体" w:hAnsi="宋体" w:eastAsia="宋体" w:cs="宋体"/>
                <w:sz w:val="18"/>
                <w:szCs w:val="18"/>
              </w:rPr>
              <w:t>0.0008</w:t>
            </w:r>
          </w:p>
        </w:tc>
        <w:tc>
          <w:tcPr>
            <w:tcW w:w="1119" w:type="pct"/>
            <w:tcBorders>
              <w:left w:val="single" w:color="auto" w:sz="6" w:space="0"/>
              <w:right w:val="single" w:color="auto" w:sz="6" w:space="0"/>
            </w:tcBorders>
          </w:tcPr>
          <w:p>
            <w:pPr>
              <w:jc w:val="center"/>
              <w:rPr>
                <w:rFonts w:hint="eastAsia" w:ascii="宋体" w:hAnsi="宋体" w:eastAsia="宋体" w:cs="宋体"/>
                <w:sz w:val="18"/>
                <w:szCs w:val="18"/>
              </w:rPr>
            </w:pPr>
            <w:r>
              <w:rPr>
                <w:rFonts w:hint="eastAsia" w:ascii="宋体" w:hAnsi="宋体" w:eastAsia="宋体" w:cs="宋体"/>
                <w:sz w:val="18"/>
                <w:szCs w:val="18"/>
              </w:rPr>
              <w:t>0.0013</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43"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Cu/Mn</w:t>
            </w:r>
          </w:p>
        </w:tc>
        <w:tc>
          <w:tcPr>
            <w:tcW w:w="858" w:type="pct"/>
            <w:tcBorders>
              <w:left w:val="single" w:color="auto" w:sz="6" w:space="0"/>
              <w:right w:val="single" w:color="auto" w:sz="6" w:space="0"/>
            </w:tcBorders>
          </w:tcPr>
          <w:p>
            <w:pPr>
              <w:jc w:val="center"/>
              <w:rPr>
                <w:rFonts w:hint="eastAsia" w:ascii="宋体" w:hAnsi="宋体" w:eastAsia="宋体" w:cs="宋体"/>
                <w:sz w:val="18"/>
                <w:szCs w:val="18"/>
              </w:rPr>
            </w:pPr>
            <w:r>
              <w:rPr>
                <w:rFonts w:hint="eastAsia" w:ascii="宋体" w:hAnsi="宋体" w:eastAsia="宋体" w:cs="宋体"/>
                <w:sz w:val="18"/>
                <w:szCs w:val="18"/>
              </w:rPr>
              <w:t>0.0003</w:t>
            </w:r>
          </w:p>
        </w:tc>
        <w:tc>
          <w:tcPr>
            <w:tcW w:w="820" w:type="pct"/>
            <w:tcBorders>
              <w:left w:val="single" w:color="auto" w:sz="6" w:space="0"/>
              <w:right w:val="single" w:color="auto" w:sz="6" w:space="0"/>
            </w:tcBorders>
          </w:tcPr>
          <w:p>
            <w:pPr>
              <w:jc w:val="center"/>
              <w:rPr>
                <w:rFonts w:hint="eastAsia" w:ascii="宋体" w:hAnsi="宋体" w:eastAsia="宋体" w:cs="宋体"/>
                <w:sz w:val="18"/>
                <w:szCs w:val="18"/>
              </w:rPr>
            </w:pPr>
            <w:r>
              <w:rPr>
                <w:rFonts w:hint="eastAsia" w:ascii="宋体" w:hAnsi="宋体" w:eastAsia="宋体" w:cs="宋体"/>
                <w:sz w:val="18"/>
                <w:szCs w:val="18"/>
              </w:rPr>
              <w:t>0.0002</w:t>
            </w:r>
          </w:p>
        </w:tc>
        <w:tc>
          <w:tcPr>
            <w:tcW w:w="723" w:type="pct"/>
            <w:tcBorders>
              <w:left w:val="single" w:color="auto" w:sz="6" w:space="0"/>
              <w:right w:val="single" w:color="auto" w:sz="4" w:space="0"/>
            </w:tcBorders>
          </w:tcPr>
          <w:p>
            <w:pPr>
              <w:jc w:val="center"/>
              <w:rPr>
                <w:rFonts w:hint="eastAsia" w:ascii="宋体" w:hAnsi="宋体" w:eastAsia="宋体" w:cs="宋体"/>
                <w:sz w:val="18"/>
                <w:szCs w:val="18"/>
              </w:rPr>
            </w:pPr>
            <w:r>
              <w:rPr>
                <w:rFonts w:hint="eastAsia" w:ascii="宋体" w:hAnsi="宋体" w:eastAsia="宋体" w:cs="宋体"/>
                <w:sz w:val="18"/>
                <w:szCs w:val="18"/>
              </w:rPr>
              <w:t>0.0002</w:t>
            </w:r>
          </w:p>
        </w:tc>
        <w:tc>
          <w:tcPr>
            <w:tcW w:w="737" w:type="pct"/>
            <w:tcBorders>
              <w:left w:val="single" w:color="auto" w:sz="4" w:space="0"/>
              <w:right w:val="single" w:color="auto" w:sz="6" w:space="0"/>
            </w:tcBorders>
          </w:tcPr>
          <w:p>
            <w:pPr>
              <w:jc w:val="center"/>
              <w:rPr>
                <w:rFonts w:hint="eastAsia" w:ascii="宋体" w:hAnsi="宋体" w:eastAsia="宋体" w:cs="宋体"/>
                <w:sz w:val="18"/>
                <w:szCs w:val="18"/>
              </w:rPr>
            </w:pPr>
            <w:r>
              <w:rPr>
                <w:rFonts w:hint="eastAsia" w:ascii="宋体" w:hAnsi="宋体" w:eastAsia="宋体" w:cs="宋体"/>
                <w:sz w:val="18"/>
                <w:szCs w:val="18"/>
              </w:rPr>
              <w:t>0.0003</w:t>
            </w:r>
          </w:p>
        </w:tc>
        <w:tc>
          <w:tcPr>
            <w:tcW w:w="1119" w:type="pct"/>
            <w:tcBorders>
              <w:left w:val="single" w:color="auto" w:sz="6" w:space="0"/>
              <w:right w:val="single" w:color="auto" w:sz="6" w:space="0"/>
            </w:tcBorders>
          </w:tcPr>
          <w:p>
            <w:pPr>
              <w:jc w:val="center"/>
              <w:rPr>
                <w:rFonts w:hint="eastAsia" w:ascii="宋体" w:hAnsi="宋体" w:eastAsia="宋体" w:cs="宋体"/>
                <w:sz w:val="18"/>
                <w:szCs w:val="18"/>
              </w:rPr>
            </w:pPr>
            <w:r>
              <w:rPr>
                <w:rFonts w:hint="eastAsia" w:ascii="宋体" w:hAnsi="宋体" w:eastAsia="宋体" w:cs="宋体"/>
                <w:sz w:val="18"/>
                <w:szCs w:val="18"/>
              </w:rPr>
              <w:t>0.0002</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43"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Ca</w:t>
            </w:r>
          </w:p>
        </w:tc>
        <w:tc>
          <w:tcPr>
            <w:tcW w:w="858"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0.0005</w:t>
            </w:r>
          </w:p>
        </w:tc>
        <w:tc>
          <w:tcPr>
            <w:tcW w:w="820"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0.0003</w:t>
            </w:r>
          </w:p>
        </w:tc>
        <w:tc>
          <w:tcPr>
            <w:tcW w:w="723" w:type="pct"/>
            <w:tcBorders>
              <w:left w:val="single" w:color="auto" w:sz="6"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0.0006</w:t>
            </w:r>
          </w:p>
        </w:tc>
        <w:tc>
          <w:tcPr>
            <w:tcW w:w="737" w:type="pct"/>
            <w:tcBorders>
              <w:left w:val="single" w:color="auto" w:sz="4"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0.0006</w:t>
            </w:r>
          </w:p>
        </w:tc>
        <w:tc>
          <w:tcPr>
            <w:tcW w:w="1119"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0.0008</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43"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Mg</w:t>
            </w:r>
          </w:p>
        </w:tc>
        <w:tc>
          <w:tcPr>
            <w:tcW w:w="858"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0.0003</w:t>
            </w:r>
          </w:p>
        </w:tc>
        <w:tc>
          <w:tcPr>
            <w:tcW w:w="820"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0.0002</w:t>
            </w:r>
          </w:p>
        </w:tc>
        <w:tc>
          <w:tcPr>
            <w:tcW w:w="723" w:type="pct"/>
            <w:tcBorders>
              <w:left w:val="single" w:color="auto" w:sz="6"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0.0004</w:t>
            </w:r>
          </w:p>
        </w:tc>
        <w:tc>
          <w:tcPr>
            <w:tcW w:w="737" w:type="pct"/>
            <w:tcBorders>
              <w:left w:val="single" w:color="auto" w:sz="4"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0.0002</w:t>
            </w:r>
          </w:p>
        </w:tc>
        <w:tc>
          <w:tcPr>
            <w:tcW w:w="1119"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0.0002</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43"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Cr</w:t>
            </w:r>
          </w:p>
        </w:tc>
        <w:tc>
          <w:tcPr>
            <w:tcW w:w="858"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0.0008</w:t>
            </w:r>
          </w:p>
        </w:tc>
        <w:tc>
          <w:tcPr>
            <w:tcW w:w="820"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0.0005</w:t>
            </w:r>
          </w:p>
        </w:tc>
        <w:tc>
          <w:tcPr>
            <w:tcW w:w="723" w:type="pct"/>
            <w:tcBorders>
              <w:left w:val="single" w:color="auto" w:sz="6"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0.0006</w:t>
            </w:r>
          </w:p>
        </w:tc>
        <w:tc>
          <w:tcPr>
            <w:tcW w:w="737" w:type="pct"/>
            <w:tcBorders>
              <w:left w:val="single" w:color="auto" w:sz="4"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0.0006</w:t>
            </w:r>
          </w:p>
        </w:tc>
        <w:tc>
          <w:tcPr>
            <w:tcW w:w="1119"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0.0007</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43"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Co/Zn</w:t>
            </w:r>
          </w:p>
        </w:tc>
        <w:tc>
          <w:tcPr>
            <w:tcW w:w="858" w:type="pct"/>
            <w:tcBorders>
              <w:left w:val="single" w:color="auto" w:sz="6" w:space="0"/>
              <w:right w:val="single" w:color="auto" w:sz="6" w:space="0"/>
            </w:tcBorders>
          </w:tcPr>
          <w:p>
            <w:pPr>
              <w:jc w:val="center"/>
              <w:rPr>
                <w:rFonts w:hint="eastAsia" w:ascii="宋体" w:hAnsi="宋体" w:eastAsia="宋体" w:cs="宋体"/>
                <w:sz w:val="18"/>
                <w:szCs w:val="18"/>
              </w:rPr>
            </w:pPr>
            <w:r>
              <w:rPr>
                <w:rFonts w:hint="eastAsia" w:ascii="宋体" w:hAnsi="宋体" w:eastAsia="宋体" w:cs="宋体"/>
                <w:sz w:val="18"/>
                <w:szCs w:val="18"/>
              </w:rPr>
              <w:t>0.0007</w:t>
            </w:r>
          </w:p>
        </w:tc>
        <w:tc>
          <w:tcPr>
            <w:tcW w:w="820" w:type="pct"/>
            <w:tcBorders>
              <w:left w:val="single" w:color="auto" w:sz="6" w:space="0"/>
              <w:right w:val="single" w:color="auto" w:sz="6" w:space="0"/>
            </w:tcBorders>
          </w:tcPr>
          <w:p>
            <w:pPr>
              <w:jc w:val="center"/>
              <w:rPr>
                <w:rFonts w:hint="eastAsia" w:ascii="宋体" w:hAnsi="宋体" w:eastAsia="宋体" w:cs="宋体"/>
                <w:sz w:val="18"/>
                <w:szCs w:val="18"/>
              </w:rPr>
            </w:pPr>
            <w:r>
              <w:rPr>
                <w:rFonts w:hint="eastAsia" w:ascii="宋体" w:hAnsi="宋体" w:eastAsia="宋体" w:cs="宋体"/>
                <w:sz w:val="18"/>
                <w:szCs w:val="18"/>
              </w:rPr>
              <w:t>0.0004</w:t>
            </w:r>
          </w:p>
        </w:tc>
        <w:tc>
          <w:tcPr>
            <w:tcW w:w="723" w:type="pct"/>
            <w:tcBorders>
              <w:left w:val="single" w:color="auto" w:sz="6" w:space="0"/>
              <w:right w:val="single" w:color="auto" w:sz="4" w:space="0"/>
            </w:tcBorders>
          </w:tcPr>
          <w:p>
            <w:pPr>
              <w:jc w:val="center"/>
              <w:rPr>
                <w:rFonts w:hint="eastAsia" w:ascii="宋体" w:hAnsi="宋体" w:eastAsia="宋体" w:cs="宋体"/>
                <w:sz w:val="18"/>
                <w:szCs w:val="18"/>
              </w:rPr>
            </w:pPr>
            <w:r>
              <w:rPr>
                <w:rFonts w:hint="eastAsia" w:ascii="宋体" w:hAnsi="宋体" w:eastAsia="宋体" w:cs="宋体"/>
                <w:sz w:val="18"/>
                <w:szCs w:val="18"/>
              </w:rPr>
              <w:t>0.0005</w:t>
            </w:r>
          </w:p>
        </w:tc>
        <w:tc>
          <w:tcPr>
            <w:tcW w:w="737" w:type="pct"/>
            <w:tcBorders>
              <w:left w:val="single" w:color="auto" w:sz="4" w:space="0"/>
              <w:right w:val="single" w:color="auto" w:sz="6" w:space="0"/>
            </w:tcBorders>
          </w:tcPr>
          <w:p>
            <w:pPr>
              <w:jc w:val="center"/>
              <w:rPr>
                <w:rFonts w:hint="eastAsia" w:ascii="宋体" w:hAnsi="宋体" w:eastAsia="宋体" w:cs="宋体"/>
                <w:sz w:val="18"/>
                <w:szCs w:val="18"/>
              </w:rPr>
            </w:pPr>
            <w:r>
              <w:rPr>
                <w:rFonts w:hint="eastAsia" w:ascii="宋体" w:hAnsi="宋体" w:eastAsia="宋体" w:cs="宋体"/>
                <w:sz w:val="18"/>
                <w:szCs w:val="18"/>
              </w:rPr>
              <w:t>0.0006</w:t>
            </w:r>
          </w:p>
        </w:tc>
        <w:tc>
          <w:tcPr>
            <w:tcW w:w="1119" w:type="pct"/>
            <w:tcBorders>
              <w:left w:val="single" w:color="auto" w:sz="6" w:space="0"/>
              <w:right w:val="single" w:color="auto" w:sz="6" w:space="0"/>
            </w:tcBorders>
          </w:tcPr>
          <w:p>
            <w:pPr>
              <w:jc w:val="center"/>
              <w:rPr>
                <w:rFonts w:hint="eastAsia" w:ascii="宋体" w:hAnsi="宋体" w:eastAsia="宋体" w:cs="宋体"/>
                <w:sz w:val="18"/>
                <w:szCs w:val="18"/>
              </w:rPr>
            </w:pPr>
            <w:r>
              <w:rPr>
                <w:rFonts w:hint="eastAsia" w:ascii="宋体" w:hAnsi="宋体" w:eastAsia="宋体" w:cs="宋体"/>
                <w:sz w:val="18"/>
                <w:szCs w:val="18"/>
              </w:rPr>
              <w:t>0.0006</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43"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W</w:t>
            </w:r>
          </w:p>
        </w:tc>
        <w:tc>
          <w:tcPr>
            <w:tcW w:w="858"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820"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30</w:t>
            </w:r>
          </w:p>
        </w:tc>
        <w:tc>
          <w:tcPr>
            <w:tcW w:w="723" w:type="pct"/>
            <w:tcBorders>
              <w:left w:val="single" w:color="auto" w:sz="6"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737" w:type="pct"/>
            <w:tcBorders>
              <w:left w:val="single" w:color="auto" w:sz="4"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1119"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43"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Ta</w:t>
            </w:r>
          </w:p>
        </w:tc>
        <w:tc>
          <w:tcPr>
            <w:tcW w:w="858"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820"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723" w:type="pct"/>
            <w:tcBorders>
              <w:left w:val="single" w:color="auto" w:sz="6"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10</w:t>
            </w:r>
          </w:p>
        </w:tc>
        <w:tc>
          <w:tcPr>
            <w:tcW w:w="737" w:type="pct"/>
            <w:tcBorders>
              <w:left w:val="single" w:color="auto" w:sz="4"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1119"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43"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Na</w:t>
            </w:r>
          </w:p>
        </w:tc>
        <w:tc>
          <w:tcPr>
            <w:tcW w:w="858"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820"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723" w:type="pct"/>
            <w:tcBorders>
              <w:left w:val="single" w:color="auto" w:sz="6"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737" w:type="pct"/>
            <w:tcBorders>
              <w:left w:val="single" w:color="auto" w:sz="4"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1.6</w:t>
            </w:r>
          </w:p>
        </w:tc>
        <w:tc>
          <w:tcPr>
            <w:tcW w:w="1119"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43"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Nb</w:t>
            </w:r>
          </w:p>
        </w:tc>
        <w:tc>
          <w:tcPr>
            <w:tcW w:w="858"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820"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723" w:type="pct"/>
            <w:tcBorders>
              <w:left w:val="single" w:color="auto" w:sz="6"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737" w:type="pct"/>
            <w:tcBorders>
              <w:left w:val="single" w:color="auto" w:sz="4"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p>
        </w:tc>
        <w:tc>
          <w:tcPr>
            <w:tcW w:w="1119" w:type="pct"/>
            <w:tcBorders>
              <w:left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10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743" w:type="pct"/>
            <w:tcBorders>
              <w:left w:val="single" w:color="auto" w:sz="6" w:space="0"/>
              <w:bottom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Mo</w:t>
            </w:r>
          </w:p>
        </w:tc>
        <w:tc>
          <w:tcPr>
            <w:tcW w:w="858" w:type="pct"/>
            <w:tcBorders>
              <w:left w:val="single" w:color="auto" w:sz="6" w:space="0"/>
              <w:bottom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余量</w:t>
            </w:r>
          </w:p>
        </w:tc>
        <w:tc>
          <w:tcPr>
            <w:tcW w:w="820" w:type="pct"/>
            <w:tcBorders>
              <w:left w:val="single" w:color="auto" w:sz="6" w:space="0"/>
              <w:bottom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余量</w:t>
            </w:r>
          </w:p>
        </w:tc>
        <w:tc>
          <w:tcPr>
            <w:tcW w:w="723" w:type="pct"/>
            <w:tcBorders>
              <w:left w:val="single" w:color="auto" w:sz="6" w:space="0"/>
              <w:bottom w:val="single" w:color="auto" w:sz="6"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余量5</w:t>
            </w:r>
          </w:p>
        </w:tc>
        <w:tc>
          <w:tcPr>
            <w:tcW w:w="737" w:type="pct"/>
            <w:tcBorders>
              <w:left w:val="single" w:color="auto" w:sz="4" w:space="0"/>
              <w:bottom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余量</w:t>
            </w:r>
          </w:p>
        </w:tc>
        <w:tc>
          <w:tcPr>
            <w:tcW w:w="1119" w:type="pct"/>
            <w:tcBorders>
              <w:left w:val="single" w:color="auto" w:sz="6" w:space="0"/>
              <w:bottom w:val="single" w:color="auto" w:sz="6" w:space="0"/>
              <w:right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余量</w:t>
            </w:r>
          </w:p>
        </w:tc>
      </w:tr>
    </w:tbl>
    <w:p>
      <w:pPr>
        <w:ind w:firstLine="420" w:firstLineChars="200"/>
        <w:rPr>
          <w:szCs w:val="21"/>
        </w:rPr>
      </w:pPr>
      <w:r>
        <w:rPr>
          <w:rFonts w:hint="eastAsia"/>
          <w:szCs w:val="21"/>
        </w:rPr>
        <w:t>2、</w:t>
      </w:r>
      <w:r>
        <w:rPr>
          <w:szCs w:val="21"/>
        </w:rPr>
        <w:t>针对客户需求，并经协商，按本标准对钼管进行表面粗糙度验证</w:t>
      </w:r>
      <w:r>
        <w:rPr>
          <w:rFonts w:hint="eastAsia"/>
          <w:szCs w:val="21"/>
        </w:rPr>
        <w:t>，</w:t>
      </w:r>
      <w:r>
        <w:rPr>
          <w:szCs w:val="21"/>
        </w:rPr>
        <w:t>见表</w:t>
      </w:r>
      <w:r>
        <w:rPr>
          <w:rFonts w:hint="eastAsia"/>
          <w:szCs w:val="21"/>
        </w:rPr>
        <w:t>5</w:t>
      </w:r>
      <w:r>
        <w:rPr>
          <w:szCs w:val="21"/>
        </w:rPr>
        <w:t>。</w:t>
      </w:r>
    </w:p>
    <w:p>
      <w:pPr>
        <w:spacing w:before="156" w:beforeLines="50"/>
        <w:jc w:val="center"/>
        <w:rPr>
          <w:rFonts w:ascii="黑体" w:hAnsi="黑体" w:eastAsia="黑体" w:cs="黑体"/>
          <w:sz w:val="18"/>
          <w:szCs w:val="18"/>
        </w:rPr>
      </w:pPr>
      <w:r>
        <w:rPr>
          <w:szCs w:val="21"/>
        </w:rPr>
        <w:t xml:space="preserve"> </w:t>
      </w:r>
      <w:r>
        <w:rPr>
          <w:rFonts w:hint="eastAsia" w:ascii="黑体" w:hAnsi="黑体" w:eastAsia="黑体" w:cs="黑体"/>
          <w:sz w:val="18"/>
          <w:szCs w:val="18"/>
        </w:rPr>
        <w:t>表5 钼及钼合金管靶表面粗糙度</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2092"/>
        <w:gridCol w:w="2579"/>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79"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牌号</w:t>
            </w:r>
          </w:p>
        </w:tc>
        <w:tc>
          <w:tcPr>
            <w:tcW w:w="1226"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物料批次</w:t>
            </w:r>
          </w:p>
        </w:tc>
        <w:tc>
          <w:tcPr>
            <w:tcW w:w="1513" w:type="pct"/>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钼管外表面Ra</w:t>
            </w:r>
          </w:p>
          <w:p>
            <w:pPr>
              <w:jc w:val="center"/>
              <w:rPr>
                <w:rFonts w:hint="eastAsia" w:ascii="宋体" w:hAnsi="宋体" w:eastAsia="宋体" w:cs="宋体"/>
                <w:kern w:val="0"/>
                <w:sz w:val="18"/>
                <w:szCs w:val="18"/>
              </w:rPr>
            </w:pPr>
            <w:bookmarkStart w:id="2" w:name="_Hlk74044672"/>
            <w:r>
              <w:rPr>
                <w:rFonts w:hint="eastAsia" w:ascii="宋体" w:hAnsi="宋体" w:eastAsia="宋体" w:cs="宋体"/>
                <w:kern w:val="0"/>
                <w:sz w:val="18"/>
                <w:szCs w:val="18"/>
              </w:rPr>
              <w:t>μm</w:t>
            </w:r>
            <w:bookmarkEnd w:id="2"/>
          </w:p>
        </w:tc>
        <w:tc>
          <w:tcPr>
            <w:tcW w:w="1579" w:type="pct"/>
            <w:vAlign w:val="center"/>
          </w:tcPr>
          <w:p>
            <w:pPr>
              <w:ind w:left="720" w:hanging="720" w:hangingChars="400"/>
              <w:jc w:val="center"/>
              <w:rPr>
                <w:rFonts w:hint="eastAsia" w:ascii="宋体" w:hAnsi="宋体" w:eastAsia="宋体" w:cs="宋体"/>
                <w:kern w:val="0"/>
                <w:sz w:val="18"/>
                <w:szCs w:val="18"/>
              </w:rPr>
            </w:pPr>
            <w:r>
              <w:rPr>
                <w:rFonts w:hint="eastAsia" w:ascii="宋体" w:hAnsi="宋体" w:eastAsia="宋体" w:cs="宋体"/>
                <w:kern w:val="0"/>
                <w:sz w:val="18"/>
                <w:szCs w:val="18"/>
              </w:rPr>
              <w:t>钼管内表面Ra</w:t>
            </w:r>
          </w:p>
          <w:p>
            <w:pPr>
              <w:ind w:left="720" w:hanging="720" w:hangingChars="400"/>
              <w:jc w:val="center"/>
              <w:rPr>
                <w:rFonts w:hint="eastAsia" w:ascii="宋体" w:hAnsi="宋体" w:eastAsia="宋体" w:cs="宋体"/>
                <w:kern w:val="0"/>
                <w:sz w:val="18"/>
                <w:szCs w:val="18"/>
              </w:rPr>
            </w:pPr>
            <w:r>
              <w:rPr>
                <w:rFonts w:hint="eastAsia" w:ascii="宋体" w:hAnsi="宋体" w:eastAsia="宋体" w:cs="宋体"/>
                <w:kern w:val="0"/>
                <w:sz w:val="18"/>
                <w:szCs w:val="18"/>
              </w:rPr>
              <w:t>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FGMo</w:t>
            </w:r>
          </w:p>
        </w:tc>
        <w:tc>
          <w:tcPr>
            <w:tcW w:w="1226"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M-1-1102-2020</w:t>
            </w:r>
          </w:p>
        </w:tc>
        <w:tc>
          <w:tcPr>
            <w:tcW w:w="1513"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0.8</w:t>
            </w:r>
          </w:p>
        </w:tc>
        <w:tc>
          <w:tcPr>
            <w:tcW w:w="1579"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FGMoW</w:t>
            </w:r>
          </w:p>
        </w:tc>
        <w:tc>
          <w:tcPr>
            <w:tcW w:w="1226"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MW-2-1111-2020</w:t>
            </w:r>
          </w:p>
        </w:tc>
        <w:tc>
          <w:tcPr>
            <w:tcW w:w="1513"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0.8</w:t>
            </w:r>
          </w:p>
        </w:tc>
        <w:tc>
          <w:tcPr>
            <w:tcW w:w="1579"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FGMoTa</w:t>
            </w:r>
          </w:p>
        </w:tc>
        <w:tc>
          <w:tcPr>
            <w:tcW w:w="1226"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MT-3-1112-2020</w:t>
            </w:r>
          </w:p>
        </w:tc>
        <w:tc>
          <w:tcPr>
            <w:tcW w:w="1513"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0.8</w:t>
            </w:r>
          </w:p>
        </w:tc>
        <w:tc>
          <w:tcPr>
            <w:tcW w:w="1579"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FGMoNa</w:t>
            </w:r>
          </w:p>
        </w:tc>
        <w:tc>
          <w:tcPr>
            <w:tcW w:w="1226"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MNa-4-1114-2020</w:t>
            </w:r>
          </w:p>
        </w:tc>
        <w:tc>
          <w:tcPr>
            <w:tcW w:w="1513"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0.8</w:t>
            </w:r>
          </w:p>
        </w:tc>
        <w:tc>
          <w:tcPr>
            <w:tcW w:w="1579"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FGMoNb</w:t>
            </w:r>
          </w:p>
        </w:tc>
        <w:tc>
          <w:tcPr>
            <w:tcW w:w="1226"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MNb-5-1115-2020</w:t>
            </w:r>
          </w:p>
        </w:tc>
        <w:tc>
          <w:tcPr>
            <w:tcW w:w="1513"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0.8</w:t>
            </w:r>
          </w:p>
        </w:tc>
        <w:tc>
          <w:tcPr>
            <w:tcW w:w="1579"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pct"/>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rPr>
              <w:t>标准值 （不大于）</w:t>
            </w:r>
          </w:p>
        </w:tc>
        <w:tc>
          <w:tcPr>
            <w:tcW w:w="1513"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1.25</w:t>
            </w:r>
          </w:p>
        </w:tc>
        <w:tc>
          <w:tcPr>
            <w:tcW w:w="1579" w:type="pct"/>
            <w:vAlign w:val="center"/>
          </w:tcPr>
          <w:p>
            <w:pPr>
              <w:jc w:val="center"/>
              <w:rPr>
                <w:rFonts w:hint="eastAsia" w:ascii="宋体" w:hAnsi="宋体" w:eastAsia="宋体" w:cs="宋体"/>
                <w:sz w:val="18"/>
                <w:szCs w:val="18"/>
              </w:rPr>
            </w:pPr>
            <w:r>
              <w:rPr>
                <w:rFonts w:hint="eastAsia" w:ascii="宋体" w:hAnsi="宋体" w:eastAsia="宋体" w:cs="宋体"/>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pct"/>
            <w:gridSpan w:val="2"/>
            <w:vAlign w:val="center"/>
          </w:tcPr>
          <w:p>
            <w:pPr>
              <w:jc w:val="center"/>
              <w:rPr>
                <w:rFonts w:hint="eastAsia" w:ascii="宋体" w:hAnsi="宋体" w:eastAsia="宋体" w:cs="宋体"/>
                <w:sz w:val="18"/>
                <w:szCs w:val="18"/>
              </w:rPr>
            </w:pPr>
            <w:r>
              <w:rPr>
                <w:rFonts w:hint="eastAsia" w:ascii="宋体" w:hAnsi="宋体" w:eastAsia="宋体" w:cs="宋体"/>
                <w:sz w:val="18"/>
                <w:szCs w:val="18"/>
              </w:rPr>
              <w:t>检测标准</w:t>
            </w:r>
          </w:p>
        </w:tc>
        <w:tc>
          <w:tcPr>
            <w:tcW w:w="1513" w:type="pct"/>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rPr>
              <w:t>GB/T 1031</w:t>
            </w:r>
          </w:p>
        </w:tc>
        <w:tc>
          <w:tcPr>
            <w:tcW w:w="1579" w:type="pct"/>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rPr>
              <w:t>GB/T 1031</w:t>
            </w:r>
          </w:p>
        </w:tc>
      </w:tr>
    </w:tbl>
    <w:p>
      <w:pPr>
        <w:spacing w:before="156" w:beforeLines="50"/>
        <w:ind w:firstLine="420" w:firstLineChars="200"/>
        <w:rPr>
          <w:rFonts w:hAnsi="宋体"/>
          <w:szCs w:val="21"/>
        </w:rPr>
      </w:pPr>
      <w:r>
        <w:rPr>
          <w:rFonts w:hint="eastAsia" w:hAnsi="宋体"/>
          <w:szCs w:val="21"/>
        </w:rPr>
        <w:t>从表5的数据分析，标准中规定的钼管表面粗糙度是科学合理的。</w:t>
      </w:r>
    </w:p>
    <w:p>
      <w:pPr>
        <w:spacing w:before="156" w:beforeLines="50" w:after="156" w:afterLines="50" w:line="360" w:lineRule="auto"/>
        <w:jc w:val="left"/>
        <w:rPr>
          <w:rFonts w:ascii="宋体" w:hAnsi="宋体"/>
          <w:b/>
          <w:szCs w:val="21"/>
        </w:rPr>
      </w:pPr>
      <w:r>
        <w:rPr>
          <w:rFonts w:hint="eastAsia" w:ascii="宋体" w:hAnsi="宋体"/>
          <w:b/>
          <w:szCs w:val="21"/>
        </w:rPr>
        <w:t>四、标准中涉及专利的情况</w:t>
      </w:r>
    </w:p>
    <w:p>
      <w:pPr>
        <w:ind w:firstLine="420" w:firstLineChars="200"/>
        <w:rPr>
          <w:rFonts w:ascii="宋体" w:hAnsi="宋体" w:cs="宋体"/>
          <w:color w:val="000000"/>
          <w:szCs w:val="21"/>
        </w:rPr>
      </w:pPr>
      <w:r>
        <w:rPr>
          <w:rFonts w:hint="eastAsia" w:ascii="宋体" w:hAnsi="宋体" w:cs="宋体"/>
          <w:color w:val="000000"/>
          <w:szCs w:val="21"/>
        </w:rPr>
        <w:t>本标准不涉及专利问题。</w:t>
      </w:r>
    </w:p>
    <w:p>
      <w:pPr>
        <w:spacing w:before="156" w:beforeLines="50" w:after="156" w:afterLines="50" w:line="360" w:lineRule="auto"/>
        <w:jc w:val="left"/>
        <w:rPr>
          <w:rFonts w:ascii="宋体" w:hAnsi="宋体"/>
          <w:b/>
          <w:color w:val="000000"/>
          <w:szCs w:val="21"/>
        </w:rPr>
      </w:pPr>
      <w:r>
        <w:rPr>
          <w:rFonts w:hint="eastAsia" w:ascii="宋体" w:hAnsi="宋体"/>
          <w:b/>
          <w:color w:val="000000"/>
          <w:szCs w:val="21"/>
        </w:rPr>
        <w:t>五、预期达到的社会效益等情况</w:t>
      </w:r>
    </w:p>
    <w:p>
      <w:pPr>
        <w:widowControl/>
        <w:numPr>
          <w:ilvl w:val="0"/>
          <w:numId w:val="8"/>
        </w:numPr>
        <w:tabs>
          <w:tab w:val="left" w:pos="567"/>
        </w:tabs>
        <w:spacing w:before="156" w:beforeLines="50" w:after="156" w:afterLines="50" w:line="300" w:lineRule="auto"/>
        <w:jc w:val="left"/>
        <w:outlineLvl w:val="2"/>
        <w:rPr>
          <w:rFonts w:ascii="宋体" w:hAnsi="宋体"/>
          <w:b/>
          <w:color w:val="000000"/>
          <w:kern w:val="0"/>
          <w:szCs w:val="21"/>
        </w:rPr>
      </w:pPr>
      <w:r>
        <w:rPr>
          <w:rFonts w:hint="eastAsia" w:ascii="宋体" w:hAnsi="宋体"/>
          <w:b/>
          <w:color w:val="000000"/>
          <w:kern w:val="0"/>
          <w:szCs w:val="21"/>
        </w:rPr>
        <w:t>项目的必要性简述</w:t>
      </w:r>
    </w:p>
    <w:p>
      <w:pPr>
        <w:numPr>
          <w:ilvl w:val="0"/>
          <w:numId w:val="9"/>
        </w:numPr>
        <w:adjustRightInd w:val="0"/>
        <w:snapToGrid w:val="0"/>
        <w:ind w:firstLine="420" w:firstLineChars="200"/>
        <w:rPr>
          <w:rFonts w:ascii="宋体" w:hAnsi="宋体"/>
          <w:szCs w:val="21"/>
        </w:rPr>
      </w:pPr>
      <w:r>
        <w:rPr>
          <w:rFonts w:hint="eastAsia" w:ascii="宋体" w:hAnsi="宋体"/>
          <w:szCs w:val="21"/>
        </w:rPr>
        <w:t>本标准修订符合《国家标准化体系建设发展规划（2016-2020年）》（国办发[2015]89号），三、重点领域，（一）加强经济建设标准化，支撑转型升级，专栏2、工业标准化重点，材料中完善钢铁、有色金属等原材料工业标准，加快标准制修订工作，充分发挥标准上下游协同作用的要求。</w:t>
      </w:r>
    </w:p>
    <w:p>
      <w:pPr>
        <w:ind w:firstLine="420" w:firstLineChars="200"/>
        <w:rPr>
          <w:szCs w:val="21"/>
        </w:rPr>
      </w:pPr>
      <w:r>
        <w:rPr>
          <w:szCs w:val="21"/>
        </w:rPr>
        <w:t>目前，国内各企业</w:t>
      </w:r>
      <w:r>
        <w:rPr>
          <w:rFonts w:hint="eastAsia"/>
          <w:szCs w:val="21"/>
        </w:rPr>
        <w:t>生产的钼及钼合金管靶</w:t>
      </w:r>
      <w:r>
        <w:rPr>
          <w:szCs w:val="21"/>
        </w:rPr>
        <w:t>产品标准不同，型号、规格等差异较大，导致客户选择产品没有针对性，产品使用效果差异很大。因此制订统一规范的钼及钼合金管靶国家标准对其生产、使用、贮存和运输具有重要的指导意义。</w:t>
      </w:r>
    </w:p>
    <w:p>
      <w:pPr>
        <w:widowControl/>
        <w:numPr>
          <w:ilvl w:val="0"/>
          <w:numId w:val="8"/>
        </w:numPr>
        <w:tabs>
          <w:tab w:val="left" w:pos="567"/>
        </w:tabs>
        <w:spacing w:before="156" w:beforeLines="50" w:after="156" w:afterLines="50" w:line="300" w:lineRule="auto"/>
        <w:jc w:val="left"/>
        <w:outlineLvl w:val="2"/>
        <w:rPr>
          <w:rFonts w:ascii="宋体" w:hAnsi="宋体"/>
          <w:b/>
          <w:color w:val="000000"/>
          <w:kern w:val="0"/>
          <w:szCs w:val="21"/>
        </w:rPr>
      </w:pPr>
      <w:r>
        <w:rPr>
          <w:rFonts w:hint="eastAsia" w:ascii="宋体" w:hAnsi="宋体"/>
          <w:b/>
          <w:color w:val="000000"/>
          <w:kern w:val="0"/>
          <w:szCs w:val="21"/>
        </w:rPr>
        <w:t>项目的可行性简介</w:t>
      </w:r>
    </w:p>
    <w:p>
      <w:pPr>
        <w:numPr>
          <w:ilvl w:val="0"/>
          <w:numId w:val="9"/>
        </w:numPr>
        <w:adjustRightInd w:val="0"/>
        <w:snapToGrid w:val="0"/>
        <w:ind w:firstLine="420" w:firstLineChars="200"/>
        <w:rPr>
          <w:rFonts w:ascii="宋体" w:hAnsi="宋体"/>
          <w:szCs w:val="21"/>
        </w:rPr>
      </w:pPr>
      <w:r>
        <w:rPr>
          <w:rFonts w:hint="eastAsia" w:ascii="宋体" w:hAnsi="宋体"/>
          <w:szCs w:val="21"/>
        </w:rPr>
        <w:t>随着我国钼工业的快速发展，已成功研制出钼及钼合金管靶，其化学成分、密度、内外表面质量、粗糙度等指标参数可满足</w:t>
      </w:r>
      <w:r>
        <w:rPr>
          <w:szCs w:val="21"/>
        </w:rPr>
        <w:t>TFT-LCD（薄膜半导体管-液晶显示器）、等离子显示屏、薄膜太阳能电池、隔热屏等领域</w:t>
      </w:r>
      <w:r>
        <w:rPr>
          <w:rFonts w:hint="eastAsia" w:ascii="宋体" w:hAnsi="宋体"/>
          <w:szCs w:val="21"/>
        </w:rPr>
        <w:t>对钼及钼合金管靶的需求。</w:t>
      </w:r>
    </w:p>
    <w:p>
      <w:pPr>
        <w:numPr>
          <w:ilvl w:val="0"/>
          <w:numId w:val="9"/>
        </w:numPr>
        <w:adjustRightInd w:val="0"/>
        <w:snapToGrid w:val="0"/>
        <w:ind w:firstLine="420" w:firstLineChars="200"/>
        <w:rPr>
          <w:rFonts w:ascii="宋体" w:hAnsi="宋体"/>
          <w:szCs w:val="21"/>
        </w:rPr>
      </w:pPr>
      <w:r>
        <w:rPr>
          <w:rFonts w:hint="eastAsia" w:ascii="宋体" w:hAnsi="宋体"/>
          <w:szCs w:val="21"/>
        </w:rPr>
        <w:t>近几年来，对钼及钼合金管靶进行了大量推广应用，已积累大量真实可靠的产品技术条件参数、性能测试数据和应用数据，现制定《钼及钼合金管靶》的行业标准技术条件已成熟，具备充实的制定条件和恰当的制定时机。</w:t>
      </w:r>
    </w:p>
    <w:p>
      <w:pPr>
        <w:widowControl/>
        <w:numPr>
          <w:ilvl w:val="0"/>
          <w:numId w:val="8"/>
        </w:numPr>
        <w:tabs>
          <w:tab w:val="left" w:pos="567"/>
        </w:tabs>
        <w:spacing w:before="156" w:beforeLines="50" w:after="156" w:afterLines="50" w:line="300" w:lineRule="auto"/>
        <w:jc w:val="left"/>
        <w:outlineLvl w:val="2"/>
        <w:rPr>
          <w:rFonts w:ascii="宋体" w:hAnsi="宋体"/>
          <w:color w:val="000000"/>
          <w:szCs w:val="21"/>
        </w:rPr>
      </w:pPr>
      <w:r>
        <w:rPr>
          <w:rFonts w:hint="eastAsia" w:ascii="宋体" w:hAnsi="宋体"/>
          <w:b/>
          <w:color w:val="000000"/>
          <w:kern w:val="0"/>
          <w:szCs w:val="21"/>
        </w:rPr>
        <w:t>标准的先进性、创新性、标准实施后预期产生的经济效益和社会效益。</w:t>
      </w:r>
    </w:p>
    <w:p>
      <w:pPr>
        <w:pStyle w:val="11"/>
        <w:numPr>
          <w:ilvl w:val="0"/>
          <w:numId w:val="0"/>
        </w:numPr>
        <w:spacing w:beforeLines="0" w:afterLines="0" w:line="480" w:lineRule="exact"/>
        <w:rPr>
          <w:rFonts w:ascii="Times New Roman" w:eastAsia="宋体"/>
          <w:b/>
          <w:bCs/>
          <w:color w:val="000000"/>
          <w:szCs w:val="21"/>
        </w:rPr>
      </w:pPr>
      <w:r>
        <w:rPr>
          <w:rFonts w:hint="eastAsia" w:ascii="Times New Roman" w:eastAsia="宋体"/>
          <w:b/>
          <w:bCs/>
          <w:color w:val="000000"/>
          <w:szCs w:val="21"/>
        </w:rPr>
        <w:t>3.1标准先进性、创新性分析</w:t>
      </w:r>
    </w:p>
    <w:p>
      <w:pPr>
        <w:numPr>
          <w:ilvl w:val="0"/>
          <w:numId w:val="9"/>
        </w:numPr>
        <w:adjustRightInd w:val="0"/>
        <w:snapToGrid w:val="0"/>
        <w:ind w:firstLine="420" w:firstLineChars="200"/>
        <w:rPr>
          <w:rFonts w:ascii="宋体" w:hAnsi="宋体"/>
          <w:szCs w:val="21"/>
        </w:rPr>
      </w:pPr>
      <w:r>
        <w:rPr>
          <w:rFonts w:hint="eastAsia" w:ascii="宋体" w:hAnsi="宋体"/>
          <w:szCs w:val="21"/>
        </w:rPr>
        <w:t>本标准根据我国钼及钼合金管靶的生产情况首次制定，填补了国内钼金属加工行业的一项空白，其技术指标符合用户要求，先进合理。本标准在编制过程中进行了大量的数据收集和试验测试工作，同时兼顾了国内大部分钼及钼合金管靶生产厂家的现状。</w:t>
      </w:r>
    </w:p>
    <w:p>
      <w:pPr>
        <w:numPr>
          <w:ilvl w:val="0"/>
          <w:numId w:val="9"/>
        </w:numPr>
        <w:adjustRightInd w:val="0"/>
        <w:snapToGrid w:val="0"/>
        <w:ind w:firstLine="420" w:firstLineChars="200"/>
        <w:rPr>
          <w:rFonts w:ascii="宋体" w:hAnsi="宋体"/>
          <w:szCs w:val="21"/>
        </w:rPr>
      </w:pPr>
      <w:r>
        <w:rPr>
          <w:rFonts w:hint="eastAsia" w:ascii="宋体" w:hAnsi="宋体"/>
          <w:szCs w:val="21"/>
        </w:rPr>
        <w:t>通过文献检索，网上查询，国内没有关于钼及钼合金管靶相关标准。目前钼及钼合金管靶生产技术非常成熟，且国内及国外已得到大规模普及，因此迫切需要制定该产品行业标准，对钼及钼合金管靶供应作出规范。</w:t>
      </w:r>
    </w:p>
    <w:p>
      <w:pPr>
        <w:numPr>
          <w:ilvl w:val="0"/>
          <w:numId w:val="9"/>
        </w:numPr>
        <w:adjustRightInd w:val="0"/>
        <w:snapToGrid w:val="0"/>
        <w:ind w:firstLine="420" w:firstLineChars="200"/>
        <w:rPr>
          <w:rFonts w:ascii="宋体" w:hAnsi="宋体"/>
          <w:szCs w:val="21"/>
        </w:rPr>
      </w:pPr>
      <w:r>
        <w:rPr>
          <w:rFonts w:hint="eastAsia" w:ascii="宋体" w:hAnsi="宋体"/>
          <w:szCs w:val="21"/>
        </w:rPr>
        <w:t>综上所述，本标准的主要技术指标均达到国外钼及钼合金管靶生产企业质量水平，综合水平达到国内先进水平。</w:t>
      </w:r>
    </w:p>
    <w:p>
      <w:pPr>
        <w:pStyle w:val="11"/>
        <w:numPr>
          <w:ilvl w:val="0"/>
          <w:numId w:val="0"/>
        </w:numPr>
        <w:spacing w:beforeLines="0" w:afterLines="0" w:line="480" w:lineRule="exact"/>
        <w:rPr>
          <w:rFonts w:ascii="Times New Roman" w:eastAsia="宋体"/>
          <w:b/>
          <w:bCs/>
          <w:color w:val="000000"/>
          <w:szCs w:val="21"/>
        </w:rPr>
      </w:pPr>
      <w:r>
        <w:rPr>
          <w:rFonts w:hint="eastAsia" w:ascii="Times New Roman" w:eastAsia="宋体"/>
          <w:b/>
          <w:bCs/>
          <w:color w:val="000000"/>
          <w:szCs w:val="21"/>
        </w:rPr>
        <w:t>3.2预期效益</w:t>
      </w:r>
    </w:p>
    <w:p>
      <w:pPr>
        <w:numPr>
          <w:ilvl w:val="0"/>
          <w:numId w:val="9"/>
        </w:numPr>
        <w:adjustRightInd w:val="0"/>
        <w:snapToGrid w:val="0"/>
        <w:ind w:firstLine="420" w:firstLineChars="200"/>
        <w:rPr>
          <w:rFonts w:ascii="仿宋" w:hAnsi="仿宋" w:eastAsia="仿宋"/>
          <w:szCs w:val="21"/>
        </w:rPr>
      </w:pPr>
      <w:r>
        <w:rPr>
          <w:rFonts w:hint="eastAsia" w:ascii="宋体" w:hAnsi="宋体"/>
          <w:szCs w:val="21"/>
        </w:rPr>
        <w:t>本标准的制定，可及时解决产品牌号表述不一致、最新研制产品无标准可依。通过本标准的制定，可使我国钼及钼合金管靶的技术要求更加先进、合理，使我国钼及钼合金管靶的整体质量水平达到国际先进水平，对促进我国钼及钼合金管靶生产应用的有序化和规范化将产生积极作用，对推广我国钼及钼合金管靶的发展将产生重要影响，并将有力的推动我国钼行业产品快速健康的发展。</w:t>
      </w:r>
    </w:p>
    <w:p>
      <w:pPr>
        <w:spacing w:before="156" w:beforeLines="50" w:after="156" w:afterLines="50" w:line="360" w:lineRule="auto"/>
        <w:jc w:val="left"/>
        <w:rPr>
          <w:rFonts w:ascii="宋体" w:hAnsi="宋体"/>
          <w:b/>
          <w:color w:val="000000"/>
          <w:szCs w:val="21"/>
        </w:rPr>
      </w:pPr>
      <w:r>
        <w:rPr>
          <w:rFonts w:hint="eastAsia" w:ascii="宋体" w:hAnsi="宋体"/>
          <w:b/>
          <w:color w:val="000000"/>
          <w:szCs w:val="21"/>
        </w:rPr>
        <w:t>六、采用国际标准和国外先进标准的情况</w:t>
      </w:r>
    </w:p>
    <w:p>
      <w:pPr>
        <w:numPr>
          <w:ilvl w:val="0"/>
          <w:numId w:val="9"/>
        </w:numPr>
        <w:adjustRightInd w:val="0"/>
        <w:snapToGrid w:val="0"/>
        <w:ind w:firstLine="420" w:firstLineChars="200"/>
        <w:rPr>
          <w:rFonts w:ascii="宋体" w:hAnsi="宋体"/>
          <w:szCs w:val="21"/>
        </w:rPr>
      </w:pPr>
      <w:r>
        <w:rPr>
          <w:rFonts w:hint="eastAsia" w:ascii="宋体" w:hAnsi="宋体"/>
          <w:szCs w:val="21"/>
        </w:rPr>
        <w:t>无</w:t>
      </w:r>
    </w:p>
    <w:p>
      <w:pPr>
        <w:spacing w:before="156" w:beforeLines="50" w:after="156" w:afterLines="50" w:line="360" w:lineRule="auto"/>
        <w:jc w:val="left"/>
        <w:rPr>
          <w:rFonts w:ascii="宋体" w:hAnsi="宋体"/>
          <w:b/>
          <w:color w:val="000000"/>
          <w:szCs w:val="21"/>
        </w:rPr>
      </w:pPr>
      <w:r>
        <w:rPr>
          <w:rFonts w:hint="eastAsia" w:ascii="宋体" w:hAnsi="宋体"/>
          <w:b/>
          <w:color w:val="000000"/>
          <w:szCs w:val="21"/>
        </w:rPr>
        <w:t>七、与现行相关法律、法规、规章及相关标准，特别是强制性国家标准的协调配套情况</w:t>
      </w:r>
    </w:p>
    <w:p>
      <w:pPr>
        <w:numPr>
          <w:ilvl w:val="0"/>
          <w:numId w:val="9"/>
        </w:numPr>
        <w:adjustRightInd w:val="0"/>
        <w:snapToGrid w:val="0"/>
        <w:ind w:firstLine="420" w:firstLineChars="200"/>
        <w:rPr>
          <w:rFonts w:ascii="宋体" w:hAnsi="宋体"/>
          <w:szCs w:val="21"/>
        </w:rPr>
      </w:pPr>
      <w:r>
        <w:rPr>
          <w:rFonts w:hint="eastAsia" w:ascii="宋体" w:hAnsi="宋体"/>
          <w:szCs w:val="21"/>
        </w:rPr>
        <w:t>本标准《钼及钼合金管靶》从技术上保证了产品使用的安全性和可靠性，条文精炼表述清楚，技术要求全面、准确、科学、合理；标准的格式和表达方式等方面完全执行了现行的国家标准和有关法规，符合G</w:t>
      </w:r>
      <w:r>
        <w:rPr>
          <w:rFonts w:ascii="宋体" w:hAnsi="宋体"/>
          <w:szCs w:val="21"/>
        </w:rPr>
        <w:t>B/T 1.1-2020</w:t>
      </w:r>
      <w:r>
        <w:rPr>
          <w:rFonts w:hint="eastAsia" w:ascii="宋体" w:hAnsi="宋体"/>
          <w:szCs w:val="21"/>
        </w:rPr>
        <w:t>的有关要求。</w:t>
      </w:r>
    </w:p>
    <w:p>
      <w:pPr>
        <w:spacing w:before="156" w:beforeLines="50" w:after="156" w:afterLines="50" w:line="360" w:lineRule="auto"/>
        <w:jc w:val="left"/>
        <w:rPr>
          <w:rFonts w:ascii="宋体" w:hAnsi="宋体"/>
          <w:b/>
          <w:color w:val="000000"/>
          <w:szCs w:val="21"/>
        </w:rPr>
      </w:pPr>
      <w:r>
        <w:rPr>
          <w:rFonts w:hint="eastAsia" w:ascii="宋体" w:hAnsi="宋体"/>
          <w:b/>
          <w:color w:val="000000"/>
          <w:szCs w:val="21"/>
        </w:rPr>
        <w:t>八、重大分歧意见的处理经过和依据</w:t>
      </w:r>
    </w:p>
    <w:p>
      <w:pPr>
        <w:numPr>
          <w:ilvl w:val="0"/>
          <w:numId w:val="9"/>
        </w:numPr>
        <w:adjustRightInd w:val="0"/>
        <w:snapToGrid w:val="0"/>
        <w:ind w:firstLine="420" w:firstLineChars="200"/>
        <w:rPr>
          <w:rFonts w:ascii="宋体" w:hAnsi="宋体"/>
          <w:szCs w:val="21"/>
        </w:rPr>
      </w:pPr>
      <w:r>
        <w:rPr>
          <w:rFonts w:hint="eastAsia" w:ascii="宋体" w:hAnsi="宋体"/>
          <w:szCs w:val="21"/>
        </w:rPr>
        <w:t>暂无重大分歧意见。</w:t>
      </w:r>
    </w:p>
    <w:p>
      <w:pPr>
        <w:spacing w:before="156" w:beforeLines="50" w:after="156" w:afterLines="50" w:line="360" w:lineRule="auto"/>
        <w:jc w:val="left"/>
        <w:rPr>
          <w:rFonts w:ascii="宋体" w:hAnsi="宋体"/>
          <w:b/>
          <w:color w:val="000000"/>
          <w:szCs w:val="21"/>
        </w:rPr>
      </w:pPr>
      <w:r>
        <w:rPr>
          <w:rFonts w:hint="eastAsia" w:ascii="宋体" w:hAnsi="宋体"/>
          <w:b/>
          <w:color w:val="000000"/>
          <w:szCs w:val="21"/>
        </w:rPr>
        <w:t>九、标准性质的建议说明</w:t>
      </w:r>
    </w:p>
    <w:p>
      <w:pPr>
        <w:numPr>
          <w:ilvl w:val="0"/>
          <w:numId w:val="9"/>
        </w:numPr>
        <w:adjustRightInd w:val="0"/>
        <w:snapToGrid w:val="0"/>
        <w:ind w:firstLine="420" w:firstLineChars="200"/>
        <w:rPr>
          <w:rFonts w:ascii="宋体" w:hAnsi="宋体"/>
          <w:szCs w:val="21"/>
        </w:rPr>
      </w:pPr>
      <w:r>
        <w:rPr>
          <w:rFonts w:hint="eastAsia" w:ascii="宋体" w:hAnsi="宋体"/>
          <w:szCs w:val="21"/>
        </w:rPr>
        <w:t>鉴于本标准规定的热电偶钼管，不涉及人身及设备安全的内容，其属产品标准，不属于安全性标准。依据标准化法和有关规定，建议本标准的性质为推荐性国家标准。</w:t>
      </w:r>
    </w:p>
    <w:p>
      <w:pPr>
        <w:spacing w:before="156" w:beforeLines="50" w:after="156" w:afterLines="50" w:line="360" w:lineRule="auto"/>
        <w:jc w:val="left"/>
        <w:rPr>
          <w:rFonts w:ascii="宋体" w:hAnsi="宋体"/>
          <w:b/>
          <w:color w:val="000000"/>
          <w:szCs w:val="21"/>
        </w:rPr>
      </w:pPr>
      <w:r>
        <w:rPr>
          <w:rFonts w:hint="eastAsia" w:ascii="宋体" w:hAnsi="宋体"/>
          <w:b/>
          <w:color w:val="000000"/>
          <w:szCs w:val="21"/>
        </w:rPr>
        <w:t>十、贯彻标准的要求和措施建议</w:t>
      </w:r>
    </w:p>
    <w:p>
      <w:pPr>
        <w:numPr>
          <w:ilvl w:val="0"/>
          <w:numId w:val="9"/>
        </w:numPr>
        <w:adjustRightInd w:val="0"/>
        <w:snapToGrid w:val="0"/>
        <w:ind w:firstLine="420" w:firstLineChars="200"/>
        <w:rPr>
          <w:rFonts w:ascii="宋体" w:hAnsi="宋体"/>
          <w:szCs w:val="21"/>
        </w:rPr>
      </w:pPr>
      <w:r>
        <w:rPr>
          <w:rFonts w:hint="eastAsia" w:ascii="宋体" w:hAnsi="宋体"/>
          <w:szCs w:val="21"/>
        </w:rPr>
        <w:t>1、首先应在实施前保证标准文本的充足供应，使每个制造厂、设计单位以及检测机构等都能及时获取本标准文本，这是保证新标准贯彻实施的基础。</w:t>
      </w:r>
    </w:p>
    <w:p>
      <w:pPr>
        <w:numPr>
          <w:ilvl w:val="0"/>
          <w:numId w:val="9"/>
        </w:numPr>
        <w:adjustRightInd w:val="0"/>
        <w:snapToGrid w:val="0"/>
        <w:ind w:firstLine="420" w:firstLineChars="200"/>
        <w:rPr>
          <w:rFonts w:ascii="宋体" w:hAnsi="宋体"/>
          <w:szCs w:val="21"/>
        </w:rPr>
      </w:pPr>
      <w:r>
        <w:rPr>
          <w:rFonts w:ascii="宋体" w:hAnsi="宋体"/>
          <w:szCs w:val="21"/>
        </w:rPr>
        <w:t>2</w:t>
      </w:r>
      <w:r>
        <w:rPr>
          <w:rFonts w:hint="eastAsia" w:ascii="宋体" w:hAnsi="宋体"/>
          <w:szCs w:val="21"/>
        </w:rPr>
        <w:t>、本次修订的《钼及钼合金管靶》，不仅与生产企业有关，而且与设计单位、检测机构等相关。对于标准使用过程中容易出现的疑问，起草单位有义务进行必要的解释。</w:t>
      </w:r>
    </w:p>
    <w:p>
      <w:pPr>
        <w:numPr>
          <w:ilvl w:val="0"/>
          <w:numId w:val="9"/>
        </w:numPr>
        <w:adjustRightInd w:val="0"/>
        <w:snapToGrid w:val="0"/>
        <w:ind w:firstLine="420" w:firstLineChars="200"/>
        <w:rPr>
          <w:rFonts w:ascii="宋体" w:hAnsi="宋体"/>
          <w:szCs w:val="21"/>
        </w:rPr>
      </w:pPr>
      <w:r>
        <w:rPr>
          <w:rFonts w:hint="eastAsia" w:ascii="宋体" w:hAnsi="宋体"/>
          <w:szCs w:val="21"/>
        </w:rPr>
        <w:t>3、可以针对标准使用的不同对象，如制造厂、质量监管等相关部门，有侧重点地进行标准的培训和宣贯，以保证标准的贯彻实施。</w:t>
      </w:r>
    </w:p>
    <w:p>
      <w:pPr>
        <w:numPr>
          <w:ilvl w:val="0"/>
          <w:numId w:val="9"/>
        </w:numPr>
        <w:adjustRightInd w:val="0"/>
        <w:snapToGrid w:val="0"/>
        <w:ind w:firstLine="420" w:firstLineChars="200"/>
        <w:rPr>
          <w:rFonts w:ascii="宋体" w:hAnsi="宋体"/>
          <w:szCs w:val="21"/>
        </w:rPr>
      </w:pPr>
      <w:r>
        <w:rPr>
          <w:rFonts w:ascii="宋体" w:hAnsi="宋体"/>
          <w:szCs w:val="21"/>
        </w:rPr>
        <w:t>4</w:t>
      </w:r>
      <w:r>
        <w:rPr>
          <w:rFonts w:hint="eastAsia" w:ascii="宋体" w:hAnsi="宋体"/>
          <w:szCs w:val="21"/>
        </w:rPr>
        <w:t>、建议本标准批准发布6个月后实施。</w:t>
      </w:r>
    </w:p>
    <w:p>
      <w:pPr>
        <w:spacing w:line="360" w:lineRule="auto"/>
        <w:jc w:val="left"/>
        <w:rPr>
          <w:rFonts w:ascii="宋体" w:hAnsi="宋体"/>
          <w:b/>
          <w:color w:val="000000"/>
          <w:szCs w:val="21"/>
        </w:rPr>
      </w:pPr>
      <w:r>
        <w:rPr>
          <w:rFonts w:hint="eastAsia" w:ascii="宋体" w:hAnsi="宋体"/>
          <w:b/>
          <w:color w:val="000000"/>
          <w:szCs w:val="21"/>
        </w:rPr>
        <w:t>十一、废止现行有关标准的建议</w:t>
      </w:r>
    </w:p>
    <w:p>
      <w:pPr>
        <w:numPr>
          <w:ilvl w:val="0"/>
          <w:numId w:val="9"/>
        </w:numPr>
        <w:adjustRightInd w:val="0"/>
        <w:snapToGrid w:val="0"/>
        <w:ind w:firstLine="420" w:firstLineChars="200"/>
        <w:rPr>
          <w:rFonts w:ascii="宋体" w:hAnsi="宋体"/>
          <w:szCs w:val="21"/>
        </w:rPr>
      </w:pPr>
      <w:r>
        <w:rPr>
          <w:rFonts w:hint="eastAsia" w:ascii="宋体" w:hAnsi="宋体"/>
          <w:szCs w:val="21"/>
        </w:rPr>
        <w:t>无</w:t>
      </w:r>
    </w:p>
    <w:p>
      <w:pPr>
        <w:spacing w:before="156" w:beforeLines="50" w:after="156" w:afterLines="50" w:line="360" w:lineRule="auto"/>
        <w:jc w:val="left"/>
        <w:rPr>
          <w:rFonts w:ascii="宋体" w:hAnsi="宋体"/>
          <w:b/>
          <w:color w:val="000000"/>
          <w:szCs w:val="21"/>
        </w:rPr>
      </w:pPr>
      <w:r>
        <w:rPr>
          <w:rFonts w:hint="eastAsia" w:ascii="宋体" w:hAnsi="宋体"/>
          <w:b/>
          <w:color w:val="000000"/>
          <w:szCs w:val="21"/>
        </w:rPr>
        <w:t>十二、其他应予说明的事项</w:t>
      </w:r>
    </w:p>
    <w:p>
      <w:pPr>
        <w:tabs>
          <w:tab w:val="center" w:pos="4436"/>
        </w:tabs>
        <w:ind w:firstLine="420" w:firstLineChars="200"/>
        <w:rPr>
          <w:szCs w:val="21"/>
        </w:rPr>
      </w:pPr>
      <w:r>
        <w:rPr>
          <w:rFonts w:hAnsi="宋体"/>
          <w:szCs w:val="21"/>
        </w:rPr>
        <w:t>本标准是我国钼金属制品系列标准之一，不仅规范了国内</w:t>
      </w:r>
      <w:r>
        <w:rPr>
          <w:rFonts w:hint="eastAsia" w:ascii="宋体" w:hAnsi="宋体"/>
          <w:szCs w:val="21"/>
        </w:rPr>
        <w:t>钼及钼合金管靶</w:t>
      </w:r>
      <w:r>
        <w:rPr>
          <w:rFonts w:hAnsi="宋体"/>
          <w:szCs w:val="21"/>
        </w:rPr>
        <w:t>的生产和使用，完善了钼金属制品标准体系，而且以我国新材料产业</w:t>
      </w:r>
      <w:r>
        <w:rPr>
          <w:rFonts w:hint="eastAsia" w:hAnsi="宋体"/>
          <w:szCs w:val="21"/>
        </w:rPr>
        <w:t>“</w:t>
      </w:r>
      <w:r>
        <w:rPr>
          <w:rFonts w:hAnsi="宋体"/>
          <w:szCs w:val="21"/>
        </w:rPr>
        <w:t>十三五</w:t>
      </w:r>
      <w:r>
        <w:rPr>
          <w:rFonts w:hint="eastAsia" w:hAnsi="宋体"/>
          <w:szCs w:val="21"/>
        </w:rPr>
        <w:t>”</w:t>
      </w:r>
      <w:r>
        <w:rPr>
          <w:rFonts w:hAnsi="宋体"/>
          <w:szCs w:val="21"/>
        </w:rPr>
        <w:t>发展规划中的</w:t>
      </w:r>
      <w:r>
        <w:rPr>
          <w:rFonts w:hint="eastAsia" w:hAnsi="宋体"/>
          <w:szCs w:val="21"/>
        </w:rPr>
        <w:t>“</w:t>
      </w:r>
      <w:r>
        <w:rPr>
          <w:rFonts w:hAnsi="宋体"/>
          <w:szCs w:val="21"/>
        </w:rPr>
        <w:t>稀有金属材料</w:t>
      </w:r>
      <w:r>
        <w:rPr>
          <w:rFonts w:hint="eastAsia" w:hAnsi="宋体"/>
          <w:szCs w:val="21"/>
        </w:rPr>
        <w:t>”</w:t>
      </w:r>
      <w:r>
        <w:rPr>
          <w:rFonts w:hAnsi="宋体"/>
          <w:szCs w:val="21"/>
        </w:rPr>
        <w:t>高技术含量深加工材料为基础，体现客户利益。标准制定时充分考虑了国内外相关生产企业实际质量水平，具有充分的先进性、科学性、普遍性、广泛性和适用性，其综合水平达到国际先进水平，完全满足国内外用户、市场及我国产品进出口的需求，更有利于提高我国</w:t>
      </w:r>
      <w:r>
        <w:rPr>
          <w:rFonts w:hint="eastAsia" w:hAnsi="宋体"/>
          <w:szCs w:val="21"/>
        </w:rPr>
        <w:t>钼管</w:t>
      </w:r>
      <w:r>
        <w:rPr>
          <w:rFonts w:hAnsi="宋体"/>
          <w:szCs w:val="21"/>
        </w:rPr>
        <w:t>产品的国际竞争力。</w:t>
      </w:r>
    </w:p>
    <w:p>
      <w:pPr>
        <w:tabs>
          <w:tab w:val="center" w:pos="4436"/>
        </w:tabs>
        <w:ind w:firstLine="420" w:firstLineChars="200"/>
        <w:rPr>
          <w:rFonts w:ascii="宋体" w:hAnsi="宋体"/>
          <w:szCs w:val="21"/>
        </w:rPr>
      </w:pPr>
      <w:r>
        <w:rPr>
          <w:rFonts w:hAnsi="宋体"/>
          <w:szCs w:val="21"/>
        </w:rPr>
        <w:t>通过推广采用该标准，对钼金属加工领域实施</w:t>
      </w:r>
      <w:r>
        <w:rPr>
          <w:rFonts w:hint="eastAsia" w:hAnsi="宋体"/>
          <w:szCs w:val="21"/>
        </w:rPr>
        <w:t>“</w:t>
      </w:r>
      <w:r>
        <w:rPr>
          <w:rFonts w:hAnsi="宋体"/>
          <w:szCs w:val="21"/>
        </w:rPr>
        <w:t>中国制造</w:t>
      </w:r>
      <w:r>
        <w:rPr>
          <w:rFonts w:hint="eastAsia" w:hAnsi="宋体"/>
          <w:szCs w:val="21"/>
        </w:rPr>
        <w:t>”</w:t>
      </w:r>
      <w:r>
        <w:rPr>
          <w:rFonts w:hAnsi="宋体"/>
          <w:szCs w:val="21"/>
        </w:rPr>
        <w:t>或</w:t>
      </w:r>
      <w:r>
        <w:rPr>
          <w:rFonts w:hint="eastAsia" w:hAnsi="宋体"/>
          <w:szCs w:val="21"/>
        </w:rPr>
        <w:t>“</w:t>
      </w:r>
      <w:r>
        <w:rPr>
          <w:rFonts w:hAnsi="宋体"/>
          <w:szCs w:val="21"/>
        </w:rPr>
        <w:t>中国创造</w:t>
      </w:r>
      <w:r>
        <w:rPr>
          <w:rFonts w:hint="eastAsia" w:hAnsi="宋体"/>
          <w:szCs w:val="21"/>
        </w:rPr>
        <w:t>”</w:t>
      </w:r>
      <w:r>
        <w:rPr>
          <w:rFonts w:hAnsi="宋体"/>
          <w:szCs w:val="21"/>
        </w:rPr>
        <w:t>的飞速发展，提升产品质量，促进产业发展，具有极大的政治意义、社会效益和经济效益。</w:t>
      </w:r>
    </w:p>
    <w:p>
      <w:pPr>
        <w:numPr>
          <w:ilvl w:val="0"/>
          <w:numId w:val="9"/>
        </w:numPr>
        <w:adjustRightInd w:val="0"/>
        <w:snapToGrid w:val="0"/>
        <w:ind w:firstLine="420" w:firstLineChars="200"/>
        <w:rPr>
          <w:rFonts w:ascii="宋体" w:hAnsi="宋体"/>
          <w:szCs w:val="21"/>
        </w:rPr>
      </w:pPr>
      <w:r>
        <w:rPr>
          <w:rFonts w:hint="eastAsia" w:ascii="宋体" w:hAnsi="宋体"/>
          <w:szCs w:val="21"/>
        </w:rPr>
        <w:t>本标准发布实施后，将使我国钼及钼合金管靶的整体质量水平可以完全达到国际先进水平，在满足国内需求的同时提高了在国际市场上的竞争实力，对促进我国钼及钼合金管靶的发展将产生深远的影响。</w:t>
      </w:r>
    </w:p>
    <w:p>
      <w:pPr>
        <w:spacing w:line="460" w:lineRule="exact"/>
        <w:ind w:firstLine="5145" w:firstLineChars="2450"/>
        <w:rPr>
          <w:szCs w:val="21"/>
        </w:rPr>
      </w:pPr>
      <w:r>
        <w:rPr>
          <w:rFonts w:hAnsi="宋体"/>
          <w:szCs w:val="21"/>
        </w:rPr>
        <w:t>编制组</w:t>
      </w:r>
    </w:p>
    <w:p>
      <w:pPr>
        <w:spacing w:line="460" w:lineRule="exact"/>
        <w:ind w:firstLine="4830" w:firstLineChars="2300"/>
      </w:pPr>
      <w:r>
        <w:rPr>
          <w:szCs w:val="21"/>
        </w:rPr>
        <w:t>20</w:t>
      </w:r>
      <w:r>
        <w:rPr>
          <w:rFonts w:hint="eastAsia"/>
          <w:szCs w:val="21"/>
        </w:rPr>
        <w:t>2</w:t>
      </w:r>
      <w:r>
        <w:rPr>
          <w:rFonts w:hint="eastAsia"/>
          <w:szCs w:val="21"/>
          <w:lang w:val="en-US" w:eastAsia="zh-CN"/>
        </w:rPr>
        <w:t>2</w:t>
      </w:r>
      <w:r>
        <w:rPr>
          <w:rFonts w:hAnsi="宋体"/>
          <w:szCs w:val="21"/>
        </w:rPr>
        <w:t>年</w:t>
      </w:r>
      <w:r>
        <w:rPr>
          <w:rFonts w:hint="eastAsia" w:hAnsi="宋体"/>
          <w:szCs w:val="21"/>
          <w:lang w:val="en-US" w:eastAsia="zh-CN"/>
        </w:rPr>
        <w:t>6</w:t>
      </w:r>
      <w:r>
        <w:rPr>
          <w:rFonts w:hAnsi="宋体"/>
          <w:szCs w:val="21"/>
        </w:rPr>
        <w:t>月</w:t>
      </w:r>
      <w:r>
        <w:rPr>
          <w:rFonts w:hint="eastAsia"/>
          <w:szCs w:val="21"/>
        </w:rPr>
        <w:t>8</w:t>
      </w:r>
      <w:r>
        <w:rPr>
          <w:rFonts w:hAnsi="宋体"/>
          <w:szCs w:val="21"/>
        </w:rPr>
        <w:t>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AD4C2C"/>
    <w:multiLevelType w:val="singleLevel"/>
    <w:tmpl w:val="D3AD4C2C"/>
    <w:lvl w:ilvl="0" w:tentative="0">
      <w:start w:val="2"/>
      <w:numFmt w:val="chineseCounting"/>
      <w:suff w:val="nothing"/>
      <w:lvlText w:val="%1、"/>
      <w:lvlJc w:val="left"/>
      <w:rPr>
        <w:rFonts w:hint="eastAsia"/>
      </w:rPr>
    </w:lvl>
  </w:abstractNum>
  <w:abstractNum w:abstractNumId="1">
    <w:nsid w:val="DD0B7738"/>
    <w:multiLevelType w:val="singleLevel"/>
    <w:tmpl w:val="DD0B7738"/>
    <w:lvl w:ilvl="0" w:tentative="0">
      <w:start w:val="2"/>
      <w:numFmt w:val="chineseCounting"/>
      <w:suff w:val="nothing"/>
      <w:lvlText w:val="（%1）"/>
      <w:lvlJc w:val="left"/>
      <w:rPr>
        <w:rFonts w:hint="eastAsia"/>
      </w:rPr>
    </w:lvl>
  </w:abstractNum>
  <w:abstractNum w:abstractNumId="2">
    <w:nsid w:val="0000000B"/>
    <w:multiLevelType w:val="multilevel"/>
    <w:tmpl w:val="0000000B"/>
    <w:lvl w:ilvl="0" w:tentative="0">
      <w:start w:val="1"/>
      <w:numFmt w:val="none"/>
      <w:suff w:val="nothing"/>
      <w:lvlText w:val="%1"/>
      <w:lvlJc w:val="left"/>
      <w:pPr>
        <w:ind w:left="0" w:firstLine="0"/>
      </w:pPr>
      <w:rPr>
        <w:rFonts w:hint="default" w:ascii="Times New Roman" w:hAnsi="Times New Roman"/>
        <w:b/>
        <w:i w:val="0"/>
        <w:sz w:val="21"/>
        <w:lang w:val="en-US"/>
      </w:rPr>
    </w:lvl>
    <w:lvl w:ilvl="1" w:tentative="0">
      <w:start w:val="1"/>
      <w:numFmt w:val="decimal"/>
      <w:suff w:val="nothing"/>
      <w:lvlText w:val="%1%2　"/>
      <w:lvlJc w:val="left"/>
      <w:pPr>
        <w:ind w:left="0" w:firstLine="0"/>
      </w:pPr>
      <w:rPr>
        <w:rFonts w:hint="eastAsia" w:ascii="宋体" w:hAnsi="宋体" w:eastAsia="宋体"/>
        <w:b w:val="0"/>
        <w:bCs/>
        <w:i w:val="0"/>
        <w:sz w:val="24"/>
        <w:szCs w:val="24"/>
      </w:rPr>
    </w:lvl>
    <w:lvl w:ilvl="2" w:tentative="0">
      <w:start w:val="1"/>
      <w:numFmt w:val="decimal"/>
      <w:suff w:val="nothing"/>
      <w:lvlText w:val="%1%2.%3　"/>
      <w:lvlJc w:val="left"/>
      <w:pPr>
        <w:ind w:left="90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77C6AB1"/>
    <w:multiLevelType w:val="multilevel"/>
    <w:tmpl w:val="277C6AB1"/>
    <w:lvl w:ilvl="0" w:tentative="0">
      <w:start w:val="1"/>
      <w:numFmt w:val="chineseCountingThousand"/>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39B50F8C"/>
    <w:multiLevelType w:val="multilevel"/>
    <w:tmpl w:val="39B50F8C"/>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1903BDD"/>
    <w:multiLevelType w:val="multilevel"/>
    <w:tmpl w:val="51903BDD"/>
    <w:lvl w:ilvl="0" w:tentative="0">
      <w:start w:val="1"/>
      <w:numFmt w:val="chineseCountingThousand"/>
      <w:lvlText w:val="(%1)"/>
      <w:lvlJc w:val="left"/>
      <w:pPr>
        <w:ind w:left="425" w:hanging="425"/>
      </w:pPr>
      <w:rPr>
        <w:b/>
        <w:bCs/>
        <w:sz w:val="24"/>
        <w:szCs w:val="24"/>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586975B5"/>
    <w:multiLevelType w:val="multilevel"/>
    <w:tmpl w:val="586975B5"/>
    <w:lvl w:ilvl="0" w:tentative="0">
      <w:start w:val="1"/>
      <w:numFmt w:val="decimal"/>
      <w:pStyle w:val="1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7">
    <w:nsid w:val="646260FA"/>
    <w:multiLevelType w:val="multilevel"/>
    <w:tmpl w:val="646260FA"/>
    <w:lvl w:ilvl="0" w:tentative="0">
      <w:start w:val="1"/>
      <w:numFmt w:val="decimal"/>
      <w:suff w:val="nothing"/>
      <w:lvlText w:val="表%1　"/>
      <w:lvlJc w:val="left"/>
      <w:pPr>
        <w:ind w:left="0" w:firstLine="0"/>
      </w:pPr>
      <w:rPr>
        <w:rFonts w:hint="default" w:ascii="黑体" w:hAnsi="Times New Roman" w:eastAsia="黑体"/>
        <w:b w:val="0"/>
        <w:i w:val="0"/>
        <w:sz w:val="18"/>
        <w:szCs w:val="18"/>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0"/>
      <w:suff w:val="nothing"/>
      <w:lvlText w:val="%1%2　"/>
      <w:lvlJc w:val="left"/>
      <w:pPr>
        <w:ind w:left="0" w:firstLine="0"/>
      </w:pPr>
      <w:rPr>
        <w:rFonts w:hint="eastAsia" w:ascii="黑体" w:hAnsi="Times New Roman" w:eastAsia="黑体"/>
        <w:b w:val="0"/>
        <w:i w:val="0"/>
        <w:sz w:val="21"/>
      </w:rPr>
    </w:lvl>
    <w:lvl w:ilvl="2" w:tentative="0">
      <w:start w:val="1"/>
      <w:numFmt w:val="decimal"/>
      <w:pStyle w:val="1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8"/>
  </w:num>
  <w:num w:numId="2">
    <w:abstractNumId w:val="6"/>
  </w:num>
  <w:num w:numId="3">
    <w:abstractNumId w:val="1"/>
  </w:num>
  <w:num w:numId="4">
    <w:abstractNumId w:val="7"/>
  </w:num>
  <w:num w:numId="5">
    <w:abstractNumId w:val="0"/>
  </w:num>
  <w:num w:numId="6">
    <w:abstractNumId w:val="4"/>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UyYTFkYjA5ZTRhYmMyNzU1MGE2ZGM2NTcyYzNlZjAifQ=="/>
  </w:docVars>
  <w:rsids>
    <w:rsidRoot w:val="00AD68A4"/>
    <w:rsid w:val="00067EB2"/>
    <w:rsid w:val="000834E5"/>
    <w:rsid w:val="000A63F8"/>
    <w:rsid w:val="000D5FDF"/>
    <w:rsid w:val="00115E54"/>
    <w:rsid w:val="00117C36"/>
    <w:rsid w:val="0015476B"/>
    <w:rsid w:val="00166DCD"/>
    <w:rsid w:val="001A5D6B"/>
    <w:rsid w:val="001F3B43"/>
    <w:rsid w:val="00253DE2"/>
    <w:rsid w:val="0026138B"/>
    <w:rsid w:val="002B57C1"/>
    <w:rsid w:val="002D16CB"/>
    <w:rsid w:val="002E3C8D"/>
    <w:rsid w:val="002E5884"/>
    <w:rsid w:val="0031221B"/>
    <w:rsid w:val="00315B77"/>
    <w:rsid w:val="003420CE"/>
    <w:rsid w:val="00377270"/>
    <w:rsid w:val="00386E5A"/>
    <w:rsid w:val="00387096"/>
    <w:rsid w:val="003C3581"/>
    <w:rsid w:val="003E7233"/>
    <w:rsid w:val="003F576F"/>
    <w:rsid w:val="00402279"/>
    <w:rsid w:val="00482B18"/>
    <w:rsid w:val="004F4A6C"/>
    <w:rsid w:val="005076B2"/>
    <w:rsid w:val="00527595"/>
    <w:rsid w:val="00533999"/>
    <w:rsid w:val="00580463"/>
    <w:rsid w:val="005D4D09"/>
    <w:rsid w:val="005E7531"/>
    <w:rsid w:val="005F7FD3"/>
    <w:rsid w:val="006007C2"/>
    <w:rsid w:val="00633756"/>
    <w:rsid w:val="006417E6"/>
    <w:rsid w:val="006A4EE6"/>
    <w:rsid w:val="006B7961"/>
    <w:rsid w:val="006C3516"/>
    <w:rsid w:val="006D6C09"/>
    <w:rsid w:val="00725F2A"/>
    <w:rsid w:val="0076768D"/>
    <w:rsid w:val="00775BBB"/>
    <w:rsid w:val="00776600"/>
    <w:rsid w:val="00784119"/>
    <w:rsid w:val="00792807"/>
    <w:rsid w:val="007A1208"/>
    <w:rsid w:val="007B48F8"/>
    <w:rsid w:val="007D0212"/>
    <w:rsid w:val="00801421"/>
    <w:rsid w:val="0080242A"/>
    <w:rsid w:val="0085296B"/>
    <w:rsid w:val="00864A66"/>
    <w:rsid w:val="00913728"/>
    <w:rsid w:val="00947092"/>
    <w:rsid w:val="00974080"/>
    <w:rsid w:val="009A2ED5"/>
    <w:rsid w:val="009D1C67"/>
    <w:rsid w:val="009D7DDD"/>
    <w:rsid w:val="00A3045E"/>
    <w:rsid w:val="00A352A0"/>
    <w:rsid w:val="00AD68A4"/>
    <w:rsid w:val="00AE3758"/>
    <w:rsid w:val="00AF26CD"/>
    <w:rsid w:val="00B22663"/>
    <w:rsid w:val="00B41AE7"/>
    <w:rsid w:val="00BE0A8C"/>
    <w:rsid w:val="00BE4AD2"/>
    <w:rsid w:val="00BF2702"/>
    <w:rsid w:val="00BF2C85"/>
    <w:rsid w:val="00C419A6"/>
    <w:rsid w:val="00C70218"/>
    <w:rsid w:val="00CC0187"/>
    <w:rsid w:val="00D22107"/>
    <w:rsid w:val="00D411D2"/>
    <w:rsid w:val="00E43FD0"/>
    <w:rsid w:val="00E4724F"/>
    <w:rsid w:val="00E50F8C"/>
    <w:rsid w:val="00E625D4"/>
    <w:rsid w:val="00EF03AD"/>
    <w:rsid w:val="00F11C38"/>
    <w:rsid w:val="00F20C09"/>
    <w:rsid w:val="00F21FA8"/>
    <w:rsid w:val="00F302AE"/>
    <w:rsid w:val="00F70582"/>
    <w:rsid w:val="00F810CC"/>
    <w:rsid w:val="00F94A04"/>
    <w:rsid w:val="00F94E40"/>
    <w:rsid w:val="00F94FD6"/>
    <w:rsid w:val="00FD2BC7"/>
    <w:rsid w:val="00FD6DC9"/>
    <w:rsid w:val="092C5938"/>
    <w:rsid w:val="125C7A1B"/>
    <w:rsid w:val="1DF4754A"/>
    <w:rsid w:val="311473BE"/>
    <w:rsid w:val="3C484D08"/>
    <w:rsid w:val="46FE3601"/>
    <w:rsid w:val="4A3D4C24"/>
    <w:rsid w:val="602B3BBD"/>
    <w:rsid w:val="605639AA"/>
    <w:rsid w:val="63D5793A"/>
    <w:rsid w:val="6C0B7927"/>
    <w:rsid w:val="6D1A4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1">
    <w:name w:val="一级条标题"/>
    <w:basedOn w:val="10"/>
    <w:next w:val="1"/>
    <w:qFormat/>
    <w:uiPriority w:val="0"/>
    <w:pPr>
      <w:numPr>
        <w:ilvl w:val="2"/>
      </w:numPr>
      <w:outlineLvl w:val="2"/>
    </w:pPr>
  </w:style>
  <w:style w:type="character" w:customStyle="1" w:styleId="12">
    <w:name w:val="正文表标题 Char"/>
    <w:link w:val="13"/>
    <w:qFormat/>
    <w:uiPriority w:val="0"/>
    <w:rPr>
      <w:rFonts w:ascii="黑体" w:eastAsia="黑体"/>
    </w:rPr>
  </w:style>
  <w:style w:type="paragraph" w:customStyle="1" w:styleId="13">
    <w:name w:val="正文表标题"/>
    <w:next w:val="1"/>
    <w:link w:val="12"/>
    <w:qFormat/>
    <w:uiPriority w:val="0"/>
    <w:pPr>
      <w:numPr>
        <w:ilvl w:val="0"/>
        <w:numId w:val="2"/>
      </w:numPr>
      <w:jc w:val="center"/>
    </w:pPr>
    <w:rPr>
      <w:rFonts w:ascii="黑体" w:eastAsia="黑体" w:hAnsiTheme="minorHAnsi" w:cstheme="minorBidi"/>
      <w:kern w:val="2"/>
      <w:sz w:val="21"/>
      <w:szCs w:val="22"/>
      <w:lang w:val="en-US" w:eastAsia="zh-CN" w:bidi="ar-SA"/>
    </w:rPr>
  </w:style>
  <w:style w:type="paragraph" w:styleId="14">
    <w:name w:val="List Paragraph"/>
    <w:basedOn w:val="1"/>
    <w:qFormat/>
    <w:uiPriority w:val="34"/>
    <w:pPr>
      <w:ind w:firstLine="420" w:firstLineChars="200"/>
    </w:pPr>
  </w:style>
  <w:style w:type="paragraph" w:customStyle="1" w:styleId="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
    <w:name w:val="标题 1 字符"/>
    <w:basedOn w:val="7"/>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7306</Words>
  <Characters>8610</Characters>
  <Lines>64</Lines>
  <Paragraphs>18</Paragraphs>
  <TotalTime>15</TotalTime>
  <ScaleCrop>false</ScaleCrop>
  <LinksUpToDate>false</LinksUpToDate>
  <CharactersWithSpaces>8663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2021-06-07T14:23:00Z</dcterms:created>
  <dc:creator>Administrator</dc:creator>
  <cp:lastModifiedBy>王郭亮</cp:lastModifiedBy>
  <dcterms:modified xsi:type="dcterms:W3CDTF">2022-07-13T04:42:30Z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D439E9E7195F4242B7AE0AE5A13E7936</vt:lpwstr>
  </property>
</Properties>
</file>