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ind w:firstLine="1936" w:firstLineChars="605"/>
        <w:rPr>
          <w:rFonts w:ascii="Times New Roman" w:hAnsi="Times New Roman"/>
        </w:rPr>
      </w:pPr>
      <w:r>
        <w:rPr>
          <w:rFonts w:ascii="Times New Roman" w:hAnsi="Times New Roman"/>
        </w:rPr>
        <w:t>行业标准《舰船用耐蚀黄铜锻制棒材和饼材》</w:t>
      </w:r>
    </w:p>
    <w:p>
      <w:pPr>
        <w:pStyle w:val="11"/>
        <w:jc w:val="center"/>
        <w:rPr>
          <w:rFonts w:ascii="Times New Roman" w:hAnsi="Times New Roman"/>
        </w:rPr>
      </w:pPr>
      <w:r>
        <w:rPr>
          <w:rFonts w:hint="eastAsia" w:ascii="Times New Roman" w:hAnsi="Times New Roman"/>
          <w:lang w:val="en-US" w:eastAsia="zh-CN"/>
        </w:rPr>
        <w:t>送审稿</w:t>
      </w:r>
      <w:r>
        <w:rPr>
          <w:rFonts w:ascii="Times New Roman" w:hAnsi="Times New Roman"/>
        </w:rPr>
        <w:t>编制说明</w:t>
      </w:r>
    </w:p>
    <w:p/>
    <w:p>
      <w:pPr>
        <w:spacing w:line="360" w:lineRule="auto"/>
        <w:rPr>
          <w:b/>
        </w:rPr>
      </w:pPr>
      <w:r>
        <w:rPr>
          <w:b/>
        </w:rPr>
        <w:t>1.  任务来源</w:t>
      </w:r>
    </w:p>
    <w:p>
      <w:pPr>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根据工信部《</w:t>
      </w:r>
      <w:r>
        <w:rPr>
          <w:rFonts w:hint="eastAsia" w:asciiTheme="majorEastAsia" w:hAnsiTheme="majorEastAsia" w:eastAsiaTheme="majorEastAsia"/>
          <w:color w:val="444444"/>
          <w:szCs w:val="21"/>
        </w:rPr>
        <w:t>工业和信息化部办公厅关于印发2021年第一批行业标准制修订和外文版项目计划的通知</w:t>
      </w:r>
      <w:r>
        <w:rPr>
          <w:rFonts w:hint="eastAsia" w:asciiTheme="majorEastAsia" w:hAnsiTheme="majorEastAsia" w:eastAsiaTheme="majorEastAsia"/>
        </w:rPr>
        <w:t>》（</w:t>
      </w:r>
      <w:r>
        <w:rPr>
          <w:rFonts w:hint="eastAsia" w:asciiTheme="majorEastAsia" w:hAnsiTheme="majorEastAsia" w:eastAsiaTheme="majorEastAsia"/>
          <w:szCs w:val="21"/>
        </w:rPr>
        <w:t>工信厅科函[2020]263号）文件，由</w:t>
      </w:r>
      <w:r>
        <w:rPr>
          <w:rFonts w:hint="eastAsia" w:asciiTheme="majorEastAsia" w:hAnsiTheme="majorEastAsia" w:eastAsiaTheme="majorEastAsia"/>
          <w:kern w:val="0"/>
          <w:szCs w:val="21"/>
        </w:rPr>
        <w:t>沈阳华泰铜业有限公司负责起草《舰船用耐蚀黄铜锻制棒材和饼材》行业标准，计划编号2020-1498T-YS，完成年限2022年6月。根据此项工作要求，沈阳华泰铜业有限公司标准起草小组对舰船用耐蚀黄铜锻制棒材和饼材产品的生产情况及销售情况进行综合研究，并以研究结果为依据进行标准起草工作。</w:t>
      </w:r>
    </w:p>
    <w:p>
      <w:pPr>
        <w:spacing w:line="360" w:lineRule="auto"/>
        <w:rPr>
          <w:b/>
        </w:rPr>
      </w:pPr>
      <w:r>
        <w:rPr>
          <w:rFonts w:hint="eastAsia"/>
          <w:b/>
        </w:rPr>
        <w:t xml:space="preserve">2.  </w:t>
      </w:r>
      <w:r>
        <w:rPr>
          <w:rFonts w:hint="eastAsia"/>
          <w:b/>
          <w:bCs/>
          <w:szCs w:val="21"/>
        </w:rPr>
        <w:t>工作简况：</w:t>
      </w:r>
    </w:p>
    <w:p>
      <w:pPr>
        <w:spacing w:line="360" w:lineRule="auto"/>
        <w:rPr>
          <w:rFonts w:ascii="黑体" w:hAnsi="黑体" w:eastAsia="黑体" w:cs="黑体"/>
          <w:b/>
          <w:bCs/>
          <w:kern w:val="0"/>
          <w:szCs w:val="21"/>
        </w:rPr>
      </w:pPr>
      <w:r>
        <w:rPr>
          <w:rFonts w:hint="eastAsia" w:ascii="黑体" w:hAnsi="黑体" w:eastAsia="黑体" w:cs="黑体"/>
          <w:b/>
          <w:bCs/>
          <w:kern w:val="0"/>
          <w:szCs w:val="21"/>
        </w:rPr>
        <w:t>2.1.立项目的和意义</w:t>
      </w:r>
    </w:p>
    <w:p>
      <w:pPr>
        <w:spacing w:line="360" w:lineRule="auto"/>
        <w:ind w:firstLine="525" w:firstLineChars="250"/>
        <w:rPr>
          <w:rFonts w:ascii="宋体" w:hAnsi="宋体"/>
          <w:szCs w:val="21"/>
        </w:rPr>
      </w:pPr>
      <w:r>
        <w:rPr>
          <w:rFonts w:hint="eastAsia" w:ascii="宋体" w:hAnsi="宋体"/>
          <w:szCs w:val="21"/>
        </w:rPr>
        <w:t>在铜锌合金的基础上加入硅、锡等合金元素的黄铜，称为耐蚀黄铜或海军黄铜，主要合金牌号为HSi80-3、HSn62-1等。这种合金在大气和海水中均有较高的耐蚀性，抗应力腐蚀破裂的能力高于一般黄铜，，能承受热压力加工。其软态加工棒及饼材的强度及塑性值组合使其适用于制作船舶零件，蒸汽管和水管配件等。</w:t>
      </w:r>
    </w:p>
    <w:p>
      <w:pPr>
        <w:spacing w:line="360" w:lineRule="auto"/>
        <w:ind w:firstLine="525" w:firstLineChars="250"/>
        <w:rPr>
          <w:rFonts w:ascii="宋体" w:hAnsi="宋体"/>
          <w:szCs w:val="21"/>
        </w:rPr>
      </w:pPr>
      <w:r>
        <w:rPr>
          <w:rFonts w:hint="eastAsia" w:ascii="宋体" w:hAnsi="宋体"/>
          <w:szCs w:val="21"/>
        </w:rPr>
        <w:t>锻压成形的大规格HSn62-1饼材大量地用于制作船舶热交换器管板，不但国内各大造船厂大量定购这种产品，并且这种产品也远销日本等国外市场。HSi80-3饼材主要应用于军用船舶，其切削性能、强度、塑性以及抗应力腐蚀性能都很好，其加工棒及饼材的强度及塑性值组合使其适用于制作船舶涉水器件、各种阀门、蒸汽管和水管配件等。锻压成形的大规格HSi80-3更大量地应用于船舶耐腐蚀零件，国内各大造船厂均大量定购这种产品。</w:t>
      </w:r>
    </w:p>
    <w:p>
      <w:pPr>
        <w:spacing w:line="360" w:lineRule="auto"/>
        <w:ind w:firstLine="420" w:firstLineChars="200"/>
        <w:rPr>
          <w:rFonts w:ascii="宋体" w:hAnsi="宋体"/>
          <w:szCs w:val="21"/>
        </w:rPr>
      </w:pPr>
      <w:r>
        <w:rPr>
          <w:rFonts w:hint="eastAsia" w:ascii="宋体" w:hAnsi="宋体"/>
          <w:szCs w:val="21"/>
        </w:rPr>
        <w:t>由于铜及铜合金标准体系中没有较大规格的锻制棒材和饼材的相关执行标准，对于较小规格的棒材和饼材产品其技术条件可参考挤制棒标准技术条件，但也有多个技术指标无从参考，例如，饼材经车削加工后供货，平面平整度，光洁度，内部质量的均匀度、探伤及渗透技术指标。棒饼材以大规格较多，其直径达1米以上，技术指标国内目前没有任何标准可以参考。本标准的制定能够解决我国舰船耐蚀零件用黄铜棒材和饼材长期没有执行标准的问题，对于行业发展有极大的促进作用。</w:t>
      </w:r>
    </w:p>
    <w:p>
      <w:pPr>
        <w:adjustRightInd w:val="0"/>
        <w:snapToGrid w:val="0"/>
        <w:spacing w:line="360" w:lineRule="auto"/>
        <w:ind w:firstLine="420" w:firstLineChars="200"/>
        <w:rPr>
          <w:rFonts w:ascii="宋体" w:hAnsi="宋体"/>
          <w:szCs w:val="21"/>
        </w:rPr>
      </w:pPr>
      <w:r>
        <w:rPr>
          <w:rFonts w:hint="eastAsia" w:ascii="宋体" w:hAnsi="宋体"/>
          <w:szCs w:val="21"/>
        </w:rPr>
        <w:t>本标准的制定可以从标准层规范指导产品的生产与销售，能给供需双方在贸易过程中发生质量异议提供仲裁依据。</w:t>
      </w:r>
    </w:p>
    <w:p>
      <w:pPr>
        <w:spacing w:line="360" w:lineRule="auto"/>
        <w:rPr>
          <w:rFonts w:ascii="黑体" w:hAnsi="黑体" w:eastAsia="黑体" w:cs="黑体"/>
          <w:b/>
          <w:szCs w:val="21"/>
        </w:rPr>
      </w:pPr>
      <w:r>
        <w:rPr>
          <w:rFonts w:hint="eastAsia" w:ascii="黑体" w:hAnsi="黑体" w:eastAsia="黑体" w:cs="黑体"/>
          <w:b/>
          <w:szCs w:val="21"/>
        </w:rPr>
        <w:t>2.2.项目承担单位简况</w:t>
      </w:r>
    </w:p>
    <w:p>
      <w:pPr>
        <w:spacing w:line="360" w:lineRule="auto"/>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沈阳华泰铜业有限公司组建于2007年10月，是一家以生产铜及铜合金管、棒、线材为主的民营企业，公司占地70000平方米，其中建筑面积30000平方米，年设计产量5万吨。一期投资1.5亿元，建成年产3万吨铜及铜合金管、棒、线材生产线，产品覆盖紫铜、黄铜、青铜、白铜四大系列100多个牌号，近500种规格。</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其中TP2大口径铜管、HMn58-2、HSn70-1、HAl77-2、BFe10-1-1、BFe30-1-1铜合金管、C18150、C18200、 C15000、C18000高强高导铜棒材作为公司的主导产品以其优异的产品质量深受用户的欢迎，大量应用于舰船、兵器、航空、航天、汽车、海水淡化、火力发电等工业领域，特别是供给大连造船厂、渤海造船厂潜艇用的TP2大口径铜管、HMn58-2黄铜棒等产品供不应求，市场潜力巨大。2017年公司实现产量1万吨，销售收入近5亿元，实现利税500万元。</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我公司拥有国内先进的生产设备30多台套，主要有：1.5吨工频有芯感应炉组，0.75吨工频有芯感应炉组，1.5吨中频无芯感应炉组，XJ-2500ST铜合金挤压机，30T，20T，10T，8T，5T，3T，1T链式拉伸机，卧式真空光亮退火炉，矫直机，无氧铜杆连铸机组，两辊冷轧机组，五连罐冷拨机组等设备。</w:t>
      </w:r>
    </w:p>
    <w:p>
      <w:pPr>
        <w:spacing w:line="360" w:lineRule="auto"/>
        <w:ind w:firstLine="420" w:firstLineChars="200"/>
        <w:rPr>
          <w:rFonts w:ascii="宋体" w:hAnsi="宋体"/>
          <w:szCs w:val="21"/>
        </w:rPr>
      </w:pPr>
      <w:r>
        <w:rPr>
          <w:rFonts w:hint="eastAsia" w:ascii="宋体" w:hAnsi="宋体"/>
          <w:szCs w:val="21"/>
        </w:rPr>
        <w:t>同时，为了保证产品质量达到国内先进水平，公司配备了完检测设备，主要检测设备有：单双臂电桥、RO-416高频红外碳硫仪、德国斯派克MAX光电直读光谱议，DCS-10T电子拉力试验机、CBS-60杯突试验机、KPE-3000布氏硬度计、HV-120维氏硬度计、HRD-150洛氏硬度计、SC-2000表面洛氏硬度计、HBE-3000电子布氏硬度计、JanaverT金相显微镜、超声波探伤仪、涡流导电仪等先进的检测设备。</w:t>
      </w:r>
    </w:p>
    <w:p>
      <w:pPr>
        <w:spacing w:line="360" w:lineRule="auto"/>
        <w:ind w:firstLine="420" w:firstLineChars="200"/>
        <w:rPr>
          <w:rFonts w:ascii="宋体" w:hAnsi="宋体"/>
          <w:szCs w:val="21"/>
        </w:rPr>
      </w:pPr>
      <w:r>
        <w:rPr>
          <w:rFonts w:hint="eastAsia" w:ascii="宋体" w:hAnsi="宋体"/>
          <w:szCs w:val="21"/>
        </w:rPr>
        <w:t>多年来，公司致力于铜及铜合金棒型材生产，建立了一套完善的生产技术管理体系，取得了国标《GB/T19001-2006-1SO9001：2015标准》和国军标《GJB9001C-2007标准》质量管理体系认证及中国船级社认可证书。</w:t>
      </w:r>
    </w:p>
    <w:p>
      <w:pPr>
        <w:spacing w:line="360" w:lineRule="auto"/>
        <w:ind w:firstLine="420" w:firstLineChars="200"/>
        <w:rPr>
          <w:rFonts w:ascii="宋体" w:hAnsi="宋体"/>
          <w:szCs w:val="21"/>
        </w:rPr>
      </w:pPr>
      <w:r>
        <w:rPr>
          <w:rFonts w:hint="eastAsia" w:ascii="宋体" w:hAnsi="宋体"/>
          <w:szCs w:val="21"/>
        </w:rPr>
        <w:t>沈阳华泰铜业有限公司是</w:t>
      </w:r>
      <w:r>
        <w:rPr>
          <w:rFonts w:hint="eastAsia" w:ascii="宋体" w:hAnsi="宋体"/>
          <w:color w:val="333333"/>
          <w:szCs w:val="21"/>
          <w:shd w:val="clear" w:color="auto" w:fill="FFFFFF"/>
        </w:rPr>
        <w:t>专业从事各类铜合金线、棒材生产、研究、开发的高新技术企业。</w:t>
      </w:r>
      <w:r>
        <w:rPr>
          <w:rFonts w:hint="eastAsia" w:ascii="宋体" w:hAnsi="宋体"/>
          <w:szCs w:val="21"/>
        </w:rPr>
        <w:t>公司具有雄厚的铜及铜合金管棒型材生产技术实力和产品检测能力，长期为军工，船舶等企业供应铜及铜合金管棒型材，具有丰富的实践以验。</w:t>
      </w:r>
    </w:p>
    <w:p>
      <w:pPr>
        <w:spacing w:line="360" w:lineRule="auto"/>
        <w:rPr>
          <w:rFonts w:ascii="黑体" w:hAnsi="黑体" w:eastAsia="黑体"/>
          <w:b/>
          <w:szCs w:val="21"/>
        </w:rPr>
      </w:pPr>
      <w:r>
        <w:rPr>
          <w:rFonts w:hint="eastAsia" w:ascii="黑体" w:hAnsi="宋体" w:eastAsia="黑体"/>
          <w:b/>
          <w:szCs w:val="21"/>
        </w:rPr>
        <w:t>2.3</w:t>
      </w:r>
      <w:r>
        <w:rPr>
          <w:rFonts w:hint="eastAsia" w:ascii="黑体" w:hAnsi="黑体" w:eastAsia="黑体"/>
          <w:b/>
          <w:szCs w:val="21"/>
        </w:rPr>
        <w:t>主要工作过程</w:t>
      </w:r>
    </w:p>
    <w:p>
      <w:pPr>
        <w:spacing w:line="360" w:lineRule="auto"/>
        <w:rPr>
          <w:rFonts w:ascii="黑体" w:hAnsi="黑体" w:eastAsia="黑体"/>
          <w:b/>
          <w:szCs w:val="21"/>
        </w:rPr>
      </w:pPr>
      <w:r>
        <w:rPr>
          <w:rFonts w:hint="eastAsia" w:ascii="黑体" w:hAnsi="黑体" w:eastAsia="黑体"/>
          <w:b/>
          <w:szCs w:val="21"/>
        </w:rPr>
        <w:t>2.3.1起草阶段</w:t>
      </w:r>
    </w:p>
    <w:p>
      <w:pPr>
        <w:spacing w:line="360" w:lineRule="auto"/>
        <w:rPr>
          <w:rFonts w:asciiTheme="minorEastAsia" w:hAnsiTheme="minorEastAsia" w:eastAsiaTheme="minorEastAsia"/>
          <w:color w:val="000000"/>
          <w:szCs w:val="21"/>
        </w:rPr>
      </w:pPr>
      <w:r>
        <w:rPr>
          <w:rFonts w:hint="eastAsia" w:ascii="宋体" w:hAnsi="宋体"/>
          <w:bCs/>
        </w:rPr>
        <w:t xml:space="preserve">  </w:t>
      </w:r>
      <w:r>
        <w:rPr>
          <w:rFonts w:hint="eastAsia" w:asciiTheme="minorEastAsia" w:hAnsiTheme="minorEastAsia" w:eastAsiaTheme="minorEastAsia"/>
          <w:bCs/>
        </w:rPr>
        <w:t xml:space="preserve">  </w:t>
      </w:r>
      <w:r>
        <w:rPr>
          <w:rFonts w:hint="eastAsia" w:asciiTheme="minorEastAsia" w:hAnsiTheme="minorEastAsia" w:eastAsiaTheme="minorEastAsia"/>
          <w:bCs/>
          <w:szCs w:val="21"/>
        </w:rPr>
        <w:t>标准制订计划任务正式下达后，</w:t>
      </w:r>
      <w:r>
        <w:rPr>
          <w:rFonts w:hint="eastAsia" w:asciiTheme="minorEastAsia" w:hAnsiTheme="minorEastAsia" w:eastAsiaTheme="minorEastAsia"/>
          <w:szCs w:val="21"/>
        </w:rPr>
        <w:t>沈阳华泰铜业</w:t>
      </w:r>
      <w:r>
        <w:rPr>
          <w:rFonts w:hint="eastAsia" w:asciiTheme="minorEastAsia" w:hAnsiTheme="minorEastAsia" w:eastAsiaTheme="minorEastAsia"/>
          <w:bCs/>
          <w:szCs w:val="21"/>
        </w:rPr>
        <w:t>有限公司起草小组研究整理了</w:t>
      </w:r>
      <w:r>
        <w:rPr>
          <w:rFonts w:hint="eastAsia" w:asciiTheme="minorEastAsia" w:hAnsiTheme="minorEastAsia" w:eastAsiaTheme="minorEastAsia"/>
          <w:color w:val="000000"/>
          <w:szCs w:val="21"/>
        </w:rPr>
        <w:t>本企业产品的技术要求及产品使用现状，并会同营销人员对棒饼材的生产及应用两方面进行调研，全面、准确地了解了市场客户的需求及目前国内棒饼材生产整体水平和现状。依据大量技术资料，于2021年3月完成了本标准征求意见稿。</w:t>
      </w:r>
    </w:p>
    <w:p>
      <w:pPr>
        <w:spacing w:line="360" w:lineRule="auto"/>
        <w:ind w:firstLine="315" w:firstLineChars="150"/>
        <w:rPr>
          <w:rFonts w:asciiTheme="minorEastAsia" w:hAnsiTheme="minorEastAsia" w:eastAsiaTheme="minorEastAsia"/>
          <w:color w:val="000000"/>
          <w:szCs w:val="21"/>
        </w:rPr>
      </w:pPr>
      <w:r>
        <w:rPr>
          <w:rFonts w:hint="eastAsia" w:asciiTheme="minorEastAsia" w:hAnsiTheme="minorEastAsia" w:eastAsiaTheme="minorEastAsia"/>
          <w:bCs/>
          <w:szCs w:val="21"/>
        </w:rPr>
        <w:t>经过多次与相关人员开会对标准内容进行讨论</w:t>
      </w:r>
      <w:r>
        <w:rPr>
          <w:rFonts w:hint="eastAsia" w:asciiTheme="minorEastAsia" w:hAnsiTheme="minorEastAsia" w:eastAsiaTheme="minorEastAsia"/>
          <w:color w:val="000000"/>
          <w:szCs w:val="21"/>
        </w:rPr>
        <w:t>，从牌号成分、状态、规格、力学性能等多方面提出制定建议。根据讨论结果，标准起草人员经过资料研究，并征求各方意见后对标准进行了修改，形成了本标准的讨论稿。</w:t>
      </w:r>
    </w:p>
    <w:p>
      <w:pPr>
        <w:spacing w:line="360" w:lineRule="auto"/>
        <w:ind w:firstLine="315" w:firstLineChars="150"/>
        <w:rPr>
          <w:rFonts w:ascii="宋体" w:hAnsi="宋体"/>
          <w:szCs w:val="21"/>
        </w:rPr>
      </w:pPr>
      <w:r>
        <w:rPr>
          <w:rFonts w:hint="eastAsia" w:ascii="宋体" w:hAnsi="宋体"/>
          <w:color w:val="000000"/>
          <w:szCs w:val="21"/>
        </w:rPr>
        <w:t>2021年6月，有色金属标准化委员会在新缰伊犁召开标准讨论会，会上对</w:t>
      </w:r>
      <w:r>
        <w:rPr>
          <w:rFonts w:hint="eastAsia" w:ascii="宋体" w:hAnsi="宋体"/>
          <w:szCs w:val="21"/>
        </w:rPr>
        <w:t>《</w:t>
      </w:r>
      <w:r>
        <w:rPr>
          <w:rFonts w:hint="eastAsia" w:ascii="宋体" w:hAnsi="宋体"/>
          <w:kern w:val="0"/>
          <w:szCs w:val="21"/>
        </w:rPr>
        <w:t>舰船用耐蚀黄铜锻制棒材和饼材</w:t>
      </w:r>
      <w:r>
        <w:rPr>
          <w:rFonts w:hint="eastAsia" w:ascii="宋体" w:hAnsi="宋体"/>
          <w:szCs w:val="21"/>
        </w:rPr>
        <w:t>》标准进行了讨论，确定了多条修改意见。会后，起草小组根据会议意见对标准进行了研究修改，形成标准预审稿。</w:t>
      </w:r>
    </w:p>
    <w:p>
      <w:pPr>
        <w:spacing w:line="360" w:lineRule="auto"/>
        <w:rPr>
          <w:rFonts w:ascii="宋体" w:hAnsi="宋体"/>
          <w:szCs w:val="21"/>
        </w:rPr>
      </w:pPr>
      <w:r>
        <w:rPr>
          <w:rFonts w:hint="eastAsia" w:ascii="宋体" w:hAnsi="宋体"/>
          <w:szCs w:val="21"/>
        </w:rPr>
        <w:t>2.3.2征求意见阶段</w:t>
      </w:r>
    </w:p>
    <w:p>
      <w:pPr>
        <w:spacing w:line="360" w:lineRule="auto"/>
        <w:ind w:firstLine="315" w:firstLineChars="150"/>
        <w:rPr>
          <w:rFonts w:ascii="宋体" w:hAnsi="宋体"/>
          <w:szCs w:val="21"/>
        </w:rPr>
      </w:pPr>
      <w:r>
        <w:rPr>
          <w:rFonts w:hint="eastAsia" w:ascii="宋体" w:hAnsi="宋体"/>
          <w:szCs w:val="21"/>
        </w:rPr>
        <w:t>2021年11月25日有色金属标准化委员会召开网络会议，会上</w:t>
      </w:r>
      <w:r>
        <w:rPr>
          <w:rFonts w:hint="eastAsia" w:ascii="宋体" w:hAnsi="宋体"/>
          <w:color w:val="000000"/>
          <w:szCs w:val="21"/>
        </w:rPr>
        <w:t>对</w:t>
      </w:r>
      <w:r>
        <w:rPr>
          <w:rFonts w:hint="eastAsia" w:ascii="宋体" w:hAnsi="宋体"/>
          <w:szCs w:val="21"/>
        </w:rPr>
        <w:t>《</w:t>
      </w:r>
      <w:r>
        <w:rPr>
          <w:rFonts w:hint="eastAsia" w:ascii="宋体" w:hAnsi="宋体"/>
          <w:kern w:val="0"/>
          <w:szCs w:val="21"/>
        </w:rPr>
        <w:t>舰船用耐蚀黄铜锻制棒材和饼材</w:t>
      </w:r>
      <w:r>
        <w:rPr>
          <w:rFonts w:hint="eastAsia" w:ascii="宋体" w:hAnsi="宋体"/>
          <w:szCs w:val="21"/>
        </w:rPr>
        <w:t>》标准进行了预审，确定了多条修改意见。会后，起草小组根据会议意见对标准进行了研究修改，形成标准送审稿，并发</w:t>
      </w:r>
      <w:r>
        <w:rPr>
          <w:rFonts w:hint="eastAsia" w:ascii="宋体" w:hAnsi="宋体" w:cs="宋体"/>
          <w:szCs w:val="24"/>
        </w:rPr>
        <w:t>函征求同行业的修改意见。</w:t>
      </w:r>
      <w:r>
        <w:rPr>
          <w:rFonts w:hint="eastAsia"/>
        </w:rPr>
        <w:t>发函20家单位，收到2家回函、有意见的2家，没有回函的18家。</w:t>
      </w:r>
    </w:p>
    <w:p>
      <w:pPr>
        <w:adjustRightInd w:val="0"/>
        <w:snapToGrid w:val="0"/>
        <w:spacing w:line="360" w:lineRule="auto"/>
        <w:rPr>
          <w:rFonts w:ascii="黑体" w:eastAsia="黑体"/>
          <w:b/>
          <w:szCs w:val="21"/>
        </w:rPr>
      </w:pPr>
      <w:r>
        <w:rPr>
          <w:rFonts w:hint="eastAsia" w:ascii="黑体" w:eastAsia="黑体"/>
          <w:b/>
          <w:szCs w:val="21"/>
        </w:rPr>
        <w:t>3.  编制原则</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本标准起草单位自接受起草任务后，成立了标准编制工作组，负责收集生产统计、检验数据、市</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场需求及客户要求等信息。初步确定了《</w:t>
      </w:r>
      <w:r>
        <w:rPr>
          <w:rFonts w:hint="eastAsia" w:asciiTheme="minorEastAsia" w:hAnsiTheme="minorEastAsia" w:eastAsiaTheme="minorEastAsia"/>
          <w:kern w:val="0"/>
          <w:szCs w:val="21"/>
        </w:rPr>
        <w:t>舰船用耐蚀黄铜锻制棒材和饼材</w:t>
      </w:r>
      <w:r>
        <w:rPr>
          <w:rFonts w:hint="eastAsia" w:asciiTheme="minorEastAsia" w:hAnsiTheme="minorEastAsia" w:eastAsiaTheme="minorEastAsia"/>
          <w:szCs w:val="21"/>
        </w:rPr>
        <w:t>》标准起草所遵循的基本原则和编制依据：</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1）查阅相关标准和国内外客户的相关技术要求；</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2）根据国内铜及铜合金饼材企业具体情况，力求做到标准的合理性与实用性；</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3）根据技术发展水平及测试数据确定技术指标取值范围；</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4）完全按照 GB/T 1.1 和有色加工产品标准和国家行业标准编写示例的要求格式和结构进行编写。</w:t>
      </w:r>
    </w:p>
    <w:p>
      <w:pPr>
        <w:adjustRightInd w:val="0"/>
        <w:snapToGrid w:val="0"/>
        <w:spacing w:line="360" w:lineRule="auto"/>
        <w:rPr>
          <w:rFonts w:ascii="黑体" w:eastAsia="黑体"/>
          <w:b/>
          <w:szCs w:val="21"/>
        </w:rPr>
      </w:pPr>
      <w:r>
        <w:rPr>
          <w:rFonts w:hint="eastAsia" w:ascii="黑体" w:eastAsia="黑体"/>
          <w:b/>
          <w:szCs w:val="21"/>
        </w:rPr>
        <w:t>4.  标准主要内容及确定依据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本标准耐蚀黄铜合金锻制棒材和饼材主要适用于舰船上的涉水零件，同时适用于要求有较高强度、耐磨及耐蚀性的精密机械、化工机械和其他船舶构件。 </w:t>
      </w:r>
    </w:p>
    <w:p>
      <w:pPr>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本标准规定了舰船耐蚀零件用黄铜棒材和饼材的要求、试验方法、检验规则及标志、包装、运输、贮存及订货单内容。</w:t>
      </w:r>
    </w:p>
    <w:p>
      <w:pPr>
        <w:spacing w:line="360" w:lineRule="auto"/>
        <w:rPr>
          <w:b/>
          <w:szCs w:val="21"/>
        </w:rPr>
      </w:pPr>
      <w:r>
        <w:rPr>
          <w:rFonts w:hint="eastAsia"/>
          <w:b/>
          <w:szCs w:val="21"/>
        </w:rPr>
        <w:t>4.1  牌号</w:t>
      </w:r>
    </w:p>
    <w:p>
      <w:pPr>
        <w:spacing w:line="360" w:lineRule="auto"/>
        <w:ind w:firstLine="525" w:firstLineChars="250"/>
        <w:rPr>
          <w:rFonts w:asciiTheme="minorEastAsia" w:hAnsiTheme="minorEastAsia" w:eastAsiaTheme="minorEastAsia"/>
          <w:szCs w:val="21"/>
        </w:rPr>
      </w:pPr>
      <w:r>
        <w:rPr>
          <w:rFonts w:hint="eastAsia"/>
          <w:szCs w:val="21"/>
        </w:rPr>
        <w:t xml:space="preserve"> </w:t>
      </w:r>
      <w:r>
        <w:rPr>
          <w:rFonts w:hint="eastAsia" w:asciiTheme="minorEastAsia" w:hAnsiTheme="minorEastAsia" w:eastAsiaTheme="minorEastAsia"/>
          <w:szCs w:val="21"/>
        </w:rPr>
        <w:t>在船舶用耐蚀黄铜棒饼材这个细分市场上，产品主要合金牌号为HSi80-3、HSn62-1，其成分符合《加工铜及铜合金牌号和化学成分》（GB/T5231）的规定。该牌号的产品我公司已按标准生产多年，产品已得到市场认可。</w:t>
      </w:r>
    </w:p>
    <w:p>
      <w:pPr>
        <w:spacing w:line="360" w:lineRule="auto"/>
        <w:rPr>
          <w:rFonts w:ascii="黑体" w:eastAsia="黑体"/>
          <w:b/>
          <w:szCs w:val="21"/>
        </w:rPr>
      </w:pPr>
      <w:r>
        <w:rPr>
          <w:rFonts w:hint="eastAsia" w:ascii="黑体" w:eastAsia="黑体"/>
          <w:b/>
          <w:szCs w:val="21"/>
        </w:rPr>
        <w:t>4.2</w:t>
      </w:r>
      <w:r>
        <w:rPr>
          <w:rFonts w:hint="eastAsia" w:ascii="黑体" w:hAnsi="宋体" w:eastAsia="黑体"/>
          <w:b/>
          <w:szCs w:val="21"/>
        </w:rPr>
        <w:t>主要尺寸及尺寸允许偏差</w:t>
      </w:r>
    </w:p>
    <w:p>
      <w:pPr>
        <w:spacing w:line="360" w:lineRule="auto"/>
        <w:ind w:right="420" w:firstLine="525" w:firstLineChars="250"/>
        <w:rPr>
          <w:rFonts w:asciiTheme="majorEastAsia" w:hAnsiTheme="majorEastAsia" w:eastAsiaTheme="majorEastAsia"/>
          <w:szCs w:val="21"/>
        </w:rPr>
      </w:pPr>
      <w:r>
        <w:rPr>
          <w:rFonts w:hint="eastAsia" w:asciiTheme="majorEastAsia" w:hAnsiTheme="majorEastAsia" w:eastAsiaTheme="majorEastAsia"/>
          <w:szCs w:val="21"/>
        </w:rPr>
        <w:t>锻制棒饼直径允许偏差见表1及表2的规定。本标准中规定的外形尺寸允许偏差及形位公差均根据用户进行再加工的需要及我公司生产实际能力而确定。表3为尺寸公差的现场实测值数据表，表4和表5为数据统计表，通过对表中数值的分析观察，本标准所规定的公差值即能满足用户对产品尺寸公差的要求，以在生产厂供货质量控制范围内。</w:t>
      </w:r>
    </w:p>
    <w:p>
      <w:pPr>
        <w:spacing w:line="320" w:lineRule="exact"/>
        <w:ind w:right="420"/>
        <w:rPr>
          <w:rFonts w:ascii="黑体" w:hAnsi="宋体" w:eastAsia="黑体"/>
          <w:szCs w:val="21"/>
        </w:rPr>
      </w:pPr>
    </w:p>
    <w:p>
      <w:pPr>
        <w:spacing w:line="320" w:lineRule="exact"/>
        <w:ind w:right="420"/>
        <w:rPr>
          <w:rFonts w:ascii="黑体" w:hAnsi="宋体" w:eastAsia="黑体"/>
          <w:szCs w:val="21"/>
        </w:rPr>
      </w:pPr>
    </w:p>
    <w:p>
      <w:pPr>
        <w:spacing w:line="320" w:lineRule="exact"/>
        <w:ind w:right="420"/>
        <w:rPr>
          <w:rFonts w:ascii="黑体" w:eastAsia="黑体"/>
          <w:szCs w:val="21"/>
        </w:rPr>
      </w:pPr>
      <w:r>
        <w:rPr>
          <w:rFonts w:hint="eastAsia" w:ascii="黑体" w:hAnsi="宋体" w:eastAsia="黑体"/>
          <w:szCs w:val="21"/>
        </w:rPr>
        <w:t>表</w:t>
      </w:r>
      <w:r>
        <w:rPr>
          <w:rFonts w:hint="eastAsia" w:ascii="黑体" w:eastAsia="黑体"/>
          <w:szCs w:val="21"/>
        </w:rPr>
        <w:t xml:space="preserve">1        </w:t>
      </w:r>
      <w:r>
        <w:rPr>
          <w:rFonts w:hint="eastAsia" w:ascii="黑体" w:hAnsi="宋体" w:eastAsia="黑体"/>
          <w:szCs w:val="21"/>
        </w:rPr>
        <w:t>棒材直径允许偏差</w:t>
      </w:r>
      <w:r>
        <w:rPr>
          <w:rFonts w:hint="eastAsia" w:ascii="黑体" w:eastAsia="黑体"/>
          <w:szCs w:val="21"/>
        </w:rPr>
        <w:t xml:space="preserve">                                       </w:t>
      </w:r>
      <w:r>
        <w:rPr>
          <w:rFonts w:hint="eastAsia" w:ascii="黑体" w:hAnsi="宋体" w:eastAsia="黑体"/>
          <w:szCs w:val="21"/>
        </w:rPr>
        <w:t>单位为毫米</w:t>
      </w:r>
      <w:r>
        <w:rPr>
          <w:rFonts w:hint="eastAsia" w:ascii="黑体" w:eastAsia="黑体"/>
          <w:szCs w:val="21"/>
        </w:rPr>
        <w:t xml:space="preserve"> </w:t>
      </w:r>
    </w:p>
    <w:tbl>
      <w:tblPr>
        <w:tblStyle w:val="1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直径</w:t>
            </w:r>
          </w:p>
        </w:tc>
        <w:tc>
          <w:tcPr>
            <w:tcW w:w="71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允</w:t>
            </w:r>
            <w:r>
              <w:rPr>
                <w:rFonts w:hint="eastAsia" w:ascii="黑体" w:eastAsia="黑体"/>
                <w:szCs w:val="21"/>
              </w:rPr>
              <w:t xml:space="preserve">      </w:t>
            </w:r>
            <w:r>
              <w:rPr>
                <w:rFonts w:hint="eastAsia" w:ascii="黑体" w:hAnsi="宋体" w:eastAsia="黑体"/>
                <w:szCs w:val="21"/>
              </w:rPr>
              <w:t>许</w:t>
            </w:r>
            <w:r>
              <w:rPr>
                <w:rFonts w:hint="eastAsia" w:ascii="黑体" w:eastAsia="黑体"/>
                <w:szCs w:val="21"/>
              </w:rPr>
              <w:t xml:space="preserve">      </w:t>
            </w:r>
            <w:r>
              <w:rPr>
                <w:rFonts w:hint="eastAsia" w:ascii="黑体" w:hAnsi="宋体" w:eastAsia="黑体"/>
                <w:szCs w:val="21"/>
              </w:rPr>
              <w:t>偏</w:t>
            </w:r>
            <w:r>
              <w:rPr>
                <w:rFonts w:hint="eastAsia" w:ascii="黑体" w:eastAsia="黑体"/>
                <w:szCs w:val="21"/>
              </w:rPr>
              <w:t xml:space="preserve">      </w:t>
            </w:r>
            <w:r>
              <w:rPr>
                <w:rFonts w:hint="eastAsia" w:ascii="黑体" w:hAnsi="宋体" w:eastAsia="黑体"/>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8" w:type="dxa"/>
            <w:tcBorders>
              <w:top w:val="single" w:color="auto" w:sz="4" w:space="0"/>
              <w:left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所有规格</w:t>
            </w:r>
          </w:p>
        </w:tc>
        <w:tc>
          <w:tcPr>
            <w:tcW w:w="7164" w:type="dxa"/>
            <w:tcBorders>
              <w:top w:val="single" w:color="auto" w:sz="4" w:space="0"/>
              <w:left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r>
    </w:tbl>
    <w:p>
      <w:pPr>
        <w:spacing w:line="320" w:lineRule="exact"/>
        <w:ind w:right="420"/>
        <w:rPr>
          <w:rFonts w:ascii="黑体" w:eastAsia="黑体"/>
          <w:szCs w:val="21"/>
        </w:rPr>
      </w:pPr>
    </w:p>
    <w:p>
      <w:pPr>
        <w:rPr>
          <w:rFonts w:ascii="黑体" w:eastAsia="黑体"/>
          <w:szCs w:val="21"/>
        </w:rPr>
      </w:pPr>
      <w:r>
        <w:rPr>
          <w:rFonts w:hint="eastAsia" w:ascii="黑体" w:eastAsia="黑体"/>
          <w:szCs w:val="21"/>
        </w:rPr>
        <w:t xml:space="preserve">         表2     饼</w:t>
      </w:r>
      <w:r>
        <w:rPr>
          <w:rFonts w:hint="eastAsia" w:ascii="黑体" w:hAnsi="宋体" w:eastAsia="黑体"/>
          <w:szCs w:val="21"/>
        </w:rPr>
        <w:t>材</w:t>
      </w:r>
      <w:r>
        <w:rPr>
          <w:rFonts w:hint="eastAsia" w:ascii="黑体" w:eastAsia="黑体"/>
          <w:szCs w:val="21"/>
        </w:rPr>
        <w:t xml:space="preserve">直径及厚度允许偏差                            </w:t>
      </w:r>
      <w:r>
        <w:rPr>
          <w:rFonts w:hint="eastAsia" w:ascii="黑体" w:hAnsi="宋体" w:eastAsia="黑体"/>
          <w:szCs w:val="21"/>
        </w:rPr>
        <w:t>单位为毫米</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365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80" w:type="dxa"/>
            <w:tcBorders>
              <w:top w:val="single" w:color="auto" w:sz="4" w:space="0"/>
              <w:left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直径允许偏差，不大于</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厚度允许偏差，</w:t>
            </w:r>
            <w:r>
              <w:rPr>
                <w:rFonts w:hint="eastAsia" w:ascii="黑体" w:hAnsi="宋体" w:eastAsia="黑体"/>
                <w:szCs w:val="21"/>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tcBorders>
              <w:left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w:t>
            </w:r>
            <w:r>
              <w:rPr>
                <w:rFonts w:hint="eastAsia" w:ascii="黑体" w:eastAsia="黑体"/>
                <w:szCs w:val="21"/>
              </w:rPr>
              <w:t>300</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＋0.3</w:t>
            </w:r>
          </w:p>
          <w:p>
            <w:pPr>
              <w:jc w:val="center"/>
              <w:rPr>
                <w:rFonts w:ascii="黑体" w:eastAsia="黑体"/>
                <w:szCs w:val="21"/>
              </w:rPr>
            </w:pPr>
            <w:r>
              <w:rPr>
                <w:rFonts w:hint="eastAsia" w:ascii="黑体" w:eastAsia="黑体"/>
                <w:szCs w:val="21"/>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Borders>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≥300　</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+0.8</w:t>
            </w:r>
          </w:p>
          <w:p>
            <w:pPr>
              <w:jc w:val="center"/>
              <w:rPr>
                <w:rFonts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r>
    </w:tbl>
    <w:p>
      <w:pPr>
        <w:rPr>
          <w:rFonts w:ascii="黑体" w:hAnsi="黑体" w:eastAsia="黑体" w:cs="黑体"/>
          <w:szCs w:val="21"/>
        </w:rPr>
      </w:pPr>
    </w:p>
    <w:p>
      <w:pPr>
        <w:jc w:val="center"/>
        <w:rPr>
          <w:rFonts w:ascii="黑体" w:hAnsi="黑体" w:eastAsia="黑体" w:cs="黑体"/>
          <w:szCs w:val="21"/>
        </w:rPr>
      </w:pPr>
      <w:r>
        <w:rPr>
          <w:rFonts w:hint="eastAsia" w:ascii="黑体" w:hAnsi="黑体" w:eastAsia="黑体" w:cs="黑体"/>
          <w:szCs w:val="21"/>
        </w:rPr>
        <w:t>表3     硅黄铜HSi80-3尺寸公差实测记录表</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417"/>
        <w:gridCol w:w="1276"/>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26" w:type="dxa"/>
            <w:vMerge w:val="restart"/>
            <w:vAlign w:val="center"/>
          </w:tcPr>
          <w:p>
            <w:pPr>
              <w:jc w:val="center"/>
              <w:rPr>
                <w:rFonts w:ascii="仿宋" w:hAnsi="仿宋" w:eastAsia="仿宋" w:cs="仿宋"/>
                <w:szCs w:val="21"/>
              </w:rPr>
            </w:pPr>
            <w:r>
              <w:rPr>
                <w:rFonts w:hint="eastAsia" w:ascii="仿宋" w:hAnsi="仿宋" w:eastAsia="仿宋" w:cs="仿宋"/>
                <w:szCs w:val="21"/>
              </w:rPr>
              <w:t>规格</w:t>
            </w:r>
          </w:p>
        </w:tc>
        <w:tc>
          <w:tcPr>
            <w:tcW w:w="3827" w:type="dxa"/>
            <w:gridSpan w:val="3"/>
            <w:vAlign w:val="center"/>
          </w:tcPr>
          <w:p>
            <w:pPr>
              <w:jc w:val="center"/>
              <w:rPr>
                <w:rFonts w:ascii="仿宋" w:hAnsi="仿宋" w:eastAsia="仿宋" w:cs="仿宋"/>
                <w:szCs w:val="21"/>
              </w:rPr>
            </w:pPr>
            <w:r>
              <w:rPr>
                <w:rFonts w:hint="eastAsia" w:ascii="仿宋" w:hAnsi="仿宋" w:eastAsia="仿宋" w:cs="仿宋"/>
                <w:szCs w:val="21"/>
              </w:rPr>
              <w:t>直径公差(㎜)</w:t>
            </w:r>
          </w:p>
        </w:tc>
        <w:tc>
          <w:tcPr>
            <w:tcW w:w="3686" w:type="dxa"/>
            <w:gridSpan w:val="3"/>
            <w:vAlign w:val="center"/>
          </w:tcPr>
          <w:p>
            <w:pPr>
              <w:jc w:val="center"/>
              <w:rPr>
                <w:rFonts w:ascii="仿宋" w:hAnsi="仿宋" w:eastAsia="仿宋" w:cs="仿宋"/>
                <w:szCs w:val="21"/>
              </w:rPr>
            </w:pPr>
            <w:r>
              <w:rPr>
                <w:rFonts w:hint="eastAsia" w:ascii="仿宋" w:hAnsi="仿宋" w:eastAsia="仿宋" w:cs="仿宋"/>
                <w:szCs w:val="21"/>
              </w:rPr>
              <w:t>厚度公差(㎜)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vMerge w:val="continue"/>
            <w:vAlign w:val="center"/>
          </w:tcPr>
          <w:p>
            <w:pPr>
              <w:jc w:val="center"/>
              <w:rPr>
                <w:rFonts w:ascii="仿宋" w:hAnsi="仿宋" w:eastAsia="仿宋" w:cs="仿宋"/>
                <w:szCs w:val="21"/>
              </w:rPr>
            </w:pPr>
          </w:p>
        </w:tc>
        <w:tc>
          <w:tcPr>
            <w:tcW w:w="1134"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Φ118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118.24</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118.17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118.33</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Φ128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128.36</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128.43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128.31</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30.21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30.23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Φ138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138.28</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138.29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128.37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526" w:type="dxa"/>
            <w:vAlign w:val="center"/>
          </w:tcPr>
          <w:p>
            <w:pPr>
              <w:jc w:val="center"/>
              <w:rPr>
                <w:rFonts w:ascii="仿宋" w:hAnsi="仿宋" w:eastAsia="仿宋" w:cs="仿宋"/>
                <w:szCs w:val="21"/>
              </w:rPr>
            </w:pPr>
            <w:r>
              <w:rPr>
                <w:rFonts w:hint="eastAsia" w:ascii="宋体" w:hAnsi="宋体" w:cs="宋体"/>
                <w:szCs w:val="21"/>
              </w:rPr>
              <w:t>Φ138</w:t>
            </w:r>
            <w:r>
              <w:rPr>
                <w:rFonts w:ascii="Arial" w:hAnsi="Arial" w:eastAsia="仿宋" w:cs="Arial"/>
                <w:szCs w:val="21"/>
              </w:rPr>
              <w:t>×</w:t>
            </w:r>
            <w:r>
              <w:rPr>
                <w:rFonts w:hint="eastAsia" w:ascii="Arial" w:hAnsi="Arial" w:eastAsia="仿宋" w:cs="Arial"/>
                <w:szCs w:val="21"/>
              </w:rPr>
              <w:t>70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138.31</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138.26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138.29</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70.14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70.18</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Φ158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158.37</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158.27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158.36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Φ158</w:t>
            </w:r>
            <w:r>
              <w:rPr>
                <w:rFonts w:ascii="Arial" w:hAnsi="Arial" w:eastAsia="仿宋" w:cs="Arial"/>
                <w:szCs w:val="21"/>
              </w:rPr>
              <w:t>×</w:t>
            </w:r>
            <w:r>
              <w:rPr>
                <w:rFonts w:hint="eastAsia" w:ascii="Arial" w:hAnsi="Arial" w:eastAsia="仿宋" w:cs="Arial"/>
                <w:szCs w:val="21"/>
              </w:rPr>
              <w:t>37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158.39</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158.34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158.32</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37.12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37.15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cs="宋体"/>
                <w:szCs w:val="21"/>
              </w:rPr>
            </w:pPr>
            <w:r>
              <w:rPr>
                <w:rFonts w:hint="eastAsia" w:ascii="宋体" w:hAnsi="宋体" w:cs="宋体"/>
                <w:szCs w:val="21"/>
              </w:rPr>
              <w:t>Φ160</w:t>
            </w:r>
            <w:r>
              <w:rPr>
                <w:rFonts w:ascii="Arial" w:hAnsi="Arial" w:eastAsia="仿宋" w:cs="Arial"/>
                <w:szCs w:val="21"/>
              </w:rPr>
              <w:t>×</w:t>
            </w:r>
            <w:r>
              <w:rPr>
                <w:rFonts w:hint="eastAsia" w:ascii="Arial" w:hAnsi="Arial" w:eastAsia="仿宋" w:cs="Arial"/>
                <w:szCs w:val="21"/>
              </w:rPr>
              <w:t>56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160.12</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160.33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130.38</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56.11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56.20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cs="宋体"/>
                <w:szCs w:val="21"/>
              </w:rPr>
            </w:pPr>
            <w:r>
              <w:rPr>
                <w:rFonts w:hint="eastAsia" w:ascii="宋体" w:hAnsi="宋体" w:cs="宋体"/>
                <w:szCs w:val="21"/>
              </w:rPr>
              <w:t>Φ180</w:t>
            </w:r>
            <w:r>
              <w:rPr>
                <w:rFonts w:ascii="Arial" w:hAnsi="Arial" w:eastAsia="仿宋" w:cs="Arial"/>
                <w:szCs w:val="21"/>
              </w:rPr>
              <w:t>×</w:t>
            </w:r>
            <w:r>
              <w:rPr>
                <w:rFonts w:hint="eastAsia" w:ascii="Arial" w:hAnsi="Arial" w:eastAsia="仿宋" w:cs="Arial"/>
                <w:szCs w:val="21"/>
              </w:rPr>
              <w:t>56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180.39</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180.29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180.36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56.22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56.21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526" w:type="dxa"/>
            <w:vAlign w:val="center"/>
          </w:tcPr>
          <w:p>
            <w:pPr>
              <w:jc w:val="center"/>
              <w:rPr>
                <w:rFonts w:ascii="宋体" w:hAnsi="宋体" w:cs="宋体"/>
                <w:szCs w:val="21"/>
              </w:rPr>
            </w:pPr>
            <w:r>
              <w:rPr>
                <w:rFonts w:hint="eastAsia" w:ascii="宋体" w:hAnsi="宋体" w:cs="宋体"/>
                <w:szCs w:val="21"/>
              </w:rPr>
              <w:t>Φ180</w:t>
            </w:r>
            <w:r>
              <w:rPr>
                <w:rFonts w:ascii="Arial" w:hAnsi="Arial" w:eastAsia="仿宋" w:cs="Arial"/>
                <w:szCs w:val="21"/>
              </w:rPr>
              <w:t>×</w:t>
            </w:r>
            <w:r>
              <w:rPr>
                <w:rFonts w:hint="eastAsia" w:ascii="Arial" w:hAnsi="Arial" w:eastAsia="仿宋" w:cs="Arial"/>
                <w:szCs w:val="21"/>
              </w:rPr>
              <w:t>104</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180.41</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180.34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180.25</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104.22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104.27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26" w:type="dxa"/>
            <w:vAlign w:val="center"/>
          </w:tcPr>
          <w:p>
            <w:pPr>
              <w:jc w:val="center"/>
              <w:rPr>
                <w:rFonts w:ascii="宋体" w:hAnsi="宋体" w:cs="宋体"/>
                <w:szCs w:val="21"/>
              </w:rPr>
            </w:pPr>
            <w:r>
              <w:rPr>
                <w:rFonts w:hint="eastAsia" w:ascii="宋体" w:hAnsi="宋体" w:cs="宋体"/>
                <w:szCs w:val="21"/>
              </w:rPr>
              <w:t>Φ180</w:t>
            </w:r>
            <w:r>
              <w:rPr>
                <w:rFonts w:ascii="Arial" w:hAnsi="Arial" w:eastAsia="仿宋" w:cs="Arial"/>
                <w:szCs w:val="21"/>
              </w:rPr>
              <w:t>×</w:t>
            </w:r>
            <w:r>
              <w:rPr>
                <w:rFonts w:hint="eastAsia" w:ascii="Arial" w:hAnsi="Arial" w:eastAsia="仿宋" w:cs="Arial"/>
                <w:szCs w:val="21"/>
              </w:rPr>
              <w:t>106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180.08</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180.13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180.19</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106.30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106.10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26" w:type="dxa"/>
            <w:vAlign w:val="center"/>
          </w:tcPr>
          <w:p>
            <w:pPr>
              <w:jc w:val="center"/>
              <w:rPr>
                <w:rFonts w:ascii="宋体" w:hAnsi="宋体" w:cs="宋体"/>
                <w:szCs w:val="21"/>
              </w:rPr>
            </w:pPr>
            <w:r>
              <w:rPr>
                <w:rFonts w:hint="eastAsia" w:ascii="宋体" w:hAnsi="宋体" w:cs="宋体"/>
                <w:szCs w:val="21"/>
              </w:rPr>
              <w:t>Φ200</w:t>
            </w:r>
            <w:r>
              <w:rPr>
                <w:rFonts w:ascii="Arial" w:hAnsi="Arial" w:eastAsia="仿宋" w:cs="Arial"/>
                <w:szCs w:val="21"/>
              </w:rPr>
              <w:t>×</w:t>
            </w:r>
            <w:r>
              <w:rPr>
                <w:rFonts w:hint="eastAsia" w:ascii="Arial" w:hAnsi="Arial" w:eastAsia="仿宋" w:cs="Arial"/>
                <w:szCs w:val="21"/>
              </w:rPr>
              <w:t>56</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200.36</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200.19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200.37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56.10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56.23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526" w:type="dxa"/>
            <w:vAlign w:val="center"/>
          </w:tcPr>
          <w:p>
            <w:pPr>
              <w:jc w:val="center"/>
              <w:rPr>
                <w:rFonts w:ascii="宋体" w:hAnsi="宋体" w:cs="宋体"/>
                <w:szCs w:val="21"/>
              </w:rPr>
            </w:pPr>
            <w:r>
              <w:rPr>
                <w:rFonts w:hint="eastAsia" w:ascii="宋体" w:hAnsi="宋体" w:cs="宋体"/>
                <w:szCs w:val="21"/>
              </w:rPr>
              <w:t>Φ200</w:t>
            </w:r>
            <w:r>
              <w:rPr>
                <w:rFonts w:ascii="Arial" w:hAnsi="Arial" w:eastAsia="仿宋" w:cs="Arial"/>
                <w:szCs w:val="21"/>
              </w:rPr>
              <w:t>×</w:t>
            </w:r>
            <w:r>
              <w:rPr>
                <w:rFonts w:hint="eastAsia" w:ascii="Arial" w:hAnsi="Arial" w:eastAsia="仿宋" w:cs="Arial"/>
                <w:szCs w:val="21"/>
              </w:rPr>
              <w:t>124</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200.41</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200.39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200.41</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124.20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124.10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26" w:type="dxa"/>
            <w:vAlign w:val="center"/>
          </w:tcPr>
          <w:p>
            <w:pPr>
              <w:jc w:val="center"/>
              <w:rPr>
                <w:rFonts w:ascii="宋体" w:hAnsi="宋体" w:cs="宋体"/>
                <w:szCs w:val="21"/>
              </w:rPr>
            </w:pPr>
            <w:r>
              <w:rPr>
                <w:rFonts w:hint="eastAsia" w:ascii="宋体" w:hAnsi="宋体" w:cs="宋体"/>
                <w:szCs w:val="21"/>
              </w:rPr>
              <w:t>Φ200</w:t>
            </w:r>
            <w:r>
              <w:rPr>
                <w:rFonts w:ascii="Arial" w:hAnsi="Arial" w:eastAsia="仿宋" w:cs="Arial"/>
                <w:szCs w:val="21"/>
              </w:rPr>
              <w:t>×</w:t>
            </w:r>
            <w:r>
              <w:rPr>
                <w:rFonts w:hint="eastAsia" w:ascii="Arial" w:hAnsi="Arial" w:eastAsia="仿宋" w:cs="Arial"/>
                <w:szCs w:val="21"/>
              </w:rPr>
              <w:t>118</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200.14</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200.33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200.40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118.23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118.25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26" w:type="dxa"/>
            <w:vAlign w:val="center"/>
          </w:tcPr>
          <w:p>
            <w:pPr>
              <w:jc w:val="center"/>
              <w:rPr>
                <w:rFonts w:ascii="仿宋" w:hAnsi="仿宋" w:eastAsia="仿宋" w:cs="仿宋"/>
                <w:szCs w:val="21"/>
              </w:rPr>
            </w:pPr>
            <w:r>
              <w:rPr>
                <w:rFonts w:hint="eastAsia" w:ascii="宋体" w:hAnsi="宋体" w:cs="宋体"/>
                <w:szCs w:val="21"/>
              </w:rPr>
              <w:t>Φ193</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193.28</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193.26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193.27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Φ218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218.15</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218.19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218.24</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30.22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仿宋" w:hAnsi="仿宋" w:eastAsia="仿宋" w:cs="仿宋"/>
                <w:szCs w:val="21"/>
              </w:rPr>
            </w:pPr>
            <w:r>
              <w:rPr>
                <w:rFonts w:hint="eastAsia" w:ascii="宋体" w:hAnsi="宋体" w:cs="宋体"/>
                <w:szCs w:val="21"/>
              </w:rPr>
              <w:t>Φ228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228.21</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228.26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228.34</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30.18</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Align w:val="center"/>
          </w:tcPr>
          <w:p>
            <w:pPr>
              <w:jc w:val="center"/>
              <w:rPr>
                <w:rFonts w:ascii="仿宋" w:hAnsi="仿宋" w:eastAsia="仿宋" w:cs="仿宋"/>
                <w:szCs w:val="21"/>
              </w:rPr>
            </w:pPr>
            <w:r>
              <w:rPr>
                <w:rFonts w:hint="eastAsia" w:ascii="宋体" w:hAnsi="宋体" w:cs="宋体"/>
                <w:szCs w:val="21"/>
              </w:rPr>
              <w:t>Φ258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258.26</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258.31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258.19</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30.24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30.21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526" w:type="dxa"/>
            <w:vAlign w:val="center"/>
          </w:tcPr>
          <w:p>
            <w:pPr>
              <w:jc w:val="center"/>
              <w:rPr>
                <w:rFonts w:ascii="仿宋" w:hAnsi="仿宋" w:eastAsia="仿宋" w:cs="仿宋"/>
                <w:szCs w:val="21"/>
              </w:rPr>
            </w:pPr>
            <w:r>
              <w:rPr>
                <w:rFonts w:hint="eastAsia" w:ascii="宋体" w:hAnsi="宋体" w:cs="宋体"/>
                <w:szCs w:val="21"/>
              </w:rPr>
              <w:t>Φ360</w:t>
            </w:r>
            <w:r>
              <w:rPr>
                <w:rFonts w:ascii="Arial" w:hAnsi="Arial" w:eastAsia="仿宋" w:cs="Arial"/>
                <w:szCs w:val="21"/>
              </w:rPr>
              <w:t>×</w:t>
            </w:r>
            <w:r>
              <w:rPr>
                <w:rFonts w:hint="eastAsia" w:ascii="Arial" w:hAnsi="Arial" w:eastAsia="仿宋" w:cs="Arial"/>
                <w:szCs w:val="21"/>
              </w:rPr>
              <w:t>31</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360.24</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360.36</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360.14</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31.14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31.45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Align w:val="center"/>
          </w:tcPr>
          <w:p>
            <w:pPr>
              <w:jc w:val="center"/>
              <w:rPr>
                <w:rFonts w:ascii="仿宋" w:hAnsi="仿宋" w:eastAsia="仿宋" w:cs="仿宋"/>
                <w:szCs w:val="21"/>
              </w:rPr>
            </w:pPr>
            <w:r>
              <w:rPr>
                <w:rFonts w:hint="eastAsia" w:ascii="宋体" w:hAnsi="宋体" w:cs="宋体"/>
                <w:szCs w:val="21"/>
              </w:rPr>
              <w:t>Φ286</w:t>
            </w:r>
            <w:r>
              <w:rPr>
                <w:rFonts w:ascii="Arial" w:hAnsi="Arial" w:eastAsia="仿宋" w:cs="Arial"/>
                <w:szCs w:val="21"/>
              </w:rPr>
              <w:t>×</w:t>
            </w:r>
            <w:r>
              <w:rPr>
                <w:rFonts w:hint="eastAsia" w:ascii="Arial" w:hAnsi="Arial" w:eastAsia="仿宋" w:cs="Arial"/>
                <w:szCs w:val="21"/>
              </w:rPr>
              <w:t>67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286.34</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286.32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286.29</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67.32</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67.28</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67.29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26" w:type="dxa"/>
            <w:vAlign w:val="center"/>
          </w:tcPr>
          <w:p>
            <w:pPr>
              <w:jc w:val="center"/>
              <w:rPr>
                <w:rFonts w:ascii="仿宋" w:hAnsi="仿宋" w:eastAsia="仿宋" w:cs="仿宋"/>
                <w:szCs w:val="21"/>
              </w:rPr>
            </w:pPr>
            <w:r>
              <w:rPr>
                <w:rFonts w:hint="eastAsia" w:ascii="宋体" w:hAnsi="宋体" w:cs="宋体"/>
                <w:szCs w:val="21"/>
              </w:rPr>
              <w:t>Φ288</w:t>
            </w:r>
            <w:r>
              <w:rPr>
                <w:rFonts w:ascii="Arial" w:hAnsi="Arial" w:eastAsia="仿宋" w:cs="Arial"/>
                <w:szCs w:val="21"/>
              </w:rPr>
              <w:t>×</w:t>
            </w:r>
            <w:r>
              <w:rPr>
                <w:rFonts w:hint="eastAsia" w:ascii="Arial" w:hAnsi="Arial" w:eastAsia="仿宋" w:cs="Arial"/>
                <w:szCs w:val="21"/>
              </w:rPr>
              <w:t>30</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288.19</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288.24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288.17</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30.15</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30.17</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26" w:type="dxa"/>
            <w:vAlign w:val="center"/>
          </w:tcPr>
          <w:p>
            <w:pPr>
              <w:jc w:val="center"/>
              <w:rPr>
                <w:rFonts w:ascii="仿宋" w:hAnsi="仿宋" w:eastAsia="仿宋" w:cs="仿宋"/>
                <w:szCs w:val="21"/>
              </w:rPr>
            </w:pPr>
            <w:r>
              <w:rPr>
                <w:rFonts w:hint="eastAsia" w:ascii="宋体" w:hAnsi="宋体" w:cs="宋体"/>
                <w:szCs w:val="21"/>
              </w:rPr>
              <w:t>Φ348</w:t>
            </w:r>
            <w:r>
              <w:rPr>
                <w:rFonts w:ascii="Arial" w:hAnsi="Arial" w:eastAsia="仿宋" w:cs="Arial"/>
                <w:szCs w:val="21"/>
              </w:rPr>
              <w:t>×</w:t>
            </w:r>
            <w:r>
              <w:rPr>
                <w:rFonts w:hint="eastAsia" w:ascii="Arial" w:hAnsi="Arial" w:eastAsia="仿宋" w:cs="Arial"/>
                <w:szCs w:val="21"/>
              </w:rPr>
              <w:t>45</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348.46</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348.39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348.43</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45.31</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45.34</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26" w:type="dxa"/>
            <w:vAlign w:val="center"/>
          </w:tcPr>
          <w:p>
            <w:pPr>
              <w:jc w:val="center"/>
              <w:rPr>
                <w:rFonts w:ascii="仿宋" w:hAnsi="仿宋" w:eastAsia="仿宋" w:cs="仿宋"/>
                <w:szCs w:val="21"/>
              </w:rPr>
            </w:pPr>
            <w:r>
              <w:rPr>
                <w:rFonts w:hint="eastAsia" w:ascii="宋体" w:hAnsi="宋体" w:cs="宋体"/>
                <w:szCs w:val="21"/>
              </w:rPr>
              <w:t>Φ368</w:t>
            </w:r>
            <w:r>
              <w:rPr>
                <w:rFonts w:ascii="Arial" w:hAnsi="Arial" w:eastAsia="仿宋" w:cs="Arial"/>
                <w:szCs w:val="21"/>
              </w:rPr>
              <w:t>×</w:t>
            </w:r>
            <w:r>
              <w:rPr>
                <w:rFonts w:hint="eastAsia" w:ascii="Arial" w:hAnsi="Arial" w:eastAsia="仿宋" w:cs="Arial"/>
                <w:szCs w:val="21"/>
              </w:rPr>
              <w:t>32</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368.25</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368.29</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368.21</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32.40</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32.43</w:t>
            </w:r>
          </w:p>
        </w:tc>
        <w:tc>
          <w:tcPr>
            <w:tcW w:w="1276" w:type="dxa"/>
            <w:vAlign w:val="center"/>
          </w:tcPr>
          <w:p>
            <w:pPr>
              <w:jc w:val="center"/>
              <w:rPr>
                <w:rFonts w:ascii="仿宋" w:hAnsi="仿宋" w:eastAsia="仿宋" w:cs="仿宋"/>
                <w:szCs w:val="21"/>
              </w:rPr>
            </w:pPr>
            <w:r>
              <w:rPr>
                <w:rFonts w:hint="eastAsia" w:ascii="仿宋" w:hAnsi="仿宋" w:eastAsia="仿宋" w:cs="仿宋"/>
                <w:szCs w:val="21"/>
              </w:rPr>
              <w:t>32.45</w:t>
            </w:r>
          </w:p>
        </w:tc>
      </w:tr>
    </w:tbl>
    <w:p>
      <w:pPr>
        <w:pStyle w:val="16"/>
        <w:spacing w:line="276" w:lineRule="auto"/>
        <w:ind w:firstLine="0" w:firstLineChars="0"/>
        <w:jc w:val="center"/>
        <w:rPr>
          <w:rFonts w:ascii="黑体" w:hAnsi="黑体" w:eastAsia="黑体"/>
        </w:rPr>
      </w:pPr>
      <w:r>
        <w:rPr>
          <w:rFonts w:hint="eastAsia" w:ascii="黑体" w:hAnsi="黑体" w:eastAsia="黑体"/>
        </w:rPr>
        <w:t>表 4</w:t>
      </w:r>
      <w:r>
        <w:rPr>
          <w:rFonts w:ascii="黑体" w:hAnsi="黑体" w:eastAsia="黑体"/>
        </w:rPr>
        <w:t xml:space="preserve">  </w:t>
      </w:r>
      <w:r>
        <w:rPr>
          <w:rFonts w:hint="eastAsia" w:ascii="黑体" w:hAnsi="黑体" w:eastAsia="黑体"/>
        </w:rPr>
        <w:t>实测饼材直径公差频数及频率分布表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2344"/>
        <w:gridCol w:w="2187"/>
        <w:gridCol w:w="1523"/>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组号</w:t>
            </w:r>
          </w:p>
        </w:tc>
        <w:tc>
          <w:tcPr>
            <w:tcW w:w="2344" w:type="dxa"/>
          </w:tcPr>
          <w:p>
            <w:pPr>
              <w:pStyle w:val="16"/>
              <w:spacing w:line="276" w:lineRule="auto"/>
              <w:ind w:firstLine="0" w:firstLineChars="0"/>
              <w:jc w:val="center"/>
              <w:rPr>
                <w:rFonts w:hAnsi="宋体"/>
                <w:szCs w:val="21"/>
              </w:rPr>
            </w:pPr>
            <w:r>
              <w:rPr>
                <w:rFonts w:hint="eastAsia" w:hAnsi="宋体"/>
                <w:szCs w:val="21"/>
              </w:rPr>
              <w:t>区间</w:t>
            </w:r>
          </w:p>
        </w:tc>
        <w:tc>
          <w:tcPr>
            <w:tcW w:w="2187" w:type="dxa"/>
          </w:tcPr>
          <w:p>
            <w:pPr>
              <w:pStyle w:val="16"/>
              <w:spacing w:line="276" w:lineRule="auto"/>
              <w:ind w:firstLine="0" w:firstLineChars="0"/>
              <w:jc w:val="center"/>
              <w:rPr>
                <w:rFonts w:hAnsi="宋体"/>
                <w:szCs w:val="21"/>
              </w:rPr>
            </w:pPr>
            <w:r>
              <w:rPr>
                <w:rFonts w:hint="eastAsia" w:hAnsi="宋体"/>
                <w:szCs w:val="21"/>
              </w:rPr>
              <w:t>组中值</w:t>
            </w:r>
          </w:p>
        </w:tc>
        <w:tc>
          <w:tcPr>
            <w:tcW w:w="1523" w:type="dxa"/>
          </w:tcPr>
          <w:p>
            <w:pPr>
              <w:pStyle w:val="16"/>
              <w:spacing w:line="276" w:lineRule="auto"/>
              <w:ind w:firstLine="0" w:firstLineChars="0"/>
              <w:jc w:val="center"/>
              <w:rPr>
                <w:rFonts w:hAnsi="宋体"/>
                <w:szCs w:val="21"/>
              </w:rPr>
            </w:pPr>
            <w:r>
              <w:rPr>
                <w:rFonts w:hint="eastAsia" w:hAnsi="宋体"/>
                <w:szCs w:val="21"/>
              </w:rPr>
              <w:t>频数</w:t>
            </w:r>
          </w:p>
        </w:tc>
        <w:tc>
          <w:tcPr>
            <w:tcW w:w="2438"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p>
        </w:tc>
        <w:tc>
          <w:tcPr>
            <w:tcW w:w="2344" w:type="dxa"/>
            <w:vAlign w:val="center"/>
          </w:tcPr>
          <w:p>
            <w:pPr>
              <w:pStyle w:val="16"/>
              <w:spacing w:line="276" w:lineRule="auto"/>
              <w:ind w:firstLine="0" w:firstLineChars="0"/>
              <w:jc w:val="center"/>
              <w:rPr>
                <w:szCs w:val="21"/>
              </w:rPr>
            </w:pPr>
            <w:r>
              <w:rPr>
                <w:rFonts w:hint="eastAsia"/>
                <w:szCs w:val="21"/>
              </w:rPr>
              <w:t>[-0.10</w:t>
            </w:r>
            <w:r>
              <w:rPr>
                <w:szCs w:val="21"/>
              </w:rPr>
              <w:t xml:space="preserve">  </w:t>
            </w:r>
            <w:r>
              <w:rPr>
                <w:rFonts w:hint="eastAsia"/>
                <w:szCs w:val="21"/>
              </w:rPr>
              <w:t>+0</w:t>
            </w:r>
            <w:r>
              <w:rPr>
                <w:szCs w:val="21"/>
              </w:rPr>
              <w:t>]</w:t>
            </w:r>
          </w:p>
        </w:tc>
        <w:tc>
          <w:tcPr>
            <w:tcW w:w="2187" w:type="dxa"/>
            <w:vAlign w:val="center"/>
          </w:tcPr>
          <w:p>
            <w:pPr>
              <w:pStyle w:val="16"/>
              <w:spacing w:line="276" w:lineRule="auto"/>
              <w:ind w:firstLine="0" w:firstLineChars="0"/>
              <w:jc w:val="center"/>
              <w:rPr>
                <w:szCs w:val="21"/>
              </w:rPr>
            </w:pPr>
            <w:r>
              <w:rPr>
                <w:rFonts w:hint="eastAsia"/>
                <w:szCs w:val="21"/>
              </w:rPr>
              <w:t>-0.1</w:t>
            </w:r>
          </w:p>
        </w:tc>
        <w:tc>
          <w:tcPr>
            <w:tcW w:w="1523" w:type="dxa"/>
            <w:vAlign w:val="center"/>
          </w:tcPr>
          <w:p>
            <w:pPr>
              <w:pStyle w:val="16"/>
              <w:spacing w:line="276" w:lineRule="auto"/>
              <w:ind w:firstLine="0" w:firstLineChars="0"/>
              <w:jc w:val="center"/>
              <w:rPr>
                <w:szCs w:val="21"/>
              </w:rPr>
            </w:pPr>
            <w:r>
              <w:rPr>
                <w:rFonts w:hint="eastAsia"/>
                <w:szCs w:val="21"/>
              </w:rPr>
              <w:t>0</w:t>
            </w:r>
          </w:p>
        </w:tc>
        <w:tc>
          <w:tcPr>
            <w:tcW w:w="2438" w:type="dxa"/>
            <w:vAlign w:val="center"/>
          </w:tcPr>
          <w:p>
            <w:pPr>
              <w:pStyle w:val="16"/>
              <w:spacing w:line="276" w:lineRule="auto"/>
              <w:ind w:firstLine="0" w:firstLineChars="0"/>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1</w:t>
            </w:r>
          </w:p>
        </w:tc>
        <w:tc>
          <w:tcPr>
            <w:tcW w:w="2344" w:type="dxa"/>
            <w:vAlign w:val="center"/>
          </w:tcPr>
          <w:p>
            <w:pPr>
              <w:pStyle w:val="16"/>
              <w:spacing w:line="276" w:lineRule="auto"/>
              <w:ind w:firstLine="0" w:firstLineChars="0"/>
              <w:jc w:val="center"/>
              <w:rPr>
                <w:rFonts w:hAnsi="宋体"/>
                <w:szCs w:val="21"/>
              </w:rPr>
            </w:pPr>
            <w:r>
              <w:rPr>
                <w:rFonts w:hint="eastAsia"/>
                <w:szCs w:val="21"/>
              </w:rPr>
              <w:t>[+0</w:t>
            </w:r>
            <w:r>
              <w:rPr>
                <w:szCs w:val="21"/>
              </w:rPr>
              <w:t xml:space="preserve">  </w:t>
            </w:r>
            <w:r>
              <w:rPr>
                <w:rFonts w:hint="eastAsia"/>
                <w:szCs w:val="21"/>
              </w:rPr>
              <w:t>+0.10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w:t>
            </w:r>
            <w:r>
              <w:rPr>
                <w:rFonts w:hint="eastAsia" w:hAnsi="宋体"/>
                <w:szCs w:val="21"/>
              </w:rPr>
              <w:t>～+0.10</w:t>
            </w:r>
          </w:p>
        </w:tc>
        <w:tc>
          <w:tcPr>
            <w:tcW w:w="1523" w:type="dxa"/>
            <w:vAlign w:val="center"/>
          </w:tcPr>
          <w:p>
            <w:pPr>
              <w:pStyle w:val="16"/>
              <w:spacing w:line="276" w:lineRule="auto"/>
              <w:ind w:firstLine="0" w:firstLineChars="0"/>
              <w:jc w:val="center"/>
              <w:rPr>
                <w:rFonts w:hAnsi="宋体"/>
                <w:szCs w:val="21"/>
              </w:rPr>
            </w:pPr>
            <w:r>
              <w:rPr>
                <w:rFonts w:hint="eastAsia"/>
                <w:szCs w:val="21"/>
              </w:rPr>
              <w:t>5</w:t>
            </w:r>
          </w:p>
        </w:tc>
        <w:tc>
          <w:tcPr>
            <w:tcW w:w="2438" w:type="dxa"/>
            <w:vAlign w:val="center"/>
          </w:tcPr>
          <w:p>
            <w:pPr>
              <w:pStyle w:val="16"/>
              <w:spacing w:line="276" w:lineRule="auto"/>
              <w:ind w:firstLine="0" w:firstLineChars="0"/>
              <w:jc w:val="center"/>
              <w:rPr>
                <w:rFonts w:hAnsi="宋体"/>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2</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+0.10</w:t>
            </w:r>
            <w:r>
              <w:rPr>
                <w:szCs w:val="21"/>
              </w:rPr>
              <w:t xml:space="preserve">  </w:t>
            </w:r>
            <w:r>
              <w:rPr>
                <w:rFonts w:hint="eastAsia"/>
                <w:szCs w:val="21"/>
              </w:rPr>
              <w:t>+0.20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+0.10</w:t>
            </w:r>
            <w:r>
              <w:rPr>
                <w:szCs w:val="21"/>
              </w:rPr>
              <w:t xml:space="preserve"> </w:t>
            </w:r>
            <w:r>
              <w:rPr>
                <w:rFonts w:hint="eastAsia" w:hAnsi="宋体"/>
                <w:szCs w:val="21"/>
              </w:rPr>
              <w:t>～</w:t>
            </w:r>
            <w:r>
              <w:rPr>
                <w:szCs w:val="21"/>
              </w:rPr>
              <w:t xml:space="preserve"> </w:t>
            </w:r>
            <w:r>
              <w:rPr>
                <w:rFonts w:hint="eastAsia"/>
                <w:szCs w:val="21"/>
              </w:rPr>
              <w:t>+0.20</w:t>
            </w:r>
          </w:p>
        </w:tc>
        <w:tc>
          <w:tcPr>
            <w:tcW w:w="1523" w:type="dxa"/>
            <w:vAlign w:val="center"/>
          </w:tcPr>
          <w:p>
            <w:pPr>
              <w:pStyle w:val="16"/>
              <w:spacing w:line="276" w:lineRule="auto"/>
              <w:ind w:firstLine="0" w:firstLineChars="0"/>
              <w:jc w:val="center"/>
              <w:rPr>
                <w:rFonts w:hAnsi="宋体"/>
                <w:szCs w:val="21"/>
              </w:rPr>
            </w:pPr>
            <w:r>
              <w:rPr>
                <w:rFonts w:hint="eastAsia"/>
                <w:szCs w:val="21"/>
              </w:rPr>
              <w:t>11</w:t>
            </w:r>
          </w:p>
        </w:tc>
        <w:tc>
          <w:tcPr>
            <w:tcW w:w="2438" w:type="dxa"/>
            <w:vAlign w:val="center"/>
          </w:tcPr>
          <w:p>
            <w:pPr>
              <w:pStyle w:val="16"/>
              <w:spacing w:line="276" w:lineRule="auto"/>
              <w:ind w:firstLine="0" w:firstLineChars="0"/>
              <w:jc w:val="center"/>
              <w:rPr>
                <w:rFonts w:hAnsi="宋体"/>
                <w:szCs w:val="21"/>
              </w:rPr>
            </w:pPr>
            <w:r>
              <w:rPr>
                <w:rFonts w:hint="eastAsia"/>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3</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+0.20</w:t>
            </w:r>
            <w:r>
              <w:rPr>
                <w:szCs w:val="21"/>
              </w:rPr>
              <w:t xml:space="preserve"> </w:t>
            </w:r>
            <w:r>
              <w:rPr>
                <w:rFonts w:hint="eastAsia"/>
                <w:szCs w:val="21"/>
              </w:rPr>
              <w:t>+0.30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+0.20</w:t>
            </w:r>
            <w:r>
              <w:rPr>
                <w:szCs w:val="21"/>
              </w:rPr>
              <w:t xml:space="preserve"> </w:t>
            </w:r>
            <w:r>
              <w:rPr>
                <w:rFonts w:hint="eastAsia" w:hAnsi="宋体"/>
                <w:szCs w:val="21"/>
              </w:rPr>
              <w:t>～</w:t>
            </w:r>
            <w:r>
              <w:rPr>
                <w:rFonts w:hint="eastAsia"/>
                <w:szCs w:val="21"/>
              </w:rPr>
              <w:t>+0.30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21</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4</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+0.30</w:t>
            </w:r>
            <w:r>
              <w:rPr>
                <w:szCs w:val="21"/>
              </w:rPr>
              <w:t xml:space="preserve">  </w:t>
            </w:r>
            <w:r>
              <w:rPr>
                <w:rFonts w:hint="eastAsia"/>
                <w:szCs w:val="21"/>
              </w:rPr>
              <w:t>+0.40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+0.30</w:t>
            </w:r>
            <w:r>
              <w:rPr>
                <w:szCs w:val="21"/>
              </w:rPr>
              <w:t xml:space="preserve"> </w:t>
            </w:r>
            <w:r>
              <w:rPr>
                <w:rFonts w:hint="eastAsia" w:hAnsi="宋体"/>
                <w:szCs w:val="21"/>
              </w:rPr>
              <w:t>～</w:t>
            </w:r>
            <w:r>
              <w:rPr>
                <w:szCs w:val="21"/>
              </w:rPr>
              <w:t xml:space="preserve"> </w:t>
            </w:r>
            <w:r>
              <w:rPr>
                <w:rFonts w:hint="eastAsia"/>
                <w:szCs w:val="21"/>
              </w:rPr>
              <w:t>+0.40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25</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5</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+0.40</w:t>
            </w:r>
            <w:r>
              <w:rPr>
                <w:szCs w:val="21"/>
              </w:rPr>
              <w:t xml:space="preserve">  </w:t>
            </w:r>
            <w:r>
              <w:rPr>
                <w:rFonts w:hint="eastAsia"/>
                <w:szCs w:val="21"/>
              </w:rPr>
              <w:t>+0.50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+0.40</w:t>
            </w:r>
            <w:r>
              <w:rPr>
                <w:rFonts w:hint="eastAsia" w:hAnsi="宋体"/>
                <w:szCs w:val="21"/>
              </w:rPr>
              <w:t>～</w:t>
            </w:r>
            <w:r>
              <w:rPr>
                <w:szCs w:val="21"/>
              </w:rPr>
              <w:t xml:space="preserve">  </w:t>
            </w:r>
            <w:r>
              <w:rPr>
                <w:rFonts w:hint="eastAsia"/>
                <w:szCs w:val="21"/>
              </w:rPr>
              <w:t>+0.50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8</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6</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+0.50</w:t>
            </w:r>
            <w:r>
              <w:rPr>
                <w:szCs w:val="21"/>
              </w:rPr>
              <w:t xml:space="preserve">  </w:t>
            </w:r>
            <w:r>
              <w:rPr>
                <w:rFonts w:hint="eastAsia"/>
                <w:szCs w:val="21"/>
              </w:rPr>
              <w:t>+0.60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+0.50</w:t>
            </w:r>
            <w:r>
              <w:rPr>
                <w:szCs w:val="21"/>
              </w:rPr>
              <w:t xml:space="preserve"> </w:t>
            </w:r>
            <w:r>
              <w:rPr>
                <w:rFonts w:hint="eastAsia" w:hAnsi="宋体"/>
                <w:szCs w:val="21"/>
              </w:rPr>
              <w:t>～</w:t>
            </w:r>
            <w:r>
              <w:rPr>
                <w:szCs w:val="21"/>
              </w:rPr>
              <w:t xml:space="preserve"> </w:t>
            </w:r>
            <w:r>
              <w:rPr>
                <w:rFonts w:hint="eastAsia"/>
                <w:szCs w:val="21"/>
              </w:rPr>
              <w:t>+0.60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0</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0</w:t>
            </w:r>
          </w:p>
        </w:tc>
      </w:tr>
    </w:tbl>
    <w:p>
      <w:pPr>
        <w:pStyle w:val="16"/>
        <w:spacing w:line="276" w:lineRule="auto"/>
        <w:ind w:firstLine="0" w:firstLineChars="0"/>
        <w:jc w:val="center"/>
        <w:rPr>
          <w:rFonts w:ascii="黑体" w:hAnsi="黑体" w:eastAsia="黑体"/>
        </w:rPr>
      </w:pPr>
      <w:r>
        <w:rPr>
          <w:rFonts w:hint="eastAsia" w:ascii="黑体" w:hAnsi="黑体" w:eastAsia="黑体"/>
        </w:rPr>
        <w:t>表 5</w:t>
      </w:r>
      <w:r>
        <w:rPr>
          <w:rFonts w:ascii="黑体" w:hAnsi="黑体" w:eastAsia="黑体"/>
        </w:rPr>
        <w:t xml:space="preserve">  </w:t>
      </w:r>
      <w:r>
        <w:rPr>
          <w:rFonts w:hint="eastAsia" w:ascii="黑体" w:hAnsi="黑体" w:eastAsia="黑体"/>
        </w:rPr>
        <w:t>实测饼材厚度公差频数及频率分布表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2344"/>
        <w:gridCol w:w="2187"/>
        <w:gridCol w:w="1523"/>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组号</w:t>
            </w:r>
          </w:p>
        </w:tc>
        <w:tc>
          <w:tcPr>
            <w:tcW w:w="2344" w:type="dxa"/>
          </w:tcPr>
          <w:p>
            <w:pPr>
              <w:pStyle w:val="16"/>
              <w:spacing w:line="276" w:lineRule="auto"/>
              <w:ind w:firstLine="0" w:firstLineChars="0"/>
              <w:jc w:val="center"/>
              <w:rPr>
                <w:rFonts w:hAnsi="宋体"/>
                <w:szCs w:val="21"/>
              </w:rPr>
            </w:pPr>
            <w:r>
              <w:rPr>
                <w:rFonts w:hint="eastAsia" w:hAnsi="宋体"/>
                <w:szCs w:val="21"/>
              </w:rPr>
              <w:t>区间</w:t>
            </w:r>
          </w:p>
        </w:tc>
        <w:tc>
          <w:tcPr>
            <w:tcW w:w="2187" w:type="dxa"/>
          </w:tcPr>
          <w:p>
            <w:pPr>
              <w:pStyle w:val="16"/>
              <w:spacing w:line="276" w:lineRule="auto"/>
              <w:ind w:firstLine="0" w:firstLineChars="0"/>
              <w:jc w:val="center"/>
              <w:rPr>
                <w:rFonts w:hAnsi="宋体"/>
                <w:szCs w:val="21"/>
              </w:rPr>
            </w:pPr>
            <w:r>
              <w:rPr>
                <w:rFonts w:hint="eastAsia" w:hAnsi="宋体"/>
                <w:szCs w:val="21"/>
              </w:rPr>
              <w:t>组中值</w:t>
            </w:r>
          </w:p>
        </w:tc>
        <w:tc>
          <w:tcPr>
            <w:tcW w:w="1523" w:type="dxa"/>
          </w:tcPr>
          <w:p>
            <w:pPr>
              <w:pStyle w:val="16"/>
              <w:spacing w:line="276" w:lineRule="auto"/>
              <w:ind w:firstLine="0" w:firstLineChars="0"/>
              <w:jc w:val="center"/>
              <w:rPr>
                <w:rFonts w:hAnsi="宋体"/>
                <w:szCs w:val="21"/>
              </w:rPr>
            </w:pPr>
            <w:r>
              <w:rPr>
                <w:rFonts w:hint="eastAsia" w:hAnsi="宋体"/>
                <w:szCs w:val="21"/>
              </w:rPr>
              <w:t>频数</w:t>
            </w:r>
          </w:p>
        </w:tc>
        <w:tc>
          <w:tcPr>
            <w:tcW w:w="2438"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p>
        </w:tc>
        <w:tc>
          <w:tcPr>
            <w:tcW w:w="2344" w:type="dxa"/>
            <w:vAlign w:val="center"/>
          </w:tcPr>
          <w:p>
            <w:pPr>
              <w:pStyle w:val="16"/>
              <w:spacing w:line="276" w:lineRule="auto"/>
              <w:ind w:firstLine="0" w:firstLineChars="0"/>
              <w:jc w:val="center"/>
              <w:rPr>
                <w:szCs w:val="21"/>
              </w:rPr>
            </w:pPr>
            <w:r>
              <w:rPr>
                <w:rFonts w:hint="eastAsia"/>
                <w:szCs w:val="21"/>
              </w:rPr>
              <w:t>[-0.10</w:t>
            </w:r>
            <w:r>
              <w:rPr>
                <w:szCs w:val="21"/>
              </w:rPr>
              <w:t xml:space="preserve">  </w:t>
            </w:r>
            <w:r>
              <w:rPr>
                <w:rFonts w:hint="eastAsia"/>
                <w:szCs w:val="21"/>
              </w:rPr>
              <w:t>+0</w:t>
            </w:r>
            <w:r>
              <w:rPr>
                <w:szCs w:val="21"/>
              </w:rPr>
              <w:t>]</w:t>
            </w:r>
          </w:p>
        </w:tc>
        <w:tc>
          <w:tcPr>
            <w:tcW w:w="2187" w:type="dxa"/>
            <w:vAlign w:val="center"/>
          </w:tcPr>
          <w:p>
            <w:pPr>
              <w:pStyle w:val="16"/>
              <w:spacing w:line="276" w:lineRule="auto"/>
              <w:ind w:firstLine="0" w:firstLineChars="0"/>
              <w:jc w:val="center"/>
              <w:rPr>
                <w:szCs w:val="21"/>
              </w:rPr>
            </w:pPr>
            <w:r>
              <w:rPr>
                <w:rFonts w:hint="eastAsia"/>
                <w:szCs w:val="21"/>
              </w:rPr>
              <w:t>-0.1</w:t>
            </w:r>
          </w:p>
        </w:tc>
        <w:tc>
          <w:tcPr>
            <w:tcW w:w="1523" w:type="dxa"/>
            <w:vAlign w:val="center"/>
          </w:tcPr>
          <w:p>
            <w:pPr>
              <w:pStyle w:val="16"/>
              <w:spacing w:line="276" w:lineRule="auto"/>
              <w:ind w:firstLine="0" w:firstLineChars="0"/>
              <w:jc w:val="center"/>
              <w:rPr>
                <w:szCs w:val="21"/>
              </w:rPr>
            </w:pPr>
            <w:r>
              <w:rPr>
                <w:rFonts w:hint="eastAsia"/>
                <w:szCs w:val="21"/>
              </w:rPr>
              <w:t>0</w:t>
            </w:r>
          </w:p>
        </w:tc>
        <w:tc>
          <w:tcPr>
            <w:tcW w:w="2438" w:type="dxa"/>
            <w:vAlign w:val="center"/>
          </w:tcPr>
          <w:p>
            <w:pPr>
              <w:pStyle w:val="16"/>
              <w:spacing w:line="276" w:lineRule="auto"/>
              <w:ind w:firstLine="0" w:firstLineChars="0"/>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1</w:t>
            </w:r>
          </w:p>
        </w:tc>
        <w:tc>
          <w:tcPr>
            <w:tcW w:w="2344" w:type="dxa"/>
            <w:vAlign w:val="center"/>
          </w:tcPr>
          <w:p>
            <w:pPr>
              <w:pStyle w:val="16"/>
              <w:spacing w:line="276" w:lineRule="auto"/>
              <w:ind w:firstLine="0" w:firstLineChars="0"/>
              <w:jc w:val="center"/>
              <w:rPr>
                <w:rFonts w:hAnsi="宋体"/>
                <w:szCs w:val="21"/>
              </w:rPr>
            </w:pPr>
            <w:r>
              <w:rPr>
                <w:rFonts w:hint="eastAsia"/>
                <w:szCs w:val="21"/>
              </w:rPr>
              <w:t>[+0</w:t>
            </w:r>
            <w:r>
              <w:rPr>
                <w:szCs w:val="21"/>
              </w:rPr>
              <w:t xml:space="preserve">  </w:t>
            </w:r>
            <w:r>
              <w:rPr>
                <w:rFonts w:hint="eastAsia"/>
                <w:szCs w:val="21"/>
              </w:rPr>
              <w:t>+0.10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w:t>
            </w:r>
            <w:r>
              <w:rPr>
                <w:rFonts w:hint="eastAsia" w:hAnsi="宋体"/>
                <w:szCs w:val="21"/>
              </w:rPr>
              <w:t>～+0.10</w:t>
            </w:r>
          </w:p>
        </w:tc>
        <w:tc>
          <w:tcPr>
            <w:tcW w:w="1523" w:type="dxa"/>
            <w:vAlign w:val="center"/>
          </w:tcPr>
          <w:p>
            <w:pPr>
              <w:pStyle w:val="16"/>
              <w:spacing w:line="276" w:lineRule="auto"/>
              <w:ind w:firstLine="0" w:firstLineChars="0"/>
              <w:jc w:val="center"/>
              <w:rPr>
                <w:rFonts w:hAnsi="宋体"/>
                <w:szCs w:val="21"/>
              </w:rPr>
            </w:pPr>
            <w:r>
              <w:rPr>
                <w:rFonts w:hint="eastAsia"/>
                <w:szCs w:val="21"/>
              </w:rPr>
              <w:t>1</w:t>
            </w:r>
          </w:p>
        </w:tc>
        <w:tc>
          <w:tcPr>
            <w:tcW w:w="2438" w:type="dxa"/>
            <w:vAlign w:val="center"/>
          </w:tcPr>
          <w:p>
            <w:pPr>
              <w:pStyle w:val="16"/>
              <w:spacing w:line="276" w:lineRule="auto"/>
              <w:ind w:firstLine="0" w:firstLineChars="0"/>
              <w:jc w:val="center"/>
              <w:rPr>
                <w:rFonts w:hAnsi="宋体"/>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2</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+0.10</w:t>
            </w:r>
            <w:r>
              <w:rPr>
                <w:szCs w:val="21"/>
              </w:rPr>
              <w:t xml:space="preserve">  </w:t>
            </w:r>
            <w:r>
              <w:rPr>
                <w:rFonts w:hint="eastAsia"/>
                <w:szCs w:val="21"/>
              </w:rPr>
              <w:t>+0.20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+0.10</w:t>
            </w:r>
            <w:r>
              <w:rPr>
                <w:szCs w:val="21"/>
              </w:rPr>
              <w:t xml:space="preserve"> </w:t>
            </w:r>
            <w:r>
              <w:rPr>
                <w:rFonts w:hint="eastAsia" w:hAnsi="宋体"/>
                <w:szCs w:val="21"/>
              </w:rPr>
              <w:t>～</w:t>
            </w:r>
            <w:r>
              <w:rPr>
                <w:szCs w:val="21"/>
              </w:rPr>
              <w:t xml:space="preserve"> </w:t>
            </w:r>
            <w:r>
              <w:rPr>
                <w:rFonts w:hint="eastAsia"/>
                <w:szCs w:val="21"/>
              </w:rPr>
              <w:t>+0.20</w:t>
            </w:r>
          </w:p>
        </w:tc>
        <w:tc>
          <w:tcPr>
            <w:tcW w:w="1523" w:type="dxa"/>
            <w:vAlign w:val="center"/>
          </w:tcPr>
          <w:p>
            <w:pPr>
              <w:pStyle w:val="16"/>
              <w:spacing w:line="276" w:lineRule="auto"/>
              <w:ind w:firstLine="0" w:firstLineChars="0"/>
              <w:jc w:val="center"/>
              <w:rPr>
                <w:rFonts w:hAnsi="宋体"/>
                <w:szCs w:val="21"/>
              </w:rPr>
            </w:pPr>
            <w:r>
              <w:rPr>
                <w:rFonts w:hint="eastAsia"/>
                <w:szCs w:val="21"/>
              </w:rPr>
              <w:t>33</w:t>
            </w:r>
          </w:p>
        </w:tc>
        <w:tc>
          <w:tcPr>
            <w:tcW w:w="2438" w:type="dxa"/>
            <w:vAlign w:val="center"/>
          </w:tcPr>
          <w:p>
            <w:pPr>
              <w:pStyle w:val="16"/>
              <w:spacing w:line="276" w:lineRule="auto"/>
              <w:ind w:firstLine="0" w:firstLineChars="0"/>
              <w:jc w:val="center"/>
              <w:rPr>
                <w:rFonts w:hAnsi="宋体"/>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3</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+0.20</w:t>
            </w:r>
            <w:r>
              <w:rPr>
                <w:szCs w:val="21"/>
              </w:rPr>
              <w:t xml:space="preserve"> </w:t>
            </w:r>
            <w:r>
              <w:rPr>
                <w:rFonts w:hint="eastAsia"/>
                <w:szCs w:val="21"/>
              </w:rPr>
              <w:t>+0.30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+0.20</w:t>
            </w:r>
            <w:r>
              <w:rPr>
                <w:szCs w:val="21"/>
              </w:rPr>
              <w:t xml:space="preserve"> </w:t>
            </w:r>
            <w:r>
              <w:rPr>
                <w:rFonts w:hint="eastAsia" w:hAnsi="宋体"/>
                <w:szCs w:val="21"/>
              </w:rPr>
              <w:t>～</w:t>
            </w:r>
            <w:r>
              <w:rPr>
                <w:rFonts w:hint="eastAsia"/>
                <w:szCs w:val="21"/>
              </w:rPr>
              <w:t>+0.30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22</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4</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+0.30</w:t>
            </w:r>
            <w:r>
              <w:rPr>
                <w:szCs w:val="21"/>
              </w:rPr>
              <w:t xml:space="preserve">  </w:t>
            </w:r>
            <w:r>
              <w:rPr>
                <w:rFonts w:hint="eastAsia"/>
                <w:szCs w:val="21"/>
              </w:rPr>
              <w:t>+0.40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+0.30</w:t>
            </w:r>
            <w:r>
              <w:rPr>
                <w:szCs w:val="21"/>
              </w:rPr>
              <w:t xml:space="preserve"> </w:t>
            </w:r>
            <w:r>
              <w:rPr>
                <w:rFonts w:hint="eastAsia" w:hAnsi="宋体"/>
                <w:szCs w:val="21"/>
              </w:rPr>
              <w:t>～</w:t>
            </w:r>
            <w:r>
              <w:rPr>
                <w:szCs w:val="21"/>
              </w:rPr>
              <w:t xml:space="preserve"> </w:t>
            </w:r>
            <w:r>
              <w:rPr>
                <w:rFonts w:hint="eastAsia"/>
                <w:szCs w:val="21"/>
              </w:rPr>
              <w:t>+0.40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6</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5</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+0.40</w:t>
            </w:r>
            <w:r>
              <w:rPr>
                <w:szCs w:val="21"/>
              </w:rPr>
              <w:t xml:space="preserve">  </w:t>
            </w:r>
            <w:r>
              <w:rPr>
                <w:rFonts w:hint="eastAsia"/>
                <w:szCs w:val="21"/>
              </w:rPr>
              <w:t>+0.50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+0.40</w:t>
            </w:r>
            <w:r>
              <w:rPr>
                <w:rFonts w:hint="eastAsia" w:hAnsi="宋体"/>
                <w:szCs w:val="21"/>
              </w:rPr>
              <w:t>～</w:t>
            </w:r>
            <w:r>
              <w:rPr>
                <w:szCs w:val="21"/>
              </w:rPr>
              <w:t xml:space="preserve">  </w:t>
            </w:r>
            <w:r>
              <w:rPr>
                <w:rFonts w:hint="eastAsia"/>
                <w:szCs w:val="21"/>
              </w:rPr>
              <w:t>+0.50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4</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pStyle w:val="16"/>
              <w:spacing w:line="276" w:lineRule="auto"/>
              <w:ind w:firstLine="0" w:firstLineChars="0"/>
              <w:jc w:val="center"/>
              <w:rPr>
                <w:rFonts w:hAnsi="宋体"/>
                <w:szCs w:val="21"/>
              </w:rPr>
            </w:pPr>
            <w:r>
              <w:rPr>
                <w:rFonts w:hint="eastAsia" w:hAnsi="宋体"/>
                <w:szCs w:val="21"/>
              </w:rPr>
              <w:t>6</w:t>
            </w:r>
          </w:p>
        </w:tc>
        <w:tc>
          <w:tcPr>
            <w:tcW w:w="2344" w:type="dxa"/>
            <w:vAlign w:val="center"/>
          </w:tcPr>
          <w:p>
            <w:pPr>
              <w:pStyle w:val="16"/>
              <w:spacing w:line="276" w:lineRule="auto"/>
              <w:ind w:firstLine="0" w:firstLineChars="0"/>
              <w:jc w:val="center"/>
              <w:rPr>
                <w:rFonts w:hAnsi="宋体"/>
                <w:szCs w:val="21"/>
              </w:rPr>
            </w:pPr>
            <w:r>
              <w:rPr>
                <w:szCs w:val="21"/>
              </w:rPr>
              <w:t>[</w:t>
            </w:r>
            <w:r>
              <w:rPr>
                <w:rFonts w:hint="eastAsia"/>
                <w:szCs w:val="21"/>
              </w:rPr>
              <w:t>+0.50</w:t>
            </w:r>
            <w:r>
              <w:rPr>
                <w:szCs w:val="21"/>
              </w:rPr>
              <w:t xml:space="preserve">  </w:t>
            </w:r>
            <w:r>
              <w:rPr>
                <w:rFonts w:hint="eastAsia"/>
                <w:szCs w:val="21"/>
              </w:rPr>
              <w:t>+0.60</w:t>
            </w:r>
            <w:r>
              <w:rPr>
                <w:szCs w:val="21"/>
              </w:rPr>
              <w:t>]</w:t>
            </w:r>
          </w:p>
        </w:tc>
        <w:tc>
          <w:tcPr>
            <w:tcW w:w="2187" w:type="dxa"/>
            <w:vAlign w:val="center"/>
          </w:tcPr>
          <w:p>
            <w:pPr>
              <w:pStyle w:val="16"/>
              <w:spacing w:line="276" w:lineRule="auto"/>
              <w:ind w:firstLine="0" w:firstLineChars="0"/>
              <w:jc w:val="center"/>
              <w:rPr>
                <w:rFonts w:hAnsi="宋体"/>
                <w:szCs w:val="21"/>
              </w:rPr>
            </w:pPr>
            <w:r>
              <w:rPr>
                <w:rFonts w:hint="eastAsia"/>
                <w:szCs w:val="21"/>
              </w:rPr>
              <w:t>+0.50</w:t>
            </w:r>
            <w:r>
              <w:rPr>
                <w:szCs w:val="21"/>
              </w:rPr>
              <w:t xml:space="preserve"> </w:t>
            </w:r>
            <w:r>
              <w:rPr>
                <w:rFonts w:hint="eastAsia" w:hAnsi="宋体"/>
                <w:szCs w:val="21"/>
              </w:rPr>
              <w:t>～</w:t>
            </w:r>
            <w:r>
              <w:rPr>
                <w:szCs w:val="21"/>
              </w:rPr>
              <w:t xml:space="preserve"> </w:t>
            </w:r>
            <w:r>
              <w:rPr>
                <w:rFonts w:hint="eastAsia"/>
                <w:szCs w:val="21"/>
              </w:rPr>
              <w:t>+0.60</w:t>
            </w:r>
          </w:p>
        </w:tc>
        <w:tc>
          <w:tcPr>
            <w:tcW w:w="1523" w:type="dxa"/>
            <w:vAlign w:val="center"/>
          </w:tcPr>
          <w:p>
            <w:pPr>
              <w:pStyle w:val="16"/>
              <w:spacing w:line="276" w:lineRule="auto"/>
              <w:ind w:firstLine="0" w:firstLineChars="0"/>
              <w:jc w:val="center"/>
              <w:rPr>
                <w:rFonts w:hAnsi="宋体"/>
                <w:szCs w:val="21"/>
              </w:rPr>
            </w:pPr>
            <w:r>
              <w:rPr>
                <w:rFonts w:hint="eastAsia" w:hAnsi="宋体"/>
                <w:szCs w:val="21"/>
              </w:rPr>
              <w:t>0</w:t>
            </w:r>
          </w:p>
        </w:tc>
        <w:tc>
          <w:tcPr>
            <w:tcW w:w="2438" w:type="dxa"/>
            <w:vAlign w:val="center"/>
          </w:tcPr>
          <w:p>
            <w:pPr>
              <w:pStyle w:val="16"/>
              <w:spacing w:line="276" w:lineRule="auto"/>
              <w:ind w:firstLine="0" w:firstLineChars="0"/>
              <w:jc w:val="center"/>
              <w:rPr>
                <w:rFonts w:hAnsi="宋体"/>
                <w:szCs w:val="21"/>
              </w:rPr>
            </w:pPr>
            <w:r>
              <w:rPr>
                <w:rFonts w:hint="eastAsia" w:hAnsi="宋体"/>
                <w:szCs w:val="21"/>
              </w:rPr>
              <w:t>0</w:t>
            </w:r>
          </w:p>
        </w:tc>
      </w:tr>
    </w:tbl>
    <w:p>
      <w:pPr>
        <w:spacing w:line="360" w:lineRule="auto"/>
        <w:rPr>
          <w:rFonts w:ascii="黑体" w:hAnsi="宋体" w:eastAsia="黑体"/>
          <w:szCs w:val="21"/>
        </w:rPr>
      </w:pPr>
    </w:p>
    <w:p>
      <w:pPr>
        <w:spacing w:line="360" w:lineRule="auto"/>
        <w:rPr>
          <w:b/>
          <w:szCs w:val="21"/>
        </w:rPr>
      </w:pPr>
      <w:r>
        <w:rPr>
          <w:b/>
          <w:szCs w:val="21"/>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ind w:firstLine="315" w:firstLineChars="150"/>
        <w:rPr>
          <w:szCs w:val="21"/>
        </w:rPr>
      </w:pPr>
      <w:r>
        <w:rPr>
          <w:rFonts w:hint="eastAsia"/>
          <w:szCs w:val="21"/>
        </w:rPr>
        <w:t>图1     饼材直径偏差分布表</w:t>
      </w:r>
    </w:p>
    <w:p>
      <w:pPr>
        <w:spacing w:line="360" w:lineRule="auto"/>
        <w:rPr>
          <w:b/>
          <w:szCs w:val="21"/>
        </w:rPr>
      </w:pPr>
    </w:p>
    <w:p>
      <w:pPr>
        <w:spacing w:line="360" w:lineRule="auto"/>
        <w:rPr>
          <w:b/>
          <w:szCs w:val="21"/>
        </w:rPr>
      </w:pPr>
      <w:r>
        <w:rPr>
          <w:b/>
          <w:szCs w:val="21"/>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rPr>
          <w:szCs w:val="21"/>
        </w:rPr>
      </w:pPr>
      <w:r>
        <w:rPr>
          <w:rFonts w:hint="eastAsia"/>
          <w:szCs w:val="21"/>
        </w:rPr>
        <w:t>图2    饼材厚度偏差分布表</w:t>
      </w:r>
    </w:p>
    <w:p>
      <w:pPr>
        <w:spacing w:line="360" w:lineRule="auto"/>
        <w:rPr>
          <w:b/>
          <w:szCs w:val="21"/>
        </w:rPr>
      </w:pPr>
      <w:r>
        <w:rPr>
          <w:rFonts w:hint="eastAsia"/>
          <w:b/>
          <w:szCs w:val="21"/>
        </w:rPr>
        <w:t>4.3饼材的形位公差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标准的形位公差主要依据用户要求及行业生产能力综合考虑确定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4.3.1锻制车加工供货的圆形饼材平整度偏差不见表6的规定。平整度的测量方法是把饼材放在一个平台上，测量直尺和饼材之间的弧深度。</w:t>
      </w:r>
    </w:p>
    <w:p>
      <w:pPr>
        <w:spacing w:line="360" w:lineRule="auto"/>
        <w:ind w:firstLine="1365" w:firstLineChars="650"/>
        <w:rPr>
          <w:rFonts w:ascii="黑体" w:eastAsia="黑体"/>
          <w:szCs w:val="21"/>
        </w:rPr>
      </w:pPr>
      <w:r>
        <w:rPr>
          <w:rFonts w:hint="eastAsia" w:ascii="黑体" w:eastAsia="黑体"/>
          <w:szCs w:val="21"/>
        </w:rPr>
        <w:t xml:space="preserve">表6   圆形饼材平整度允许偏差   </w:t>
      </w:r>
      <w:r>
        <w:rPr>
          <w:rFonts w:hint="eastAsia" w:ascii="黑体" w:hAnsi="宋体" w:eastAsia="黑体"/>
          <w:szCs w:val="21"/>
        </w:rPr>
        <w:t xml:space="preserve"> 单位为毫米</w:t>
      </w:r>
      <w:r>
        <w:rPr>
          <w:rFonts w:hint="eastAsia" w:ascii="黑体" w:eastAsia="黑体"/>
          <w:szCs w:val="21"/>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允许偏差，不大于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Cs w:val="21"/>
              </w:rPr>
            </w:pP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圆    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≤300</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&gt;300</w:t>
            </w:r>
            <w:r>
              <w:rPr>
                <w:rFonts w:hint="eastAsia" w:ascii="黑体" w:hAnsi="宋体" w:eastAsia="黑体"/>
                <w:szCs w:val="21"/>
              </w:rPr>
              <w:t>　　　　</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1.0</w:t>
            </w:r>
          </w:p>
        </w:tc>
      </w:tr>
    </w:tbl>
    <w:p>
      <w:pPr>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4.3.2锻饼两平面平行度不大于0.4mm。</w:t>
      </w:r>
    </w:p>
    <w:p>
      <w:pPr>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4.3.3表面粗糙度不大于0.8 mm。</w:t>
      </w:r>
    </w:p>
    <w:p>
      <w:pPr>
        <w:pStyle w:val="18"/>
        <w:tabs>
          <w:tab w:val="left" w:pos="420"/>
          <w:tab w:val="clear" w:pos="360"/>
        </w:tabs>
        <w:spacing w:beforeLines="50" w:line="360" w:lineRule="auto"/>
        <w:rPr>
          <w:rFonts w:ascii="宋体" w:hAnsi="宋体" w:eastAsia="宋体"/>
          <w:b/>
          <w:szCs w:val="21"/>
        </w:rPr>
      </w:pPr>
      <w:r>
        <w:rPr>
          <w:rFonts w:hint="eastAsia" w:ascii="宋体" w:hAnsi="宋体" w:eastAsia="宋体"/>
          <w:b/>
          <w:szCs w:val="21"/>
        </w:rPr>
        <w:t>4.4内部质量</w:t>
      </w:r>
    </w:p>
    <w:p>
      <w:pPr>
        <w:pStyle w:val="16"/>
        <w:spacing w:line="360" w:lineRule="auto"/>
        <w:ind w:firstLine="420"/>
        <w:rPr>
          <w:rFonts w:asciiTheme="majorEastAsia" w:hAnsiTheme="majorEastAsia" w:eastAsiaTheme="majorEastAsia"/>
          <w:color w:val="000000"/>
          <w:szCs w:val="21"/>
        </w:rPr>
      </w:pPr>
      <w:r>
        <w:rPr>
          <w:rFonts w:asciiTheme="majorEastAsia" w:hAnsiTheme="majorEastAsia" w:eastAsiaTheme="majorEastAsia"/>
          <w:color w:val="000000"/>
        </w:rPr>
        <w:t>棒材和饼材采用渗透方法检验内部质量，</w:t>
      </w:r>
      <w:r>
        <w:rPr>
          <w:rFonts w:asciiTheme="majorEastAsia" w:hAnsiTheme="majorEastAsia" w:eastAsiaTheme="majorEastAsia"/>
          <w:color w:val="000000"/>
          <w:szCs w:val="21"/>
        </w:rPr>
        <w:t>合格判定应</w:t>
      </w:r>
      <w:r>
        <w:rPr>
          <w:rFonts w:asciiTheme="majorEastAsia" w:hAnsiTheme="majorEastAsia" w:eastAsiaTheme="majorEastAsia"/>
          <w:color w:val="000000"/>
        </w:rPr>
        <w:t>符合YS/T 336标准中表3的相关规定。</w:t>
      </w:r>
      <w:r>
        <w:rPr>
          <w:rFonts w:asciiTheme="majorEastAsia" w:hAnsiTheme="majorEastAsia" w:eastAsiaTheme="majorEastAsia"/>
          <w:bCs/>
          <w:color w:val="000000"/>
          <w:spacing w:val="8"/>
          <w:szCs w:val="21"/>
          <w:shd w:val="clear" w:color="auto" w:fill="FFFFFF"/>
        </w:rPr>
        <w:t>HSi80-3</w:t>
      </w:r>
      <w:r>
        <w:rPr>
          <w:rFonts w:asciiTheme="majorEastAsia" w:hAnsiTheme="majorEastAsia" w:eastAsiaTheme="majorEastAsia"/>
          <w:color w:val="000000"/>
          <w:szCs w:val="21"/>
        </w:rPr>
        <w:t>棒材和饼材还须逐件进行超声波探伤，不允许有直径大于1.2mm</w:t>
      </w:r>
      <w:r>
        <w:rPr>
          <w:rFonts w:hint="eastAsia" w:asciiTheme="majorEastAsia" w:hAnsiTheme="majorEastAsia" w:eastAsiaTheme="majorEastAsia"/>
          <w:color w:val="000000"/>
          <w:szCs w:val="21"/>
        </w:rPr>
        <w:t>短横</w:t>
      </w:r>
      <w:r>
        <w:rPr>
          <w:rFonts w:asciiTheme="majorEastAsia" w:hAnsiTheme="majorEastAsia" w:eastAsiaTheme="majorEastAsia"/>
          <w:color w:val="000000"/>
          <w:szCs w:val="21"/>
        </w:rPr>
        <w:t>孔当量的</w:t>
      </w:r>
      <w:r>
        <w:rPr>
          <w:rFonts w:asciiTheme="majorEastAsia" w:hAnsiTheme="majorEastAsia" w:eastAsiaTheme="majorEastAsia"/>
          <w:color w:val="000000"/>
        </w:rPr>
        <w:t>缺陷存在。</w:t>
      </w:r>
    </w:p>
    <w:p>
      <w:pPr>
        <w:pStyle w:val="18"/>
        <w:tabs>
          <w:tab w:val="left" w:pos="420"/>
          <w:tab w:val="clear" w:pos="360"/>
        </w:tabs>
        <w:spacing w:beforeLines="50"/>
        <w:rPr>
          <w:rFonts w:ascii="宋体" w:hAnsi="宋体" w:eastAsia="宋体"/>
          <w:b/>
          <w:szCs w:val="21"/>
        </w:rPr>
      </w:pPr>
      <w:r>
        <w:rPr>
          <w:rFonts w:hint="eastAsia" w:hAnsi="宋体"/>
          <w:b/>
          <w:szCs w:val="21"/>
        </w:rPr>
        <w:t>4.5</w:t>
      </w:r>
      <w:r>
        <w:rPr>
          <w:rFonts w:hint="eastAsia" w:ascii="宋体" w:hAnsi="宋体" w:eastAsia="宋体"/>
          <w:b/>
          <w:szCs w:val="21"/>
        </w:rPr>
        <w:t>力学性能</w:t>
      </w:r>
    </w:p>
    <w:p>
      <w:pPr>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棒饼材的室温力学性能要求见表7的规定。本标准力学性能根据用户的实际需求及生产检测数据确定。　表8为棒材和饼材的力学性能数据统计表，根据表中的数据，生产能力完全满足标准要求。</w:t>
      </w:r>
    </w:p>
    <w:p>
      <w:pPr>
        <w:pStyle w:val="18"/>
        <w:tabs>
          <w:tab w:val="left" w:pos="420"/>
          <w:tab w:val="clear" w:pos="360"/>
        </w:tabs>
        <w:ind w:firstLine="735" w:firstLineChars="350"/>
        <w:rPr>
          <w:szCs w:val="21"/>
        </w:rPr>
      </w:pPr>
      <w:r>
        <w:rPr>
          <w:rFonts w:hint="eastAsia"/>
          <w:szCs w:val="21"/>
        </w:rPr>
        <w:t>表7       棒材的力学性能</w:t>
      </w:r>
    </w:p>
    <w:tbl>
      <w:tblPr>
        <w:tblStyle w:val="12"/>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559"/>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84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牌号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3"/>
              <w:ind w:firstLine="210"/>
              <w:jc w:val="center"/>
              <w:rPr>
                <w:rFonts w:ascii="黑体" w:eastAsia="黑体"/>
              </w:rPr>
            </w:pPr>
            <w:r>
              <w:rPr>
                <w:rFonts w:hint="eastAsia" w:ascii="黑体" w:eastAsia="黑体"/>
              </w:rPr>
              <w:t>状态</w:t>
            </w:r>
          </w:p>
        </w:tc>
        <w:tc>
          <w:tcPr>
            <w:tcW w:w="269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抗拉强度Rm</w:t>
            </w:r>
          </w:p>
          <w:p>
            <w:pPr>
              <w:pStyle w:val="3"/>
              <w:jc w:val="center"/>
              <w:rPr>
                <w:rFonts w:ascii="黑体" w:eastAsia="黑体"/>
              </w:rPr>
            </w:pPr>
            <w:r>
              <w:rPr>
                <w:rFonts w:hint="eastAsia" w:ascii="黑体" w:eastAsia="黑体"/>
              </w:rPr>
              <w:t>MPa</w:t>
            </w:r>
          </w:p>
        </w:tc>
        <w:tc>
          <w:tcPr>
            <w:tcW w:w="2977"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断后伸长率A</w:t>
            </w:r>
          </w:p>
          <w:p>
            <w:pPr>
              <w:pStyle w:val="3"/>
              <w:jc w:val="center"/>
              <w:rPr>
                <w:rFonts w:ascii="黑体" w:eastAsia="黑体"/>
              </w:rPr>
            </w:pP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843" w:type="dxa"/>
            <w:tcBorders>
              <w:top w:val="single" w:color="auto" w:sz="4" w:space="0"/>
              <w:left w:val="single" w:color="auto" w:sz="4" w:space="0"/>
              <w:bottom w:val="single" w:color="auto" w:sz="4" w:space="0"/>
              <w:right w:val="single" w:color="auto" w:sz="4" w:space="0"/>
            </w:tcBorders>
            <w:vAlign w:val="center"/>
          </w:tcPr>
          <w:p>
            <w:pPr>
              <w:pStyle w:val="3"/>
              <w:ind w:firstLine="226"/>
              <w:jc w:val="center"/>
              <w:rPr>
                <w:rFonts w:ascii="黑体" w:eastAsia="黑体"/>
              </w:rPr>
            </w:pPr>
            <w:r>
              <w:rPr>
                <w:rFonts w:hint="eastAsia" w:ascii="黑体" w:eastAsia="黑体"/>
                <w:bCs/>
                <w:color w:val="000000"/>
                <w:spacing w:val="8"/>
                <w:shd w:val="clear" w:color="auto" w:fill="FFFFFF"/>
              </w:rPr>
              <w:t>HSi80-3</w:t>
            </w:r>
          </w:p>
        </w:tc>
        <w:tc>
          <w:tcPr>
            <w:tcW w:w="1559" w:type="dxa"/>
            <w:vMerge w:val="restart"/>
            <w:tcBorders>
              <w:top w:val="single" w:color="auto" w:sz="4" w:space="0"/>
              <w:left w:val="single" w:color="auto" w:sz="4" w:space="0"/>
              <w:right w:val="single" w:color="auto" w:sz="4" w:space="0"/>
            </w:tcBorders>
            <w:vAlign w:val="center"/>
          </w:tcPr>
          <w:p>
            <w:pPr>
              <w:pStyle w:val="3"/>
              <w:ind w:firstLine="210"/>
              <w:jc w:val="center"/>
              <w:rPr>
                <w:rFonts w:ascii="黑体" w:eastAsia="黑体"/>
              </w:rPr>
            </w:pPr>
            <w:r>
              <w:rPr>
                <w:rFonts w:hint="eastAsia" w:ascii="黑体" w:eastAsia="黑体"/>
              </w:rPr>
              <w:fldChar w:fldCharType="begin"/>
            </w:r>
            <w:r>
              <w:rPr>
                <w:rFonts w:hint="eastAsia" w:ascii="黑体" w:eastAsia="黑体"/>
              </w:rPr>
              <w:instrText xml:space="preserve"> LINK Word.Document.12 "C:\\Documents and Settings\\Administrator\\桌面\\80-3棒标准.doc" "OLE_LINK1" \a \r  \* MERGEFORMAT </w:instrText>
            </w:r>
            <w:r>
              <w:rPr>
                <w:rFonts w:hint="eastAsia" w:ascii="黑体" w:eastAsia="黑体"/>
              </w:rPr>
              <w:fldChar w:fldCharType="separate"/>
            </w:r>
            <w:r>
              <w:rPr>
                <w:rFonts w:hint="eastAsia" w:ascii="黑体" w:eastAsia="黑体"/>
              </w:rPr>
              <w:t>M10</w:t>
            </w:r>
            <w:r>
              <w:rPr>
                <w:rFonts w:hint="eastAsia" w:ascii="黑体" w:eastAsia="黑体"/>
              </w:rPr>
              <w:fldChar w:fldCharType="end"/>
            </w:r>
          </w:p>
        </w:tc>
        <w:tc>
          <w:tcPr>
            <w:tcW w:w="2693"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≥300</w:t>
            </w:r>
          </w:p>
        </w:tc>
        <w:tc>
          <w:tcPr>
            <w:tcW w:w="2977"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525" w:firstLineChars="250"/>
              <w:rPr>
                <w:rFonts w:ascii="黑体" w:eastAsia="黑体"/>
                <w:kern w:val="0"/>
                <w:szCs w:val="21"/>
              </w:rPr>
            </w:pPr>
            <w:r>
              <w:rPr>
                <w:rFonts w:hint="eastAsia" w:ascii="黑体" w:eastAsia="黑体"/>
                <w:kern w:val="0"/>
                <w:szCs w:val="21"/>
              </w:rPr>
              <w:t>HSn62-1</w:t>
            </w:r>
          </w:p>
        </w:tc>
        <w:tc>
          <w:tcPr>
            <w:tcW w:w="1559" w:type="dxa"/>
            <w:vMerge w:val="continue"/>
            <w:tcBorders>
              <w:left w:val="single" w:color="auto" w:sz="4" w:space="0"/>
              <w:right w:val="single" w:color="auto" w:sz="4" w:space="0"/>
            </w:tcBorders>
            <w:vAlign w:val="center"/>
          </w:tcPr>
          <w:p>
            <w:pPr>
              <w:pStyle w:val="3"/>
              <w:jc w:val="center"/>
              <w:rPr>
                <w:rFonts w:ascii="黑体" w:eastAsia="黑体"/>
              </w:rPr>
            </w:pPr>
          </w:p>
        </w:tc>
        <w:tc>
          <w:tcPr>
            <w:tcW w:w="2693"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≥345</w:t>
            </w:r>
          </w:p>
        </w:tc>
        <w:tc>
          <w:tcPr>
            <w:tcW w:w="2977"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≥20</w:t>
            </w:r>
          </w:p>
        </w:tc>
      </w:tr>
    </w:tbl>
    <w:p>
      <w:pPr>
        <w:jc w:val="left"/>
        <w:rPr>
          <w:rFonts w:ascii="黑体" w:eastAsia="黑体"/>
          <w:szCs w:val="21"/>
        </w:rPr>
      </w:pPr>
    </w:p>
    <w:p>
      <w:pPr>
        <w:ind w:firstLine="525" w:firstLineChars="250"/>
        <w:jc w:val="left"/>
        <w:rPr>
          <w:rFonts w:ascii="黑体" w:hAnsi="黑体" w:eastAsia="黑体" w:cs="黑体"/>
          <w:szCs w:val="21"/>
        </w:rPr>
      </w:pPr>
      <w:r>
        <w:rPr>
          <w:rFonts w:hint="eastAsia" w:ascii="黑体" w:hAnsi="黑体" w:eastAsia="黑体" w:cs="黑体"/>
          <w:szCs w:val="21"/>
        </w:rPr>
        <w:t>表8  棒材和饼材的力学性能实测值数据表</w:t>
      </w: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985"/>
        <w:gridCol w:w="198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68" w:type="dxa"/>
            <w:vMerge w:val="restart"/>
            <w:vAlign w:val="center"/>
          </w:tcPr>
          <w:p>
            <w:pPr>
              <w:jc w:val="center"/>
              <w:rPr>
                <w:rFonts w:ascii="仿宋" w:hAnsi="仿宋" w:eastAsia="仿宋" w:cs="仿宋"/>
                <w:szCs w:val="21"/>
              </w:rPr>
            </w:pPr>
            <w:r>
              <w:rPr>
                <w:rFonts w:hint="eastAsia" w:ascii="仿宋" w:hAnsi="仿宋" w:eastAsia="仿宋" w:cs="仿宋"/>
                <w:szCs w:val="21"/>
              </w:rPr>
              <w:t>规格</w:t>
            </w:r>
          </w:p>
        </w:tc>
        <w:tc>
          <w:tcPr>
            <w:tcW w:w="3402" w:type="dxa"/>
            <w:gridSpan w:val="2"/>
            <w:vAlign w:val="center"/>
          </w:tcPr>
          <w:p>
            <w:pPr>
              <w:jc w:val="center"/>
              <w:rPr>
                <w:rFonts w:ascii="仿宋" w:hAnsi="仿宋" w:eastAsia="仿宋" w:cs="仿宋"/>
                <w:szCs w:val="21"/>
              </w:rPr>
            </w:pPr>
            <w:r>
              <w:rPr>
                <w:rFonts w:hint="eastAsia" w:ascii="黑体" w:hAnsi="黑体" w:eastAsia="黑体" w:cs="黑体"/>
                <w:szCs w:val="21"/>
              </w:rPr>
              <w:t>HSi80-3</w:t>
            </w:r>
            <w:r>
              <w:rPr>
                <w:rFonts w:hint="eastAsia" w:ascii="仿宋" w:hAnsi="仿宋" w:eastAsia="仿宋" w:cs="仿宋"/>
                <w:szCs w:val="21"/>
              </w:rPr>
              <w:t>力学性能</w:t>
            </w:r>
          </w:p>
        </w:tc>
        <w:tc>
          <w:tcPr>
            <w:tcW w:w="4110" w:type="dxa"/>
            <w:gridSpan w:val="2"/>
            <w:vAlign w:val="center"/>
          </w:tcPr>
          <w:p>
            <w:pPr>
              <w:jc w:val="center"/>
              <w:rPr>
                <w:rFonts w:ascii="仿宋" w:hAnsi="仿宋" w:eastAsia="仿宋" w:cs="仿宋"/>
                <w:szCs w:val="21"/>
              </w:rPr>
            </w:pPr>
            <w:r>
              <w:rPr>
                <w:rFonts w:hint="eastAsia" w:ascii="黑体" w:hAnsi="黑体" w:eastAsia="黑体" w:cs="黑体"/>
                <w:szCs w:val="21"/>
              </w:rPr>
              <w:t>HSn62-1</w:t>
            </w:r>
            <w:r>
              <w:rPr>
                <w:rFonts w:hint="eastAsia" w:ascii="仿宋" w:hAnsi="仿宋" w:eastAsia="仿宋" w:cs="仿宋"/>
                <w:szCs w:val="21"/>
              </w:rPr>
              <w:t>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68" w:type="dxa"/>
            <w:vMerge w:val="continue"/>
            <w:vAlign w:val="center"/>
          </w:tcPr>
          <w:p>
            <w:pPr>
              <w:jc w:val="center"/>
              <w:rPr>
                <w:rFonts w:ascii="仿宋" w:hAnsi="仿宋" w:eastAsia="仿宋" w:cs="仿宋"/>
                <w:szCs w:val="21"/>
              </w:rPr>
            </w:pPr>
          </w:p>
        </w:tc>
        <w:tc>
          <w:tcPr>
            <w:tcW w:w="1417" w:type="dxa"/>
            <w:vAlign w:val="center"/>
          </w:tcPr>
          <w:p>
            <w:pPr>
              <w:jc w:val="center"/>
              <w:rPr>
                <w:rFonts w:ascii="仿宋" w:hAnsi="仿宋" w:eastAsia="仿宋" w:cs="仿宋"/>
                <w:szCs w:val="21"/>
              </w:rPr>
            </w:pPr>
            <w:r>
              <w:rPr>
                <w:rFonts w:hint="eastAsia" w:ascii="仿宋" w:hAnsi="仿宋" w:eastAsia="仿宋" w:cs="仿宋"/>
                <w:szCs w:val="21"/>
              </w:rPr>
              <w:t>Rm/MPa</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A%</w:t>
            </w:r>
          </w:p>
        </w:tc>
        <w:tc>
          <w:tcPr>
            <w:tcW w:w="1984" w:type="dxa"/>
            <w:vAlign w:val="center"/>
          </w:tcPr>
          <w:p>
            <w:pPr>
              <w:jc w:val="center"/>
              <w:rPr>
                <w:rFonts w:ascii="仿宋" w:hAnsi="仿宋" w:eastAsia="仿宋" w:cs="仿宋"/>
                <w:szCs w:val="21"/>
              </w:rPr>
            </w:pPr>
            <w:r>
              <w:rPr>
                <w:rFonts w:hint="eastAsia" w:ascii="仿宋" w:hAnsi="仿宋" w:eastAsia="仿宋" w:cs="仿宋"/>
                <w:szCs w:val="21"/>
              </w:rPr>
              <w:t>Rm/MPa</w:t>
            </w:r>
          </w:p>
        </w:tc>
        <w:tc>
          <w:tcPr>
            <w:tcW w:w="2126" w:type="dxa"/>
            <w:vAlign w:val="center"/>
          </w:tcPr>
          <w:p>
            <w:pPr>
              <w:jc w:val="center"/>
              <w:rPr>
                <w:rFonts w:ascii="仿宋" w:hAnsi="仿宋" w:eastAsia="仿宋" w:cs="仿宋"/>
                <w:szCs w:val="21"/>
              </w:rPr>
            </w:pPr>
            <w:r>
              <w:rPr>
                <w:rFonts w:hint="eastAsia" w:ascii="仿宋" w:hAnsi="仿宋" w:eastAsia="仿宋" w:cs="仿宋"/>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Φ118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454</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52</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354</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8" w:type="dxa"/>
            <w:vAlign w:val="center"/>
          </w:tcPr>
          <w:p>
            <w:pPr>
              <w:jc w:val="center"/>
              <w:rPr>
                <w:rFonts w:ascii="仿宋" w:hAnsi="仿宋" w:eastAsia="仿宋" w:cs="仿宋"/>
                <w:szCs w:val="21"/>
              </w:rPr>
            </w:pPr>
            <w:r>
              <w:rPr>
                <w:rFonts w:hint="eastAsia" w:ascii="宋体" w:hAnsi="宋体" w:cs="宋体"/>
                <w:szCs w:val="21"/>
              </w:rPr>
              <w:t>Φ128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466</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69</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366</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Φ138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457</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43</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357</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668" w:type="dxa"/>
            <w:vAlign w:val="center"/>
          </w:tcPr>
          <w:p>
            <w:pPr>
              <w:jc w:val="center"/>
              <w:rPr>
                <w:rFonts w:ascii="仿宋" w:hAnsi="仿宋" w:eastAsia="仿宋" w:cs="仿宋"/>
                <w:szCs w:val="21"/>
              </w:rPr>
            </w:pPr>
            <w:r>
              <w:rPr>
                <w:rFonts w:hint="eastAsia" w:ascii="宋体" w:hAnsi="宋体" w:cs="宋体"/>
                <w:szCs w:val="21"/>
              </w:rPr>
              <w:t>Φ138</w:t>
            </w:r>
            <w:r>
              <w:rPr>
                <w:rFonts w:ascii="Arial" w:hAnsi="Arial" w:eastAsia="仿宋" w:cs="Arial"/>
                <w:szCs w:val="21"/>
              </w:rPr>
              <w:t>×</w:t>
            </w:r>
            <w:r>
              <w:rPr>
                <w:rFonts w:hint="eastAsia" w:ascii="Arial" w:hAnsi="Arial" w:eastAsia="仿宋" w:cs="Arial"/>
                <w:szCs w:val="21"/>
              </w:rPr>
              <w:t>70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462</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65</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362</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668" w:type="dxa"/>
            <w:vAlign w:val="center"/>
          </w:tcPr>
          <w:p>
            <w:pPr>
              <w:jc w:val="center"/>
              <w:rPr>
                <w:rFonts w:ascii="仿宋" w:hAnsi="仿宋" w:eastAsia="仿宋" w:cs="仿宋"/>
                <w:szCs w:val="21"/>
              </w:rPr>
            </w:pPr>
            <w:r>
              <w:rPr>
                <w:rFonts w:hint="eastAsia" w:ascii="宋体" w:hAnsi="宋体" w:cs="宋体"/>
                <w:szCs w:val="21"/>
              </w:rPr>
              <w:t>Φ158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458</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67</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358</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Φ158</w:t>
            </w:r>
            <w:r>
              <w:rPr>
                <w:rFonts w:ascii="Arial" w:hAnsi="Arial" w:eastAsia="仿宋" w:cs="Arial"/>
                <w:szCs w:val="21"/>
              </w:rPr>
              <w:t>×</w:t>
            </w:r>
            <w:r>
              <w:rPr>
                <w:rFonts w:hint="eastAsia" w:ascii="Arial" w:hAnsi="Arial" w:eastAsia="仿宋" w:cs="Arial"/>
                <w:szCs w:val="21"/>
              </w:rPr>
              <w:t>37</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469</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62</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369</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Φ193</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447</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51</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347</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Φ218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488</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66</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415</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仿宋"/>
                <w:szCs w:val="21"/>
              </w:rPr>
            </w:pPr>
            <w:r>
              <w:rPr>
                <w:rFonts w:hint="eastAsia" w:ascii="宋体" w:hAnsi="宋体" w:cs="宋体"/>
                <w:szCs w:val="21"/>
              </w:rPr>
              <w:t>Φ228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496</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64</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388</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68" w:type="dxa"/>
            <w:vAlign w:val="center"/>
          </w:tcPr>
          <w:p>
            <w:pPr>
              <w:jc w:val="center"/>
              <w:rPr>
                <w:rFonts w:ascii="仿宋" w:hAnsi="仿宋" w:eastAsia="仿宋" w:cs="仿宋"/>
                <w:szCs w:val="21"/>
              </w:rPr>
            </w:pPr>
            <w:r>
              <w:rPr>
                <w:rFonts w:hint="eastAsia" w:ascii="宋体" w:hAnsi="宋体" w:cs="宋体"/>
                <w:szCs w:val="21"/>
              </w:rPr>
              <w:t>Φ258</w:t>
            </w:r>
            <w:r>
              <w:rPr>
                <w:rFonts w:ascii="Arial" w:hAnsi="Arial" w:eastAsia="仿宋" w:cs="Arial"/>
                <w:szCs w:val="21"/>
              </w:rPr>
              <w:t>×</w:t>
            </w:r>
            <w:r>
              <w:rPr>
                <w:rFonts w:hint="eastAsia" w:ascii="Arial" w:hAnsi="Arial" w:eastAsia="仿宋" w:cs="Arial"/>
                <w:szCs w:val="21"/>
              </w:rPr>
              <w:t>30</w:t>
            </w:r>
          </w:p>
        </w:tc>
        <w:tc>
          <w:tcPr>
            <w:tcW w:w="1417" w:type="dxa"/>
            <w:vAlign w:val="center"/>
          </w:tcPr>
          <w:p>
            <w:pPr>
              <w:jc w:val="center"/>
              <w:rPr>
                <w:rFonts w:ascii="仿宋" w:hAnsi="仿宋" w:eastAsia="仿宋" w:cs="仿宋"/>
                <w:szCs w:val="21"/>
              </w:rPr>
            </w:pPr>
            <w:r>
              <w:rPr>
                <w:rFonts w:hint="eastAsia" w:ascii="仿宋" w:hAnsi="仿宋" w:eastAsia="仿宋" w:cs="仿宋"/>
                <w:szCs w:val="21"/>
              </w:rPr>
              <w:t>459</w:t>
            </w:r>
          </w:p>
        </w:tc>
        <w:tc>
          <w:tcPr>
            <w:tcW w:w="1985" w:type="dxa"/>
            <w:vAlign w:val="center"/>
          </w:tcPr>
          <w:p>
            <w:pPr>
              <w:jc w:val="center"/>
              <w:rPr>
                <w:rFonts w:ascii="仿宋" w:hAnsi="仿宋" w:eastAsia="仿宋" w:cs="仿宋"/>
                <w:szCs w:val="21"/>
              </w:rPr>
            </w:pPr>
            <w:r>
              <w:rPr>
                <w:rFonts w:hint="eastAsia" w:ascii="仿宋" w:hAnsi="仿宋" w:eastAsia="仿宋" w:cs="仿宋"/>
                <w:szCs w:val="21"/>
              </w:rPr>
              <w:t>53</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396</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∮160×56</w:t>
            </w:r>
          </w:p>
        </w:tc>
        <w:tc>
          <w:tcPr>
            <w:tcW w:w="1417" w:type="dxa"/>
            <w:vAlign w:val="center"/>
          </w:tcPr>
          <w:p>
            <w:pPr>
              <w:jc w:val="center"/>
              <w:rPr>
                <w:rFonts w:asciiTheme="minorEastAsia" w:hAnsiTheme="minorEastAsia"/>
                <w:szCs w:val="21"/>
              </w:rPr>
            </w:pPr>
            <w:r>
              <w:rPr>
                <w:rFonts w:hint="eastAsia" w:asciiTheme="minorEastAsia" w:hAnsiTheme="minorEastAsia"/>
                <w:szCs w:val="21"/>
              </w:rPr>
              <w:t>466</w:t>
            </w:r>
          </w:p>
        </w:tc>
        <w:tc>
          <w:tcPr>
            <w:tcW w:w="1985" w:type="dxa"/>
            <w:vAlign w:val="center"/>
          </w:tcPr>
          <w:p>
            <w:pPr>
              <w:jc w:val="center"/>
              <w:rPr>
                <w:rFonts w:asciiTheme="minorEastAsia" w:hAnsiTheme="minorEastAsia"/>
                <w:szCs w:val="21"/>
              </w:rPr>
            </w:pPr>
            <w:r>
              <w:rPr>
                <w:rFonts w:hint="eastAsia" w:asciiTheme="minorEastAsia" w:hAnsiTheme="minorEastAsia"/>
                <w:szCs w:val="21"/>
              </w:rPr>
              <w:t>64</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420</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∮180×56</w:t>
            </w:r>
          </w:p>
        </w:tc>
        <w:tc>
          <w:tcPr>
            <w:tcW w:w="1417" w:type="dxa"/>
            <w:vAlign w:val="center"/>
          </w:tcPr>
          <w:p>
            <w:pPr>
              <w:jc w:val="center"/>
              <w:rPr>
                <w:rFonts w:asciiTheme="minorEastAsia" w:hAnsiTheme="minorEastAsia"/>
                <w:szCs w:val="21"/>
              </w:rPr>
            </w:pPr>
            <w:r>
              <w:rPr>
                <w:rFonts w:hint="eastAsia" w:asciiTheme="minorEastAsia" w:hAnsiTheme="minorEastAsia"/>
                <w:szCs w:val="21"/>
              </w:rPr>
              <w:t>445</w:t>
            </w:r>
          </w:p>
        </w:tc>
        <w:tc>
          <w:tcPr>
            <w:tcW w:w="1985" w:type="dxa"/>
            <w:vAlign w:val="center"/>
          </w:tcPr>
          <w:p>
            <w:pPr>
              <w:ind w:firstLine="735" w:firstLineChars="350"/>
              <w:rPr>
                <w:rFonts w:asciiTheme="minorEastAsia" w:hAnsiTheme="minorEastAsia"/>
                <w:szCs w:val="21"/>
              </w:rPr>
            </w:pPr>
            <w:r>
              <w:rPr>
                <w:rFonts w:hint="eastAsia" w:asciiTheme="minorEastAsia" w:hAnsiTheme="minorEastAsia"/>
                <w:szCs w:val="21"/>
              </w:rPr>
              <w:t>70</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460</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∮200×56</w:t>
            </w:r>
          </w:p>
        </w:tc>
        <w:tc>
          <w:tcPr>
            <w:tcW w:w="1417" w:type="dxa"/>
            <w:vAlign w:val="center"/>
          </w:tcPr>
          <w:p>
            <w:pPr>
              <w:jc w:val="center"/>
              <w:rPr>
                <w:rFonts w:asciiTheme="minorEastAsia" w:hAnsiTheme="minorEastAsia"/>
                <w:szCs w:val="21"/>
              </w:rPr>
            </w:pPr>
            <w:r>
              <w:rPr>
                <w:rFonts w:hint="eastAsia" w:asciiTheme="minorEastAsia" w:hAnsiTheme="minorEastAsia"/>
                <w:szCs w:val="21"/>
              </w:rPr>
              <w:t>454</w:t>
            </w:r>
          </w:p>
        </w:tc>
        <w:tc>
          <w:tcPr>
            <w:tcW w:w="1985" w:type="dxa"/>
            <w:vAlign w:val="center"/>
          </w:tcPr>
          <w:p>
            <w:pPr>
              <w:jc w:val="center"/>
              <w:rPr>
                <w:rFonts w:asciiTheme="minorEastAsia" w:hAnsiTheme="minorEastAsia"/>
                <w:szCs w:val="21"/>
              </w:rPr>
            </w:pPr>
            <w:r>
              <w:rPr>
                <w:rFonts w:hint="eastAsia" w:asciiTheme="minorEastAsia" w:hAnsiTheme="minorEastAsia"/>
                <w:szCs w:val="21"/>
              </w:rPr>
              <w:t>64</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390</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∮260×40</w:t>
            </w:r>
          </w:p>
        </w:tc>
        <w:tc>
          <w:tcPr>
            <w:tcW w:w="1417" w:type="dxa"/>
            <w:vAlign w:val="center"/>
          </w:tcPr>
          <w:p>
            <w:pPr>
              <w:jc w:val="center"/>
              <w:rPr>
                <w:rFonts w:asciiTheme="minorEastAsia" w:hAnsiTheme="minorEastAsia"/>
                <w:szCs w:val="21"/>
              </w:rPr>
            </w:pPr>
            <w:r>
              <w:rPr>
                <w:rFonts w:hint="eastAsia" w:asciiTheme="minorEastAsia" w:hAnsiTheme="minorEastAsia"/>
                <w:szCs w:val="21"/>
              </w:rPr>
              <w:t>417</w:t>
            </w:r>
          </w:p>
        </w:tc>
        <w:tc>
          <w:tcPr>
            <w:tcW w:w="1985" w:type="dxa"/>
            <w:vAlign w:val="center"/>
          </w:tcPr>
          <w:p>
            <w:pPr>
              <w:jc w:val="center"/>
              <w:rPr>
                <w:rFonts w:asciiTheme="minorEastAsia" w:hAnsiTheme="minorEastAsia"/>
                <w:szCs w:val="21"/>
              </w:rPr>
            </w:pPr>
            <w:r>
              <w:rPr>
                <w:rFonts w:hint="eastAsia" w:asciiTheme="minorEastAsia" w:hAnsiTheme="minorEastAsia"/>
                <w:szCs w:val="21"/>
              </w:rPr>
              <w:t>62</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359</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∮180×104</w:t>
            </w:r>
          </w:p>
        </w:tc>
        <w:tc>
          <w:tcPr>
            <w:tcW w:w="1417" w:type="dxa"/>
            <w:vAlign w:val="center"/>
          </w:tcPr>
          <w:p>
            <w:pPr>
              <w:jc w:val="center"/>
              <w:rPr>
                <w:rFonts w:asciiTheme="minorEastAsia" w:hAnsiTheme="minorEastAsia"/>
                <w:szCs w:val="21"/>
              </w:rPr>
            </w:pPr>
            <w:r>
              <w:rPr>
                <w:rFonts w:hint="eastAsia" w:asciiTheme="minorEastAsia" w:hAnsiTheme="minorEastAsia"/>
                <w:szCs w:val="21"/>
              </w:rPr>
              <w:t>441</w:t>
            </w:r>
          </w:p>
        </w:tc>
        <w:tc>
          <w:tcPr>
            <w:tcW w:w="1985" w:type="dxa"/>
            <w:vAlign w:val="center"/>
          </w:tcPr>
          <w:p>
            <w:pPr>
              <w:jc w:val="center"/>
              <w:rPr>
                <w:rFonts w:asciiTheme="minorEastAsia" w:hAnsiTheme="minorEastAsia"/>
                <w:szCs w:val="21"/>
              </w:rPr>
            </w:pPr>
            <w:r>
              <w:rPr>
                <w:rFonts w:hint="eastAsia" w:asciiTheme="minorEastAsia" w:hAnsiTheme="minorEastAsia"/>
                <w:szCs w:val="21"/>
              </w:rPr>
              <w:t>72</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365</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∮180×106</w:t>
            </w:r>
          </w:p>
        </w:tc>
        <w:tc>
          <w:tcPr>
            <w:tcW w:w="1417" w:type="dxa"/>
            <w:vAlign w:val="center"/>
          </w:tcPr>
          <w:p>
            <w:pPr>
              <w:jc w:val="center"/>
              <w:rPr>
                <w:rFonts w:asciiTheme="minorEastAsia" w:hAnsiTheme="minorEastAsia"/>
                <w:szCs w:val="21"/>
              </w:rPr>
            </w:pPr>
            <w:r>
              <w:rPr>
                <w:rFonts w:hint="eastAsia" w:asciiTheme="minorEastAsia" w:hAnsiTheme="minorEastAsia"/>
                <w:szCs w:val="21"/>
              </w:rPr>
              <w:t>437</w:t>
            </w:r>
          </w:p>
        </w:tc>
        <w:tc>
          <w:tcPr>
            <w:tcW w:w="1985" w:type="dxa"/>
            <w:vAlign w:val="center"/>
          </w:tcPr>
          <w:p>
            <w:pPr>
              <w:jc w:val="center"/>
              <w:rPr>
                <w:rFonts w:asciiTheme="minorEastAsia" w:hAnsiTheme="minorEastAsia"/>
                <w:szCs w:val="21"/>
              </w:rPr>
            </w:pPr>
            <w:r>
              <w:rPr>
                <w:rFonts w:hint="eastAsia" w:asciiTheme="minorEastAsia" w:hAnsiTheme="minorEastAsia"/>
                <w:szCs w:val="21"/>
              </w:rPr>
              <w:t>64</w:t>
            </w:r>
          </w:p>
        </w:tc>
        <w:tc>
          <w:tcPr>
            <w:tcW w:w="1984" w:type="dxa"/>
            <w:vAlign w:val="center"/>
          </w:tcPr>
          <w:p>
            <w:pPr>
              <w:jc w:val="center"/>
              <w:rPr>
                <w:rFonts w:ascii="仿宋" w:hAnsi="仿宋" w:eastAsia="仿宋" w:cs="仿宋"/>
                <w:szCs w:val="21"/>
              </w:rPr>
            </w:pPr>
            <w:r>
              <w:rPr>
                <w:rFonts w:hint="eastAsia" w:ascii="仿宋" w:hAnsi="仿宋" w:eastAsia="仿宋" w:cs="仿宋"/>
                <w:szCs w:val="21"/>
              </w:rPr>
              <w:t>390</w:t>
            </w:r>
          </w:p>
        </w:tc>
        <w:tc>
          <w:tcPr>
            <w:tcW w:w="2126" w:type="dxa"/>
            <w:vAlign w:val="center"/>
          </w:tcPr>
          <w:p>
            <w:pPr>
              <w:jc w:val="center"/>
              <w:rPr>
                <w:rFonts w:ascii="仿宋" w:hAnsi="仿宋" w:eastAsia="仿宋" w:cs="仿宋"/>
                <w:szCs w:val="21"/>
              </w:rPr>
            </w:pPr>
            <w:r>
              <w:rPr>
                <w:rFonts w:hint="eastAsia" w:ascii="仿宋" w:hAnsi="仿宋" w:eastAsia="仿宋" w:cs="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∮360×31</w:t>
            </w:r>
          </w:p>
        </w:tc>
        <w:tc>
          <w:tcPr>
            <w:tcW w:w="1417" w:type="dxa"/>
            <w:vAlign w:val="center"/>
          </w:tcPr>
          <w:p>
            <w:pPr>
              <w:jc w:val="center"/>
              <w:rPr>
                <w:rFonts w:asciiTheme="minorEastAsia" w:hAnsiTheme="minorEastAsia"/>
                <w:szCs w:val="21"/>
              </w:rPr>
            </w:pPr>
            <w:r>
              <w:rPr>
                <w:rFonts w:hint="eastAsia" w:asciiTheme="minorEastAsia" w:hAnsiTheme="minorEastAsia"/>
                <w:szCs w:val="21"/>
              </w:rPr>
              <w:t>459</w:t>
            </w:r>
          </w:p>
        </w:tc>
        <w:tc>
          <w:tcPr>
            <w:tcW w:w="1985" w:type="dxa"/>
            <w:vAlign w:val="center"/>
          </w:tcPr>
          <w:p>
            <w:pPr>
              <w:jc w:val="center"/>
              <w:rPr>
                <w:rFonts w:asciiTheme="minorEastAsia" w:hAnsiTheme="minorEastAsia"/>
                <w:szCs w:val="21"/>
              </w:rPr>
            </w:pPr>
            <w:r>
              <w:rPr>
                <w:rFonts w:hint="eastAsia" w:asciiTheme="minorEastAsia" w:hAnsiTheme="minorEastAsia"/>
                <w:szCs w:val="21"/>
              </w:rPr>
              <w:t>56</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387</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∮200×124</w:t>
            </w:r>
          </w:p>
        </w:tc>
        <w:tc>
          <w:tcPr>
            <w:tcW w:w="1417" w:type="dxa"/>
            <w:vAlign w:val="center"/>
          </w:tcPr>
          <w:p>
            <w:pPr>
              <w:jc w:val="center"/>
              <w:rPr>
                <w:rFonts w:asciiTheme="minorEastAsia" w:hAnsiTheme="minorEastAsia"/>
                <w:szCs w:val="21"/>
              </w:rPr>
            </w:pPr>
            <w:r>
              <w:rPr>
                <w:rFonts w:hint="eastAsia" w:asciiTheme="minorEastAsia" w:hAnsiTheme="minorEastAsia"/>
                <w:szCs w:val="21"/>
              </w:rPr>
              <w:t>448</w:t>
            </w:r>
          </w:p>
        </w:tc>
        <w:tc>
          <w:tcPr>
            <w:tcW w:w="1985" w:type="dxa"/>
            <w:vAlign w:val="center"/>
          </w:tcPr>
          <w:p>
            <w:pPr>
              <w:jc w:val="center"/>
              <w:rPr>
                <w:rFonts w:asciiTheme="minorEastAsia" w:hAnsiTheme="minorEastAsia"/>
                <w:szCs w:val="21"/>
              </w:rPr>
            </w:pPr>
            <w:r>
              <w:rPr>
                <w:rFonts w:hint="eastAsia" w:asciiTheme="minorEastAsia" w:hAnsiTheme="minorEastAsia"/>
                <w:szCs w:val="21"/>
              </w:rPr>
              <w:t>62</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374</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8" w:type="dxa"/>
            <w:vAlign w:val="center"/>
          </w:tcPr>
          <w:p>
            <w:pPr>
              <w:jc w:val="center"/>
              <w:rPr>
                <w:rFonts w:asciiTheme="minorEastAsia" w:hAnsiTheme="minorEastAsia"/>
                <w:szCs w:val="21"/>
              </w:rPr>
            </w:pPr>
            <w:r>
              <w:rPr>
                <w:rFonts w:hint="eastAsia" w:asciiTheme="minorEastAsia" w:hAnsiTheme="minorEastAsia"/>
                <w:szCs w:val="21"/>
              </w:rPr>
              <w:t>∮200×118</w:t>
            </w:r>
          </w:p>
        </w:tc>
        <w:tc>
          <w:tcPr>
            <w:tcW w:w="1417" w:type="dxa"/>
            <w:vAlign w:val="center"/>
          </w:tcPr>
          <w:p>
            <w:pPr>
              <w:jc w:val="center"/>
              <w:rPr>
                <w:rFonts w:asciiTheme="minorEastAsia" w:hAnsiTheme="minorEastAsia"/>
                <w:szCs w:val="21"/>
              </w:rPr>
            </w:pPr>
            <w:r>
              <w:rPr>
                <w:rFonts w:hint="eastAsia" w:asciiTheme="minorEastAsia" w:hAnsiTheme="minorEastAsia"/>
                <w:szCs w:val="21"/>
              </w:rPr>
              <w:t>458</w:t>
            </w:r>
          </w:p>
        </w:tc>
        <w:tc>
          <w:tcPr>
            <w:tcW w:w="1985" w:type="dxa"/>
            <w:vAlign w:val="center"/>
          </w:tcPr>
          <w:p>
            <w:pPr>
              <w:jc w:val="center"/>
              <w:rPr>
                <w:rFonts w:asciiTheme="minorEastAsia" w:hAnsiTheme="minorEastAsia"/>
                <w:szCs w:val="21"/>
              </w:rPr>
            </w:pPr>
            <w:r>
              <w:rPr>
                <w:rFonts w:hint="eastAsia" w:asciiTheme="minorEastAsia" w:hAnsiTheme="minorEastAsia"/>
                <w:szCs w:val="21"/>
              </w:rPr>
              <w:t>64</w:t>
            </w:r>
          </w:p>
        </w:tc>
        <w:tc>
          <w:tcPr>
            <w:tcW w:w="1984" w:type="dxa"/>
            <w:vAlign w:val="center"/>
          </w:tcPr>
          <w:p>
            <w:pPr>
              <w:jc w:val="center"/>
              <w:rPr>
                <w:rFonts w:ascii="仿宋" w:hAnsi="仿宋" w:eastAsia="仿宋" w:cs="仿宋"/>
                <w:sz w:val="24"/>
                <w:szCs w:val="24"/>
              </w:rPr>
            </w:pPr>
            <w:r>
              <w:rPr>
                <w:rFonts w:hint="eastAsia" w:ascii="仿宋" w:hAnsi="仿宋" w:eastAsia="仿宋" w:cs="仿宋"/>
                <w:sz w:val="24"/>
                <w:szCs w:val="24"/>
              </w:rPr>
              <w:t>386</w:t>
            </w:r>
          </w:p>
        </w:tc>
        <w:tc>
          <w:tcPr>
            <w:tcW w:w="2126" w:type="dxa"/>
            <w:vAlign w:val="center"/>
          </w:tcPr>
          <w:p>
            <w:pPr>
              <w:jc w:val="center"/>
              <w:rPr>
                <w:rFonts w:ascii="仿宋" w:hAnsi="仿宋" w:eastAsia="仿宋" w:cs="仿宋"/>
                <w:szCs w:val="21"/>
              </w:rPr>
            </w:pPr>
            <w:r>
              <w:rPr>
                <w:rFonts w:hint="eastAsia" w:ascii="仿宋" w:hAnsi="仿宋" w:eastAsia="仿宋" w:cs="仿宋"/>
                <w:sz w:val="24"/>
                <w:szCs w:val="24"/>
              </w:rPr>
              <w:t>36</w:t>
            </w:r>
          </w:p>
        </w:tc>
      </w:tr>
    </w:tbl>
    <w:p>
      <w:pPr>
        <w:pStyle w:val="16"/>
        <w:ind w:firstLine="420"/>
        <w:rPr>
          <w:rFonts w:ascii="黑体" w:eastAsia="黑体"/>
          <w:szCs w:val="21"/>
        </w:rPr>
      </w:pPr>
    </w:p>
    <w:p>
      <w:pPr>
        <w:pStyle w:val="16"/>
        <w:spacing w:line="276" w:lineRule="auto"/>
        <w:ind w:firstLine="0" w:firstLineChars="0"/>
        <w:jc w:val="center"/>
        <w:rPr>
          <w:rFonts w:ascii="黑体" w:hAnsi="黑体" w:eastAsia="黑体"/>
        </w:rPr>
      </w:pPr>
      <w:r>
        <w:rPr>
          <w:rFonts w:hint="eastAsia" w:ascii="黑体" w:hAnsi="黑体" w:eastAsia="黑体"/>
        </w:rPr>
        <w:t>表9</w:t>
      </w:r>
      <w:r>
        <w:rPr>
          <w:rFonts w:ascii="黑体" w:hAnsi="黑体" w:eastAsia="黑体"/>
        </w:rPr>
        <w:t xml:space="preserve">  </w:t>
      </w:r>
      <w:r>
        <w:rPr>
          <w:rFonts w:hint="eastAsia" w:ascii="黑体" w:hAnsi="黑体" w:eastAsia="黑体"/>
        </w:rPr>
        <w:t>实测</w:t>
      </w:r>
      <w:r>
        <w:rPr>
          <w:rFonts w:hint="eastAsia" w:ascii="黑体" w:hAnsi="黑体" w:eastAsia="黑体" w:cs="黑体"/>
          <w:szCs w:val="21"/>
        </w:rPr>
        <w:t>HSi80-3</w:t>
      </w:r>
      <w:r>
        <w:rPr>
          <w:rFonts w:hint="eastAsia" w:ascii="黑体" w:hAnsi="黑体" w:eastAsia="黑体"/>
        </w:rPr>
        <w:t>棒材和饼抗拉强度频数及频率分布表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338"/>
        <w:gridCol w:w="1654"/>
        <w:gridCol w:w="205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组号</w:t>
            </w:r>
          </w:p>
        </w:tc>
        <w:tc>
          <w:tcPr>
            <w:tcW w:w="2409" w:type="dxa"/>
          </w:tcPr>
          <w:p>
            <w:pPr>
              <w:pStyle w:val="16"/>
              <w:spacing w:line="276" w:lineRule="auto"/>
              <w:ind w:firstLine="0" w:firstLineChars="0"/>
              <w:jc w:val="center"/>
              <w:rPr>
                <w:rFonts w:hAnsi="宋体"/>
                <w:szCs w:val="21"/>
              </w:rPr>
            </w:pPr>
            <w:r>
              <w:rPr>
                <w:rFonts w:hint="eastAsia" w:hAnsi="宋体"/>
                <w:szCs w:val="21"/>
              </w:rPr>
              <w:t>区间</w:t>
            </w:r>
          </w:p>
        </w:tc>
        <w:tc>
          <w:tcPr>
            <w:tcW w:w="1701" w:type="dxa"/>
          </w:tcPr>
          <w:p>
            <w:pPr>
              <w:pStyle w:val="16"/>
              <w:spacing w:line="276" w:lineRule="auto"/>
              <w:ind w:firstLine="0" w:firstLineChars="0"/>
              <w:jc w:val="center"/>
              <w:rPr>
                <w:rFonts w:hAnsi="宋体"/>
                <w:szCs w:val="21"/>
              </w:rPr>
            </w:pPr>
            <w:r>
              <w:rPr>
                <w:rFonts w:hint="eastAsia" w:hAnsi="宋体"/>
                <w:szCs w:val="21"/>
              </w:rPr>
              <w:t>组中值</w:t>
            </w:r>
          </w:p>
        </w:tc>
        <w:tc>
          <w:tcPr>
            <w:tcW w:w="2127" w:type="dxa"/>
          </w:tcPr>
          <w:p>
            <w:pPr>
              <w:pStyle w:val="16"/>
              <w:spacing w:line="276" w:lineRule="auto"/>
              <w:ind w:firstLine="0" w:firstLineChars="0"/>
              <w:jc w:val="center"/>
              <w:rPr>
                <w:rFonts w:hAnsi="宋体"/>
                <w:szCs w:val="21"/>
              </w:rPr>
            </w:pPr>
            <w:r>
              <w:rPr>
                <w:rFonts w:hint="eastAsia" w:hAnsi="宋体"/>
                <w:szCs w:val="21"/>
              </w:rPr>
              <w:t>频数</w:t>
            </w:r>
          </w:p>
        </w:tc>
        <w:tc>
          <w:tcPr>
            <w:tcW w:w="2511"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16"/>
              <w:spacing w:line="276" w:lineRule="auto"/>
              <w:ind w:firstLine="0" w:firstLineChars="0"/>
              <w:jc w:val="center"/>
              <w:rPr>
                <w:rFonts w:hAnsi="宋体"/>
                <w:szCs w:val="21"/>
              </w:rPr>
            </w:pPr>
            <w:r>
              <w:rPr>
                <w:rFonts w:hint="eastAsia"/>
                <w:szCs w:val="21"/>
              </w:rPr>
              <w:t>[410</w:t>
            </w:r>
            <w:r>
              <w:rPr>
                <w:szCs w:val="21"/>
              </w:rPr>
              <w:t xml:space="preserve">  </w:t>
            </w:r>
            <w:r>
              <w:rPr>
                <w:rFonts w:hint="eastAsia"/>
                <w:szCs w:val="21"/>
              </w:rPr>
              <w:t>420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415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420</w:t>
            </w:r>
            <w:r>
              <w:rPr>
                <w:szCs w:val="21"/>
              </w:rPr>
              <w:t xml:space="preserve">  </w:t>
            </w:r>
            <w:r>
              <w:rPr>
                <w:rFonts w:hint="eastAsia"/>
                <w:szCs w:val="21"/>
              </w:rPr>
              <w:t>430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425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0</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430</w:t>
            </w:r>
            <w:r>
              <w:rPr>
                <w:szCs w:val="21"/>
              </w:rPr>
              <w:t xml:space="preserve">  </w:t>
            </w:r>
            <w:r>
              <w:rPr>
                <w:rFonts w:hint="eastAsia"/>
                <w:szCs w:val="21"/>
              </w:rPr>
              <w:t>440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435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440</w:t>
            </w:r>
            <w:r>
              <w:rPr>
                <w:szCs w:val="21"/>
              </w:rPr>
              <w:t xml:space="preserve"> </w:t>
            </w:r>
            <w:r>
              <w:rPr>
                <w:rFonts w:hint="eastAsia"/>
                <w:szCs w:val="21"/>
              </w:rPr>
              <w:t>450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445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4</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450</w:t>
            </w:r>
            <w:r>
              <w:rPr>
                <w:szCs w:val="21"/>
              </w:rPr>
              <w:t xml:space="preserve">  </w:t>
            </w:r>
            <w:r>
              <w:rPr>
                <w:rFonts w:hint="eastAsia"/>
                <w:szCs w:val="21"/>
              </w:rPr>
              <w:t>460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455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7</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460</w:t>
            </w:r>
            <w:r>
              <w:rPr>
                <w:szCs w:val="21"/>
              </w:rPr>
              <w:t xml:space="preserve"> </w:t>
            </w:r>
            <w:r>
              <w:rPr>
                <w:rFonts w:hint="eastAsia"/>
                <w:szCs w:val="21"/>
              </w:rPr>
              <w:t>470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465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4</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480</w:t>
            </w:r>
            <w:r>
              <w:rPr>
                <w:szCs w:val="21"/>
              </w:rPr>
              <w:t xml:space="preserve">  </w:t>
            </w:r>
            <w:r>
              <w:rPr>
                <w:rFonts w:hint="eastAsia"/>
                <w:szCs w:val="21"/>
              </w:rPr>
              <w:t>490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szCs w:val="21"/>
              </w:rPr>
              <w:t>485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16"/>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16"/>
              <w:spacing w:line="276" w:lineRule="auto"/>
              <w:ind w:firstLine="0" w:firstLineChars="0"/>
              <w:jc w:val="center"/>
              <w:rPr>
                <w:rFonts w:hAnsi="宋体"/>
                <w:szCs w:val="21"/>
              </w:rPr>
            </w:pPr>
            <w:r>
              <w:rPr>
                <w:szCs w:val="21"/>
              </w:rPr>
              <w:t>[</w:t>
            </w:r>
            <w:r>
              <w:rPr>
                <w:rFonts w:hint="eastAsia"/>
                <w:szCs w:val="21"/>
              </w:rPr>
              <w:t>490</w:t>
            </w:r>
            <w:r>
              <w:rPr>
                <w:szCs w:val="21"/>
              </w:rPr>
              <w:t xml:space="preserve"> </w:t>
            </w:r>
            <w:r>
              <w:rPr>
                <w:rFonts w:hint="eastAsia"/>
                <w:szCs w:val="21"/>
              </w:rPr>
              <w:t>500</w:t>
            </w:r>
            <w:r>
              <w:rPr>
                <w:szCs w:val="21"/>
              </w:rPr>
              <w:t>]</w:t>
            </w:r>
          </w:p>
        </w:tc>
        <w:tc>
          <w:tcPr>
            <w:tcW w:w="1701" w:type="dxa"/>
            <w:vAlign w:val="center"/>
          </w:tcPr>
          <w:p>
            <w:pPr>
              <w:pStyle w:val="16"/>
              <w:spacing w:line="276" w:lineRule="auto"/>
              <w:ind w:firstLine="0" w:firstLineChars="0"/>
              <w:jc w:val="center"/>
              <w:rPr>
                <w:rFonts w:hAnsi="宋体"/>
                <w:szCs w:val="21"/>
              </w:rPr>
            </w:pPr>
            <w:r>
              <w:rPr>
                <w:rFonts w:hint="eastAsia" w:hAnsi="宋体"/>
                <w:szCs w:val="21"/>
              </w:rPr>
              <w:t>495</w:t>
            </w:r>
          </w:p>
        </w:tc>
        <w:tc>
          <w:tcPr>
            <w:tcW w:w="2127"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511" w:type="dxa"/>
            <w:vAlign w:val="center"/>
          </w:tcPr>
          <w:p>
            <w:pPr>
              <w:pStyle w:val="16"/>
              <w:spacing w:line="276" w:lineRule="auto"/>
              <w:ind w:firstLine="0" w:firstLineChars="0"/>
              <w:jc w:val="center"/>
              <w:rPr>
                <w:rFonts w:hAnsi="宋体"/>
                <w:szCs w:val="21"/>
              </w:rPr>
            </w:pPr>
            <w:r>
              <w:rPr>
                <w:rFonts w:hint="eastAsia" w:hAnsi="宋体"/>
                <w:szCs w:val="21"/>
              </w:rPr>
              <w:t>5.3%</w:t>
            </w:r>
          </w:p>
        </w:tc>
      </w:tr>
    </w:tbl>
    <w:p>
      <w:pPr>
        <w:pStyle w:val="16"/>
        <w:ind w:firstLine="420"/>
        <w:rPr>
          <w:rFonts w:ascii="黑体" w:hAnsi="宋体" w:eastAsia="黑体"/>
          <w:szCs w:val="21"/>
        </w:rPr>
      </w:pPr>
    </w:p>
    <w:p>
      <w:pPr>
        <w:pStyle w:val="16"/>
        <w:spacing w:line="276" w:lineRule="auto"/>
        <w:ind w:firstLine="0" w:firstLineChars="0"/>
        <w:jc w:val="center"/>
        <w:rPr>
          <w:rFonts w:asciiTheme="majorEastAsia" w:hAnsiTheme="majorEastAsia" w:eastAsiaTheme="majorEastAsia"/>
          <w:szCs w:val="21"/>
        </w:rPr>
      </w:pPr>
      <w:r>
        <w:rPr>
          <w:rFonts w:hint="eastAsia" w:ascii="楷体_GB2312" w:eastAsia="楷体_GB2312"/>
          <w:sz w:val="24"/>
          <w:szCs w:val="24"/>
        </w:rPr>
        <w:t>　</w:t>
      </w:r>
      <w:r>
        <w:rPr>
          <w:rFonts w:hint="eastAsia" w:ascii="黑体" w:hAnsi="黑体" w:eastAsia="黑体"/>
        </w:rPr>
        <w:t>表10</w:t>
      </w:r>
      <w:r>
        <w:rPr>
          <w:rFonts w:ascii="黑体" w:hAnsi="黑体" w:eastAsia="黑体"/>
        </w:rPr>
        <w:t xml:space="preserve"> </w:t>
      </w:r>
      <w:r>
        <w:rPr>
          <w:rFonts w:hint="eastAsia" w:ascii="黑体" w:hAnsi="黑体" w:eastAsia="黑体"/>
        </w:rPr>
        <w:t>实测</w:t>
      </w:r>
      <w:r>
        <w:rPr>
          <w:rFonts w:hint="eastAsia" w:ascii="黑体" w:hAnsi="黑体" w:eastAsia="黑体" w:cs="黑体"/>
          <w:szCs w:val="21"/>
        </w:rPr>
        <w:t>HSi80-3</w:t>
      </w:r>
      <w:r>
        <w:rPr>
          <w:rFonts w:hint="eastAsia" w:ascii="黑体" w:hAnsi="黑体" w:eastAsia="黑体"/>
        </w:rPr>
        <w:t>棒材和饼伸长率频数及频率分布表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2334"/>
        <w:gridCol w:w="1658"/>
        <w:gridCol w:w="205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组号</w:t>
            </w:r>
          </w:p>
        </w:tc>
        <w:tc>
          <w:tcPr>
            <w:tcW w:w="2334" w:type="dxa"/>
          </w:tcPr>
          <w:p>
            <w:pPr>
              <w:pStyle w:val="16"/>
              <w:spacing w:line="276" w:lineRule="auto"/>
              <w:ind w:firstLine="0" w:firstLineChars="0"/>
              <w:jc w:val="center"/>
              <w:rPr>
                <w:rFonts w:hAnsi="宋体"/>
                <w:szCs w:val="21"/>
              </w:rPr>
            </w:pPr>
            <w:r>
              <w:rPr>
                <w:rFonts w:hint="eastAsia" w:hAnsi="宋体"/>
                <w:szCs w:val="21"/>
              </w:rPr>
              <w:t>区间</w:t>
            </w:r>
          </w:p>
        </w:tc>
        <w:tc>
          <w:tcPr>
            <w:tcW w:w="1658" w:type="dxa"/>
          </w:tcPr>
          <w:p>
            <w:pPr>
              <w:pStyle w:val="16"/>
              <w:spacing w:line="276" w:lineRule="auto"/>
              <w:ind w:firstLine="0" w:firstLineChars="0"/>
              <w:jc w:val="center"/>
              <w:rPr>
                <w:rFonts w:hAnsi="宋体"/>
                <w:szCs w:val="21"/>
              </w:rPr>
            </w:pPr>
            <w:r>
              <w:rPr>
                <w:rFonts w:hint="eastAsia" w:hAnsi="宋体"/>
                <w:szCs w:val="21"/>
              </w:rPr>
              <w:t>组中值</w:t>
            </w:r>
          </w:p>
        </w:tc>
        <w:tc>
          <w:tcPr>
            <w:tcW w:w="2059" w:type="dxa"/>
          </w:tcPr>
          <w:p>
            <w:pPr>
              <w:pStyle w:val="16"/>
              <w:spacing w:line="276" w:lineRule="auto"/>
              <w:ind w:firstLine="0" w:firstLineChars="0"/>
              <w:jc w:val="center"/>
              <w:rPr>
                <w:rFonts w:hAnsi="宋体"/>
                <w:szCs w:val="21"/>
              </w:rPr>
            </w:pPr>
            <w:r>
              <w:rPr>
                <w:rFonts w:hint="eastAsia" w:hAnsi="宋体"/>
                <w:szCs w:val="21"/>
              </w:rPr>
              <w:t>频数</w:t>
            </w:r>
          </w:p>
        </w:tc>
        <w:tc>
          <w:tcPr>
            <w:tcW w:w="2440"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1</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40</w:t>
            </w:r>
            <w:r>
              <w:rPr>
                <w:szCs w:val="21"/>
              </w:rPr>
              <w:t xml:space="preserve">  </w:t>
            </w:r>
            <w:r>
              <w:rPr>
                <w:rFonts w:hint="eastAsia"/>
                <w:szCs w:val="21"/>
              </w:rPr>
              <w:t>45</w:t>
            </w:r>
            <w:r>
              <w:rPr>
                <w:szCs w:val="21"/>
              </w:rPr>
              <w:t>]</w:t>
            </w:r>
          </w:p>
        </w:tc>
        <w:tc>
          <w:tcPr>
            <w:tcW w:w="1658" w:type="dxa"/>
            <w:vAlign w:val="center"/>
          </w:tcPr>
          <w:p>
            <w:pPr>
              <w:pStyle w:val="16"/>
              <w:spacing w:line="276" w:lineRule="auto"/>
              <w:ind w:firstLine="0" w:firstLineChars="0"/>
              <w:jc w:val="center"/>
              <w:rPr>
                <w:rFonts w:hAnsi="宋体"/>
                <w:szCs w:val="21"/>
              </w:rPr>
            </w:pPr>
            <w:r>
              <w:rPr>
                <w:rFonts w:hint="eastAsia"/>
                <w:szCs w:val="21"/>
              </w:rPr>
              <w:t>42</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1</w:t>
            </w:r>
          </w:p>
        </w:tc>
        <w:tc>
          <w:tcPr>
            <w:tcW w:w="2440" w:type="dxa"/>
            <w:vAlign w:val="center"/>
          </w:tcPr>
          <w:p>
            <w:pPr>
              <w:pStyle w:val="16"/>
              <w:spacing w:line="276" w:lineRule="auto"/>
              <w:ind w:firstLine="0" w:firstLineChars="0"/>
              <w:jc w:val="center"/>
              <w:rPr>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2</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45</w:t>
            </w:r>
            <w:r>
              <w:rPr>
                <w:szCs w:val="21"/>
              </w:rPr>
              <w:t xml:space="preserve">  </w:t>
            </w:r>
            <w:r>
              <w:rPr>
                <w:rFonts w:hint="eastAsia"/>
                <w:szCs w:val="21"/>
              </w:rPr>
              <w:t>50</w:t>
            </w:r>
            <w:r>
              <w:rPr>
                <w:szCs w:val="21"/>
              </w:rPr>
              <w:t>]</w:t>
            </w:r>
          </w:p>
        </w:tc>
        <w:tc>
          <w:tcPr>
            <w:tcW w:w="1658" w:type="dxa"/>
            <w:vAlign w:val="center"/>
          </w:tcPr>
          <w:p>
            <w:pPr>
              <w:pStyle w:val="16"/>
              <w:spacing w:line="276" w:lineRule="auto"/>
              <w:ind w:firstLine="0" w:firstLineChars="0"/>
              <w:jc w:val="center"/>
              <w:rPr>
                <w:rFonts w:hAnsi="宋体"/>
                <w:szCs w:val="21"/>
              </w:rPr>
            </w:pPr>
            <w:r>
              <w:rPr>
                <w:rFonts w:hint="eastAsia"/>
                <w:szCs w:val="21"/>
              </w:rPr>
              <w:t>47</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0</w:t>
            </w:r>
          </w:p>
        </w:tc>
        <w:tc>
          <w:tcPr>
            <w:tcW w:w="2440" w:type="dxa"/>
            <w:vAlign w:val="center"/>
          </w:tcPr>
          <w:p>
            <w:pPr>
              <w:pStyle w:val="16"/>
              <w:spacing w:line="276" w:lineRule="auto"/>
              <w:ind w:firstLine="0" w:firstLineChars="0"/>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3</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50</w:t>
            </w:r>
            <w:r>
              <w:rPr>
                <w:szCs w:val="21"/>
              </w:rPr>
              <w:t xml:space="preserve">  </w:t>
            </w:r>
            <w:r>
              <w:rPr>
                <w:rFonts w:hint="eastAsia"/>
                <w:szCs w:val="21"/>
              </w:rPr>
              <w:t>55</w:t>
            </w:r>
            <w:r>
              <w:rPr>
                <w:szCs w:val="21"/>
              </w:rPr>
              <w:t>]</w:t>
            </w:r>
          </w:p>
        </w:tc>
        <w:tc>
          <w:tcPr>
            <w:tcW w:w="1658" w:type="dxa"/>
            <w:vAlign w:val="center"/>
          </w:tcPr>
          <w:p>
            <w:pPr>
              <w:pStyle w:val="16"/>
              <w:spacing w:line="276" w:lineRule="auto"/>
              <w:ind w:firstLine="0" w:firstLineChars="0"/>
              <w:jc w:val="center"/>
              <w:rPr>
                <w:rFonts w:hAnsi="宋体"/>
                <w:szCs w:val="21"/>
              </w:rPr>
            </w:pPr>
            <w:r>
              <w:rPr>
                <w:rFonts w:hint="eastAsia"/>
                <w:szCs w:val="21"/>
              </w:rPr>
              <w:t>52</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3</w:t>
            </w:r>
          </w:p>
        </w:tc>
        <w:tc>
          <w:tcPr>
            <w:tcW w:w="2440" w:type="dxa"/>
            <w:vAlign w:val="center"/>
          </w:tcPr>
          <w:p>
            <w:pPr>
              <w:pStyle w:val="16"/>
              <w:spacing w:line="276" w:lineRule="auto"/>
              <w:ind w:firstLine="0" w:firstLineChars="0"/>
              <w:jc w:val="center"/>
              <w:rPr>
                <w:szCs w:val="21"/>
              </w:rPr>
            </w:pPr>
            <w:r>
              <w:rPr>
                <w:rFonts w:hint="eastAsia"/>
                <w:szCs w:val="21"/>
              </w:rPr>
              <w:t>15.8</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4</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55</w:t>
            </w:r>
            <w:r>
              <w:rPr>
                <w:szCs w:val="21"/>
              </w:rPr>
              <w:t xml:space="preserve">  </w:t>
            </w:r>
            <w:r>
              <w:rPr>
                <w:rFonts w:hint="eastAsia"/>
                <w:szCs w:val="21"/>
              </w:rPr>
              <w:t>60</w:t>
            </w:r>
            <w:r>
              <w:rPr>
                <w:szCs w:val="21"/>
              </w:rPr>
              <w:t>]</w:t>
            </w:r>
          </w:p>
        </w:tc>
        <w:tc>
          <w:tcPr>
            <w:tcW w:w="1658" w:type="dxa"/>
            <w:vAlign w:val="center"/>
          </w:tcPr>
          <w:p>
            <w:pPr>
              <w:pStyle w:val="16"/>
              <w:spacing w:line="276" w:lineRule="auto"/>
              <w:ind w:firstLine="0" w:firstLineChars="0"/>
              <w:jc w:val="center"/>
              <w:rPr>
                <w:rFonts w:hAnsi="宋体"/>
                <w:szCs w:val="21"/>
              </w:rPr>
            </w:pPr>
            <w:r>
              <w:rPr>
                <w:rFonts w:hint="eastAsia"/>
                <w:szCs w:val="21"/>
              </w:rPr>
              <w:t>57</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1</w:t>
            </w:r>
          </w:p>
        </w:tc>
        <w:tc>
          <w:tcPr>
            <w:tcW w:w="2440" w:type="dxa"/>
            <w:vAlign w:val="center"/>
          </w:tcPr>
          <w:p>
            <w:pPr>
              <w:pStyle w:val="16"/>
              <w:spacing w:line="276" w:lineRule="auto"/>
              <w:ind w:firstLine="0" w:firstLineChars="0"/>
              <w:jc w:val="center"/>
              <w:rPr>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5</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60</w:t>
            </w:r>
            <w:r>
              <w:rPr>
                <w:szCs w:val="21"/>
              </w:rPr>
              <w:t xml:space="preserve">  </w:t>
            </w:r>
            <w:r>
              <w:rPr>
                <w:rFonts w:hint="eastAsia"/>
                <w:szCs w:val="21"/>
              </w:rPr>
              <w:t>6</w:t>
            </w:r>
            <w:r>
              <w:rPr>
                <w:szCs w:val="21"/>
              </w:rPr>
              <w:t>5]</w:t>
            </w:r>
          </w:p>
        </w:tc>
        <w:tc>
          <w:tcPr>
            <w:tcW w:w="1658" w:type="dxa"/>
            <w:vAlign w:val="center"/>
          </w:tcPr>
          <w:p>
            <w:pPr>
              <w:pStyle w:val="16"/>
              <w:spacing w:line="276" w:lineRule="auto"/>
              <w:ind w:firstLine="0" w:firstLineChars="0"/>
              <w:jc w:val="center"/>
              <w:rPr>
                <w:rFonts w:hAnsi="宋体"/>
                <w:szCs w:val="21"/>
              </w:rPr>
            </w:pPr>
            <w:r>
              <w:rPr>
                <w:rFonts w:hint="eastAsia"/>
                <w:szCs w:val="21"/>
              </w:rPr>
              <w:t>62</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9</w:t>
            </w:r>
          </w:p>
        </w:tc>
        <w:tc>
          <w:tcPr>
            <w:tcW w:w="2440" w:type="dxa"/>
            <w:vAlign w:val="center"/>
          </w:tcPr>
          <w:p>
            <w:pPr>
              <w:pStyle w:val="16"/>
              <w:spacing w:line="276" w:lineRule="auto"/>
              <w:ind w:firstLine="0" w:firstLineChars="0"/>
              <w:jc w:val="center"/>
              <w:rPr>
                <w:szCs w:val="21"/>
              </w:rPr>
            </w:pPr>
            <w:r>
              <w:rPr>
                <w:rFonts w:hint="eastAsia"/>
                <w:szCs w:val="21"/>
              </w:rPr>
              <w:t>47.4</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6</w:t>
            </w:r>
          </w:p>
        </w:tc>
        <w:tc>
          <w:tcPr>
            <w:tcW w:w="2334" w:type="dxa"/>
            <w:vAlign w:val="center"/>
          </w:tcPr>
          <w:p>
            <w:pPr>
              <w:pStyle w:val="16"/>
              <w:spacing w:line="276" w:lineRule="auto"/>
              <w:ind w:firstLine="0" w:firstLineChars="0"/>
              <w:jc w:val="center"/>
              <w:rPr>
                <w:rFonts w:hAnsi="宋体"/>
                <w:szCs w:val="21"/>
              </w:rPr>
            </w:pPr>
            <w:r>
              <w:rPr>
                <w:szCs w:val="21"/>
              </w:rPr>
              <w:t>[</w:t>
            </w:r>
            <w:r>
              <w:rPr>
                <w:rFonts w:hint="eastAsia"/>
                <w:szCs w:val="21"/>
              </w:rPr>
              <w:t>65</w:t>
            </w:r>
            <w:r>
              <w:rPr>
                <w:szCs w:val="21"/>
              </w:rPr>
              <w:t xml:space="preserve">  </w:t>
            </w:r>
            <w:r>
              <w:rPr>
                <w:rFonts w:hint="eastAsia"/>
                <w:szCs w:val="21"/>
              </w:rPr>
              <w:t>70</w:t>
            </w:r>
            <w:r>
              <w:rPr>
                <w:szCs w:val="21"/>
              </w:rPr>
              <w:t>]</w:t>
            </w:r>
          </w:p>
        </w:tc>
        <w:tc>
          <w:tcPr>
            <w:tcW w:w="1658" w:type="dxa"/>
            <w:vAlign w:val="center"/>
          </w:tcPr>
          <w:p>
            <w:pPr>
              <w:pStyle w:val="16"/>
              <w:spacing w:line="276" w:lineRule="auto"/>
              <w:ind w:firstLine="0" w:firstLineChars="0"/>
              <w:jc w:val="center"/>
              <w:rPr>
                <w:rFonts w:hAnsi="宋体"/>
                <w:szCs w:val="21"/>
              </w:rPr>
            </w:pPr>
            <w:r>
              <w:rPr>
                <w:rFonts w:hint="eastAsia"/>
                <w:szCs w:val="21"/>
              </w:rPr>
              <w:t>67</w:t>
            </w:r>
            <w:r>
              <w:rPr>
                <w:szCs w:val="21"/>
              </w:rPr>
              <w:t>.5</w:t>
            </w:r>
          </w:p>
        </w:tc>
        <w:tc>
          <w:tcPr>
            <w:tcW w:w="2059" w:type="dxa"/>
            <w:vAlign w:val="center"/>
          </w:tcPr>
          <w:p>
            <w:pPr>
              <w:pStyle w:val="16"/>
              <w:spacing w:line="276" w:lineRule="auto"/>
              <w:ind w:firstLine="0" w:firstLineChars="0"/>
              <w:jc w:val="center"/>
              <w:rPr>
                <w:szCs w:val="21"/>
              </w:rPr>
            </w:pPr>
            <w:r>
              <w:rPr>
                <w:rFonts w:hint="eastAsia"/>
                <w:szCs w:val="21"/>
              </w:rPr>
              <w:t>5</w:t>
            </w:r>
          </w:p>
        </w:tc>
        <w:tc>
          <w:tcPr>
            <w:tcW w:w="2440" w:type="dxa"/>
            <w:vAlign w:val="center"/>
          </w:tcPr>
          <w:p>
            <w:pPr>
              <w:pStyle w:val="16"/>
              <w:spacing w:line="276" w:lineRule="auto"/>
              <w:ind w:firstLine="0" w:firstLineChars="0"/>
              <w:jc w:val="center"/>
              <w:rPr>
                <w:szCs w:val="21"/>
              </w:rPr>
            </w:pPr>
            <w:r>
              <w:rPr>
                <w:rFonts w:hint="eastAsia"/>
                <w:szCs w:val="21"/>
              </w:rPr>
              <w:t>26.3</w:t>
            </w:r>
            <w:r>
              <w:rPr>
                <w:rFonts w:hint="eastAsia" w:hAnsi="宋体"/>
                <w:szCs w:val="21"/>
              </w:rPr>
              <w:t>%</w:t>
            </w:r>
          </w:p>
        </w:tc>
      </w:tr>
    </w:tbl>
    <w:p>
      <w:pPr>
        <w:spacing w:line="360" w:lineRule="auto"/>
        <w:ind w:firstLine="525" w:firstLineChars="250"/>
        <w:rPr>
          <w:color w:val="000000"/>
        </w:rPr>
      </w:pPr>
      <w:r>
        <w:rPr>
          <w:color w:val="000000"/>
        </w:rPr>
        <w:drawing>
          <wp:inline distT="0" distB="0" distL="0" distR="0">
            <wp:extent cx="4572000" cy="2743200"/>
            <wp:effectExtent l="19050" t="0" r="19050" b="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735" w:firstLineChars="350"/>
        <w:rPr>
          <w:color w:val="000000"/>
        </w:rPr>
      </w:pPr>
      <w:r>
        <w:rPr>
          <w:rFonts w:hint="eastAsia"/>
          <w:color w:val="000000"/>
        </w:rPr>
        <w:t xml:space="preserve">图3   </w:t>
      </w:r>
      <w:r>
        <w:rPr>
          <w:rFonts w:hint="eastAsia" w:ascii="黑体" w:hAnsi="黑体" w:eastAsia="黑体" w:cs="黑体"/>
          <w:szCs w:val="21"/>
        </w:rPr>
        <w:t>HSi80-3</w:t>
      </w:r>
      <w:r>
        <w:rPr>
          <w:rFonts w:hint="eastAsia" w:ascii="黑体" w:hAnsi="黑体" w:eastAsia="黑体"/>
        </w:rPr>
        <w:t>棒材和饼抗拉强度</w:t>
      </w:r>
    </w:p>
    <w:p>
      <w:pPr>
        <w:spacing w:line="360" w:lineRule="auto"/>
        <w:ind w:firstLine="525" w:firstLineChars="250"/>
        <w:rPr>
          <w:color w:val="000000"/>
        </w:rPr>
      </w:pPr>
      <w:r>
        <w:rPr>
          <w:color w:val="000000"/>
        </w:rPr>
        <w:drawing>
          <wp:inline distT="0" distB="0" distL="0" distR="0">
            <wp:extent cx="4572000" cy="2743200"/>
            <wp:effectExtent l="19050" t="0" r="19050" b="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525" w:firstLineChars="250"/>
        <w:rPr>
          <w:color w:val="000000"/>
        </w:rPr>
      </w:pPr>
      <w:r>
        <w:rPr>
          <w:rFonts w:hint="eastAsia"/>
          <w:color w:val="000000"/>
        </w:rPr>
        <w:t xml:space="preserve">图4    </w:t>
      </w:r>
      <w:r>
        <w:rPr>
          <w:rFonts w:hint="eastAsia" w:ascii="黑体" w:hAnsi="黑体" w:eastAsia="黑体" w:cs="黑体"/>
          <w:szCs w:val="21"/>
        </w:rPr>
        <w:t>HSi80-3</w:t>
      </w:r>
      <w:r>
        <w:rPr>
          <w:rFonts w:hint="eastAsia" w:ascii="黑体" w:hAnsi="黑体" w:eastAsia="黑体"/>
        </w:rPr>
        <w:t>棒材和饼伸长率</w:t>
      </w:r>
    </w:p>
    <w:p>
      <w:pPr>
        <w:pStyle w:val="16"/>
        <w:spacing w:line="276" w:lineRule="auto"/>
        <w:ind w:firstLine="0" w:firstLineChars="0"/>
        <w:jc w:val="center"/>
        <w:rPr>
          <w:rFonts w:ascii="黑体" w:hAnsi="黑体" w:eastAsia="黑体"/>
        </w:rPr>
      </w:pPr>
      <w:r>
        <w:rPr>
          <w:rFonts w:hint="eastAsia" w:ascii="黑体" w:hAnsi="黑体" w:eastAsia="黑体"/>
        </w:rPr>
        <w:t>表11</w:t>
      </w:r>
      <w:r>
        <w:rPr>
          <w:rFonts w:ascii="黑体" w:hAnsi="黑体" w:eastAsia="黑体"/>
        </w:rPr>
        <w:t xml:space="preserve"> </w:t>
      </w:r>
      <w:r>
        <w:rPr>
          <w:rFonts w:hint="eastAsia" w:ascii="黑体" w:hAnsi="黑体" w:eastAsia="黑体"/>
        </w:rPr>
        <w:t>实测</w:t>
      </w:r>
      <w:r>
        <w:rPr>
          <w:rFonts w:hint="eastAsia" w:ascii="黑体" w:hAnsi="黑体" w:eastAsia="黑体" w:cs="黑体"/>
          <w:szCs w:val="21"/>
        </w:rPr>
        <w:t>HSn62-1</w:t>
      </w:r>
      <w:r>
        <w:rPr>
          <w:rFonts w:hint="eastAsia" w:ascii="黑体" w:hAnsi="黑体" w:eastAsia="黑体"/>
        </w:rPr>
        <w:t>棒材和饼抗拉强度频数及频率分布表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2338"/>
        <w:gridCol w:w="1654"/>
        <w:gridCol w:w="205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组号</w:t>
            </w:r>
          </w:p>
        </w:tc>
        <w:tc>
          <w:tcPr>
            <w:tcW w:w="2338" w:type="dxa"/>
          </w:tcPr>
          <w:p>
            <w:pPr>
              <w:pStyle w:val="16"/>
              <w:spacing w:line="276" w:lineRule="auto"/>
              <w:ind w:firstLine="0" w:firstLineChars="0"/>
              <w:jc w:val="center"/>
              <w:rPr>
                <w:rFonts w:hAnsi="宋体"/>
                <w:szCs w:val="21"/>
              </w:rPr>
            </w:pPr>
            <w:r>
              <w:rPr>
                <w:rFonts w:hint="eastAsia" w:hAnsi="宋体"/>
                <w:szCs w:val="21"/>
              </w:rPr>
              <w:t>区间</w:t>
            </w:r>
          </w:p>
        </w:tc>
        <w:tc>
          <w:tcPr>
            <w:tcW w:w="1654" w:type="dxa"/>
          </w:tcPr>
          <w:p>
            <w:pPr>
              <w:pStyle w:val="16"/>
              <w:spacing w:line="276" w:lineRule="auto"/>
              <w:ind w:firstLine="0" w:firstLineChars="0"/>
              <w:jc w:val="center"/>
              <w:rPr>
                <w:rFonts w:hAnsi="宋体"/>
                <w:szCs w:val="21"/>
              </w:rPr>
            </w:pPr>
            <w:r>
              <w:rPr>
                <w:rFonts w:hint="eastAsia" w:hAnsi="宋体"/>
                <w:szCs w:val="21"/>
              </w:rPr>
              <w:t>组中值</w:t>
            </w:r>
          </w:p>
        </w:tc>
        <w:tc>
          <w:tcPr>
            <w:tcW w:w="2059" w:type="dxa"/>
          </w:tcPr>
          <w:p>
            <w:pPr>
              <w:pStyle w:val="16"/>
              <w:spacing w:line="276" w:lineRule="auto"/>
              <w:ind w:firstLine="0" w:firstLineChars="0"/>
              <w:jc w:val="center"/>
              <w:rPr>
                <w:rFonts w:hAnsi="宋体"/>
                <w:szCs w:val="21"/>
              </w:rPr>
            </w:pPr>
            <w:r>
              <w:rPr>
                <w:rFonts w:hint="eastAsia" w:hAnsi="宋体"/>
                <w:szCs w:val="21"/>
              </w:rPr>
              <w:t>频数</w:t>
            </w:r>
          </w:p>
        </w:tc>
        <w:tc>
          <w:tcPr>
            <w:tcW w:w="2440"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1</w:t>
            </w:r>
          </w:p>
        </w:tc>
        <w:tc>
          <w:tcPr>
            <w:tcW w:w="2338" w:type="dxa"/>
            <w:vAlign w:val="center"/>
          </w:tcPr>
          <w:p>
            <w:pPr>
              <w:pStyle w:val="16"/>
              <w:spacing w:line="276" w:lineRule="auto"/>
              <w:ind w:firstLine="0" w:firstLineChars="0"/>
              <w:jc w:val="center"/>
              <w:rPr>
                <w:rFonts w:hAnsi="宋体"/>
                <w:szCs w:val="21"/>
              </w:rPr>
            </w:pPr>
            <w:r>
              <w:rPr>
                <w:rFonts w:hint="eastAsia"/>
                <w:szCs w:val="21"/>
              </w:rPr>
              <w:t>[340</w:t>
            </w:r>
            <w:r>
              <w:rPr>
                <w:szCs w:val="21"/>
              </w:rPr>
              <w:t xml:space="preserve">  </w:t>
            </w:r>
            <w:r>
              <w:rPr>
                <w:rFonts w:hint="eastAsia"/>
                <w:szCs w:val="21"/>
              </w:rPr>
              <w:t>350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345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2</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350</w:t>
            </w:r>
            <w:r>
              <w:rPr>
                <w:szCs w:val="21"/>
              </w:rPr>
              <w:t xml:space="preserve">  </w:t>
            </w:r>
            <w:r>
              <w:rPr>
                <w:rFonts w:hint="eastAsia"/>
                <w:szCs w:val="21"/>
              </w:rPr>
              <w:t>360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355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4</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3</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360</w:t>
            </w:r>
            <w:r>
              <w:rPr>
                <w:szCs w:val="21"/>
              </w:rPr>
              <w:t xml:space="preserve">  </w:t>
            </w:r>
            <w:r>
              <w:rPr>
                <w:rFonts w:hint="eastAsia"/>
                <w:szCs w:val="21"/>
              </w:rPr>
              <w:t>370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365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4</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4</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370</w:t>
            </w:r>
            <w:r>
              <w:rPr>
                <w:szCs w:val="21"/>
              </w:rPr>
              <w:t xml:space="preserve"> </w:t>
            </w:r>
            <w:r>
              <w:rPr>
                <w:rFonts w:hint="eastAsia"/>
                <w:szCs w:val="21"/>
              </w:rPr>
              <w:t>380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375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1</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5</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380</w:t>
            </w:r>
            <w:r>
              <w:rPr>
                <w:szCs w:val="21"/>
              </w:rPr>
              <w:t xml:space="preserve"> </w:t>
            </w:r>
            <w:r>
              <w:rPr>
                <w:rFonts w:hint="eastAsia"/>
                <w:szCs w:val="21"/>
              </w:rPr>
              <w:t>390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385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3</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6</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390</w:t>
            </w:r>
            <w:r>
              <w:rPr>
                <w:szCs w:val="21"/>
              </w:rPr>
              <w:t xml:space="preserve"> </w:t>
            </w:r>
            <w:r>
              <w:rPr>
                <w:rFonts w:hint="eastAsia"/>
                <w:szCs w:val="21"/>
              </w:rPr>
              <w:t>400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395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2</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7</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400</w:t>
            </w:r>
            <w:r>
              <w:rPr>
                <w:szCs w:val="21"/>
              </w:rPr>
              <w:t xml:space="preserve">  </w:t>
            </w:r>
            <w:r>
              <w:rPr>
                <w:rFonts w:hint="eastAsia"/>
                <w:szCs w:val="21"/>
              </w:rPr>
              <w:t>410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szCs w:val="21"/>
              </w:rPr>
              <w:t>405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2</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6"/>
              <w:spacing w:line="276" w:lineRule="auto"/>
              <w:ind w:firstLine="0" w:firstLineChars="0"/>
              <w:jc w:val="center"/>
              <w:rPr>
                <w:rFonts w:hAnsi="宋体"/>
                <w:szCs w:val="21"/>
              </w:rPr>
            </w:pPr>
            <w:r>
              <w:rPr>
                <w:rFonts w:hint="eastAsia" w:hAnsi="宋体"/>
                <w:szCs w:val="21"/>
              </w:rPr>
              <w:t>8</w:t>
            </w:r>
          </w:p>
        </w:tc>
        <w:tc>
          <w:tcPr>
            <w:tcW w:w="2338" w:type="dxa"/>
            <w:vAlign w:val="center"/>
          </w:tcPr>
          <w:p>
            <w:pPr>
              <w:pStyle w:val="16"/>
              <w:spacing w:line="276" w:lineRule="auto"/>
              <w:ind w:firstLine="0" w:firstLineChars="0"/>
              <w:jc w:val="center"/>
              <w:rPr>
                <w:rFonts w:hAnsi="宋体"/>
                <w:szCs w:val="21"/>
              </w:rPr>
            </w:pPr>
            <w:r>
              <w:rPr>
                <w:szCs w:val="21"/>
              </w:rPr>
              <w:t>[</w:t>
            </w:r>
            <w:r>
              <w:rPr>
                <w:rFonts w:hint="eastAsia"/>
                <w:szCs w:val="21"/>
              </w:rPr>
              <w:t>420</w:t>
            </w:r>
            <w:r>
              <w:rPr>
                <w:szCs w:val="21"/>
              </w:rPr>
              <w:t xml:space="preserve"> </w:t>
            </w:r>
            <w:r>
              <w:rPr>
                <w:rFonts w:hint="eastAsia"/>
                <w:szCs w:val="21"/>
              </w:rPr>
              <w:t>450</w:t>
            </w:r>
            <w:r>
              <w:rPr>
                <w:szCs w:val="21"/>
              </w:rPr>
              <w:t>]</w:t>
            </w:r>
          </w:p>
        </w:tc>
        <w:tc>
          <w:tcPr>
            <w:tcW w:w="1654" w:type="dxa"/>
            <w:vAlign w:val="center"/>
          </w:tcPr>
          <w:p>
            <w:pPr>
              <w:pStyle w:val="16"/>
              <w:spacing w:line="276" w:lineRule="auto"/>
              <w:ind w:firstLine="0" w:firstLineChars="0"/>
              <w:jc w:val="center"/>
              <w:rPr>
                <w:rFonts w:hAnsi="宋体"/>
                <w:szCs w:val="21"/>
              </w:rPr>
            </w:pPr>
            <w:r>
              <w:rPr>
                <w:rFonts w:hint="eastAsia" w:hAnsi="宋体"/>
                <w:szCs w:val="21"/>
              </w:rPr>
              <w:t>425</w:t>
            </w:r>
          </w:p>
        </w:tc>
        <w:tc>
          <w:tcPr>
            <w:tcW w:w="2059" w:type="dxa"/>
            <w:vAlign w:val="center"/>
          </w:tcPr>
          <w:p>
            <w:pPr>
              <w:pStyle w:val="16"/>
              <w:spacing w:line="276" w:lineRule="auto"/>
              <w:ind w:firstLine="0" w:firstLineChars="0"/>
              <w:jc w:val="center"/>
              <w:rPr>
                <w:rFonts w:hAnsi="宋体"/>
                <w:szCs w:val="21"/>
              </w:rPr>
            </w:pPr>
            <w:r>
              <w:rPr>
                <w:rFonts w:hint="eastAsia" w:hAnsi="宋体"/>
                <w:szCs w:val="21"/>
              </w:rPr>
              <w:t>2</w:t>
            </w:r>
          </w:p>
        </w:tc>
        <w:tc>
          <w:tcPr>
            <w:tcW w:w="2440" w:type="dxa"/>
            <w:vAlign w:val="center"/>
          </w:tcPr>
          <w:p>
            <w:pPr>
              <w:pStyle w:val="16"/>
              <w:spacing w:line="276" w:lineRule="auto"/>
              <w:ind w:firstLine="0" w:firstLineChars="0"/>
              <w:jc w:val="center"/>
              <w:rPr>
                <w:rFonts w:hAnsi="宋体"/>
                <w:szCs w:val="21"/>
              </w:rPr>
            </w:pPr>
            <w:r>
              <w:rPr>
                <w:rFonts w:hint="eastAsia" w:hAnsi="宋体"/>
                <w:szCs w:val="21"/>
              </w:rPr>
              <w:t>10.5%</w:t>
            </w:r>
          </w:p>
        </w:tc>
      </w:tr>
    </w:tbl>
    <w:p>
      <w:pPr>
        <w:pStyle w:val="16"/>
        <w:spacing w:line="276" w:lineRule="auto"/>
        <w:ind w:firstLine="0" w:firstLineChars="0"/>
        <w:jc w:val="center"/>
        <w:rPr>
          <w:rFonts w:asciiTheme="majorEastAsia" w:hAnsiTheme="majorEastAsia" w:eastAsiaTheme="majorEastAsia"/>
          <w:szCs w:val="21"/>
        </w:rPr>
      </w:pPr>
      <w:r>
        <w:rPr>
          <w:rFonts w:hint="eastAsia" w:ascii="黑体" w:hAnsi="黑体" w:eastAsia="黑体"/>
        </w:rPr>
        <w:t>表12</w:t>
      </w:r>
      <w:r>
        <w:rPr>
          <w:rFonts w:ascii="黑体" w:hAnsi="黑体" w:eastAsia="黑体"/>
        </w:rPr>
        <w:t xml:space="preserve"> </w:t>
      </w:r>
      <w:r>
        <w:rPr>
          <w:rFonts w:hint="eastAsia" w:ascii="黑体" w:hAnsi="黑体" w:eastAsia="黑体"/>
        </w:rPr>
        <w:t>实测</w:t>
      </w:r>
      <w:r>
        <w:rPr>
          <w:rFonts w:hint="eastAsia" w:ascii="黑体" w:hAnsi="黑体" w:eastAsia="黑体" w:cs="黑体"/>
          <w:szCs w:val="21"/>
        </w:rPr>
        <w:t>HSn62-1</w:t>
      </w:r>
      <w:r>
        <w:rPr>
          <w:rFonts w:hint="eastAsia" w:ascii="黑体" w:hAnsi="黑体" w:eastAsia="黑体"/>
        </w:rPr>
        <w:t>棒材和饼伸长率频数及频率分布表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337"/>
        <w:gridCol w:w="1660"/>
        <w:gridCol w:w="206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组号</w:t>
            </w:r>
          </w:p>
        </w:tc>
        <w:tc>
          <w:tcPr>
            <w:tcW w:w="2337" w:type="dxa"/>
          </w:tcPr>
          <w:p>
            <w:pPr>
              <w:pStyle w:val="16"/>
              <w:spacing w:line="276" w:lineRule="auto"/>
              <w:ind w:firstLine="0" w:firstLineChars="0"/>
              <w:jc w:val="center"/>
              <w:rPr>
                <w:rFonts w:hAnsi="宋体"/>
                <w:szCs w:val="21"/>
              </w:rPr>
            </w:pPr>
            <w:r>
              <w:rPr>
                <w:rFonts w:hint="eastAsia" w:hAnsi="宋体"/>
                <w:szCs w:val="21"/>
              </w:rPr>
              <w:t>区间</w:t>
            </w:r>
          </w:p>
        </w:tc>
        <w:tc>
          <w:tcPr>
            <w:tcW w:w="1660" w:type="dxa"/>
          </w:tcPr>
          <w:p>
            <w:pPr>
              <w:pStyle w:val="16"/>
              <w:spacing w:line="276" w:lineRule="auto"/>
              <w:ind w:firstLine="0" w:firstLineChars="0"/>
              <w:jc w:val="center"/>
              <w:rPr>
                <w:rFonts w:hAnsi="宋体"/>
                <w:szCs w:val="21"/>
              </w:rPr>
            </w:pPr>
            <w:r>
              <w:rPr>
                <w:rFonts w:hint="eastAsia" w:hAnsi="宋体"/>
                <w:szCs w:val="21"/>
              </w:rPr>
              <w:t>组中值</w:t>
            </w:r>
          </w:p>
        </w:tc>
        <w:tc>
          <w:tcPr>
            <w:tcW w:w="2062" w:type="dxa"/>
          </w:tcPr>
          <w:p>
            <w:pPr>
              <w:pStyle w:val="16"/>
              <w:spacing w:line="276" w:lineRule="auto"/>
              <w:ind w:firstLine="0" w:firstLineChars="0"/>
              <w:jc w:val="center"/>
              <w:rPr>
                <w:rFonts w:hAnsi="宋体"/>
                <w:szCs w:val="21"/>
              </w:rPr>
            </w:pPr>
            <w:r>
              <w:rPr>
                <w:rFonts w:hint="eastAsia" w:hAnsi="宋体"/>
                <w:szCs w:val="21"/>
              </w:rPr>
              <w:t>频数</w:t>
            </w:r>
          </w:p>
        </w:tc>
        <w:tc>
          <w:tcPr>
            <w:tcW w:w="2431" w:type="dxa"/>
          </w:tcPr>
          <w:p>
            <w:pPr>
              <w:pStyle w:val="16"/>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2</w:t>
            </w:r>
          </w:p>
        </w:tc>
        <w:tc>
          <w:tcPr>
            <w:tcW w:w="2337" w:type="dxa"/>
            <w:vAlign w:val="center"/>
          </w:tcPr>
          <w:p>
            <w:pPr>
              <w:pStyle w:val="16"/>
              <w:spacing w:line="276" w:lineRule="auto"/>
              <w:ind w:firstLine="0" w:firstLineChars="0"/>
              <w:jc w:val="center"/>
              <w:rPr>
                <w:rFonts w:hAnsi="宋体"/>
                <w:szCs w:val="21"/>
              </w:rPr>
            </w:pPr>
            <w:r>
              <w:rPr>
                <w:szCs w:val="21"/>
              </w:rPr>
              <w:t>[</w:t>
            </w:r>
            <w:r>
              <w:rPr>
                <w:rFonts w:hint="eastAsia"/>
                <w:szCs w:val="21"/>
              </w:rPr>
              <w:t>25</w:t>
            </w:r>
            <w:r>
              <w:rPr>
                <w:szCs w:val="21"/>
              </w:rPr>
              <w:t xml:space="preserve">  </w:t>
            </w:r>
            <w:r>
              <w:rPr>
                <w:rFonts w:hint="eastAsia"/>
                <w:szCs w:val="21"/>
              </w:rPr>
              <w:t>30</w:t>
            </w:r>
            <w:r>
              <w:rPr>
                <w:szCs w:val="21"/>
              </w:rPr>
              <w:t>]</w:t>
            </w:r>
          </w:p>
        </w:tc>
        <w:tc>
          <w:tcPr>
            <w:tcW w:w="1660" w:type="dxa"/>
            <w:vAlign w:val="center"/>
          </w:tcPr>
          <w:p>
            <w:pPr>
              <w:pStyle w:val="16"/>
              <w:spacing w:line="276" w:lineRule="auto"/>
              <w:ind w:firstLine="0" w:firstLineChars="0"/>
              <w:jc w:val="center"/>
              <w:rPr>
                <w:rFonts w:hAnsi="宋体"/>
                <w:szCs w:val="21"/>
              </w:rPr>
            </w:pPr>
            <w:r>
              <w:rPr>
                <w:rFonts w:hint="eastAsia"/>
                <w:szCs w:val="21"/>
              </w:rPr>
              <w:t>27</w:t>
            </w:r>
            <w:r>
              <w:rPr>
                <w:szCs w:val="21"/>
              </w:rPr>
              <w:t>.5</w:t>
            </w:r>
          </w:p>
        </w:tc>
        <w:tc>
          <w:tcPr>
            <w:tcW w:w="2062" w:type="dxa"/>
            <w:vAlign w:val="center"/>
          </w:tcPr>
          <w:p>
            <w:pPr>
              <w:pStyle w:val="16"/>
              <w:spacing w:line="276" w:lineRule="auto"/>
              <w:ind w:firstLine="0" w:firstLineChars="0"/>
              <w:jc w:val="center"/>
              <w:rPr>
                <w:szCs w:val="21"/>
              </w:rPr>
            </w:pPr>
            <w:r>
              <w:rPr>
                <w:rFonts w:hint="eastAsia"/>
                <w:szCs w:val="21"/>
              </w:rPr>
              <w:t>2</w:t>
            </w:r>
          </w:p>
        </w:tc>
        <w:tc>
          <w:tcPr>
            <w:tcW w:w="2431" w:type="dxa"/>
            <w:vAlign w:val="center"/>
          </w:tcPr>
          <w:p>
            <w:pPr>
              <w:pStyle w:val="16"/>
              <w:spacing w:line="276" w:lineRule="auto"/>
              <w:ind w:firstLine="0" w:firstLineChars="0"/>
              <w:jc w:val="center"/>
              <w:rPr>
                <w:szCs w:val="21"/>
              </w:rPr>
            </w:pPr>
            <w:r>
              <w:rPr>
                <w:rFonts w:hint="eastAsia"/>
                <w:szCs w:val="21"/>
              </w:rPr>
              <w:t>10.5</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3</w:t>
            </w:r>
          </w:p>
        </w:tc>
        <w:tc>
          <w:tcPr>
            <w:tcW w:w="2337" w:type="dxa"/>
            <w:vAlign w:val="center"/>
          </w:tcPr>
          <w:p>
            <w:pPr>
              <w:pStyle w:val="16"/>
              <w:spacing w:line="276" w:lineRule="auto"/>
              <w:ind w:firstLine="0" w:firstLineChars="0"/>
              <w:jc w:val="center"/>
              <w:rPr>
                <w:rFonts w:hAnsi="宋体"/>
                <w:szCs w:val="21"/>
              </w:rPr>
            </w:pPr>
            <w:r>
              <w:rPr>
                <w:szCs w:val="21"/>
              </w:rPr>
              <w:t>[</w:t>
            </w:r>
            <w:r>
              <w:rPr>
                <w:rFonts w:hint="eastAsia"/>
                <w:szCs w:val="21"/>
              </w:rPr>
              <w:t>30</w:t>
            </w:r>
            <w:r>
              <w:rPr>
                <w:szCs w:val="21"/>
              </w:rPr>
              <w:t xml:space="preserve">  </w:t>
            </w:r>
            <w:r>
              <w:rPr>
                <w:rFonts w:hint="eastAsia"/>
                <w:szCs w:val="21"/>
              </w:rPr>
              <w:t>35</w:t>
            </w:r>
            <w:r>
              <w:rPr>
                <w:szCs w:val="21"/>
              </w:rPr>
              <w:t>]</w:t>
            </w:r>
          </w:p>
        </w:tc>
        <w:tc>
          <w:tcPr>
            <w:tcW w:w="1660" w:type="dxa"/>
            <w:vAlign w:val="center"/>
          </w:tcPr>
          <w:p>
            <w:pPr>
              <w:pStyle w:val="16"/>
              <w:spacing w:line="276" w:lineRule="auto"/>
              <w:ind w:firstLine="0" w:firstLineChars="0"/>
              <w:jc w:val="center"/>
              <w:rPr>
                <w:rFonts w:hAnsi="宋体"/>
                <w:szCs w:val="21"/>
              </w:rPr>
            </w:pPr>
            <w:r>
              <w:rPr>
                <w:rFonts w:hint="eastAsia"/>
                <w:szCs w:val="21"/>
              </w:rPr>
              <w:t>32</w:t>
            </w:r>
            <w:r>
              <w:rPr>
                <w:szCs w:val="21"/>
              </w:rPr>
              <w:t>.5</w:t>
            </w:r>
          </w:p>
        </w:tc>
        <w:tc>
          <w:tcPr>
            <w:tcW w:w="2062" w:type="dxa"/>
            <w:vAlign w:val="center"/>
          </w:tcPr>
          <w:p>
            <w:pPr>
              <w:pStyle w:val="16"/>
              <w:spacing w:line="276" w:lineRule="auto"/>
              <w:ind w:firstLine="0" w:firstLineChars="0"/>
              <w:jc w:val="center"/>
              <w:rPr>
                <w:szCs w:val="21"/>
              </w:rPr>
            </w:pPr>
            <w:r>
              <w:rPr>
                <w:rFonts w:hint="eastAsia"/>
                <w:szCs w:val="21"/>
              </w:rPr>
              <w:t>2</w:t>
            </w:r>
          </w:p>
        </w:tc>
        <w:tc>
          <w:tcPr>
            <w:tcW w:w="2431" w:type="dxa"/>
            <w:vAlign w:val="center"/>
          </w:tcPr>
          <w:p>
            <w:pPr>
              <w:pStyle w:val="16"/>
              <w:spacing w:line="276" w:lineRule="auto"/>
              <w:ind w:firstLine="0" w:firstLineChars="0"/>
              <w:jc w:val="center"/>
              <w:rPr>
                <w:szCs w:val="21"/>
              </w:rPr>
            </w:pPr>
            <w:r>
              <w:rPr>
                <w:rFonts w:hint="eastAsia"/>
                <w:szCs w:val="21"/>
              </w:rPr>
              <w:t>10.5</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4</w:t>
            </w:r>
          </w:p>
        </w:tc>
        <w:tc>
          <w:tcPr>
            <w:tcW w:w="2337" w:type="dxa"/>
            <w:vAlign w:val="center"/>
          </w:tcPr>
          <w:p>
            <w:pPr>
              <w:pStyle w:val="16"/>
              <w:spacing w:line="276" w:lineRule="auto"/>
              <w:ind w:firstLine="0" w:firstLineChars="0"/>
              <w:jc w:val="center"/>
              <w:rPr>
                <w:rFonts w:hAnsi="宋体"/>
                <w:szCs w:val="21"/>
              </w:rPr>
            </w:pPr>
            <w:r>
              <w:rPr>
                <w:szCs w:val="21"/>
              </w:rPr>
              <w:t>[</w:t>
            </w:r>
            <w:r>
              <w:rPr>
                <w:rFonts w:hint="eastAsia"/>
                <w:szCs w:val="21"/>
              </w:rPr>
              <w:t>35</w:t>
            </w:r>
            <w:r>
              <w:rPr>
                <w:szCs w:val="21"/>
              </w:rPr>
              <w:t xml:space="preserve">  </w:t>
            </w:r>
            <w:r>
              <w:rPr>
                <w:rFonts w:hint="eastAsia"/>
                <w:szCs w:val="21"/>
              </w:rPr>
              <w:t>40</w:t>
            </w:r>
            <w:r>
              <w:rPr>
                <w:szCs w:val="21"/>
              </w:rPr>
              <w:t>]</w:t>
            </w:r>
          </w:p>
        </w:tc>
        <w:tc>
          <w:tcPr>
            <w:tcW w:w="1660" w:type="dxa"/>
            <w:vAlign w:val="center"/>
          </w:tcPr>
          <w:p>
            <w:pPr>
              <w:pStyle w:val="16"/>
              <w:spacing w:line="276" w:lineRule="auto"/>
              <w:ind w:firstLine="0" w:firstLineChars="0"/>
              <w:jc w:val="center"/>
              <w:rPr>
                <w:rFonts w:hAnsi="宋体"/>
                <w:szCs w:val="21"/>
              </w:rPr>
            </w:pPr>
            <w:r>
              <w:rPr>
                <w:rFonts w:hint="eastAsia"/>
                <w:szCs w:val="21"/>
              </w:rPr>
              <w:t>37</w:t>
            </w:r>
            <w:r>
              <w:rPr>
                <w:szCs w:val="21"/>
              </w:rPr>
              <w:t>.5</w:t>
            </w:r>
          </w:p>
        </w:tc>
        <w:tc>
          <w:tcPr>
            <w:tcW w:w="2062" w:type="dxa"/>
            <w:vAlign w:val="center"/>
          </w:tcPr>
          <w:p>
            <w:pPr>
              <w:pStyle w:val="16"/>
              <w:spacing w:line="276" w:lineRule="auto"/>
              <w:ind w:firstLine="0" w:firstLineChars="0"/>
              <w:jc w:val="center"/>
              <w:rPr>
                <w:szCs w:val="21"/>
              </w:rPr>
            </w:pPr>
            <w:r>
              <w:rPr>
                <w:rFonts w:hint="eastAsia"/>
                <w:szCs w:val="21"/>
              </w:rPr>
              <w:t>6</w:t>
            </w:r>
          </w:p>
        </w:tc>
        <w:tc>
          <w:tcPr>
            <w:tcW w:w="2431" w:type="dxa"/>
            <w:vAlign w:val="center"/>
          </w:tcPr>
          <w:p>
            <w:pPr>
              <w:pStyle w:val="16"/>
              <w:spacing w:line="276" w:lineRule="auto"/>
              <w:ind w:firstLine="0" w:firstLineChars="0"/>
              <w:jc w:val="center"/>
              <w:rPr>
                <w:szCs w:val="21"/>
              </w:rPr>
            </w:pPr>
            <w:r>
              <w:rPr>
                <w:rFonts w:hint="eastAsia"/>
                <w:szCs w:val="21"/>
              </w:rPr>
              <w:t>31.6</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5</w:t>
            </w:r>
          </w:p>
        </w:tc>
        <w:tc>
          <w:tcPr>
            <w:tcW w:w="2337" w:type="dxa"/>
            <w:vAlign w:val="center"/>
          </w:tcPr>
          <w:p>
            <w:pPr>
              <w:pStyle w:val="16"/>
              <w:spacing w:line="276" w:lineRule="auto"/>
              <w:ind w:firstLine="0" w:firstLineChars="0"/>
              <w:jc w:val="center"/>
              <w:rPr>
                <w:rFonts w:hAnsi="宋体"/>
                <w:szCs w:val="21"/>
              </w:rPr>
            </w:pPr>
            <w:r>
              <w:rPr>
                <w:szCs w:val="21"/>
              </w:rPr>
              <w:t>[</w:t>
            </w:r>
            <w:r>
              <w:rPr>
                <w:rFonts w:hint="eastAsia"/>
                <w:szCs w:val="21"/>
              </w:rPr>
              <w:t>40</w:t>
            </w:r>
            <w:r>
              <w:rPr>
                <w:szCs w:val="21"/>
              </w:rPr>
              <w:t xml:space="preserve">  </w:t>
            </w:r>
            <w:r>
              <w:rPr>
                <w:rFonts w:hint="eastAsia"/>
                <w:szCs w:val="21"/>
              </w:rPr>
              <w:t>4</w:t>
            </w:r>
            <w:r>
              <w:rPr>
                <w:szCs w:val="21"/>
              </w:rPr>
              <w:t>5]</w:t>
            </w:r>
          </w:p>
        </w:tc>
        <w:tc>
          <w:tcPr>
            <w:tcW w:w="1660" w:type="dxa"/>
            <w:vAlign w:val="center"/>
          </w:tcPr>
          <w:p>
            <w:pPr>
              <w:pStyle w:val="16"/>
              <w:spacing w:line="276" w:lineRule="auto"/>
              <w:ind w:firstLine="0" w:firstLineChars="0"/>
              <w:jc w:val="center"/>
              <w:rPr>
                <w:rFonts w:hAnsi="宋体"/>
                <w:szCs w:val="21"/>
              </w:rPr>
            </w:pPr>
            <w:r>
              <w:rPr>
                <w:rFonts w:hint="eastAsia"/>
                <w:szCs w:val="21"/>
              </w:rPr>
              <w:t>42</w:t>
            </w:r>
            <w:r>
              <w:rPr>
                <w:szCs w:val="21"/>
              </w:rPr>
              <w:t>.5</w:t>
            </w:r>
          </w:p>
        </w:tc>
        <w:tc>
          <w:tcPr>
            <w:tcW w:w="2062" w:type="dxa"/>
            <w:vAlign w:val="center"/>
          </w:tcPr>
          <w:p>
            <w:pPr>
              <w:pStyle w:val="16"/>
              <w:spacing w:line="276" w:lineRule="auto"/>
              <w:ind w:firstLine="0" w:firstLineChars="0"/>
              <w:jc w:val="center"/>
              <w:rPr>
                <w:szCs w:val="21"/>
              </w:rPr>
            </w:pPr>
            <w:r>
              <w:rPr>
                <w:rFonts w:hint="eastAsia"/>
                <w:szCs w:val="21"/>
              </w:rPr>
              <w:t>7</w:t>
            </w:r>
          </w:p>
        </w:tc>
        <w:tc>
          <w:tcPr>
            <w:tcW w:w="2431" w:type="dxa"/>
            <w:vAlign w:val="center"/>
          </w:tcPr>
          <w:p>
            <w:pPr>
              <w:pStyle w:val="16"/>
              <w:spacing w:line="276" w:lineRule="auto"/>
              <w:ind w:firstLine="0" w:firstLineChars="0"/>
              <w:jc w:val="center"/>
              <w:rPr>
                <w:szCs w:val="21"/>
              </w:rPr>
            </w:pPr>
            <w:r>
              <w:rPr>
                <w:rFonts w:hint="eastAsia"/>
                <w:szCs w:val="21"/>
              </w:rPr>
              <w:t>36.8</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pStyle w:val="16"/>
              <w:spacing w:line="276" w:lineRule="auto"/>
              <w:ind w:firstLine="0" w:firstLineChars="0"/>
              <w:jc w:val="center"/>
              <w:rPr>
                <w:rFonts w:hAnsi="宋体"/>
                <w:szCs w:val="21"/>
              </w:rPr>
            </w:pPr>
            <w:r>
              <w:rPr>
                <w:rFonts w:hint="eastAsia" w:hAnsi="宋体"/>
                <w:szCs w:val="21"/>
              </w:rPr>
              <w:t>6</w:t>
            </w:r>
          </w:p>
        </w:tc>
        <w:tc>
          <w:tcPr>
            <w:tcW w:w="2337" w:type="dxa"/>
            <w:vAlign w:val="center"/>
          </w:tcPr>
          <w:p>
            <w:pPr>
              <w:pStyle w:val="16"/>
              <w:spacing w:line="276" w:lineRule="auto"/>
              <w:ind w:firstLine="0" w:firstLineChars="0"/>
              <w:jc w:val="center"/>
              <w:rPr>
                <w:rFonts w:hAnsi="宋体"/>
                <w:szCs w:val="21"/>
              </w:rPr>
            </w:pPr>
            <w:r>
              <w:rPr>
                <w:szCs w:val="21"/>
              </w:rPr>
              <w:t>[</w:t>
            </w:r>
            <w:r>
              <w:rPr>
                <w:rFonts w:hint="eastAsia"/>
                <w:szCs w:val="21"/>
              </w:rPr>
              <w:t>45</w:t>
            </w:r>
            <w:r>
              <w:rPr>
                <w:szCs w:val="21"/>
              </w:rPr>
              <w:t xml:space="preserve">  </w:t>
            </w:r>
            <w:r>
              <w:rPr>
                <w:rFonts w:hint="eastAsia"/>
                <w:szCs w:val="21"/>
              </w:rPr>
              <w:t>50</w:t>
            </w:r>
            <w:r>
              <w:rPr>
                <w:szCs w:val="21"/>
              </w:rPr>
              <w:t>]</w:t>
            </w:r>
          </w:p>
        </w:tc>
        <w:tc>
          <w:tcPr>
            <w:tcW w:w="1660" w:type="dxa"/>
            <w:vAlign w:val="center"/>
          </w:tcPr>
          <w:p>
            <w:pPr>
              <w:pStyle w:val="16"/>
              <w:spacing w:line="276" w:lineRule="auto"/>
              <w:ind w:firstLine="0" w:firstLineChars="0"/>
              <w:jc w:val="center"/>
              <w:rPr>
                <w:rFonts w:hAnsi="宋体"/>
                <w:szCs w:val="21"/>
              </w:rPr>
            </w:pPr>
            <w:r>
              <w:rPr>
                <w:rFonts w:hint="eastAsia"/>
                <w:szCs w:val="21"/>
              </w:rPr>
              <w:t>47</w:t>
            </w:r>
            <w:r>
              <w:rPr>
                <w:szCs w:val="21"/>
              </w:rPr>
              <w:t>.5</w:t>
            </w:r>
          </w:p>
        </w:tc>
        <w:tc>
          <w:tcPr>
            <w:tcW w:w="2062" w:type="dxa"/>
            <w:vAlign w:val="center"/>
          </w:tcPr>
          <w:p>
            <w:pPr>
              <w:pStyle w:val="16"/>
              <w:spacing w:line="276" w:lineRule="auto"/>
              <w:ind w:firstLine="0" w:firstLineChars="0"/>
              <w:jc w:val="center"/>
              <w:rPr>
                <w:szCs w:val="21"/>
              </w:rPr>
            </w:pPr>
            <w:r>
              <w:rPr>
                <w:rFonts w:hint="eastAsia"/>
                <w:szCs w:val="21"/>
              </w:rPr>
              <w:t>2</w:t>
            </w:r>
          </w:p>
        </w:tc>
        <w:tc>
          <w:tcPr>
            <w:tcW w:w="2431" w:type="dxa"/>
            <w:vAlign w:val="center"/>
          </w:tcPr>
          <w:p>
            <w:pPr>
              <w:pStyle w:val="16"/>
              <w:spacing w:line="276" w:lineRule="auto"/>
              <w:ind w:firstLine="0" w:firstLineChars="0"/>
              <w:jc w:val="center"/>
              <w:rPr>
                <w:szCs w:val="21"/>
              </w:rPr>
            </w:pPr>
            <w:r>
              <w:rPr>
                <w:rFonts w:hint="eastAsia"/>
                <w:szCs w:val="21"/>
              </w:rPr>
              <w:t>10.5</w:t>
            </w:r>
            <w:r>
              <w:rPr>
                <w:rFonts w:hint="eastAsia" w:hAnsi="宋体"/>
                <w:szCs w:val="21"/>
              </w:rPr>
              <w:t>%</w:t>
            </w:r>
          </w:p>
        </w:tc>
      </w:tr>
    </w:tbl>
    <w:p>
      <w:pPr>
        <w:spacing w:line="360" w:lineRule="auto"/>
        <w:ind w:firstLine="525" w:firstLineChars="250"/>
        <w:rPr>
          <w:color w:val="000000"/>
        </w:rPr>
      </w:pPr>
    </w:p>
    <w:p>
      <w:pPr>
        <w:spacing w:line="360" w:lineRule="auto"/>
        <w:ind w:firstLine="525" w:firstLineChars="250"/>
        <w:rPr>
          <w:color w:val="000000"/>
        </w:rPr>
      </w:pPr>
      <w:r>
        <w:rPr>
          <w:color w:val="000000"/>
        </w:rPr>
        <w:drawing>
          <wp:inline distT="0" distB="0" distL="0" distR="0">
            <wp:extent cx="4572000" cy="2743200"/>
            <wp:effectExtent l="19050" t="0" r="19050" b="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735" w:firstLineChars="350"/>
        <w:rPr>
          <w:color w:val="000000"/>
        </w:rPr>
      </w:pPr>
      <w:r>
        <w:rPr>
          <w:rFonts w:hint="eastAsia"/>
          <w:color w:val="000000"/>
        </w:rPr>
        <w:t xml:space="preserve">图5  </w:t>
      </w:r>
      <w:r>
        <w:rPr>
          <w:rFonts w:hint="eastAsia" w:ascii="黑体" w:hAnsi="黑体" w:eastAsia="黑体" w:cs="黑体"/>
          <w:szCs w:val="21"/>
        </w:rPr>
        <w:t>HSn62-1</w:t>
      </w:r>
      <w:r>
        <w:rPr>
          <w:rFonts w:hint="eastAsia" w:ascii="黑体" w:hAnsi="黑体" w:eastAsia="黑体"/>
        </w:rPr>
        <w:t>棒材和饼抗拉强度</w:t>
      </w:r>
    </w:p>
    <w:p>
      <w:pPr>
        <w:spacing w:line="360" w:lineRule="auto"/>
        <w:ind w:firstLine="525" w:firstLineChars="250"/>
        <w:rPr>
          <w:color w:val="000000"/>
        </w:rPr>
      </w:pPr>
    </w:p>
    <w:p>
      <w:pPr>
        <w:spacing w:line="360" w:lineRule="auto"/>
        <w:ind w:firstLine="525" w:firstLineChars="250"/>
        <w:rPr>
          <w:color w:val="000000"/>
        </w:rPr>
      </w:pPr>
    </w:p>
    <w:p>
      <w:pPr>
        <w:spacing w:line="360" w:lineRule="auto"/>
        <w:ind w:firstLine="525" w:firstLineChars="250"/>
        <w:rPr>
          <w:color w:val="000000"/>
        </w:rPr>
      </w:pPr>
      <w:r>
        <w:rPr>
          <w:color w:val="000000"/>
        </w:rPr>
        <w:drawing>
          <wp:inline distT="0" distB="0" distL="0" distR="0">
            <wp:extent cx="4572000" cy="2743200"/>
            <wp:effectExtent l="19050" t="0" r="19050" b="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840" w:firstLineChars="400"/>
        <w:rPr>
          <w:color w:val="000000"/>
        </w:rPr>
      </w:pPr>
      <w:r>
        <w:rPr>
          <w:rFonts w:hint="eastAsia"/>
          <w:color w:val="000000"/>
        </w:rPr>
        <w:t xml:space="preserve">图6   </w:t>
      </w:r>
      <w:r>
        <w:rPr>
          <w:rFonts w:hint="eastAsia" w:ascii="黑体" w:hAnsi="黑体" w:eastAsia="黑体" w:cs="黑体"/>
          <w:szCs w:val="21"/>
        </w:rPr>
        <w:t>HSn62-1</w:t>
      </w:r>
      <w:r>
        <w:rPr>
          <w:rFonts w:hint="eastAsia" w:ascii="黑体" w:hAnsi="黑体" w:eastAsia="黑体"/>
        </w:rPr>
        <w:t>棒材和饼伸长率</w:t>
      </w:r>
    </w:p>
    <w:p>
      <w:pPr>
        <w:spacing w:line="360" w:lineRule="auto"/>
        <w:rPr>
          <w:rFonts w:ascii="黑体" w:hAnsi="黑体" w:eastAsia="黑体" w:cs="黑体"/>
          <w:b/>
          <w:szCs w:val="24"/>
        </w:rPr>
      </w:pPr>
      <w:r>
        <w:rPr>
          <w:rFonts w:hint="eastAsia" w:ascii="黑体" w:hAnsi="黑体" w:eastAsia="黑体" w:cs="黑体"/>
          <w:b/>
          <w:szCs w:val="24"/>
        </w:rPr>
        <w:t>4.6表面质量</w:t>
      </w:r>
    </w:p>
    <w:p>
      <w:pPr>
        <w:spacing w:line="360" w:lineRule="auto"/>
        <w:ind w:firstLine="525" w:firstLineChars="250"/>
        <w:rPr>
          <w:rFonts w:asciiTheme="minorEastAsia" w:hAnsiTheme="minorEastAsia" w:eastAsiaTheme="minorEastAsia"/>
          <w:color w:val="000000"/>
        </w:rPr>
      </w:pPr>
      <w:r>
        <w:rPr>
          <w:rFonts w:hint="eastAsia" w:asciiTheme="minorEastAsia" w:hAnsiTheme="minorEastAsia" w:eastAsiaTheme="minorEastAsia"/>
          <w:color w:val="000000"/>
          <w:szCs w:val="21"/>
        </w:rPr>
        <w:t>机加工后的棒材和</w:t>
      </w:r>
      <w:r>
        <w:rPr>
          <w:rFonts w:asciiTheme="minorEastAsia" w:hAnsiTheme="minorEastAsia" w:eastAsiaTheme="minorEastAsia"/>
          <w:color w:val="000000"/>
          <w:szCs w:val="21"/>
        </w:rPr>
        <w:t>饼</w:t>
      </w:r>
      <w:r>
        <w:rPr>
          <w:rFonts w:hint="eastAsia" w:asciiTheme="minorEastAsia" w:hAnsiTheme="minorEastAsia" w:eastAsiaTheme="minorEastAsia"/>
          <w:color w:val="000000"/>
          <w:szCs w:val="21"/>
        </w:rPr>
        <w:t>材任意</w:t>
      </w:r>
      <w:r>
        <w:rPr>
          <w:rFonts w:asciiTheme="minorEastAsia" w:hAnsiTheme="minorEastAsia" w:eastAsiaTheme="minorEastAsia"/>
          <w:color w:val="000000"/>
          <w:szCs w:val="21"/>
        </w:rPr>
        <w:t>表面粗糙度不大于6.3μm。棒材</w:t>
      </w:r>
      <w:r>
        <w:rPr>
          <w:rFonts w:hint="eastAsia" w:asciiTheme="minorEastAsia" w:hAnsiTheme="minorEastAsia" w:eastAsiaTheme="minorEastAsia"/>
          <w:color w:val="000000"/>
          <w:szCs w:val="21"/>
        </w:rPr>
        <w:t>和</w:t>
      </w:r>
      <w:r>
        <w:rPr>
          <w:rFonts w:asciiTheme="minorEastAsia" w:hAnsiTheme="minorEastAsia" w:eastAsiaTheme="minorEastAsia"/>
          <w:szCs w:val="21"/>
        </w:rPr>
        <w:t>饼材</w:t>
      </w:r>
      <w:r>
        <w:rPr>
          <w:rFonts w:asciiTheme="minorEastAsia" w:hAnsiTheme="minorEastAsia" w:eastAsiaTheme="minorEastAsia"/>
          <w:color w:val="000000"/>
          <w:szCs w:val="21"/>
        </w:rPr>
        <w:t>表面应清洁，不</w:t>
      </w:r>
      <w:r>
        <w:rPr>
          <w:rFonts w:hint="eastAsia" w:asciiTheme="minorEastAsia" w:hAnsiTheme="minorEastAsia" w:eastAsiaTheme="minorEastAsia"/>
          <w:color w:val="000000"/>
          <w:szCs w:val="21"/>
        </w:rPr>
        <w:t>应</w:t>
      </w:r>
      <w:r>
        <w:rPr>
          <w:rFonts w:asciiTheme="minorEastAsia" w:hAnsiTheme="minorEastAsia" w:eastAsiaTheme="minorEastAsia"/>
          <w:color w:val="000000"/>
          <w:szCs w:val="21"/>
        </w:rPr>
        <w:t>有裂纹、气泡</w:t>
      </w:r>
      <w:r>
        <w:rPr>
          <w:rFonts w:asciiTheme="minorEastAsia" w:hAnsiTheme="minorEastAsia" w:eastAsiaTheme="minorEastAsia"/>
          <w:szCs w:val="21"/>
        </w:rPr>
        <w:t>、夹杂物等影响用户</w:t>
      </w:r>
      <w:r>
        <w:rPr>
          <w:rFonts w:hint="eastAsia" w:asciiTheme="minorEastAsia" w:hAnsiTheme="minorEastAsia" w:eastAsiaTheme="minorEastAsia"/>
          <w:szCs w:val="21"/>
        </w:rPr>
        <w:t>使用</w:t>
      </w:r>
      <w:r>
        <w:rPr>
          <w:rFonts w:asciiTheme="minorEastAsia" w:hAnsiTheme="minorEastAsia" w:eastAsiaTheme="minorEastAsia"/>
          <w:szCs w:val="21"/>
        </w:rPr>
        <w:t>的缺陷。</w:t>
      </w:r>
      <w:r>
        <w:rPr>
          <w:rFonts w:asciiTheme="minorEastAsia" w:hAnsiTheme="minorEastAsia" w:eastAsiaTheme="minorEastAsia"/>
          <w:color w:val="000000"/>
        </w:rPr>
        <w:t xml:space="preserve"> </w:t>
      </w:r>
    </w:p>
    <w:p>
      <w:pPr>
        <w:rPr>
          <w:rFonts w:ascii="黑体" w:hAnsi="黑体" w:eastAsia="黑体" w:cs="黑体"/>
          <w:b/>
          <w:color w:val="000000"/>
          <w:szCs w:val="21"/>
        </w:rPr>
      </w:pPr>
      <w:r>
        <w:rPr>
          <w:rFonts w:hint="eastAsia" w:ascii="黑体" w:hAnsi="黑体" w:eastAsia="黑体" w:cs="黑体"/>
          <w:b/>
          <w:color w:val="000000"/>
          <w:szCs w:val="21"/>
        </w:rPr>
        <w:t>五、整体标准水平说明</w:t>
      </w:r>
    </w:p>
    <w:p>
      <w:pPr>
        <w:ind w:firstLine="315" w:firstLineChars="15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本标准力学性能水平，高于基础性国家标准的力学性能水平，公差水平亦较严，其他技术条件优于国有标准。</w:t>
      </w:r>
    </w:p>
    <w:p>
      <w:pPr>
        <w:spacing w:beforeLines="50" w:afterLines="50"/>
        <w:rPr>
          <w:rFonts w:ascii="黑体" w:hAnsi="黑体" w:eastAsia="黑体"/>
          <w:b/>
          <w:color w:val="000000"/>
          <w:szCs w:val="21"/>
        </w:rPr>
      </w:pPr>
      <w:r>
        <w:rPr>
          <w:rFonts w:hint="eastAsia" w:ascii="黑体" w:hAnsi="黑体" w:eastAsia="黑体"/>
          <w:b/>
          <w:color w:val="000000"/>
          <w:szCs w:val="21"/>
        </w:rPr>
        <w:t>六、与现行相关法律、法规、规章及相关标准，特别是强制性标准的协调性</w:t>
      </w:r>
    </w:p>
    <w:p>
      <w:pPr>
        <w:pStyle w:val="16"/>
        <w:spacing w:line="360" w:lineRule="auto"/>
        <w:ind w:firstLine="420"/>
        <w:rPr>
          <w:rFonts w:asciiTheme="majorEastAsia" w:hAnsiTheme="majorEastAsia" w:eastAsiaTheme="majorEastAsia"/>
          <w:color w:val="000000"/>
          <w:kern w:val="2"/>
          <w:szCs w:val="21"/>
        </w:rPr>
      </w:pPr>
      <w:r>
        <w:rPr>
          <w:rFonts w:hint="eastAsia" w:asciiTheme="majorEastAsia" w:hAnsiTheme="majorEastAsia" w:eastAsiaTheme="majorEastAsia"/>
          <w:color w:val="000000"/>
          <w:kern w:val="2"/>
          <w:szCs w:val="21"/>
        </w:rPr>
        <w:t>目前，我国有GB/T 4423-2007《铜及铜合金拉制棒》和YS/T649-2007《铜及铜合金挤制棒》两个棒材标准，其中YS/T 649-2007是通用性的挤压棒标准，GB/T4423-2007是通用的拉制棒标准，而本标准是属于</w:t>
      </w:r>
      <w:r>
        <w:rPr>
          <w:rFonts w:hint="eastAsia" w:asciiTheme="majorEastAsia" w:hAnsiTheme="majorEastAsia" w:eastAsiaTheme="majorEastAsia"/>
          <w:color w:val="000000"/>
          <w:szCs w:val="21"/>
        </w:rPr>
        <w:t>耐蚀材料用</w:t>
      </w:r>
      <w:r>
        <w:rPr>
          <w:rFonts w:hint="eastAsia" w:asciiTheme="majorEastAsia" w:hAnsiTheme="majorEastAsia" w:eastAsiaTheme="majorEastAsia"/>
          <w:color w:val="000000"/>
          <w:kern w:val="2"/>
          <w:szCs w:val="21"/>
        </w:rPr>
        <w:t>棒饼材专用标准，是YS/T 649和GB/T 4423不可替代的标准，本标准是对YS/T 649及GB/T4423标准的补充，本标准与YS/T 649和GB/T 4423一同构成铜及铜合金棒的标准体系。</w:t>
      </w:r>
    </w:p>
    <w:p>
      <w:pPr>
        <w:pStyle w:val="16"/>
        <w:ind w:firstLine="0" w:firstLineChars="0"/>
        <w:rPr>
          <w:rFonts w:ascii="黑体" w:eastAsia="黑体"/>
          <w:b/>
          <w:color w:val="000000"/>
          <w:kern w:val="2"/>
          <w:sz w:val="24"/>
          <w:szCs w:val="24"/>
        </w:rPr>
      </w:pPr>
      <w:r>
        <w:rPr>
          <w:rFonts w:hint="eastAsia" w:ascii="黑体" w:eastAsia="黑体"/>
          <w:b/>
          <w:color w:val="000000"/>
          <w:kern w:val="2"/>
          <w:sz w:val="24"/>
          <w:szCs w:val="24"/>
        </w:rPr>
        <w:t>七、</w:t>
      </w:r>
      <w:r>
        <w:rPr>
          <w:rFonts w:hint="eastAsia" w:ascii="黑体" w:hAnsi="黑体" w:eastAsia="黑体"/>
          <w:b/>
          <w:color w:val="000000"/>
          <w:szCs w:val="21"/>
        </w:rPr>
        <w:t>预期效果</w:t>
      </w:r>
    </w:p>
    <w:p>
      <w:pPr>
        <w:spacing w:line="360" w:lineRule="auto"/>
        <w:rPr>
          <w:rFonts w:ascii="宋体" w:hAnsi="宋体"/>
          <w:color w:val="000000"/>
          <w:szCs w:val="21"/>
        </w:rPr>
      </w:pPr>
      <w:r>
        <w:rPr>
          <w:rFonts w:hint="eastAsia"/>
          <w:color w:val="000000"/>
          <w:szCs w:val="21"/>
        </w:rPr>
        <w:t>　　</w:t>
      </w:r>
      <w:r>
        <w:rPr>
          <w:rFonts w:hint="eastAsia" w:ascii="宋体" w:hAnsi="宋体"/>
          <w:color w:val="000000"/>
          <w:szCs w:val="21"/>
        </w:rPr>
        <w:t>本标准结合我国国情，在国内生产企业及国内外用户需求的基础上，参照美国同类产品标准制定，技术指标先进，具有普遍性、广泛性、适用性、科学性和先进性。本标准发布后，将规范海洋环境用黄铜棒饼材的性能和技术要求，提高产品在国内、外市场上的竞争力，给生产企业带来巨大的经济效益。</w:t>
      </w:r>
    </w:p>
    <w:p>
      <w:pPr>
        <w:spacing w:line="360" w:lineRule="auto"/>
        <w:rPr>
          <w:rFonts w:ascii="楷体_GB2312" w:eastAsia="楷体_GB2312"/>
          <w:sz w:val="24"/>
          <w:szCs w:val="24"/>
        </w:rPr>
      </w:pPr>
    </w:p>
    <w:p>
      <w:pPr>
        <w:spacing w:line="360" w:lineRule="auto"/>
      </w:pPr>
    </w:p>
    <w:p>
      <w:pPr>
        <w:pStyle w:val="16"/>
        <w:ind w:right="735" w:firstLine="0" w:firstLineChars="0"/>
        <w:rPr>
          <w:rFonts w:ascii="黑体" w:eastAsia="黑体"/>
          <w:color w:val="000000"/>
          <w:kern w:val="2"/>
          <w:szCs w:val="21"/>
        </w:rPr>
      </w:pPr>
      <w:r>
        <w:rPr>
          <w:rFonts w:hint="eastAsia" w:ascii="Times New Roman"/>
          <w:color w:val="000000"/>
          <w:kern w:val="2"/>
          <w:szCs w:val="21"/>
        </w:rPr>
        <w:t>　　　　　　　　　　　　　　　　　　　　　　　　　　　　</w:t>
      </w:r>
      <w:r>
        <w:rPr>
          <w:rFonts w:hint="eastAsia" w:ascii="黑体" w:eastAsia="黑体"/>
          <w:color w:val="000000"/>
          <w:kern w:val="2"/>
          <w:szCs w:val="21"/>
        </w:rPr>
        <w:t>　标准编制组</w:t>
      </w:r>
    </w:p>
    <w:p>
      <w:pPr>
        <w:pStyle w:val="16"/>
        <w:ind w:right="480" w:firstLine="5985" w:firstLineChars="2850"/>
        <w:rPr>
          <w:rFonts w:hint="eastAsia" w:ascii="黑体" w:eastAsia="黑体"/>
          <w:color w:val="000000"/>
          <w:kern w:val="2"/>
          <w:szCs w:val="21"/>
        </w:rPr>
      </w:pPr>
      <w:r>
        <w:rPr>
          <w:rFonts w:hint="eastAsia" w:ascii="黑体" w:eastAsia="黑体"/>
          <w:color w:val="000000"/>
          <w:kern w:val="2"/>
          <w:szCs w:val="21"/>
        </w:rPr>
        <w:t xml:space="preserve"> 2022</w:t>
      </w:r>
      <w:r>
        <w:rPr>
          <w:rFonts w:hint="eastAsia" w:ascii="黑体" w:eastAsia="黑体"/>
          <w:color w:val="000000"/>
          <w:kern w:val="2"/>
          <w:szCs w:val="21"/>
          <w:highlight w:val="none"/>
        </w:rPr>
        <w:t>年2</w:t>
      </w:r>
      <w:r>
        <w:rPr>
          <w:rFonts w:hint="eastAsia" w:ascii="黑体" w:eastAsia="黑体"/>
          <w:color w:val="000000"/>
          <w:kern w:val="2"/>
          <w:szCs w:val="21"/>
        </w:rPr>
        <w:t>月15日</w:t>
      </w:r>
      <w:bookmarkStart w:id="0" w:name="_GoBack"/>
      <w:bookmarkEnd w:id="0"/>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p>
      <w:pPr>
        <w:pStyle w:val="16"/>
        <w:ind w:right="480" w:firstLine="5985" w:firstLineChars="2850"/>
        <w:rPr>
          <w:rFonts w:hint="eastAsia" w:ascii="黑体" w:eastAsia="黑体"/>
          <w:color w:val="000000"/>
          <w:kern w:val="2"/>
          <w:szCs w:val="21"/>
        </w:rPr>
      </w:pPr>
    </w:p>
    <w:sectPr>
      <w:headerReference r:id="rId3" w:type="default"/>
      <w:footerReference r:id="rId4" w:type="default"/>
      <w:pgSz w:w="11906" w:h="16838"/>
      <w:pgMar w:top="1440" w:right="1287" w:bottom="1440" w:left="1378"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2"/>
      <w:suff w:val="space"/>
      <w:lvlText w:val="%1 "/>
      <w:lvlJc w:val="left"/>
      <w:pPr>
        <w:ind w:left="0" w:firstLine="0"/>
      </w:pPr>
      <w:rPr>
        <w:rFonts w:hint="eastAsia" w:ascii="黑体" w:hAnsi="Verdana" w:eastAsia="黑体"/>
        <w:sz w:val="21"/>
        <w:szCs w:val="21"/>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360" w:firstLine="0"/>
      </w:pPr>
      <w:rPr>
        <w:rFonts w:hint="default" w:ascii="Verdana" w:hAnsi="Verdana"/>
        <w:sz w:val="21"/>
        <w:szCs w:val="21"/>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pStyle w:val="6"/>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172A27"/>
    <w:rsid w:val="000122A2"/>
    <w:rsid w:val="00020FD6"/>
    <w:rsid w:val="000259B6"/>
    <w:rsid w:val="000424AE"/>
    <w:rsid w:val="00062578"/>
    <w:rsid w:val="000C2C8C"/>
    <w:rsid w:val="000C51D1"/>
    <w:rsid w:val="000C56E5"/>
    <w:rsid w:val="000D179B"/>
    <w:rsid w:val="000D40DB"/>
    <w:rsid w:val="0010253B"/>
    <w:rsid w:val="00105273"/>
    <w:rsid w:val="0011637B"/>
    <w:rsid w:val="00132638"/>
    <w:rsid w:val="00141D89"/>
    <w:rsid w:val="0016647A"/>
    <w:rsid w:val="00172A27"/>
    <w:rsid w:val="00186A67"/>
    <w:rsid w:val="0019539E"/>
    <w:rsid w:val="001A015F"/>
    <w:rsid w:val="001B0A8A"/>
    <w:rsid w:val="001B64C9"/>
    <w:rsid w:val="001E3855"/>
    <w:rsid w:val="001E4631"/>
    <w:rsid w:val="001E6137"/>
    <w:rsid w:val="00204219"/>
    <w:rsid w:val="0024510A"/>
    <w:rsid w:val="002451F0"/>
    <w:rsid w:val="00262A06"/>
    <w:rsid w:val="00282867"/>
    <w:rsid w:val="00294238"/>
    <w:rsid w:val="002A7906"/>
    <w:rsid w:val="002B5ED2"/>
    <w:rsid w:val="002C175D"/>
    <w:rsid w:val="002D3893"/>
    <w:rsid w:val="002E5DA6"/>
    <w:rsid w:val="002F00BA"/>
    <w:rsid w:val="00312EBA"/>
    <w:rsid w:val="00334E70"/>
    <w:rsid w:val="00335D34"/>
    <w:rsid w:val="0034541B"/>
    <w:rsid w:val="00366165"/>
    <w:rsid w:val="0039000D"/>
    <w:rsid w:val="003B4A6E"/>
    <w:rsid w:val="003D33D0"/>
    <w:rsid w:val="00427126"/>
    <w:rsid w:val="004520AE"/>
    <w:rsid w:val="00456B3D"/>
    <w:rsid w:val="0046079C"/>
    <w:rsid w:val="0046099B"/>
    <w:rsid w:val="00491B2F"/>
    <w:rsid w:val="004975C2"/>
    <w:rsid w:val="004A5041"/>
    <w:rsid w:val="004B34A9"/>
    <w:rsid w:val="0051158D"/>
    <w:rsid w:val="00533E4D"/>
    <w:rsid w:val="00570402"/>
    <w:rsid w:val="00594040"/>
    <w:rsid w:val="00595DE8"/>
    <w:rsid w:val="005B73C6"/>
    <w:rsid w:val="005C0B91"/>
    <w:rsid w:val="005C6422"/>
    <w:rsid w:val="006118C6"/>
    <w:rsid w:val="0065545E"/>
    <w:rsid w:val="00661CD9"/>
    <w:rsid w:val="0069041F"/>
    <w:rsid w:val="006B7CF3"/>
    <w:rsid w:val="006D5D33"/>
    <w:rsid w:val="00703EEE"/>
    <w:rsid w:val="0071179B"/>
    <w:rsid w:val="00741411"/>
    <w:rsid w:val="0075397F"/>
    <w:rsid w:val="00755217"/>
    <w:rsid w:val="007A2516"/>
    <w:rsid w:val="007A42EF"/>
    <w:rsid w:val="007C51C6"/>
    <w:rsid w:val="007F5D3E"/>
    <w:rsid w:val="00830842"/>
    <w:rsid w:val="008650A5"/>
    <w:rsid w:val="008D20A1"/>
    <w:rsid w:val="008D2B6A"/>
    <w:rsid w:val="008E18C9"/>
    <w:rsid w:val="00916B0A"/>
    <w:rsid w:val="00920B2E"/>
    <w:rsid w:val="00970C76"/>
    <w:rsid w:val="00976F53"/>
    <w:rsid w:val="00981924"/>
    <w:rsid w:val="00981B04"/>
    <w:rsid w:val="0099065C"/>
    <w:rsid w:val="009B0BF5"/>
    <w:rsid w:val="009C0B10"/>
    <w:rsid w:val="009E4356"/>
    <w:rsid w:val="009E4E89"/>
    <w:rsid w:val="009F3B2D"/>
    <w:rsid w:val="00A54810"/>
    <w:rsid w:val="00A64F64"/>
    <w:rsid w:val="00A9445F"/>
    <w:rsid w:val="00AC326F"/>
    <w:rsid w:val="00AE414E"/>
    <w:rsid w:val="00B13622"/>
    <w:rsid w:val="00B21077"/>
    <w:rsid w:val="00B212B0"/>
    <w:rsid w:val="00B433FE"/>
    <w:rsid w:val="00BC3FF4"/>
    <w:rsid w:val="00BE1C40"/>
    <w:rsid w:val="00C30FCE"/>
    <w:rsid w:val="00C60AD4"/>
    <w:rsid w:val="00C66669"/>
    <w:rsid w:val="00C80AE5"/>
    <w:rsid w:val="00CA3540"/>
    <w:rsid w:val="00CA64B9"/>
    <w:rsid w:val="00CB7C7F"/>
    <w:rsid w:val="00CC2168"/>
    <w:rsid w:val="00CD32AE"/>
    <w:rsid w:val="00D06E86"/>
    <w:rsid w:val="00D14D9D"/>
    <w:rsid w:val="00D526FB"/>
    <w:rsid w:val="00D57E8A"/>
    <w:rsid w:val="00D96F1E"/>
    <w:rsid w:val="00DB433A"/>
    <w:rsid w:val="00E05F4F"/>
    <w:rsid w:val="00E205A9"/>
    <w:rsid w:val="00E22356"/>
    <w:rsid w:val="00E27B22"/>
    <w:rsid w:val="00E54FF7"/>
    <w:rsid w:val="00E77DD0"/>
    <w:rsid w:val="00E8095E"/>
    <w:rsid w:val="00E95534"/>
    <w:rsid w:val="00ED0404"/>
    <w:rsid w:val="00F17FF1"/>
    <w:rsid w:val="00F4051E"/>
    <w:rsid w:val="00F40CCE"/>
    <w:rsid w:val="00F45F2C"/>
    <w:rsid w:val="00F550D9"/>
    <w:rsid w:val="00F82761"/>
    <w:rsid w:val="00F948D4"/>
    <w:rsid w:val="00F94C83"/>
    <w:rsid w:val="00F97619"/>
    <w:rsid w:val="00FF31C4"/>
    <w:rsid w:val="00FF7C8A"/>
    <w:rsid w:val="07BC6C6F"/>
    <w:rsid w:val="113D6E8C"/>
    <w:rsid w:val="18C102D2"/>
    <w:rsid w:val="229B5FC8"/>
    <w:rsid w:val="2EA55B8B"/>
    <w:rsid w:val="33840B6F"/>
    <w:rsid w:val="3916011F"/>
    <w:rsid w:val="3D995D51"/>
    <w:rsid w:val="3FC53C32"/>
    <w:rsid w:val="45F118CB"/>
    <w:rsid w:val="50543FB8"/>
    <w:rsid w:val="59C33E10"/>
    <w:rsid w:val="5FD92EAF"/>
    <w:rsid w:val="7F98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Lines/>
      <w:numPr>
        <w:ilvl w:val="0"/>
        <w:numId w:val="1"/>
      </w:numPr>
      <w:adjustRightInd w:val="0"/>
      <w:spacing w:before="260" w:after="260"/>
      <w:jc w:val="left"/>
      <w:textAlignment w:val="baseline"/>
      <w:outlineLvl w:val="0"/>
    </w:pPr>
    <w:rPr>
      <w:rFonts w:ascii="黑体" w:hAnsi="Verdana" w:eastAsia="黑体"/>
      <w:kern w:val="0"/>
    </w:rPr>
  </w:style>
  <w:style w:type="paragraph" w:styleId="4">
    <w:name w:val="heading 3"/>
    <w:basedOn w:val="2"/>
    <w:next w:val="5"/>
    <w:qFormat/>
    <w:uiPriority w:val="0"/>
    <w:pPr>
      <w:numPr>
        <w:numId w:val="0"/>
      </w:numPr>
      <w:ind w:firstLine="420" w:firstLineChars="200"/>
      <w:outlineLvl w:val="2"/>
    </w:pPr>
    <w:rPr>
      <w:rFonts w:ascii="宋体" w:hAnsi="宋体" w:eastAsia="宋体"/>
    </w:rPr>
  </w:style>
  <w:style w:type="paragraph" w:styleId="6">
    <w:name w:val="heading 5"/>
    <w:basedOn w:val="4"/>
    <w:next w:val="5"/>
    <w:qFormat/>
    <w:uiPriority w:val="0"/>
    <w:pPr>
      <w:numPr>
        <w:ilvl w:val="4"/>
        <w:numId w:val="1"/>
      </w:numPr>
      <w:outlineLvl w:val="4"/>
    </w:p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uiPriority w:val="0"/>
    <w:pPr>
      <w:tabs>
        <w:tab w:val="left" w:pos="2400"/>
      </w:tabs>
      <w:jc w:val="both"/>
    </w:pPr>
    <w:rPr>
      <w:rFonts w:ascii="宋体" w:hAnsi="宋体" w:eastAsia="宋体" w:cs="Times New Roman"/>
      <w:sz w:val="21"/>
      <w:szCs w:val="21"/>
      <w:lang w:val="en-US" w:eastAsia="zh-CN" w:bidi="ar-SA"/>
    </w:rPr>
  </w:style>
  <w:style w:type="paragraph" w:styleId="5">
    <w:name w:val="Normal Indent"/>
    <w:basedOn w:val="1"/>
    <w:uiPriority w:val="0"/>
    <w:pPr>
      <w:adjustRightInd w:val="0"/>
      <w:spacing w:line="360" w:lineRule="atLeast"/>
      <w:ind w:firstLine="420" w:firstLineChars="200"/>
      <w:jc w:val="left"/>
      <w:textAlignment w:val="baseline"/>
    </w:pPr>
    <w:rPr>
      <w:kern w:val="0"/>
      <w:sz w:val="24"/>
    </w:rPr>
  </w:style>
  <w:style w:type="paragraph" w:styleId="7">
    <w:name w:val="Body Text Indent"/>
    <w:basedOn w:val="1"/>
    <w:qFormat/>
    <w:uiPriority w:val="0"/>
    <w:pPr>
      <w:spacing w:line="360" w:lineRule="auto"/>
      <w:ind w:firstLine="359" w:firstLineChars="171"/>
    </w:pPr>
  </w:style>
  <w:style w:type="paragraph" w:styleId="8">
    <w:name w:val="Balloon Text"/>
    <w:basedOn w:val="1"/>
    <w:link w:val="22"/>
    <w:semiHidden/>
    <w:unhideWhenUsed/>
    <w:uiPriority w:val="99"/>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adjustRightInd w:val="0"/>
      <w:spacing w:line="360" w:lineRule="atLeast"/>
      <w:ind w:firstLine="643"/>
    </w:pPr>
    <w:rPr>
      <w:rFonts w:ascii="黑体" w:hAnsi="宋体" w:eastAsia="黑体"/>
      <w:bCs/>
      <w:kern w:val="0"/>
      <w:sz w:val="32"/>
      <w:szCs w:val="52"/>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nhideWhenUsed/>
    <w:qFormat/>
    <w:uiPriority w:val="99"/>
  </w:style>
  <w:style w:type="paragraph" w:customStyle="1" w:styleId="16">
    <w:name w:val="段"/>
    <w:link w:val="21"/>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一级条标题 Char"/>
    <w:basedOn w:val="14"/>
    <w:link w:val="18"/>
    <w:qFormat/>
    <w:locked/>
    <w:uiPriority w:val="0"/>
    <w:rPr>
      <w:rFonts w:ascii="黑体" w:eastAsia="黑体"/>
      <w:sz w:val="21"/>
    </w:rPr>
  </w:style>
  <w:style w:type="paragraph" w:customStyle="1" w:styleId="18">
    <w:name w:val="一级条标题"/>
    <w:next w:val="1"/>
    <w:link w:val="17"/>
    <w:qFormat/>
    <w:uiPriority w:val="0"/>
    <w:pPr>
      <w:tabs>
        <w:tab w:val="left" w:pos="360"/>
      </w:tabs>
      <w:outlineLvl w:val="2"/>
    </w:pPr>
    <w:rPr>
      <w:rFonts w:ascii="黑体" w:hAnsi="Times New Roman" w:eastAsia="黑体" w:cs="Times New Roman"/>
      <w:sz w:val="21"/>
      <w:lang w:val="en-US" w:eastAsia="zh-CN" w:bidi="ar-SA"/>
    </w:rPr>
  </w:style>
  <w:style w:type="paragraph" w:styleId="19">
    <w:name w:val="List Paragraph"/>
    <w:basedOn w:val="1"/>
    <w:link w:val="20"/>
    <w:qFormat/>
    <w:uiPriority w:val="34"/>
    <w:pPr>
      <w:ind w:firstLine="420" w:firstLineChars="200"/>
    </w:pPr>
    <w:rPr>
      <w:szCs w:val="24"/>
    </w:rPr>
  </w:style>
  <w:style w:type="character" w:customStyle="1" w:styleId="20">
    <w:name w:val="列出段落 Char"/>
    <w:basedOn w:val="14"/>
    <w:link w:val="19"/>
    <w:qFormat/>
    <w:uiPriority w:val="34"/>
    <w:rPr>
      <w:kern w:val="2"/>
      <w:sz w:val="21"/>
      <w:szCs w:val="24"/>
    </w:rPr>
  </w:style>
  <w:style w:type="character" w:customStyle="1" w:styleId="21">
    <w:name w:val="段 Char"/>
    <w:link w:val="16"/>
    <w:qFormat/>
    <w:uiPriority w:val="0"/>
    <w:rPr>
      <w:rFonts w:ascii="宋体"/>
      <w:sz w:val="21"/>
    </w:rPr>
  </w:style>
  <w:style w:type="character" w:customStyle="1" w:styleId="22">
    <w:name w:val="批注框文本 Char"/>
    <w:basedOn w:val="14"/>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6804461942257"/>
          <c:y val="0.0264005540974045"/>
          <c:w val="0.78787510936133"/>
          <c:h val="0.827141294838146"/>
        </c:manualLayout>
      </c:layout>
      <c:barChart>
        <c:barDir val="col"/>
        <c:grouping val="clustered"/>
        <c:varyColors val="0"/>
        <c:ser>
          <c:idx val="0"/>
          <c:order val="0"/>
          <c:tx>
            <c:strRef>
              <c:f>Sheet1!$F$5</c:f>
              <c:strCache>
                <c:ptCount val="1"/>
                <c:pt idx="0">
                  <c:v>频数</c:v>
                </c:pt>
              </c:strCache>
            </c:strRef>
          </c:tx>
          <c:invertIfNegative val="0"/>
          <c:dLbls>
            <c:delete val="1"/>
          </c:dLbls>
          <c:cat>
            <c:strRef>
              <c:f>Sheet1!$E$6:$E$12</c:f>
              <c:strCache>
                <c:ptCount val="7"/>
                <c:pt idx="0">
                  <c:v>-0.1</c:v>
                </c:pt>
                <c:pt idx="1">
                  <c:v>0～+0.10</c:v>
                </c:pt>
                <c:pt idx="2">
                  <c:v>+0.10 ～ +0.20</c:v>
                </c:pt>
                <c:pt idx="3">
                  <c:v>+0.20 ～+0.30</c:v>
                </c:pt>
                <c:pt idx="4">
                  <c:v>+0.30 ～ +0.40</c:v>
                </c:pt>
                <c:pt idx="5">
                  <c:v>+0.40～  +0.50</c:v>
                </c:pt>
                <c:pt idx="6">
                  <c:v>+0.50 ～ +0.60</c:v>
                </c:pt>
              </c:strCache>
            </c:strRef>
          </c:cat>
          <c:val>
            <c:numRef>
              <c:f>Sheet1!$F$6:$F$12</c:f>
              <c:numCache>
                <c:formatCode>General</c:formatCode>
                <c:ptCount val="7"/>
                <c:pt idx="0">
                  <c:v>0</c:v>
                </c:pt>
                <c:pt idx="1">
                  <c:v>5</c:v>
                </c:pt>
                <c:pt idx="2">
                  <c:v>11</c:v>
                </c:pt>
                <c:pt idx="3">
                  <c:v>21</c:v>
                </c:pt>
                <c:pt idx="4">
                  <c:v>25</c:v>
                </c:pt>
                <c:pt idx="5">
                  <c:v>8</c:v>
                </c:pt>
                <c:pt idx="6">
                  <c:v>0</c:v>
                </c:pt>
              </c:numCache>
            </c:numRef>
          </c:val>
        </c:ser>
        <c:ser>
          <c:idx val="1"/>
          <c:order val="1"/>
          <c:tx>
            <c:strRef>
              <c:f>Sheet1!$G$5</c:f>
              <c:strCache>
                <c:ptCount val="1"/>
                <c:pt idx="0">
                  <c:v>频率</c:v>
                </c:pt>
              </c:strCache>
            </c:strRef>
          </c:tx>
          <c:invertIfNegative val="0"/>
          <c:dLbls>
            <c:delete val="1"/>
          </c:dLbls>
          <c:cat>
            <c:strRef>
              <c:f>Sheet1!$E$6:$E$12</c:f>
              <c:strCache>
                <c:ptCount val="7"/>
                <c:pt idx="0">
                  <c:v>-0.1</c:v>
                </c:pt>
                <c:pt idx="1">
                  <c:v>0～+0.10</c:v>
                </c:pt>
                <c:pt idx="2">
                  <c:v>+0.10 ～ +0.20</c:v>
                </c:pt>
                <c:pt idx="3">
                  <c:v>+0.20 ～+0.30</c:v>
                </c:pt>
                <c:pt idx="4">
                  <c:v>+0.30 ～ +0.40</c:v>
                </c:pt>
                <c:pt idx="5">
                  <c:v>+0.40～  +0.50</c:v>
                </c:pt>
                <c:pt idx="6">
                  <c:v>+0.50 ～ +0.60</c:v>
                </c:pt>
              </c:strCache>
            </c:strRef>
          </c:cat>
          <c:val>
            <c:numRef>
              <c:f>Sheet1!$G$6:$G$12</c:f>
              <c:numCache>
                <c:formatCode>General</c:formatCode>
                <c:ptCount val="7"/>
                <c:pt idx="0">
                  <c:v>0</c:v>
                </c:pt>
                <c:pt idx="1" c:formatCode="0.00%">
                  <c:v>0.075</c:v>
                </c:pt>
                <c:pt idx="2" c:formatCode="0.00%">
                  <c:v>0.167</c:v>
                </c:pt>
                <c:pt idx="3" c:formatCode="0.00%">
                  <c:v>0.318</c:v>
                </c:pt>
                <c:pt idx="4" c:formatCode="0.00%">
                  <c:v>0.379</c:v>
                </c:pt>
                <c:pt idx="5" c:formatCode="0.00%">
                  <c:v>0.121</c:v>
                </c:pt>
              </c:numCache>
            </c:numRef>
          </c:val>
        </c:ser>
        <c:dLbls>
          <c:showLegendKey val="0"/>
          <c:showVal val="0"/>
          <c:showCatName val="0"/>
          <c:showSerName val="0"/>
          <c:showPercent val="0"/>
          <c:showBubbleSize val="0"/>
        </c:dLbls>
        <c:gapWidth val="150"/>
        <c:axId val="143606912"/>
        <c:axId val="143608832"/>
      </c:barChart>
      <c:catAx>
        <c:axId val="1436069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608832"/>
        <c:crosses val="autoZero"/>
        <c:auto val="1"/>
        <c:lblAlgn val="ctr"/>
        <c:lblOffset val="100"/>
        <c:noMultiLvlLbl val="0"/>
      </c:catAx>
      <c:valAx>
        <c:axId val="143608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6069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Sheet1!$F$36</c:f>
              <c:strCache>
                <c:ptCount val="1"/>
                <c:pt idx="0">
                  <c:v>频数</c:v>
                </c:pt>
              </c:strCache>
            </c:strRef>
          </c:tx>
          <c:invertIfNegative val="0"/>
          <c:dLbls>
            <c:delete val="1"/>
          </c:dLbls>
          <c:cat>
            <c:strRef>
              <c:f>Sheet1!$E$37:$E$43</c:f>
              <c:strCache>
                <c:ptCount val="7"/>
                <c:pt idx="0">
                  <c:v>-0.1</c:v>
                </c:pt>
                <c:pt idx="1">
                  <c:v>0～+0.10</c:v>
                </c:pt>
                <c:pt idx="2">
                  <c:v>+0.10 ～ +0.20</c:v>
                </c:pt>
                <c:pt idx="3">
                  <c:v>+0.20 ～+0.30</c:v>
                </c:pt>
                <c:pt idx="4">
                  <c:v>+0.30 ～ +0.40</c:v>
                </c:pt>
                <c:pt idx="5">
                  <c:v>+0.40～  +0.50</c:v>
                </c:pt>
                <c:pt idx="6">
                  <c:v>+0.50 ～ +0.60</c:v>
                </c:pt>
              </c:strCache>
            </c:strRef>
          </c:cat>
          <c:val>
            <c:numRef>
              <c:f>Sheet1!$F$37:$F$43</c:f>
              <c:numCache>
                <c:formatCode>General</c:formatCode>
                <c:ptCount val="7"/>
                <c:pt idx="0">
                  <c:v>0</c:v>
                </c:pt>
                <c:pt idx="1">
                  <c:v>1</c:v>
                </c:pt>
                <c:pt idx="2">
                  <c:v>33</c:v>
                </c:pt>
                <c:pt idx="3">
                  <c:v>22</c:v>
                </c:pt>
                <c:pt idx="4">
                  <c:v>6</c:v>
                </c:pt>
                <c:pt idx="5">
                  <c:v>4</c:v>
                </c:pt>
                <c:pt idx="6">
                  <c:v>0</c:v>
                </c:pt>
              </c:numCache>
            </c:numRef>
          </c:val>
        </c:ser>
        <c:ser>
          <c:idx val="1"/>
          <c:order val="1"/>
          <c:tx>
            <c:strRef>
              <c:f>Sheet1!$G$36</c:f>
              <c:strCache>
                <c:ptCount val="1"/>
                <c:pt idx="0">
                  <c:v>频率</c:v>
                </c:pt>
              </c:strCache>
            </c:strRef>
          </c:tx>
          <c:invertIfNegative val="0"/>
          <c:dLbls>
            <c:delete val="1"/>
          </c:dLbls>
          <c:cat>
            <c:strRef>
              <c:f>Sheet1!$E$37:$E$43</c:f>
              <c:strCache>
                <c:ptCount val="7"/>
                <c:pt idx="0">
                  <c:v>-0.1</c:v>
                </c:pt>
                <c:pt idx="1">
                  <c:v>0～+0.10</c:v>
                </c:pt>
                <c:pt idx="2">
                  <c:v>+0.10 ～ +0.20</c:v>
                </c:pt>
                <c:pt idx="3">
                  <c:v>+0.20 ～+0.30</c:v>
                </c:pt>
                <c:pt idx="4">
                  <c:v>+0.30 ～ +0.40</c:v>
                </c:pt>
                <c:pt idx="5">
                  <c:v>+0.40～  +0.50</c:v>
                </c:pt>
                <c:pt idx="6">
                  <c:v>+0.50 ～ +0.60</c:v>
                </c:pt>
              </c:strCache>
            </c:strRef>
          </c:cat>
          <c:val>
            <c:numRef>
              <c:f>Sheet1!$G$37:$G$43</c:f>
              <c:numCache>
                <c:formatCode>General</c:formatCode>
                <c:ptCount val="7"/>
                <c:pt idx="0">
                  <c:v>0</c:v>
                </c:pt>
                <c:pt idx="1" c:formatCode="0.00%">
                  <c:v>0.015</c:v>
                </c:pt>
                <c:pt idx="2" c:formatCode="0%">
                  <c:v>0.5</c:v>
                </c:pt>
                <c:pt idx="3" c:formatCode="0.00%">
                  <c:v>0.333000000000001</c:v>
                </c:pt>
                <c:pt idx="4" c:formatCode="0.00%">
                  <c:v>0.09</c:v>
                </c:pt>
                <c:pt idx="5" c:formatCode="0.00%">
                  <c:v>0.06</c:v>
                </c:pt>
                <c:pt idx="6">
                  <c:v>0</c:v>
                </c:pt>
              </c:numCache>
            </c:numRef>
          </c:val>
        </c:ser>
        <c:dLbls>
          <c:showLegendKey val="0"/>
          <c:showVal val="0"/>
          <c:showCatName val="0"/>
          <c:showSerName val="0"/>
          <c:showPercent val="0"/>
          <c:showBubbleSize val="0"/>
        </c:dLbls>
        <c:gapWidth val="150"/>
        <c:axId val="143846784"/>
        <c:axId val="144037760"/>
      </c:barChart>
      <c:catAx>
        <c:axId val="1438467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037760"/>
        <c:crosses val="autoZero"/>
        <c:auto val="1"/>
        <c:lblAlgn val="ctr"/>
        <c:lblOffset val="100"/>
        <c:noMultiLvlLbl val="0"/>
      </c:catAx>
      <c:valAx>
        <c:axId val="1440377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8467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Sheet1!$F$72</c:f>
              <c:strCache>
                <c:ptCount val="1"/>
                <c:pt idx="0">
                  <c:v>频数</c:v>
                </c:pt>
              </c:strCache>
            </c:strRef>
          </c:tx>
          <c:invertIfNegative val="0"/>
          <c:dLbls>
            <c:delete val="1"/>
          </c:dLbls>
          <c:cat>
            <c:strRef>
              <c:f>Sheet1!$E$73:$E$80</c:f>
              <c:strCache>
                <c:ptCount val="8"/>
                <c:pt idx="0">
                  <c:v>[410  420]</c:v>
                </c:pt>
                <c:pt idx="1">
                  <c:v>[420  430]</c:v>
                </c:pt>
                <c:pt idx="2">
                  <c:v>[430  440]</c:v>
                </c:pt>
                <c:pt idx="3">
                  <c:v>[440 450]</c:v>
                </c:pt>
                <c:pt idx="4">
                  <c:v>[450  460]</c:v>
                </c:pt>
                <c:pt idx="5">
                  <c:v>[460 470]</c:v>
                </c:pt>
                <c:pt idx="6">
                  <c:v>[480  490]</c:v>
                </c:pt>
                <c:pt idx="7">
                  <c:v>[490 500]</c:v>
                </c:pt>
              </c:strCache>
            </c:strRef>
          </c:cat>
          <c:val>
            <c:numRef>
              <c:f>Sheet1!$F$73:$F$80</c:f>
              <c:numCache>
                <c:formatCode>General</c:formatCode>
                <c:ptCount val="8"/>
                <c:pt idx="0">
                  <c:v>1</c:v>
                </c:pt>
                <c:pt idx="1">
                  <c:v>0</c:v>
                </c:pt>
                <c:pt idx="2">
                  <c:v>1</c:v>
                </c:pt>
                <c:pt idx="3">
                  <c:v>4</c:v>
                </c:pt>
                <c:pt idx="4">
                  <c:v>7</c:v>
                </c:pt>
                <c:pt idx="5">
                  <c:v>4</c:v>
                </c:pt>
                <c:pt idx="6">
                  <c:v>1</c:v>
                </c:pt>
                <c:pt idx="7">
                  <c:v>1</c:v>
                </c:pt>
              </c:numCache>
            </c:numRef>
          </c:val>
        </c:ser>
        <c:ser>
          <c:idx val="1"/>
          <c:order val="1"/>
          <c:tx>
            <c:strRef>
              <c:f>Sheet1!$G$72</c:f>
              <c:strCache>
                <c:ptCount val="1"/>
                <c:pt idx="0">
                  <c:v>频率</c:v>
                </c:pt>
              </c:strCache>
            </c:strRef>
          </c:tx>
          <c:invertIfNegative val="0"/>
          <c:dLbls>
            <c:delete val="1"/>
          </c:dLbls>
          <c:cat>
            <c:strRef>
              <c:f>Sheet1!$E$73:$E$80</c:f>
              <c:strCache>
                <c:ptCount val="8"/>
                <c:pt idx="0">
                  <c:v>[410  420]</c:v>
                </c:pt>
                <c:pt idx="1">
                  <c:v>[420  430]</c:v>
                </c:pt>
                <c:pt idx="2">
                  <c:v>[430  440]</c:v>
                </c:pt>
                <c:pt idx="3">
                  <c:v>[440 450]</c:v>
                </c:pt>
                <c:pt idx="4">
                  <c:v>[450  460]</c:v>
                </c:pt>
                <c:pt idx="5">
                  <c:v>[460 470]</c:v>
                </c:pt>
                <c:pt idx="6">
                  <c:v>[480  490]</c:v>
                </c:pt>
                <c:pt idx="7">
                  <c:v>[490 500]</c:v>
                </c:pt>
              </c:strCache>
            </c:strRef>
          </c:cat>
          <c:val>
            <c:numRef>
              <c:f>Sheet1!$G$73:$G$80</c:f>
              <c:numCache>
                <c:formatCode>0.00%</c:formatCode>
                <c:ptCount val="8"/>
                <c:pt idx="0">
                  <c:v>0.053</c:v>
                </c:pt>
                <c:pt idx="1" c:formatCode="General">
                  <c:v>0</c:v>
                </c:pt>
                <c:pt idx="2">
                  <c:v>0.053</c:v>
                </c:pt>
                <c:pt idx="3">
                  <c:v>0.211</c:v>
                </c:pt>
                <c:pt idx="4">
                  <c:v>0.368</c:v>
                </c:pt>
                <c:pt idx="5">
                  <c:v>0.211</c:v>
                </c:pt>
                <c:pt idx="6">
                  <c:v>0.053</c:v>
                </c:pt>
                <c:pt idx="7">
                  <c:v>0.053</c:v>
                </c:pt>
              </c:numCache>
            </c:numRef>
          </c:val>
        </c:ser>
        <c:dLbls>
          <c:showLegendKey val="0"/>
          <c:showVal val="0"/>
          <c:showCatName val="0"/>
          <c:showSerName val="0"/>
          <c:showPercent val="0"/>
          <c:showBubbleSize val="0"/>
        </c:dLbls>
        <c:gapWidth val="150"/>
        <c:overlap val="100"/>
        <c:axId val="144267136"/>
        <c:axId val="144330752"/>
      </c:barChart>
      <c:catAx>
        <c:axId val="144267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330752"/>
        <c:crosses val="autoZero"/>
        <c:auto val="1"/>
        <c:lblAlgn val="ctr"/>
        <c:lblOffset val="100"/>
        <c:noMultiLvlLbl val="0"/>
      </c:catAx>
      <c:valAx>
        <c:axId val="1443307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2671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Sheet1!$F$113</c:f>
              <c:strCache>
                <c:ptCount val="1"/>
                <c:pt idx="0">
                  <c:v>频数</c:v>
                </c:pt>
              </c:strCache>
            </c:strRef>
          </c:tx>
          <c:invertIfNegative val="0"/>
          <c:dLbls>
            <c:delete val="1"/>
          </c:dLbls>
          <c:cat>
            <c:strRef>
              <c:f>Sheet1!$E$114:$E$119</c:f>
              <c:strCache>
                <c:ptCount val="6"/>
                <c:pt idx="0">
                  <c:v>[40  45]</c:v>
                </c:pt>
                <c:pt idx="1">
                  <c:v>[45  50]</c:v>
                </c:pt>
                <c:pt idx="2">
                  <c:v>[50  55]</c:v>
                </c:pt>
                <c:pt idx="3">
                  <c:v>[55  60]</c:v>
                </c:pt>
                <c:pt idx="4">
                  <c:v>[60  65]</c:v>
                </c:pt>
                <c:pt idx="5">
                  <c:v>[65  70]</c:v>
                </c:pt>
              </c:strCache>
            </c:strRef>
          </c:cat>
          <c:val>
            <c:numRef>
              <c:f>Sheet1!$F$114:$F$119</c:f>
              <c:numCache>
                <c:formatCode>General</c:formatCode>
                <c:ptCount val="6"/>
                <c:pt idx="0">
                  <c:v>1</c:v>
                </c:pt>
                <c:pt idx="1">
                  <c:v>0</c:v>
                </c:pt>
                <c:pt idx="2">
                  <c:v>3</c:v>
                </c:pt>
                <c:pt idx="3">
                  <c:v>1</c:v>
                </c:pt>
                <c:pt idx="4">
                  <c:v>9</c:v>
                </c:pt>
                <c:pt idx="5">
                  <c:v>5</c:v>
                </c:pt>
              </c:numCache>
            </c:numRef>
          </c:val>
        </c:ser>
        <c:ser>
          <c:idx val="1"/>
          <c:order val="1"/>
          <c:tx>
            <c:strRef>
              <c:f>Sheet1!$G$113</c:f>
              <c:strCache>
                <c:ptCount val="1"/>
                <c:pt idx="0">
                  <c:v>频率</c:v>
                </c:pt>
              </c:strCache>
            </c:strRef>
          </c:tx>
          <c:invertIfNegative val="0"/>
          <c:dLbls>
            <c:delete val="1"/>
          </c:dLbls>
          <c:cat>
            <c:strRef>
              <c:f>Sheet1!$E$114:$E$119</c:f>
              <c:strCache>
                <c:ptCount val="6"/>
                <c:pt idx="0">
                  <c:v>[40  45]</c:v>
                </c:pt>
                <c:pt idx="1">
                  <c:v>[45  50]</c:v>
                </c:pt>
                <c:pt idx="2">
                  <c:v>[50  55]</c:v>
                </c:pt>
                <c:pt idx="3">
                  <c:v>[55  60]</c:v>
                </c:pt>
                <c:pt idx="4">
                  <c:v>[60  65]</c:v>
                </c:pt>
                <c:pt idx="5">
                  <c:v>[65  70]</c:v>
                </c:pt>
              </c:strCache>
            </c:strRef>
          </c:cat>
          <c:val>
            <c:numRef>
              <c:f>Sheet1!$G$114:$G$119</c:f>
              <c:numCache>
                <c:formatCode>0.00%</c:formatCode>
                <c:ptCount val="6"/>
                <c:pt idx="0">
                  <c:v>0.053</c:v>
                </c:pt>
                <c:pt idx="1" c:formatCode="General">
                  <c:v>0</c:v>
                </c:pt>
                <c:pt idx="2">
                  <c:v>0.158</c:v>
                </c:pt>
                <c:pt idx="3">
                  <c:v>0.053</c:v>
                </c:pt>
                <c:pt idx="4">
                  <c:v>0.474</c:v>
                </c:pt>
                <c:pt idx="5">
                  <c:v>0.263</c:v>
                </c:pt>
              </c:numCache>
            </c:numRef>
          </c:val>
        </c:ser>
        <c:dLbls>
          <c:showLegendKey val="0"/>
          <c:showVal val="0"/>
          <c:showCatName val="0"/>
          <c:showSerName val="0"/>
          <c:showPercent val="0"/>
          <c:showBubbleSize val="0"/>
        </c:dLbls>
        <c:gapWidth val="150"/>
        <c:overlap val="100"/>
        <c:axId val="146500608"/>
        <c:axId val="146504320"/>
      </c:barChart>
      <c:catAx>
        <c:axId val="1465006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504320"/>
        <c:crosses val="autoZero"/>
        <c:auto val="1"/>
        <c:lblAlgn val="ctr"/>
        <c:lblOffset val="100"/>
        <c:noMultiLvlLbl val="0"/>
      </c:catAx>
      <c:valAx>
        <c:axId val="146504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5006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Sheet1!$E$147</c:f>
              <c:strCache>
                <c:ptCount val="1"/>
                <c:pt idx="0">
                  <c:v>频数</c:v>
                </c:pt>
              </c:strCache>
            </c:strRef>
          </c:tx>
          <c:invertIfNegative val="0"/>
          <c:dLbls>
            <c:delete val="1"/>
          </c:dLbls>
          <c:cat>
            <c:strRef>
              <c:f>Sheet1!$D$148:$D$155</c:f>
              <c:strCache>
                <c:ptCount val="8"/>
                <c:pt idx="0">
                  <c:v>[340  350]</c:v>
                </c:pt>
                <c:pt idx="1">
                  <c:v>[350  360]</c:v>
                </c:pt>
                <c:pt idx="2">
                  <c:v>[360  370]</c:v>
                </c:pt>
                <c:pt idx="3">
                  <c:v>[370 380]</c:v>
                </c:pt>
                <c:pt idx="4">
                  <c:v>[380 390]</c:v>
                </c:pt>
                <c:pt idx="5">
                  <c:v>[390 400]</c:v>
                </c:pt>
                <c:pt idx="6">
                  <c:v>[400  410]</c:v>
                </c:pt>
                <c:pt idx="7">
                  <c:v>[420 450]</c:v>
                </c:pt>
              </c:strCache>
            </c:strRef>
          </c:cat>
          <c:val>
            <c:numRef>
              <c:f>Sheet1!$E$148:$E$155</c:f>
              <c:numCache>
                <c:formatCode>General</c:formatCode>
                <c:ptCount val="8"/>
                <c:pt idx="0">
                  <c:v>1</c:v>
                </c:pt>
                <c:pt idx="1">
                  <c:v>4</c:v>
                </c:pt>
                <c:pt idx="2">
                  <c:v>4</c:v>
                </c:pt>
                <c:pt idx="3">
                  <c:v>1</c:v>
                </c:pt>
                <c:pt idx="4">
                  <c:v>3</c:v>
                </c:pt>
                <c:pt idx="5">
                  <c:v>2</c:v>
                </c:pt>
                <c:pt idx="6">
                  <c:v>2</c:v>
                </c:pt>
                <c:pt idx="7">
                  <c:v>2</c:v>
                </c:pt>
              </c:numCache>
            </c:numRef>
          </c:val>
        </c:ser>
        <c:ser>
          <c:idx val="1"/>
          <c:order val="1"/>
          <c:tx>
            <c:strRef>
              <c:f>Sheet1!$F$147</c:f>
              <c:strCache>
                <c:ptCount val="1"/>
                <c:pt idx="0">
                  <c:v>频率</c:v>
                </c:pt>
              </c:strCache>
            </c:strRef>
          </c:tx>
          <c:invertIfNegative val="0"/>
          <c:dLbls>
            <c:delete val="1"/>
          </c:dLbls>
          <c:cat>
            <c:strRef>
              <c:f>Sheet1!$D$148:$D$155</c:f>
              <c:strCache>
                <c:ptCount val="8"/>
                <c:pt idx="0">
                  <c:v>[340  350]</c:v>
                </c:pt>
                <c:pt idx="1">
                  <c:v>[350  360]</c:v>
                </c:pt>
                <c:pt idx="2">
                  <c:v>[360  370]</c:v>
                </c:pt>
                <c:pt idx="3">
                  <c:v>[370 380]</c:v>
                </c:pt>
                <c:pt idx="4">
                  <c:v>[380 390]</c:v>
                </c:pt>
                <c:pt idx="5">
                  <c:v>[390 400]</c:v>
                </c:pt>
                <c:pt idx="6">
                  <c:v>[400  410]</c:v>
                </c:pt>
                <c:pt idx="7">
                  <c:v>[420 450]</c:v>
                </c:pt>
              </c:strCache>
            </c:strRef>
          </c:cat>
          <c:val>
            <c:numRef>
              <c:f>Sheet1!$F$148:$F$155</c:f>
              <c:numCache>
                <c:formatCode>0.00%</c:formatCode>
                <c:ptCount val="8"/>
                <c:pt idx="0">
                  <c:v>0.053</c:v>
                </c:pt>
                <c:pt idx="1">
                  <c:v>0.211</c:v>
                </c:pt>
                <c:pt idx="2">
                  <c:v>0.211</c:v>
                </c:pt>
                <c:pt idx="3">
                  <c:v>0.053</c:v>
                </c:pt>
                <c:pt idx="4">
                  <c:v>0.158</c:v>
                </c:pt>
                <c:pt idx="5">
                  <c:v>0.105</c:v>
                </c:pt>
                <c:pt idx="6">
                  <c:v>0.105</c:v>
                </c:pt>
                <c:pt idx="7">
                  <c:v>0.105</c:v>
                </c:pt>
              </c:numCache>
            </c:numRef>
          </c:val>
        </c:ser>
        <c:dLbls>
          <c:showLegendKey val="0"/>
          <c:showVal val="0"/>
          <c:showCatName val="0"/>
          <c:showSerName val="0"/>
          <c:showPercent val="0"/>
          <c:showBubbleSize val="0"/>
        </c:dLbls>
        <c:gapWidth val="150"/>
        <c:overlap val="100"/>
        <c:axId val="170798464"/>
        <c:axId val="172131840"/>
      </c:barChart>
      <c:catAx>
        <c:axId val="1707984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131840"/>
        <c:crosses val="autoZero"/>
        <c:auto val="1"/>
        <c:lblAlgn val="ctr"/>
        <c:lblOffset val="100"/>
        <c:noMultiLvlLbl val="0"/>
      </c:catAx>
      <c:valAx>
        <c:axId val="172131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07984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Sheet1!$E$202</c:f>
              <c:strCache>
                <c:ptCount val="1"/>
                <c:pt idx="0">
                  <c:v>频数</c:v>
                </c:pt>
              </c:strCache>
            </c:strRef>
          </c:tx>
          <c:invertIfNegative val="0"/>
          <c:dLbls>
            <c:delete val="1"/>
          </c:dLbls>
          <c:cat>
            <c:strRef>
              <c:f>Sheet1!$D$203:$D$207</c:f>
              <c:strCache>
                <c:ptCount val="5"/>
                <c:pt idx="0">
                  <c:v>[25  30]</c:v>
                </c:pt>
                <c:pt idx="1">
                  <c:v>[30  35]</c:v>
                </c:pt>
                <c:pt idx="2">
                  <c:v>[35  40]</c:v>
                </c:pt>
                <c:pt idx="3">
                  <c:v>[40  45]</c:v>
                </c:pt>
                <c:pt idx="4">
                  <c:v>[45  50]</c:v>
                </c:pt>
              </c:strCache>
            </c:strRef>
          </c:cat>
          <c:val>
            <c:numRef>
              <c:f>Sheet1!$E$203:$E$207</c:f>
              <c:numCache>
                <c:formatCode>General</c:formatCode>
                <c:ptCount val="5"/>
                <c:pt idx="0">
                  <c:v>2</c:v>
                </c:pt>
                <c:pt idx="1">
                  <c:v>2</c:v>
                </c:pt>
                <c:pt idx="2">
                  <c:v>6</c:v>
                </c:pt>
                <c:pt idx="3">
                  <c:v>7</c:v>
                </c:pt>
                <c:pt idx="4">
                  <c:v>2</c:v>
                </c:pt>
              </c:numCache>
            </c:numRef>
          </c:val>
        </c:ser>
        <c:ser>
          <c:idx val="1"/>
          <c:order val="1"/>
          <c:tx>
            <c:strRef>
              <c:f>Sheet1!$F$202</c:f>
              <c:strCache>
                <c:ptCount val="1"/>
                <c:pt idx="0">
                  <c:v>频率</c:v>
                </c:pt>
              </c:strCache>
            </c:strRef>
          </c:tx>
          <c:invertIfNegative val="0"/>
          <c:dLbls>
            <c:delete val="1"/>
          </c:dLbls>
          <c:cat>
            <c:strRef>
              <c:f>Sheet1!$D$203:$D$207</c:f>
              <c:strCache>
                <c:ptCount val="5"/>
                <c:pt idx="0">
                  <c:v>[25  30]</c:v>
                </c:pt>
                <c:pt idx="1">
                  <c:v>[30  35]</c:v>
                </c:pt>
                <c:pt idx="2">
                  <c:v>[35  40]</c:v>
                </c:pt>
                <c:pt idx="3">
                  <c:v>[40  45]</c:v>
                </c:pt>
                <c:pt idx="4">
                  <c:v>[45  50]</c:v>
                </c:pt>
              </c:strCache>
            </c:strRef>
          </c:cat>
          <c:val>
            <c:numRef>
              <c:f>Sheet1!$F$203:$F$207</c:f>
              <c:numCache>
                <c:formatCode>0.00%</c:formatCode>
                <c:ptCount val="5"/>
                <c:pt idx="0">
                  <c:v>0.105</c:v>
                </c:pt>
                <c:pt idx="1">
                  <c:v>0.105</c:v>
                </c:pt>
                <c:pt idx="2">
                  <c:v>0.316</c:v>
                </c:pt>
                <c:pt idx="3">
                  <c:v>0.368</c:v>
                </c:pt>
                <c:pt idx="4">
                  <c:v>0.105</c:v>
                </c:pt>
              </c:numCache>
            </c:numRef>
          </c:val>
        </c:ser>
        <c:dLbls>
          <c:showLegendKey val="0"/>
          <c:showVal val="0"/>
          <c:showCatName val="0"/>
          <c:showSerName val="0"/>
          <c:showPercent val="0"/>
          <c:showBubbleSize val="0"/>
        </c:dLbls>
        <c:gapWidth val="150"/>
        <c:overlap val="100"/>
        <c:axId val="172326272"/>
        <c:axId val="172348928"/>
      </c:barChart>
      <c:catAx>
        <c:axId val="1723262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348928"/>
        <c:crosses val="autoZero"/>
        <c:auto val="1"/>
        <c:lblAlgn val="ctr"/>
        <c:lblOffset val="100"/>
        <c:noMultiLvlLbl val="0"/>
      </c:catAx>
      <c:valAx>
        <c:axId val="1723489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3262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4503</Words>
  <Characters>6600</Characters>
  <Lines>54</Lines>
  <Paragraphs>15</Paragraphs>
  <TotalTime>4</TotalTime>
  <ScaleCrop>false</ScaleCrop>
  <LinksUpToDate>false</LinksUpToDate>
  <CharactersWithSpaces>6930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2021-03-13T02:23:00Z</dcterms:created>
  <dc:creator>Administrator</dc:creator>
  <cp:lastModifiedBy>杨丽娟</cp:lastModifiedBy>
  <dcterms:modified xsi:type="dcterms:W3CDTF">2022-07-07T02:28:14Z</dcterms:modified>
  <dc:title>行业标准《精密模具材料用铜合金棒材》（讨论稿）</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73277E4439694FC28853E6EEF49C397E</vt:lpwstr>
  </property>
</Properties>
</file>