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1"/>
        </w:rPr>
      </w:pPr>
      <w:r>
        <w:rPr>
          <w:rFonts w:hint="eastAsia"/>
          <w:b/>
          <w:color w:val="auto"/>
          <w:sz w:val="31"/>
        </w:rPr>
        <w:t>《</w:t>
      </w:r>
      <w:r>
        <w:rPr>
          <w:rFonts w:hint="eastAsia"/>
          <w:b/>
          <w:color w:val="auto"/>
          <w:sz w:val="31"/>
          <w:lang w:val="en-US" w:eastAsia="zh-CN"/>
        </w:rPr>
        <w:t>海水装置用铜合金无缝管</w:t>
      </w:r>
      <w:r>
        <w:rPr>
          <w:rFonts w:hint="eastAsia"/>
          <w:b/>
          <w:color w:val="auto"/>
          <w:sz w:val="31"/>
        </w:rPr>
        <w:t>》</w:t>
      </w:r>
      <w:r>
        <w:rPr>
          <w:rFonts w:hint="eastAsia"/>
          <w:b/>
          <w:color w:val="auto"/>
          <w:sz w:val="31"/>
          <w:lang w:val="en-US" w:eastAsia="zh-CN"/>
        </w:rPr>
        <w:t>国家</w:t>
      </w:r>
      <w:r>
        <w:rPr>
          <w:rFonts w:hint="eastAsia"/>
          <w:b/>
          <w:color w:val="auto"/>
          <w:sz w:val="28"/>
          <w:szCs w:val="28"/>
        </w:rPr>
        <w:t>标准</w:t>
      </w:r>
    </w:p>
    <w:p>
      <w:pPr>
        <w:spacing w:after="156" w:afterLines="50" w:line="240" w:lineRule="atLeast"/>
        <w:jc w:val="center"/>
        <w:rPr>
          <w:rFonts w:ascii="宋体" w:hAnsi="宋体"/>
          <w:b/>
          <w:color w:val="auto"/>
          <w:sz w:val="28"/>
          <w:szCs w:val="28"/>
        </w:rPr>
      </w:pPr>
      <w:r>
        <w:rPr>
          <w:rFonts w:hint="eastAsia"/>
          <w:b/>
          <w:color w:val="auto"/>
          <w:sz w:val="28"/>
          <w:szCs w:val="28"/>
        </w:rPr>
        <w:t>（</w:t>
      </w:r>
      <w:r>
        <w:rPr>
          <w:rFonts w:hint="eastAsia" w:ascii="宋体" w:hAnsi="宋体"/>
          <w:b/>
          <w:color w:val="auto"/>
          <w:kern w:val="0"/>
          <w:sz w:val="28"/>
          <w:szCs w:val="28"/>
          <w:lang w:val="en-US" w:eastAsia="zh-CN"/>
        </w:rPr>
        <w:t>送审</w:t>
      </w:r>
      <w:r>
        <w:rPr>
          <w:rFonts w:hint="eastAsia" w:ascii="宋体" w:hAnsi="宋体"/>
          <w:b/>
          <w:color w:val="auto"/>
          <w:kern w:val="0"/>
          <w:sz w:val="28"/>
          <w:szCs w:val="28"/>
        </w:rPr>
        <w:t>稿）</w:t>
      </w:r>
      <w:r>
        <w:rPr>
          <w:rFonts w:hint="eastAsia" w:ascii="宋体" w:hAnsi="宋体"/>
          <w:b/>
          <w:color w:val="auto"/>
          <w:sz w:val="28"/>
          <w:szCs w:val="28"/>
        </w:rPr>
        <w:t>编制说明</w:t>
      </w:r>
      <w:bookmarkStart w:id="0" w:name="_GoBack"/>
      <w:bookmarkEnd w:id="0"/>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szCs w:val="21"/>
        </w:rPr>
      </w:pPr>
      <w:r>
        <w:rPr>
          <w:rFonts w:hint="eastAsia" w:ascii="黑体" w:hAnsi="黑体" w:eastAsia="黑体"/>
          <w:color w:val="auto"/>
          <w:szCs w:val="21"/>
        </w:rPr>
        <w:t>任务来源</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根据</w:t>
      </w:r>
      <w:r>
        <w:rPr>
          <w:rFonts w:hint="eastAsia" w:ascii="宋体" w:hAnsi="宋体" w:eastAsia="宋体" w:cs="宋体"/>
          <w:color w:val="auto"/>
          <w:kern w:val="0"/>
          <w:sz w:val="21"/>
          <w:szCs w:val="21"/>
          <w:highlight w:val="none"/>
        </w:rPr>
        <w:t>国标委发[2021]19号</w:t>
      </w:r>
      <w:r>
        <w:rPr>
          <w:rFonts w:hint="eastAsia" w:ascii="宋体" w:hAnsi="宋体" w:eastAsia="宋体" w:cs="宋体"/>
          <w:color w:val="auto"/>
          <w:kern w:val="0"/>
          <w:sz w:val="21"/>
          <w:szCs w:val="21"/>
          <w:highlight w:val="none"/>
          <w:lang w:val="en-US" w:eastAsia="zh-CN"/>
        </w:rPr>
        <w:t>和</w:t>
      </w:r>
      <w:r>
        <w:rPr>
          <w:rFonts w:hint="eastAsia" w:cs="Times New Roman" w:asciiTheme="minorEastAsia" w:hAnsiTheme="minorEastAsia"/>
          <w:color w:val="auto"/>
          <w:kern w:val="0"/>
          <w:szCs w:val="21"/>
          <w:lang w:val="en-US" w:eastAsia="zh-CN"/>
        </w:rPr>
        <w:t>全国有色标准化技术委员会</w:t>
      </w:r>
      <w:r>
        <w:rPr>
          <w:rFonts w:hint="eastAsia" w:cs="Times New Roman" w:asciiTheme="minorEastAsia" w:hAnsiTheme="minorEastAsia"/>
          <w:color w:val="auto"/>
          <w:kern w:val="0"/>
          <w:szCs w:val="21"/>
        </w:rPr>
        <w:t>有色标委[20</w:t>
      </w:r>
      <w:r>
        <w:rPr>
          <w:rFonts w:hint="eastAsia" w:cs="Times New Roman" w:asciiTheme="minorEastAsia" w:hAnsiTheme="minorEastAsia"/>
          <w:color w:val="auto"/>
          <w:kern w:val="0"/>
          <w:szCs w:val="21"/>
          <w:lang w:val="en-US" w:eastAsia="zh-CN"/>
        </w:rPr>
        <w:t>21</w:t>
      </w:r>
      <w:r>
        <w:rPr>
          <w:rFonts w:hint="eastAsia" w:cs="Times New Roman" w:asciiTheme="minorEastAsia" w:hAnsiTheme="minorEastAsia"/>
          <w:color w:val="auto"/>
          <w:kern w:val="0"/>
          <w:szCs w:val="21"/>
        </w:rPr>
        <w:t xml:space="preserve">] </w:t>
      </w:r>
      <w:r>
        <w:rPr>
          <w:rFonts w:hint="eastAsia" w:cs="Times New Roman" w:asciiTheme="minorEastAsia" w:hAnsiTheme="minorEastAsia"/>
          <w:color w:val="auto"/>
          <w:kern w:val="0"/>
          <w:szCs w:val="21"/>
          <w:lang w:val="en-US" w:eastAsia="zh-CN"/>
        </w:rPr>
        <w:t>108</w:t>
      </w:r>
      <w:r>
        <w:rPr>
          <w:rFonts w:hint="eastAsia" w:cs="Times New Roman" w:asciiTheme="minorEastAsia" w:hAnsiTheme="minorEastAsia"/>
          <w:color w:val="auto"/>
          <w:kern w:val="0"/>
          <w:szCs w:val="21"/>
        </w:rPr>
        <w:t>号文件</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关于转发20</w:t>
      </w:r>
      <w:r>
        <w:rPr>
          <w:rFonts w:hint="eastAsia" w:cs="Times New Roman" w:asciiTheme="minorEastAsia" w:hAnsiTheme="minorEastAsia"/>
          <w:color w:val="auto"/>
          <w:kern w:val="0"/>
          <w:szCs w:val="21"/>
          <w:lang w:val="en-US" w:eastAsia="zh-CN"/>
        </w:rPr>
        <w:t>21</w:t>
      </w:r>
      <w:r>
        <w:rPr>
          <w:rFonts w:hint="eastAsia" w:cs="Times New Roman" w:asciiTheme="minorEastAsia" w:hAnsiTheme="minorEastAsia"/>
          <w:color w:val="auto"/>
          <w:kern w:val="0"/>
          <w:szCs w:val="21"/>
        </w:rPr>
        <w:t>年第二批有色金属国家、行业、协会标准制（修）订项目计划的通知</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其中</w:t>
      </w:r>
      <w:r>
        <w:rPr>
          <w:rFonts w:hint="eastAsia" w:cs="Times New Roman" w:asciiTheme="minorEastAsia" w:hAnsiTheme="minorEastAsia"/>
          <w:color w:val="auto"/>
          <w:kern w:val="0"/>
          <w:szCs w:val="21"/>
          <w:lang w:val="en-US" w:eastAsia="zh-CN"/>
        </w:rPr>
        <w:t>国家</w:t>
      </w:r>
      <w:r>
        <w:rPr>
          <w:rFonts w:hint="eastAsia" w:cs="Times New Roman" w:asciiTheme="minorEastAsia" w:hAnsiTheme="minorEastAsia"/>
          <w:color w:val="auto"/>
          <w:kern w:val="0"/>
          <w:szCs w:val="21"/>
        </w:rPr>
        <w:t>标准《</w:t>
      </w:r>
      <w:r>
        <w:rPr>
          <w:rFonts w:hint="eastAsia" w:cs="Times New Roman" w:asciiTheme="minorEastAsia" w:hAnsiTheme="minorEastAsia"/>
          <w:color w:val="auto"/>
          <w:kern w:val="0"/>
          <w:szCs w:val="21"/>
          <w:lang w:val="en-US" w:eastAsia="zh-CN"/>
        </w:rPr>
        <w:t>海水淡化装置用铜合金无缝</w:t>
      </w:r>
      <w:r>
        <w:rPr>
          <w:rFonts w:hint="eastAsia" w:cs="Times New Roman" w:asciiTheme="minorEastAsia" w:hAnsiTheme="minorEastAsia"/>
          <w:color w:val="auto"/>
          <w:kern w:val="0"/>
          <w:szCs w:val="21"/>
        </w:rPr>
        <w:t>管》（项目计划号</w:t>
      </w:r>
      <w:r>
        <w:rPr>
          <w:rFonts w:hint="eastAsia" w:cs="Times New Roman" w:asciiTheme="minorEastAsia" w:hAnsiTheme="minorEastAsia"/>
          <w:color w:val="auto"/>
          <w:kern w:val="0"/>
          <w:szCs w:val="21"/>
          <w:lang w:val="en-US" w:eastAsia="zh-CN"/>
        </w:rPr>
        <w:t>20211896-T-610</w:t>
      </w:r>
      <w:r>
        <w:rPr>
          <w:rFonts w:hint="eastAsia" w:cs="Times New Roman" w:asciiTheme="minorEastAsia" w:hAnsiTheme="minorEastAsia"/>
          <w:color w:val="auto"/>
          <w:kern w:val="0"/>
          <w:szCs w:val="21"/>
        </w:rPr>
        <w:t>），由</w:t>
      </w:r>
      <w:r>
        <w:rPr>
          <w:rFonts w:hint="eastAsia" w:ascii="宋体" w:hAnsi="宋体" w:eastAsia="宋体" w:cs="宋体"/>
          <w:i w:val="0"/>
          <w:caps w:val="0"/>
          <w:color w:val="auto"/>
          <w:spacing w:val="0"/>
          <w:sz w:val="21"/>
          <w:szCs w:val="21"/>
          <w:highlight w:val="none"/>
          <w:shd w:val="clear" w:fill="FFFFFF"/>
        </w:rPr>
        <w:t>浙江海亮股份有限公司、苏州富瑞合金科技股份有限公司、中铝洛阳铜加工有限公司</w:t>
      </w:r>
      <w:r>
        <w:rPr>
          <w:rFonts w:hint="eastAsia" w:ascii="宋体" w:hAnsi="宋体" w:eastAsia="宋体" w:cs="宋体"/>
          <w:i w:val="0"/>
          <w:caps w:val="0"/>
          <w:color w:val="auto"/>
          <w:spacing w:val="0"/>
          <w:sz w:val="21"/>
          <w:szCs w:val="21"/>
          <w:highlight w:val="none"/>
          <w:shd w:val="clear" w:fill="FFFFFF"/>
          <w:lang w:eastAsia="zh-CN"/>
        </w:rPr>
        <w:t>、</w:t>
      </w:r>
      <w:r>
        <w:rPr>
          <w:rFonts w:ascii="宋体" w:hAnsi="宋体" w:cs="宋体"/>
          <w:color w:val="auto"/>
          <w:kern w:val="0"/>
          <w:sz w:val="21"/>
          <w:szCs w:val="21"/>
        </w:rPr>
        <w:t>江阴和宏精工科技有限公司</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olor w:val="auto"/>
          <w:szCs w:val="21"/>
          <w:highlight w:val="none"/>
        </w:rPr>
        <w:t>桂林璃佳金属有限公司、绍兴市质量技术监督检测院</w:t>
      </w:r>
      <w:r>
        <w:rPr>
          <w:rFonts w:hint="eastAsia" w:cs="Times New Roman" w:asciiTheme="minorEastAsia" w:hAnsiTheme="minorEastAsia"/>
          <w:color w:val="auto"/>
          <w:kern w:val="0"/>
          <w:szCs w:val="21"/>
        </w:rPr>
        <w:t>共同起草修订，完成年限20</w:t>
      </w:r>
      <w:r>
        <w:rPr>
          <w:rFonts w:hint="eastAsia" w:cs="Times New Roman" w:asciiTheme="minorEastAsia" w:hAnsiTheme="minorEastAsia"/>
          <w:color w:val="auto"/>
          <w:kern w:val="0"/>
          <w:szCs w:val="21"/>
          <w:lang w:val="en-US" w:eastAsia="zh-CN"/>
        </w:rPr>
        <w:t>22</w:t>
      </w:r>
      <w:r>
        <w:rPr>
          <w:rFonts w:hint="eastAsia" w:cs="Times New Roman" w:asciiTheme="minorEastAsia" w:hAnsiTheme="minorEastAsia"/>
          <w:color w:val="auto"/>
          <w:kern w:val="0"/>
          <w:szCs w:val="21"/>
        </w:rPr>
        <w:t>年12月。</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szCs w:val="21"/>
        </w:rPr>
      </w:pPr>
      <w:r>
        <w:rPr>
          <w:rFonts w:hint="eastAsia" w:ascii="黑体" w:hAnsi="黑体" w:eastAsia="黑体"/>
          <w:color w:val="auto"/>
          <w:szCs w:val="21"/>
        </w:rPr>
        <w:t>工作简况</w:t>
      </w:r>
    </w:p>
    <w:p>
      <w:pPr>
        <w:pStyle w:val="28"/>
        <w:keepNext w:val="0"/>
        <w:keepLines w:val="0"/>
        <w:pageBreakBefore w:val="0"/>
        <w:widowControl w:val="0"/>
        <w:numPr>
          <w:ilvl w:val="0"/>
          <w:numId w:val="7"/>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s="Times New Roman"/>
          <w:color w:val="auto"/>
          <w:kern w:val="0"/>
          <w:szCs w:val="21"/>
        </w:rPr>
      </w:pPr>
      <w:r>
        <w:rPr>
          <w:rFonts w:hint="eastAsia" w:ascii="黑体" w:hAnsi="黑体" w:eastAsia="黑体"/>
          <w:color w:val="auto"/>
          <w:szCs w:val="21"/>
        </w:rPr>
        <w:t>立项目的和意义</w:t>
      </w:r>
      <w:r>
        <w:rPr>
          <w:rFonts w:hint="eastAsia" w:ascii="黑体" w:hAnsi="黑体" w:eastAsia="黑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cs="Times New Roman" w:asciiTheme="minorEastAsia" w:hAnsiTheme="minorEastAsia"/>
          <w:color w:val="auto"/>
          <w:kern w:val="0"/>
          <w:szCs w:val="21"/>
          <w:lang w:val="en-US" w:eastAsia="zh-CN"/>
        </w:rPr>
      </w:pPr>
      <w:r>
        <w:rPr>
          <w:rFonts w:hint="eastAsia" w:ascii="黑体" w:hAnsi="黑体" w:eastAsia="黑体" w:cstheme="minorBidi"/>
          <w:color w:val="auto"/>
          <w:kern w:val="2"/>
          <w:sz w:val="21"/>
          <w:szCs w:val="21"/>
          <w:lang w:val="en-US" w:eastAsia="zh-CN" w:bidi="ar-SA"/>
        </w:rPr>
        <w:t>2.1.1</w:t>
      </w:r>
      <w:r>
        <w:rPr>
          <w:rFonts w:hint="eastAsia" w:cs="Times New Roman" w:asciiTheme="minorEastAsia" w:hAnsiTheme="minorEastAsia"/>
          <w:color w:val="auto"/>
          <w:kern w:val="0"/>
          <w:szCs w:val="21"/>
          <w:lang w:val="en-US" w:eastAsia="zh-CN"/>
        </w:rPr>
        <w:t>当今世界淡水资源日趋匮乏。加速水资源的开发，解决淡水危机是世界各国研究的主要课题。淡化海水是实现新水源生产，缓解淡水危机的重要途径之一。海水淡化装置用铜合金无缝管是海水淡化热交换器的关键材料，由于长期在恶劣的流动海水和砂的冲刷腐蚀环境中工作，所以海水淡化装置用铜合金无缝管要求有较高的耐腐蚀性，适合海水淡化装置要求的长度及管材尺寸的精度，也是海水淡化装置用铜合金无缝管的特征之一。</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cs="Times New Roman" w:asciiTheme="minorEastAsia" w:hAnsiTheme="minorEastAsia"/>
          <w:color w:val="auto"/>
          <w:kern w:val="0"/>
          <w:szCs w:val="21"/>
          <w:lang w:val="en-US" w:eastAsia="zh-CN"/>
        </w:rPr>
        <w:t>自2009年该标准实施以来，规范了我国海水淡化装置用铜合金管材市场竞争，提升了产品质量，促进了我国海水淡化装置用铜合金管材的技术进步，增强了产品在国际市场上的竞争力。通过实施，各生产单位加大了对海水淡化管的生产研发，现我国的生产技术已经由熔铸→热挤压→（冷轧）→冷拉这一传统三段式生产方法，提升为以“电磁搅拌水平连铸+游动芯棒多辊行星冷轧+冷拉“的高效短流程工艺路线，实现了海水淡化管的高效短流程制备，起到节能降耗、减少污染物排放的目的，增强了我国海水淡化管的综合市场竞争力。</w:t>
      </w:r>
    </w:p>
    <w:p>
      <w:pPr>
        <w:spacing w:line="300" w:lineRule="auto"/>
        <w:ind w:firstLine="420" w:firstLineChars="200"/>
        <w:rPr>
          <w:rFonts w:hint="default" w:cs="Times New Roman" w:asciiTheme="minorEastAsia" w:hAnsiTheme="minorEastAsia"/>
          <w:color w:val="auto"/>
          <w:kern w:val="0"/>
          <w:szCs w:val="21"/>
          <w:lang w:val="en-US" w:eastAsia="zh-CN"/>
        </w:rPr>
      </w:pPr>
      <w:r>
        <w:rPr>
          <w:rFonts w:hint="eastAsia" w:cs="Times New Roman" w:asciiTheme="minorEastAsia" w:hAnsiTheme="minorEastAsia"/>
          <w:color w:val="auto"/>
          <w:kern w:val="0"/>
          <w:szCs w:val="21"/>
          <w:lang w:val="en-US" w:eastAsia="zh-CN"/>
        </w:rPr>
        <w:t>该标准经中铝洛铜、浙江星鹏、江阴和宏、桂林漓佳、浙江海亮等国内知名企业应用，耐蚀铜合金管产品质量稳步提升，产品受到国内外客户的青睐，订单量不断增加。分别应用于韩国大龙、DOONSAN、法国MALECKI、SIDEM等知名客户，经试用，该产品性能稳定，使用寿命长，为客户节约了大量维修和更替管材费用。各单位于2010年实施该标准至今，累计销售约20万吨，实现收入180亿元，利润16亿元，税收6亿元。且节能降耗效果显著，现能耗水平400 kgce/t，比2008年的600 kgce/t降低了200 kgce/t，金属消耗1023kg/t，比行业水平1100.76kg/t降低77.76kg/t。 以生产20万吨管材为例，折合节约电32500万度，节省金属消耗Cu 12219t，Zn 3333t ，（以HAl77-2为例）。目前，我国生产的海水淡化管约占世界销售量的80%，生产技术已处于国际先进水平。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cs="Times New Roman" w:asciiTheme="minorEastAsia" w:hAnsiTheme="minorEastAsia"/>
          <w:color w:val="auto"/>
          <w:kern w:val="0"/>
          <w:szCs w:val="21"/>
          <w:lang w:val="en-US" w:eastAsia="zh-CN"/>
        </w:rPr>
      </w:pPr>
      <w:r>
        <w:rPr>
          <w:rFonts w:hint="eastAsia" w:ascii="黑体" w:hAnsi="黑体" w:eastAsia="黑体" w:cstheme="minorBidi"/>
          <w:color w:val="auto"/>
          <w:kern w:val="2"/>
          <w:sz w:val="21"/>
          <w:szCs w:val="21"/>
          <w:lang w:val="en-US" w:eastAsia="zh-CN" w:bidi="ar-SA"/>
        </w:rPr>
        <w:t xml:space="preserve">2.1.2 </w:t>
      </w:r>
      <w:r>
        <w:rPr>
          <w:rFonts w:hint="eastAsia" w:cs="Times New Roman" w:asciiTheme="minorEastAsia" w:hAnsiTheme="minorEastAsia"/>
          <w:color w:val="auto"/>
          <w:kern w:val="0"/>
          <w:szCs w:val="21"/>
          <w:lang w:val="en-US" w:eastAsia="zh-CN"/>
        </w:rPr>
        <w:t>GB/T 23609-2009《海水淡化装置用铜合金无缝管》已实施了十余年的时间，十余年来中国的铜加工技术和产品质量逐步提升，在此期间，行业通过对熔铸水平连铸机组、行星轧制设备及工艺、智能连续光亮退火炉及工艺、在线退火炉及工艺的技术改造和科技创新，该产品的加工技术、产品质量、检测手段、对产品质量的评价指标都得到了提升和完善，2009版标准对目前产品的技术水平和产品质量已没有促进和规范的意义，2009版标准在尺寸精度、机械性能、工艺性能、检测项目等各方面都需要提高和完善。</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cs="Times New Roman" w:asciiTheme="minorEastAsia" w:hAnsiTheme="minorEastAsia"/>
          <w:color w:val="auto"/>
          <w:kern w:val="0"/>
          <w:szCs w:val="21"/>
        </w:rPr>
      </w:pPr>
      <w:r>
        <w:rPr>
          <w:rFonts w:hint="eastAsia" w:ascii="黑体" w:hAnsi="黑体" w:eastAsia="黑体" w:cstheme="minorBidi"/>
          <w:color w:val="auto"/>
          <w:kern w:val="2"/>
          <w:sz w:val="21"/>
          <w:szCs w:val="21"/>
          <w:lang w:val="en-US" w:eastAsia="zh-CN" w:bidi="ar-SA"/>
        </w:rPr>
        <w:t>2.1.3</w:t>
      </w:r>
      <w:r>
        <w:rPr>
          <w:rFonts w:hint="eastAsia" w:cs="Times New Roman" w:asciiTheme="minorEastAsia" w:hAnsiTheme="minorEastAsia"/>
          <w:color w:val="auto"/>
          <w:kern w:val="0"/>
          <w:szCs w:val="21"/>
          <w:lang w:val="en-US" w:eastAsia="zh-CN"/>
        </w:rPr>
        <w:t xml:space="preserve"> 经过近十余年的发展，中国的标准体系也基本完善，例如与产品配套的化学成分、检测方法、能耗限额：</w:t>
      </w:r>
      <w:r>
        <w:rPr>
          <w:rFonts w:hint="eastAsia" w:cs="Times New Roman" w:asciiTheme="minorEastAsia" w:hAnsiTheme="minorEastAsia"/>
          <w:color w:val="auto"/>
          <w:kern w:val="0"/>
          <w:szCs w:val="21"/>
        </w:rPr>
        <w:t>GB/T 5231</w:t>
      </w:r>
      <w:r>
        <w:rPr>
          <w:rFonts w:hint="eastAsia" w:cs="Times New Roman" w:asciiTheme="minorEastAsia" w:hAnsiTheme="minorEastAsia"/>
          <w:color w:val="auto"/>
          <w:kern w:val="0"/>
          <w:szCs w:val="21"/>
          <w:lang w:val="en-US" w:eastAsia="zh-CN"/>
        </w:rPr>
        <w:t>-2012《</w:t>
      </w:r>
      <w:r>
        <w:rPr>
          <w:rFonts w:hint="eastAsia" w:cs="Times New Roman" w:asciiTheme="minorEastAsia" w:hAnsiTheme="minorEastAsia"/>
          <w:color w:val="auto"/>
          <w:kern w:val="0"/>
          <w:szCs w:val="21"/>
        </w:rPr>
        <w:t>加工铜及铜合金化学成分和产品形状</w:t>
      </w:r>
      <w:r>
        <w:rPr>
          <w:rFonts w:hint="eastAsia" w:cs="Times New Roman" w:asciiTheme="minorEastAsia" w:hAnsiTheme="minorEastAsia"/>
          <w:color w:val="auto"/>
          <w:kern w:val="0"/>
          <w:szCs w:val="21"/>
          <w:lang w:val="en-US" w:eastAsia="zh-CN"/>
        </w:rPr>
        <w:t>》、</w:t>
      </w:r>
      <w:r>
        <w:rPr>
          <w:rFonts w:hint="eastAsia" w:cs="Times New Roman" w:asciiTheme="minorEastAsia" w:hAnsiTheme="minorEastAsia"/>
          <w:color w:val="auto"/>
          <w:kern w:val="0"/>
          <w:szCs w:val="21"/>
        </w:rPr>
        <w:t>GB/T 29094-2012</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铜及铜合金状态表示方法</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GB/T 29091-2012</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铜及铜合金牌号和代号表示方法</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GB／T26303.1-2010</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铜及铜合金材外形尺寸检测方法 管材</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GB 21350-2013</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铜及铜合金管材单位产品能源消耗限额</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GB/T33817-2017</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铜及铜合金管材内表面碳含量的测定</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GB/T 34505-2017</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铜及铜合金材料 室温拉伸试验方法</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等已经实施完善，可以达到该项目提升和规范使用的条件。</w:t>
      </w:r>
      <w:r>
        <w:rPr>
          <w:rFonts w:hint="eastAsia" w:cs="Times New Roman" w:asciiTheme="minorEastAsia" w:hAnsiTheme="minorEastAsia"/>
          <w:color w:val="auto"/>
          <w:kern w:val="0"/>
          <w:szCs w:val="21"/>
        </w:rPr>
        <w:t>　</w:t>
      </w:r>
    </w:p>
    <w:p>
      <w:pPr>
        <w:pStyle w:val="28"/>
        <w:keepNext w:val="0"/>
        <w:keepLines w:val="0"/>
        <w:pageBreakBefore w:val="0"/>
        <w:widowControl w:val="0"/>
        <w:numPr>
          <w:ilvl w:val="0"/>
          <w:numId w:val="7"/>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lang w:val="en-US" w:eastAsia="zh-CN"/>
        </w:rPr>
        <w:t>编制</w:t>
      </w:r>
      <w:r>
        <w:rPr>
          <w:rFonts w:hint="eastAsia" w:ascii="黑体" w:hAnsi="黑体" w:eastAsia="黑体"/>
          <w:color w:val="auto"/>
          <w:szCs w:val="21"/>
        </w:rPr>
        <w:t>单位简况</w:t>
      </w:r>
    </w:p>
    <w:p>
      <w:pPr>
        <w:spacing w:line="300" w:lineRule="auto"/>
        <w:ind w:firstLine="420" w:firstLineChars="200"/>
        <w:rPr>
          <w:rFonts w:hint="eastAsia" w:cs="Times New Roman" w:asciiTheme="minorEastAsia" w:hAnsiTheme="minorEastAsia"/>
          <w:color w:val="auto"/>
          <w:kern w:val="0"/>
          <w:szCs w:val="21"/>
        </w:rPr>
      </w:pPr>
      <w:r>
        <w:rPr>
          <w:rFonts w:hint="eastAsia" w:ascii="黑体" w:hAnsi="黑体" w:eastAsia="黑体" w:cs="黑体"/>
          <w:color w:val="auto"/>
          <w:kern w:val="0"/>
          <w:szCs w:val="21"/>
        </w:rPr>
        <w:t>浙江海亮股份有限公司</w:t>
      </w:r>
      <w:r>
        <w:rPr>
          <w:rFonts w:hint="eastAsia" w:cs="Times New Roman" w:asciiTheme="minorEastAsia" w:hAnsiTheme="minorEastAsia"/>
          <w:color w:val="auto"/>
          <w:kern w:val="0"/>
          <w:szCs w:val="21"/>
        </w:rPr>
        <w:t>（以下简称海亮股份 002203）是海亮集团有限公司(</w:t>
      </w:r>
      <w:r>
        <w:rPr>
          <w:rFonts w:hint="eastAsia" w:cs="Times New Roman" w:asciiTheme="minorEastAsia" w:hAnsiTheme="minorEastAsia"/>
          <w:color w:val="auto"/>
          <w:kern w:val="0"/>
          <w:szCs w:val="21"/>
          <w:lang w:val="en-US" w:eastAsia="zh-CN"/>
        </w:rPr>
        <w:t>世界</w:t>
      </w:r>
      <w:r>
        <w:rPr>
          <w:rFonts w:hint="eastAsia" w:cs="Times New Roman" w:asciiTheme="minorEastAsia" w:hAnsiTheme="minorEastAsia"/>
          <w:color w:val="auto"/>
          <w:kern w:val="0"/>
          <w:szCs w:val="21"/>
        </w:rPr>
        <w:t>企业500强第</w:t>
      </w:r>
      <w:r>
        <w:rPr>
          <w:rFonts w:hint="eastAsia" w:cs="Times New Roman" w:asciiTheme="minorEastAsia" w:hAnsiTheme="minorEastAsia"/>
          <w:color w:val="auto"/>
          <w:kern w:val="0"/>
          <w:szCs w:val="21"/>
          <w:lang w:val="en-US" w:eastAsia="zh-CN"/>
        </w:rPr>
        <w:t>468</w:t>
      </w:r>
      <w:r>
        <w:rPr>
          <w:rFonts w:hint="eastAsia" w:cs="Times New Roman" w:asciiTheme="minorEastAsia" w:hAnsiTheme="minorEastAsia"/>
          <w:color w:val="auto"/>
          <w:kern w:val="0"/>
          <w:szCs w:val="21"/>
        </w:rPr>
        <w:t>位)控股的股份有限公司，成立于1989年，目前总资产154亿元，现有员工</w:t>
      </w:r>
      <w:r>
        <w:rPr>
          <w:rFonts w:hint="eastAsia" w:cs="Times New Roman" w:asciiTheme="minorEastAsia" w:hAnsiTheme="minorEastAsia"/>
          <w:color w:val="auto"/>
          <w:kern w:val="0"/>
          <w:szCs w:val="21"/>
          <w:lang w:val="en-US" w:eastAsia="zh-CN"/>
        </w:rPr>
        <w:t>8</w:t>
      </w:r>
      <w:r>
        <w:rPr>
          <w:rFonts w:hint="eastAsia" w:cs="Times New Roman" w:asciiTheme="minorEastAsia" w:hAnsiTheme="minorEastAsia"/>
          <w:color w:val="auto"/>
          <w:kern w:val="0"/>
          <w:szCs w:val="21"/>
        </w:rPr>
        <w:t>300余名。成立于1989年，2020年,公司总资产261亿元，总收入465亿元，利润总额8.95亿元，公司现有员工8000余名。</w:t>
      </w:r>
    </w:p>
    <w:p>
      <w:pPr>
        <w:spacing w:line="300" w:lineRule="auto"/>
        <w:ind w:firstLine="420" w:firstLineChars="200"/>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公司在亚洲、美洲、欧洲设有20个生产基地、是全球铜管棒加工行业的标杆和领袖级企业。企业连续多年荣获浙江省信用AAA级企业，公司是全国企事业知识产权优势企业，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pPr>
        <w:spacing w:line="300" w:lineRule="auto"/>
        <w:ind w:firstLine="420" w:firstLineChars="200"/>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自2000年开始，海亮股份通过积极牵头主持、参与国家标准起草制订，为我国铜管行业的整体技术进步、行业有序发展做出突出贡献。至今，行业中铜管材产品标准80%以上由海亮股份</w:t>
      </w:r>
      <w:r>
        <w:rPr>
          <w:rFonts w:hint="eastAsia" w:cs="Times New Roman" w:asciiTheme="minorEastAsia" w:hAnsiTheme="minorEastAsia"/>
          <w:color w:val="auto"/>
          <w:kern w:val="0"/>
          <w:szCs w:val="21"/>
          <w:lang w:val="en-US" w:eastAsia="zh-CN"/>
        </w:rPr>
        <w:t>参与或</w:t>
      </w:r>
      <w:r>
        <w:rPr>
          <w:rFonts w:hint="eastAsia" w:cs="Times New Roman" w:asciiTheme="minorEastAsia" w:hAnsiTheme="minorEastAsia"/>
          <w:color w:val="auto"/>
          <w:kern w:val="0"/>
          <w:szCs w:val="21"/>
        </w:rPr>
        <w:t>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TC26）主席职务，也是我国有色金属标准化委员会副主任委员，公司踊跃参加国家标准对国际标准的转化工作等。企业已牵头起草制定和计划起草制定的国家行业标准共</w:t>
      </w:r>
      <w:r>
        <w:rPr>
          <w:rFonts w:hint="eastAsia" w:cs="Times New Roman" w:asciiTheme="minorEastAsia" w:hAnsiTheme="minorEastAsia"/>
          <w:color w:val="auto"/>
          <w:kern w:val="0"/>
          <w:szCs w:val="21"/>
          <w:lang w:val="en-US" w:eastAsia="zh-CN"/>
        </w:rPr>
        <w:t>58</w:t>
      </w:r>
      <w:r>
        <w:rPr>
          <w:rFonts w:hint="eastAsia" w:cs="Times New Roman" w:asciiTheme="minorEastAsia" w:hAnsiTheme="minorEastAsia"/>
          <w:color w:val="auto"/>
          <w:kern w:val="0"/>
          <w:szCs w:val="21"/>
        </w:rPr>
        <w:t>项</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其中国家标准30项</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，已经出版并实施的</w:t>
      </w:r>
      <w:r>
        <w:rPr>
          <w:rFonts w:hint="eastAsia" w:cs="Times New Roman" w:asciiTheme="minorEastAsia" w:hAnsiTheme="minorEastAsia"/>
          <w:color w:val="auto"/>
          <w:kern w:val="0"/>
          <w:szCs w:val="21"/>
          <w:lang w:val="en-US" w:eastAsia="zh-CN"/>
        </w:rPr>
        <w:t>45</w:t>
      </w:r>
      <w:r>
        <w:rPr>
          <w:rFonts w:hint="eastAsia" w:cs="Times New Roman" w:asciiTheme="minorEastAsia" w:hAnsiTheme="minorEastAsia"/>
          <w:color w:val="auto"/>
          <w:kern w:val="0"/>
          <w:szCs w:val="21"/>
        </w:rPr>
        <w:t>项</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其中国家标准28项</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已完成报批的9项，已列入计划和正在编制中的3项</w:t>
      </w:r>
      <w:r>
        <w:rPr>
          <w:rFonts w:hint="eastAsia" w:cs="Times New Roman" w:asciiTheme="minorEastAsia" w:hAnsiTheme="minorEastAsia"/>
          <w:color w:val="auto"/>
          <w:kern w:val="0"/>
          <w:szCs w:val="21"/>
        </w:rPr>
        <w:t>。这些标准涉及到产品、能源限额、安全规范、信用管理标准等。其中GB／T21350-2008《铜及铜合金管材单位产品能源消耗限额》于2010年获得了 “中国标准创新贡献奖”三等奖，GB／T23609-2009《海水淡化装置用铜合金无缝管》于2014年获得了“中国标准创新贡献奖”二等奖。</w:t>
      </w:r>
    </w:p>
    <w:p>
      <w:pPr>
        <w:spacing w:line="300" w:lineRule="auto"/>
        <w:ind w:firstLine="420" w:firstLineChars="200"/>
        <w:rPr>
          <w:rFonts w:hint="eastAsia"/>
          <w:color w:val="auto"/>
          <w:lang w:val="en-US" w:eastAsia="zh-CN"/>
        </w:rPr>
      </w:pPr>
      <w:r>
        <w:rPr>
          <w:rFonts w:hint="eastAsia" w:ascii="黑体" w:hAnsi="黑体" w:eastAsia="黑体" w:cs="黑体"/>
          <w:color w:val="auto"/>
          <w:kern w:val="0"/>
          <w:szCs w:val="21"/>
        </w:rPr>
        <w:t>苏州富瑞合金科技股份有限公司</w:t>
      </w:r>
      <w:r>
        <w:rPr>
          <w:rFonts w:hint="eastAsia" w:cs="Times New Roman" w:asciiTheme="minorEastAsia" w:hAnsiTheme="minorEastAsia"/>
          <w:color w:val="auto"/>
          <w:kern w:val="0"/>
          <w:szCs w:val="21"/>
        </w:rPr>
        <w:t xml:space="preserve">成立于2007年，位于长江入海口，国家级卫生城市,郑和下西洋起锚地“太仓”，距离国际大都市上海市中心及园林名城苏州都不足50公里交通十分便捷。 公司占地面积50000平方米，建筑面积25000平方米，固定资产8000万元，铜及铜合金管年生产能力8000吨；现拥有工频感应有芯电炉、1630吨、800吨、630吨挤压机、拉伸机、美国设计连续式网链光亮退火炉等100多台套设备，配备先进的德国SPECTROMAXx直读光谱仪、泰思特拉力试验机、全自动涡流探伤仪等检测设备。现有员工200余人，其中技术人员40多名。 本公司主要生产BFe10-1-1、 BFe30-1-1、HAL77-2、HSn70-1 、QSn6.5-0.1、H70、H68、 H65 、H63、H62等合金管材、各类黄铜小管、洁具管，年生产能力15000吨。产品广泛应用于造船、海水淡化、石油化工、发电机、内燃机、空调、热交换器、卫生洁具、装饰、装潢、拉杆天线、电子电器接插件、制笔、装饰、装潢等方面。本公司根据不同客户要求，生产符合中国GB、美国ASTM、日本JIS等标准产品。目前已经形成普通黄铜管、铜合金热交换管、铜合金毛细管、铜合金翅片管、 白铜管大盘管、铝青铜管、汽车同步器齿环材料、铜合金异型管等九大系列产品。苏州富瑞合金科技股份有限公司前身太仓富豪铜业有限公司合金管分厂，于2004年通过国家铜管生产产品许可证验收，通过GB/T19001-2016、ISO9001：2015质量管理体系认证，创苏州市名牌产品，是江苏省高新技术企业。公司产品性能可靠，质量稳定，深受客户信赖。丰富的生产经验，先进的技术，完善的设备，上乘的质量，合理的价格，优质的服务，加上恪守诚信，使本公司在国内外享有声誉。产品销往北京、广东、浙江、江苏以及美国、德国等地区。公司积极研发新技术、新产品、创造性地去满足客户不断涌现的新需求，与新老客户一起携手共进，发展壮大，成为中国铜合金管领军企业之一。 </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ascii="黑体" w:hAnsi="黑体" w:eastAsia="黑体" w:cs="黑体"/>
          <w:color w:val="auto"/>
          <w:kern w:val="0"/>
          <w:szCs w:val="21"/>
          <w:lang w:val="en-US" w:eastAsia="zh-CN"/>
        </w:rPr>
        <w:t>中铝洛阳铜加工有限公司</w:t>
      </w:r>
      <w:r>
        <w:rPr>
          <w:rFonts w:hint="eastAsia" w:cs="Times New Roman" w:asciiTheme="minorEastAsia" w:hAnsiTheme="minorEastAsia"/>
          <w:color w:val="auto"/>
          <w:kern w:val="0"/>
          <w:szCs w:val="21"/>
          <w:lang w:eastAsia="zh-CN"/>
        </w:rPr>
        <w:t>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w:t>
      </w:r>
    </w:p>
    <w:p>
      <w:pPr>
        <w:pStyle w:val="4"/>
        <w:spacing w:line="320" w:lineRule="exact"/>
        <w:ind w:left="0" w:leftChars="0" w:firstLine="420" w:firstLineChars="200"/>
        <w:rPr>
          <w:color w:val="auto"/>
        </w:rPr>
      </w:pPr>
      <w:r>
        <w:rPr>
          <w:rFonts w:hint="eastAsia" w:ascii="黑体" w:hAnsi="黑体" w:eastAsia="黑体" w:cs="黑体"/>
          <w:color w:val="auto"/>
          <w:kern w:val="0"/>
          <w:sz w:val="21"/>
          <w:szCs w:val="21"/>
        </w:rPr>
        <w:t>江阴和宏精工科技有限公司</w:t>
      </w:r>
      <w:r>
        <w:rPr>
          <w:rFonts w:hint="eastAsia" w:ascii="宋体" w:hAnsi="宋体" w:eastAsia="宋体" w:cs="宋体"/>
          <w:color w:val="auto"/>
          <w:kern w:val="0"/>
          <w:sz w:val="21"/>
          <w:szCs w:val="21"/>
          <w:lang w:val="en-US" w:eastAsia="zh-CN"/>
        </w:rPr>
        <w:t>是</w:t>
      </w:r>
      <w:r>
        <w:rPr>
          <w:rFonts w:hint="eastAsia"/>
          <w:color w:val="auto"/>
        </w:rPr>
        <w:t>专业生产海洋工程管道系统铜镍合金大口径管、铜合金冷凝管、铁路贯通地线、微波炉磁控管、高效换热管等五大类产品。</w:t>
      </w:r>
    </w:p>
    <w:p>
      <w:pPr>
        <w:pStyle w:val="4"/>
        <w:spacing w:line="320" w:lineRule="exact"/>
        <w:ind w:left="0" w:leftChars="0" w:firstLine="420" w:firstLineChars="200"/>
        <w:rPr>
          <w:color w:val="auto"/>
        </w:rPr>
      </w:pPr>
      <w:r>
        <w:rPr>
          <w:rFonts w:hint="eastAsia"/>
          <w:color w:val="auto"/>
        </w:rPr>
        <w:t>江阴和宏精工科技有限公司为中国有色金属加工协会理事单位、全国色金属标委会会员单位。拥有市级企业技术中心创新平台，拥有国家授权专利80多余项，主持（参与）制定国家或行业标准10余项，承担江苏省科技支撑计划重点项目一项。</w:t>
      </w:r>
    </w:p>
    <w:p>
      <w:pPr>
        <w:pStyle w:val="4"/>
        <w:spacing w:line="320" w:lineRule="exact"/>
        <w:ind w:left="0" w:leftChars="0" w:firstLine="420" w:firstLineChars="200"/>
        <w:rPr>
          <w:color w:val="auto"/>
        </w:rPr>
      </w:pPr>
      <w:r>
        <w:rPr>
          <w:rFonts w:hint="eastAsia"/>
          <w:color w:val="auto"/>
        </w:rPr>
        <w:t>公司是国内最大的海洋工程管道系统铜镍合金大口径管生产企业之一，拥有铜镍合金大口径管生产的核心关键技术，是国内最具实力的海洋工程管道系统用铜镍合金大口径管生产技术创新与科研开发基地，也是该类产品行业的国内龙头企业、技术领先企业，形成了企业自主知识产权体系，引领者海洋工程管道系统用铜镍合金大口径管生产技术的不断发展。</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ascii="黑体" w:hAnsi="黑体" w:eastAsia="黑体" w:cs="黑体"/>
          <w:color w:val="auto"/>
          <w:kern w:val="0"/>
          <w:szCs w:val="21"/>
          <w:lang w:eastAsia="zh-CN"/>
        </w:rPr>
        <w:t>桂林漓佳金属有限责任公司</w:t>
      </w:r>
      <w:r>
        <w:rPr>
          <w:rFonts w:hint="eastAsia" w:cs="Times New Roman" w:asciiTheme="minorEastAsia" w:hAnsiTheme="minorEastAsia"/>
          <w:color w:val="auto"/>
          <w:kern w:val="0"/>
          <w:szCs w:val="21"/>
          <w:lang w:eastAsia="zh-CN"/>
        </w:rPr>
        <w:t>始建于</w:t>
      </w:r>
      <w:r>
        <w:rPr>
          <w:rFonts w:hint="eastAsia" w:cs="Times New Roman" w:asciiTheme="minorEastAsia" w:hAnsiTheme="minorEastAsia"/>
          <w:color w:val="auto"/>
          <w:kern w:val="0"/>
          <w:szCs w:val="21"/>
          <w:lang w:val="en-US" w:eastAsia="zh-CN"/>
        </w:rPr>
        <w:t>1976年，公司目前资产总额为2.99亿元，由广西航桂实业有限公司、中国东方资产管理股份有限公司和桂林国投产业发展集团有限公司三方持股。公司位于桂林市高新技术开发区的铁山工业园内，占地面积为18.5万平方米。</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cs="Times New Roman" w:asciiTheme="minorEastAsia" w:hAnsiTheme="minorEastAsia"/>
          <w:color w:val="auto"/>
          <w:kern w:val="0"/>
          <w:szCs w:val="21"/>
          <w:lang w:val="en-US" w:eastAsia="zh-CN"/>
        </w:rPr>
        <w:t>公司拥有加工设备130余台套，部分主要生产和检测设备，从日本、德国、瑞士等发达国家引进。公司建立了稳定、成熟、可靠的铜合金管生产工艺路线,与多家大型企业、专业院校、国际铜业协会等合作伙伴及科研院所建立了合作关系。公司拥有产品专利共32项，其中发明专利6项，实用新型专利11项，外观设计专利15项。</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cs="Times New Roman" w:asciiTheme="minorEastAsia" w:hAnsiTheme="minorEastAsia"/>
          <w:color w:val="auto"/>
          <w:kern w:val="0"/>
          <w:szCs w:val="21"/>
          <w:lang w:val="en-US" w:eastAsia="zh-CN"/>
        </w:rPr>
        <w:t>公司是国家高新技术企业、自治区重要的铜加工企业、桂林市和自治区两级重点出口企业、“全国有色金属标准化技术委员会重金属分技术委员会”会员单位、“中国有色金属工业系统无损检测技术工作委员会”委员单位、中国铜管材十强企业和国家商务部认定的对外援助物资项目B级实施企业等，也是国家“国产替代进口材料”项目入选企业。 2019年通过自治区企业技术中心认定，是桂林市50强企业。</w:t>
      </w:r>
    </w:p>
    <w:p>
      <w:pPr>
        <w:spacing w:line="300" w:lineRule="auto"/>
        <w:ind w:firstLine="420" w:firstLineChars="200"/>
        <w:rPr>
          <w:rFonts w:hint="eastAsia" w:cs="Times New Roman" w:asciiTheme="minorEastAsia" w:hAnsiTheme="minorEastAsia"/>
          <w:color w:val="auto"/>
          <w:kern w:val="0"/>
          <w:szCs w:val="21"/>
          <w:lang w:val="en-US" w:eastAsia="zh-CN"/>
        </w:rPr>
      </w:pPr>
      <w:r>
        <w:rPr>
          <w:rFonts w:hint="eastAsia" w:cs="Times New Roman" w:asciiTheme="minorEastAsia" w:hAnsiTheme="minorEastAsia"/>
          <w:color w:val="auto"/>
          <w:kern w:val="0"/>
          <w:szCs w:val="21"/>
          <w:lang w:val="en-US" w:eastAsia="zh-CN"/>
        </w:rPr>
        <w:t>公司管理体系完善，适应国际化竞争的能力较强。公司通过ISO9001质量管理体系、ISO14001环境管理体系、OHSAS18001职业健康安全管理体系认证，并通过了TÜV、CCS工厂认证。</w:t>
      </w:r>
    </w:p>
    <w:p>
      <w:pPr>
        <w:spacing w:line="300" w:lineRule="auto"/>
        <w:ind w:firstLine="420" w:firstLineChars="200"/>
        <w:rPr>
          <w:rFonts w:hint="eastAsia"/>
          <w:color w:val="auto"/>
          <w:lang w:val="en-US" w:eastAsia="zh-CN"/>
        </w:rPr>
      </w:pPr>
      <w:r>
        <w:rPr>
          <w:rFonts w:hint="eastAsia" w:cs="Times New Roman" w:asciiTheme="minorEastAsia" w:hAnsiTheme="minorEastAsia"/>
          <w:color w:val="auto"/>
          <w:kern w:val="0"/>
          <w:szCs w:val="21"/>
          <w:lang w:val="en-US" w:eastAsia="zh-CN"/>
        </w:rPr>
        <w:t xml:space="preserve"> 公司主要产品为铜及铜合金管材，年生产能力达1.2万吨。具备生产40多种铜及铜合金牌号、上千种规格、各种形状的管材的生产能力，是国内牌号和规格范围较全的生产厂家之一。产品具有优良的导电、传热、耐腐蚀性、耐高压、耐高温、抗冻性、机械性能、压力加工性能和焊接性能。公司产品广泛应用于汽车、船舶、海洋工程、机械制造、海水淡化、热交换、卫浴、石油化工、火电、核电以及建筑装饰等领域。</w:t>
      </w:r>
    </w:p>
    <w:p>
      <w:pPr>
        <w:spacing w:line="300" w:lineRule="auto"/>
        <w:ind w:firstLine="420" w:firstLineChars="200"/>
        <w:rPr>
          <w:rFonts w:hint="eastAsia" w:cs="Times New Roman" w:asciiTheme="minorEastAsia" w:hAnsiTheme="minorEastAsia"/>
          <w:color w:val="auto"/>
          <w:kern w:val="0"/>
          <w:szCs w:val="21"/>
        </w:rPr>
      </w:pPr>
      <w:r>
        <w:rPr>
          <w:rFonts w:hint="eastAsia" w:ascii="黑体" w:hAnsi="黑体" w:eastAsia="黑体" w:cs="黑体"/>
          <w:color w:val="auto"/>
          <w:kern w:val="0"/>
          <w:szCs w:val="21"/>
          <w:lang w:val="en-US" w:eastAsia="zh-CN"/>
        </w:rPr>
        <w:t>绍兴市质量技术监督检测院</w:t>
      </w:r>
      <w:r>
        <w:rPr>
          <w:rFonts w:hint="eastAsia" w:cs="Times New Roman" w:asciiTheme="minorEastAsia" w:hAnsiTheme="minorEastAsia"/>
          <w:color w:val="auto"/>
          <w:kern w:val="0"/>
          <w:szCs w:val="21"/>
        </w:rPr>
        <w:t>位于绍兴国家级检测试验科研基地内，占地90多亩、建筑面积9.6万平方米，是集检测、校准、测试、培训于一体的综合性技术机构。基地位于绍兴滨海新城核心地块，紧靠嘉绍大桥连线南出口，交通十分便利，地理位置优越。</w:t>
      </w:r>
    </w:p>
    <w:p>
      <w:pPr>
        <w:spacing w:line="300" w:lineRule="auto"/>
        <w:ind w:firstLine="420" w:firstLineChars="200"/>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lang w:val="en-US" w:eastAsia="zh-CN"/>
        </w:rPr>
        <w:t>该</w:t>
      </w:r>
      <w:r>
        <w:rPr>
          <w:rFonts w:hint="eastAsia" w:cs="Times New Roman" w:asciiTheme="minorEastAsia" w:hAnsiTheme="minorEastAsia"/>
          <w:color w:val="auto"/>
          <w:kern w:val="0"/>
          <w:szCs w:val="21"/>
        </w:rPr>
        <w:t>院目前拥有国家有色金属加工产品质量检验中心（浙江）、国家环保设备质量检验中心（浙江）、国家纺织化学品质量检验中心（浙江）（筹）三个国家中心。此外，本院还拥有5个浙江省级检验中心（纺织品与染化料产品质量检验中心、制冷配件设备质量检验中心、环保设备质量检验中心、有色金属及其加工产品质量检验中心、纺织机械产品质量检验中心）。</w:t>
      </w:r>
    </w:p>
    <w:p>
      <w:pPr>
        <w:spacing w:line="300" w:lineRule="auto"/>
        <w:ind w:firstLine="420" w:firstLineChars="200"/>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lang w:val="en-US" w:eastAsia="zh-CN"/>
        </w:rPr>
        <w:t>该</w:t>
      </w:r>
      <w:r>
        <w:rPr>
          <w:rFonts w:hint="eastAsia" w:cs="Times New Roman" w:asciiTheme="minorEastAsia" w:hAnsiTheme="minorEastAsia"/>
          <w:color w:val="auto"/>
          <w:kern w:val="0"/>
          <w:szCs w:val="21"/>
        </w:rPr>
        <w:t>院下设办公室、人事科、技术质量科、事业发展科、纺织化工科、机电轻工科、材料建工科、民生计量科、产业计量科、产品质量鉴定科、质量技术基础研究所11个科室。拥有各类测量设备2000余台套，设备原值8000余万元。检测能力覆盖环保设备、金属材料、纺织与染化料、化工、通用机电设备、制冷配件、建设工程材料、消防工程、智能化工程、橡塑制品、家用电器、电线电缆、轻工产品、黄金珠宝、空气与水环境、食品相关产品等十九大类2000多个产品，并通过国家实验室认可和国家级、省级资质认定。</w:t>
      </w:r>
    </w:p>
    <w:p>
      <w:pPr>
        <w:spacing w:line="300" w:lineRule="auto"/>
        <w:ind w:firstLine="420" w:firstLineChars="200"/>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lang w:val="en-US" w:eastAsia="zh-CN"/>
        </w:rPr>
        <w:t>该</w:t>
      </w:r>
      <w:r>
        <w:rPr>
          <w:rFonts w:hint="eastAsia" w:cs="Times New Roman" w:asciiTheme="minorEastAsia" w:hAnsiTheme="minorEastAsia"/>
          <w:color w:val="auto"/>
          <w:kern w:val="0"/>
          <w:szCs w:val="21"/>
        </w:rPr>
        <w:t>院从2013年开始参与全国有色金属标准化技术委员会工作以来，为主或参与国家/行业标准制修订20多项，其中近10项标准水平达到国际先进水平、4项获有色标委会年度技术标准优秀奖。</w:t>
      </w:r>
    </w:p>
    <w:p>
      <w:pPr>
        <w:pStyle w:val="28"/>
        <w:keepNext w:val="0"/>
        <w:keepLines w:val="0"/>
        <w:pageBreakBefore w:val="0"/>
        <w:widowControl w:val="0"/>
        <w:numPr>
          <w:ilvl w:val="0"/>
          <w:numId w:val="7"/>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rPr>
        <w:t>主要工作过程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szCs w:val="21"/>
        </w:rPr>
      </w:pPr>
      <w:r>
        <w:rPr>
          <w:rFonts w:hint="eastAsia" w:ascii="黑体" w:hAnsi="黑体" w:eastAsia="黑体"/>
          <w:color w:val="auto"/>
          <w:szCs w:val="21"/>
        </w:rPr>
        <w:t>2.3.1项目分工</w:t>
      </w:r>
    </w:p>
    <w:p>
      <w:pPr>
        <w:spacing w:line="300" w:lineRule="auto"/>
        <w:ind w:firstLine="420" w:firstLineChars="200"/>
        <w:rPr>
          <w:rFonts w:hint="eastAsia"/>
          <w:color w:val="auto"/>
        </w:rPr>
      </w:pPr>
      <w:r>
        <w:rPr>
          <w:rFonts w:hint="eastAsia" w:ascii="黑体" w:hAnsi="黑体" w:eastAsia="黑体"/>
          <w:color w:val="auto"/>
          <w:szCs w:val="21"/>
        </w:rPr>
        <w:t xml:space="preserve"> </w:t>
      </w:r>
      <w:r>
        <w:rPr>
          <w:rFonts w:hint="eastAsia"/>
          <w:color w:val="auto"/>
        </w:rPr>
        <w:t>标准</w:t>
      </w:r>
      <w:r>
        <w:rPr>
          <w:rFonts w:hint="eastAsia"/>
          <w:color w:val="auto"/>
          <w:lang w:val="en-US" w:eastAsia="zh-CN"/>
        </w:rPr>
        <w:t>修</w:t>
      </w:r>
      <w:r>
        <w:rPr>
          <w:rFonts w:hint="eastAsia"/>
          <w:color w:val="auto"/>
        </w:rPr>
        <w:t>订计划任务正式下达后，项目成立了标准编制组，并落实起草任务，确定标准的主要起草人，拟定该标准的工作计划，并对编制组成员进行了明确职责分工，详见表1。</w:t>
      </w:r>
    </w:p>
    <w:p>
      <w:pPr>
        <w:spacing w:before="156" w:after="156" w:line="300" w:lineRule="auto"/>
        <w:jc w:val="center"/>
        <w:rPr>
          <w:rFonts w:ascii="宋体" w:hAnsi="宋体" w:cs="宋体"/>
          <w:b/>
          <w:bCs/>
          <w:color w:val="auto"/>
          <w:szCs w:val="21"/>
        </w:rPr>
      </w:pPr>
      <w:r>
        <w:rPr>
          <w:rFonts w:hint="eastAsia" w:ascii="宋体" w:hAnsi="宋体" w:cs="宋体"/>
          <w:b/>
          <w:bCs/>
          <w:color w:val="auto"/>
          <w:szCs w:val="21"/>
        </w:rPr>
        <w:t>表1  标准编制组成员及职责</w:t>
      </w:r>
    </w:p>
    <w:tbl>
      <w:tblPr>
        <w:tblStyle w:val="11"/>
        <w:tblW w:w="0" w:type="auto"/>
        <w:tblInd w:w="16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568"/>
        <w:gridCol w:w="1310"/>
        <w:gridCol w:w="64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568" w:type="dxa"/>
            <w:tcBorders>
              <w:bottom w:val="single" w:color="auto" w:sz="8" w:space="0"/>
            </w:tcBorders>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310" w:type="dxa"/>
            <w:tcBorders>
              <w:bottom w:val="single" w:color="auto" w:sz="8" w:space="0"/>
            </w:tcBorders>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起草人姓名</w:t>
            </w:r>
          </w:p>
        </w:tc>
        <w:tc>
          <w:tcPr>
            <w:tcW w:w="6486" w:type="dxa"/>
            <w:tcBorders>
              <w:bottom w:val="single" w:color="auto" w:sz="8" w:space="0"/>
            </w:tcBorders>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568" w:type="dxa"/>
            <w:tcBorders>
              <w:top w:val="single" w:color="auto" w:sz="8" w:space="0"/>
            </w:tcBorders>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10" w:type="dxa"/>
            <w:tcBorders>
              <w:top w:val="single" w:color="auto" w:sz="8" w:space="0"/>
            </w:tcBorders>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p>
        </w:tc>
        <w:tc>
          <w:tcPr>
            <w:tcW w:w="6486" w:type="dxa"/>
            <w:tcBorders>
              <w:top w:val="single" w:color="auto" w:sz="8" w:space="0"/>
            </w:tcBorders>
            <w:tcMar>
              <w:top w:w="0" w:type="dxa"/>
              <w:left w:w="108" w:type="dxa"/>
              <w:bottom w:w="0" w:type="dxa"/>
              <w:right w:w="108" w:type="dxa"/>
            </w:tcMar>
            <w:vAlign w:val="center"/>
          </w:tcPr>
          <w:p>
            <w:pPr>
              <w:spacing w:beforeLines="0" w:afterLines="0" w:line="240" w:lineRule="auto"/>
              <w:rPr>
                <w:rFonts w:hint="eastAsia" w:ascii="宋体" w:hAnsi="宋体" w:eastAsia="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568" w:type="dxa"/>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310" w:type="dxa"/>
            <w:tcMar>
              <w:top w:w="0" w:type="dxa"/>
              <w:left w:w="108" w:type="dxa"/>
              <w:bottom w:w="0" w:type="dxa"/>
              <w:right w:w="108" w:type="dxa"/>
            </w:tcMar>
            <w:vAlign w:val="center"/>
          </w:tcPr>
          <w:p>
            <w:pPr>
              <w:spacing w:beforeLines="0" w:afterLines="0" w:line="240" w:lineRule="auto"/>
              <w:jc w:val="center"/>
              <w:rPr>
                <w:rFonts w:hint="eastAsia" w:ascii="宋体" w:hAnsi="宋体" w:eastAsia="宋体" w:cs="宋体"/>
                <w:color w:val="auto"/>
                <w:sz w:val="18"/>
                <w:szCs w:val="18"/>
                <w:highlight w:val="none"/>
              </w:rPr>
            </w:pPr>
          </w:p>
        </w:tc>
        <w:tc>
          <w:tcPr>
            <w:tcW w:w="6486" w:type="dxa"/>
            <w:tcMar>
              <w:top w:w="0" w:type="dxa"/>
              <w:left w:w="108" w:type="dxa"/>
              <w:bottom w:w="0" w:type="dxa"/>
              <w:right w:w="108" w:type="dxa"/>
            </w:tcMar>
            <w:vAlign w:val="center"/>
          </w:tcPr>
          <w:p>
            <w:pPr>
              <w:spacing w:beforeLines="0" w:afterLines="0" w:line="240" w:lineRule="auto"/>
              <w:rPr>
                <w:rFonts w:hint="eastAsia" w:ascii="宋体" w:hAnsi="宋体" w:eastAsia="宋体" w:cs="宋体"/>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黑体" w:hAnsi="黑体" w:eastAsia="黑体"/>
          <w:color w:val="auto"/>
          <w:szCs w:val="21"/>
        </w:rPr>
      </w:pP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黑体" w:hAnsi="黑体" w:eastAsia="黑体"/>
          <w:color w:val="auto"/>
          <w:szCs w:val="21"/>
          <w:lang w:val="en-US" w:eastAsia="zh-CN"/>
        </w:rPr>
      </w:pPr>
      <w:r>
        <w:rPr>
          <w:rFonts w:hint="eastAsia" w:ascii="黑体" w:hAnsi="黑体" w:eastAsia="黑体"/>
          <w:color w:val="auto"/>
          <w:szCs w:val="21"/>
        </w:rPr>
        <w:t>2.3.2</w:t>
      </w:r>
      <w:r>
        <w:rPr>
          <w:rFonts w:hint="eastAsia"/>
          <w:color w:val="auto"/>
        </w:rPr>
        <w:t xml:space="preserve"> </w:t>
      </w:r>
      <w:r>
        <w:rPr>
          <w:rFonts w:hint="eastAsia" w:ascii="黑体" w:hAnsi="黑体" w:eastAsia="黑体"/>
          <w:color w:val="auto"/>
          <w:szCs w:val="21"/>
          <w:lang w:val="en-US" w:eastAsia="zh-CN"/>
        </w:rPr>
        <w:t>各阶段工作过程</w:t>
      </w:r>
    </w:p>
    <w:p>
      <w:pPr>
        <w:spacing w:line="360" w:lineRule="auto"/>
        <w:ind w:firstLine="420" w:firstLineChars="200"/>
        <w:rPr>
          <w:rFonts w:hint="eastAsia" w:ascii="宋体" w:hAnsi="宋体"/>
          <w:color w:val="auto"/>
          <w:sz w:val="21"/>
          <w:szCs w:val="21"/>
        </w:rPr>
      </w:pPr>
      <w:r>
        <w:rPr>
          <w:rFonts w:hint="eastAsia" w:ascii="黑体" w:hAnsi="黑体" w:eastAsia="黑体" w:cs="黑体"/>
          <w:b w:val="0"/>
          <w:bCs w:val="0"/>
          <w:color w:val="auto"/>
          <w:sz w:val="21"/>
          <w:szCs w:val="21"/>
          <w:lang w:val="en-US" w:eastAsia="zh-CN"/>
        </w:rPr>
        <w:t>1）</w:t>
      </w:r>
      <w:r>
        <w:rPr>
          <w:rFonts w:hint="eastAsia" w:ascii="黑体" w:hAnsi="黑体" w:eastAsia="黑体" w:cs="黑体"/>
          <w:b w:val="0"/>
          <w:bCs w:val="0"/>
          <w:color w:val="auto"/>
          <w:sz w:val="21"/>
          <w:szCs w:val="21"/>
          <w:lang w:eastAsia="zh-CN"/>
        </w:rPr>
        <w:t>起草阶段</w:t>
      </w:r>
    </w:p>
    <w:p>
      <w:pPr>
        <w:spacing w:line="300" w:lineRule="auto"/>
        <w:ind w:firstLine="420" w:firstLineChars="200"/>
        <w:rPr>
          <w:rFonts w:hint="default" w:cs="Times New Roman" w:asciiTheme="minorEastAsia" w:hAnsiTheme="minorEastAsia"/>
          <w:color w:val="auto"/>
          <w:kern w:val="0"/>
          <w:szCs w:val="21"/>
          <w:lang w:val="en-US"/>
        </w:rPr>
      </w:pPr>
      <w:r>
        <w:rPr>
          <w:rFonts w:hint="eastAsia"/>
          <w:color w:val="auto"/>
        </w:rPr>
        <w:t>接到任务后，</w:t>
      </w:r>
      <w:r>
        <w:rPr>
          <w:rFonts w:hint="eastAsia"/>
          <w:color w:val="auto"/>
          <w:lang w:val="en-US" w:eastAsia="zh-CN"/>
        </w:rPr>
        <w:t>立即</w:t>
      </w:r>
      <w:r>
        <w:rPr>
          <w:rFonts w:hint="eastAsia"/>
          <w:color w:val="auto"/>
        </w:rPr>
        <w:t>成立了标准编制小组，</w:t>
      </w:r>
      <w:r>
        <w:rPr>
          <w:color w:val="auto"/>
        </w:rPr>
        <w:t>并落实起草任务，</w:t>
      </w:r>
      <w:r>
        <w:rPr>
          <w:rFonts w:hint="eastAsia"/>
          <w:color w:val="auto"/>
        </w:rPr>
        <w:t>进行了分工，编制</w:t>
      </w:r>
      <w:r>
        <w:rPr>
          <w:rFonts w:hint="eastAsia"/>
          <w:color w:val="auto"/>
          <w:lang w:val="en-US" w:eastAsia="zh-CN"/>
        </w:rPr>
        <w:t>单位</w:t>
      </w:r>
      <w:r>
        <w:rPr>
          <w:rFonts w:hint="eastAsia"/>
          <w:color w:val="auto"/>
        </w:rPr>
        <w:t>分工为：浙江海亮股份有限公司总负责、市场和同行业信息收集、资料汇总及执笔；</w:t>
      </w:r>
      <w:r>
        <w:rPr>
          <w:rFonts w:hint="eastAsia" w:cs="Times New Roman" w:asciiTheme="minorEastAsia" w:hAnsiTheme="minorEastAsia"/>
          <w:color w:val="auto"/>
          <w:kern w:val="0"/>
          <w:szCs w:val="21"/>
          <w:lang w:val="en-US" w:eastAsia="zh-CN"/>
        </w:rPr>
        <w:t>苏州富瑞合金科技股份有限公司、中铝洛阳铜加工有限公司、</w:t>
      </w:r>
      <w:r>
        <w:rPr>
          <w:rFonts w:hint="eastAsia" w:ascii="宋体" w:hAnsi="宋体" w:eastAsia="宋体" w:cs="宋体"/>
          <w:color w:val="auto"/>
          <w:kern w:val="0"/>
          <w:sz w:val="21"/>
          <w:szCs w:val="21"/>
        </w:rPr>
        <w:t>江阴和宏精工科技有限公司</w:t>
      </w:r>
      <w:r>
        <w:rPr>
          <w:rFonts w:hint="eastAsia" w:cs="Times New Roman" w:asciiTheme="minorEastAsia" w:hAnsiTheme="minorEastAsia"/>
          <w:color w:val="auto"/>
          <w:kern w:val="0"/>
          <w:szCs w:val="21"/>
          <w:lang w:val="en-US" w:eastAsia="zh-CN"/>
        </w:rPr>
        <w:t>、桂林璃佳金属有限公司、绍兴市质量技术监督检测院</w:t>
      </w:r>
      <w:r>
        <w:rPr>
          <w:rFonts w:hint="eastAsia"/>
          <w:color w:val="auto"/>
        </w:rPr>
        <w:t>负责补充市场信息和标准数据的验证。各企业分工明确，紧密合作，进行了全面的市场调研、资料查询，收集了产品测试、用户使用方面的相关技术数据，比较全面和准确地了解</w:t>
      </w:r>
      <w:r>
        <w:rPr>
          <w:rFonts w:hint="eastAsia" w:cs="Times New Roman" w:asciiTheme="minorEastAsia" w:hAnsiTheme="minorEastAsia"/>
          <w:color w:val="auto"/>
          <w:kern w:val="0"/>
          <w:szCs w:val="21"/>
          <w:lang w:val="en-US" w:eastAsia="zh-CN"/>
        </w:rPr>
        <w:t>海水淡化装置用铜合金无缝管</w:t>
      </w:r>
      <w:r>
        <w:rPr>
          <w:rFonts w:hint="eastAsia"/>
          <w:color w:val="auto"/>
        </w:rPr>
        <w:t>应用领域的需求及其技术要求，参照国外先进标准</w:t>
      </w:r>
      <w:r>
        <w:rPr>
          <w:rFonts w:hint="eastAsia" w:asciiTheme="majorEastAsia" w:hAnsiTheme="majorEastAsia" w:eastAsiaTheme="majorEastAsia"/>
          <w:color w:val="auto"/>
          <w:szCs w:val="21"/>
          <w:lang w:val="en-US" w:eastAsia="zh-CN"/>
        </w:rPr>
        <w:t>ASTM B 552-19《海水淡化工厂用无缝和焊接铜镍管》标准</w:t>
      </w:r>
      <w:r>
        <w:rPr>
          <w:rFonts w:hint="eastAsia"/>
          <w:color w:val="auto"/>
        </w:rPr>
        <w:t>，经过编制小组多次内部讨论及广泛征求意见，</w:t>
      </w:r>
      <w:r>
        <w:rPr>
          <w:rFonts w:hint="eastAsia"/>
          <w:color w:val="auto"/>
          <w:lang w:val="en-US" w:eastAsia="zh-CN"/>
        </w:rPr>
        <w:t>编制组于2021年10月提出了标准的《讨论稿》及《编制说明》，</w:t>
      </w:r>
      <w:r>
        <w:rPr>
          <w:rFonts w:hint="eastAsia"/>
          <w:color w:val="auto"/>
        </w:rPr>
        <w:t>全国有色金属标准化技术委员会</w:t>
      </w:r>
      <w:r>
        <w:rPr>
          <w:rFonts w:hint="eastAsia"/>
          <w:color w:val="auto"/>
          <w:lang w:val="en-US" w:eastAsia="zh-CN"/>
        </w:rPr>
        <w:t>于</w:t>
      </w:r>
      <w:r>
        <w:rPr>
          <w:rFonts w:ascii="宋体" w:hAnsi="宋体"/>
          <w:color w:val="auto"/>
          <w:szCs w:val="21"/>
          <w:highlight w:val="none"/>
        </w:rPr>
        <w:t>2021.</w:t>
      </w:r>
      <w:r>
        <w:rPr>
          <w:rFonts w:hint="eastAsia" w:ascii="宋体" w:hAnsi="宋体"/>
          <w:color w:val="auto"/>
          <w:szCs w:val="21"/>
          <w:highlight w:val="none"/>
          <w:lang w:val="en-US" w:eastAsia="zh-CN"/>
        </w:rPr>
        <w:t>11.24日召开了网络讨论会</w:t>
      </w:r>
      <w:r>
        <w:rPr>
          <w:rFonts w:hint="eastAsia"/>
          <w:color w:val="auto"/>
        </w:rPr>
        <w:t>，与会专家就标准《讨论稿》及《编制说明》提出了相关的修改意见。</w:t>
      </w:r>
    </w:p>
    <w:p>
      <w:pPr>
        <w:pStyle w:val="4"/>
        <w:spacing w:line="320" w:lineRule="exact"/>
        <w:ind w:left="0" w:leftChars="0" w:firstLine="420" w:firstLineChars="200"/>
        <w:rPr>
          <w:rFonts w:hint="eastAsia" w:eastAsia="宋体"/>
          <w:color w:val="auto"/>
          <w:lang w:eastAsia="zh-CN"/>
        </w:rPr>
      </w:pPr>
      <w:r>
        <w:rPr>
          <w:rFonts w:hint="eastAsia"/>
          <w:color w:val="auto"/>
        </w:rPr>
        <w:t>会后根据标准讨论会会议精神，编制小组对照修改意见进行了修改，并再次向参与起草单位以及相关使用单位征集了主要技术要求的测试数据和意见，并于202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月完成了本标准《预审稿》及《编制说明》。由全国有色金属标准化技术委员会于202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28日</w:t>
      </w:r>
      <w:r>
        <w:rPr>
          <w:rFonts w:hint="eastAsia"/>
          <w:color w:val="auto"/>
        </w:rPr>
        <w:t>组织召开了标准</w:t>
      </w:r>
      <w:r>
        <w:rPr>
          <w:rFonts w:hint="eastAsia" w:ascii="宋体" w:hAnsi="宋体"/>
          <w:color w:val="auto"/>
          <w:szCs w:val="21"/>
          <w:highlight w:val="none"/>
          <w:lang w:val="en-US" w:eastAsia="zh-CN"/>
        </w:rPr>
        <w:t>网络</w:t>
      </w:r>
      <w:r>
        <w:rPr>
          <w:rFonts w:hint="eastAsia"/>
          <w:color w:val="auto"/>
        </w:rPr>
        <w:t>预审讨论会，与会专家就标准《预审稿》及《编制说明》提出了相关修改意见。会后编制小组根据标准预审会议精神和各专家提出的修改意见，对标准《预审稿》及《编制说明书》进行了补充和完善，形成了本标准《征求意见稿》及《征求意见稿编制说明》</w:t>
      </w:r>
      <w:r>
        <w:rPr>
          <w:rFonts w:hint="eastAsia"/>
          <w:color w:val="auto"/>
          <w:lang w:eastAsia="zh-CN"/>
        </w:rPr>
        <w:t>。</w:t>
      </w:r>
    </w:p>
    <w:p>
      <w:pPr>
        <w:spacing w:line="360" w:lineRule="auto"/>
        <w:ind w:firstLine="420" w:firstLineChars="200"/>
        <w:rPr>
          <w:rFonts w:hint="eastAsia" w:ascii="宋体" w:hAnsi="宋体"/>
          <w:color w:val="auto"/>
          <w:sz w:val="21"/>
          <w:szCs w:val="21"/>
        </w:rPr>
      </w:pPr>
      <w:r>
        <w:rPr>
          <w:rFonts w:hint="eastAsia" w:ascii="黑体" w:hAnsi="黑体" w:eastAsia="黑体" w:cs="黑体"/>
          <w:b w:val="0"/>
          <w:bCs w:val="0"/>
          <w:color w:val="auto"/>
          <w:sz w:val="21"/>
          <w:szCs w:val="21"/>
          <w:lang w:val="en-US" w:eastAsia="zh-CN"/>
        </w:rPr>
        <w:t>2）征求意见</w:t>
      </w:r>
      <w:r>
        <w:rPr>
          <w:rFonts w:hint="eastAsia" w:ascii="黑体" w:hAnsi="黑体" w:eastAsia="黑体" w:cs="黑体"/>
          <w:b w:val="0"/>
          <w:bCs w:val="0"/>
          <w:color w:val="auto"/>
          <w:sz w:val="21"/>
          <w:szCs w:val="21"/>
          <w:lang w:eastAsia="zh-CN"/>
        </w:rPr>
        <w:t>阶段</w:t>
      </w:r>
    </w:p>
    <w:p>
      <w:pPr>
        <w:widowControl/>
        <w:spacing w:line="240" w:lineRule="auto"/>
        <w:ind w:firstLine="420" w:firstLineChars="200"/>
        <w:rPr>
          <w:rFonts w:hint="eastAsia"/>
          <w:color w:val="auto"/>
          <w:szCs w:val="21"/>
        </w:rPr>
      </w:pPr>
      <w:r>
        <w:rPr>
          <w:rFonts w:hint="eastAsia"/>
          <w:color w:val="auto"/>
        </w:rPr>
        <w:t>于202</w:t>
      </w:r>
      <w:r>
        <w:rPr>
          <w:rFonts w:hint="eastAsia"/>
          <w:color w:val="auto"/>
          <w:lang w:val="en-US" w:eastAsia="zh-CN"/>
        </w:rPr>
        <w:t>2</w:t>
      </w:r>
      <w:r>
        <w:rPr>
          <w:rFonts w:hint="eastAsia"/>
          <w:color w:val="auto"/>
        </w:rPr>
        <w:t>年</w:t>
      </w:r>
      <w:r>
        <w:rPr>
          <w:rFonts w:hint="eastAsia"/>
          <w:color w:val="auto"/>
          <w:lang w:val="en-US" w:eastAsia="zh-CN"/>
        </w:rPr>
        <w:t>6</w:t>
      </w:r>
      <w:r>
        <w:rPr>
          <w:rFonts w:hint="eastAsia"/>
          <w:color w:val="auto"/>
        </w:rPr>
        <w:t>月发送《征求意见稿》及《征求意见稿编制说明》的单位数</w:t>
      </w:r>
      <w:r>
        <w:rPr>
          <w:rFonts w:hint="eastAsia"/>
          <w:color w:val="auto"/>
          <w:lang w:val="en-US" w:eastAsia="zh-CN"/>
        </w:rPr>
        <w:t>15</w:t>
      </w:r>
      <w:r>
        <w:rPr>
          <w:rFonts w:hint="eastAsia"/>
          <w:color w:val="auto"/>
        </w:rPr>
        <w:t>个；回函并有建议或意见的单位数</w:t>
      </w:r>
      <w:r>
        <w:rPr>
          <w:rFonts w:hint="eastAsia"/>
          <w:color w:val="auto"/>
          <w:lang w:val="en-US" w:eastAsia="zh-CN"/>
        </w:rPr>
        <w:t>15</w:t>
      </w:r>
      <w:r>
        <w:rPr>
          <w:rFonts w:hint="eastAsia"/>
          <w:color w:val="auto"/>
        </w:rPr>
        <w:t>个；没有回函的单位数0个。</w:t>
      </w:r>
      <w:r>
        <w:rPr>
          <w:rFonts w:hint="eastAsia"/>
          <w:color w:val="auto"/>
          <w:szCs w:val="21"/>
        </w:rPr>
        <w:t>编制组根据回函意见，</w:t>
      </w:r>
      <w:r>
        <w:rPr>
          <w:rFonts w:hint="eastAsia" w:ascii="宋体" w:hAnsi="宋体"/>
          <w:color w:val="auto"/>
          <w:sz w:val="21"/>
          <w:szCs w:val="21"/>
          <w:lang w:eastAsia="zh-CN"/>
        </w:rPr>
        <w:t>经编制组讨论研究，提出来具体的修改意见和采纳情况，编制了《</w:t>
      </w:r>
      <w:r>
        <w:rPr>
          <w:rFonts w:hint="eastAsia" w:ascii="宋体" w:hAnsi="宋体" w:eastAsia="宋体" w:cs="宋体"/>
          <w:color w:val="auto"/>
          <w:sz w:val="21"/>
          <w:szCs w:val="21"/>
        </w:rPr>
        <w:t>标准</w:t>
      </w:r>
      <w:r>
        <w:rPr>
          <w:rFonts w:hint="eastAsia" w:ascii="宋体" w:hAnsi="宋体" w:eastAsia="宋体" w:cs="宋体"/>
          <w:color w:val="auto"/>
          <w:sz w:val="21"/>
          <w:szCs w:val="21"/>
          <w:lang w:eastAsia="zh-CN"/>
        </w:rPr>
        <w:t>征求意见稿</w:t>
      </w:r>
      <w:r>
        <w:rPr>
          <w:rFonts w:hint="eastAsia" w:ascii="宋体" w:hAnsi="宋体" w:eastAsia="宋体" w:cs="宋体"/>
          <w:color w:val="auto"/>
          <w:sz w:val="21"/>
          <w:szCs w:val="21"/>
        </w:rPr>
        <w:t>意见汇总处理表</w:t>
      </w:r>
      <w:r>
        <w:rPr>
          <w:rFonts w:hint="eastAsia" w:ascii="宋体" w:hAnsi="宋体"/>
          <w:color w:val="auto"/>
          <w:sz w:val="21"/>
          <w:szCs w:val="21"/>
          <w:lang w:eastAsia="zh-CN"/>
        </w:rPr>
        <w:t>》</w:t>
      </w:r>
      <w:r>
        <w:rPr>
          <w:rFonts w:hint="eastAsia"/>
          <w:color w:val="auto"/>
          <w:sz w:val="21"/>
          <w:szCs w:val="21"/>
        </w:rPr>
        <w:t>，</w:t>
      </w:r>
      <w:r>
        <w:rPr>
          <w:rFonts w:hint="eastAsia" w:ascii="宋体" w:hAnsi="宋体"/>
          <w:color w:val="auto"/>
          <w:sz w:val="21"/>
        </w:rPr>
        <w:t>并对</w:t>
      </w:r>
      <w:r>
        <w:rPr>
          <w:rFonts w:hint="eastAsia"/>
          <w:color w:val="auto"/>
          <w:sz w:val="21"/>
        </w:rPr>
        <w:t>《</w:t>
      </w:r>
      <w:r>
        <w:rPr>
          <w:rFonts w:hint="eastAsia" w:ascii="宋体" w:hAnsi="宋体"/>
          <w:color w:val="auto"/>
          <w:sz w:val="21"/>
        </w:rPr>
        <w:t>征求意见</w:t>
      </w:r>
      <w:r>
        <w:rPr>
          <w:rFonts w:hint="eastAsia"/>
          <w:color w:val="auto"/>
          <w:sz w:val="21"/>
        </w:rPr>
        <w:t>稿》</w:t>
      </w:r>
      <w:r>
        <w:rPr>
          <w:rFonts w:hint="eastAsia"/>
          <w:color w:val="auto"/>
          <w:kern w:val="0"/>
          <w:sz w:val="21"/>
        </w:rPr>
        <w:t>及《编制说明》</w:t>
      </w:r>
      <w:r>
        <w:rPr>
          <w:rFonts w:hint="eastAsia"/>
          <w:color w:val="auto"/>
          <w:sz w:val="21"/>
        </w:rPr>
        <w:t>修改后，</w:t>
      </w:r>
      <w:r>
        <w:rPr>
          <w:rFonts w:hint="eastAsia"/>
          <w:color w:val="auto"/>
          <w:szCs w:val="21"/>
        </w:rPr>
        <w:t>于202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7</w:t>
      </w:r>
      <w:r>
        <w:rPr>
          <w:rFonts w:hint="eastAsia"/>
          <w:color w:val="auto"/>
          <w:szCs w:val="21"/>
        </w:rPr>
        <w:t>月完成了本标准《送审稿》及《编制说明》。</w:t>
      </w:r>
    </w:p>
    <w:p>
      <w:pPr>
        <w:spacing w:line="240" w:lineRule="auto"/>
        <w:ind w:firstLine="420" w:firstLineChars="200"/>
        <w:rPr>
          <w:rFonts w:hint="eastAsia" w:ascii="黑体" w:hAnsi="黑体" w:eastAsia="黑体" w:cs="黑体"/>
          <w:color w:val="auto"/>
        </w:rPr>
      </w:pPr>
      <w:r>
        <w:rPr>
          <w:rFonts w:hint="eastAsia" w:ascii="黑体" w:hAnsi="黑体" w:eastAsia="黑体" w:cs="黑体"/>
          <w:b w:val="0"/>
          <w:bCs w:val="0"/>
          <w:color w:val="auto"/>
          <w:sz w:val="21"/>
          <w:szCs w:val="21"/>
          <w:lang w:val="en-US" w:eastAsia="zh-CN"/>
        </w:rPr>
        <w:t>3）</w:t>
      </w:r>
      <w:r>
        <w:rPr>
          <w:rFonts w:hint="eastAsia" w:ascii="黑体" w:hAnsi="黑体" w:eastAsia="黑体" w:cs="黑体"/>
          <w:color w:val="auto"/>
          <w:sz w:val="21"/>
          <w:szCs w:val="21"/>
          <w:lang w:eastAsia="zh-CN"/>
        </w:rPr>
        <w:t>审查阶段</w:t>
      </w:r>
    </w:p>
    <w:p>
      <w:pPr>
        <w:spacing w:line="300" w:lineRule="auto"/>
        <w:ind w:firstLine="420" w:firstLineChars="200"/>
        <w:rPr>
          <w:rFonts w:hint="eastAsia"/>
          <w:color w:val="auto"/>
        </w:rPr>
      </w:pP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szCs w:val="21"/>
        </w:rPr>
      </w:pPr>
      <w:r>
        <w:rPr>
          <w:rFonts w:hint="eastAsia" w:ascii="黑体" w:hAnsi="黑体" w:eastAsia="黑体"/>
          <w:color w:val="auto"/>
          <w:szCs w:val="21"/>
        </w:rPr>
        <w:t>编制原则</w:t>
      </w:r>
    </w:p>
    <w:p>
      <w:pPr>
        <w:pStyle w:val="28"/>
        <w:spacing w:line="300" w:lineRule="auto"/>
        <w:rPr>
          <w:rFonts w:asciiTheme="majorEastAsia" w:hAnsiTheme="majorEastAsia" w:eastAsiaTheme="majorEastAsia"/>
          <w:color w:val="auto"/>
          <w:szCs w:val="21"/>
        </w:rPr>
      </w:pPr>
      <w:r>
        <w:rPr>
          <w:rFonts w:hint="eastAsia"/>
          <w:color w:val="auto"/>
        </w:rPr>
        <w:t>本标准</w:t>
      </w:r>
      <w:r>
        <w:rPr>
          <w:color w:val="auto"/>
        </w:rPr>
        <w:t>本着</w:t>
      </w:r>
      <w:r>
        <w:rPr>
          <w:rFonts w:hint="eastAsia"/>
          <w:color w:val="auto"/>
        </w:rPr>
        <w:t>提升产品质量、节能降耗、绿色环保的编制原则，以提升我国</w:t>
      </w:r>
      <w:r>
        <w:rPr>
          <w:rFonts w:hint="eastAsia"/>
          <w:color w:val="auto"/>
          <w:lang w:val="en-US" w:eastAsia="zh-CN"/>
        </w:rPr>
        <w:t>海水淡化管</w:t>
      </w:r>
      <w:r>
        <w:rPr>
          <w:rFonts w:hint="eastAsia"/>
          <w:color w:val="auto"/>
        </w:rPr>
        <w:t>制造水平为目标，按照</w:t>
      </w:r>
      <w:r>
        <w:rPr>
          <w:rFonts w:hint="eastAsia" w:asciiTheme="majorEastAsia" w:hAnsiTheme="majorEastAsia" w:eastAsiaTheme="majorEastAsia"/>
          <w:color w:val="auto"/>
          <w:szCs w:val="21"/>
        </w:rPr>
        <w:t>GB/T 1.1-</w:t>
      </w:r>
      <w:r>
        <w:rPr>
          <w:rFonts w:hint="eastAsia" w:asciiTheme="majorEastAsia" w:hAnsiTheme="majorEastAsia" w:eastAsiaTheme="majorEastAsia"/>
          <w:color w:val="auto"/>
          <w:szCs w:val="21"/>
        </w:rPr>
        <w:t>20</w:t>
      </w:r>
      <w:r>
        <w:rPr>
          <w:rFonts w:hint="eastAsia" w:asciiTheme="majorEastAsia" w:hAnsiTheme="majorEastAsia" w:eastAsiaTheme="majorEastAsia"/>
          <w:color w:val="auto"/>
          <w:szCs w:val="21"/>
          <w:lang w:val="en-US" w:eastAsia="zh-CN"/>
        </w:rPr>
        <w:t>20</w:t>
      </w:r>
      <w:r>
        <w:rPr>
          <w:rFonts w:hint="eastAsia" w:asciiTheme="majorEastAsia" w:hAnsiTheme="majorEastAsia" w:eastAsiaTheme="majorEastAsia"/>
          <w:color w:val="auto"/>
          <w:szCs w:val="21"/>
        </w:rPr>
        <w:t>《标准化工作导则 第1部分：标准的结构和编写》给出的规则进行起草。同时参照了</w:t>
      </w:r>
      <w:r>
        <w:rPr>
          <w:rFonts w:hint="eastAsia" w:asciiTheme="majorEastAsia" w:hAnsiTheme="majorEastAsia" w:eastAsiaTheme="majorEastAsia"/>
          <w:color w:val="auto"/>
          <w:szCs w:val="21"/>
          <w:lang w:val="en-US" w:eastAsia="zh-CN"/>
        </w:rPr>
        <w:t>ASTM B 552-2019《海水淡化工厂用无缝和焊接铜镍管》</w:t>
      </w:r>
      <w:r>
        <w:rPr>
          <w:rFonts w:hint="eastAsia" w:asciiTheme="majorEastAsia" w:hAnsiTheme="majorEastAsia" w:eastAsiaTheme="majorEastAsia"/>
          <w:color w:val="auto"/>
          <w:szCs w:val="21"/>
        </w:rPr>
        <w:t>和我国的实际生产情况进行的编制。</w:t>
      </w:r>
    </w:p>
    <w:p>
      <w:pPr>
        <w:keepNext w:val="0"/>
        <w:keepLines w:val="0"/>
        <w:pageBreakBefore w:val="0"/>
        <w:numPr>
          <w:ilvl w:val="0"/>
          <w:numId w:val="6"/>
        </w:numPr>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szCs w:val="21"/>
        </w:rPr>
      </w:pPr>
      <w:r>
        <w:rPr>
          <w:rFonts w:hint="eastAsia" w:ascii="黑体" w:hAnsi="黑体" w:eastAsia="黑体"/>
          <w:color w:val="auto"/>
          <w:szCs w:val="21"/>
        </w:rPr>
        <w:t>确定标准主要内容的论据</w:t>
      </w:r>
    </w:p>
    <w:p>
      <w:pPr>
        <w:keepNext w:val="0"/>
        <w:keepLines w:val="0"/>
        <w:pageBreakBefore w:val="0"/>
        <w:widowControl/>
        <w:kinsoku/>
        <w:wordWrap/>
        <w:overflowPunct/>
        <w:topLinePunct w:val="0"/>
        <w:autoSpaceDE/>
        <w:autoSpaceDN/>
        <w:bidi w:val="0"/>
        <w:adjustRightInd/>
        <w:snapToGrid/>
        <w:spacing w:line="300" w:lineRule="auto"/>
        <w:ind w:firstLine="0" w:firstLineChars="0"/>
        <w:textAlignment w:val="auto"/>
        <w:rPr>
          <w:rFonts w:ascii="黑体" w:hAnsi="黑体" w:eastAsia="黑体"/>
          <w:color w:val="auto"/>
        </w:rPr>
      </w:pPr>
      <w:r>
        <w:rPr>
          <w:rFonts w:hint="eastAsia" w:ascii="黑体" w:hAnsi="黑体" w:eastAsia="黑体"/>
          <w:color w:val="auto"/>
        </w:rPr>
        <w:t>4.1标准题目与适用范围</w:t>
      </w:r>
    </w:p>
    <w:p>
      <w:pPr>
        <w:widowControl/>
        <w:spacing w:line="300" w:lineRule="auto"/>
        <w:ind w:firstLine="420" w:firstLineChars="200"/>
        <w:rPr>
          <w:rFonts w:hint="eastAsia"/>
          <w:color w:val="auto"/>
          <w:lang w:val="en-US" w:eastAsia="zh-CN"/>
        </w:rPr>
      </w:pPr>
      <w:r>
        <w:rPr>
          <w:rFonts w:hint="eastAsia"/>
          <w:color w:val="auto"/>
          <w:lang w:val="en-US" w:eastAsia="zh-CN"/>
        </w:rPr>
        <w:t>4.1.1本标准立项名称为“海水淡化装置用铜合金无缝管”，英文名称“Seamless copper alloy tube for water desalting applications”,在标准征求意见的过程中未提出其他建议，仍确定为此项标准的名称。</w:t>
      </w:r>
    </w:p>
    <w:p>
      <w:pPr>
        <w:widowControl/>
        <w:spacing w:line="300" w:lineRule="auto"/>
        <w:ind w:firstLine="420" w:firstLineChars="200"/>
        <w:rPr>
          <w:rFonts w:hint="eastAsia"/>
          <w:color w:val="auto"/>
          <w:lang w:val="en-US" w:eastAsia="zh-CN"/>
        </w:rPr>
      </w:pPr>
      <w:r>
        <w:rPr>
          <w:rFonts w:hint="eastAsia"/>
          <w:color w:val="auto"/>
          <w:lang w:val="en-US" w:eastAsia="zh-CN"/>
        </w:rPr>
        <w:t>4.1.2规定了本标准适用范围：本标准规定了海水淡化装置用铜合金无缝管的分类和标记、技术要求、试验方法、检验规则、标志、包装、运输、贮存及随行文件和订货单内容。</w:t>
      </w:r>
    </w:p>
    <w:p>
      <w:pPr>
        <w:widowControl/>
        <w:spacing w:line="300" w:lineRule="auto"/>
        <w:ind w:firstLine="420" w:firstLineChars="200"/>
        <w:rPr>
          <w:rFonts w:hint="eastAsia"/>
          <w:color w:val="auto"/>
          <w:lang w:val="en-US" w:eastAsia="zh-CN"/>
        </w:rPr>
      </w:pPr>
      <w:r>
        <w:rPr>
          <w:rFonts w:hint="eastAsia"/>
          <w:color w:val="auto"/>
          <w:lang w:val="en-US" w:eastAsia="zh-CN"/>
        </w:rPr>
        <w:t>本标准适用于海水淡化及其他脱盐装置用铜合金无缝管。</w:t>
      </w:r>
    </w:p>
    <w:p>
      <w:pPr>
        <w:keepNext w:val="0"/>
        <w:keepLines w:val="0"/>
        <w:pageBreakBefore w:val="0"/>
        <w:kinsoku/>
        <w:wordWrap/>
        <w:overflowPunct/>
        <w:topLinePunct w:val="0"/>
        <w:autoSpaceDE/>
        <w:autoSpaceDN/>
        <w:bidi w:val="0"/>
        <w:adjustRightInd/>
        <w:snapToGrid/>
        <w:ind w:firstLine="0" w:firstLineChars="0"/>
        <w:textAlignment w:val="auto"/>
        <w:rPr>
          <w:rFonts w:ascii="黑体" w:hAnsi="黑体" w:eastAsia="黑体"/>
          <w:color w:val="auto"/>
        </w:rPr>
      </w:pPr>
      <w:r>
        <w:rPr>
          <w:rFonts w:hint="eastAsia" w:ascii="黑体" w:hAnsi="黑体" w:eastAsia="黑体"/>
          <w:color w:val="auto"/>
        </w:rPr>
        <w:t>4.2要求</w:t>
      </w:r>
    </w:p>
    <w:p>
      <w:pPr>
        <w:keepNext w:val="0"/>
        <w:keepLines w:val="0"/>
        <w:pageBreakBefore w:val="0"/>
        <w:widowControl/>
        <w:kinsoku/>
        <w:wordWrap/>
        <w:overflowPunct/>
        <w:topLinePunct w:val="0"/>
        <w:autoSpaceDE/>
        <w:autoSpaceDN/>
        <w:bidi w:val="0"/>
        <w:adjustRightInd/>
        <w:snapToGrid/>
        <w:spacing w:line="300" w:lineRule="auto"/>
        <w:ind w:firstLine="0" w:firstLineChars="0"/>
        <w:textAlignment w:val="auto"/>
        <w:rPr>
          <w:rFonts w:hAnsi="黑体"/>
          <w:color w:val="auto"/>
          <w:szCs w:val="21"/>
        </w:rPr>
      </w:pPr>
      <w:r>
        <w:rPr>
          <w:rFonts w:hint="eastAsia" w:ascii="宋体" w:hAnsi="宋体"/>
          <w:color w:val="auto"/>
          <w:kern w:val="0"/>
          <w:szCs w:val="20"/>
        </w:rPr>
        <w:t>4.2.1</w:t>
      </w:r>
      <w:r>
        <w:rPr>
          <w:rFonts w:hint="eastAsia" w:hAnsi="黑体"/>
          <w:color w:val="auto"/>
          <w:szCs w:val="21"/>
        </w:rPr>
        <w:t>产品分类</w:t>
      </w:r>
    </w:p>
    <w:p>
      <w:pPr>
        <w:spacing w:line="300" w:lineRule="auto"/>
        <w:ind w:firstLine="420" w:firstLineChars="200"/>
        <w:rPr>
          <w:rFonts w:ascii="宋体" w:hAnsi="宋体"/>
          <w:color w:val="auto"/>
          <w:szCs w:val="21"/>
        </w:rPr>
      </w:pPr>
      <w:r>
        <w:rPr>
          <w:rFonts w:hint="eastAsia" w:ascii="宋体" w:hAnsi="宋体"/>
          <w:color w:val="auto"/>
          <w:szCs w:val="21"/>
        </w:rPr>
        <w:t>产品分类是对铜管产品的牌号、状态、规格进行规定，同时规定了产品标记方法。相关情况分别说明如下：</w:t>
      </w:r>
    </w:p>
    <w:p>
      <w:pPr>
        <w:spacing w:line="30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lang w:val="en-US" w:eastAsia="zh-CN"/>
        </w:rPr>
        <w:t>（1）新增了一个牌号</w:t>
      </w:r>
      <w:r>
        <w:rPr>
          <w:rFonts w:hint="eastAsia" w:ascii="宋体" w:hAnsi="宋体"/>
          <w:color w:val="auto"/>
          <w:szCs w:val="21"/>
        </w:rPr>
        <w:t>BFe10-1.5-1</w:t>
      </w:r>
      <w:r>
        <w:rPr>
          <w:rFonts w:hint="eastAsia" w:ascii="宋体" w:hAnsi="宋体"/>
          <w:color w:val="auto"/>
          <w:szCs w:val="21"/>
          <w:lang w:eastAsia="zh-CN"/>
        </w:rPr>
        <w:t>。</w:t>
      </w:r>
      <w:r>
        <w:rPr>
          <w:rFonts w:hint="eastAsia" w:ascii="宋体" w:hAnsi="宋体"/>
          <w:color w:val="auto"/>
          <w:szCs w:val="21"/>
          <w:highlight w:val="none"/>
          <w:lang w:val="en-US" w:eastAsia="zh-CN"/>
        </w:rPr>
        <w:t>近几年澳洲工程订单中要求的</w:t>
      </w:r>
      <w:r>
        <w:rPr>
          <w:rFonts w:hint="eastAsia" w:ascii="宋体" w:hAnsi="宋体"/>
          <w:color w:val="auto"/>
          <w:szCs w:val="21"/>
          <w:highlight w:val="none"/>
        </w:rPr>
        <w:t>BFe10-1-1</w:t>
      </w:r>
      <w:r>
        <w:rPr>
          <w:rFonts w:hint="eastAsia" w:ascii="宋体" w:hAnsi="宋体"/>
          <w:color w:val="auto"/>
          <w:szCs w:val="21"/>
          <w:highlight w:val="none"/>
          <w:lang w:val="en-US" w:eastAsia="zh-CN"/>
        </w:rPr>
        <w:t>牌号，要按照C70610牌号规定的化学成分提供才能满足客户要求，按照GB/T5231-XXXX中的相应规定，C70610对应的中国牌号为</w:t>
      </w:r>
      <w:r>
        <w:rPr>
          <w:rFonts w:hint="eastAsia" w:ascii="宋体" w:hAnsi="宋体"/>
          <w:color w:val="auto"/>
          <w:szCs w:val="21"/>
          <w:highlight w:val="none"/>
        </w:rPr>
        <w:t>BFe10-1.5-1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所以本次修订新增了</w:t>
      </w:r>
      <w:r>
        <w:rPr>
          <w:rFonts w:hint="eastAsia" w:ascii="宋体" w:hAnsi="宋体"/>
          <w:color w:val="auto"/>
          <w:szCs w:val="21"/>
          <w:highlight w:val="none"/>
        </w:rPr>
        <w:t>BFe10-1.5-1</w:t>
      </w:r>
      <w:r>
        <w:rPr>
          <w:rFonts w:hint="eastAsia" w:ascii="宋体" w:hAnsi="宋体"/>
          <w:color w:val="auto"/>
          <w:szCs w:val="21"/>
          <w:highlight w:val="none"/>
          <w:lang w:val="en-US" w:eastAsia="zh-CN"/>
        </w:rPr>
        <w:t>牌号。</w:t>
      </w:r>
    </w:p>
    <w:p>
      <w:pPr>
        <w:spacing w:line="300" w:lineRule="auto"/>
        <w:ind w:firstLine="420" w:firstLineChars="200"/>
        <w:rPr>
          <w:rFonts w:hint="default" w:ascii="宋体" w:hAnsi="宋体"/>
          <w:color w:val="auto"/>
          <w:szCs w:val="21"/>
          <w:lang w:val="en-US" w:eastAsia="zh-CN"/>
        </w:rPr>
      </w:pPr>
      <w:r>
        <w:rPr>
          <w:rFonts w:hint="eastAsia" w:ascii="宋体" w:hAnsi="宋体"/>
          <w:color w:val="auto"/>
          <w:szCs w:val="21"/>
          <w:highlight w:val="none"/>
          <w:lang w:val="en-US" w:eastAsia="zh-CN"/>
        </w:rPr>
        <w:t>（2）新增</w:t>
      </w:r>
      <w:r>
        <w:rPr>
          <w:rFonts w:hint="eastAsia" w:ascii="宋体" w:hAnsi="宋体"/>
          <w:color w:val="auto"/>
          <w:szCs w:val="21"/>
          <w:lang w:val="en-US" w:eastAsia="zh-CN"/>
        </w:rPr>
        <w:t>了</w:t>
      </w:r>
      <w:r>
        <w:rPr>
          <w:rFonts w:hint="eastAsia" w:ascii="宋体" w:hAnsi="宋体"/>
          <w:color w:val="auto"/>
          <w:szCs w:val="21"/>
          <w:lang w:val="en-US" w:eastAsia="zh-CN"/>
        </w:rPr>
        <w:t>2个状态</w:t>
      </w:r>
      <w:r>
        <w:rPr>
          <w:rFonts w:hint="eastAsia" w:ascii="Times New Roman" w:hAnsi="Times New Roman" w:eastAsia="宋体" w:cs="Times New Roman"/>
          <w:color w:val="auto"/>
          <w:sz w:val="21"/>
          <w:szCs w:val="22"/>
          <w:highlight w:val="none"/>
        </w:rPr>
        <w:t>轻拉（H55）</w:t>
      </w:r>
      <w:r>
        <w:rPr>
          <w:rFonts w:hint="eastAsia" w:ascii="Times New Roman" w:hAnsi="Times New Roman" w:eastAsia="宋体" w:cs="Times New Roman"/>
          <w:color w:val="auto"/>
          <w:sz w:val="21"/>
          <w:szCs w:val="22"/>
          <w:highlight w:val="none"/>
          <w:lang w:val="en-US" w:eastAsia="zh-CN"/>
        </w:rPr>
        <w:t>和</w:t>
      </w:r>
      <w:r>
        <w:rPr>
          <w:rFonts w:hint="eastAsia" w:ascii="宋体" w:hAnsi="宋体"/>
          <w:color w:val="auto"/>
          <w:szCs w:val="21"/>
          <w:lang w:val="en-US" w:eastAsia="zh-CN"/>
        </w:rPr>
        <w:t>退火到1/4硬（O81）。</w:t>
      </w:r>
      <w:r>
        <w:rPr>
          <w:rFonts w:hint="eastAsia" w:ascii="宋体" w:hAnsi="宋体"/>
          <w:color w:val="auto"/>
          <w:szCs w:val="21"/>
          <w:lang w:val="en-US" w:eastAsia="zh-CN"/>
        </w:rPr>
        <w:t>O81</w:t>
      </w:r>
      <w:r>
        <w:rPr>
          <w:rFonts w:hint="eastAsia" w:ascii="宋体" w:hAnsi="宋体"/>
          <w:color w:val="auto"/>
          <w:szCs w:val="21"/>
          <w:lang w:val="en-US" w:eastAsia="zh-CN"/>
        </w:rPr>
        <w:t>状态是新增牌号</w:t>
      </w:r>
      <w:r>
        <w:rPr>
          <w:rFonts w:hint="eastAsia" w:ascii="宋体" w:hAnsi="宋体"/>
          <w:color w:val="auto"/>
          <w:szCs w:val="21"/>
        </w:rPr>
        <w:t>BFe10-1.5-1</w:t>
      </w:r>
      <w:r>
        <w:rPr>
          <w:rFonts w:hint="eastAsia" w:ascii="宋体" w:hAnsi="宋体"/>
          <w:color w:val="auto"/>
          <w:szCs w:val="21"/>
          <w:lang w:val="en-US" w:eastAsia="zh-CN"/>
        </w:rPr>
        <w:t>的实际供货状态，而在实际生产供货中，该牌号有</w:t>
      </w:r>
      <w:r>
        <w:rPr>
          <w:rFonts w:hint="eastAsia" w:ascii="宋体" w:hAnsi="宋体"/>
          <w:color w:val="auto"/>
          <w:szCs w:val="21"/>
        </w:rPr>
        <w:t>退火（O61）</w:t>
      </w:r>
      <w:r>
        <w:rPr>
          <w:rFonts w:hint="eastAsia" w:ascii="宋体" w:hAnsi="宋体"/>
          <w:color w:val="auto"/>
          <w:szCs w:val="21"/>
          <w:lang w:val="en-US" w:eastAsia="zh-CN"/>
        </w:rPr>
        <w:t>和退火到1/4硬（O81）两个状态。</w:t>
      </w:r>
      <w:r>
        <w:rPr>
          <w:rFonts w:hint="eastAsia" w:ascii="Times New Roman" w:hAnsi="Times New Roman" w:eastAsia="宋体" w:cs="Times New Roman"/>
          <w:color w:val="auto"/>
          <w:sz w:val="21"/>
          <w:szCs w:val="22"/>
          <w:highlight w:val="none"/>
        </w:rPr>
        <w:t>H55</w:t>
      </w:r>
      <w:r>
        <w:rPr>
          <w:rFonts w:hint="eastAsia" w:ascii="宋体" w:hAnsi="宋体"/>
          <w:color w:val="auto"/>
          <w:szCs w:val="21"/>
          <w:lang w:val="en-US" w:eastAsia="zh-CN"/>
        </w:rPr>
        <w:t>状态是</w:t>
      </w:r>
      <w:r>
        <w:rPr>
          <w:rFonts w:ascii="宋体"/>
          <w:color w:val="auto"/>
          <w:sz w:val="21"/>
          <w:szCs w:val="21"/>
        </w:rPr>
        <w:t>BFe10-1-1</w:t>
      </w:r>
      <w:r>
        <w:rPr>
          <w:rFonts w:hint="eastAsia" w:ascii="宋体" w:hAnsi="宋体"/>
          <w:color w:val="auto"/>
          <w:szCs w:val="21"/>
          <w:lang w:val="en-US" w:eastAsia="zh-CN"/>
        </w:rPr>
        <w:t>的实际供货状态。</w:t>
      </w:r>
    </w:p>
    <w:p>
      <w:pPr>
        <w:spacing w:line="30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（3）拓宽了产品供货长度的范围。该范围的拓宽按照实际供货情况修订。</w:t>
      </w:r>
    </w:p>
    <w:p>
      <w:pPr>
        <w:spacing w:line="30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管材的牌号、代号、状态应符合表1的规定。</w:t>
      </w:r>
    </w:p>
    <w:p>
      <w:pPr>
        <w:spacing w:line="30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管材的规格应符合表2的规定。</w:t>
      </w:r>
    </w:p>
    <w:p>
      <w:pPr>
        <w:ind w:firstLine="3465" w:firstLineChars="1650"/>
        <w:rPr>
          <w:rFonts w:hint="eastAsia"/>
          <w:color w:val="auto"/>
        </w:rPr>
      </w:pPr>
      <w:r>
        <w:rPr>
          <w:rFonts w:hint="eastAsia" w:ascii="黑体" w:eastAsia="黑体"/>
          <w:color w:val="auto"/>
          <w:szCs w:val="21"/>
        </w:rPr>
        <w:t>表1　管材的牌号、</w:t>
      </w:r>
      <w:r>
        <w:rPr>
          <w:rFonts w:hint="eastAsia" w:ascii="黑体" w:eastAsia="黑体"/>
          <w:color w:val="auto"/>
          <w:szCs w:val="21"/>
          <w:lang w:val="en-US" w:eastAsia="zh-CN"/>
        </w:rPr>
        <w:t>代号、</w:t>
      </w:r>
      <w:r>
        <w:rPr>
          <w:rFonts w:hint="eastAsia" w:ascii="黑体" w:eastAsia="黑体"/>
          <w:color w:val="auto"/>
          <w:szCs w:val="21"/>
        </w:rPr>
        <w:t>状态</w:t>
      </w:r>
    </w:p>
    <w:tbl>
      <w:tblPr>
        <w:tblStyle w:val="11"/>
        <w:tblW w:w="0" w:type="auto"/>
        <w:tblInd w:w="53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854"/>
        <w:gridCol w:w="3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54" w:type="dxa"/>
            <w:tcBorders>
              <w:top w:val="single" w:color="auto" w:sz="4" w:space="0"/>
              <w:bottom w:val="single" w:color="auto" w:sz="8" w:space="0"/>
            </w:tcBorders>
            <w:noWrap w:val="0"/>
            <w:vAlign w:val="center"/>
          </w:tcPr>
          <w:p>
            <w:pPr>
              <w:jc w:val="center"/>
              <w:rPr>
                <w:rFonts w:hint="eastAsia"/>
                <w:color w:val="auto"/>
                <w:szCs w:val="21"/>
              </w:rPr>
            </w:pPr>
            <w:r>
              <w:rPr>
                <w:rFonts w:hint="eastAsia"/>
                <w:color w:val="auto"/>
                <w:szCs w:val="21"/>
              </w:rPr>
              <w:t>牌号</w:t>
            </w:r>
          </w:p>
        </w:tc>
        <w:tc>
          <w:tcPr>
            <w:tcW w:w="2854" w:type="dxa"/>
            <w:tcBorders>
              <w:top w:val="single" w:color="auto" w:sz="4" w:space="0"/>
              <w:bottom w:val="single" w:color="auto" w:sz="8" w:space="0"/>
            </w:tcBorders>
            <w:noWrap w:val="0"/>
            <w:vAlign w:val="center"/>
          </w:tcPr>
          <w:p>
            <w:pPr>
              <w:jc w:val="center"/>
              <w:rPr>
                <w:rFonts w:hint="eastAsia"/>
                <w:color w:val="auto"/>
                <w:szCs w:val="21"/>
              </w:rPr>
            </w:pPr>
            <w:r>
              <w:rPr>
                <w:rFonts w:hint="eastAsia"/>
                <w:color w:val="auto"/>
                <w:szCs w:val="21"/>
              </w:rPr>
              <w:t>代号</w:t>
            </w:r>
          </w:p>
        </w:tc>
        <w:tc>
          <w:tcPr>
            <w:tcW w:w="3072" w:type="dxa"/>
            <w:tcBorders>
              <w:top w:val="single" w:color="auto" w:sz="4" w:space="0"/>
              <w:bottom w:val="single" w:color="auto" w:sz="8" w:space="0"/>
            </w:tcBorders>
            <w:noWrap w:val="0"/>
            <w:vAlign w:val="center"/>
          </w:tcPr>
          <w:p>
            <w:pPr>
              <w:jc w:val="center"/>
              <w:rPr>
                <w:rFonts w:hint="eastAsia"/>
                <w:color w:val="auto"/>
                <w:szCs w:val="21"/>
              </w:rPr>
            </w:pPr>
            <w:r>
              <w:rPr>
                <w:rFonts w:hint="eastAsia"/>
                <w:color w:val="auto"/>
                <w:szCs w:val="21"/>
              </w:rPr>
              <w:t>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54" w:type="dxa"/>
            <w:tcBorders>
              <w:top w:val="single" w:color="auto" w:sz="8" w:space="0"/>
            </w:tcBorders>
            <w:noWrap w:val="0"/>
            <w:vAlign w:val="center"/>
          </w:tcPr>
          <w:p>
            <w:pPr>
              <w:jc w:val="center"/>
              <w:rPr>
                <w:rFonts w:hint="eastAsia"/>
                <w:color w:val="auto"/>
                <w:szCs w:val="21"/>
              </w:rPr>
            </w:pPr>
            <w:r>
              <w:rPr>
                <w:rFonts w:hint="eastAsia"/>
                <w:color w:val="auto"/>
                <w:szCs w:val="21"/>
              </w:rPr>
              <w:t>HAl77-2</w:t>
            </w:r>
          </w:p>
        </w:tc>
        <w:tc>
          <w:tcPr>
            <w:tcW w:w="2854" w:type="dxa"/>
            <w:tcBorders>
              <w:top w:val="single" w:color="auto" w:sz="8" w:space="0"/>
            </w:tcBorders>
            <w:noWrap w:val="0"/>
            <w:vAlign w:val="center"/>
          </w:tcPr>
          <w:p>
            <w:pPr>
              <w:jc w:val="center"/>
              <w:rPr>
                <w:rFonts w:hint="eastAsia"/>
                <w:color w:val="auto"/>
                <w:szCs w:val="21"/>
              </w:rPr>
            </w:pPr>
            <w:r>
              <w:rPr>
                <w:rFonts w:hint="eastAsia"/>
                <w:color w:val="auto"/>
                <w:szCs w:val="21"/>
              </w:rPr>
              <w:t>C68700</w:t>
            </w:r>
          </w:p>
        </w:tc>
        <w:tc>
          <w:tcPr>
            <w:tcW w:w="3072" w:type="dxa"/>
            <w:tcBorders>
              <w:top w:val="single" w:color="auto" w:sz="8" w:space="0"/>
            </w:tcBorders>
            <w:noWrap w:val="0"/>
            <w:vAlign w:val="center"/>
          </w:tcPr>
          <w:p>
            <w:pPr>
              <w:jc w:val="center"/>
              <w:rPr>
                <w:rFonts w:hint="eastAsia"/>
                <w:color w:val="auto"/>
                <w:szCs w:val="21"/>
                <w:lang w:eastAsia="zh-CN"/>
              </w:rPr>
            </w:pPr>
            <w:r>
              <w:rPr>
                <w:rFonts w:hint="eastAsia"/>
                <w:color w:val="auto"/>
                <w:szCs w:val="21"/>
              </w:rPr>
              <w:t>退火</w:t>
            </w:r>
            <w:r>
              <w:rPr>
                <w:rFonts w:hint="eastAsia"/>
                <w:color w:val="auto"/>
                <w:szCs w:val="21"/>
                <w:lang w:eastAsia="zh-CN"/>
              </w:rPr>
              <w:t>（</w:t>
            </w:r>
            <w:r>
              <w:rPr>
                <w:rFonts w:hint="eastAsia"/>
                <w:color w:val="auto"/>
                <w:szCs w:val="21"/>
                <w:lang w:val="en-US" w:eastAsia="zh-CN"/>
              </w:rPr>
              <w:t>O61</w:t>
            </w:r>
            <w:r>
              <w:rPr>
                <w:rFonts w:hint="eastAsia"/>
                <w:color w:val="auto"/>
                <w:szCs w:val="21"/>
                <w:lang w:eastAsia="zh-CN"/>
              </w:rPr>
              <w:t>）</w:t>
            </w:r>
          </w:p>
          <w:p>
            <w:pPr>
              <w:jc w:val="center"/>
              <w:rPr>
                <w:rFonts w:hint="eastAsia"/>
                <w:color w:val="auto"/>
                <w:szCs w:val="21"/>
              </w:rPr>
            </w:pPr>
            <w:r>
              <w:rPr>
                <w:rFonts w:hint="eastAsia"/>
                <w:color w:val="auto"/>
                <w:szCs w:val="21"/>
                <w:lang w:val="en-US" w:eastAsia="zh-CN"/>
              </w:rPr>
              <w:t>退火到1/2硬（O82）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54" w:type="dxa"/>
            <w:tcBorders>
              <w:bottom w:val="single" w:color="auto" w:sz="4" w:space="0"/>
            </w:tcBorders>
            <w:noWrap w:val="0"/>
            <w:vAlign w:val="center"/>
          </w:tcPr>
          <w:p>
            <w:pPr>
              <w:jc w:val="center"/>
              <w:rPr>
                <w:rFonts w:hint="eastAsia"/>
                <w:color w:val="auto"/>
                <w:szCs w:val="21"/>
              </w:rPr>
            </w:pPr>
            <w:r>
              <w:rPr>
                <w:rFonts w:hint="eastAsia"/>
                <w:color w:val="auto"/>
                <w:szCs w:val="21"/>
              </w:rPr>
              <w:t>BFe10-1-1</w:t>
            </w:r>
          </w:p>
        </w:tc>
        <w:tc>
          <w:tcPr>
            <w:tcW w:w="2854" w:type="dxa"/>
            <w:tcBorders>
              <w:bottom w:val="single" w:color="auto" w:sz="4" w:space="0"/>
            </w:tcBorders>
            <w:noWrap w:val="0"/>
            <w:vAlign w:val="center"/>
          </w:tcPr>
          <w:p>
            <w:pPr>
              <w:jc w:val="center"/>
              <w:rPr>
                <w:rFonts w:hint="eastAsia"/>
                <w:color w:val="auto"/>
                <w:szCs w:val="21"/>
              </w:rPr>
            </w:pPr>
            <w:r>
              <w:rPr>
                <w:rFonts w:hint="eastAsia"/>
                <w:color w:val="auto"/>
                <w:szCs w:val="21"/>
              </w:rPr>
              <w:t>T70590</w:t>
            </w:r>
          </w:p>
        </w:tc>
        <w:tc>
          <w:tcPr>
            <w:tcW w:w="3072" w:type="dxa"/>
            <w:tcBorders>
              <w:bottom w:val="single" w:color="auto" w:sz="4" w:space="0"/>
            </w:tcBorders>
            <w:noWrap w:val="0"/>
            <w:vAlign w:val="center"/>
          </w:tcPr>
          <w:p>
            <w:pPr>
              <w:jc w:val="center"/>
              <w:rPr>
                <w:rFonts w:hint="eastAsia"/>
                <w:color w:val="auto"/>
                <w:szCs w:val="21"/>
                <w:lang w:eastAsia="zh-CN"/>
              </w:rPr>
            </w:pPr>
            <w:r>
              <w:rPr>
                <w:rFonts w:hint="eastAsia"/>
                <w:color w:val="auto"/>
                <w:szCs w:val="21"/>
              </w:rPr>
              <w:t>退火</w:t>
            </w:r>
            <w:r>
              <w:rPr>
                <w:rFonts w:hint="eastAsia"/>
                <w:color w:val="auto"/>
                <w:szCs w:val="21"/>
                <w:lang w:eastAsia="zh-CN"/>
              </w:rPr>
              <w:t>（</w:t>
            </w:r>
            <w:r>
              <w:rPr>
                <w:rFonts w:hint="eastAsia"/>
                <w:color w:val="auto"/>
                <w:szCs w:val="21"/>
                <w:lang w:val="en-US" w:eastAsia="zh-CN"/>
              </w:rPr>
              <w:t>O61</w:t>
            </w:r>
            <w:r>
              <w:rPr>
                <w:rFonts w:hint="eastAsia"/>
                <w:color w:val="auto"/>
                <w:szCs w:val="21"/>
                <w:lang w:eastAsia="zh-CN"/>
              </w:rPr>
              <w:t>）</w:t>
            </w:r>
          </w:p>
          <w:p>
            <w:pPr>
              <w:jc w:val="center"/>
              <w:rPr>
                <w:rFonts w:hint="eastAsia"/>
                <w:color w:val="auto"/>
                <w:szCs w:val="21"/>
                <w:lang w:val="en-US" w:eastAsia="zh-CN"/>
              </w:rPr>
            </w:pPr>
            <w:r>
              <w:rPr>
                <w:rFonts w:hint="eastAsia"/>
                <w:color w:val="auto"/>
                <w:szCs w:val="21"/>
                <w:lang w:val="en-US" w:eastAsia="zh-CN"/>
              </w:rPr>
              <w:t>轻拉（H55）</w:t>
            </w:r>
          </w:p>
          <w:p>
            <w:pPr>
              <w:jc w:val="center"/>
              <w:rPr>
                <w:rFonts w:hint="eastAsia"/>
                <w:color w:val="auto"/>
                <w:szCs w:val="21"/>
              </w:rPr>
            </w:pPr>
            <w:r>
              <w:rPr>
                <w:rFonts w:hint="eastAsia"/>
                <w:color w:val="auto"/>
                <w:szCs w:val="21"/>
                <w:lang w:val="en-US" w:eastAsia="zh-CN"/>
              </w:rPr>
              <w:t>退火到1/2硬</w:t>
            </w:r>
            <w:r>
              <w:rPr>
                <w:rFonts w:hint="eastAsia"/>
                <w:color w:val="auto"/>
                <w:szCs w:val="21"/>
                <w:lang w:eastAsia="zh-CN"/>
              </w:rPr>
              <w:t>（</w:t>
            </w:r>
            <w:r>
              <w:rPr>
                <w:rFonts w:hint="eastAsia"/>
                <w:color w:val="auto"/>
                <w:szCs w:val="21"/>
                <w:lang w:val="en-US" w:eastAsia="zh-CN"/>
              </w:rPr>
              <w:t>O82</w:t>
            </w:r>
            <w:r>
              <w:rPr>
                <w:rFonts w:hint="eastAsia"/>
                <w:color w:val="auto"/>
                <w:szCs w:val="21"/>
                <w:lang w:eastAsia="zh-CN"/>
              </w:rPr>
              <w:t>）</w:t>
            </w:r>
          </w:p>
          <w:p>
            <w:pPr>
              <w:jc w:val="center"/>
              <w:rPr>
                <w:rFonts w:hint="eastAsia"/>
                <w:color w:val="auto"/>
                <w:szCs w:val="21"/>
              </w:rPr>
            </w:pPr>
            <w:r>
              <w:rPr>
                <w:rFonts w:hint="eastAsia"/>
                <w:color w:val="auto"/>
                <w:szCs w:val="21"/>
              </w:rPr>
              <w:t>硬拉（H80）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54" w:type="dxa"/>
            <w:tcBorders>
              <w:top w:val="single" w:color="auto" w:sz="4" w:space="0"/>
              <w:bottom w:val="single" w:color="auto" w:sz="4" w:space="0"/>
            </w:tcBorders>
            <w:noWrap w:val="0"/>
            <w:vAlign w:val="center"/>
          </w:tcPr>
          <w:p>
            <w:pPr>
              <w:jc w:val="center"/>
              <w:rPr>
                <w:rFonts w:hint="eastAsia"/>
                <w:color w:val="auto"/>
                <w:szCs w:val="21"/>
              </w:rPr>
            </w:pPr>
            <w:r>
              <w:rPr>
                <w:rFonts w:hint="eastAsia"/>
                <w:color w:val="auto"/>
                <w:szCs w:val="21"/>
              </w:rPr>
              <w:t>BFe16-1-1-0.5</w:t>
            </w:r>
          </w:p>
          <w:p>
            <w:pPr>
              <w:jc w:val="center"/>
              <w:rPr>
                <w:rFonts w:hint="eastAsia"/>
                <w:color w:val="auto"/>
                <w:szCs w:val="21"/>
              </w:rPr>
            </w:pPr>
            <w:r>
              <w:rPr>
                <w:rFonts w:hint="eastAsia"/>
                <w:color w:val="auto"/>
                <w:szCs w:val="21"/>
              </w:rPr>
              <w:t>BFe30-1-1</w:t>
            </w:r>
          </w:p>
          <w:p>
            <w:pPr>
              <w:jc w:val="center"/>
              <w:rPr>
                <w:rFonts w:hint="eastAsia"/>
                <w:color w:val="auto"/>
                <w:szCs w:val="21"/>
              </w:rPr>
            </w:pPr>
            <w:r>
              <w:rPr>
                <w:rFonts w:hint="eastAsia"/>
                <w:color w:val="auto"/>
                <w:szCs w:val="21"/>
              </w:rPr>
              <w:t>BFe30-2-2</w:t>
            </w:r>
          </w:p>
        </w:tc>
        <w:tc>
          <w:tcPr>
            <w:tcW w:w="2854" w:type="dxa"/>
            <w:tcBorders>
              <w:top w:val="single" w:color="auto" w:sz="4" w:space="0"/>
              <w:bottom w:val="single" w:color="auto" w:sz="4" w:space="0"/>
            </w:tcBorders>
            <w:noWrap w:val="0"/>
            <w:vAlign w:val="center"/>
          </w:tcPr>
          <w:p>
            <w:pPr>
              <w:jc w:val="center"/>
              <w:rPr>
                <w:rFonts w:hint="eastAsia"/>
                <w:color w:val="auto"/>
                <w:szCs w:val="21"/>
              </w:rPr>
            </w:pPr>
            <w:r>
              <w:rPr>
                <w:rFonts w:hint="eastAsia"/>
                <w:color w:val="auto"/>
                <w:szCs w:val="21"/>
              </w:rPr>
              <w:t>T70900</w:t>
            </w:r>
          </w:p>
          <w:p>
            <w:pPr>
              <w:jc w:val="center"/>
              <w:rPr>
                <w:rFonts w:hint="eastAsia"/>
                <w:color w:val="auto"/>
                <w:szCs w:val="21"/>
              </w:rPr>
            </w:pPr>
            <w:r>
              <w:rPr>
                <w:rFonts w:hint="eastAsia"/>
                <w:color w:val="auto"/>
                <w:szCs w:val="21"/>
              </w:rPr>
              <w:t>T71510</w:t>
            </w:r>
          </w:p>
          <w:p>
            <w:pPr>
              <w:jc w:val="center"/>
              <w:rPr>
                <w:rFonts w:hint="eastAsia"/>
                <w:color w:val="auto"/>
                <w:szCs w:val="21"/>
              </w:rPr>
            </w:pPr>
            <w:r>
              <w:rPr>
                <w:rFonts w:hint="eastAsia"/>
                <w:color w:val="auto"/>
                <w:szCs w:val="21"/>
              </w:rPr>
              <w:t>T71520</w:t>
            </w:r>
          </w:p>
        </w:tc>
        <w:tc>
          <w:tcPr>
            <w:tcW w:w="3072" w:type="dxa"/>
            <w:tcBorders>
              <w:top w:val="single" w:color="auto" w:sz="4" w:space="0"/>
              <w:bottom w:val="single" w:color="auto" w:sz="4" w:space="0"/>
            </w:tcBorders>
            <w:noWrap w:val="0"/>
            <w:vAlign w:val="center"/>
          </w:tcPr>
          <w:p>
            <w:pPr>
              <w:jc w:val="center"/>
              <w:rPr>
                <w:rFonts w:hint="eastAsia"/>
                <w:color w:val="auto"/>
                <w:szCs w:val="21"/>
                <w:lang w:eastAsia="zh-CN"/>
              </w:rPr>
            </w:pPr>
            <w:r>
              <w:rPr>
                <w:rFonts w:hint="eastAsia"/>
                <w:color w:val="auto"/>
                <w:szCs w:val="21"/>
              </w:rPr>
              <w:t>退火</w:t>
            </w:r>
            <w:r>
              <w:rPr>
                <w:rFonts w:hint="eastAsia"/>
                <w:color w:val="auto"/>
                <w:szCs w:val="21"/>
                <w:lang w:eastAsia="zh-CN"/>
              </w:rPr>
              <w:t>（</w:t>
            </w:r>
            <w:r>
              <w:rPr>
                <w:rFonts w:hint="eastAsia"/>
                <w:color w:val="auto"/>
                <w:szCs w:val="21"/>
                <w:lang w:val="en-US" w:eastAsia="zh-CN"/>
              </w:rPr>
              <w:t>O61</w:t>
            </w:r>
            <w:r>
              <w:rPr>
                <w:rFonts w:hint="eastAsia"/>
                <w:color w:val="auto"/>
                <w:szCs w:val="21"/>
                <w:lang w:eastAsia="zh-CN"/>
              </w:rPr>
              <w:t>）</w:t>
            </w:r>
          </w:p>
          <w:p>
            <w:pPr>
              <w:jc w:val="center"/>
              <w:rPr>
                <w:rFonts w:hint="eastAsia"/>
                <w:color w:val="auto"/>
                <w:szCs w:val="21"/>
              </w:rPr>
            </w:pPr>
            <w:r>
              <w:rPr>
                <w:rFonts w:hint="eastAsia"/>
                <w:color w:val="auto"/>
                <w:szCs w:val="21"/>
                <w:lang w:val="en-US" w:eastAsia="zh-CN"/>
              </w:rPr>
              <w:t>退火到1/2硬</w:t>
            </w:r>
            <w:r>
              <w:rPr>
                <w:rFonts w:hint="eastAsia"/>
                <w:color w:val="auto"/>
                <w:szCs w:val="21"/>
                <w:lang w:eastAsia="zh-CN"/>
              </w:rPr>
              <w:t>（（</w:t>
            </w:r>
            <w:r>
              <w:rPr>
                <w:rFonts w:hint="eastAsia"/>
                <w:color w:val="auto"/>
                <w:szCs w:val="21"/>
                <w:lang w:val="en-US" w:eastAsia="zh-CN"/>
              </w:rPr>
              <w:t>O82</w:t>
            </w:r>
            <w:r>
              <w:rPr>
                <w:rFonts w:hint="eastAsia"/>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54" w:type="dxa"/>
            <w:tcBorders>
              <w:top w:val="single" w:color="auto" w:sz="4" w:space="0"/>
              <w:bottom w:val="single" w:color="auto" w:sz="8" w:space="0"/>
            </w:tcBorders>
            <w:noWrap w:val="0"/>
            <w:vAlign w:val="center"/>
          </w:tcPr>
          <w:p>
            <w:pPr>
              <w:jc w:val="center"/>
              <w:rPr>
                <w:rFonts w:hint="eastAsia"/>
                <w:color w:val="auto"/>
                <w:szCs w:val="21"/>
              </w:rPr>
            </w:pPr>
            <w:r>
              <w:rPr>
                <w:rFonts w:hint="eastAsia"/>
                <w:color w:val="auto"/>
                <w:szCs w:val="21"/>
              </w:rPr>
              <w:t>BFe10-1.5-1</w:t>
            </w:r>
          </w:p>
        </w:tc>
        <w:tc>
          <w:tcPr>
            <w:tcW w:w="2854" w:type="dxa"/>
            <w:tcBorders>
              <w:top w:val="single" w:color="auto" w:sz="4" w:space="0"/>
              <w:bottom w:val="single" w:color="auto" w:sz="8" w:space="0"/>
            </w:tcBorders>
            <w:noWrap w:val="0"/>
            <w:vAlign w:val="center"/>
          </w:tcPr>
          <w:p>
            <w:pPr>
              <w:jc w:val="center"/>
              <w:rPr>
                <w:rFonts w:hint="eastAsia"/>
                <w:color w:val="auto"/>
                <w:szCs w:val="21"/>
              </w:rPr>
            </w:pPr>
            <w:r>
              <w:rPr>
                <w:rFonts w:hint="eastAsia"/>
                <w:color w:val="auto"/>
                <w:szCs w:val="21"/>
              </w:rPr>
              <w:t>C70610</w:t>
            </w:r>
          </w:p>
        </w:tc>
        <w:tc>
          <w:tcPr>
            <w:tcW w:w="3072" w:type="dxa"/>
            <w:tcBorders>
              <w:top w:val="single" w:color="auto" w:sz="4" w:space="0"/>
              <w:bottom w:val="single" w:color="auto" w:sz="8" w:space="0"/>
            </w:tcBorders>
            <w:noWrap w:val="0"/>
            <w:vAlign w:val="center"/>
          </w:tcPr>
          <w:p>
            <w:pPr>
              <w:jc w:val="center"/>
              <w:rPr>
                <w:rFonts w:hint="eastAsia"/>
                <w:color w:val="auto"/>
                <w:szCs w:val="21"/>
                <w:lang w:val="en-US" w:eastAsia="zh-CN"/>
              </w:rPr>
            </w:pPr>
            <w:r>
              <w:rPr>
                <w:rFonts w:hint="eastAsia"/>
                <w:color w:val="auto"/>
                <w:szCs w:val="21"/>
              </w:rPr>
              <w:t>退火</w:t>
            </w:r>
            <w:r>
              <w:rPr>
                <w:rFonts w:hint="eastAsia"/>
                <w:color w:val="auto"/>
                <w:szCs w:val="21"/>
                <w:lang w:eastAsia="zh-CN"/>
              </w:rPr>
              <w:t>（</w:t>
            </w:r>
            <w:r>
              <w:rPr>
                <w:rFonts w:hint="eastAsia"/>
                <w:color w:val="auto"/>
                <w:szCs w:val="21"/>
                <w:lang w:val="en-US" w:eastAsia="zh-CN"/>
              </w:rPr>
              <w:t>O61</w:t>
            </w:r>
            <w:r>
              <w:rPr>
                <w:rFonts w:hint="eastAsia"/>
                <w:color w:val="auto"/>
                <w:szCs w:val="21"/>
                <w:lang w:eastAsia="zh-CN"/>
              </w:rPr>
              <w:t>）</w:t>
            </w:r>
          </w:p>
          <w:p>
            <w:pPr>
              <w:jc w:val="center"/>
              <w:rPr>
                <w:rFonts w:hint="eastAsia"/>
                <w:color w:val="auto"/>
                <w:szCs w:val="21"/>
                <w:lang w:val="en-US" w:eastAsia="zh-CN"/>
              </w:rPr>
            </w:pPr>
            <w:r>
              <w:rPr>
                <w:rFonts w:hint="eastAsia"/>
                <w:color w:val="auto"/>
                <w:szCs w:val="21"/>
                <w:lang w:val="en-US" w:eastAsia="zh-CN"/>
              </w:rPr>
              <w:t>退火到1/4硬（O81）</w:t>
            </w:r>
          </w:p>
        </w:tc>
      </w:tr>
    </w:tbl>
    <w:p>
      <w:pPr>
        <w:jc w:val="center"/>
        <w:rPr>
          <w:rFonts w:hint="eastAsia" w:ascii="黑体" w:eastAsia="黑体"/>
          <w:color w:val="auto"/>
          <w:szCs w:val="21"/>
        </w:rPr>
      </w:pPr>
      <w:r>
        <w:rPr>
          <w:rFonts w:hint="eastAsia" w:ascii="黑体" w:eastAsia="黑体"/>
          <w:color w:val="auto"/>
          <w:szCs w:val="21"/>
        </w:rPr>
        <w:t xml:space="preserve">                                 表2  管材的规格                     </w:t>
      </w:r>
      <w:r>
        <w:rPr>
          <w:rFonts w:hint="eastAsia" w:ascii="黑体" w:eastAsia="黑体"/>
          <w:color w:val="auto"/>
        </w:rPr>
        <w:t>单位为毫米</w:t>
      </w:r>
    </w:p>
    <w:tbl>
      <w:tblPr>
        <w:tblStyle w:val="11"/>
        <w:tblW w:w="8576"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2205"/>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5" w:type="dxa"/>
            <w:tcBorders>
              <w:top w:val="single" w:color="auto" w:sz="12" w:space="0"/>
              <w:left w:val="single" w:color="auto" w:sz="12" w:space="0"/>
              <w:bottom w:val="single" w:color="auto" w:sz="12" w:space="0"/>
            </w:tcBorders>
            <w:noWrap w:val="0"/>
            <w:vAlign w:val="top"/>
          </w:tcPr>
          <w:p>
            <w:pPr>
              <w:ind w:left="359" w:hanging="359" w:hangingChars="171"/>
              <w:jc w:val="center"/>
              <w:rPr>
                <w:rFonts w:hint="eastAsia"/>
                <w:color w:val="auto"/>
                <w:szCs w:val="21"/>
              </w:rPr>
            </w:pPr>
            <w:r>
              <w:rPr>
                <w:rFonts w:hint="eastAsia"/>
                <w:color w:val="auto"/>
                <w:szCs w:val="21"/>
              </w:rPr>
              <w:t>外径</w:t>
            </w:r>
          </w:p>
        </w:tc>
        <w:tc>
          <w:tcPr>
            <w:tcW w:w="2205" w:type="dxa"/>
            <w:tcBorders>
              <w:top w:val="single" w:color="auto" w:sz="12" w:space="0"/>
              <w:bottom w:val="single" w:color="auto" w:sz="12" w:space="0"/>
            </w:tcBorders>
            <w:noWrap w:val="0"/>
            <w:vAlign w:val="top"/>
          </w:tcPr>
          <w:p>
            <w:pPr>
              <w:jc w:val="center"/>
              <w:rPr>
                <w:rFonts w:hint="eastAsia"/>
                <w:color w:val="auto"/>
                <w:szCs w:val="21"/>
              </w:rPr>
            </w:pPr>
            <w:r>
              <w:rPr>
                <w:rFonts w:hint="eastAsia"/>
                <w:color w:val="auto"/>
                <w:szCs w:val="21"/>
              </w:rPr>
              <w:t>壁厚</w:t>
            </w:r>
          </w:p>
        </w:tc>
        <w:tc>
          <w:tcPr>
            <w:tcW w:w="4166" w:type="dxa"/>
            <w:tcBorders>
              <w:top w:val="single" w:color="auto" w:sz="12" w:space="0"/>
              <w:bottom w:val="single" w:color="auto" w:sz="12" w:space="0"/>
              <w:right w:val="single" w:color="auto" w:sz="12" w:space="0"/>
            </w:tcBorders>
            <w:noWrap w:val="0"/>
            <w:vAlign w:val="top"/>
          </w:tcPr>
          <w:p>
            <w:pPr>
              <w:jc w:val="center"/>
              <w:rPr>
                <w:rFonts w:hint="eastAsia"/>
                <w:color w:val="auto"/>
                <w:szCs w:val="21"/>
              </w:rPr>
            </w:pPr>
            <w:r>
              <w:rPr>
                <w:rFonts w:hint="eastAsia"/>
                <w:color w:val="auto"/>
                <w:szCs w:val="21"/>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2205" w:type="dxa"/>
            <w:tcBorders>
              <w:top w:val="single" w:color="auto" w:sz="12" w:space="0"/>
              <w:left w:val="single" w:color="auto" w:sz="12" w:space="0"/>
            </w:tcBorders>
            <w:noWrap w:val="0"/>
            <w:vAlign w:val="top"/>
          </w:tcPr>
          <w:p>
            <w:pPr>
              <w:jc w:val="center"/>
              <w:rPr>
                <w:rFonts w:hint="eastAsia"/>
                <w:color w:val="auto"/>
                <w:szCs w:val="21"/>
              </w:rPr>
            </w:pPr>
            <w:r>
              <w:rPr>
                <w:rFonts w:hint="eastAsia"/>
                <w:color w:val="auto"/>
                <w:szCs w:val="21"/>
              </w:rPr>
              <w:t>8.00~15.88</w:t>
            </w:r>
          </w:p>
        </w:tc>
        <w:tc>
          <w:tcPr>
            <w:tcW w:w="2205" w:type="dxa"/>
            <w:tcBorders>
              <w:top w:val="single" w:color="auto" w:sz="12" w:space="0"/>
            </w:tcBorders>
            <w:noWrap w:val="0"/>
            <w:vAlign w:val="top"/>
          </w:tcPr>
          <w:p>
            <w:pPr>
              <w:jc w:val="center"/>
              <w:rPr>
                <w:rFonts w:hint="eastAsia"/>
                <w:color w:val="auto"/>
                <w:szCs w:val="21"/>
              </w:rPr>
            </w:pPr>
            <w:r>
              <w:rPr>
                <w:rFonts w:hint="eastAsia"/>
                <w:color w:val="auto"/>
                <w:szCs w:val="21"/>
              </w:rPr>
              <w:t>0.4~0.8</w:t>
            </w:r>
          </w:p>
        </w:tc>
        <w:tc>
          <w:tcPr>
            <w:tcW w:w="4166" w:type="dxa"/>
            <w:tcBorders>
              <w:top w:val="single" w:color="auto" w:sz="12" w:space="0"/>
              <w:right w:val="single" w:color="auto" w:sz="12" w:space="0"/>
            </w:tcBorders>
            <w:noWrap w:val="0"/>
            <w:vAlign w:val="top"/>
          </w:tcPr>
          <w:p>
            <w:pPr>
              <w:jc w:val="center"/>
              <w:rPr>
                <w:rFonts w:hint="eastAsia" w:eastAsia="宋体"/>
                <w:color w:val="auto"/>
                <w:szCs w:val="21"/>
                <w:lang w:eastAsia="zh-CN"/>
              </w:rPr>
            </w:pPr>
            <w:r>
              <w:rPr>
                <w:rFonts w:hint="eastAsia"/>
                <w:color w:val="auto"/>
                <w:szCs w:val="21"/>
                <w:lang w:val="en-US" w:eastAsia="zh-CN"/>
              </w:rPr>
              <w:t>1</w:t>
            </w:r>
            <w:r>
              <w:rPr>
                <w:rFonts w:hint="eastAsia"/>
                <w:color w:val="auto"/>
                <w:szCs w:val="21"/>
              </w:rPr>
              <w:t>000～</w:t>
            </w:r>
            <w:r>
              <w:rPr>
                <w:rFonts w:hint="eastAsia"/>
                <w:color w:val="auto"/>
                <w:szCs w:val="21"/>
                <w:lang w:val="en-US" w:eastAsia="zh-CN"/>
              </w:rPr>
              <w:t>9</w:t>
            </w:r>
            <w:r>
              <w:rPr>
                <w:rFonts w:hint="eastAsia"/>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5" w:type="dxa"/>
            <w:tcBorders>
              <w:left w:val="single" w:color="auto" w:sz="12" w:space="0"/>
            </w:tcBorders>
            <w:noWrap w:val="0"/>
            <w:vAlign w:val="top"/>
          </w:tcPr>
          <w:p>
            <w:pPr>
              <w:jc w:val="center"/>
              <w:rPr>
                <w:rFonts w:hint="eastAsia"/>
                <w:color w:val="auto"/>
                <w:szCs w:val="21"/>
              </w:rPr>
            </w:pPr>
            <w:r>
              <w:rPr>
                <w:rFonts w:hint="eastAsia"/>
                <w:color w:val="auto"/>
                <w:szCs w:val="21"/>
              </w:rPr>
              <w:t>＞15.88~28.58</w:t>
            </w:r>
          </w:p>
        </w:tc>
        <w:tc>
          <w:tcPr>
            <w:tcW w:w="2205" w:type="dxa"/>
            <w:noWrap w:val="0"/>
            <w:vAlign w:val="top"/>
          </w:tcPr>
          <w:p>
            <w:pPr>
              <w:jc w:val="center"/>
              <w:rPr>
                <w:rFonts w:hint="eastAsia"/>
                <w:color w:val="auto"/>
                <w:szCs w:val="21"/>
              </w:rPr>
            </w:pPr>
            <w:r>
              <w:rPr>
                <w:rFonts w:hint="eastAsia"/>
                <w:color w:val="auto"/>
                <w:szCs w:val="21"/>
              </w:rPr>
              <w:t>0.5~0.9</w:t>
            </w:r>
          </w:p>
        </w:tc>
        <w:tc>
          <w:tcPr>
            <w:tcW w:w="4166" w:type="dxa"/>
            <w:vMerge w:val="restart"/>
            <w:tcBorders>
              <w:right w:val="single" w:color="auto" w:sz="12" w:space="0"/>
            </w:tcBorders>
            <w:noWrap w:val="0"/>
            <w:vAlign w:val="center"/>
          </w:tcPr>
          <w:p>
            <w:pPr>
              <w:jc w:val="center"/>
              <w:rPr>
                <w:rFonts w:hint="eastAsia" w:eastAsia="宋体"/>
                <w:color w:val="auto"/>
                <w:szCs w:val="21"/>
                <w:lang w:eastAsia="zh-CN"/>
              </w:rPr>
            </w:pPr>
            <w:r>
              <w:rPr>
                <w:rFonts w:hint="eastAsia"/>
                <w:color w:val="auto"/>
                <w:szCs w:val="21"/>
                <w:lang w:val="en-US" w:eastAsia="zh-CN"/>
              </w:rPr>
              <w:t>1</w:t>
            </w:r>
            <w:r>
              <w:rPr>
                <w:rFonts w:hint="eastAsia"/>
                <w:color w:val="auto"/>
                <w:szCs w:val="21"/>
              </w:rPr>
              <w:t>000～</w:t>
            </w:r>
            <w:r>
              <w:rPr>
                <w:rFonts w:hint="eastAsia"/>
                <w:color w:val="auto"/>
                <w:szCs w:val="21"/>
                <w:lang w:val="en-US" w:eastAsia="zh-CN"/>
              </w:rPr>
              <w:t>2</w:t>
            </w:r>
            <w:r>
              <w:rPr>
                <w:rFonts w:hint="eastAsia"/>
                <w:color w:val="auto"/>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5" w:type="dxa"/>
            <w:tcBorders>
              <w:left w:val="single" w:color="auto" w:sz="12" w:space="0"/>
            </w:tcBorders>
            <w:noWrap w:val="0"/>
            <w:vAlign w:val="top"/>
          </w:tcPr>
          <w:p>
            <w:pPr>
              <w:jc w:val="center"/>
              <w:rPr>
                <w:rFonts w:hint="eastAsia"/>
                <w:color w:val="auto"/>
                <w:szCs w:val="21"/>
              </w:rPr>
            </w:pPr>
            <w:r>
              <w:rPr>
                <w:rFonts w:hint="eastAsia"/>
                <w:color w:val="auto"/>
                <w:szCs w:val="21"/>
              </w:rPr>
              <w:t>＞28.58~31.75</w:t>
            </w:r>
          </w:p>
        </w:tc>
        <w:tc>
          <w:tcPr>
            <w:tcW w:w="2205" w:type="dxa"/>
            <w:noWrap w:val="0"/>
            <w:vAlign w:val="top"/>
          </w:tcPr>
          <w:p>
            <w:pPr>
              <w:jc w:val="center"/>
              <w:rPr>
                <w:rFonts w:hint="eastAsia"/>
                <w:color w:val="auto"/>
                <w:szCs w:val="21"/>
              </w:rPr>
            </w:pPr>
            <w:r>
              <w:rPr>
                <w:rFonts w:hint="eastAsia"/>
                <w:color w:val="auto"/>
                <w:szCs w:val="21"/>
              </w:rPr>
              <w:t>0.6~1.0</w:t>
            </w:r>
          </w:p>
        </w:tc>
        <w:tc>
          <w:tcPr>
            <w:tcW w:w="4166" w:type="dxa"/>
            <w:vMerge w:val="continue"/>
            <w:tcBorders>
              <w:right w:val="single" w:color="auto" w:sz="12" w:space="0"/>
            </w:tcBorders>
            <w:noWrap w:val="0"/>
            <w:vAlign w:val="top"/>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05" w:type="dxa"/>
            <w:tcBorders>
              <w:left w:val="single" w:color="auto" w:sz="12" w:space="0"/>
            </w:tcBorders>
            <w:noWrap w:val="0"/>
            <w:vAlign w:val="top"/>
          </w:tcPr>
          <w:p>
            <w:pPr>
              <w:jc w:val="center"/>
              <w:rPr>
                <w:rFonts w:hint="eastAsia"/>
                <w:color w:val="auto"/>
                <w:szCs w:val="21"/>
              </w:rPr>
            </w:pPr>
            <w:r>
              <w:rPr>
                <w:rFonts w:hint="eastAsia"/>
                <w:color w:val="auto"/>
                <w:szCs w:val="21"/>
              </w:rPr>
              <w:t>＞31.75~38.10</w:t>
            </w:r>
          </w:p>
        </w:tc>
        <w:tc>
          <w:tcPr>
            <w:tcW w:w="2205" w:type="dxa"/>
            <w:noWrap w:val="0"/>
            <w:vAlign w:val="top"/>
          </w:tcPr>
          <w:p>
            <w:pPr>
              <w:jc w:val="center"/>
              <w:rPr>
                <w:rFonts w:hint="eastAsia"/>
                <w:color w:val="auto"/>
                <w:szCs w:val="21"/>
              </w:rPr>
            </w:pPr>
            <w:r>
              <w:rPr>
                <w:rFonts w:hint="eastAsia"/>
                <w:color w:val="auto"/>
                <w:szCs w:val="21"/>
              </w:rPr>
              <w:t>0.7~1.1</w:t>
            </w:r>
          </w:p>
        </w:tc>
        <w:tc>
          <w:tcPr>
            <w:tcW w:w="4166" w:type="dxa"/>
            <w:vMerge w:val="restart"/>
            <w:tcBorders>
              <w:right w:val="single" w:color="auto" w:sz="12" w:space="0"/>
            </w:tcBorders>
            <w:noWrap w:val="0"/>
            <w:vAlign w:val="center"/>
          </w:tcPr>
          <w:p>
            <w:pPr>
              <w:jc w:val="center"/>
              <w:rPr>
                <w:rFonts w:hint="eastAsia" w:eastAsia="宋体"/>
                <w:color w:val="auto"/>
                <w:szCs w:val="21"/>
                <w:lang w:eastAsia="zh-CN"/>
              </w:rPr>
            </w:pPr>
            <w:r>
              <w:rPr>
                <w:rFonts w:hint="eastAsia"/>
                <w:color w:val="auto"/>
                <w:szCs w:val="21"/>
                <w:lang w:val="en-US" w:eastAsia="zh-CN"/>
              </w:rPr>
              <w:t>1</w:t>
            </w:r>
            <w:r>
              <w:rPr>
                <w:rFonts w:hint="eastAsia"/>
                <w:color w:val="auto"/>
                <w:szCs w:val="21"/>
              </w:rPr>
              <w:t>000～35000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5" w:type="dxa"/>
            <w:tcBorders>
              <w:left w:val="single" w:color="auto" w:sz="12" w:space="0"/>
            </w:tcBorders>
            <w:noWrap w:val="0"/>
            <w:vAlign w:val="top"/>
          </w:tcPr>
          <w:p>
            <w:pPr>
              <w:jc w:val="center"/>
              <w:rPr>
                <w:rFonts w:hint="eastAsia"/>
                <w:color w:val="auto"/>
                <w:szCs w:val="21"/>
              </w:rPr>
            </w:pPr>
            <w:r>
              <w:rPr>
                <w:rFonts w:hint="eastAsia"/>
                <w:color w:val="auto"/>
                <w:szCs w:val="21"/>
              </w:rPr>
              <w:t>＞38.10~41.27</w:t>
            </w:r>
          </w:p>
        </w:tc>
        <w:tc>
          <w:tcPr>
            <w:tcW w:w="2205" w:type="dxa"/>
            <w:noWrap w:val="0"/>
            <w:vAlign w:val="top"/>
          </w:tcPr>
          <w:p>
            <w:pPr>
              <w:jc w:val="center"/>
              <w:rPr>
                <w:rFonts w:hint="eastAsia"/>
                <w:color w:val="auto"/>
                <w:szCs w:val="21"/>
              </w:rPr>
            </w:pPr>
            <w:r>
              <w:rPr>
                <w:rFonts w:hint="eastAsia"/>
                <w:color w:val="auto"/>
                <w:szCs w:val="21"/>
              </w:rPr>
              <w:t>0.8~1.2</w:t>
            </w:r>
          </w:p>
        </w:tc>
        <w:tc>
          <w:tcPr>
            <w:tcW w:w="4166" w:type="dxa"/>
            <w:vMerge w:val="continue"/>
            <w:tcBorders>
              <w:right w:val="single" w:color="auto"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05" w:type="dxa"/>
            <w:tcBorders>
              <w:left w:val="single" w:color="auto" w:sz="12" w:space="0"/>
              <w:bottom w:val="single" w:color="auto" w:sz="12" w:space="0"/>
            </w:tcBorders>
            <w:noWrap w:val="0"/>
            <w:vAlign w:val="top"/>
          </w:tcPr>
          <w:p>
            <w:pPr>
              <w:jc w:val="center"/>
              <w:rPr>
                <w:rFonts w:hint="eastAsia"/>
                <w:color w:val="auto"/>
                <w:szCs w:val="21"/>
              </w:rPr>
            </w:pPr>
            <w:r>
              <w:rPr>
                <w:rFonts w:hint="eastAsia"/>
                <w:color w:val="auto"/>
                <w:szCs w:val="21"/>
              </w:rPr>
              <w:t>＞41.27~50.80</w:t>
            </w:r>
          </w:p>
        </w:tc>
        <w:tc>
          <w:tcPr>
            <w:tcW w:w="2205" w:type="dxa"/>
            <w:tcBorders>
              <w:bottom w:val="single" w:color="auto" w:sz="12" w:space="0"/>
            </w:tcBorders>
            <w:noWrap w:val="0"/>
            <w:vAlign w:val="top"/>
          </w:tcPr>
          <w:p>
            <w:pPr>
              <w:jc w:val="center"/>
              <w:rPr>
                <w:rFonts w:hint="eastAsia"/>
                <w:color w:val="auto"/>
                <w:szCs w:val="21"/>
              </w:rPr>
            </w:pPr>
            <w:r>
              <w:rPr>
                <w:rFonts w:hint="eastAsia"/>
                <w:color w:val="auto"/>
                <w:szCs w:val="21"/>
              </w:rPr>
              <w:t>0.9~1.5</w:t>
            </w:r>
          </w:p>
        </w:tc>
        <w:tc>
          <w:tcPr>
            <w:tcW w:w="4166" w:type="dxa"/>
            <w:vMerge w:val="continue"/>
            <w:tcBorders>
              <w:bottom w:val="single" w:color="auto" w:sz="12" w:space="0"/>
              <w:right w:val="single" w:color="auto" w:sz="12" w:space="0"/>
            </w:tcBorders>
            <w:noWrap w:val="0"/>
            <w:vAlign w:val="center"/>
          </w:tcPr>
          <w:p>
            <w:pPr>
              <w:jc w:val="center"/>
              <w:rPr>
                <w:color w:val="auto"/>
                <w:szCs w:val="21"/>
              </w:rPr>
            </w:pPr>
          </w:p>
        </w:tc>
      </w:tr>
    </w:tbl>
    <w:p>
      <w:pPr>
        <w:numPr>
          <w:ilvl w:val="0"/>
          <w:numId w:val="8"/>
        </w:numPr>
        <w:spacing w:line="300" w:lineRule="auto"/>
        <w:ind w:firstLine="420" w:firstLineChars="200"/>
        <w:rPr>
          <w:rFonts w:hint="eastAsia" w:ascii="宋体" w:hAnsi="宋体"/>
          <w:color w:val="auto"/>
          <w:szCs w:val="21"/>
        </w:rPr>
      </w:pPr>
      <w:r>
        <w:rPr>
          <w:rFonts w:hint="eastAsia" w:ascii="宋体" w:hAnsi="宋体"/>
          <w:color w:val="auto"/>
          <w:szCs w:val="21"/>
        </w:rPr>
        <w:t>产品标记方法：按照GB/T 1.1-20</w:t>
      </w:r>
      <w:r>
        <w:rPr>
          <w:rFonts w:hint="eastAsia" w:ascii="宋体" w:hAnsi="宋体"/>
          <w:color w:val="auto"/>
          <w:szCs w:val="21"/>
          <w:lang w:val="en-US" w:eastAsia="zh-CN"/>
        </w:rPr>
        <w:t>20</w:t>
      </w:r>
      <w:r>
        <w:rPr>
          <w:rFonts w:hint="eastAsia" w:ascii="宋体" w:hAnsi="宋体"/>
          <w:color w:val="auto"/>
          <w:szCs w:val="21"/>
        </w:rPr>
        <w:t>的规定，产品标记按产品名称、标准编号、牌号、状态、规格的顺序表示，标准中给出了产品的典型标记示例。</w:t>
      </w:r>
    </w:p>
    <w:p>
      <w:pPr>
        <w:spacing w:line="340" w:lineRule="exact"/>
        <w:ind w:firstLine="360" w:firstLineChars="200"/>
        <w:rPr>
          <w:rFonts w:ascii="宋体" w:hAnsi="宋体"/>
          <w:color w:val="auto"/>
          <w:sz w:val="18"/>
          <w:szCs w:val="18"/>
        </w:rPr>
      </w:pPr>
      <w:r>
        <w:rPr>
          <w:rFonts w:ascii="宋体" w:hAnsi="宋体"/>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187325</wp:posOffset>
                </wp:positionH>
                <wp:positionV relativeFrom="paragraph">
                  <wp:posOffset>37465</wp:posOffset>
                </wp:positionV>
                <wp:extent cx="5579110" cy="1849755"/>
                <wp:effectExtent l="4445" t="4445" r="9525" b="5080"/>
                <wp:wrapNone/>
                <wp:docPr id="4" name="文本框 4"/>
                <wp:cNvGraphicFramePr/>
                <a:graphic xmlns:a="http://schemas.openxmlformats.org/drawingml/2006/main">
                  <a:graphicData uri="http://schemas.microsoft.com/office/word/2010/wordprocessingShape">
                    <wps:wsp>
                      <wps:cNvSpPr txBox="1"/>
                      <wps:spPr>
                        <a:xfrm>
                          <a:off x="0" y="0"/>
                          <a:ext cx="5579110" cy="1849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rPr>
                                <w:rFonts w:ascii="宋体" w:hAnsi="宋体"/>
                                <w:color w:val="000000"/>
                                <w:sz w:val="18"/>
                                <w:szCs w:val="18"/>
                              </w:rPr>
                            </w:pPr>
                            <w:r>
                              <w:rPr>
                                <w:rFonts w:hint="eastAsia" w:ascii="宋体" w:hAnsi="宋体"/>
                                <w:sz w:val="18"/>
                                <w:szCs w:val="18"/>
                              </w:rPr>
                              <w:t>用</w:t>
                            </w:r>
                            <w:r>
                              <w:rPr>
                                <w:rFonts w:ascii="宋体" w:hAnsi="宋体"/>
                                <w:sz w:val="18"/>
                                <w:szCs w:val="18"/>
                              </w:rPr>
                              <w:t>BFe10-1-1</w:t>
                            </w:r>
                            <w:r>
                              <w:rPr>
                                <w:rFonts w:hint="eastAsia" w:ascii="宋体" w:hAnsi="宋体" w:cs="宋体"/>
                                <w:color w:val="000000"/>
                                <w:sz w:val="18"/>
                                <w:szCs w:val="18"/>
                              </w:rPr>
                              <w:t>（</w:t>
                            </w:r>
                            <w:r>
                              <w:rPr>
                                <w:rFonts w:ascii="宋体" w:hAnsi="宋体"/>
                                <w:color w:val="000000"/>
                                <w:sz w:val="18"/>
                                <w:szCs w:val="18"/>
                              </w:rPr>
                              <w:t>T</w:t>
                            </w:r>
                            <w:r>
                              <w:rPr>
                                <w:rFonts w:hint="eastAsia" w:ascii="宋体" w:hAnsi="宋体"/>
                                <w:color w:val="000000"/>
                                <w:sz w:val="18"/>
                                <w:szCs w:val="18"/>
                              </w:rPr>
                              <w:t>71510</w:t>
                            </w:r>
                            <w:r>
                              <w:rPr>
                                <w:rFonts w:hint="eastAsia" w:ascii="宋体" w:hAnsi="宋体" w:cs="宋体"/>
                                <w:color w:val="000000"/>
                                <w:sz w:val="18"/>
                                <w:szCs w:val="18"/>
                              </w:rPr>
                              <w:t>）</w:t>
                            </w:r>
                            <w:r>
                              <w:rPr>
                                <w:rFonts w:hint="eastAsia" w:ascii="宋体" w:hAnsi="宋体"/>
                                <w:color w:val="000000"/>
                                <w:sz w:val="18"/>
                                <w:szCs w:val="18"/>
                              </w:rPr>
                              <w:t>制造的、轻拉（H55）、外径为25.4</w:t>
                            </w:r>
                            <w:r>
                              <w:rPr>
                                <w:rFonts w:ascii="宋体" w:hAnsi="宋体"/>
                                <w:color w:val="000000"/>
                                <w:sz w:val="18"/>
                                <w:szCs w:val="18"/>
                              </w:rPr>
                              <w:t>mm</w:t>
                            </w:r>
                            <w:r>
                              <w:rPr>
                                <w:rFonts w:hint="eastAsia" w:ascii="宋体" w:hAnsi="宋体"/>
                                <w:color w:val="000000"/>
                                <w:sz w:val="18"/>
                                <w:szCs w:val="18"/>
                              </w:rPr>
                              <w:t>、壁厚为0.7</w:t>
                            </w:r>
                            <w:r>
                              <w:rPr>
                                <w:rFonts w:ascii="宋体" w:hAnsi="宋体"/>
                                <w:color w:val="000000"/>
                                <w:sz w:val="18"/>
                                <w:szCs w:val="18"/>
                              </w:rPr>
                              <w:t xml:space="preserve"> mm</w:t>
                            </w:r>
                            <w:r>
                              <w:rPr>
                                <w:rFonts w:hint="eastAsia" w:ascii="宋体" w:hAnsi="宋体"/>
                                <w:color w:val="000000"/>
                                <w:sz w:val="18"/>
                                <w:szCs w:val="18"/>
                              </w:rPr>
                              <w:t>的圆管标记为：</w:t>
                            </w:r>
                          </w:p>
                          <w:p>
                            <w:pPr>
                              <w:spacing w:line="340" w:lineRule="exact"/>
                              <w:jc w:val="center"/>
                              <w:rPr>
                                <w:rFonts w:ascii="宋体" w:hAnsi="宋体"/>
                                <w:color w:val="000000"/>
                                <w:sz w:val="18"/>
                                <w:szCs w:val="18"/>
                              </w:rPr>
                            </w:pPr>
                            <w:r>
                              <w:rPr>
                                <w:rFonts w:hint="eastAsia" w:ascii="宋体" w:hAnsi="宋体"/>
                                <w:color w:val="000000"/>
                                <w:sz w:val="18"/>
                                <w:szCs w:val="18"/>
                              </w:rPr>
                              <w:t>管 GB</w:t>
                            </w:r>
                            <w:r>
                              <w:rPr>
                                <w:rFonts w:hint="eastAsia" w:ascii="宋体" w:hAnsi="宋体"/>
                                <w:color w:val="000000"/>
                                <w:sz w:val="18"/>
                                <w:szCs w:val="18"/>
                                <w:lang w:val="de-DE"/>
                              </w:rPr>
                              <w:t xml:space="preserve">/T </w:t>
                            </w:r>
                            <w:r>
                              <w:rPr>
                                <w:rFonts w:hint="eastAsia" w:ascii="宋体" w:hAnsi="宋体"/>
                                <w:color w:val="000000"/>
                                <w:sz w:val="18"/>
                                <w:szCs w:val="18"/>
                              </w:rPr>
                              <w:t>23609</w:t>
                            </w:r>
                            <w:r>
                              <w:rPr>
                                <w:rFonts w:hint="eastAsia" w:ascii="宋体" w:hAnsi="宋体"/>
                                <w:color w:val="000000"/>
                                <w:sz w:val="18"/>
                                <w:szCs w:val="18"/>
                                <w:lang w:val="de-DE"/>
                              </w:rPr>
                              <w:t>-</w:t>
                            </w:r>
                            <w:r>
                              <w:rPr>
                                <w:rFonts w:ascii="宋体" w:hAnsi="宋体"/>
                                <w:color w:val="000000"/>
                                <w:sz w:val="18"/>
                                <w:szCs w:val="18"/>
                              </w:rPr>
                              <w:t>BFe10-1-1</w:t>
                            </w:r>
                            <w:r>
                              <w:rPr>
                                <w:rFonts w:hint="eastAsia" w:ascii="宋体" w:hAnsi="宋体"/>
                                <w:color w:val="000000"/>
                                <w:sz w:val="18"/>
                                <w:szCs w:val="18"/>
                                <w:lang w:val="de-DE"/>
                              </w:rPr>
                              <w:t>H55</w:t>
                            </w:r>
                            <w:r>
                              <w:rPr>
                                <w:rFonts w:hint="eastAsia" w:ascii="宋体" w:hAnsi="宋体"/>
                                <w:bCs/>
                                <w:color w:val="000000"/>
                                <w:sz w:val="18"/>
                                <w:szCs w:val="18"/>
                                <w:lang w:val="de-DE"/>
                              </w:rPr>
                              <w:t>-</w:t>
                            </w:r>
                            <w:r>
                              <w:rPr>
                                <w:rFonts w:hint="eastAsia" w:ascii="宋体" w:hAnsi="宋体"/>
                                <w:color w:val="000000"/>
                                <w:sz w:val="18"/>
                                <w:szCs w:val="18"/>
                              </w:rPr>
                              <w:t>Φ</w:t>
                            </w:r>
                            <w:r>
                              <w:rPr>
                                <w:rFonts w:hint="eastAsia" w:ascii="宋体" w:hAnsi="宋体"/>
                                <w:color w:val="000000"/>
                                <w:sz w:val="18"/>
                                <w:szCs w:val="18"/>
                                <w:lang w:val="de-DE"/>
                              </w:rPr>
                              <w:t>25.4×</w:t>
                            </w:r>
                            <w:r>
                              <w:rPr>
                                <w:rFonts w:hint="eastAsia" w:ascii="宋体" w:hAnsi="宋体"/>
                                <w:color w:val="000000"/>
                                <w:sz w:val="18"/>
                                <w:szCs w:val="18"/>
                              </w:rPr>
                              <w:t>0.7</w:t>
                            </w:r>
                          </w:p>
                          <w:p>
                            <w:pPr>
                              <w:spacing w:line="340" w:lineRule="exact"/>
                              <w:jc w:val="center"/>
                              <w:rPr>
                                <w:color w:val="000000"/>
                                <w:sz w:val="18"/>
                                <w:szCs w:val="18"/>
                              </w:rPr>
                            </w:pPr>
                            <w:r>
                              <w:rPr>
                                <w:rFonts w:hint="eastAsia" w:ascii="宋体" w:hAnsi="宋体"/>
                                <w:color w:val="000000"/>
                                <w:sz w:val="18"/>
                                <w:szCs w:val="18"/>
                              </w:rPr>
                              <w:t>或管 GB</w:t>
                            </w:r>
                            <w:r>
                              <w:rPr>
                                <w:rFonts w:hint="eastAsia" w:ascii="宋体" w:hAnsi="宋体"/>
                                <w:color w:val="000000"/>
                                <w:sz w:val="18"/>
                                <w:szCs w:val="18"/>
                                <w:lang w:val="de-DE"/>
                              </w:rPr>
                              <w:t xml:space="preserve">/T </w:t>
                            </w:r>
                            <w:r>
                              <w:rPr>
                                <w:rFonts w:hint="eastAsia" w:ascii="宋体" w:hAnsi="宋体"/>
                                <w:color w:val="000000"/>
                                <w:sz w:val="18"/>
                                <w:szCs w:val="18"/>
                              </w:rPr>
                              <w:t>23609</w:t>
                            </w:r>
                            <w:r>
                              <w:rPr>
                                <w:rFonts w:hint="eastAsia" w:ascii="宋体" w:hAnsi="宋体"/>
                                <w:color w:val="000000"/>
                                <w:sz w:val="18"/>
                                <w:szCs w:val="18"/>
                                <w:lang w:val="de-DE"/>
                              </w:rPr>
                              <w:t>-</w:t>
                            </w:r>
                            <w:r>
                              <w:rPr>
                                <w:rFonts w:hint="eastAsia" w:ascii="宋体" w:hAnsi="宋体"/>
                                <w:color w:val="000000"/>
                                <w:sz w:val="18"/>
                                <w:szCs w:val="18"/>
                              </w:rPr>
                              <w:t>T71510</w:t>
                            </w:r>
                            <w:r>
                              <w:rPr>
                                <w:rFonts w:hint="eastAsia" w:ascii="宋体" w:hAnsi="宋体"/>
                                <w:color w:val="000000"/>
                                <w:sz w:val="18"/>
                                <w:szCs w:val="18"/>
                                <w:lang w:val="de-DE"/>
                              </w:rPr>
                              <w:t>H55</w:t>
                            </w:r>
                            <w:r>
                              <w:rPr>
                                <w:rFonts w:hint="eastAsia" w:ascii="宋体" w:hAnsi="宋体"/>
                                <w:bCs/>
                                <w:color w:val="000000"/>
                                <w:sz w:val="18"/>
                                <w:szCs w:val="18"/>
                                <w:lang w:val="de-DE"/>
                              </w:rPr>
                              <w:t>-</w:t>
                            </w:r>
                            <w:r>
                              <w:rPr>
                                <w:rFonts w:hint="eastAsia" w:ascii="宋体" w:hAnsi="宋体"/>
                                <w:color w:val="000000"/>
                                <w:sz w:val="18"/>
                                <w:szCs w:val="18"/>
                              </w:rPr>
                              <w:t>Φ</w:t>
                            </w:r>
                            <w:r>
                              <w:rPr>
                                <w:rFonts w:hint="eastAsia" w:ascii="宋体" w:hAnsi="宋体"/>
                                <w:color w:val="000000"/>
                                <w:sz w:val="18"/>
                                <w:szCs w:val="18"/>
                                <w:lang w:val="de-DE"/>
                              </w:rPr>
                              <w:t>25.4×</w:t>
                            </w:r>
                            <w:r>
                              <w:rPr>
                                <w:rFonts w:hint="eastAsia" w:ascii="宋体" w:hAnsi="宋体"/>
                                <w:color w:val="000000"/>
                                <w:sz w:val="18"/>
                                <w:szCs w:val="18"/>
                              </w:rPr>
                              <w:t>0.7</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4.75pt;margin-top:2.95pt;height:145.65pt;width:439.3pt;z-index:251659264;mso-width-relative:page;mso-height-relative:margin;mso-height-percent:200;" fillcolor="#FFFFFF" filled="t" stroked="t" coordsize="21600,21600" o:gfxdata="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3wEetYAAAAIAQAADwAA&#10;AAAAAAABACAAAAAiAAAAZHJzL2Rvd25yZXYueG1sUEsBAhQAFAAAAAgAh07iQMBMwicYAgAAUQQA&#10;AA4AAAAAAAAAAQAgAAAAJQEAAGRycy9lMm9Eb2MueG1sUEsFBgAAAAAGAAYAWQEAAK8FAAAAAA==&#10;">
                <v:fill on="t" focussize="0,0"/>
                <v:stroke color="#000000" joinstyle="miter"/>
                <v:imagedata o:title=""/>
                <o:lock v:ext="edit" aspectratio="f"/>
                <v:textbox style="mso-fit-shape-to-text:t;">
                  <w:txbxContent>
                    <w:p>
                      <w:pPr>
                        <w:widowControl/>
                        <w:rPr>
                          <w:rFonts w:ascii="宋体" w:hAnsi="宋体"/>
                          <w:color w:val="000000"/>
                          <w:sz w:val="18"/>
                          <w:szCs w:val="18"/>
                        </w:rPr>
                      </w:pPr>
                      <w:r>
                        <w:rPr>
                          <w:rFonts w:hint="eastAsia" w:ascii="宋体" w:hAnsi="宋体"/>
                          <w:sz w:val="18"/>
                          <w:szCs w:val="18"/>
                        </w:rPr>
                        <w:t>用</w:t>
                      </w:r>
                      <w:r>
                        <w:rPr>
                          <w:rFonts w:ascii="宋体" w:hAnsi="宋体"/>
                          <w:sz w:val="18"/>
                          <w:szCs w:val="18"/>
                        </w:rPr>
                        <w:t>BFe10-1-1</w:t>
                      </w:r>
                      <w:r>
                        <w:rPr>
                          <w:rFonts w:hint="eastAsia" w:ascii="宋体" w:hAnsi="宋体" w:cs="宋体"/>
                          <w:color w:val="000000"/>
                          <w:sz w:val="18"/>
                          <w:szCs w:val="18"/>
                        </w:rPr>
                        <w:t>（</w:t>
                      </w:r>
                      <w:r>
                        <w:rPr>
                          <w:rFonts w:ascii="宋体" w:hAnsi="宋体"/>
                          <w:color w:val="000000"/>
                          <w:sz w:val="18"/>
                          <w:szCs w:val="18"/>
                        </w:rPr>
                        <w:t>T</w:t>
                      </w:r>
                      <w:r>
                        <w:rPr>
                          <w:rFonts w:hint="eastAsia" w:ascii="宋体" w:hAnsi="宋体"/>
                          <w:color w:val="000000"/>
                          <w:sz w:val="18"/>
                          <w:szCs w:val="18"/>
                        </w:rPr>
                        <w:t>71510</w:t>
                      </w:r>
                      <w:r>
                        <w:rPr>
                          <w:rFonts w:hint="eastAsia" w:ascii="宋体" w:hAnsi="宋体" w:cs="宋体"/>
                          <w:color w:val="000000"/>
                          <w:sz w:val="18"/>
                          <w:szCs w:val="18"/>
                        </w:rPr>
                        <w:t>）</w:t>
                      </w:r>
                      <w:r>
                        <w:rPr>
                          <w:rFonts w:hint="eastAsia" w:ascii="宋体" w:hAnsi="宋体"/>
                          <w:color w:val="000000"/>
                          <w:sz w:val="18"/>
                          <w:szCs w:val="18"/>
                        </w:rPr>
                        <w:t>制造的、轻拉（H55）、外径为25.4</w:t>
                      </w:r>
                      <w:r>
                        <w:rPr>
                          <w:rFonts w:ascii="宋体" w:hAnsi="宋体"/>
                          <w:color w:val="000000"/>
                          <w:sz w:val="18"/>
                          <w:szCs w:val="18"/>
                        </w:rPr>
                        <w:t>mm</w:t>
                      </w:r>
                      <w:r>
                        <w:rPr>
                          <w:rFonts w:hint="eastAsia" w:ascii="宋体" w:hAnsi="宋体"/>
                          <w:color w:val="000000"/>
                          <w:sz w:val="18"/>
                          <w:szCs w:val="18"/>
                        </w:rPr>
                        <w:t>、壁厚为0.7</w:t>
                      </w:r>
                      <w:r>
                        <w:rPr>
                          <w:rFonts w:ascii="宋体" w:hAnsi="宋体"/>
                          <w:color w:val="000000"/>
                          <w:sz w:val="18"/>
                          <w:szCs w:val="18"/>
                        </w:rPr>
                        <w:t xml:space="preserve"> mm</w:t>
                      </w:r>
                      <w:r>
                        <w:rPr>
                          <w:rFonts w:hint="eastAsia" w:ascii="宋体" w:hAnsi="宋体"/>
                          <w:color w:val="000000"/>
                          <w:sz w:val="18"/>
                          <w:szCs w:val="18"/>
                        </w:rPr>
                        <w:t>的圆管标记为：</w:t>
                      </w:r>
                    </w:p>
                    <w:p>
                      <w:pPr>
                        <w:spacing w:line="340" w:lineRule="exact"/>
                        <w:jc w:val="center"/>
                        <w:rPr>
                          <w:rFonts w:ascii="宋体" w:hAnsi="宋体"/>
                          <w:color w:val="000000"/>
                          <w:sz w:val="18"/>
                          <w:szCs w:val="18"/>
                        </w:rPr>
                      </w:pPr>
                      <w:r>
                        <w:rPr>
                          <w:rFonts w:hint="eastAsia" w:ascii="宋体" w:hAnsi="宋体"/>
                          <w:color w:val="000000"/>
                          <w:sz w:val="18"/>
                          <w:szCs w:val="18"/>
                        </w:rPr>
                        <w:t>管 GB</w:t>
                      </w:r>
                      <w:r>
                        <w:rPr>
                          <w:rFonts w:hint="eastAsia" w:ascii="宋体" w:hAnsi="宋体"/>
                          <w:color w:val="000000"/>
                          <w:sz w:val="18"/>
                          <w:szCs w:val="18"/>
                          <w:lang w:val="de-DE"/>
                        </w:rPr>
                        <w:t xml:space="preserve">/T </w:t>
                      </w:r>
                      <w:r>
                        <w:rPr>
                          <w:rFonts w:hint="eastAsia" w:ascii="宋体" w:hAnsi="宋体"/>
                          <w:color w:val="000000"/>
                          <w:sz w:val="18"/>
                          <w:szCs w:val="18"/>
                        </w:rPr>
                        <w:t>23609</w:t>
                      </w:r>
                      <w:r>
                        <w:rPr>
                          <w:rFonts w:hint="eastAsia" w:ascii="宋体" w:hAnsi="宋体"/>
                          <w:color w:val="000000"/>
                          <w:sz w:val="18"/>
                          <w:szCs w:val="18"/>
                          <w:lang w:val="de-DE"/>
                        </w:rPr>
                        <w:t>-</w:t>
                      </w:r>
                      <w:r>
                        <w:rPr>
                          <w:rFonts w:ascii="宋体" w:hAnsi="宋体"/>
                          <w:color w:val="000000"/>
                          <w:sz w:val="18"/>
                          <w:szCs w:val="18"/>
                        </w:rPr>
                        <w:t>BFe10-1-1</w:t>
                      </w:r>
                      <w:r>
                        <w:rPr>
                          <w:rFonts w:hint="eastAsia" w:ascii="宋体" w:hAnsi="宋体"/>
                          <w:color w:val="000000"/>
                          <w:sz w:val="18"/>
                          <w:szCs w:val="18"/>
                          <w:lang w:val="de-DE"/>
                        </w:rPr>
                        <w:t>H55</w:t>
                      </w:r>
                      <w:r>
                        <w:rPr>
                          <w:rFonts w:hint="eastAsia" w:ascii="宋体" w:hAnsi="宋体"/>
                          <w:bCs/>
                          <w:color w:val="000000"/>
                          <w:sz w:val="18"/>
                          <w:szCs w:val="18"/>
                          <w:lang w:val="de-DE"/>
                        </w:rPr>
                        <w:t>-</w:t>
                      </w:r>
                      <w:r>
                        <w:rPr>
                          <w:rFonts w:hint="eastAsia" w:ascii="宋体" w:hAnsi="宋体"/>
                          <w:color w:val="000000"/>
                          <w:sz w:val="18"/>
                          <w:szCs w:val="18"/>
                        </w:rPr>
                        <w:t>Φ</w:t>
                      </w:r>
                      <w:r>
                        <w:rPr>
                          <w:rFonts w:hint="eastAsia" w:ascii="宋体" w:hAnsi="宋体"/>
                          <w:color w:val="000000"/>
                          <w:sz w:val="18"/>
                          <w:szCs w:val="18"/>
                          <w:lang w:val="de-DE"/>
                        </w:rPr>
                        <w:t>25.4×</w:t>
                      </w:r>
                      <w:r>
                        <w:rPr>
                          <w:rFonts w:hint="eastAsia" w:ascii="宋体" w:hAnsi="宋体"/>
                          <w:color w:val="000000"/>
                          <w:sz w:val="18"/>
                          <w:szCs w:val="18"/>
                        </w:rPr>
                        <w:t>0.7</w:t>
                      </w:r>
                    </w:p>
                    <w:p>
                      <w:pPr>
                        <w:spacing w:line="340" w:lineRule="exact"/>
                        <w:jc w:val="center"/>
                        <w:rPr>
                          <w:color w:val="000000"/>
                          <w:sz w:val="18"/>
                          <w:szCs w:val="18"/>
                        </w:rPr>
                      </w:pPr>
                      <w:r>
                        <w:rPr>
                          <w:rFonts w:hint="eastAsia" w:ascii="宋体" w:hAnsi="宋体"/>
                          <w:color w:val="000000"/>
                          <w:sz w:val="18"/>
                          <w:szCs w:val="18"/>
                        </w:rPr>
                        <w:t>或管 GB</w:t>
                      </w:r>
                      <w:r>
                        <w:rPr>
                          <w:rFonts w:hint="eastAsia" w:ascii="宋体" w:hAnsi="宋体"/>
                          <w:color w:val="000000"/>
                          <w:sz w:val="18"/>
                          <w:szCs w:val="18"/>
                          <w:lang w:val="de-DE"/>
                        </w:rPr>
                        <w:t xml:space="preserve">/T </w:t>
                      </w:r>
                      <w:r>
                        <w:rPr>
                          <w:rFonts w:hint="eastAsia" w:ascii="宋体" w:hAnsi="宋体"/>
                          <w:color w:val="000000"/>
                          <w:sz w:val="18"/>
                          <w:szCs w:val="18"/>
                        </w:rPr>
                        <w:t>23609</w:t>
                      </w:r>
                      <w:r>
                        <w:rPr>
                          <w:rFonts w:hint="eastAsia" w:ascii="宋体" w:hAnsi="宋体"/>
                          <w:color w:val="000000"/>
                          <w:sz w:val="18"/>
                          <w:szCs w:val="18"/>
                          <w:lang w:val="de-DE"/>
                        </w:rPr>
                        <w:t>-</w:t>
                      </w:r>
                      <w:r>
                        <w:rPr>
                          <w:rFonts w:hint="eastAsia" w:ascii="宋体" w:hAnsi="宋体"/>
                          <w:color w:val="000000"/>
                          <w:sz w:val="18"/>
                          <w:szCs w:val="18"/>
                        </w:rPr>
                        <w:t>T71510</w:t>
                      </w:r>
                      <w:r>
                        <w:rPr>
                          <w:rFonts w:hint="eastAsia" w:ascii="宋体" w:hAnsi="宋体"/>
                          <w:color w:val="000000"/>
                          <w:sz w:val="18"/>
                          <w:szCs w:val="18"/>
                          <w:lang w:val="de-DE"/>
                        </w:rPr>
                        <w:t>H55</w:t>
                      </w:r>
                      <w:r>
                        <w:rPr>
                          <w:rFonts w:hint="eastAsia" w:ascii="宋体" w:hAnsi="宋体"/>
                          <w:bCs/>
                          <w:color w:val="000000"/>
                          <w:sz w:val="18"/>
                          <w:szCs w:val="18"/>
                          <w:lang w:val="de-DE"/>
                        </w:rPr>
                        <w:t>-</w:t>
                      </w:r>
                      <w:r>
                        <w:rPr>
                          <w:rFonts w:hint="eastAsia" w:ascii="宋体" w:hAnsi="宋体"/>
                          <w:color w:val="000000"/>
                          <w:sz w:val="18"/>
                          <w:szCs w:val="18"/>
                        </w:rPr>
                        <w:t>Φ</w:t>
                      </w:r>
                      <w:r>
                        <w:rPr>
                          <w:rFonts w:hint="eastAsia" w:ascii="宋体" w:hAnsi="宋体"/>
                          <w:color w:val="000000"/>
                          <w:sz w:val="18"/>
                          <w:szCs w:val="18"/>
                          <w:lang w:val="de-DE"/>
                        </w:rPr>
                        <w:t>25.4×</w:t>
                      </w:r>
                      <w:r>
                        <w:rPr>
                          <w:rFonts w:hint="eastAsia" w:ascii="宋体" w:hAnsi="宋体"/>
                          <w:color w:val="000000"/>
                          <w:sz w:val="18"/>
                          <w:szCs w:val="18"/>
                        </w:rPr>
                        <w:t>0.7</w:t>
                      </w:r>
                    </w:p>
                  </w:txbxContent>
                </v:textbox>
              </v:shape>
            </w:pict>
          </mc:Fallback>
        </mc:AlternateContent>
      </w:r>
    </w:p>
    <w:p>
      <w:pPr>
        <w:rPr>
          <w:rFonts w:hint="eastAsia" w:ascii="黑体" w:eastAsia="黑体"/>
          <w:color w:val="auto"/>
        </w:rPr>
      </w:pPr>
    </w:p>
    <w:p>
      <w:pPr>
        <w:rPr>
          <w:rFonts w:hint="eastAsia" w:ascii="黑体" w:eastAsia="黑体"/>
          <w:color w:val="auto"/>
        </w:rPr>
      </w:pPr>
    </w:p>
    <w:p>
      <w:pPr>
        <w:pStyle w:val="2"/>
        <w:numPr>
          <w:ilvl w:val="0"/>
          <w:numId w:val="0"/>
        </w:numPr>
        <w:rPr>
          <w:color w:val="auto"/>
        </w:rPr>
      </w:pPr>
    </w:p>
    <w:p>
      <w:pPr>
        <w:spacing w:line="300" w:lineRule="auto"/>
        <w:ind w:firstLine="420" w:firstLineChars="200"/>
        <w:contextualSpacing/>
        <w:rPr>
          <w:rFonts w:hAnsi="宋体"/>
          <w:color w:val="auto"/>
        </w:rPr>
      </w:pPr>
      <w:r>
        <w:rPr>
          <w:rFonts w:hint="eastAsia" w:ascii="宋体" w:hAnsi="宋体"/>
          <w:color w:val="auto"/>
          <w:szCs w:val="21"/>
        </w:rPr>
        <w:t>4.2.2</w:t>
      </w:r>
      <w:r>
        <w:rPr>
          <w:rFonts w:hint="eastAsia" w:hAnsi="宋体"/>
          <w:color w:val="auto"/>
        </w:rPr>
        <w:t>化学成分</w:t>
      </w:r>
    </w:p>
    <w:p>
      <w:pPr>
        <w:spacing w:line="300" w:lineRule="auto"/>
        <w:ind w:firstLine="420" w:firstLineChars="200"/>
        <w:contextualSpacing/>
        <w:rPr>
          <w:rFonts w:ascii="宋体" w:hAnsi="宋体"/>
          <w:color w:val="auto"/>
          <w:szCs w:val="21"/>
        </w:rPr>
      </w:pPr>
      <w:r>
        <w:rPr>
          <w:rFonts w:hint="eastAsia" w:ascii="宋体" w:hAnsi="宋体"/>
          <w:color w:val="auto"/>
          <w:szCs w:val="21"/>
        </w:rPr>
        <w:t>管材所用的牌号</w:t>
      </w:r>
      <w:r>
        <w:rPr>
          <w:rFonts w:ascii="宋体" w:hAnsi="宋体"/>
          <w:color w:val="auto"/>
          <w:szCs w:val="21"/>
        </w:rPr>
        <w:t>化学成分应符合GB/T 5231</w:t>
      </w:r>
      <w:r>
        <w:rPr>
          <w:rFonts w:hint="eastAsia" w:ascii="宋体" w:hAnsi="宋体"/>
          <w:color w:val="auto"/>
          <w:szCs w:val="21"/>
        </w:rPr>
        <w:t>中相应牌号</w:t>
      </w:r>
      <w:r>
        <w:rPr>
          <w:rFonts w:ascii="宋体" w:hAnsi="宋体"/>
          <w:color w:val="auto"/>
          <w:szCs w:val="21"/>
        </w:rPr>
        <w:t>的</w:t>
      </w:r>
      <w:r>
        <w:rPr>
          <w:rFonts w:hint="eastAsia" w:ascii="宋体" w:hAnsi="宋体"/>
          <w:color w:val="auto"/>
          <w:szCs w:val="21"/>
        </w:rPr>
        <w:t>规定</w:t>
      </w:r>
      <w:r>
        <w:rPr>
          <w:rFonts w:ascii="宋体" w:hAnsi="宋体"/>
          <w:color w:val="auto"/>
          <w:szCs w:val="21"/>
        </w:rPr>
        <w:t>。</w:t>
      </w:r>
    </w:p>
    <w:p>
      <w:pPr>
        <w:spacing w:line="300" w:lineRule="auto"/>
        <w:ind w:firstLine="420" w:firstLineChars="200"/>
        <w:contextualSpacing/>
        <w:rPr>
          <w:rFonts w:hint="eastAsia" w:hAnsi="宋体"/>
          <w:color w:val="auto"/>
        </w:rPr>
      </w:pPr>
      <w:r>
        <w:rPr>
          <w:rFonts w:hint="eastAsia" w:ascii="宋体" w:hAnsi="宋体"/>
          <w:color w:val="auto"/>
          <w:szCs w:val="21"/>
        </w:rPr>
        <w:t>4.2.3</w:t>
      </w:r>
      <w:r>
        <w:rPr>
          <w:rFonts w:hint="eastAsia" w:ascii="宋体" w:hAnsi="宋体"/>
          <w:color w:val="auto"/>
          <w:szCs w:val="21"/>
          <w:lang w:val="en-US" w:eastAsia="zh-CN"/>
        </w:rPr>
        <w:t>外形尺寸及其</w:t>
      </w:r>
      <w:r>
        <w:rPr>
          <w:rFonts w:hint="eastAsia" w:hAnsi="宋体"/>
          <w:color w:val="auto"/>
          <w:lang w:val="en-US" w:eastAsia="zh-CN"/>
        </w:rPr>
        <w:t>允许</w:t>
      </w:r>
      <w:r>
        <w:rPr>
          <w:rFonts w:hint="eastAsia" w:hAnsi="宋体"/>
          <w:color w:val="auto"/>
        </w:rPr>
        <w:t>偏差</w:t>
      </w:r>
    </w:p>
    <w:p>
      <w:pPr>
        <w:pStyle w:val="2"/>
        <w:ind w:firstLine="420"/>
        <w:rPr>
          <w:rFonts w:hint="eastAsia" w:hAnsi="宋体"/>
          <w:color w:val="auto"/>
          <w:lang w:val="en-US" w:eastAsia="zh-CN"/>
        </w:rPr>
      </w:pPr>
      <w:r>
        <w:rPr>
          <w:rFonts w:hint="eastAsia" w:hAnsi="宋体"/>
          <w:color w:val="auto"/>
          <w:lang w:val="en-US" w:eastAsia="zh-CN"/>
        </w:rPr>
        <w:t>4.2.3.1 外径及其允许偏差</w:t>
      </w:r>
    </w:p>
    <w:p>
      <w:pPr>
        <w:spacing w:line="300" w:lineRule="auto"/>
        <w:ind w:firstLine="420" w:firstLineChars="200"/>
        <w:contextualSpacing/>
        <w:rPr>
          <w:rFonts w:hint="eastAsia" w:ascii="宋体" w:hAnsi="宋体"/>
          <w:color w:val="auto"/>
          <w:szCs w:val="21"/>
          <w:lang w:val="en-US" w:eastAsia="zh-CN"/>
        </w:rPr>
      </w:pPr>
      <w:r>
        <w:rPr>
          <w:rFonts w:hint="eastAsia" w:ascii="宋体" w:hAnsi="宋体"/>
          <w:color w:val="auto"/>
          <w:szCs w:val="21"/>
          <w:lang w:val="en-US" w:eastAsia="zh-CN"/>
        </w:rPr>
        <w:t>近几年产品生产技术水平不断提升，客户要求日益严格，产品外形尺寸精度越来越高，本次修订从以下几个方面进行了精度提升：</w:t>
      </w:r>
    </w:p>
    <w:p>
      <w:pPr>
        <w:spacing w:line="300" w:lineRule="auto"/>
        <w:ind w:firstLine="420" w:firstLineChars="200"/>
        <w:contextualSpacing/>
        <w:rPr>
          <w:rFonts w:hint="eastAsia" w:ascii="宋体" w:hAnsi="宋体"/>
          <w:color w:val="auto"/>
          <w:szCs w:val="21"/>
          <w:lang w:val="en-US" w:eastAsia="zh-CN"/>
        </w:rPr>
      </w:pPr>
      <w:r>
        <w:rPr>
          <w:rFonts w:hint="eastAsia" w:ascii="宋体" w:hAnsi="宋体"/>
          <w:color w:val="auto"/>
          <w:szCs w:val="21"/>
          <w:lang w:val="en-US" w:eastAsia="zh-CN"/>
        </w:rPr>
        <w:t>（1）外径允许偏差加严，具体内容见表3。</w:t>
      </w:r>
    </w:p>
    <w:p>
      <w:pPr>
        <w:spacing w:line="300" w:lineRule="auto"/>
        <w:ind w:firstLine="420" w:firstLineChars="200"/>
        <w:contextualSpacing/>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（2）壁厚增加了最小壁厚的规定。</w:t>
      </w:r>
    </w:p>
    <w:p>
      <w:pPr>
        <w:spacing w:line="300" w:lineRule="auto"/>
        <w:ind w:firstLine="420" w:firstLineChars="200"/>
        <w:contextualSpacing/>
        <w:rPr>
          <w:rFonts w:hint="default" w:ascii="宋体" w:hAnsi="宋体"/>
          <w:color w:val="auto"/>
          <w:szCs w:val="21"/>
          <w:lang w:val="en-US" w:eastAsia="zh-CN"/>
        </w:rPr>
      </w:pPr>
      <w:r>
        <w:rPr>
          <w:rFonts w:hint="eastAsia" w:ascii="宋体" w:hAnsi="宋体"/>
          <w:color w:val="auto"/>
          <w:szCs w:val="21"/>
          <w:lang w:val="en-US" w:eastAsia="zh-CN"/>
        </w:rPr>
        <w:t>（3）长度允许偏差加严，具体见表4。</w:t>
      </w:r>
    </w:p>
    <w:p>
      <w:pPr>
        <w:jc w:val="center"/>
        <w:rPr>
          <w:rFonts w:hint="eastAsia" w:ascii="黑体" w:eastAsia="黑体"/>
          <w:color w:val="auto"/>
        </w:rPr>
      </w:pPr>
      <w:r>
        <w:rPr>
          <w:rFonts w:hint="eastAsia" w:ascii="黑体" w:eastAsia="黑体"/>
          <w:color w:val="auto"/>
        </w:rPr>
        <w:t xml:space="preserve">   </w:t>
      </w:r>
      <w:r>
        <w:rPr>
          <w:rFonts w:hint="eastAsia" w:ascii="黑体" w:eastAsia="黑体"/>
          <w:color w:val="auto"/>
          <w:lang w:val="en-US" w:eastAsia="zh-CN"/>
        </w:rPr>
        <w:t xml:space="preserve">                </w:t>
      </w:r>
      <w:r>
        <w:rPr>
          <w:rFonts w:hint="eastAsia" w:ascii="黑体" w:eastAsia="黑体"/>
          <w:color w:val="auto"/>
        </w:rPr>
        <w:t>表</w:t>
      </w:r>
      <w:r>
        <w:rPr>
          <w:rFonts w:hint="eastAsia" w:ascii="黑体" w:eastAsia="黑体"/>
          <w:color w:val="auto"/>
          <w:lang w:val="en-US" w:eastAsia="zh-CN"/>
        </w:rPr>
        <w:t>3</w:t>
      </w:r>
      <w:r>
        <w:rPr>
          <w:rFonts w:hint="eastAsia" w:ascii="黑体" w:eastAsia="黑体"/>
          <w:color w:val="auto"/>
        </w:rPr>
        <w:t xml:space="preserve">  外径及其允许偏差                      单位为毫米</w:t>
      </w:r>
    </w:p>
    <w:tbl>
      <w:tblPr>
        <w:tblStyle w:val="1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top w:val="single" w:color="auto" w:sz="12" w:space="0"/>
              <w:left w:val="single" w:color="auto" w:sz="12" w:space="0"/>
              <w:bottom w:val="single" w:color="auto" w:sz="12" w:space="0"/>
            </w:tcBorders>
            <w:noWrap w:val="0"/>
            <w:vAlign w:val="center"/>
          </w:tcPr>
          <w:p>
            <w:pPr>
              <w:jc w:val="center"/>
              <w:rPr>
                <w:rFonts w:hint="eastAsia"/>
                <w:color w:val="auto"/>
              </w:rPr>
            </w:pPr>
            <w:r>
              <w:rPr>
                <w:rFonts w:hint="eastAsia"/>
                <w:color w:val="auto"/>
              </w:rPr>
              <w:t>外径</w:t>
            </w:r>
          </w:p>
        </w:tc>
        <w:tc>
          <w:tcPr>
            <w:tcW w:w="5687" w:type="dxa"/>
            <w:tcBorders>
              <w:top w:val="single" w:color="auto" w:sz="12" w:space="0"/>
              <w:bottom w:val="single" w:color="auto" w:sz="12" w:space="0"/>
              <w:right w:val="single" w:color="auto" w:sz="12" w:space="0"/>
            </w:tcBorders>
            <w:noWrap w:val="0"/>
            <w:vAlign w:val="center"/>
          </w:tcPr>
          <w:p>
            <w:pPr>
              <w:jc w:val="center"/>
              <w:rPr>
                <w:rFonts w:hint="eastAsia"/>
                <w:color w:val="auto"/>
              </w:rPr>
            </w:pPr>
            <w:r>
              <w:rPr>
                <w:rFonts w:hint="eastAsia"/>
                <w:color w:val="auto"/>
              </w:rPr>
              <w:t>允许偏差，</w:t>
            </w:r>
            <w:r>
              <w:rPr>
                <w:rFonts w:hint="eastAsia"/>
                <w:color w:val="auto"/>
                <w:vertAlign w:val="superscript"/>
              </w:rPr>
              <w:t>a</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top w:val="single" w:color="auto" w:sz="12" w:space="0"/>
              <w:left w:val="single" w:color="auto" w:sz="12" w:space="0"/>
            </w:tcBorders>
            <w:noWrap w:val="0"/>
            <w:vAlign w:val="top"/>
          </w:tcPr>
          <w:p>
            <w:pPr>
              <w:jc w:val="center"/>
              <w:rPr>
                <w:rFonts w:hint="eastAsia"/>
                <w:color w:val="auto"/>
                <w:szCs w:val="21"/>
              </w:rPr>
            </w:pPr>
            <w:r>
              <w:rPr>
                <w:rFonts w:hint="eastAsia"/>
                <w:color w:val="auto"/>
                <w:szCs w:val="21"/>
              </w:rPr>
              <w:t>8.00~15.88</w:t>
            </w:r>
          </w:p>
        </w:tc>
        <w:tc>
          <w:tcPr>
            <w:tcW w:w="5687" w:type="dxa"/>
            <w:tcBorders>
              <w:top w:val="single" w:color="auto" w:sz="12" w:space="0"/>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left w:val="single" w:color="auto" w:sz="12" w:space="0"/>
            </w:tcBorders>
            <w:noWrap w:val="0"/>
            <w:vAlign w:val="top"/>
          </w:tcPr>
          <w:p>
            <w:pPr>
              <w:jc w:val="center"/>
              <w:rPr>
                <w:rFonts w:hint="eastAsia"/>
                <w:color w:val="auto"/>
                <w:szCs w:val="21"/>
              </w:rPr>
            </w:pPr>
            <w:r>
              <w:rPr>
                <w:rFonts w:hint="eastAsia"/>
                <w:color w:val="auto"/>
                <w:szCs w:val="21"/>
              </w:rPr>
              <w:t>＞15.88~28.58</w:t>
            </w:r>
          </w:p>
        </w:tc>
        <w:tc>
          <w:tcPr>
            <w:tcW w:w="5687" w:type="dxa"/>
            <w:tcBorders>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left w:val="single" w:color="auto" w:sz="12" w:space="0"/>
            </w:tcBorders>
            <w:noWrap w:val="0"/>
            <w:vAlign w:val="top"/>
          </w:tcPr>
          <w:p>
            <w:pPr>
              <w:jc w:val="center"/>
              <w:rPr>
                <w:rFonts w:hint="eastAsia"/>
                <w:color w:val="auto"/>
                <w:szCs w:val="21"/>
              </w:rPr>
            </w:pPr>
            <w:r>
              <w:rPr>
                <w:rFonts w:hint="eastAsia"/>
                <w:color w:val="auto"/>
                <w:szCs w:val="21"/>
              </w:rPr>
              <w:t>＞28.58~31.75</w:t>
            </w:r>
          </w:p>
        </w:tc>
        <w:tc>
          <w:tcPr>
            <w:tcW w:w="5687" w:type="dxa"/>
            <w:tcBorders>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left w:val="single" w:color="auto" w:sz="12" w:space="0"/>
            </w:tcBorders>
            <w:noWrap w:val="0"/>
            <w:vAlign w:val="top"/>
          </w:tcPr>
          <w:p>
            <w:pPr>
              <w:jc w:val="center"/>
              <w:rPr>
                <w:rFonts w:hint="eastAsia"/>
                <w:color w:val="auto"/>
                <w:szCs w:val="21"/>
              </w:rPr>
            </w:pPr>
            <w:r>
              <w:rPr>
                <w:rFonts w:hint="eastAsia"/>
                <w:color w:val="auto"/>
                <w:szCs w:val="21"/>
              </w:rPr>
              <w:t>＞31.75~38.10</w:t>
            </w:r>
          </w:p>
        </w:tc>
        <w:tc>
          <w:tcPr>
            <w:tcW w:w="5687" w:type="dxa"/>
            <w:tcBorders>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left w:val="single" w:color="auto" w:sz="12" w:space="0"/>
            </w:tcBorders>
            <w:noWrap w:val="0"/>
            <w:vAlign w:val="top"/>
          </w:tcPr>
          <w:p>
            <w:pPr>
              <w:jc w:val="center"/>
              <w:rPr>
                <w:rFonts w:hint="eastAsia"/>
                <w:color w:val="auto"/>
                <w:szCs w:val="21"/>
              </w:rPr>
            </w:pPr>
            <w:r>
              <w:rPr>
                <w:rFonts w:hint="eastAsia"/>
                <w:color w:val="auto"/>
                <w:szCs w:val="21"/>
              </w:rPr>
              <w:t>＞38.10~41.27</w:t>
            </w:r>
          </w:p>
        </w:tc>
        <w:tc>
          <w:tcPr>
            <w:tcW w:w="5687" w:type="dxa"/>
            <w:tcBorders>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left w:val="single" w:color="auto" w:sz="12" w:space="0"/>
            </w:tcBorders>
            <w:noWrap w:val="0"/>
            <w:vAlign w:val="top"/>
          </w:tcPr>
          <w:p>
            <w:pPr>
              <w:jc w:val="center"/>
              <w:rPr>
                <w:rFonts w:hint="eastAsia"/>
                <w:color w:val="auto"/>
                <w:szCs w:val="21"/>
              </w:rPr>
            </w:pPr>
            <w:r>
              <w:rPr>
                <w:rFonts w:hint="eastAsia"/>
                <w:color w:val="auto"/>
                <w:szCs w:val="21"/>
              </w:rPr>
              <w:t>＞41.27~50.80</w:t>
            </w:r>
          </w:p>
        </w:tc>
        <w:tc>
          <w:tcPr>
            <w:tcW w:w="5687" w:type="dxa"/>
            <w:tcBorders>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 xml:space="preserve"> 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2"/>
            <w:tcBorders>
              <w:left w:val="single" w:color="auto" w:sz="12" w:space="0"/>
              <w:bottom w:val="single" w:color="auto" w:sz="12" w:space="0"/>
              <w:right w:val="single" w:color="auto" w:sz="12" w:space="0"/>
            </w:tcBorders>
            <w:noWrap w:val="0"/>
            <w:vAlign w:val="top"/>
          </w:tcPr>
          <w:p>
            <w:pPr>
              <w:jc w:val="center"/>
              <w:rPr>
                <w:rFonts w:hint="eastAsia"/>
                <w:color w:val="auto"/>
                <w:lang w:val="en-US" w:eastAsia="zh-CN"/>
              </w:rPr>
            </w:pPr>
            <w:r>
              <w:rPr>
                <w:rFonts w:hint="eastAsia"/>
                <w:color w:val="auto"/>
                <w:vertAlign w:val="superscript"/>
              </w:rPr>
              <w:t>a</w:t>
            </w:r>
            <w:r>
              <w:rPr>
                <w:rFonts w:hint="eastAsia"/>
                <w:color w:val="auto"/>
                <w:highlight w:val="none"/>
              </w:rPr>
              <w:t>当要求外径允许偏差全为（+）或全为（</w:t>
            </w:r>
            <w:r>
              <w:rPr>
                <w:rFonts w:hint="eastAsia"/>
                <w:color w:val="auto"/>
                <w:highlight w:val="none"/>
                <w:lang w:val="en-US" w:eastAsia="zh-CN"/>
              </w:rPr>
              <w:t>-</w:t>
            </w:r>
            <w:r>
              <w:rPr>
                <w:rFonts w:hint="eastAsia"/>
                <w:color w:val="auto"/>
                <w:highlight w:val="none"/>
              </w:rPr>
              <w:t>）单向偏差时，其值为表中数值的2倍。</w:t>
            </w:r>
          </w:p>
        </w:tc>
      </w:tr>
    </w:tbl>
    <w:p>
      <w:pPr>
        <w:jc w:val="center"/>
        <w:rPr>
          <w:rFonts w:hint="eastAsia" w:ascii="黑体" w:eastAsia="黑体"/>
          <w:color w:val="auto"/>
        </w:rPr>
      </w:pPr>
      <w:r>
        <w:rPr>
          <w:rFonts w:hint="eastAsia"/>
          <w:color w:val="auto"/>
        </w:rPr>
        <w:t xml:space="preserve">  </w:t>
      </w:r>
      <w:r>
        <w:rPr>
          <w:rFonts w:hint="eastAsia"/>
          <w:color w:val="auto"/>
          <w:lang w:val="en-US" w:eastAsia="zh-CN"/>
        </w:rPr>
        <w:t xml:space="preserve">             </w:t>
      </w:r>
      <w:r>
        <w:rPr>
          <w:rFonts w:hint="eastAsia"/>
          <w:color w:val="auto"/>
        </w:rPr>
        <w:t>表</w:t>
      </w:r>
      <w:r>
        <w:rPr>
          <w:rFonts w:hint="eastAsia"/>
          <w:color w:val="auto"/>
          <w:lang w:val="en-US" w:eastAsia="zh-CN"/>
        </w:rPr>
        <w:t>4</w:t>
      </w:r>
      <w:r>
        <w:rPr>
          <w:rFonts w:hint="eastAsia"/>
          <w:color w:val="auto"/>
        </w:rPr>
        <w:t xml:space="preserve">  长度允许偏差                      </w:t>
      </w:r>
      <w:r>
        <w:rPr>
          <w:rFonts w:hint="eastAsia" w:ascii="黑体" w:eastAsia="黑体"/>
          <w:color w:val="auto"/>
        </w:rPr>
        <w:t>单位为毫米</w:t>
      </w:r>
    </w:p>
    <w:tbl>
      <w:tblPr>
        <w:tblStyle w:val="11"/>
        <w:tblpPr w:leftFromText="180" w:rightFromText="180" w:vertAnchor="text" w:horzAnchor="page" w:tblpX="1787"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1"/>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top w:val="single" w:color="auto" w:sz="12" w:space="0"/>
              <w:left w:val="single" w:color="auto" w:sz="12" w:space="0"/>
              <w:bottom w:val="single" w:color="auto" w:sz="12" w:space="0"/>
            </w:tcBorders>
            <w:noWrap w:val="0"/>
            <w:vAlign w:val="center"/>
          </w:tcPr>
          <w:p>
            <w:pPr>
              <w:jc w:val="center"/>
              <w:rPr>
                <w:rFonts w:hint="eastAsia"/>
                <w:color w:val="auto"/>
              </w:rPr>
            </w:pPr>
            <w:r>
              <w:rPr>
                <w:rFonts w:hint="eastAsia"/>
                <w:color w:val="auto"/>
              </w:rPr>
              <w:t>长度</w:t>
            </w:r>
          </w:p>
        </w:tc>
        <w:tc>
          <w:tcPr>
            <w:tcW w:w="4247" w:type="dxa"/>
            <w:tcBorders>
              <w:top w:val="single" w:color="auto" w:sz="12" w:space="0"/>
              <w:bottom w:val="single" w:color="auto" w:sz="12" w:space="0"/>
              <w:right w:val="single" w:color="auto" w:sz="12" w:space="0"/>
            </w:tcBorders>
            <w:noWrap w:val="0"/>
            <w:vAlign w:val="center"/>
          </w:tcPr>
          <w:p>
            <w:pPr>
              <w:jc w:val="center"/>
              <w:rPr>
                <w:rFonts w:hint="eastAsia"/>
                <w:color w:val="auto"/>
              </w:rPr>
            </w:pPr>
            <w:r>
              <w:rPr>
                <w:rFonts w:hint="eastAsia"/>
                <w:color w:val="auto"/>
              </w:rPr>
              <w:t>长度允许偏差，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top w:val="single" w:color="auto" w:sz="12" w:space="0"/>
              <w:left w:val="single" w:color="auto" w:sz="12" w:space="0"/>
            </w:tcBorders>
            <w:noWrap w:val="0"/>
            <w:vAlign w:val="center"/>
          </w:tcPr>
          <w:p>
            <w:pPr>
              <w:jc w:val="center"/>
              <w:rPr>
                <w:rFonts w:hint="eastAsia"/>
                <w:color w:val="auto"/>
              </w:rPr>
            </w:pPr>
            <w:r>
              <w:rPr>
                <w:rFonts w:hint="eastAsia"/>
                <w:color w:val="auto"/>
              </w:rPr>
              <w:t>≤4900</w:t>
            </w:r>
          </w:p>
        </w:tc>
        <w:tc>
          <w:tcPr>
            <w:tcW w:w="4247" w:type="dxa"/>
            <w:tcBorders>
              <w:top w:val="single" w:color="auto" w:sz="12" w:space="0"/>
              <w:right w:val="single" w:color="auto" w:sz="12" w:space="0"/>
            </w:tcBorders>
            <w:noWrap w:val="0"/>
            <w:vAlign w:val="center"/>
          </w:tcPr>
          <w:p>
            <w:pPr>
              <w:jc w:val="center"/>
              <w:rPr>
                <w:rFonts w:hint="eastAsia"/>
                <w:color w:val="auto"/>
                <w:highlight w:val="none"/>
              </w:rPr>
            </w:pPr>
            <w:r>
              <w:rPr>
                <w:rFonts w:hint="eastAsia"/>
                <w:color w:val="auto"/>
                <w:highlight w:val="none"/>
              </w:rPr>
              <w:t>+2.0</w:t>
            </w:r>
          </w:p>
          <w:p>
            <w:pPr>
              <w:jc w:val="center"/>
              <w:rPr>
                <w:color w:val="auto"/>
                <w:highlight w:val="none"/>
              </w:rPr>
            </w:pPr>
            <w:r>
              <w:rPr>
                <w:rFonts w:hint="eastAsia"/>
                <w:color w:val="auto"/>
                <w:highlight w:val="none"/>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left w:val="single" w:color="auto" w:sz="12" w:space="0"/>
            </w:tcBorders>
            <w:noWrap w:val="0"/>
            <w:vAlign w:val="center"/>
          </w:tcPr>
          <w:p>
            <w:pPr>
              <w:jc w:val="center"/>
              <w:rPr>
                <w:rFonts w:hint="eastAsia"/>
                <w:color w:val="auto"/>
              </w:rPr>
            </w:pPr>
            <w:r>
              <w:rPr>
                <w:rFonts w:hint="eastAsia"/>
                <w:color w:val="auto"/>
              </w:rPr>
              <w:t>＞4900～6600</w:t>
            </w:r>
          </w:p>
        </w:tc>
        <w:tc>
          <w:tcPr>
            <w:tcW w:w="4247" w:type="dxa"/>
            <w:tcBorders>
              <w:right w:val="single" w:color="auto" w:sz="12" w:space="0"/>
            </w:tcBorders>
            <w:noWrap w:val="0"/>
            <w:vAlign w:val="center"/>
          </w:tcPr>
          <w:p>
            <w:pPr>
              <w:jc w:val="center"/>
              <w:rPr>
                <w:rFonts w:hint="default"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3.0</w:t>
            </w:r>
          </w:p>
          <w:p>
            <w:pPr>
              <w:jc w:val="center"/>
              <w:rPr>
                <w:color w:val="auto"/>
                <w:highlight w:val="none"/>
              </w:rPr>
            </w:pPr>
            <w:r>
              <w:rPr>
                <w:rFonts w:hint="eastAsia"/>
                <w:color w:val="auto"/>
                <w:highlight w:val="none"/>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left w:val="single" w:color="auto" w:sz="12" w:space="0"/>
            </w:tcBorders>
            <w:noWrap w:val="0"/>
            <w:vAlign w:val="center"/>
          </w:tcPr>
          <w:p>
            <w:pPr>
              <w:jc w:val="center"/>
              <w:rPr>
                <w:rFonts w:hint="eastAsia"/>
                <w:color w:val="auto"/>
              </w:rPr>
            </w:pPr>
            <w:r>
              <w:rPr>
                <w:rFonts w:hint="eastAsia"/>
                <w:color w:val="auto"/>
              </w:rPr>
              <w:t>＞6600～9800</w:t>
            </w:r>
          </w:p>
        </w:tc>
        <w:tc>
          <w:tcPr>
            <w:tcW w:w="4247" w:type="dxa"/>
            <w:tcBorders>
              <w:right w:val="single" w:color="auto" w:sz="12" w:space="0"/>
            </w:tcBorders>
            <w:noWrap w:val="0"/>
            <w:vAlign w:val="center"/>
          </w:tcPr>
          <w:p>
            <w:pPr>
              <w:jc w:val="center"/>
              <w:rPr>
                <w:rFonts w:hint="eastAsia"/>
                <w:color w:val="auto"/>
                <w:highlight w:val="none"/>
              </w:rPr>
            </w:pPr>
            <w:r>
              <w:rPr>
                <w:rFonts w:hint="eastAsia"/>
                <w:color w:val="auto"/>
                <w:highlight w:val="none"/>
              </w:rPr>
              <w:t>4.0</w:t>
            </w:r>
          </w:p>
          <w:p>
            <w:pPr>
              <w:jc w:val="center"/>
              <w:rPr>
                <w:rFonts w:hint="eastAsia"/>
                <w:color w:val="auto"/>
                <w:highlight w:val="none"/>
              </w:rPr>
            </w:pPr>
            <w:r>
              <w:rPr>
                <w:rFonts w:hint="eastAsia"/>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left w:val="single" w:color="auto" w:sz="12" w:space="0"/>
            </w:tcBorders>
            <w:noWrap w:val="0"/>
            <w:vAlign w:val="center"/>
          </w:tcPr>
          <w:p>
            <w:pPr>
              <w:jc w:val="center"/>
              <w:rPr>
                <w:color w:val="auto"/>
              </w:rPr>
            </w:pPr>
            <w:r>
              <w:rPr>
                <w:rFonts w:hint="eastAsia"/>
                <w:color w:val="auto"/>
              </w:rPr>
              <w:t>＞9800～19700</w:t>
            </w:r>
          </w:p>
        </w:tc>
        <w:tc>
          <w:tcPr>
            <w:tcW w:w="4247" w:type="dxa"/>
            <w:tcBorders>
              <w:right w:val="single" w:color="auto" w:sz="12" w:space="0"/>
            </w:tcBorders>
            <w:noWrap w:val="0"/>
            <w:vAlign w:val="center"/>
          </w:tcPr>
          <w:p>
            <w:pPr>
              <w:jc w:val="center"/>
              <w:rPr>
                <w:rFonts w:hint="default" w:eastAsiaTheme="minorEastAsia"/>
                <w:color w:val="auto"/>
                <w:highlight w:val="none"/>
                <w:lang w:val="en-US" w:eastAsia="zh-CN"/>
              </w:rPr>
            </w:pPr>
            <w:r>
              <w:rPr>
                <w:rFonts w:hint="eastAsia"/>
                <w:color w:val="auto"/>
                <w:highlight w:val="none"/>
              </w:rPr>
              <w:t xml:space="preserve"> +</w:t>
            </w:r>
            <w:r>
              <w:rPr>
                <w:rFonts w:hint="eastAsia"/>
                <w:color w:val="auto"/>
                <w:highlight w:val="none"/>
                <w:lang w:val="en-US" w:eastAsia="zh-CN"/>
              </w:rPr>
              <w:t>9.0</w:t>
            </w:r>
          </w:p>
          <w:p>
            <w:pPr>
              <w:jc w:val="center"/>
              <w:rPr>
                <w:color w:val="auto"/>
                <w:highlight w:val="none"/>
              </w:rPr>
            </w:pPr>
            <w:r>
              <w:rPr>
                <w:rFonts w:hint="eastAsia"/>
                <w:color w:val="auto"/>
                <w:highlight w:val="none"/>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tcBorders>
              <w:left w:val="single" w:color="auto" w:sz="12" w:space="0"/>
            </w:tcBorders>
            <w:noWrap w:val="0"/>
            <w:vAlign w:val="center"/>
          </w:tcPr>
          <w:p>
            <w:pPr>
              <w:jc w:val="center"/>
              <w:rPr>
                <w:color w:val="auto"/>
              </w:rPr>
            </w:pPr>
            <w:r>
              <w:rPr>
                <w:rFonts w:hint="eastAsia"/>
                <w:color w:val="auto"/>
              </w:rPr>
              <w:t>＞19700～35000</w:t>
            </w:r>
          </w:p>
        </w:tc>
        <w:tc>
          <w:tcPr>
            <w:tcW w:w="4247" w:type="dxa"/>
            <w:tcBorders>
              <w:right w:val="single" w:color="auto" w:sz="12" w:space="0"/>
            </w:tcBorders>
            <w:noWrap w:val="0"/>
            <w:vAlign w:val="center"/>
          </w:tcPr>
          <w:p>
            <w:pPr>
              <w:jc w:val="center"/>
              <w:rPr>
                <w:rFonts w:hint="default" w:eastAsiaTheme="minorEastAsia"/>
                <w:color w:val="auto"/>
                <w:highlight w:val="none"/>
                <w:lang w:val="en-US" w:eastAsia="zh-CN"/>
              </w:rPr>
            </w:pPr>
            <w:r>
              <w:rPr>
                <w:rFonts w:hint="eastAsia"/>
                <w:color w:val="auto"/>
                <w:highlight w:val="none"/>
              </w:rPr>
              <w:t xml:space="preserve"> +</w:t>
            </w:r>
            <w:r>
              <w:rPr>
                <w:rFonts w:hint="eastAsia"/>
                <w:color w:val="auto"/>
                <w:highlight w:val="none"/>
                <w:lang w:val="en-US" w:eastAsia="zh-CN"/>
              </w:rPr>
              <w:t>12.0</w:t>
            </w:r>
          </w:p>
          <w:p>
            <w:pPr>
              <w:jc w:val="center"/>
              <w:rPr>
                <w:color w:val="auto"/>
                <w:highlight w:val="none"/>
              </w:rPr>
            </w:pPr>
            <w:r>
              <w:rPr>
                <w:rFonts w:hint="eastAsia"/>
                <w:color w:val="auto"/>
                <w:highlight w:val="none"/>
              </w:rPr>
              <w:t xml:space="preserve">  0</w:t>
            </w:r>
          </w:p>
        </w:tc>
      </w:tr>
    </w:tbl>
    <w:p>
      <w:pPr>
        <w:pStyle w:val="2"/>
        <w:rPr>
          <w:rFonts w:hint="eastAsia"/>
          <w:color w:val="auto"/>
        </w:rPr>
      </w:pPr>
    </w:p>
    <w:p>
      <w:pPr>
        <w:pStyle w:val="2"/>
        <w:ind w:firstLine="420"/>
        <w:rPr>
          <w:rFonts w:hint="eastAsia" w:hAnsi="宋体"/>
          <w:color w:val="auto"/>
          <w:lang w:val="en-US" w:eastAsia="zh-CN"/>
        </w:rPr>
      </w:pPr>
      <w:r>
        <w:rPr>
          <w:rFonts w:hint="eastAsia" w:hAnsi="宋体"/>
          <w:color w:val="auto"/>
          <w:lang w:val="en-US" w:eastAsia="zh-CN"/>
        </w:rPr>
        <w:t>4.2.3.2 圆度</w:t>
      </w:r>
    </w:p>
    <w:p>
      <w:pPr>
        <w:pStyle w:val="2"/>
        <w:ind w:firstLine="420"/>
        <w:rPr>
          <w:rFonts w:hint="eastAsia"/>
          <w:color w:val="auto"/>
          <w:highlight w:val="none"/>
          <w:lang w:val="en-US" w:eastAsia="zh-CN"/>
        </w:rPr>
      </w:pPr>
      <w:r>
        <w:rPr>
          <w:rFonts w:hint="eastAsia"/>
          <w:color w:val="auto"/>
          <w:highlight w:val="none"/>
          <w:lang w:val="en-US" w:eastAsia="zh-CN"/>
        </w:rPr>
        <w:t>删除原有的圆度要求。该标准中</w:t>
      </w:r>
      <w:r>
        <w:rPr>
          <w:rFonts w:hint="eastAsia" w:ascii="Times New Roman"/>
          <w:color w:val="auto"/>
          <w:highlight w:val="none"/>
          <w:lang w:val="en-US" w:eastAsia="zh-CN"/>
        </w:rPr>
        <w:t>外径允许偏差为任意外径允许偏差，</w:t>
      </w:r>
      <w:r>
        <w:rPr>
          <w:rFonts w:hint="eastAsia"/>
          <w:color w:val="auto"/>
          <w:highlight w:val="none"/>
          <w:lang w:val="en-US" w:eastAsia="zh-CN"/>
        </w:rPr>
        <w:t>已</w:t>
      </w:r>
      <w:r>
        <w:rPr>
          <w:rFonts w:hint="eastAsia" w:ascii="Times New Roman"/>
          <w:color w:val="auto"/>
          <w:highlight w:val="none"/>
          <w:lang w:val="en-US" w:eastAsia="zh-CN"/>
        </w:rPr>
        <w:t>包括圆度</w:t>
      </w:r>
      <w:r>
        <w:rPr>
          <w:rFonts w:hint="eastAsia"/>
          <w:color w:val="auto"/>
          <w:highlight w:val="none"/>
          <w:lang w:val="en-US" w:eastAsia="zh-CN"/>
        </w:rPr>
        <w:t>偏度，所以删除。</w:t>
      </w:r>
    </w:p>
    <w:p>
      <w:pPr>
        <w:pStyle w:val="2"/>
        <w:ind w:firstLine="420"/>
        <w:rPr>
          <w:rFonts w:hint="eastAsia"/>
          <w:color w:val="auto"/>
          <w:highlight w:val="none"/>
          <w:lang w:val="en-US" w:eastAsia="zh-CN"/>
        </w:rPr>
      </w:pPr>
      <w:r>
        <w:rPr>
          <w:rFonts w:hint="eastAsia"/>
          <w:color w:val="auto"/>
          <w:highlight w:val="none"/>
          <w:lang w:val="en-US" w:eastAsia="zh-CN"/>
        </w:rPr>
        <w:t>4.2.3.3 切斜度和直度</w:t>
      </w:r>
    </w:p>
    <w:p>
      <w:pPr>
        <w:pStyle w:val="2"/>
        <w:ind w:firstLine="420"/>
        <w:rPr>
          <w:rFonts w:hint="default" w:hAnsi="宋体" w:eastAsia="宋体"/>
          <w:color w:val="auto"/>
          <w:lang w:val="en-US" w:eastAsia="zh-CN"/>
        </w:rPr>
      </w:pPr>
      <w:r>
        <w:rPr>
          <w:rFonts w:hint="eastAsia"/>
          <w:color w:val="auto"/>
          <w:highlight w:val="none"/>
          <w:lang w:val="en-US" w:eastAsia="zh-CN"/>
        </w:rPr>
        <w:t>切斜度和直度没有变化。切斜度的要求是：</w:t>
      </w:r>
      <w:r>
        <w:rPr>
          <w:rFonts w:hint="eastAsia"/>
          <w:color w:val="auto"/>
          <w:szCs w:val="21"/>
        </w:rPr>
        <w:t>管材端部应锯切平整、无毛刺。在不使管材长度超出其允许偏差的条件下，</w:t>
      </w:r>
      <w:r>
        <w:rPr>
          <w:rFonts w:hint="eastAsia"/>
          <w:color w:val="auto"/>
          <w:szCs w:val="21"/>
        </w:rPr>
        <w:t>切口</w:t>
      </w:r>
      <w:r>
        <w:rPr>
          <w:rFonts w:hint="eastAsia"/>
          <w:color w:val="auto"/>
          <w:szCs w:val="21"/>
          <w:lang w:val="en-US" w:eastAsia="zh-CN"/>
        </w:rPr>
        <w:t>的</w:t>
      </w:r>
      <w:r>
        <w:rPr>
          <w:rFonts w:hint="eastAsia"/>
          <w:color w:val="auto"/>
          <w:szCs w:val="21"/>
        </w:rPr>
        <w:t>切斜</w:t>
      </w:r>
      <w:r>
        <w:rPr>
          <w:rFonts w:hint="eastAsia" w:ascii="宋体" w:hAnsi="宋体"/>
          <w:color w:val="auto"/>
          <w:szCs w:val="21"/>
        </w:rPr>
        <w:t>度</w:t>
      </w:r>
      <w:r>
        <w:rPr>
          <w:rFonts w:hint="eastAsia"/>
          <w:color w:val="auto"/>
          <w:szCs w:val="21"/>
        </w:rPr>
        <w:t>不应超过</w:t>
      </w:r>
      <w:r>
        <w:rPr>
          <w:rFonts w:hint="eastAsia"/>
          <w:color w:val="auto"/>
          <w:szCs w:val="21"/>
          <w:lang w:val="en-US" w:eastAsia="zh-CN"/>
        </w:rPr>
        <w:t>公称</w:t>
      </w:r>
      <w:r>
        <w:rPr>
          <w:rFonts w:hint="eastAsia"/>
          <w:color w:val="auto"/>
          <w:szCs w:val="21"/>
        </w:rPr>
        <w:t>外径的1.6%，</w:t>
      </w:r>
      <w:r>
        <w:rPr>
          <w:rFonts w:hint="eastAsia"/>
          <w:color w:val="auto"/>
        </w:rPr>
        <w:t>精确到0. 1 mm</w:t>
      </w:r>
      <w:r>
        <w:rPr>
          <w:rFonts w:hint="eastAsia"/>
          <w:color w:val="auto"/>
          <w:lang w:eastAsia="zh-CN"/>
        </w:rPr>
        <w:t>；</w:t>
      </w:r>
      <w:r>
        <w:rPr>
          <w:rFonts w:hint="eastAsia"/>
          <w:color w:val="auto"/>
          <w:lang w:val="en-US" w:eastAsia="zh-CN"/>
        </w:rPr>
        <w:t>直度的要求是：</w:t>
      </w:r>
      <w:r>
        <w:rPr>
          <w:rFonts w:hint="eastAsia"/>
          <w:bCs/>
          <w:color w:val="auto"/>
          <w:szCs w:val="21"/>
        </w:rPr>
        <w:t>管材的直度每米应不大于3</w:t>
      </w:r>
      <w:r>
        <w:rPr>
          <w:rFonts w:hint="eastAsia"/>
          <w:color w:val="auto"/>
        </w:rPr>
        <w:t xml:space="preserve"> mm</w:t>
      </w:r>
      <w:r>
        <w:rPr>
          <w:rFonts w:hint="eastAsia"/>
          <w:bCs/>
          <w:color w:val="auto"/>
          <w:szCs w:val="21"/>
        </w:rPr>
        <w:t>。</w:t>
      </w:r>
      <w:r>
        <w:rPr>
          <w:rFonts w:hint="eastAsia" w:ascii="黑体" w:eastAsia="黑体"/>
          <w:color w:val="auto"/>
          <w:szCs w:val="21"/>
        </w:rPr>
        <w:t xml:space="preserve">  </w:t>
      </w:r>
    </w:p>
    <w:p>
      <w:pPr>
        <w:spacing w:line="30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4.2.</w:t>
      </w:r>
      <w:r>
        <w:rPr>
          <w:rFonts w:hint="eastAsia" w:asciiTheme="minorEastAsia" w:hAnsiTheme="minorEastAsia"/>
          <w:color w:val="auto"/>
          <w:szCs w:val="21"/>
          <w:lang w:val="en-US" w:eastAsia="zh-CN"/>
        </w:rPr>
        <w:t>4</w:t>
      </w:r>
      <w:r>
        <w:rPr>
          <w:rFonts w:hint="eastAsia"/>
          <w:color w:val="auto"/>
        </w:rPr>
        <w:t>室温力学性能</w:t>
      </w:r>
    </w:p>
    <w:p>
      <w:pPr>
        <w:spacing w:line="300" w:lineRule="auto"/>
        <w:ind w:firstLine="420" w:firstLineChars="200"/>
        <w:rPr>
          <w:rFonts w:asciiTheme="minorEastAsia" w:hAnsiTheme="minorEastAsia"/>
          <w:color w:val="auto"/>
          <w:szCs w:val="21"/>
        </w:rPr>
      </w:pPr>
      <w:r>
        <w:rPr>
          <w:rFonts w:hint="eastAsia" w:asciiTheme="minorEastAsia" w:hAnsiTheme="minorEastAsia"/>
          <w:color w:val="auto"/>
          <w:szCs w:val="21"/>
        </w:rPr>
        <w:t>力学性能可以通过拉伸试验进行测试，测得抗拉强度和断后伸长率。基于生产实际情况和客户不同侧重点需求，标准还规定了硬度（维氏硬度），同时还规定了</w:t>
      </w:r>
      <w:r>
        <w:rPr>
          <w:rFonts w:hint="eastAsia" w:ascii="宋体" w:hAnsi="宋体"/>
          <w:color w:val="auto"/>
          <w:sz w:val="21"/>
          <w:szCs w:val="21"/>
          <w:lang w:val="en-US" w:eastAsia="zh-CN"/>
        </w:rPr>
        <w:t>规定塑性</w:t>
      </w:r>
      <w:r>
        <w:rPr>
          <w:rFonts w:hint="eastAsia" w:ascii="宋体" w:hAnsi="宋体"/>
          <w:color w:val="auto"/>
          <w:sz w:val="21"/>
          <w:szCs w:val="21"/>
        </w:rPr>
        <w:t>延伸强度</w:t>
      </w:r>
      <w:r>
        <w:rPr>
          <w:rFonts w:hint="eastAsia" w:asciiTheme="minorEastAsia" w:hAnsiTheme="minorEastAsia"/>
          <w:color w:val="auto"/>
          <w:szCs w:val="21"/>
        </w:rPr>
        <w:t>。为确定管材的力学性能指标，编制小组在编制前收集了</w:t>
      </w:r>
      <w:r>
        <w:rPr>
          <w:rFonts w:hint="eastAsia" w:ascii="宋体" w:hAnsi="宋体" w:eastAsia="宋体"/>
          <w:color w:val="auto"/>
        </w:rPr>
        <w:t>浙江海亮股份有限公司</w:t>
      </w:r>
      <w:r>
        <w:rPr>
          <w:rFonts w:hint="eastAsia" w:ascii="宋体" w:hAnsi="宋体" w:eastAsia="宋体"/>
          <w:color w:val="auto"/>
          <w:lang w:eastAsia="zh-CN"/>
        </w:rPr>
        <w:t>、</w:t>
      </w:r>
      <w:r>
        <w:rPr>
          <w:rFonts w:hint="eastAsia" w:cs="Times New Roman" w:asciiTheme="minorEastAsia" w:hAnsiTheme="minorEastAsia"/>
          <w:color w:val="auto"/>
          <w:kern w:val="0"/>
          <w:szCs w:val="21"/>
          <w:lang w:val="en-US" w:eastAsia="zh-CN"/>
        </w:rPr>
        <w:t>中铝洛阳铜加工有限公司</w:t>
      </w:r>
      <w:r>
        <w:rPr>
          <w:rFonts w:hint="eastAsia" w:ascii="宋体" w:hAnsi="宋体" w:eastAsia="宋体"/>
          <w:color w:val="auto"/>
          <w:lang w:eastAsia="zh-CN"/>
        </w:rPr>
        <w:t>、</w:t>
      </w:r>
      <w:r>
        <w:rPr>
          <w:rFonts w:hint="eastAsia" w:cs="Times New Roman" w:asciiTheme="minorEastAsia" w:hAnsiTheme="minorEastAsia"/>
          <w:color w:val="auto"/>
          <w:kern w:val="0"/>
          <w:szCs w:val="21"/>
          <w:lang w:val="en-US" w:eastAsia="zh-CN"/>
        </w:rPr>
        <w:t>桂林璃佳金属有限公司、苏州富瑞合金科技股份有限公司</w:t>
      </w:r>
      <w:r>
        <w:rPr>
          <w:rFonts w:hint="eastAsia" w:asciiTheme="minorEastAsia" w:hAnsiTheme="minorEastAsia"/>
          <w:color w:val="auto"/>
          <w:szCs w:val="21"/>
        </w:rPr>
        <w:t>等生产单位的生产实测数据，主要指标为抗拉强度</w:t>
      </w:r>
      <w:r>
        <w:rPr>
          <w:rFonts w:asciiTheme="minorEastAsia" w:hAnsiTheme="minorEastAsia"/>
          <w:color w:val="auto"/>
          <w:szCs w:val="21"/>
        </w:rPr>
        <w:t>Rm</w:t>
      </w:r>
      <w:r>
        <w:rPr>
          <w:rFonts w:hint="eastAsia" w:asciiTheme="minorEastAsia" w:hAnsiTheme="minorEastAsia"/>
          <w:color w:val="auto"/>
          <w:szCs w:val="21"/>
        </w:rPr>
        <w:t>、规定塑性延伸强度</w:t>
      </w:r>
      <w:r>
        <w:rPr>
          <w:rFonts w:asciiTheme="minorEastAsia" w:hAnsiTheme="minorEastAsia"/>
          <w:color w:val="auto"/>
          <w:szCs w:val="21"/>
        </w:rPr>
        <w:t>R</w:t>
      </w:r>
      <w:r>
        <w:rPr>
          <w:rFonts w:hint="eastAsia" w:asciiTheme="minorEastAsia" w:hAnsiTheme="minorEastAsia"/>
          <w:color w:val="auto"/>
          <w:szCs w:val="21"/>
        </w:rPr>
        <w:t>p</w:t>
      </w:r>
      <w:r>
        <w:rPr>
          <w:rFonts w:hint="eastAsia" w:asciiTheme="minorEastAsia" w:hAnsiTheme="minorEastAsia"/>
          <w:color w:val="auto"/>
          <w:szCs w:val="21"/>
          <w:vertAlign w:val="subscript"/>
          <w:lang w:val="en-US" w:eastAsia="zh-CN"/>
        </w:rPr>
        <w:t>0.2</w:t>
      </w:r>
      <w:r>
        <w:rPr>
          <w:rFonts w:hint="eastAsia" w:asciiTheme="minorEastAsia" w:hAnsiTheme="minorEastAsia"/>
          <w:color w:val="auto"/>
          <w:szCs w:val="21"/>
        </w:rPr>
        <w:t>、伸长率%和硬度</w:t>
      </w:r>
      <w:r>
        <w:rPr>
          <w:rFonts w:asciiTheme="minorEastAsia" w:hAnsiTheme="minorEastAsia"/>
          <w:color w:val="auto"/>
          <w:szCs w:val="21"/>
        </w:rPr>
        <w:t>HV</w:t>
      </w:r>
      <w:r>
        <w:rPr>
          <w:rFonts w:hint="eastAsia" w:asciiTheme="minorEastAsia" w:hAnsiTheme="minorEastAsia"/>
          <w:color w:val="auto"/>
          <w:szCs w:val="21"/>
        </w:rPr>
        <w:t>，</w:t>
      </w:r>
      <w:r>
        <w:rPr>
          <w:rFonts w:hint="eastAsia"/>
          <w:color w:val="auto"/>
          <w:lang w:val="en-US" w:eastAsia="zh-CN"/>
        </w:rPr>
        <w:t>本次修订没有调研到</w:t>
      </w:r>
      <w:r>
        <w:rPr>
          <w:rFonts w:hint="eastAsia"/>
          <w:color w:val="auto"/>
        </w:rPr>
        <w:t>BFe16-1-1-0.5</w:t>
      </w:r>
      <w:r>
        <w:rPr>
          <w:rFonts w:hint="eastAsia"/>
          <w:color w:val="auto"/>
          <w:lang w:eastAsia="zh-CN"/>
        </w:rPr>
        <w:t>、</w:t>
      </w:r>
      <w:r>
        <w:rPr>
          <w:rFonts w:hint="eastAsia"/>
          <w:color w:val="auto"/>
        </w:rPr>
        <w:t>BFe30-2-2</w:t>
      </w:r>
      <w:r>
        <w:rPr>
          <w:rFonts w:hint="eastAsia"/>
          <w:color w:val="auto"/>
          <w:lang w:val="en-US" w:eastAsia="zh-CN"/>
        </w:rPr>
        <w:t>牌号</w:t>
      </w:r>
      <w:r>
        <w:rPr>
          <w:rFonts w:hint="eastAsia"/>
          <w:color w:val="auto"/>
        </w:rPr>
        <w:t>O6</w:t>
      </w:r>
      <w:r>
        <w:rPr>
          <w:rFonts w:hint="eastAsia"/>
          <w:color w:val="auto"/>
          <w:lang w:val="en-US" w:eastAsia="zh-CN"/>
        </w:rPr>
        <w:t>1</w:t>
      </w:r>
      <w:r>
        <w:rPr>
          <w:rFonts w:hint="eastAsia"/>
          <w:color w:val="auto"/>
          <w:lang w:eastAsia="zh-CN"/>
        </w:rPr>
        <w:t>、</w:t>
      </w:r>
      <w:r>
        <w:rPr>
          <w:rFonts w:hint="eastAsia"/>
          <w:color w:val="auto"/>
        </w:rPr>
        <w:t>O</w:t>
      </w:r>
      <w:r>
        <w:rPr>
          <w:rFonts w:hint="eastAsia"/>
          <w:color w:val="auto"/>
          <w:lang w:val="en-US" w:eastAsia="zh-CN"/>
        </w:rPr>
        <w:t>82和</w:t>
      </w:r>
      <w:r>
        <w:rPr>
          <w:rFonts w:hint="eastAsia"/>
          <w:color w:val="auto"/>
        </w:rPr>
        <w:t>BFe</w:t>
      </w:r>
      <w:r>
        <w:rPr>
          <w:rFonts w:hint="eastAsia"/>
          <w:color w:val="auto"/>
          <w:lang w:val="en-US" w:eastAsia="zh-CN"/>
        </w:rPr>
        <w:t>1</w:t>
      </w:r>
      <w:r>
        <w:rPr>
          <w:rFonts w:hint="eastAsia"/>
          <w:color w:val="auto"/>
        </w:rPr>
        <w:t>0-</w:t>
      </w:r>
      <w:r>
        <w:rPr>
          <w:rFonts w:hint="eastAsia"/>
          <w:color w:val="auto"/>
          <w:lang w:val="en-US" w:eastAsia="zh-CN"/>
        </w:rPr>
        <w:t>1</w:t>
      </w:r>
      <w:r>
        <w:rPr>
          <w:rFonts w:hint="eastAsia"/>
          <w:color w:val="auto"/>
        </w:rPr>
        <w:t>-</w:t>
      </w:r>
      <w:r>
        <w:rPr>
          <w:rFonts w:hint="eastAsia"/>
          <w:color w:val="auto"/>
          <w:lang w:val="en-US" w:eastAsia="zh-CN"/>
        </w:rPr>
        <w:t>1牌号</w:t>
      </w:r>
      <w:r>
        <w:rPr>
          <w:rFonts w:hint="eastAsia"/>
          <w:color w:val="auto"/>
        </w:rPr>
        <w:t>H80</w:t>
      </w:r>
      <w:r>
        <w:rPr>
          <w:rFonts w:hint="eastAsia"/>
          <w:color w:val="auto"/>
          <w:lang w:val="en-US" w:eastAsia="zh-CN"/>
        </w:rPr>
        <w:t>的相关数据，所以该三个牌号相关状态的力学性能指标按照2009版文件执行，不做更改。其他牌号相关状态数据根据调研情况进行了分析修订，具体分析情况如下：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.1  HAl77-2铜管性能频数和频率分析</w:t>
      </w:r>
    </w:p>
    <w:p>
      <w:pPr>
        <w:ind w:firstLine="420" w:firstLineChars="200"/>
        <w:rPr>
          <w:rFonts w:hint="eastAsia" w:asciiTheme="minorEastAsia" w:hAnsiTheme="minorEastAsia"/>
          <w:color w:val="auto"/>
          <w:szCs w:val="21"/>
          <w:lang w:val="en-US" w:eastAsia="zh-CN"/>
        </w:rPr>
      </w:pPr>
      <w:r>
        <w:rPr>
          <w:rFonts w:hint="eastAsia" w:asciiTheme="minorEastAsia" w:hAnsiTheme="minorEastAsia"/>
          <w:color w:val="auto"/>
          <w:szCs w:val="21"/>
        </w:rPr>
        <w:t>HAl77-2</w:t>
      </w:r>
      <w:r>
        <w:rPr>
          <w:rFonts w:hint="eastAsia" w:asciiTheme="minorEastAsia" w:hAnsiTheme="minorEastAsia"/>
          <w:color w:val="auto"/>
          <w:szCs w:val="21"/>
          <w:lang w:val="en-US" w:eastAsia="zh-CN"/>
        </w:rPr>
        <w:t>牌号分为</w:t>
      </w: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rPr>
        <w:t>O</w:t>
      </w:r>
      <w:r>
        <w:rPr>
          <w:rFonts w:hint="eastAsia" w:asciiTheme="minorEastAsia" w:hAnsiTheme="minorEastAsia"/>
          <w:color w:val="auto"/>
          <w:szCs w:val="21"/>
          <w:lang w:val="en-US" w:eastAsia="zh-CN"/>
        </w:rPr>
        <w:t>82两种状态。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1.1 </w:t>
      </w:r>
      <w:r>
        <w:rPr>
          <w:rFonts w:hint="eastAsia" w:asciiTheme="minorEastAsia" w:hAnsiTheme="minorEastAsia"/>
          <w:b/>
          <w:bCs/>
          <w:color w:val="auto"/>
          <w:szCs w:val="21"/>
        </w:rPr>
        <w:t>O6</w:t>
      </w:r>
      <w:r>
        <w:rPr>
          <w:rFonts w:hint="eastAsia" w:asciiTheme="minorEastAsia" w:hAnsiTheme="minorEastAsia"/>
          <w:b/>
          <w:bCs/>
          <w:color w:val="auto"/>
          <w:szCs w:val="21"/>
          <w:lang w:val="en-US" w:eastAsia="zh-CN"/>
        </w:rPr>
        <w:t>1</w:t>
      </w:r>
    </w:p>
    <w:p>
      <w:pPr>
        <w:ind w:firstLine="420" w:firstLineChars="200"/>
        <w:rPr>
          <w:rFonts w:hint="default" w:asciiTheme="minorEastAsia" w:hAnsiTheme="minorEastAsia"/>
          <w:color w:val="auto"/>
          <w:szCs w:val="21"/>
          <w:lang w:val="en-US"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抗拉强度</w:t>
      </w:r>
    </w:p>
    <w:p>
      <w:pPr>
        <w:ind w:firstLine="420" w:firstLineChars="200"/>
        <w:rPr>
          <w:color w:val="auto"/>
        </w:rPr>
      </w:pP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color w:val="auto"/>
        </w:rPr>
        <w:t>抗拉强度频数和频率分布表及直方图如下：</w:t>
      </w:r>
    </w:p>
    <w:p>
      <w:pPr>
        <w:jc w:val="center"/>
        <w:rPr>
          <w:rFonts w:hint="eastAsia"/>
          <w:color w:val="auto"/>
        </w:rPr>
      </w:pPr>
      <w:r>
        <w:rPr>
          <w:rFonts w:hint="eastAsia"/>
          <w:color w:val="auto"/>
        </w:rPr>
        <w:t>表4  实测</w:t>
      </w:r>
      <w:r>
        <w:rPr>
          <w:rFonts w:hint="eastAsia" w:asciiTheme="minorEastAsia" w:hAnsiTheme="minorEastAsia"/>
          <w:color w:val="auto"/>
          <w:szCs w:val="21"/>
        </w:rPr>
        <w:t>HAl77-2</w:t>
      </w:r>
      <w:r>
        <w:rPr>
          <w:rFonts w:hint="eastAsia"/>
          <w:color w:val="auto"/>
        </w:rPr>
        <w:t xml:space="preserve"> O6</w:t>
      </w:r>
      <w:r>
        <w:rPr>
          <w:rFonts w:hint="eastAsia"/>
          <w:color w:val="auto"/>
          <w:lang w:val="en-US" w:eastAsia="zh-CN"/>
        </w:rPr>
        <w:t>1</w:t>
      </w:r>
      <w:r>
        <w:rPr>
          <w:rFonts w:hint="eastAsia"/>
          <w:color w:val="auto"/>
        </w:rPr>
        <w:t xml:space="preserve"> 抗拉强度频数和频率分布表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952875" cy="1658620"/>
            <wp:effectExtent l="0" t="0" r="9525" b="5080"/>
            <wp:docPr id="1" name="图片 1" descr="16508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869408(1)"/>
                    <pic:cNvPicPr>
                      <a:picLocks noChangeAspect="1"/>
                    </pic:cNvPicPr>
                  </pic:nvPicPr>
                  <pic:blipFill>
                    <a:blip r:embed="rId5"/>
                    <a:stretch>
                      <a:fillRect/>
                    </a:stretch>
                  </pic:blipFill>
                  <pic:spPr>
                    <a:xfrm>
                      <a:off x="0" y="0"/>
                      <a:ext cx="3952875" cy="1658620"/>
                    </a:xfrm>
                    <a:prstGeom prst="rect">
                      <a:avLst/>
                    </a:prstGeom>
                  </pic:spPr>
                </pic:pic>
              </a:graphicData>
            </a:graphic>
          </wp:inline>
        </w:drawing>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916680" cy="2026920"/>
            <wp:effectExtent l="0" t="0" r="7620" b="5080"/>
            <wp:docPr id="5" name="图片 5" descr="1650869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869489(1)"/>
                    <pic:cNvPicPr>
                      <a:picLocks noChangeAspect="1"/>
                    </pic:cNvPicPr>
                  </pic:nvPicPr>
                  <pic:blipFill>
                    <a:blip r:embed="rId6"/>
                    <a:stretch>
                      <a:fillRect/>
                    </a:stretch>
                  </pic:blipFill>
                  <pic:spPr>
                    <a:xfrm>
                      <a:off x="0" y="0"/>
                      <a:ext cx="3916680" cy="2026920"/>
                    </a:xfrm>
                    <a:prstGeom prst="rect">
                      <a:avLst/>
                    </a:prstGeom>
                  </pic:spPr>
                </pic:pic>
              </a:graphicData>
            </a:graphic>
          </wp:inline>
        </w:drawing>
      </w:r>
    </w:p>
    <w:p>
      <w:pPr>
        <w:widowControl/>
        <w:jc w:val="center"/>
        <w:rPr>
          <w:rFonts w:ascii="宋体" w:hAnsi="宋体" w:eastAsia="宋体" w:cs="宋体"/>
          <w:color w:val="auto"/>
          <w:kern w:val="0"/>
          <w:sz w:val="24"/>
          <w:szCs w:val="24"/>
        </w:rPr>
      </w:pPr>
    </w:p>
    <w:p>
      <w:pPr>
        <w:jc w:val="center"/>
        <w:rPr>
          <w:color w:val="auto"/>
        </w:rPr>
      </w:pPr>
      <w:r>
        <w:rPr>
          <w:rFonts w:hint="eastAsia"/>
          <w:color w:val="auto"/>
        </w:rPr>
        <w:t xml:space="preserve">图1 </w:t>
      </w:r>
      <w:r>
        <w:rPr>
          <w:rFonts w:hint="eastAsia"/>
          <w:color w:val="auto"/>
          <w:lang w:val="en-US" w:eastAsia="zh-CN"/>
        </w:rPr>
        <w:t>实测</w:t>
      </w:r>
      <w:r>
        <w:rPr>
          <w:rFonts w:hint="eastAsia"/>
          <w:color w:val="auto"/>
        </w:rPr>
        <w:t>HAl77-2 O6</w:t>
      </w:r>
      <w:r>
        <w:rPr>
          <w:rFonts w:hint="eastAsia"/>
          <w:color w:val="auto"/>
          <w:lang w:val="en-US" w:eastAsia="zh-CN"/>
        </w:rPr>
        <w:t>1</w:t>
      </w:r>
      <w:r>
        <w:rPr>
          <w:rFonts w:hint="eastAsia"/>
          <w:color w:val="auto"/>
        </w:rPr>
        <w:t xml:space="preserve"> 抗拉强度频数直方图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O6</w:t>
      </w:r>
      <w:r>
        <w:rPr>
          <w:rFonts w:hint="eastAsia"/>
          <w:color w:val="auto"/>
          <w:lang w:val="en-US" w:eastAsia="zh-CN"/>
        </w:rPr>
        <w:t>1</w:t>
      </w:r>
      <w:r>
        <w:rPr>
          <w:rFonts w:hint="eastAsia"/>
          <w:color w:val="auto"/>
        </w:rPr>
        <w:t xml:space="preserve"> 抗拉强度频数和频率分布表及分布图的分析，可以看出，该牌号共收集到</w:t>
      </w:r>
      <w:r>
        <w:rPr>
          <w:rFonts w:hint="eastAsia"/>
          <w:color w:val="auto"/>
          <w:lang w:val="en-US" w:eastAsia="zh-CN"/>
        </w:rPr>
        <w:t>205</w:t>
      </w:r>
      <w:r>
        <w:rPr>
          <w:rFonts w:hint="eastAsia"/>
          <w:color w:val="auto"/>
        </w:rPr>
        <w:t>个数据，有</w:t>
      </w:r>
      <w:r>
        <w:rPr>
          <w:rFonts w:hint="eastAsia"/>
          <w:color w:val="auto"/>
          <w:lang w:val="en-US" w:eastAsia="zh-CN"/>
        </w:rPr>
        <w:t>98.05</w:t>
      </w:r>
      <w:r>
        <w:rPr>
          <w:rFonts w:hint="eastAsia"/>
          <w:color w:val="auto"/>
        </w:rPr>
        <w:t>%的数据是集中的分布在3</w:t>
      </w:r>
      <w:r>
        <w:rPr>
          <w:rFonts w:hint="eastAsia"/>
          <w:color w:val="auto"/>
          <w:lang w:val="en-US" w:eastAsia="zh-CN"/>
        </w:rPr>
        <w:t>40</w:t>
      </w:r>
      <w:r>
        <w:rPr>
          <w:rFonts w:hint="eastAsia" w:ascii="宋体" w:hAnsi="宋体" w:eastAsia="宋体"/>
          <w:color w:val="auto"/>
        </w:rPr>
        <w:t>～</w:t>
      </w:r>
      <w:r>
        <w:rPr>
          <w:rFonts w:hint="eastAsia" w:eastAsia="宋体"/>
          <w:color w:val="auto"/>
          <w:lang w:val="en-US" w:eastAsia="zh-CN"/>
        </w:rPr>
        <w:t>440</w:t>
      </w:r>
      <w:r>
        <w:rPr>
          <w:rFonts w:hint="eastAsia"/>
          <w:color w:val="auto"/>
        </w:rPr>
        <w:t>之间，有1</w:t>
      </w:r>
      <w:r>
        <w:rPr>
          <w:rFonts w:hint="eastAsia"/>
          <w:color w:val="auto"/>
          <w:lang w:val="en-US" w:eastAsia="zh-CN"/>
        </w:rPr>
        <w:t>.95</w:t>
      </w:r>
      <w:r>
        <w:rPr>
          <w:rFonts w:hint="eastAsia"/>
          <w:color w:val="auto"/>
        </w:rPr>
        <w:t>%的数据分布在</w:t>
      </w:r>
      <w:r>
        <w:rPr>
          <w:rFonts w:hint="eastAsia"/>
          <w:color w:val="auto"/>
          <w:lang w:val="en-US" w:eastAsia="zh-CN"/>
        </w:rPr>
        <w:t>440</w:t>
      </w:r>
      <w:r>
        <w:rPr>
          <w:rFonts w:hint="eastAsia" w:ascii="宋体" w:hAnsi="宋体" w:eastAsia="宋体"/>
          <w:color w:val="auto"/>
        </w:rPr>
        <w:t>～</w:t>
      </w:r>
      <w:r>
        <w:rPr>
          <w:rFonts w:hint="eastAsia" w:ascii="宋体" w:hAnsi="宋体" w:eastAsia="宋体"/>
          <w:color w:val="auto"/>
          <w:lang w:val="en-US" w:eastAsia="zh-CN"/>
        </w:rPr>
        <w:t>480</w:t>
      </w:r>
      <w:r>
        <w:rPr>
          <w:rFonts w:hint="eastAsia" w:ascii="宋体" w:hAnsi="宋体" w:eastAsia="宋体"/>
          <w:color w:val="auto"/>
        </w:rPr>
        <w:t>之间，该标准</w:t>
      </w:r>
      <w:r>
        <w:rPr>
          <w:rFonts w:hint="eastAsia" w:ascii="宋体" w:hAnsi="宋体" w:eastAsia="宋体"/>
          <w:color w:val="auto"/>
          <w:lang w:val="en-US" w:eastAsia="zh-CN"/>
        </w:rPr>
        <w:t>2009</w:t>
      </w:r>
      <w:r>
        <w:rPr>
          <w:rFonts w:hint="eastAsia" w:ascii="宋体" w:hAnsi="宋体" w:eastAsia="宋体"/>
          <w:color w:val="auto"/>
        </w:rPr>
        <w:t>版中该牌号抗拉强度为≥</w:t>
      </w:r>
      <w:r>
        <w:rPr>
          <w:rFonts w:hint="eastAsia" w:ascii="宋体" w:hAnsi="宋体" w:eastAsia="宋体"/>
          <w:color w:val="auto"/>
          <w:lang w:val="en-US" w:eastAsia="zh-CN"/>
        </w:rPr>
        <w:t>34</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rPr>
        <w:t>，经对比分析，本版抗拉强</w:t>
      </w:r>
      <w:r>
        <w:rPr>
          <w:rFonts w:hint="eastAsia" w:ascii="宋体" w:hAnsi="宋体" w:eastAsia="宋体"/>
          <w:color w:val="auto"/>
          <w:lang w:val="en-US" w:eastAsia="zh-CN"/>
        </w:rPr>
        <w:t>仍维持</w:t>
      </w:r>
      <w:r>
        <w:rPr>
          <w:rFonts w:hint="eastAsia" w:ascii="宋体" w:hAnsi="宋体" w:eastAsia="宋体"/>
          <w:color w:val="auto"/>
        </w:rPr>
        <w:t>≥</w:t>
      </w:r>
      <w:r>
        <w:rPr>
          <w:rFonts w:hint="eastAsia" w:ascii="宋体" w:hAnsi="宋体" w:eastAsia="宋体"/>
          <w:color w:val="auto"/>
          <w:lang w:val="en-US" w:eastAsia="zh-CN"/>
        </w:rPr>
        <w:t>34</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lang w:val="en-US" w:eastAsia="zh-CN"/>
        </w:rPr>
        <w:t>不变</w:t>
      </w:r>
      <w:r>
        <w:rPr>
          <w:rFonts w:hint="eastAsia" w:ascii="宋体" w:hAnsi="宋体" w:eastAsia="宋体"/>
          <w:color w:val="auto"/>
        </w:rPr>
        <w:t>。</w:t>
      </w:r>
    </w:p>
    <w:p>
      <w:p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规定非比例延伸强度</w:t>
      </w:r>
    </w:p>
    <w:p>
      <w:pPr>
        <w:tabs>
          <w:tab w:val="left" w:pos="7470"/>
        </w:tabs>
        <w:ind w:firstLine="420" w:firstLineChars="200"/>
        <w:rPr>
          <w:color w:val="auto"/>
        </w:rPr>
      </w:pPr>
      <w:r>
        <w:rPr>
          <w:rFonts w:hint="eastAsia"/>
          <w:color w:val="auto"/>
        </w:rPr>
        <w:t>规定非比例延伸强度频数和频率分布表及直方图如下：</w:t>
      </w:r>
      <w:r>
        <w:rPr>
          <w:color w:val="auto"/>
        </w:rPr>
        <w:tab/>
      </w:r>
    </w:p>
    <w:p>
      <w:pPr>
        <w:jc w:val="center"/>
        <w:rPr>
          <w:rFonts w:hint="eastAsia"/>
          <w:color w:val="auto"/>
        </w:rPr>
      </w:pPr>
      <w:r>
        <w:rPr>
          <w:rFonts w:hint="eastAsia"/>
          <w:color w:val="auto"/>
        </w:rPr>
        <w:t>表5  实测HAl77-2 O6</w:t>
      </w:r>
      <w:r>
        <w:rPr>
          <w:rFonts w:hint="eastAsia"/>
          <w:color w:val="auto"/>
          <w:lang w:val="en-US" w:eastAsia="zh-CN"/>
        </w:rPr>
        <w:t>1</w:t>
      </w:r>
      <w:r>
        <w:rPr>
          <w:rFonts w:hint="eastAsia"/>
          <w:color w:val="auto"/>
        </w:rPr>
        <w:t xml:space="preserve"> 规定非比例延伸强度频数和频率分布表</w:t>
      </w:r>
    </w:p>
    <w:p>
      <w:pPr>
        <w:pStyle w:val="2"/>
        <w:jc w:val="center"/>
        <w:rPr>
          <w:rFonts w:hint="eastAsia"/>
          <w:color w:val="auto"/>
        </w:rPr>
      </w:pPr>
      <w:r>
        <w:rPr>
          <w:rFonts w:hint="eastAsia"/>
          <w:color w:val="auto"/>
        </w:rPr>
        <w:drawing>
          <wp:inline distT="0" distB="0" distL="114300" distR="114300">
            <wp:extent cx="3192780" cy="1783080"/>
            <wp:effectExtent l="0" t="0" r="7620" b="0"/>
            <wp:docPr id="8" name="图片 8" descr="1650873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0873848(1)"/>
                    <pic:cNvPicPr>
                      <a:picLocks noChangeAspect="1"/>
                    </pic:cNvPicPr>
                  </pic:nvPicPr>
                  <pic:blipFill>
                    <a:blip r:embed="rId7"/>
                    <a:stretch>
                      <a:fillRect/>
                    </a:stretch>
                  </pic:blipFill>
                  <pic:spPr>
                    <a:xfrm>
                      <a:off x="0" y="0"/>
                      <a:ext cx="3192780" cy="1783080"/>
                    </a:xfrm>
                    <a:prstGeom prst="rect">
                      <a:avLst/>
                    </a:prstGeom>
                  </pic:spPr>
                </pic:pic>
              </a:graphicData>
            </a:graphic>
          </wp:inline>
        </w:drawing>
      </w:r>
    </w:p>
    <w:p>
      <w:pPr>
        <w:pStyle w:val="2"/>
        <w:jc w:val="center"/>
        <w:rPr>
          <w:rFonts w:hint="eastAsia"/>
          <w:color w:val="auto"/>
        </w:rPr>
      </w:pPr>
      <w:r>
        <w:rPr>
          <w:rFonts w:hint="eastAsia"/>
          <w:color w:val="auto"/>
        </w:rPr>
        <w:drawing>
          <wp:inline distT="0" distB="0" distL="114300" distR="114300">
            <wp:extent cx="3833495" cy="2316480"/>
            <wp:effectExtent l="0" t="0" r="6985" b="0"/>
            <wp:docPr id="9" name="图片 9" descr="1650873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0873874(1)"/>
                    <pic:cNvPicPr>
                      <a:picLocks noChangeAspect="1"/>
                    </pic:cNvPicPr>
                  </pic:nvPicPr>
                  <pic:blipFill>
                    <a:blip r:embed="rId8"/>
                    <a:stretch>
                      <a:fillRect/>
                    </a:stretch>
                  </pic:blipFill>
                  <pic:spPr>
                    <a:xfrm>
                      <a:off x="0" y="0"/>
                      <a:ext cx="3833495" cy="2316480"/>
                    </a:xfrm>
                    <a:prstGeom prst="rect">
                      <a:avLst/>
                    </a:prstGeom>
                  </pic:spPr>
                </pic:pic>
              </a:graphicData>
            </a:graphic>
          </wp:inline>
        </w:drawing>
      </w:r>
    </w:p>
    <w:p>
      <w:pPr>
        <w:jc w:val="center"/>
        <w:rPr>
          <w:color w:val="auto"/>
        </w:rPr>
      </w:pPr>
      <w:r>
        <w:rPr>
          <w:rFonts w:hint="eastAsia"/>
          <w:color w:val="auto"/>
        </w:rPr>
        <w:t>图2 实测HAl77-2 O6</w:t>
      </w:r>
      <w:r>
        <w:rPr>
          <w:rFonts w:hint="eastAsia"/>
          <w:color w:val="auto"/>
          <w:lang w:val="en-US" w:eastAsia="zh-CN"/>
        </w:rPr>
        <w:t>1</w:t>
      </w:r>
      <w:r>
        <w:rPr>
          <w:rFonts w:hint="eastAsia"/>
          <w:color w:val="auto"/>
        </w:rPr>
        <w:t xml:space="preserve"> 规定非比例延伸强度频数直方图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O6</w:t>
      </w:r>
      <w:r>
        <w:rPr>
          <w:rFonts w:hint="eastAsia"/>
          <w:color w:val="auto"/>
          <w:lang w:val="en-US" w:eastAsia="zh-CN"/>
        </w:rPr>
        <w:t>1</w:t>
      </w:r>
      <w:r>
        <w:rPr>
          <w:rFonts w:hint="eastAsia"/>
          <w:color w:val="auto"/>
        </w:rPr>
        <w:t xml:space="preserve"> 规定非比例延伸强度频数和频率分布表及分布图的分析，可以看出，该牌号共收集到</w:t>
      </w:r>
      <w:r>
        <w:rPr>
          <w:rFonts w:hint="eastAsia"/>
          <w:color w:val="auto"/>
          <w:lang w:val="en-US" w:eastAsia="zh-CN"/>
        </w:rPr>
        <w:t>206</w:t>
      </w:r>
      <w:r>
        <w:rPr>
          <w:rFonts w:hint="eastAsia"/>
          <w:color w:val="auto"/>
        </w:rPr>
        <w:t>个数据，有</w:t>
      </w:r>
      <w:r>
        <w:rPr>
          <w:rFonts w:hint="eastAsia"/>
          <w:color w:val="auto"/>
          <w:lang w:val="en-US" w:eastAsia="zh-CN"/>
        </w:rPr>
        <w:t>98.54</w:t>
      </w:r>
      <w:r>
        <w:rPr>
          <w:rFonts w:hint="eastAsia"/>
          <w:color w:val="auto"/>
        </w:rPr>
        <w:t>%的数据集中分布在</w:t>
      </w:r>
      <w:r>
        <w:rPr>
          <w:rFonts w:hint="eastAsia"/>
          <w:color w:val="auto"/>
          <w:lang w:val="en-US" w:eastAsia="zh-CN"/>
        </w:rPr>
        <w:t>100</w:t>
      </w:r>
      <w:r>
        <w:rPr>
          <w:rFonts w:hint="eastAsia" w:ascii="宋体" w:hAnsi="宋体" w:eastAsia="宋体"/>
          <w:color w:val="auto"/>
        </w:rPr>
        <w:t>～</w:t>
      </w:r>
      <w:r>
        <w:rPr>
          <w:rFonts w:hint="eastAsia" w:eastAsia="宋体"/>
          <w:color w:val="auto"/>
          <w:lang w:val="en-US" w:eastAsia="zh-CN"/>
        </w:rPr>
        <w:t>205</w:t>
      </w:r>
      <w:r>
        <w:rPr>
          <w:rFonts w:hint="eastAsia"/>
          <w:color w:val="auto"/>
        </w:rPr>
        <w:t>之间，有</w:t>
      </w:r>
      <w:r>
        <w:rPr>
          <w:rFonts w:hint="eastAsia"/>
          <w:color w:val="auto"/>
          <w:lang w:val="en-US" w:eastAsia="zh-CN"/>
        </w:rPr>
        <w:t>1.46</w:t>
      </w:r>
      <w:r>
        <w:rPr>
          <w:rFonts w:hint="eastAsia"/>
          <w:color w:val="auto"/>
        </w:rPr>
        <w:t>%的数据分布在</w:t>
      </w:r>
      <w:r>
        <w:rPr>
          <w:rFonts w:hint="eastAsia"/>
          <w:color w:val="auto"/>
          <w:lang w:val="en-US" w:eastAsia="zh-CN"/>
        </w:rPr>
        <w:t>205</w:t>
      </w:r>
      <w:r>
        <w:rPr>
          <w:rFonts w:hint="eastAsia" w:ascii="宋体" w:hAnsi="宋体" w:eastAsia="宋体"/>
          <w:color w:val="auto"/>
        </w:rPr>
        <w:t>～</w:t>
      </w:r>
      <w:r>
        <w:rPr>
          <w:rFonts w:hint="eastAsia" w:ascii="宋体" w:hAnsi="宋体" w:eastAsia="宋体"/>
          <w:color w:val="auto"/>
          <w:lang w:val="en-US" w:eastAsia="zh-CN"/>
        </w:rPr>
        <w:t>290</w:t>
      </w:r>
      <w:r>
        <w:rPr>
          <w:rFonts w:hint="eastAsia" w:ascii="宋体" w:hAnsi="宋体" w:eastAsia="宋体"/>
          <w:color w:val="auto"/>
        </w:rPr>
        <w:t>之间</w:t>
      </w:r>
      <w:r>
        <w:rPr>
          <w:rFonts w:hint="eastAsia" w:ascii="宋体" w:hAnsi="宋体" w:eastAsia="宋体"/>
          <w:color w:val="auto"/>
          <w:lang w:eastAsia="zh-CN"/>
        </w:rPr>
        <w:t>，</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版中该牌号规定非比例延伸强度为≥</w:t>
      </w:r>
      <w:r>
        <w:rPr>
          <w:rFonts w:hint="eastAsia" w:ascii="宋体" w:hAnsi="宋体" w:eastAsia="宋体"/>
          <w:color w:val="auto"/>
          <w:lang w:val="en-US" w:eastAsia="zh-CN"/>
        </w:rPr>
        <w:t>120</w:t>
      </w:r>
      <w:r>
        <w:rPr>
          <w:rFonts w:hint="eastAsia" w:ascii="宋体" w:hAnsi="宋体" w:eastAsia="宋体"/>
          <w:color w:val="auto"/>
        </w:rPr>
        <w:t>Mpa</w:t>
      </w:r>
      <w:r>
        <w:rPr>
          <w:rFonts w:hint="eastAsia" w:ascii="宋体" w:hAnsi="宋体" w:eastAsia="宋体"/>
          <w:color w:val="auto"/>
        </w:rPr>
        <w:t>，经对比分析，</w:t>
      </w:r>
      <w:r>
        <w:rPr>
          <w:rFonts w:hint="eastAsia" w:ascii="宋体" w:hAnsi="宋体" w:eastAsia="宋体"/>
          <w:color w:val="auto"/>
          <w:lang w:val="en-US" w:eastAsia="zh-CN"/>
        </w:rPr>
        <w:t>本次调研数据有7.77%在120</w:t>
      </w:r>
      <w:r>
        <w:rPr>
          <w:rFonts w:hint="eastAsia" w:ascii="宋体" w:hAnsi="宋体" w:eastAsia="宋体"/>
          <w:color w:val="auto"/>
        </w:rPr>
        <w:t>Mpa</w:t>
      </w:r>
      <w:r>
        <w:rPr>
          <w:rFonts w:hint="eastAsia" w:ascii="宋体" w:hAnsi="宋体" w:eastAsia="宋体"/>
          <w:color w:val="auto"/>
          <w:lang w:val="en-US" w:eastAsia="zh-CN"/>
        </w:rPr>
        <w:t>以下，所占比例较大，所以</w:t>
      </w:r>
      <w:r>
        <w:rPr>
          <w:rFonts w:hint="eastAsia" w:ascii="宋体" w:hAnsi="宋体" w:eastAsia="宋体"/>
          <w:color w:val="auto"/>
        </w:rPr>
        <w:t>本版规定非比例延伸强度</w:t>
      </w:r>
      <w:r>
        <w:rPr>
          <w:rFonts w:hint="eastAsia" w:ascii="宋体" w:hAnsi="宋体" w:eastAsia="宋体"/>
          <w:color w:val="auto"/>
          <w:lang w:val="en-US" w:eastAsia="zh-CN"/>
        </w:rPr>
        <w:t>调整</w:t>
      </w:r>
      <w:r>
        <w:rPr>
          <w:rFonts w:hint="eastAsia" w:ascii="宋体" w:hAnsi="宋体" w:eastAsia="宋体"/>
          <w:color w:val="auto"/>
        </w:rPr>
        <w:t>为≥</w:t>
      </w:r>
      <w:r>
        <w:rPr>
          <w:rFonts w:hint="eastAsia" w:ascii="宋体" w:hAnsi="宋体" w:eastAsia="宋体"/>
          <w:color w:val="auto"/>
          <w:lang w:val="en-US" w:eastAsia="zh-CN"/>
        </w:rPr>
        <w:t>100</w:t>
      </w:r>
      <w:r>
        <w:rPr>
          <w:rFonts w:hint="eastAsia" w:ascii="宋体" w:hAnsi="宋体" w:eastAsia="宋体"/>
          <w:color w:val="auto"/>
        </w:rPr>
        <w:t xml:space="preserve"> Mpa。</w:t>
      </w:r>
    </w:p>
    <w:p>
      <w:pPr>
        <w:numPr>
          <w:ilvl w:val="0"/>
          <w:numId w:val="9"/>
        </w:numPr>
        <w:tabs>
          <w:tab w:val="left" w:pos="7470"/>
        </w:tabs>
        <w:ind w:firstLine="420" w:firstLineChars="200"/>
        <w:rPr>
          <w:rFonts w:hint="eastAsia"/>
          <w:color w:val="auto"/>
        </w:rPr>
      </w:pPr>
      <w:r>
        <w:rPr>
          <w:rFonts w:hint="eastAsia"/>
          <w:color w:val="auto"/>
        </w:rPr>
        <w:t>断后伸长率</w:t>
      </w:r>
    </w:p>
    <w:p>
      <w:pPr>
        <w:numPr>
          <w:ilvl w:val="0"/>
          <w:numId w:val="0"/>
        </w:numPr>
        <w:tabs>
          <w:tab w:val="left" w:pos="7470"/>
        </w:tabs>
        <w:ind w:firstLine="420" w:firstLineChars="200"/>
        <w:rPr>
          <w:color w:val="auto"/>
        </w:rPr>
      </w:pPr>
      <w:r>
        <w:rPr>
          <w:rFonts w:hint="eastAsia"/>
          <w:color w:val="auto"/>
        </w:rPr>
        <w:t>断后伸长率频数和频率分布表及直方图如下：</w:t>
      </w:r>
      <w:r>
        <w:rPr>
          <w:color w:val="auto"/>
        </w:rPr>
        <w:tab/>
      </w:r>
    </w:p>
    <w:p>
      <w:pPr>
        <w:jc w:val="center"/>
        <w:rPr>
          <w:rFonts w:hint="eastAsia"/>
          <w:color w:val="auto"/>
        </w:rPr>
      </w:pPr>
      <w:r>
        <w:rPr>
          <w:rFonts w:hint="eastAsia"/>
          <w:color w:val="auto"/>
        </w:rPr>
        <w:t>表6  实测HAl77-2 O6</w:t>
      </w:r>
      <w:r>
        <w:rPr>
          <w:rFonts w:hint="eastAsia"/>
          <w:color w:val="auto"/>
          <w:lang w:val="en-US" w:eastAsia="zh-CN"/>
        </w:rPr>
        <w:t>1</w:t>
      </w:r>
      <w:r>
        <w:rPr>
          <w:rFonts w:hint="eastAsia"/>
          <w:color w:val="auto"/>
        </w:rPr>
        <w:t xml:space="preserve"> 断后伸长率频数和频率分布表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2903220" cy="1577340"/>
            <wp:effectExtent l="0" t="0" r="7620" b="7620"/>
            <wp:docPr id="10" name="图片 10" descr="1650874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0874195(1)"/>
                    <pic:cNvPicPr>
                      <a:picLocks noChangeAspect="1"/>
                    </pic:cNvPicPr>
                  </pic:nvPicPr>
                  <pic:blipFill>
                    <a:blip r:embed="rId9"/>
                    <a:stretch>
                      <a:fillRect/>
                    </a:stretch>
                  </pic:blipFill>
                  <pic:spPr>
                    <a:xfrm>
                      <a:off x="0" y="0"/>
                      <a:ext cx="2903220" cy="1577340"/>
                    </a:xfrm>
                    <a:prstGeom prst="rect">
                      <a:avLst/>
                    </a:prstGeom>
                  </pic:spPr>
                </pic:pic>
              </a:graphicData>
            </a:graphic>
          </wp:inline>
        </w:drawing>
      </w:r>
    </w:p>
    <w:p>
      <w:pPr>
        <w:jc w:val="center"/>
        <w:rPr>
          <w:rFonts w:hint="eastAsia"/>
          <w:color w:val="auto"/>
        </w:rPr>
      </w:pPr>
      <w:r>
        <w:rPr>
          <w:rFonts w:hint="eastAsia" w:eastAsiaTheme="minorEastAsia"/>
          <w:color w:val="auto"/>
          <w:lang w:eastAsia="zh-CN"/>
        </w:rPr>
        <w:drawing>
          <wp:inline distT="0" distB="0" distL="114300" distR="114300">
            <wp:extent cx="3400425" cy="2088515"/>
            <wp:effectExtent l="0" t="0" r="13335" b="14605"/>
            <wp:docPr id="13" name="图片 13" descr="1650874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50874251(1)"/>
                    <pic:cNvPicPr>
                      <a:picLocks noChangeAspect="1"/>
                    </pic:cNvPicPr>
                  </pic:nvPicPr>
                  <pic:blipFill>
                    <a:blip r:embed="rId10"/>
                    <a:stretch>
                      <a:fillRect/>
                    </a:stretch>
                  </pic:blipFill>
                  <pic:spPr>
                    <a:xfrm>
                      <a:off x="0" y="0"/>
                      <a:ext cx="3400425" cy="2088515"/>
                    </a:xfrm>
                    <a:prstGeom prst="rect">
                      <a:avLst/>
                    </a:prstGeom>
                  </pic:spPr>
                </pic:pic>
              </a:graphicData>
            </a:graphic>
          </wp:inline>
        </w:drawing>
      </w:r>
    </w:p>
    <w:p>
      <w:pPr>
        <w:jc w:val="center"/>
        <w:rPr>
          <w:color w:val="auto"/>
        </w:rPr>
      </w:pPr>
      <w:r>
        <w:rPr>
          <w:rFonts w:hint="eastAsia"/>
          <w:color w:val="auto"/>
        </w:rPr>
        <w:t>图3 实测HAl77-2 O6</w:t>
      </w:r>
      <w:r>
        <w:rPr>
          <w:rFonts w:hint="eastAsia"/>
          <w:color w:val="auto"/>
          <w:lang w:val="en-US" w:eastAsia="zh-CN"/>
        </w:rPr>
        <w:t>1</w:t>
      </w:r>
      <w:r>
        <w:rPr>
          <w:rFonts w:hint="eastAsia"/>
          <w:color w:val="auto"/>
        </w:rPr>
        <w:t>断后伸长率频数直方图</w:t>
      </w:r>
    </w:p>
    <w:p>
      <w:pPr>
        <w:ind w:firstLine="420" w:firstLineChars="200"/>
        <w:rPr>
          <w:rFonts w:hint="default" w:ascii="宋体" w:hAnsi="宋体" w:eastAsia="宋体"/>
          <w:color w:val="auto"/>
          <w:lang w:val="en-US" w:eastAsia="zh-CN"/>
        </w:rPr>
      </w:pPr>
      <w:r>
        <w:rPr>
          <w:rFonts w:hint="eastAsia" w:asciiTheme="minorEastAsia" w:hAnsiTheme="minorEastAsia"/>
          <w:color w:val="auto"/>
          <w:szCs w:val="21"/>
        </w:rPr>
        <w:t>根据</w:t>
      </w:r>
      <w:r>
        <w:rPr>
          <w:rFonts w:hint="eastAsia"/>
          <w:color w:val="auto"/>
        </w:rPr>
        <w:t>实测HAl77-2 O6</w:t>
      </w:r>
      <w:r>
        <w:rPr>
          <w:rFonts w:hint="eastAsia"/>
          <w:color w:val="auto"/>
          <w:lang w:val="en-US" w:eastAsia="zh-CN"/>
        </w:rPr>
        <w:t>1</w:t>
      </w:r>
      <w:r>
        <w:rPr>
          <w:rFonts w:hint="eastAsia"/>
          <w:color w:val="auto"/>
        </w:rPr>
        <w:t xml:space="preserve"> 规定非比例延伸强度频数和频率分布表及分布图的分析，可以看出，该牌号共收集到</w:t>
      </w:r>
      <w:r>
        <w:rPr>
          <w:rFonts w:hint="eastAsia"/>
          <w:color w:val="auto"/>
          <w:lang w:val="en-US" w:eastAsia="zh-CN"/>
        </w:rPr>
        <w:t>206</w:t>
      </w:r>
      <w:r>
        <w:rPr>
          <w:rFonts w:hint="eastAsia"/>
          <w:color w:val="auto"/>
        </w:rPr>
        <w:t>个有效数据，有</w:t>
      </w:r>
      <w:r>
        <w:rPr>
          <w:rFonts w:hint="eastAsia"/>
          <w:color w:val="auto"/>
          <w:lang w:val="en-US" w:eastAsia="zh-CN"/>
        </w:rPr>
        <w:t>72.33</w:t>
      </w:r>
      <w:r>
        <w:rPr>
          <w:rFonts w:hint="eastAsia"/>
          <w:color w:val="auto"/>
        </w:rPr>
        <w:t>%的数据是集中的分布在</w:t>
      </w:r>
      <w:r>
        <w:rPr>
          <w:rFonts w:hint="eastAsia"/>
          <w:color w:val="auto"/>
          <w:lang w:val="en-US" w:eastAsia="zh-CN"/>
        </w:rPr>
        <w:t>50</w:t>
      </w:r>
      <w:r>
        <w:rPr>
          <w:rFonts w:hint="eastAsia" w:ascii="宋体" w:hAnsi="宋体" w:eastAsia="宋体"/>
          <w:color w:val="auto"/>
        </w:rPr>
        <w:t>～</w:t>
      </w:r>
      <w:r>
        <w:rPr>
          <w:rFonts w:hint="eastAsia" w:eastAsia="宋体"/>
          <w:color w:val="auto"/>
          <w:lang w:val="en-US" w:eastAsia="zh-CN"/>
        </w:rPr>
        <w:t>58</w:t>
      </w:r>
      <w:r>
        <w:rPr>
          <w:rFonts w:hint="eastAsia"/>
          <w:color w:val="auto"/>
        </w:rPr>
        <w:t>之间，有</w:t>
      </w:r>
      <w:r>
        <w:rPr>
          <w:rFonts w:hint="eastAsia"/>
          <w:color w:val="auto"/>
          <w:lang w:val="en-US" w:eastAsia="zh-CN"/>
        </w:rPr>
        <w:t>10.19</w:t>
      </w:r>
      <w:r>
        <w:rPr>
          <w:rFonts w:hint="eastAsia"/>
          <w:color w:val="auto"/>
        </w:rPr>
        <w:t>%的数据分布在</w:t>
      </w:r>
      <w:r>
        <w:rPr>
          <w:rFonts w:hint="eastAsia"/>
          <w:color w:val="auto"/>
          <w:lang w:val="en-US" w:eastAsia="zh-CN"/>
        </w:rPr>
        <w:t>66</w:t>
      </w:r>
      <w:r>
        <w:rPr>
          <w:rFonts w:hint="eastAsia" w:ascii="宋体" w:hAnsi="宋体" w:eastAsia="宋体"/>
          <w:color w:val="auto"/>
        </w:rPr>
        <w:t>～</w:t>
      </w:r>
      <w:r>
        <w:rPr>
          <w:rFonts w:hint="eastAsia" w:ascii="宋体" w:hAnsi="宋体" w:eastAsia="宋体"/>
          <w:color w:val="auto"/>
          <w:lang w:val="en-US" w:eastAsia="zh-CN"/>
        </w:rPr>
        <w:t>70</w:t>
      </w:r>
      <w:r>
        <w:rPr>
          <w:rFonts w:hint="eastAsia" w:ascii="宋体" w:hAnsi="宋体" w:eastAsia="宋体"/>
          <w:color w:val="auto"/>
        </w:rPr>
        <w:t>之间，有</w:t>
      </w:r>
      <w:r>
        <w:rPr>
          <w:rFonts w:hint="eastAsia" w:ascii="宋体" w:hAnsi="宋体" w:eastAsia="宋体"/>
          <w:color w:val="auto"/>
          <w:lang w:val="en-US" w:eastAsia="zh-CN"/>
        </w:rPr>
        <w:t>6.31</w:t>
      </w:r>
      <w:r>
        <w:rPr>
          <w:rFonts w:hint="eastAsia" w:ascii="宋体" w:hAnsi="宋体" w:eastAsia="宋体"/>
          <w:color w:val="auto"/>
        </w:rPr>
        <w:t>%的数据分布在</w:t>
      </w:r>
      <w:r>
        <w:rPr>
          <w:rFonts w:hint="eastAsia" w:ascii="宋体" w:hAnsi="宋体" w:eastAsia="宋体"/>
          <w:color w:val="auto"/>
          <w:lang w:val="en-US" w:eastAsia="zh-CN"/>
        </w:rPr>
        <w:t>58</w:t>
      </w:r>
      <w:r>
        <w:rPr>
          <w:rFonts w:hint="eastAsia" w:ascii="宋体" w:hAnsi="宋体" w:eastAsia="宋体"/>
          <w:color w:val="auto"/>
        </w:rPr>
        <w:t>～</w:t>
      </w:r>
      <w:r>
        <w:rPr>
          <w:rFonts w:hint="eastAsia" w:ascii="宋体" w:hAnsi="宋体" w:eastAsia="宋体"/>
          <w:color w:val="auto"/>
          <w:lang w:val="en-US" w:eastAsia="zh-CN"/>
        </w:rPr>
        <w:t>62</w:t>
      </w:r>
      <w:r>
        <w:rPr>
          <w:rFonts w:hint="eastAsia" w:ascii="宋体" w:hAnsi="宋体" w:eastAsia="宋体"/>
          <w:color w:val="auto"/>
        </w:rPr>
        <w:t>之间，</w:t>
      </w:r>
      <w:r>
        <w:rPr>
          <w:rFonts w:hint="eastAsia" w:ascii="宋体" w:hAnsi="宋体" w:eastAsia="宋体"/>
          <w:color w:val="auto"/>
          <w:lang w:val="en-US" w:eastAsia="zh-CN"/>
        </w:rPr>
        <w:t>62</w:t>
      </w:r>
      <w:r>
        <w:rPr>
          <w:rFonts w:hint="eastAsia" w:ascii="宋体" w:hAnsi="宋体" w:eastAsia="宋体"/>
          <w:color w:val="auto"/>
        </w:rPr>
        <w:t>～</w:t>
      </w:r>
      <w:r>
        <w:rPr>
          <w:rFonts w:hint="eastAsia" w:ascii="宋体" w:hAnsi="宋体" w:eastAsia="宋体"/>
          <w:color w:val="auto"/>
          <w:lang w:val="en-US" w:eastAsia="zh-CN"/>
        </w:rPr>
        <w:t>66，,70</w:t>
      </w:r>
      <w:r>
        <w:rPr>
          <w:rFonts w:hint="eastAsia" w:ascii="宋体" w:hAnsi="宋体" w:eastAsia="宋体"/>
          <w:color w:val="auto"/>
        </w:rPr>
        <w:t>～</w:t>
      </w:r>
      <w:r>
        <w:rPr>
          <w:rFonts w:hint="eastAsia" w:ascii="宋体" w:hAnsi="宋体" w:eastAsia="宋体"/>
          <w:color w:val="auto"/>
          <w:lang w:val="en-US" w:eastAsia="zh-CN"/>
        </w:rPr>
        <w:t>74，,74</w:t>
      </w:r>
      <w:r>
        <w:rPr>
          <w:rFonts w:hint="eastAsia" w:ascii="宋体" w:hAnsi="宋体" w:eastAsia="宋体"/>
          <w:color w:val="auto"/>
        </w:rPr>
        <w:t>～</w:t>
      </w:r>
      <w:r>
        <w:rPr>
          <w:rFonts w:hint="eastAsia" w:ascii="宋体" w:hAnsi="宋体" w:eastAsia="宋体"/>
          <w:color w:val="auto"/>
          <w:lang w:val="en-US" w:eastAsia="zh-CN"/>
        </w:rPr>
        <w:t>77.5之间的数据基本占比3%，</w:t>
      </w:r>
    </w:p>
    <w:p>
      <w:pPr>
        <w:ind w:firstLine="420" w:firstLineChars="200"/>
        <w:rPr>
          <w:rFonts w:ascii="宋体" w:hAnsi="宋体" w:eastAsia="宋体"/>
          <w:color w:val="auto"/>
        </w:rPr>
      </w:pP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版中该牌号断后伸长率为≥</w:t>
      </w:r>
      <w:r>
        <w:rPr>
          <w:rFonts w:hint="eastAsia" w:ascii="宋体" w:hAnsi="宋体" w:eastAsia="宋体"/>
          <w:color w:val="auto"/>
          <w:lang w:val="en-US" w:eastAsia="zh-CN"/>
        </w:rPr>
        <w:t>48</w:t>
      </w:r>
      <w:r>
        <w:rPr>
          <w:rFonts w:hint="eastAsia"/>
          <w:color w:val="auto"/>
        </w:rPr>
        <w:t>%</w:t>
      </w:r>
      <w:r>
        <w:rPr>
          <w:rFonts w:hint="eastAsia" w:ascii="宋体" w:hAnsi="宋体" w:eastAsia="宋体"/>
          <w:color w:val="auto"/>
        </w:rPr>
        <w:t>，经对比分析，本版断后伸长率</w:t>
      </w:r>
      <w:r>
        <w:rPr>
          <w:rFonts w:hint="eastAsia" w:ascii="宋体" w:hAnsi="宋体" w:eastAsia="宋体"/>
          <w:color w:val="auto"/>
          <w:lang w:val="en-US" w:eastAsia="zh-CN"/>
        </w:rPr>
        <w:t>提高</w:t>
      </w:r>
      <w:r>
        <w:rPr>
          <w:rFonts w:hint="eastAsia" w:ascii="宋体" w:hAnsi="宋体" w:eastAsia="宋体"/>
          <w:color w:val="auto"/>
        </w:rPr>
        <w:t>为≥</w:t>
      </w:r>
      <w:r>
        <w:rPr>
          <w:rFonts w:hint="eastAsia" w:ascii="宋体" w:hAnsi="宋体" w:eastAsia="宋体"/>
          <w:color w:val="auto"/>
          <w:lang w:val="en-US" w:eastAsia="zh-CN"/>
        </w:rPr>
        <w:t>50</w:t>
      </w:r>
      <w:r>
        <w:rPr>
          <w:rFonts w:hint="eastAsia"/>
          <w:color w:val="auto"/>
        </w:rPr>
        <w:t>%</w:t>
      </w:r>
      <w:r>
        <w:rPr>
          <w:rFonts w:hint="eastAsia" w:ascii="宋体" w:hAnsi="宋体" w:eastAsia="宋体"/>
          <w:color w:val="auto"/>
        </w:rPr>
        <w:t>。</w:t>
      </w:r>
    </w:p>
    <w:p>
      <w:pPr>
        <w:numPr>
          <w:ilvl w:val="0"/>
          <w:numId w:val="9"/>
        </w:numPr>
        <w:tabs>
          <w:tab w:val="left" w:pos="7470"/>
        </w:tabs>
        <w:ind w:left="0" w:leftChars="0" w:firstLine="420" w:firstLineChars="200"/>
        <w:rPr>
          <w:rFonts w:hint="eastAsia"/>
          <w:color w:val="auto"/>
        </w:rPr>
      </w:pPr>
      <w:r>
        <w:rPr>
          <w:rFonts w:hint="eastAsia"/>
          <w:color w:val="auto"/>
        </w:rPr>
        <w:t>维氏硬度</w:t>
      </w:r>
    </w:p>
    <w:p>
      <w:pPr>
        <w:numPr>
          <w:ilvl w:val="0"/>
          <w:numId w:val="0"/>
        </w:numPr>
        <w:tabs>
          <w:tab w:val="left" w:pos="7470"/>
        </w:tabs>
        <w:ind w:leftChars="200"/>
        <w:rPr>
          <w:color w:val="auto"/>
        </w:rPr>
      </w:pPr>
      <w:r>
        <w:rPr>
          <w:rFonts w:hint="eastAsia"/>
          <w:color w:val="auto"/>
        </w:rPr>
        <w:t>维氏硬度频数和频率分布表及直方图如下：</w:t>
      </w:r>
      <w:r>
        <w:rPr>
          <w:color w:val="auto"/>
        </w:rPr>
        <w:tab/>
      </w:r>
    </w:p>
    <w:p>
      <w:pPr>
        <w:jc w:val="center"/>
        <w:rPr>
          <w:color w:val="auto"/>
        </w:rPr>
      </w:pPr>
      <w:r>
        <w:rPr>
          <w:rFonts w:hint="eastAsia"/>
          <w:color w:val="auto"/>
        </w:rPr>
        <w:t>表7  实测HAl77-2 O6</w:t>
      </w:r>
      <w:r>
        <w:rPr>
          <w:rFonts w:hint="eastAsia"/>
          <w:color w:val="auto"/>
          <w:lang w:val="en-US" w:eastAsia="zh-CN"/>
        </w:rPr>
        <w:t xml:space="preserve">1 </w:t>
      </w:r>
      <w:r>
        <w:rPr>
          <w:rFonts w:hint="eastAsia"/>
          <w:color w:val="auto"/>
        </w:rPr>
        <w:t>维氏硬度频数和频率分布表</w:t>
      </w:r>
    </w:p>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drawing>
          <wp:inline distT="0" distB="0" distL="114300" distR="114300">
            <wp:extent cx="3078480" cy="1666240"/>
            <wp:effectExtent l="0" t="0" r="0" b="10160"/>
            <wp:docPr id="2" name="图片 2" descr="1650938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0938775(1)"/>
                    <pic:cNvPicPr>
                      <a:picLocks noChangeAspect="1"/>
                    </pic:cNvPicPr>
                  </pic:nvPicPr>
                  <pic:blipFill>
                    <a:blip r:embed="rId11"/>
                    <a:stretch>
                      <a:fillRect/>
                    </a:stretch>
                  </pic:blipFill>
                  <pic:spPr>
                    <a:xfrm>
                      <a:off x="0" y="0"/>
                      <a:ext cx="3078480" cy="1666240"/>
                    </a:xfrm>
                    <a:prstGeom prst="rect">
                      <a:avLst/>
                    </a:prstGeom>
                  </pic:spPr>
                </pic:pic>
              </a:graphicData>
            </a:graphic>
          </wp:inline>
        </w:drawing>
      </w:r>
    </w:p>
    <w:p>
      <w:pPr>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3658235" cy="2117725"/>
            <wp:effectExtent l="0" t="0" r="14605" b="635"/>
            <wp:docPr id="3" name="图片 3" descr="165093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938851(1)"/>
                    <pic:cNvPicPr>
                      <a:picLocks noChangeAspect="1"/>
                    </pic:cNvPicPr>
                  </pic:nvPicPr>
                  <pic:blipFill>
                    <a:blip r:embed="rId12"/>
                    <a:stretch>
                      <a:fillRect/>
                    </a:stretch>
                  </pic:blipFill>
                  <pic:spPr>
                    <a:xfrm>
                      <a:off x="0" y="0"/>
                      <a:ext cx="3658235" cy="2117725"/>
                    </a:xfrm>
                    <a:prstGeom prst="rect">
                      <a:avLst/>
                    </a:prstGeom>
                  </pic:spPr>
                </pic:pic>
              </a:graphicData>
            </a:graphic>
          </wp:inline>
        </w:drawing>
      </w:r>
    </w:p>
    <w:p>
      <w:pPr>
        <w:jc w:val="center"/>
        <w:rPr>
          <w:color w:val="auto"/>
        </w:rPr>
      </w:pPr>
      <w:r>
        <w:rPr>
          <w:rFonts w:hint="eastAsia"/>
          <w:color w:val="auto"/>
        </w:rPr>
        <w:t>图4 实测HAl77-2 O6</w:t>
      </w:r>
      <w:r>
        <w:rPr>
          <w:rFonts w:hint="eastAsia"/>
          <w:color w:val="auto"/>
          <w:lang w:val="en-US" w:eastAsia="zh-CN"/>
        </w:rPr>
        <w:t>1</w:t>
      </w:r>
      <w:r>
        <w:rPr>
          <w:rFonts w:hint="eastAsia"/>
          <w:color w:val="auto"/>
        </w:rPr>
        <w:t xml:space="preserve"> 维氏硬度频数直方图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O6</w:t>
      </w:r>
      <w:r>
        <w:rPr>
          <w:rFonts w:hint="eastAsia"/>
          <w:color w:val="auto"/>
          <w:lang w:val="en-US" w:eastAsia="zh-CN"/>
        </w:rPr>
        <w:t>1</w:t>
      </w:r>
      <w:r>
        <w:rPr>
          <w:rFonts w:hint="eastAsia"/>
          <w:color w:val="auto"/>
        </w:rPr>
        <w:t xml:space="preserve"> 维氏硬度频数和频率分布表及分布图的分析，可以看出，该牌号共收集到</w:t>
      </w:r>
      <w:r>
        <w:rPr>
          <w:rFonts w:hint="eastAsia"/>
          <w:color w:val="auto"/>
          <w:lang w:val="en-US" w:eastAsia="zh-CN"/>
        </w:rPr>
        <w:t>20</w:t>
      </w:r>
      <w:r>
        <w:rPr>
          <w:rFonts w:hint="eastAsia"/>
          <w:color w:val="auto"/>
        </w:rPr>
        <w:t>0个有效数据，有</w:t>
      </w:r>
      <w:r>
        <w:rPr>
          <w:rFonts w:hint="eastAsia"/>
          <w:color w:val="auto"/>
          <w:lang w:val="en-US" w:eastAsia="zh-CN"/>
        </w:rPr>
        <w:t>22.50</w:t>
      </w:r>
      <w:r>
        <w:rPr>
          <w:rFonts w:hint="eastAsia"/>
          <w:color w:val="auto"/>
        </w:rPr>
        <w:t>%的数据是集中的分布在</w:t>
      </w:r>
      <w:r>
        <w:rPr>
          <w:rFonts w:hint="eastAsia"/>
          <w:color w:val="auto"/>
          <w:lang w:val="en-US" w:eastAsia="zh-CN"/>
        </w:rPr>
        <w:t>70</w:t>
      </w:r>
      <w:r>
        <w:rPr>
          <w:rFonts w:hint="eastAsia" w:ascii="宋体" w:hAnsi="宋体" w:eastAsia="宋体"/>
          <w:color w:val="auto"/>
        </w:rPr>
        <w:t>～</w:t>
      </w:r>
      <w:r>
        <w:rPr>
          <w:rFonts w:hint="eastAsia" w:eastAsia="宋体"/>
          <w:color w:val="auto"/>
          <w:lang w:val="en-US" w:eastAsia="zh-CN"/>
        </w:rPr>
        <w:t>75</w:t>
      </w:r>
      <w:r>
        <w:rPr>
          <w:rFonts w:hint="eastAsia"/>
          <w:color w:val="auto"/>
        </w:rPr>
        <w:t>之间，有</w:t>
      </w:r>
      <w:r>
        <w:rPr>
          <w:rFonts w:hint="eastAsia"/>
          <w:color w:val="auto"/>
          <w:lang w:val="en-US" w:eastAsia="zh-CN"/>
        </w:rPr>
        <w:t>57.5</w:t>
      </w:r>
      <w:r>
        <w:rPr>
          <w:rFonts w:hint="eastAsia"/>
          <w:color w:val="auto"/>
        </w:rPr>
        <w:t>%的数据分布在</w:t>
      </w:r>
      <w:r>
        <w:rPr>
          <w:rFonts w:hint="eastAsia"/>
          <w:color w:val="auto"/>
          <w:lang w:val="en-US" w:eastAsia="zh-CN"/>
        </w:rPr>
        <w:t>85</w:t>
      </w:r>
      <w:r>
        <w:rPr>
          <w:rFonts w:hint="eastAsia" w:ascii="宋体" w:hAnsi="宋体" w:eastAsia="宋体"/>
          <w:color w:val="auto"/>
        </w:rPr>
        <w:t>～</w:t>
      </w:r>
      <w:r>
        <w:rPr>
          <w:rFonts w:hint="eastAsia" w:ascii="宋体" w:hAnsi="宋体" w:eastAsia="宋体"/>
          <w:color w:val="auto"/>
          <w:lang w:val="en-US" w:eastAsia="zh-CN"/>
        </w:rPr>
        <w:t>100</w:t>
      </w:r>
      <w:r>
        <w:rPr>
          <w:rFonts w:hint="eastAsia" w:ascii="宋体" w:hAnsi="宋体" w:eastAsia="宋体"/>
          <w:color w:val="auto"/>
        </w:rPr>
        <w:t>之间，</w:t>
      </w:r>
      <w:r>
        <w:rPr>
          <w:rFonts w:hint="eastAsia"/>
          <w:color w:val="auto"/>
        </w:rPr>
        <w:t>有</w:t>
      </w:r>
      <w:r>
        <w:rPr>
          <w:rFonts w:hint="eastAsia"/>
          <w:color w:val="auto"/>
          <w:lang w:val="en-US" w:eastAsia="zh-CN"/>
        </w:rPr>
        <w:t>17.5</w:t>
      </w:r>
      <w:r>
        <w:rPr>
          <w:rFonts w:hint="eastAsia"/>
          <w:color w:val="auto"/>
        </w:rPr>
        <w:t>%的数据分布在</w:t>
      </w:r>
      <w:r>
        <w:rPr>
          <w:rFonts w:hint="eastAsia"/>
          <w:color w:val="auto"/>
          <w:lang w:val="en-US" w:eastAsia="zh-CN"/>
        </w:rPr>
        <w:t>100</w:t>
      </w:r>
      <w:r>
        <w:rPr>
          <w:rFonts w:hint="eastAsia" w:ascii="宋体" w:hAnsi="宋体" w:eastAsia="宋体"/>
          <w:color w:val="auto"/>
        </w:rPr>
        <w:t>～</w:t>
      </w:r>
      <w:r>
        <w:rPr>
          <w:rFonts w:hint="eastAsia" w:ascii="宋体" w:hAnsi="宋体" w:eastAsia="宋体"/>
          <w:color w:val="auto"/>
          <w:lang w:val="en-US" w:eastAsia="zh-CN"/>
        </w:rPr>
        <w:t>108</w:t>
      </w:r>
      <w:r>
        <w:rPr>
          <w:rFonts w:hint="eastAsia" w:ascii="宋体" w:hAnsi="宋体" w:eastAsia="宋体"/>
          <w:color w:val="auto"/>
        </w:rPr>
        <w:t>之间</w:t>
      </w:r>
      <w:r>
        <w:rPr>
          <w:rFonts w:hint="eastAsia" w:ascii="宋体" w:hAnsi="宋体" w:eastAsia="宋体"/>
          <w:color w:val="auto"/>
          <w:lang w:eastAsia="zh-CN"/>
        </w:rPr>
        <w:t>，</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版中维氏硬度规定</w:t>
      </w:r>
      <w:r>
        <w:rPr>
          <w:rFonts w:hint="eastAsia" w:ascii="宋体" w:hAnsi="宋体" w:eastAsia="宋体"/>
          <w:color w:val="auto"/>
          <w:lang w:val="en-US" w:eastAsia="zh-CN"/>
        </w:rPr>
        <w:t>范围为70</w:t>
      </w:r>
      <w:r>
        <w:rPr>
          <w:rFonts w:hint="eastAsia" w:ascii="宋体" w:hAnsi="宋体"/>
          <w:color w:val="auto"/>
          <w:sz w:val="21"/>
          <w:szCs w:val="21"/>
        </w:rPr>
        <w:t>HV</w:t>
      </w:r>
      <w:r>
        <w:rPr>
          <w:rFonts w:hint="eastAsia" w:ascii="宋体" w:hAnsi="宋体" w:eastAsia="宋体"/>
          <w:color w:val="auto"/>
        </w:rPr>
        <w:t>～</w:t>
      </w:r>
      <w:r>
        <w:rPr>
          <w:rFonts w:hint="eastAsia" w:ascii="宋体" w:hAnsi="宋体" w:eastAsia="宋体"/>
          <w:color w:val="auto"/>
          <w:lang w:val="en-US" w:eastAsia="zh-CN"/>
        </w:rPr>
        <w:t>100</w:t>
      </w:r>
      <w:r>
        <w:rPr>
          <w:rFonts w:hint="eastAsia" w:ascii="宋体" w:hAnsi="宋体"/>
          <w:color w:val="auto"/>
          <w:sz w:val="21"/>
          <w:szCs w:val="21"/>
        </w:rPr>
        <w:t>HV</w:t>
      </w:r>
      <w:r>
        <w:rPr>
          <w:rFonts w:hint="eastAsia" w:ascii="宋体" w:hAnsi="宋体" w:eastAsia="宋体"/>
          <w:color w:val="auto"/>
        </w:rPr>
        <w:t>，经对比分析，本版指标</w:t>
      </w:r>
      <w:r>
        <w:rPr>
          <w:rFonts w:hint="eastAsia" w:ascii="宋体" w:hAnsi="宋体" w:eastAsia="宋体"/>
          <w:color w:val="auto"/>
          <w:lang w:val="en-US" w:eastAsia="zh-CN"/>
        </w:rPr>
        <w:t>范围调整</w:t>
      </w:r>
      <w:r>
        <w:rPr>
          <w:rFonts w:hint="eastAsia" w:ascii="宋体" w:hAnsi="宋体" w:eastAsia="宋体"/>
          <w:color w:val="auto"/>
        </w:rPr>
        <w:t>为7</w:t>
      </w:r>
      <w:r>
        <w:rPr>
          <w:rFonts w:hint="eastAsia" w:ascii="宋体" w:hAnsi="宋体" w:eastAsia="宋体"/>
          <w:color w:val="auto"/>
          <w:lang w:val="en-US" w:eastAsia="zh-CN"/>
        </w:rPr>
        <w:t>0</w:t>
      </w:r>
      <w:r>
        <w:rPr>
          <w:rFonts w:hint="eastAsia" w:ascii="宋体" w:hAnsi="宋体"/>
          <w:color w:val="auto"/>
          <w:sz w:val="21"/>
          <w:szCs w:val="21"/>
        </w:rPr>
        <w:t>HV</w:t>
      </w:r>
      <w:r>
        <w:rPr>
          <w:rFonts w:hint="eastAsia" w:ascii="宋体" w:hAnsi="宋体" w:eastAsia="宋体"/>
          <w:color w:val="auto"/>
        </w:rPr>
        <w:t>～1</w:t>
      </w:r>
      <w:r>
        <w:rPr>
          <w:rFonts w:hint="eastAsia" w:ascii="宋体" w:hAnsi="宋体" w:eastAsia="宋体"/>
          <w:color w:val="auto"/>
          <w:lang w:val="en-US" w:eastAsia="zh-CN"/>
        </w:rPr>
        <w:t>08</w:t>
      </w:r>
      <w:r>
        <w:rPr>
          <w:rFonts w:hint="eastAsia" w:ascii="宋体" w:hAnsi="宋体"/>
          <w:color w:val="auto"/>
          <w:sz w:val="21"/>
          <w:szCs w:val="21"/>
        </w:rPr>
        <w:t>HV</w:t>
      </w:r>
      <w:r>
        <w:rPr>
          <w:rFonts w:hint="eastAsia" w:ascii="宋体" w:hAnsi="宋体" w:eastAsia="宋体"/>
          <w:color w:val="auto"/>
        </w:rPr>
        <w:t>。</w:t>
      </w:r>
    </w:p>
    <w:p>
      <w:pPr>
        <w:ind w:firstLine="420" w:firstLineChars="200"/>
        <w:rPr>
          <w:rFonts w:hint="eastAsia"/>
          <w:color w:val="auto"/>
          <w:lang w:val="en-US" w:eastAsia="zh-CN"/>
        </w:rPr>
      </w:pPr>
    </w:p>
    <w:p>
      <w:pPr>
        <w:ind w:firstLine="420" w:firstLineChars="20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1.2 </w:t>
      </w:r>
      <w:r>
        <w:rPr>
          <w:rFonts w:hint="eastAsia"/>
          <w:b/>
          <w:bCs/>
          <w:color w:val="auto"/>
        </w:rPr>
        <w:t>O</w:t>
      </w:r>
      <w:r>
        <w:rPr>
          <w:rFonts w:hint="eastAsia" w:asciiTheme="minorEastAsia" w:hAnsiTheme="minorEastAsia"/>
          <w:b/>
          <w:bCs/>
          <w:color w:val="auto"/>
          <w:szCs w:val="21"/>
          <w:lang w:val="en-US" w:eastAsia="zh-CN"/>
        </w:rPr>
        <w:t>82</w:t>
      </w:r>
    </w:p>
    <w:p>
      <w:pPr>
        <w:ind w:firstLine="420" w:firstLineChars="200"/>
        <w:rPr>
          <w:rFonts w:hint="default" w:asciiTheme="minorEastAsia" w:hAnsiTheme="minorEastAsia"/>
          <w:color w:val="auto"/>
          <w:szCs w:val="21"/>
          <w:lang w:val="en-US"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抗拉强度</w:t>
      </w:r>
    </w:p>
    <w:p>
      <w:pPr>
        <w:ind w:firstLine="420" w:firstLineChars="200"/>
        <w:rPr>
          <w:color w:val="auto"/>
        </w:rPr>
      </w:pPr>
      <w:r>
        <w:rPr>
          <w:rFonts w:hint="eastAsia"/>
          <w:color w:val="auto"/>
        </w:rPr>
        <w:t>O</w:t>
      </w:r>
      <w:r>
        <w:rPr>
          <w:rFonts w:hint="eastAsia" w:asciiTheme="minorEastAsia" w:hAnsiTheme="minorEastAsia"/>
          <w:b w:val="0"/>
          <w:bCs w:val="0"/>
          <w:color w:val="auto"/>
          <w:szCs w:val="21"/>
          <w:lang w:val="en-US" w:eastAsia="zh-CN"/>
        </w:rPr>
        <w:t>82</w:t>
      </w:r>
      <w:r>
        <w:rPr>
          <w:rFonts w:hint="eastAsia"/>
          <w:color w:val="auto"/>
        </w:rPr>
        <w:t>抗拉强度频数和频率分布表及直方图如下：</w:t>
      </w:r>
    </w:p>
    <w:p>
      <w:pPr>
        <w:jc w:val="center"/>
        <w:rPr>
          <w:rFonts w:hint="eastAsia"/>
          <w:color w:val="auto"/>
        </w:rPr>
      </w:pPr>
      <w:r>
        <w:rPr>
          <w:rFonts w:hint="eastAsia"/>
          <w:color w:val="auto"/>
        </w:rPr>
        <w:t>表4  实测</w:t>
      </w:r>
      <w:r>
        <w:rPr>
          <w:rFonts w:hint="eastAsia" w:asciiTheme="minorEastAsia" w:hAnsiTheme="minorEastAsia"/>
          <w:color w:val="auto"/>
          <w:szCs w:val="21"/>
        </w:rPr>
        <w:t>HAl77-2</w:t>
      </w:r>
      <w:r>
        <w:rPr>
          <w:rFonts w:hint="eastAsia"/>
          <w:b w:val="0"/>
          <w:bCs w:val="0"/>
          <w:color w:val="auto"/>
        </w:rPr>
        <w:t xml:space="preserve"> </w:t>
      </w:r>
      <w:r>
        <w:rPr>
          <w:rFonts w:hint="eastAsia"/>
          <w:color w:val="auto"/>
        </w:rPr>
        <w:t>O</w:t>
      </w:r>
      <w:r>
        <w:rPr>
          <w:rFonts w:hint="eastAsia" w:asciiTheme="minorEastAsia" w:hAnsiTheme="minorEastAsia"/>
          <w:b w:val="0"/>
          <w:bCs w:val="0"/>
          <w:color w:val="auto"/>
          <w:szCs w:val="21"/>
          <w:lang w:val="en-US" w:eastAsia="zh-CN"/>
        </w:rPr>
        <w:t>82</w:t>
      </w:r>
      <w:r>
        <w:rPr>
          <w:rFonts w:hint="eastAsia"/>
          <w:color w:val="auto"/>
        </w:rPr>
        <w:t xml:space="preserve"> 抗拉强度频数和频率分布表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611245" cy="1605915"/>
            <wp:effectExtent l="0" t="0" r="8255" b="6985"/>
            <wp:docPr id="19" name="图片 19" descr="1650941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50941379(1)"/>
                    <pic:cNvPicPr>
                      <a:picLocks noChangeAspect="1"/>
                    </pic:cNvPicPr>
                  </pic:nvPicPr>
                  <pic:blipFill>
                    <a:blip r:embed="rId13"/>
                    <a:stretch>
                      <a:fillRect/>
                    </a:stretch>
                  </pic:blipFill>
                  <pic:spPr>
                    <a:xfrm>
                      <a:off x="0" y="0"/>
                      <a:ext cx="3611245" cy="1605915"/>
                    </a:xfrm>
                    <a:prstGeom prst="rect">
                      <a:avLst/>
                    </a:prstGeom>
                  </pic:spPr>
                </pic:pic>
              </a:graphicData>
            </a:graphic>
          </wp:inline>
        </w:drawing>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4221480" cy="2009140"/>
            <wp:effectExtent l="0" t="0" r="0" b="2540"/>
            <wp:docPr id="20" name="图片 20" descr="165094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50941394(1)"/>
                    <pic:cNvPicPr>
                      <a:picLocks noChangeAspect="1"/>
                    </pic:cNvPicPr>
                  </pic:nvPicPr>
                  <pic:blipFill>
                    <a:blip r:embed="rId14"/>
                    <a:stretch>
                      <a:fillRect/>
                    </a:stretch>
                  </pic:blipFill>
                  <pic:spPr>
                    <a:xfrm>
                      <a:off x="0" y="0"/>
                      <a:ext cx="4221480" cy="2009140"/>
                    </a:xfrm>
                    <a:prstGeom prst="rect">
                      <a:avLst/>
                    </a:prstGeom>
                  </pic:spPr>
                </pic:pic>
              </a:graphicData>
            </a:graphic>
          </wp:inline>
        </w:drawing>
      </w:r>
    </w:p>
    <w:p>
      <w:pPr>
        <w:widowControl/>
        <w:jc w:val="center"/>
        <w:rPr>
          <w:rFonts w:ascii="宋体" w:hAnsi="宋体" w:eastAsia="宋体" w:cs="宋体"/>
          <w:color w:val="auto"/>
          <w:kern w:val="0"/>
          <w:sz w:val="24"/>
          <w:szCs w:val="24"/>
        </w:rPr>
      </w:pPr>
    </w:p>
    <w:p>
      <w:pPr>
        <w:jc w:val="center"/>
        <w:rPr>
          <w:color w:val="auto"/>
        </w:rPr>
      </w:pPr>
      <w:r>
        <w:rPr>
          <w:rFonts w:hint="eastAsia"/>
          <w:color w:val="auto"/>
        </w:rPr>
        <w:t>图</w:t>
      </w:r>
      <w:r>
        <w:rPr>
          <w:rFonts w:hint="eastAsia"/>
          <w:color w:val="auto"/>
          <w:lang w:val="en-US" w:eastAsia="zh-CN"/>
        </w:rPr>
        <w:t>5</w:t>
      </w:r>
      <w:r>
        <w:rPr>
          <w:rFonts w:hint="eastAsia"/>
          <w:color w:val="auto"/>
        </w:rPr>
        <w:t xml:space="preserve"> </w:t>
      </w:r>
      <w:r>
        <w:rPr>
          <w:rFonts w:hint="eastAsia"/>
          <w:color w:val="auto"/>
          <w:lang w:val="en-US" w:eastAsia="zh-CN"/>
        </w:rPr>
        <w:t>实测</w:t>
      </w:r>
      <w:r>
        <w:rPr>
          <w:rFonts w:hint="eastAsia"/>
          <w:color w:val="auto"/>
        </w:rPr>
        <w:t>HAl77-2 O</w:t>
      </w:r>
      <w:r>
        <w:rPr>
          <w:rFonts w:hint="eastAsia" w:asciiTheme="minorEastAsia" w:hAnsiTheme="minorEastAsia"/>
          <w:b w:val="0"/>
          <w:bCs w:val="0"/>
          <w:color w:val="auto"/>
          <w:szCs w:val="21"/>
          <w:lang w:val="en-US" w:eastAsia="zh-CN"/>
        </w:rPr>
        <w:t>82</w:t>
      </w:r>
      <w:r>
        <w:rPr>
          <w:rFonts w:hint="eastAsia"/>
          <w:color w:val="auto"/>
        </w:rPr>
        <w:t xml:space="preserve"> 抗拉强度频数直方图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w:t>
      </w:r>
      <w:r>
        <w:rPr>
          <w:rFonts w:hint="eastAsia"/>
          <w:color w:val="auto"/>
          <w:lang w:val="en-US" w:eastAsia="zh-CN"/>
        </w:rPr>
        <w:t>82</w:t>
      </w:r>
      <w:r>
        <w:rPr>
          <w:rFonts w:hint="eastAsia"/>
          <w:color w:val="auto"/>
        </w:rPr>
        <w:t xml:space="preserve"> 抗拉强度频数和频率分布表及分布图的分析，可以看出，该牌号共收集到</w:t>
      </w:r>
      <w:r>
        <w:rPr>
          <w:rFonts w:hint="eastAsia"/>
          <w:color w:val="auto"/>
          <w:lang w:val="en-US" w:eastAsia="zh-CN"/>
        </w:rPr>
        <w:t>94</w:t>
      </w:r>
      <w:r>
        <w:rPr>
          <w:rFonts w:hint="eastAsia"/>
          <w:color w:val="auto"/>
        </w:rPr>
        <w:t>个数据，</w:t>
      </w:r>
      <w:r>
        <w:rPr>
          <w:rFonts w:hint="eastAsia"/>
          <w:color w:val="auto"/>
          <w:lang w:val="en-US" w:eastAsia="zh-CN"/>
        </w:rPr>
        <w:t>数据基本均匀</w:t>
      </w:r>
      <w:r>
        <w:rPr>
          <w:rFonts w:hint="eastAsia"/>
          <w:color w:val="auto"/>
        </w:rPr>
        <w:t>分布在3</w:t>
      </w:r>
      <w:r>
        <w:rPr>
          <w:rFonts w:hint="eastAsia"/>
          <w:color w:val="auto"/>
          <w:lang w:val="en-US" w:eastAsia="zh-CN"/>
        </w:rPr>
        <w:t>90</w:t>
      </w:r>
      <w:r>
        <w:rPr>
          <w:rFonts w:hint="eastAsia" w:ascii="宋体" w:hAnsi="宋体" w:eastAsia="宋体"/>
          <w:color w:val="auto"/>
        </w:rPr>
        <w:t>～</w:t>
      </w:r>
      <w:r>
        <w:rPr>
          <w:rFonts w:hint="eastAsia" w:eastAsia="宋体"/>
          <w:color w:val="auto"/>
          <w:lang w:val="en-US" w:eastAsia="zh-CN"/>
        </w:rPr>
        <w:t>440</w:t>
      </w:r>
      <w:r>
        <w:rPr>
          <w:rFonts w:hint="eastAsia"/>
          <w:color w:val="auto"/>
        </w:rPr>
        <w:t>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版中该牌号抗拉强度为≥</w:t>
      </w:r>
      <w:r>
        <w:rPr>
          <w:rFonts w:hint="eastAsia" w:ascii="宋体" w:hAnsi="宋体" w:eastAsia="宋体"/>
          <w:color w:val="auto"/>
          <w:lang w:val="en-US" w:eastAsia="zh-CN"/>
        </w:rPr>
        <w:t>39</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rPr>
        <w:t>，经对比分析，本版抗拉强</w:t>
      </w:r>
      <w:r>
        <w:rPr>
          <w:rFonts w:hint="eastAsia" w:ascii="宋体" w:hAnsi="宋体" w:eastAsia="宋体"/>
          <w:color w:val="auto"/>
          <w:lang w:val="en-US" w:eastAsia="zh-CN"/>
        </w:rPr>
        <w:t>仍维持</w:t>
      </w:r>
      <w:r>
        <w:rPr>
          <w:rFonts w:hint="eastAsia" w:ascii="宋体" w:hAnsi="宋体" w:eastAsia="宋体"/>
          <w:color w:val="auto"/>
        </w:rPr>
        <w:t>≥</w:t>
      </w:r>
      <w:r>
        <w:rPr>
          <w:rFonts w:hint="eastAsia" w:ascii="宋体" w:hAnsi="宋体" w:eastAsia="宋体"/>
          <w:color w:val="auto"/>
          <w:lang w:val="en-US" w:eastAsia="zh-CN"/>
        </w:rPr>
        <w:t>39</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lang w:val="en-US" w:eastAsia="zh-CN"/>
        </w:rPr>
        <w:t>不变</w:t>
      </w:r>
      <w:r>
        <w:rPr>
          <w:rFonts w:hint="eastAsia" w:ascii="宋体" w:hAnsi="宋体" w:eastAsia="宋体"/>
          <w:color w:val="auto"/>
        </w:rPr>
        <w:t>。</w:t>
      </w:r>
    </w:p>
    <w:p>
      <w:p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规定非比例延伸强度</w:t>
      </w:r>
    </w:p>
    <w:p>
      <w:pPr>
        <w:tabs>
          <w:tab w:val="left" w:pos="7470"/>
        </w:tabs>
        <w:ind w:firstLine="420" w:firstLineChars="200"/>
        <w:rPr>
          <w:color w:val="auto"/>
        </w:rPr>
      </w:pPr>
      <w:r>
        <w:rPr>
          <w:rFonts w:hint="eastAsia"/>
          <w:color w:val="auto"/>
        </w:rPr>
        <w:t>规定非比例延伸强度频数和频率分布表及直方图如下：</w:t>
      </w:r>
      <w:r>
        <w:rPr>
          <w:color w:val="auto"/>
        </w:rPr>
        <w:tab/>
      </w:r>
    </w:p>
    <w:p>
      <w:pPr>
        <w:jc w:val="center"/>
        <w:rPr>
          <w:rFonts w:hint="eastAsia"/>
          <w:color w:val="auto"/>
        </w:rPr>
      </w:pPr>
      <w:r>
        <w:rPr>
          <w:rFonts w:hint="eastAsia"/>
          <w:color w:val="auto"/>
        </w:rPr>
        <w:t>表5  实测HAl77-2 O</w:t>
      </w:r>
      <w:r>
        <w:rPr>
          <w:rFonts w:hint="eastAsia"/>
          <w:color w:val="auto"/>
          <w:lang w:val="en-US" w:eastAsia="zh-CN"/>
        </w:rPr>
        <w:t>82</w:t>
      </w:r>
      <w:r>
        <w:rPr>
          <w:rFonts w:hint="eastAsia"/>
          <w:color w:val="auto"/>
        </w:rPr>
        <w:t xml:space="preserve"> 规定非比例延伸强度频数和频率分布表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116580" cy="1737360"/>
            <wp:effectExtent l="0" t="0" r="7620" b="0"/>
            <wp:docPr id="21" name="图片 21" descr="1650942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50942021(1)"/>
                    <pic:cNvPicPr>
                      <a:picLocks noChangeAspect="1"/>
                    </pic:cNvPicPr>
                  </pic:nvPicPr>
                  <pic:blipFill>
                    <a:blip r:embed="rId15"/>
                    <a:stretch>
                      <a:fillRect/>
                    </a:stretch>
                  </pic:blipFill>
                  <pic:spPr>
                    <a:xfrm>
                      <a:off x="0" y="0"/>
                      <a:ext cx="3116580" cy="1737360"/>
                    </a:xfrm>
                    <a:prstGeom prst="rect">
                      <a:avLst/>
                    </a:prstGeom>
                  </pic:spPr>
                </pic:pic>
              </a:graphicData>
            </a:graphic>
          </wp:inline>
        </w:drawing>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409315" cy="1958340"/>
            <wp:effectExtent l="0" t="0" r="4445" b="7620"/>
            <wp:docPr id="22" name="图片 22" descr="1650942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50942039(1)"/>
                    <pic:cNvPicPr>
                      <a:picLocks noChangeAspect="1"/>
                    </pic:cNvPicPr>
                  </pic:nvPicPr>
                  <pic:blipFill>
                    <a:blip r:embed="rId16"/>
                    <a:stretch>
                      <a:fillRect/>
                    </a:stretch>
                  </pic:blipFill>
                  <pic:spPr>
                    <a:xfrm>
                      <a:off x="0" y="0"/>
                      <a:ext cx="3409315" cy="1958340"/>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6</w:t>
      </w:r>
      <w:r>
        <w:rPr>
          <w:rFonts w:hint="eastAsia"/>
          <w:color w:val="auto"/>
        </w:rPr>
        <w:t xml:space="preserve"> 实测HAl77-2 O</w:t>
      </w:r>
      <w:r>
        <w:rPr>
          <w:rFonts w:hint="eastAsia"/>
          <w:color w:val="auto"/>
          <w:lang w:val="en-US" w:eastAsia="zh-CN"/>
        </w:rPr>
        <w:t>82</w:t>
      </w:r>
      <w:r>
        <w:rPr>
          <w:rFonts w:hint="eastAsia"/>
          <w:color w:val="auto"/>
        </w:rPr>
        <w:t xml:space="preserve"> 规定非比例延伸强度频数直方图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w:t>
      </w:r>
      <w:r>
        <w:rPr>
          <w:rFonts w:hint="eastAsia"/>
          <w:color w:val="auto"/>
          <w:lang w:val="en-US" w:eastAsia="zh-CN"/>
        </w:rPr>
        <w:t>82</w:t>
      </w:r>
      <w:r>
        <w:rPr>
          <w:rFonts w:hint="eastAsia"/>
          <w:color w:val="auto"/>
        </w:rPr>
        <w:t xml:space="preserve"> 规定非比例延伸强度频数和频率分布表及分布图的分析，可以看出，该牌号共收集到</w:t>
      </w:r>
      <w:r>
        <w:rPr>
          <w:rFonts w:hint="eastAsia"/>
          <w:color w:val="auto"/>
          <w:lang w:val="en-US" w:eastAsia="zh-CN"/>
        </w:rPr>
        <w:t>50</w:t>
      </w:r>
      <w:r>
        <w:rPr>
          <w:rFonts w:hint="eastAsia"/>
          <w:color w:val="auto"/>
        </w:rPr>
        <w:t>个数据，</w:t>
      </w:r>
      <w:r>
        <w:rPr>
          <w:rFonts w:hint="eastAsia"/>
          <w:color w:val="auto"/>
          <w:lang w:val="en-US" w:eastAsia="zh-CN"/>
        </w:rPr>
        <w:t>数据基本均匀</w:t>
      </w:r>
      <w:r>
        <w:rPr>
          <w:rFonts w:hint="eastAsia"/>
          <w:color w:val="auto"/>
        </w:rPr>
        <w:t>分布在</w:t>
      </w:r>
      <w:r>
        <w:rPr>
          <w:rFonts w:hint="eastAsia"/>
          <w:color w:val="auto"/>
          <w:lang w:val="en-US" w:eastAsia="zh-CN"/>
        </w:rPr>
        <w:t>190</w:t>
      </w:r>
      <w:r>
        <w:rPr>
          <w:rFonts w:hint="eastAsia" w:ascii="宋体" w:hAnsi="宋体" w:eastAsia="宋体"/>
          <w:color w:val="auto"/>
        </w:rPr>
        <w:t>～</w:t>
      </w:r>
      <w:r>
        <w:rPr>
          <w:rFonts w:hint="eastAsia" w:eastAsia="宋体"/>
          <w:color w:val="auto"/>
          <w:lang w:val="en-US" w:eastAsia="zh-CN"/>
        </w:rPr>
        <w:t>199</w:t>
      </w:r>
      <w:r>
        <w:rPr>
          <w:rFonts w:hint="eastAsia"/>
          <w:color w:val="auto"/>
        </w:rPr>
        <w:t>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w:t>
      </w:r>
      <w:r>
        <w:rPr>
          <w:rFonts w:hint="eastAsia"/>
          <w:color w:val="auto"/>
        </w:rPr>
        <w:t>规定非比例延伸强度</w:t>
      </w:r>
      <w:r>
        <w:rPr>
          <w:rFonts w:hint="eastAsia" w:ascii="宋体" w:hAnsi="宋体" w:eastAsia="宋体"/>
          <w:color w:val="auto"/>
        </w:rPr>
        <w:t>为≥</w:t>
      </w:r>
      <w:r>
        <w:rPr>
          <w:rFonts w:hint="eastAsia" w:ascii="宋体" w:hAnsi="宋体" w:eastAsia="宋体"/>
          <w:color w:val="auto"/>
          <w:lang w:val="en-US" w:eastAsia="zh-CN"/>
        </w:rPr>
        <w:t>15</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rPr>
        <w:t>，经对比分析，</w:t>
      </w:r>
      <w:r>
        <w:rPr>
          <w:rFonts w:hint="eastAsia" w:ascii="宋体" w:hAnsi="宋体" w:eastAsia="宋体"/>
          <w:color w:val="auto"/>
          <w:lang w:val="en-US" w:eastAsia="zh-CN"/>
        </w:rPr>
        <w:t>若本版直接修改为</w:t>
      </w:r>
      <w:r>
        <w:rPr>
          <w:rFonts w:hint="eastAsia" w:ascii="宋体" w:hAnsi="宋体" w:eastAsia="宋体"/>
          <w:color w:val="auto"/>
        </w:rPr>
        <w:t>≥</w:t>
      </w:r>
      <w:r>
        <w:rPr>
          <w:rFonts w:hint="eastAsia" w:ascii="宋体" w:hAnsi="宋体" w:eastAsia="宋体"/>
          <w:color w:val="auto"/>
          <w:lang w:val="en-US" w:eastAsia="zh-CN"/>
        </w:rPr>
        <w:t>19</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lang w:eastAsia="zh-CN"/>
        </w:rPr>
        <w:t>，</w:t>
      </w:r>
      <w:r>
        <w:rPr>
          <w:rFonts w:hint="eastAsia" w:ascii="宋体" w:hAnsi="宋体" w:eastAsia="宋体"/>
          <w:color w:val="auto"/>
          <w:lang w:val="en-US" w:eastAsia="zh-CN"/>
        </w:rPr>
        <w:t>调整幅度呈跳跃式，稳妥起见，</w:t>
      </w:r>
      <w:r>
        <w:rPr>
          <w:rFonts w:hint="eastAsia" w:ascii="宋体" w:hAnsi="宋体" w:eastAsia="宋体"/>
          <w:color w:val="auto"/>
        </w:rPr>
        <w:t>本版</w:t>
      </w:r>
      <w:r>
        <w:rPr>
          <w:rFonts w:hint="eastAsia" w:ascii="宋体" w:hAnsi="宋体" w:eastAsia="宋体"/>
          <w:color w:val="auto"/>
          <w:lang w:val="en-US" w:eastAsia="zh-CN"/>
        </w:rPr>
        <w:t>调整为</w:t>
      </w:r>
      <w:r>
        <w:rPr>
          <w:rFonts w:hint="eastAsia" w:ascii="宋体" w:hAnsi="宋体" w:eastAsia="宋体"/>
          <w:color w:val="auto"/>
        </w:rPr>
        <w:t>≥</w:t>
      </w:r>
      <w:r>
        <w:rPr>
          <w:rFonts w:hint="eastAsia" w:ascii="宋体" w:hAnsi="宋体" w:eastAsia="宋体"/>
          <w:color w:val="auto"/>
          <w:lang w:val="en-US" w:eastAsia="zh-CN"/>
        </w:rPr>
        <w:t>160</w:t>
      </w:r>
      <w:r>
        <w:rPr>
          <w:rFonts w:hint="eastAsia" w:ascii="宋体" w:hAnsi="宋体" w:eastAsia="宋体"/>
          <w:color w:val="auto"/>
        </w:rPr>
        <w:t>。</w:t>
      </w:r>
    </w:p>
    <w:p>
      <w:pPr>
        <w:numPr>
          <w:ilvl w:val="0"/>
          <w:numId w:val="0"/>
        </w:num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断后伸长率</w:t>
      </w:r>
    </w:p>
    <w:p>
      <w:pPr>
        <w:numPr>
          <w:ilvl w:val="0"/>
          <w:numId w:val="0"/>
        </w:numPr>
        <w:tabs>
          <w:tab w:val="left" w:pos="7470"/>
        </w:tabs>
        <w:ind w:firstLine="420" w:firstLineChars="200"/>
        <w:rPr>
          <w:color w:val="auto"/>
        </w:rPr>
      </w:pPr>
      <w:r>
        <w:rPr>
          <w:rFonts w:hint="eastAsia"/>
          <w:color w:val="auto"/>
        </w:rPr>
        <w:t>断后伸长率频数和频率分布表及直方图如下：</w:t>
      </w:r>
      <w:r>
        <w:rPr>
          <w:color w:val="auto"/>
        </w:rPr>
        <w:tab/>
      </w:r>
    </w:p>
    <w:p>
      <w:pPr>
        <w:jc w:val="center"/>
        <w:rPr>
          <w:rFonts w:hint="eastAsia"/>
          <w:color w:val="auto"/>
        </w:rPr>
      </w:pPr>
      <w:r>
        <w:rPr>
          <w:rFonts w:hint="eastAsia"/>
          <w:color w:val="auto"/>
        </w:rPr>
        <w:t>表6  实测HAl77-2 O</w:t>
      </w:r>
      <w:r>
        <w:rPr>
          <w:rFonts w:hint="eastAsia"/>
          <w:color w:val="auto"/>
          <w:lang w:val="en-US" w:eastAsia="zh-CN"/>
        </w:rPr>
        <w:t>82</w:t>
      </w:r>
      <w:r>
        <w:rPr>
          <w:rFonts w:hint="eastAsia"/>
          <w:color w:val="auto"/>
        </w:rPr>
        <w:t xml:space="preserve"> 断后伸长率频数和频率分布表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162300" cy="1760220"/>
            <wp:effectExtent l="0" t="0" r="7620" b="7620"/>
            <wp:docPr id="23" name="图片 23" descr="1650945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50945660(1)"/>
                    <pic:cNvPicPr>
                      <a:picLocks noChangeAspect="1"/>
                    </pic:cNvPicPr>
                  </pic:nvPicPr>
                  <pic:blipFill>
                    <a:blip r:embed="rId17"/>
                    <a:stretch>
                      <a:fillRect/>
                    </a:stretch>
                  </pic:blipFill>
                  <pic:spPr>
                    <a:xfrm>
                      <a:off x="0" y="0"/>
                      <a:ext cx="3162300" cy="1760220"/>
                    </a:xfrm>
                    <a:prstGeom prst="rect">
                      <a:avLst/>
                    </a:prstGeom>
                  </pic:spPr>
                </pic:pic>
              </a:graphicData>
            </a:graphic>
          </wp:inline>
        </w:drawing>
      </w:r>
    </w:p>
    <w:p>
      <w:pPr>
        <w:jc w:val="center"/>
        <w:rPr>
          <w:rFonts w:hint="eastAsia"/>
          <w:color w:val="auto"/>
        </w:rPr>
      </w:pPr>
      <w:r>
        <w:rPr>
          <w:rFonts w:hint="eastAsia"/>
          <w:color w:val="auto"/>
        </w:rPr>
        <w:drawing>
          <wp:inline distT="0" distB="0" distL="114300" distR="114300">
            <wp:extent cx="3771900" cy="2225040"/>
            <wp:effectExtent l="0" t="0" r="7620" b="0"/>
            <wp:docPr id="24" name="图片 24" descr="1650945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50945688(1)"/>
                    <pic:cNvPicPr>
                      <a:picLocks noChangeAspect="1"/>
                    </pic:cNvPicPr>
                  </pic:nvPicPr>
                  <pic:blipFill>
                    <a:blip r:embed="rId18"/>
                    <a:stretch>
                      <a:fillRect/>
                    </a:stretch>
                  </pic:blipFill>
                  <pic:spPr>
                    <a:xfrm>
                      <a:off x="0" y="0"/>
                      <a:ext cx="3771900" cy="2225040"/>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7</w:t>
      </w:r>
      <w:r>
        <w:rPr>
          <w:rFonts w:hint="eastAsia"/>
          <w:color w:val="auto"/>
        </w:rPr>
        <w:t xml:space="preserve"> 实测HAl77-2 O</w:t>
      </w:r>
      <w:r>
        <w:rPr>
          <w:rFonts w:hint="eastAsia"/>
          <w:color w:val="auto"/>
          <w:lang w:val="en-US" w:eastAsia="zh-CN"/>
        </w:rPr>
        <w:t>82</w:t>
      </w:r>
      <w:r>
        <w:rPr>
          <w:rFonts w:hint="eastAsia"/>
          <w:color w:val="auto"/>
        </w:rPr>
        <w:t>断后伸长率频数直方图</w:t>
      </w:r>
    </w:p>
    <w:p>
      <w:pPr>
        <w:ind w:firstLine="420" w:firstLineChars="200"/>
        <w:rPr>
          <w:rFonts w:hint="default" w:ascii="宋体" w:hAnsi="宋体" w:eastAsiaTheme="minorEastAsia"/>
          <w:color w:val="auto"/>
          <w:lang w:val="en-US" w:eastAsia="zh-CN"/>
        </w:rPr>
      </w:pPr>
      <w:r>
        <w:rPr>
          <w:rFonts w:hint="eastAsia" w:asciiTheme="minorEastAsia" w:hAnsiTheme="minorEastAsia"/>
          <w:color w:val="auto"/>
          <w:szCs w:val="21"/>
        </w:rPr>
        <w:t>根据</w:t>
      </w:r>
      <w:r>
        <w:rPr>
          <w:rFonts w:hint="eastAsia"/>
          <w:color w:val="auto"/>
        </w:rPr>
        <w:t>实测HAl77-2 O</w:t>
      </w:r>
      <w:r>
        <w:rPr>
          <w:rFonts w:hint="eastAsia"/>
          <w:color w:val="auto"/>
          <w:lang w:val="en-US" w:eastAsia="zh-CN"/>
        </w:rPr>
        <w:t>82</w:t>
      </w:r>
      <w:r>
        <w:rPr>
          <w:rFonts w:hint="eastAsia"/>
          <w:color w:val="auto"/>
        </w:rPr>
        <w:t xml:space="preserve"> 断后伸长率频数和频率分布表及分布图的分析，可以看出，该牌号共收集到</w:t>
      </w:r>
      <w:r>
        <w:rPr>
          <w:rFonts w:hint="eastAsia"/>
          <w:color w:val="auto"/>
          <w:lang w:val="en-US" w:eastAsia="zh-CN"/>
        </w:rPr>
        <w:t>94</w:t>
      </w:r>
      <w:r>
        <w:rPr>
          <w:rFonts w:hint="eastAsia"/>
          <w:color w:val="auto"/>
        </w:rPr>
        <w:t>个有效数据，有</w:t>
      </w:r>
      <w:r>
        <w:rPr>
          <w:rFonts w:hint="eastAsia"/>
          <w:color w:val="auto"/>
          <w:lang w:val="en-US" w:eastAsia="zh-CN"/>
        </w:rPr>
        <w:t>90.42</w:t>
      </w:r>
      <w:r>
        <w:rPr>
          <w:rFonts w:hint="eastAsia"/>
          <w:color w:val="auto"/>
        </w:rPr>
        <w:t>%的数据是集中的分布在</w:t>
      </w:r>
      <w:r>
        <w:rPr>
          <w:rFonts w:hint="eastAsia"/>
          <w:color w:val="auto"/>
          <w:lang w:val="en-US" w:eastAsia="zh-CN"/>
        </w:rPr>
        <w:t>57</w:t>
      </w:r>
      <w:r>
        <w:rPr>
          <w:rFonts w:hint="eastAsia" w:ascii="宋体" w:hAnsi="宋体" w:eastAsia="宋体"/>
          <w:color w:val="auto"/>
        </w:rPr>
        <w:t>～</w:t>
      </w:r>
      <w:r>
        <w:rPr>
          <w:rFonts w:hint="eastAsia" w:eastAsia="宋体"/>
          <w:color w:val="auto"/>
          <w:lang w:val="en-US" w:eastAsia="zh-CN"/>
        </w:rPr>
        <w:t>67</w:t>
      </w:r>
      <w:r>
        <w:rPr>
          <w:rFonts w:hint="eastAsia"/>
          <w:color w:val="auto"/>
        </w:rPr>
        <w:t>之间，有</w:t>
      </w:r>
      <w:r>
        <w:rPr>
          <w:rFonts w:hint="eastAsia"/>
          <w:color w:val="auto"/>
          <w:lang w:val="en-US" w:eastAsia="zh-CN"/>
        </w:rPr>
        <w:t>6.38</w:t>
      </w:r>
      <w:r>
        <w:rPr>
          <w:rFonts w:hint="eastAsia"/>
          <w:color w:val="auto"/>
        </w:rPr>
        <w:t>%的数据分布在</w:t>
      </w:r>
      <w:r>
        <w:rPr>
          <w:rFonts w:hint="eastAsia"/>
          <w:color w:val="auto"/>
          <w:lang w:val="en-US" w:eastAsia="zh-CN"/>
        </w:rPr>
        <w:t>67</w:t>
      </w:r>
      <w:r>
        <w:rPr>
          <w:rFonts w:hint="eastAsia" w:ascii="宋体" w:hAnsi="宋体" w:eastAsia="宋体"/>
          <w:color w:val="auto"/>
        </w:rPr>
        <w:t>～</w:t>
      </w:r>
      <w:r>
        <w:rPr>
          <w:rFonts w:hint="eastAsia" w:ascii="宋体" w:hAnsi="宋体" w:eastAsia="宋体"/>
          <w:color w:val="auto"/>
          <w:lang w:val="en-US" w:eastAsia="zh-CN"/>
        </w:rPr>
        <w:t>70</w:t>
      </w:r>
      <w:r>
        <w:rPr>
          <w:rFonts w:hint="eastAsia" w:ascii="宋体" w:hAnsi="宋体" w:eastAsia="宋体"/>
          <w:color w:val="auto"/>
        </w:rPr>
        <w:t>之间，有</w:t>
      </w:r>
      <w:r>
        <w:rPr>
          <w:rFonts w:hint="eastAsia" w:ascii="宋体" w:hAnsi="宋体" w:eastAsia="宋体"/>
          <w:color w:val="auto"/>
          <w:lang w:val="en-US" w:eastAsia="zh-CN"/>
        </w:rPr>
        <w:t>3.19</w:t>
      </w:r>
      <w:r>
        <w:rPr>
          <w:rFonts w:hint="eastAsia" w:ascii="宋体" w:hAnsi="宋体" w:eastAsia="宋体"/>
          <w:color w:val="auto"/>
        </w:rPr>
        <w:t>%的数据分布在</w:t>
      </w:r>
      <w:r>
        <w:rPr>
          <w:rFonts w:hint="eastAsia" w:ascii="宋体" w:hAnsi="宋体" w:eastAsia="宋体"/>
          <w:color w:val="auto"/>
          <w:lang w:val="en-US" w:eastAsia="zh-CN"/>
        </w:rPr>
        <w:t>50</w:t>
      </w:r>
      <w:r>
        <w:rPr>
          <w:rFonts w:hint="eastAsia" w:ascii="宋体" w:hAnsi="宋体" w:eastAsia="宋体"/>
          <w:color w:val="auto"/>
        </w:rPr>
        <w:t>～</w:t>
      </w:r>
      <w:r>
        <w:rPr>
          <w:rFonts w:hint="eastAsia" w:ascii="宋体" w:hAnsi="宋体" w:eastAsia="宋体"/>
          <w:color w:val="auto"/>
          <w:lang w:val="en-US" w:eastAsia="zh-CN"/>
        </w:rPr>
        <w:t>57</w:t>
      </w:r>
      <w:r>
        <w:rPr>
          <w:rFonts w:hint="eastAsia" w:ascii="宋体" w:hAnsi="宋体" w:eastAsia="宋体"/>
          <w:color w:val="auto"/>
        </w:rPr>
        <w:t>之间，该标准</w:t>
      </w:r>
      <w:r>
        <w:rPr>
          <w:rFonts w:hint="eastAsia" w:ascii="宋体" w:hAnsi="宋体" w:eastAsia="宋体"/>
          <w:color w:val="auto"/>
          <w:lang w:val="en-US" w:eastAsia="zh-CN"/>
        </w:rPr>
        <w:t>2009</w:t>
      </w:r>
      <w:r>
        <w:rPr>
          <w:rFonts w:hint="eastAsia" w:ascii="宋体" w:hAnsi="宋体" w:eastAsia="宋体"/>
          <w:color w:val="auto"/>
        </w:rPr>
        <w:t>版中该牌号</w:t>
      </w:r>
      <w:r>
        <w:rPr>
          <w:rFonts w:hint="eastAsia" w:ascii="宋体" w:hAnsi="宋体" w:eastAsia="宋体"/>
          <w:color w:val="auto"/>
          <w:lang w:val="en-US" w:eastAsia="zh-CN"/>
        </w:rPr>
        <w:t>状态</w:t>
      </w:r>
      <w:r>
        <w:rPr>
          <w:rFonts w:hint="eastAsia" w:ascii="宋体" w:hAnsi="宋体" w:eastAsia="宋体"/>
          <w:color w:val="auto"/>
        </w:rPr>
        <w:t>断后伸长率为≥</w:t>
      </w:r>
      <w:r>
        <w:rPr>
          <w:rFonts w:hint="eastAsia" w:ascii="宋体" w:hAnsi="宋体" w:eastAsia="宋体"/>
          <w:color w:val="auto"/>
          <w:lang w:val="en-US" w:eastAsia="zh-CN"/>
        </w:rPr>
        <w:t>38</w:t>
      </w:r>
      <w:r>
        <w:rPr>
          <w:rFonts w:hint="eastAsia"/>
          <w:color w:val="auto"/>
        </w:rPr>
        <w:t>%</w:t>
      </w:r>
      <w:r>
        <w:rPr>
          <w:rFonts w:hint="eastAsia" w:ascii="宋体" w:hAnsi="宋体" w:eastAsia="宋体"/>
          <w:color w:val="auto"/>
        </w:rPr>
        <w:t>，经对比分析，本版断后伸长率</w:t>
      </w:r>
      <w:r>
        <w:rPr>
          <w:rFonts w:hint="eastAsia" w:ascii="宋体" w:hAnsi="宋体" w:eastAsia="宋体"/>
          <w:color w:val="auto"/>
          <w:lang w:val="en-US" w:eastAsia="zh-CN"/>
        </w:rPr>
        <w:t>可调整</w:t>
      </w:r>
      <w:r>
        <w:rPr>
          <w:rFonts w:hint="eastAsia" w:ascii="宋体" w:hAnsi="宋体" w:eastAsia="宋体"/>
          <w:color w:val="auto"/>
        </w:rPr>
        <w:t>为≥</w:t>
      </w:r>
      <w:r>
        <w:rPr>
          <w:rFonts w:hint="eastAsia" w:ascii="宋体" w:hAnsi="宋体" w:eastAsia="宋体"/>
          <w:color w:val="auto"/>
          <w:lang w:val="en-US" w:eastAsia="zh-CN"/>
        </w:rPr>
        <w:t>50</w:t>
      </w:r>
      <w:r>
        <w:rPr>
          <w:rFonts w:hint="eastAsia"/>
          <w:color w:val="auto"/>
        </w:rPr>
        <w:t>%</w:t>
      </w:r>
      <w:r>
        <w:rPr>
          <w:rFonts w:hint="eastAsia" w:ascii="宋体" w:hAnsi="宋体" w:eastAsia="宋体"/>
          <w:color w:val="auto"/>
          <w:lang w:val="en-US" w:eastAsia="zh-CN"/>
        </w:rPr>
        <w:t>，但</w:t>
      </w:r>
      <w:r>
        <w:rPr>
          <w:rFonts w:hint="eastAsia"/>
          <w:color w:val="auto"/>
          <w:lang w:val="en-US" w:eastAsia="zh-CN"/>
        </w:rPr>
        <w:t>该牌号</w:t>
      </w:r>
      <w:r>
        <w:rPr>
          <w:rFonts w:hint="eastAsia"/>
          <w:color w:val="auto"/>
        </w:rPr>
        <w:t>O6</w:t>
      </w:r>
      <w:r>
        <w:rPr>
          <w:rFonts w:hint="eastAsia"/>
          <w:color w:val="auto"/>
          <w:lang w:val="en-US" w:eastAsia="zh-CN"/>
        </w:rPr>
        <w:t>1的断后伸长率调整到了</w:t>
      </w:r>
      <w:r>
        <w:rPr>
          <w:rFonts w:hint="eastAsia" w:ascii="宋体" w:hAnsi="宋体" w:eastAsia="宋体"/>
          <w:color w:val="auto"/>
        </w:rPr>
        <w:t>≥</w:t>
      </w:r>
      <w:r>
        <w:rPr>
          <w:rFonts w:hint="eastAsia" w:ascii="宋体" w:hAnsi="宋体" w:eastAsia="宋体"/>
          <w:color w:val="auto"/>
          <w:lang w:val="en-US" w:eastAsia="zh-CN"/>
        </w:rPr>
        <w:t>50</w:t>
      </w:r>
      <w:r>
        <w:rPr>
          <w:rFonts w:hint="eastAsia"/>
          <w:color w:val="auto"/>
        </w:rPr>
        <w:t>%</w:t>
      </w:r>
      <w:r>
        <w:rPr>
          <w:rFonts w:hint="eastAsia" w:ascii="宋体" w:hAnsi="宋体" w:eastAsia="宋体"/>
          <w:color w:val="auto"/>
          <w:lang w:val="en-US" w:eastAsia="zh-CN"/>
        </w:rPr>
        <w:t>，为了区分两种状态，根据实际生产经验，</w:t>
      </w:r>
      <w:r>
        <w:rPr>
          <w:rFonts w:hint="eastAsia"/>
          <w:color w:val="auto"/>
        </w:rPr>
        <w:t>O</w:t>
      </w:r>
      <w:r>
        <w:rPr>
          <w:rFonts w:hint="eastAsia"/>
          <w:color w:val="auto"/>
          <w:lang w:val="en-US" w:eastAsia="zh-CN"/>
        </w:rPr>
        <w:t>82断后伸长率应比</w:t>
      </w:r>
      <w:r>
        <w:rPr>
          <w:rFonts w:hint="eastAsia"/>
          <w:color w:val="auto"/>
        </w:rPr>
        <w:t>O6</w:t>
      </w:r>
      <w:r>
        <w:rPr>
          <w:rFonts w:hint="eastAsia"/>
          <w:color w:val="auto"/>
          <w:lang w:val="en-US" w:eastAsia="zh-CN"/>
        </w:rPr>
        <w:t>1稍低，所以</w:t>
      </w:r>
      <w:r>
        <w:rPr>
          <w:rFonts w:hint="eastAsia"/>
          <w:color w:val="auto"/>
        </w:rPr>
        <w:t>HAl77-2 O</w:t>
      </w:r>
      <w:r>
        <w:rPr>
          <w:rFonts w:hint="eastAsia"/>
          <w:color w:val="auto"/>
          <w:lang w:val="en-US" w:eastAsia="zh-CN"/>
        </w:rPr>
        <w:t>82</w:t>
      </w:r>
      <w:r>
        <w:rPr>
          <w:rFonts w:hint="eastAsia"/>
          <w:color w:val="auto"/>
        </w:rPr>
        <w:t xml:space="preserve"> 断后伸长率</w:t>
      </w:r>
      <w:r>
        <w:rPr>
          <w:rFonts w:hint="eastAsia"/>
          <w:color w:val="auto"/>
          <w:lang w:val="en-US" w:eastAsia="zh-CN"/>
        </w:rPr>
        <w:t>调整为</w:t>
      </w:r>
      <w:r>
        <w:rPr>
          <w:rFonts w:hint="eastAsia" w:ascii="宋体" w:hAnsi="宋体" w:eastAsia="宋体"/>
          <w:color w:val="auto"/>
        </w:rPr>
        <w:t>≥</w:t>
      </w:r>
      <w:r>
        <w:rPr>
          <w:rFonts w:hint="eastAsia" w:ascii="宋体" w:hAnsi="宋体" w:eastAsia="宋体"/>
          <w:color w:val="auto"/>
          <w:lang w:val="en-US" w:eastAsia="zh-CN"/>
        </w:rPr>
        <w:t>45</w:t>
      </w:r>
      <w:r>
        <w:rPr>
          <w:rFonts w:hint="eastAsia"/>
          <w:color w:val="auto"/>
        </w:rPr>
        <w:t>%</w:t>
      </w:r>
      <w:r>
        <w:rPr>
          <w:rFonts w:hint="eastAsia" w:ascii="宋体" w:hAnsi="宋体" w:eastAsia="宋体"/>
          <w:color w:val="auto"/>
          <w:lang w:val="en-US" w:eastAsia="zh-CN"/>
        </w:rPr>
        <w:t>。</w:t>
      </w:r>
    </w:p>
    <w:p>
      <w:pPr>
        <w:numPr>
          <w:ilvl w:val="0"/>
          <w:numId w:val="0"/>
        </w:numPr>
        <w:tabs>
          <w:tab w:val="left" w:pos="7470"/>
        </w:tabs>
        <w:ind w:leftChars="200"/>
        <w:rPr>
          <w:rFonts w:hint="eastAsia" w:eastAsiaTheme="minor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维氏硬度</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实测HAl77-2 O</w:t>
      </w:r>
      <w:r>
        <w:rPr>
          <w:rFonts w:hint="eastAsia"/>
          <w:color w:val="auto"/>
          <w:lang w:val="en-US" w:eastAsia="zh-CN"/>
        </w:rPr>
        <w:t>82</w:t>
      </w:r>
      <w:r>
        <w:rPr>
          <w:rFonts w:hint="eastAsia"/>
          <w:color w:val="auto"/>
        </w:rPr>
        <w:t xml:space="preserve"> 维氏硬度</w:t>
      </w:r>
      <w:r>
        <w:rPr>
          <w:rFonts w:hint="eastAsia"/>
          <w:color w:val="auto"/>
          <w:lang w:val="en-US" w:eastAsia="zh-CN"/>
        </w:rPr>
        <w:t>调研数据看，本次数据共收集到50个，较均匀的分布在100-120之间，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版中维氏硬度规定</w:t>
      </w:r>
      <w:r>
        <w:rPr>
          <w:rFonts w:hint="eastAsia" w:ascii="宋体" w:hAnsi="宋体" w:eastAsia="宋体"/>
          <w:color w:val="auto"/>
          <w:lang w:val="en-US" w:eastAsia="zh-CN"/>
        </w:rPr>
        <w:t>范围为85</w:t>
      </w:r>
      <w:r>
        <w:rPr>
          <w:rFonts w:hint="eastAsia" w:ascii="宋体" w:hAnsi="宋体"/>
          <w:color w:val="auto"/>
          <w:sz w:val="21"/>
          <w:szCs w:val="21"/>
        </w:rPr>
        <w:t>HV</w:t>
      </w:r>
      <w:r>
        <w:rPr>
          <w:rFonts w:hint="eastAsia" w:ascii="宋体" w:hAnsi="宋体" w:eastAsia="宋体"/>
          <w:color w:val="auto"/>
        </w:rPr>
        <w:t>～</w:t>
      </w:r>
      <w:r>
        <w:rPr>
          <w:rFonts w:hint="eastAsia" w:ascii="宋体" w:hAnsi="宋体" w:eastAsia="宋体"/>
          <w:color w:val="auto"/>
          <w:lang w:val="en-US" w:eastAsia="zh-CN"/>
        </w:rPr>
        <w:t>130</w:t>
      </w:r>
      <w:r>
        <w:rPr>
          <w:rFonts w:hint="eastAsia" w:ascii="宋体" w:hAnsi="宋体"/>
          <w:color w:val="auto"/>
          <w:sz w:val="21"/>
          <w:szCs w:val="21"/>
        </w:rPr>
        <w:t>HV</w:t>
      </w:r>
      <w:r>
        <w:rPr>
          <w:rFonts w:hint="eastAsia" w:ascii="宋体" w:hAnsi="宋体" w:eastAsia="宋体"/>
          <w:color w:val="auto"/>
        </w:rPr>
        <w:t>，经对比分析，本版指标</w:t>
      </w:r>
      <w:r>
        <w:rPr>
          <w:rFonts w:hint="eastAsia" w:ascii="宋体" w:hAnsi="宋体" w:eastAsia="宋体"/>
          <w:color w:val="auto"/>
          <w:lang w:val="en-US" w:eastAsia="zh-CN"/>
        </w:rPr>
        <w:t>下限稍稍调高到90</w:t>
      </w:r>
      <w:r>
        <w:rPr>
          <w:rFonts w:hint="eastAsia" w:ascii="宋体" w:hAnsi="宋体"/>
          <w:color w:val="auto"/>
          <w:sz w:val="21"/>
          <w:szCs w:val="21"/>
        </w:rPr>
        <w:t>HV</w:t>
      </w:r>
      <w:r>
        <w:rPr>
          <w:rFonts w:hint="eastAsia" w:ascii="宋体" w:hAnsi="宋体" w:eastAsia="宋体"/>
          <w:color w:val="auto"/>
          <w:lang w:val="en-US" w:eastAsia="zh-CN"/>
        </w:rPr>
        <w:t>，上限不变，具体范围调整</w:t>
      </w:r>
      <w:r>
        <w:rPr>
          <w:rFonts w:hint="eastAsia" w:ascii="宋体" w:hAnsi="宋体" w:eastAsia="宋体"/>
          <w:color w:val="auto"/>
        </w:rPr>
        <w:t>为</w:t>
      </w:r>
      <w:r>
        <w:rPr>
          <w:rFonts w:hint="eastAsia" w:ascii="宋体" w:hAnsi="宋体" w:eastAsia="宋体"/>
          <w:color w:val="auto"/>
          <w:lang w:val="en-US" w:eastAsia="zh-CN"/>
        </w:rPr>
        <w:t>90</w:t>
      </w:r>
      <w:r>
        <w:rPr>
          <w:rFonts w:hint="eastAsia" w:ascii="宋体" w:hAnsi="宋体"/>
          <w:color w:val="auto"/>
          <w:sz w:val="21"/>
          <w:szCs w:val="21"/>
        </w:rPr>
        <w:t>HV</w:t>
      </w:r>
      <w:r>
        <w:rPr>
          <w:rFonts w:hint="eastAsia" w:ascii="宋体" w:hAnsi="宋体" w:eastAsia="宋体"/>
          <w:color w:val="auto"/>
        </w:rPr>
        <w:t>～1</w:t>
      </w:r>
      <w:r>
        <w:rPr>
          <w:rFonts w:hint="eastAsia" w:ascii="宋体" w:hAnsi="宋体" w:eastAsia="宋体"/>
          <w:color w:val="auto"/>
          <w:lang w:val="en-US" w:eastAsia="zh-CN"/>
        </w:rPr>
        <w:t>30</w:t>
      </w:r>
      <w:r>
        <w:rPr>
          <w:rFonts w:hint="eastAsia" w:ascii="宋体" w:hAnsi="宋体"/>
          <w:color w:val="auto"/>
          <w:sz w:val="21"/>
          <w:szCs w:val="21"/>
        </w:rPr>
        <w:t>HV</w:t>
      </w:r>
      <w:r>
        <w:rPr>
          <w:rFonts w:hint="eastAsia" w:ascii="宋体" w:hAnsi="宋体" w:eastAsia="宋体"/>
          <w:color w:val="auto"/>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contextualSpacing/>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2</w:t>
      </w:r>
      <w:r>
        <w:rPr>
          <w:rFonts w:hint="eastAsia" w:asciiTheme="minorEastAsia" w:hAnsiTheme="minorEastAsia"/>
          <w:b/>
          <w:bCs/>
          <w:color w:val="auto"/>
          <w:szCs w:val="21"/>
        </w:rPr>
        <w:t xml:space="preserve">  </w:t>
      </w:r>
      <w:r>
        <w:rPr>
          <w:rFonts w:hint="eastAsia" w:asciiTheme="minorEastAsia" w:hAnsiTheme="minorEastAsia"/>
          <w:b/>
          <w:bCs/>
          <w:color w:val="auto"/>
          <w:szCs w:val="21"/>
          <w:lang w:val="en-US" w:eastAsia="zh-CN"/>
        </w:rPr>
        <w:t>BFe10</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1-1</w:t>
      </w:r>
      <w:r>
        <w:rPr>
          <w:rFonts w:hint="eastAsia" w:asciiTheme="minorEastAsia" w:hAnsiTheme="minorEastAsia"/>
          <w:b/>
          <w:bCs/>
          <w:color w:val="auto"/>
          <w:szCs w:val="21"/>
        </w:rPr>
        <w:t>铜管性能频数和频率分析</w:t>
      </w:r>
    </w:p>
    <w:p>
      <w:pPr>
        <w:ind w:firstLine="420" w:firstLineChars="200"/>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BFe10-1-1牌号分为</w:t>
      </w: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rPr>
        <w:t>O</w:t>
      </w:r>
      <w:r>
        <w:rPr>
          <w:rFonts w:hint="eastAsia" w:asciiTheme="minorEastAsia" w:hAnsiTheme="minorEastAsia"/>
          <w:color w:val="auto"/>
          <w:szCs w:val="21"/>
          <w:lang w:val="en-US" w:eastAsia="zh-CN"/>
        </w:rPr>
        <w:t>82和H80、</w:t>
      </w:r>
      <w:r>
        <w:rPr>
          <w:rFonts w:hint="eastAsia" w:ascii="宋体"/>
          <w:color w:val="auto"/>
          <w:sz w:val="21"/>
          <w:szCs w:val="21"/>
          <w:highlight w:val="none"/>
        </w:rPr>
        <w:t>H55</w:t>
      </w:r>
      <w:r>
        <w:rPr>
          <w:rFonts w:hint="eastAsia" w:asciiTheme="minorEastAsia" w:hAnsiTheme="minorEastAsia"/>
          <w:color w:val="auto"/>
          <w:szCs w:val="21"/>
          <w:lang w:val="en-US" w:eastAsia="zh-CN"/>
        </w:rPr>
        <w:t>四种</w:t>
      </w:r>
      <w:r>
        <w:rPr>
          <w:rFonts w:hint="eastAsia" w:asciiTheme="minorEastAsia" w:hAnsiTheme="minorEastAsia"/>
          <w:color w:val="auto"/>
          <w:szCs w:val="21"/>
          <w:lang w:val="en-US" w:eastAsia="zh-CN"/>
        </w:rPr>
        <w:t>状态。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2.1 </w:t>
      </w:r>
      <w:r>
        <w:rPr>
          <w:rFonts w:hint="eastAsia" w:asciiTheme="minorEastAsia" w:hAnsiTheme="minorEastAsia"/>
          <w:b/>
          <w:bCs/>
          <w:color w:val="auto"/>
          <w:szCs w:val="21"/>
        </w:rPr>
        <w:t>O6</w:t>
      </w:r>
      <w:r>
        <w:rPr>
          <w:rFonts w:hint="eastAsia" w:asciiTheme="minorEastAsia" w:hAnsiTheme="minorEastAsia"/>
          <w:b/>
          <w:bCs/>
          <w:color w:val="auto"/>
          <w:szCs w:val="21"/>
          <w:lang w:val="en-US" w:eastAsia="zh-CN"/>
        </w:rPr>
        <w:t>1</w:t>
      </w:r>
    </w:p>
    <w:p>
      <w:pPr>
        <w:ind w:firstLine="420" w:firstLineChars="200"/>
        <w:rPr>
          <w:rFonts w:hint="default" w:asciiTheme="minorEastAsia" w:hAnsiTheme="minorEastAsia"/>
          <w:color w:val="auto"/>
          <w:szCs w:val="21"/>
          <w:lang w:val="en-US"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抗拉强度</w:t>
      </w:r>
    </w:p>
    <w:p>
      <w:pPr>
        <w:ind w:firstLine="420" w:firstLineChars="200"/>
        <w:rPr>
          <w:color w:val="auto"/>
        </w:rPr>
      </w:pP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color w:val="auto"/>
        </w:rPr>
        <w:t>抗拉强度频数和频率分布表及直方图如下：</w:t>
      </w:r>
    </w:p>
    <w:p>
      <w:pPr>
        <w:jc w:val="center"/>
        <w:rPr>
          <w:rFonts w:hint="eastAsia"/>
          <w:color w:val="auto"/>
        </w:rPr>
      </w:pPr>
      <w:r>
        <w:rPr>
          <w:rFonts w:hint="eastAsia"/>
          <w:color w:val="auto"/>
        </w:rPr>
        <w:t>表4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抗拉强度频数和频率分布表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041015" cy="1653540"/>
            <wp:effectExtent l="0" t="0" r="6985" b="7620"/>
            <wp:docPr id="33" name="图片 33" descr="1650948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50948043(1)"/>
                    <pic:cNvPicPr>
                      <a:picLocks noChangeAspect="1"/>
                    </pic:cNvPicPr>
                  </pic:nvPicPr>
                  <pic:blipFill>
                    <a:blip r:embed="rId19"/>
                    <a:stretch>
                      <a:fillRect/>
                    </a:stretch>
                  </pic:blipFill>
                  <pic:spPr>
                    <a:xfrm>
                      <a:off x="0" y="0"/>
                      <a:ext cx="3041015" cy="1653540"/>
                    </a:xfrm>
                    <a:prstGeom prst="rect">
                      <a:avLst/>
                    </a:prstGeom>
                  </pic:spPr>
                </pic:pic>
              </a:graphicData>
            </a:graphic>
          </wp:inline>
        </w:drawing>
      </w:r>
    </w:p>
    <w:p>
      <w:pPr>
        <w:pStyle w:val="2"/>
        <w:jc w:val="center"/>
        <w:rPr>
          <w:rFonts w:ascii="宋体" w:hAnsi="宋体" w:eastAsia="宋体" w:cs="宋体"/>
          <w:color w:val="auto"/>
          <w:kern w:val="0"/>
          <w:sz w:val="24"/>
          <w:szCs w:val="24"/>
        </w:rPr>
      </w:pPr>
      <w:r>
        <w:rPr>
          <w:rFonts w:hint="eastAsia" w:eastAsia="宋体"/>
          <w:color w:val="auto"/>
          <w:lang w:eastAsia="zh-CN"/>
        </w:rPr>
        <w:drawing>
          <wp:inline distT="0" distB="0" distL="114300" distR="114300">
            <wp:extent cx="3444875" cy="2068195"/>
            <wp:effectExtent l="0" t="0" r="14605" b="4445"/>
            <wp:docPr id="34" name="图片 34" descr="1650948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50948059(1)"/>
                    <pic:cNvPicPr>
                      <a:picLocks noChangeAspect="1"/>
                    </pic:cNvPicPr>
                  </pic:nvPicPr>
                  <pic:blipFill>
                    <a:blip r:embed="rId20"/>
                    <a:stretch>
                      <a:fillRect/>
                    </a:stretch>
                  </pic:blipFill>
                  <pic:spPr>
                    <a:xfrm>
                      <a:off x="0" y="0"/>
                      <a:ext cx="3444875" cy="2068195"/>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8</w:t>
      </w:r>
      <w:r>
        <w:rPr>
          <w:rFonts w:hint="eastAsia"/>
          <w:color w:val="auto"/>
        </w:rPr>
        <w:t xml:space="preserve"> </w:t>
      </w:r>
      <w:r>
        <w:rPr>
          <w:rFonts w:hint="eastAsia"/>
          <w:color w:val="auto"/>
          <w:lang w:val="en-US" w:eastAsia="zh-CN"/>
        </w:rPr>
        <w:t>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抗拉强度频数直方图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抗拉强度频数和频率分布表及分布图的分析，可以看出，该牌号共收集到</w:t>
      </w:r>
      <w:r>
        <w:rPr>
          <w:rFonts w:hint="eastAsia"/>
          <w:color w:val="auto"/>
          <w:lang w:val="en-US" w:eastAsia="zh-CN"/>
        </w:rPr>
        <w:t>350</w:t>
      </w:r>
      <w:r>
        <w:rPr>
          <w:rFonts w:hint="eastAsia"/>
          <w:color w:val="auto"/>
        </w:rPr>
        <w:t>个数据，有</w:t>
      </w:r>
      <w:r>
        <w:rPr>
          <w:rFonts w:hint="eastAsia"/>
          <w:color w:val="auto"/>
          <w:lang w:val="en-US" w:eastAsia="zh-CN"/>
        </w:rPr>
        <w:t>81.14</w:t>
      </w:r>
      <w:r>
        <w:rPr>
          <w:rFonts w:hint="eastAsia"/>
          <w:color w:val="auto"/>
        </w:rPr>
        <w:t>%的数据是集中的分布在</w:t>
      </w:r>
      <w:r>
        <w:rPr>
          <w:rFonts w:hint="eastAsia"/>
          <w:color w:val="auto"/>
          <w:lang w:val="en-US" w:eastAsia="zh-CN"/>
        </w:rPr>
        <w:t>314</w:t>
      </w:r>
      <w:r>
        <w:rPr>
          <w:rFonts w:hint="eastAsia" w:ascii="宋体" w:hAnsi="宋体" w:eastAsia="宋体"/>
          <w:color w:val="auto"/>
        </w:rPr>
        <w:t>～</w:t>
      </w:r>
      <w:r>
        <w:rPr>
          <w:rFonts w:hint="eastAsia" w:eastAsia="宋体"/>
          <w:color w:val="auto"/>
          <w:lang w:val="en-US" w:eastAsia="zh-CN"/>
        </w:rPr>
        <w:t>351</w:t>
      </w:r>
      <w:r>
        <w:rPr>
          <w:rFonts w:hint="eastAsia"/>
          <w:color w:val="auto"/>
        </w:rPr>
        <w:t>之间，有</w:t>
      </w:r>
      <w:r>
        <w:rPr>
          <w:rFonts w:hint="eastAsia"/>
          <w:color w:val="auto"/>
          <w:lang w:val="en-US" w:eastAsia="zh-CN"/>
        </w:rPr>
        <w:t>17.72</w:t>
      </w:r>
      <w:r>
        <w:rPr>
          <w:rFonts w:hint="eastAsia"/>
          <w:color w:val="auto"/>
        </w:rPr>
        <w:t>%的数据分布在</w:t>
      </w:r>
      <w:r>
        <w:rPr>
          <w:rFonts w:hint="eastAsia"/>
          <w:color w:val="auto"/>
          <w:lang w:val="en-US" w:eastAsia="zh-CN"/>
        </w:rPr>
        <w:t>295</w:t>
      </w:r>
      <w:r>
        <w:rPr>
          <w:rFonts w:hint="eastAsia" w:ascii="宋体" w:hAnsi="宋体" w:eastAsia="宋体"/>
          <w:color w:val="auto"/>
        </w:rPr>
        <w:t>～</w:t>
      </w:r>
      <w:r>
        <w:rPr>
          <w:rFonts w:hint="eastAsia" w:ascii="宋体" w:hAnsi="宋体" w:eastAsia="宋体"/>
          <w:color w:val="auto"/>
          <w:lang w:val="en-US" w:eastAsia="zh-CN"/>
        </w:rPr>
        <w:t>314</w:t>
      </w:r>
      <w:r>
        <w:rPr>
          <w:rFonts w:hint="eastAsia" w:ascii="宋体" w:hAnsi="宋体" w:eastAsia="宋体"/>
          <w:color w:val="auto"/>
        </w:rPr>
        <w:t>之间，该标准</w:t>
      </w:r>
      <w:r>
        <w:rPr>
          <w:rFonts w:hint="eastAsia" w:ascii="宋体" w:hAnsi="宋体" w:eastAsia="宋体"/>
          <w:color w:val="auto"/>
          <w:lang w:val="en-US" w:eastAsia="zh-CN"/>
        </w:rPr>
        <w:t>2009</w:t>
      </w:r>
      <w:r>
        <w:rPr>
          <w:rFonts w:hint="eastAsia" w:ascii="宋体" w:hAnsi="宋体" w:eastAsia="宋体"/>
          <w:color w:val="auto"/>
        </w:rPr>
        <w:t>版中该牌号抗拉强度为≥</w:t>
      </w:r>
      <w:r>
        <w:rPr>
          <w:rFonts w:hint="eastAsia" w:ascii="宋体" w:hAnsi="宋体" w:eastAsia="宋体"/>
          <w:color w:val="auto"/>
          <w:lang w:val="en-US" w:eastAsia="zh-CN"/>
        </w:rPr>
        <w:t>29</w:t>
      </w:r>
      <w:r>
        <w:rPr>
          <w:rFonts w:hint="eastAsia" w:ascii="宋体" w:hAnsi="宋体" w:eastAsia="宋体"/>
          <w:color w:val="auto"/>
        </w:rPr>
        <w:t>0，经对比分析，本版抗拉强</w:t>
      </w:r>
      <w:r>
        <w:rPr>
          <w:rFonts w:hint="eastAsia" w:ascii="宋体" w:hAnsi="宋体" w:eastAsia="宋体"/>
          <w:color w:val="auto"/>
          <w:lang w:val="en-US" w:eastAsia="zh-CN"/>
        </w:rPr>
        <w:t>仍维持</w:t>
      </w:r>
      <w:r>
        <w:rPr>
          <w:rFonts w:hint="eastAsia" w:ascii="宋体" w:hAnsi="宋体" w:eastAsia="宋体"/>
          <w:color w:val="auto"/>
        </w:rPr>
        <w:t>≥</w:t>
      </w:r>
      <w:r>
        <w:rPr>
          <w:rFonts w:hint="eastAsia" w:ascii="宋体" w:hAnsi="宋体" w:eastAsia="宋体"/>
          <w:color w:val="auto"/>
          <w:lang w:val="en-US" w:eastAsia="zh-CN"/>
        </w:rPr>
        <w:t>29</w:t>
      </w:r>
      <w:r>
        <w:rPr>
          <w:rFonts w:hint="eastAsia" w:ascii="宋体" w:hAnsi="宋体" w:eastAsia="宋体"/>
          <w:color w:val="auto"/>
        </w:rPr>
        <w:t>0</w:t>
      </w:r>
      <w:r>
        <w:rPr>
          <w:rFonts w:hint="eastAsia" w:ascii="宋体" w:hAnsi="宋体" w:eastAsia="宋体"/>
          <w:color w:val="auto"/>
          <w:lang w:val="en-US" w:eastAsia="zh-CN"/>
        </w:rPr>
        <w:t>不变</w:t>
      </w:r>
      <w:r>
        <w:rPr>
          <w:rFonts w:hint="eastAsia" w:ascii="宋体" w:hAnsi="宋体" w:eastAsia="宋体"/>
          <w:color w:val="auto"/>
        </w:rPr>
        <w:t>。</w:t>
      </w:r>
    </w:p>
    <w:p>
      <w:p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规定非比例延伸强度</w:t>
      </w:r>
    </w:p>
    <w:p>
      <w:pPr>
        <w:tabs>
          <w:tab w:val="left" w:pos="7470"/>
        </w:tabs>
        <w:ind w:firstLine="420" w:firstLineChars="200"/>
        <w:rPr>
          <w:color w:val="auto"/>
        </w:rPr>
      </w:pPr>
      <w:r>
        <w:rPr>
          <w:rFonts w:hint="eastAsia"/>
          <w:color w:val="auto"/>
        </w:rPr>
        <w:t>规定非比例延伸强度频数和频率分布表及直方图如下：</w:t>
      </w:r>
      <w:r>
        <w:rPr>
          <w:color w:val="auto"/>
        </w:rPr>
        <w:tab/>
      </w:r>
    </w:p>
    <w:p>
      <w:pPr>
        <w:jc w:val="center"/>
        <w:rPr>
          <w:rFonts w:hint="eastAsia"/>
          <w:color w:val="auto"/>
        </w:rPr>
      </w:pPr>
      <w:r>
        <w:rPr>
          <w:rFonts w:hint="eastAsia"/>
          <w:color w:val="auto"/>
        </w:rPr>
        <w:t>表5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规定非比例延伸强度频数和频率分布表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192780" cy="1729740"/>
            <wp:effectExtent l="0" t="0" r="7620" b="7620"/>
            <wp:docPr id="35" name="图片 35" descr="165094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50948761(1)"/>
                    <pic:cNvPicPr>
                      <a:picLocks noChangeAspect="1"/>
                    </pic:cNvPicPr>
                  </pic:nvPicPr>
                  <pic:blipFill>
                    <a:blip r:embed="rId21"/>
                    <a:stretch>
                      <a:fillRect/>
                    </a:stretch>
                  </pic:blipFill>
                  <pic:spPr>
                    <a:xfrm>
                      <a:off x="0" y="0"/>
                      <a:ext cx="3192780" cy="1729740"/>
                    </a:xfrm>
                    <a:prstGeom prst="rect">
                      <a:avLst/>
                    </a:prstGeom>
                  </pic:spPr>
                </pic:pic>
              </a:graphicData>
            </a:graphic>
          </wp:inline>
        </w:drawing>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4099560" cy="2255520"/>
            <wp:effectExtent l="0" t="0" r="0" b="0"/>
            <wp:docPr id="36" name="图片 36" descr="165094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50948779"/>
                    <pic:cNvPicPr>
                      <a:picLocks noChangeAspect="1"/>
                    </pic:cNvPicPr>
                  </pic:nvPicPr>
                  <pic:blipFill>
                    <a:blip r:embed="rId22"/>
                    <a:stretch>
                      <a:fillRect/>
                    </a:stretch>
                  </pic:blipFill>
                  <pic:spPr>
                    <a:xfrm>
                      <a:off x="0" y="0"/>
                      <a:ext cx="4099560" cy="2255520"/>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9</w:t>
      </w:r>
      <w:r>
        <w:rPr>
          <w:rFonts w:hint="eastAsia"/>
          <w:color w:val="auto"/>
        </w:rPr>
        <w:t xml:space="preserve">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规定非比例延伸强度频数直方图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规定非比例延伸强度频数和频率分布表及分布图的分析，可以看出，该牌号共收集到</w:t>
      </w:r>
      <w:r>
        <w:rPr>
          <w:rFonts w:hint="eastAsia"/>
          <w:color w:val="auto"/>
          <w:lang w:val="en-US" w:eastAsia="zh-CN"/>
        </w:rPr>
        <w:t>326</w:t>
      </w:r>
      <w:r>
        <w:rPr>
          <w:rFonts w:hint="eastAsia"/>
          <w:color w:val="auto"/>
        </w:rPr>
        <w:t>个数据，有</w:t>
      </w:r>
      <w:r>
        <w:rPr>
          <w:rFonts w:hint="eastAsia"/>
          <w:color w:val="auto"/>
          <w:lang w:val="en-US" w:eastAsia="zh-CN"/>
        </w:rPr>
        <w:t>85.58</w:t>
      </w:r>
      <w:r>
        <w:rPr>
          <w:rFonts w:hint="eastAsia"/>
          <w:color w:val="auto"/>
        </w:rPr>
        <w:t>%的数据集中分布在</w:t>
      </w:r>
      <w:r>
        <w:rPr>
          <w:rFonts w:hint="eastAsia"/>
          <w:color w:val="auto"/>
          <w:lang w:val="en-US" w:eastAsia="zh-CN"/>
        </w:rPr>
        <w:t>98</w:t>
      </w:r>
      <w:r>
        <w:rPr>
          <w:rFonts w:hint="eastAsia" w:ascii="宋体" w:hAnsi="宋体" w:eastAsia="宋体"/>
          <w:color w:val="auto"/>
        </w:rPr>
        <w:t>～</w:t>
      </w:r>
      <w:r>
        <w:rPr>
          <w:rFonts w:hint="eastAsia" w:eastAsia="宋体"/>
          <w:color w:val="auto"/>
          <w:lang w:val="en-US" w:eastAsia="zh-CN"/>
        </w:rPr>
        <w:t>115</w:t>
      </w:r>
      <w:r>
        <w:rPr>
          <w:rFonts w:hint="eastAsia"/>
          <w:color w:val="auto"/>
        </w:rPr>
        <w:t>之间，有</w:t>
      </w:r>
      <w:r>
        <w:rPr>
          <w:rFonts w:hint="eastAsia"/>
          <w:color w:val="auto"/>
          <w:lang w:val="en-US" w:eastAsia="zh-CN"/>
        </w:rPr>
        <w:t>4.91</w:t>
      </w:r>
      <w:r>
        <w:rPr>
          <w:rFonts w:hint="eastAsia"/>
          <w:color w:val="auto"/>
        </w:rPr>
        <w:t>%的数据分布在</w:t>
      </w:r>
      <w:r>
        <w:rPr>
          <w:rFonts w:hint="eastAsia"/>
          <w:color w:val="auto"/>
          <w:lang w:val="en-US" w:eastAsia="zh-CN"/>
        </w:rPr>
        <w:t>92</w:t>
      </w:r>
      <w:r>
        <w:rPr>
          <w:rFonts w:hint="eastAsia" w:ascii="宋体" w:hAnsi="宋体" w:eastAsia="宋体"/>
          <w:color w:val="auto"/>
        </w:rPr>
        <w:t>～</w:t>
      </w:r>
      <w:r>
        <w:rPr>
          <w:rFonts w:hint="eastAsia" w:ascii="宋体" w:hAnsi="宋体" w:eastAsia="宋体"/>
          <w:color w:val="auto"/>
          <w:lang w:val="en-US" w:eastAsia="zh-CN"/>
        </w:rPr>
        <w:t>98</w:t>
      </w:r>
      <w:r>
        <w:rPr>
          <w:rFonts w:hint="eastAsia" w:ascii="宋体" w:hAnsi="宋体" w:eastAsia="宋体"/>
          <w:color w:val="auto"/>
        </w:rPr>
        <w:t>之间</w:t>
      </w:r>
      <w:r>
        <w:rPr>
          <w:rFonts w:hint="eastAsia" w:ascii="宋体" w:hAnsi="宋体" w:eastAsia="宋体"/>
          <w:color w:val="auto"/>
          <w:lang w:eastAsia="zh-CN"/>
        </w:rPr>
        <w:t>，</w:t>
      </w:r>
      <w:r>
        <w:rPr>
          <w:rFonts w:hint="eastAsia"/>
          <w:color w:val="auto"/>
        </w:rPr>
        <w:t>有</w:t>
      </w:r>
      <w:r>
        <w:rPr>
          <w:rFonts w:hint="eastAsia"/>
          <w:color w:val="auto"/>
          <w:lang w:val="en-US" w:eastAsia="zh-CN"/>
        </w:rPr>
        <w:t>5.52</w:t>
      </w:r>
      <w:r>
        <w:rPr>
          <w:rFonts w:hint="eastAsia"/>
          <w:color w:val="auto"/>
        </w:rPr>
        <w:t>%的数据分布在</w:t>
      </w:r>
      <w:r>
        <w:rPr>
          <w:rFonts w:hint="eastAsia"/>
          <w:color w:val="auto"/>
          <w:lang w:val="en-US" w:eastAsia="zh-CN"/>
        </w:rPr>
        <w:t>115</w:t>
      </w:r>
      <w:r>
        <w:rPr>
          <w:rFonts w:hint="eastAsia" w:ascii="宋体" w:hAnsi="宋体" w:eastAsia="宋体"/>
          <w:color w:val="auto"/>
        </w:rPr>
        <w:t>～</w:t>
      </w:r>
      <w:r>
        <w:rPr>
          <w:rFonts w:hint="eastAsia" w:ascii="宋体" w:hAnsi="宋体" w:eastAsia="宋体"/>
          <w:color w:val="auto"/>
          <w:lang w:val="en-US" w:eastAsia="zh-CN"/>
        </w:rPr>
        <w:t>120</w:t>
      </w:r>
      <w:r>
        <w:rPr>
          <w:rFonts w:hint="eastAsia" w:ascii="宋体" w:hAnsi="宋体" w:eastAsia="宋体"/>
          <w:color w:val="auto"/>
        </w:rPr>
        <w:t>之间</w:t>
      </w:r>
      <w:r>
        <w:rPr>
          <w:rFonts w:hint="eastAsia" w:ascii="宋体" w:hAnsi="宋体" w:eastAsia="宋体"/>
          <w:color w:val="auto"/>
          <w:lang w:eastAsia="zh-CN"/>
        </w:rPr>
        <w:t>，</w:t>
      </w:r>
      <w:r>
        <w:rPr>
          <w:rFonts w:hint="eastAsia"/>
          <w:color w:val="auto"/>
        </w:rPr>
        <w:t>有</w:t>
      </w:r>
      <w:r>
        <w:rPr>
          <w:rFonts w:hint="eastAsia"/>
          <w:color w:val="auto"/>
          <w:lang w:val="en-US" w:eastAsia="zh-CN"/>
        </w:rPr>
        <w:t>3.99</w:t>
      </w:r>
      <w:r>
        <w:rPr>
          <w:rFonts w:hint="eastAsia"/>
          <w:color w:val="auto"/>
        </w:rPr>
        <w:t>%的数据分布在</w:t>
      </w:r>
      <w:r>
        <w:rPr>
          <w:rFonts w:hint="eastAsia"/>
          <w:color w:val="auto"/>
          <w:lang w:val="en-US" w:eastAsia="zh-CN"/>
        </w:rPr>
        <w:t>120</w:t>
      </w:r>
      <w:r>
        <w:rPr>
          <w:rFonts w:hint="eastAsia" w:ascii="宋体" w:hAnsi="宋体" w:eastAsia="宋体"/>
          <w:color w:val="auto"/>
        </w:rPr>
        <w:t>～</w:t>
      </w:r>
      <w:r>
        <w:rPr>
          <w:rFonts w:hint="eastAsia" w:ascii="宋体" w:hAnsi="宋体" w:eastAsia="宋体"/>
          <w:color w:val="auto"/>
          <w:lang w:val="en-US" w:eastAsia="zh-CN"/>
        </w:rPr>
        <w:t>133</w:t>
      </w:r>
      <w:r>
        <w:rPr>
          <w:rFonts w:hint="eastAsia" w:ascii="宋体" w:hAnsi="宋体" w:eastAsia="宋体"/>
          <w:color w:val="auto"/>
        </w:rPr>
        <w:t>之间</w:t>
      </w:r>
      <w:r>
        <w:rPr>
          <w:rFonts w:hint="eastAsia" w:ascii="宋体" w:hAnsi="宋体" w:eastAsia="宋体"/>
          <w:color w:val="auto"/>
          <w:lang w:eastAsia="zh-CN"/>
        </w:rPr>
        <w:t>，</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版中该牌号规定非比例延伸强度为≥</w:t>
      </w:r>
      <w:r>
        <w:rPr>
          <w:rFonts w:hint="eastAsia" w:ascii="宋体" w:hAnsi="宋体" w:eastAsia="宋体"/>
          <w:color w:val="auto"/>
          <w:lang w:val="en-US" w:eastAsia="zh-CN"/>
        </w:rPr>
        <w:t>90</w:t>
      </w:r>
      <w:r>
        <w:rPr>
          <w:rFonts w:hint="eastAsia" w:ascii="宋体" w:hAnsi="宋体" w:eastAsia="宋体"/>
          <w:color w:val="auto"/>
        </w:rPr>
        <w:t>Mpa</w:t>
      </w:r>
      <w:r>
        <w:rPr>
          <w:rFonts w:hint="eastAsia" w:ascii="宋体" w:hAnsi="宋体" w:eastAsia="宋体"/>
          <w:color w:val="auto"/>
        </w:rPr>
        <w:t>，经对比分析，本版规定非比例延伸强度</w:t>
      </w:r>
      <w:r>
        <w:rPr>
          <w:rFonts w:hint="eastAsia" w:ascii="宋体" w:hAnsi="宋体" w:eastAsia="宋体"/>
          <w:color w:val="auto"/>
          <w:lang w:val="en-US" w:eastAsia="zh-CN"/>
        </w:rPr>
        <w:t>维持</w:t>
      </w:r>
      <w:r>
        <w:rPr>
          <w:rFonts w:hint="eastAsia" w:ascii="宋体" w:hAnsi="宋体" w:eastAsia="宋体"/>
          <w:color w:val="auto"/>
        </w:rPr>
        <w:t>≥</w:t>
      </w:r>
      <w:r>
        <w:rPr>
          <w:rFonts w:hint="eastAsia" w:ascii="宋体" w:hAnsi="宋体" w:eastAsia="宋体"/>
          <w:color w:val="auto"/>
          <w:lang w:val="en-US" w:eastAsia="zh-CN"/>
        </w:rPr>
        <w:t>90</w:t>
      </w:r>
      <w:r>
        <w:rPr>
          <w:rFonts w:hint="eastAsia" w:ascii="宋体" w:hAnsi="宋体" w:eastAsia="宋体"/>
          <w:color w:val="auto"/>
        </w:rPr>
        <w:t xml:space="preserve"> </w:t>
      </w:r>
      <w:r>
        <w:rPr>
          <w:rFonts w:hint="eastAsia" w:ascii="宋体" w:hAnsi="宋体" w:eastAsia="宋体"/>
          <w:color w:val="auto"/>
        </w:rPr>
        <w:t>Mpa</w:t>
      </w:r>
      <w:r>
        <w:rPr>
          <w:rFonts w:hint="eastAsia" w:ascii="宋体" w:hAnsi="宋体" w:eastAsia="宋体"/>
          <w:color w:val="auto"/>
          <w:lang w:val="en-US" w:eastAsia="zh-CN"/>
        </w:rPr>
        <w:t>不变</w:t>
      </w:r>
      <w:r>
        <w:rPr>
          <w:rFonts w:hint="eastAsia" w:ascii="宋体" w:hAnsi="宋体" w:eastAsia="宋体"/>
          <w:color w:val="auto"/>
        </w:rPr>
        <w:t>。</w:t>
      </w:r>
    </w:p>
    <w:p>
      <w:pPr>
        <w:numPr>
          <w:ilvl w:val="0"/>
          <w:numId w:val="9"/>
        </w:numPr>
        <w:tabs>
          <w:tab w:val="left" w:pos="7470"/>
        </w:tabs>
        <w:ind w:firstLine="420" w:firstLineChars="200"/>
        <w:rPr>
          <w:rFonts w:hint="eastAsia"/>
          <w:color w:val="auto"/>
        </w:rPr>
      </w:pPr>
      <w:r>
        <w:rPr>
          <w:rFonts w:hint="eastAsia"/>
          <w:color w:val="auto"/>
        </w:rPr>
        <w:t>断后伸长率</w:t>
      </w:r>
    </w:p>
    <w:p>
      <w:pPr>
        <w:numPr>
          <w:ilvl w:val="0"/>
          <w:numId w:val="0"/>
        </w:numPr>
        <w:tabs>
          <w:tab w:val="left" w:pos="7470"/>
        </w:tabs>
        <w:ind w:firstLine="420" w:firstLineChars="200"/>
        <w:rPr>
          <w:color w:val="auto"/>
        </w:rPr>
      </w:pPr>
      <w:r>
        <w:rPr>
          <w:rFonts w:hint="eastAsia"/>
          <w:color w:val="auto"/>
        </w:rPr>
        <w:t>断后伸长率频数和频率分布表及直方图如下：</w:t>
      </w:r>
      <w:r>
        <w:rPr>
          <w:color w:val="auto"/>
        </w:rPr>
        <w:tab/>
      </w:r>
    </w:p>
    <w:p>
      <w:pPr>
        <w:jc w:val="center"/>
        <w:rPr>
          <w:rFonts w:hint="eastAsia"/>
          <w:color w:val="auto"/>
        </w:rPr>
      </w:pPr>
      <w:r>
        <w:rPr>
          <w:rFonts w:hint="eastAsia"/>
          <w:color w:val="auto"/>
        </w:rPr>
        <w:t>表6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断后伸长率频数和频率分布表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200400" cy="1752600"/>
            <wp:effectExtent l="0" t="0" r="0" b="0"/>
            <wp:docPr id="39" name="图片 39" descr="1650949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50949937(1)"/>
                    <pic:cNvPicPr>
                      <a:picLocks noChangeAspect="1"/>
                    </pic:cNvPicPr>
                  </pic:nvPicPr>
                  <pic:blipFill>
                    <a:blip r:embed="rId23"/>
                    <a:stretch>
                      <a:fillRect/>
                    </a:stretch>
                  </pic:blipFill>
                  <pic:spPr>
                    <a:xfrm>
                      <a:off x="0" y="0"/>
                      <a:ext cx="3200400" cy="1752600"/>
                    </a:xfrm>
                    <a:prstGeom prst="rect">
                      <a:avLst/>
                    </a:prstGeom>
                  </pic:spPr>
                </pic:pic>
              </a:graphicData>
            </a:graphic>
          </wp:inline>
        </w:drawing>
      </w:r>
    </w:p>
    <w:p>
      <w:pPr>
        <w:jc w:val="center"/>
        <w:rPr>
          <w:rFonts w:hint="eastAsia"/>
          <w:color w:val="auto"/>
        </w:rPr>
      </w:pPr>
      <w:r>
        <w:rPr>
          <w:rFonts w:hint="eastAsia"/>
          <w:color w:val="auto"/>
        </w:rPr>
        <w:drawing>
          <wp:inline distT="0" distB="0" distL="114300" distR="114300">
            <wp:extent cx="3711575" cy="2147570"/>
            <wp:effectExtent l="0" t="0" r="6985" b="1270"/>
            <wp:docPr id="38" name="图片 38" descr="1650949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50949742(1)"/>
                    <pic:cNvPicPr>
                      <a:picLocks noChangeAspect="1"/>
                    </pic:cNvPicPr>
                  </pic:nvPicPr>
                  <pic:blipFill>
                    <a:blip r:embed="rId24"/>
                    <a:stretch>
                      <a:fillRect/>
                    </a:stretch>
                  </pic:blipFill>
                  <pic:spPr>
                    <a:xfrm>
                      <a:off x="0" y="0"/>
                      <a:ext cx="3711575" cy="2147570"/>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10</w:t>
      </w:r>
      <w:r>
        <w:rPr>
          <w:rFonts w:hint="eastAsia"/>
          <w:color w:val="auto"/>
        </w:rPr>
        <w:t xml:space="preserve">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断后伸长率频数直方图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w:t>
      </w:r>
      <w:r>
        <w:rPr>
          <w:rFonts w:hint="eastAsia"/>
          <w:color w:val="auto"/>
          <w:lang w:val="en-US" w:eastAsia="zh-CN"/>
        </w:rPr>
        <w:t>断后伸长率</w:t>
      </w:r>
      <w:r>
        <w:rPr>
          <w:rFonts w:hint="eastAsia"/>
          <w:color w:val="auto"/>
        </w:rPr>
        <w:t>频数和频率分布表及分布图的分析，可以看出，该牌号共收集到</w:t>
      </w:r>
      <w:r>
        <w:rPr>
          <w:rFonts w:hint="eastAsia"/>
          <w:color w:val="auto"/>
          <w:lang w:val="en-US" w:eastAsia="zh-CN"/>
        </w:rPr>
        <w:t>350</w:t>
      </w:r>
      <w:r>
        <w:rPr>
          <w:rFonts w:hint="eastAsia"/>
          <w:color w:val="auto"/>
        </w:rPr>
        <w:t>个有效数据，有</w:t>
      </w:r>
      <w:r>
        <w:rPr>
          <w:rFonts w:hint="eastAsia"/>
          <w:color w:val="auto"/>
          <w:lang w:val="en-US" w:eastAsia="zh-CN"/>
        </w:rPr>
        <w:t>6.28</w:t>
      </w:r>
      <w:r>
        <w:rPr>
          <w:rFonts w:hint="eastAsia"/>
          <w:color w:val="auto"/>
        </w:rPr>
        <w:t>%的数据是集中的分布在</w:t>
      </w:r>
      <w:r>
        <w:rPr>
          <w:rFonts w:hint="eastAsia"/>
          <w:color w:val="auto"/>
          <w:lang w:val="en-US" w:eastAsia="zh-CN"/>
        </w:rPr>
        <w:t>30</w:t>
      </w:r>
      <w:r>
        <w:rPr>
          <w:rFonts w:hint="eastAsia" w:ascii="宋体" w:hAnsi="宋体" w:eastAsia="宋体"/>
          <w:color w:val="auto"/>
        </w:rPr>
        <w:t>～</w:t>
      </w:r>
      <w:r>
        <w:rPr>
          <w:rFonts w:hint="eastAsia" w:eastAsia="宋体"/>
          <w:color w:val="auto"/>
          <w:lang w:val="en-US" w:eastAsia="zh-CN"/>
        </w:rPr>
        <w:t>36</w:t>
      </w:r>
      <w:r>
        <w:rPr>
          <w:rFonts w:hint="eastAsia"/>
          <w:color w:val="auto"/>
        </w:rPr>
        <w:t>之间，有</w:t>
      </w:r>
      <w:r>
        <w:rPr>
          <w:rFonts w:hint="eastAsia"/>
          <w:color w:val="auto"/>
          <w:lang w:val="en-US" w:eastAsia="zh-CN"/>
        </w:rPr>
        <w:t>93.14</w:t>
      </w:r>
      <w:r>
        <w:rPr>
          <w:rFonts w:hint="eastAsia"/>
          <w:color w:val="auto"/>
        </w:rPr>
        <w:t>%的数据分布在</w:t>
      </w:r>
      <w:r>
        <w:rPr>
          <w:rFonts w:hint="eastAsia"/>
          <w:color w:val="auto"/>
          <w:lang w:val="en-US" w:eastAsia="zh-CN"/>
        </w:rPr>
        <w:t>36</w:t>
      </w:r>
      <w:r>
        <w:rPr>
          <w:rFonts w:hint="eastAsia" w:ascii="宋体" w:hAnsi="宋体" w:eastAsia="宋体"/>
          <w:color w:val="auto"/>
        </w:rPr>
        <w:t>～</w:t>
      </w:r>
      <w:r>
        <w:rPr>
          <w:rFonts w:hint="eastAsia" w:ascii="宋体" w:hAnsi="宋体" w:eastAsia="宋体"/>
          <w:color w:val="auto"/>
          <w:lang w:val="en-US" w:eastAsia="zh-CN"/>
        </w:rPr>
        <w:t>48</w:t>
      </w:r>
      <w:r>
        <w:rPr>
          <w:rFonts w:hint="eastAsia" w:ascii="宋体" w:hAnsi="宋体" w:eastAsia="宋体"/>
          <w:color w:val="auto"/>
        </w:rPr>
        <w:t>之间，有</w:t>
      </w:r>
      <w:r>
        <w:rPr>
          <w:rFonts w:hint="eastAsia" w:ascii="宋体" w:hAnsi="宋体" w:eastAsia="宋体"/>
          <w:color w:val="auto"/>
          <w:lang w:val="en-US" w:eastAsia="zh-CN"/>
        </w:rPr>
        <w:t>0.57</w:t>
      </w:r>
      <w:r>
        <w:rPr>
          <w:rFonts w:hint="eastAsia" w:ascii="宋体" w:hAnsi="宋体" w:eastAsia="宋体"/>
          <w:color w:val="auto"/>
        </w:rPr>
        <w:t>%的数据分布在</w:t>
      </w:r>
      <w:r>
        <w:rPr>
          <w:rFonts w:hint="eastAsia" w:ascii="宋体" w:hAnsi="宋体" w:eastAsia="宋体"/>
          <w:color w:val="auto"/>
          <w:lang w:val="en-US" w:eastAsia="zh-CN"/>
        </w:rPr>
        <w:t>25</w:t>
      </w:r>
      <w:r>
        <w:rPr>
          <w:rFonts w:hint="eastAsia" w:ascii="宋体" w:hAnsi="宋体" w:eastAsia="宋体"/>
          <w:color w:val="auto"/>
        </w:rPr>
        <w:t>～</w:t>
      </w:r>
      <w:r>
        <w:rPr>
          <w:rFonts w:hint="eastAsia" w:ascii="宋体" w:hAnsi="宋体" w:eastAsia="宋体"/>
          <w:color w:val="auto"/>
          <w:lang w:val="en-US" w:eastAsia="zh-CN"/>
        </w:rPr>
        <w:t>30</w:t>
      </w:r>
      <w:r>
        <w:rPr>
          <w:rFonts w:hint="eastAsia" w:ascii="宋体" w:hAnsi="宋体" w:eastAsia="宋体"/>
          <w:color w:val="auto"/>
        </w:rPr>
        <w:t>之间，</w:t>
      </w:r>
      <w:r>
        <w:rPr>
          <w:rFonts w:hint="eastAsia" w:ascii="宋体" w:hAnsi="宋体" w:eastAsia="宋体"/>
          <w:color w:val="auto"/>
          <w:lang w:val="en-US" w:eastAsia="zh-CN"/>
        </w:rPr>
        <w:t>25</w:t>
      </w:r>
      <w:r>
        <w:rPr>
          <w:rFonts w:hint="eastAsia" w:ascii="宋体" w:hAnsi="宋体" w:eastAsia="宋体"/>
          <w:color w:val="auto"/>
        </w:rPr>
        <w:t>～</w:t>
      </w:r>
      <w:r>
        <w:rPr>
          <w:rFonts w:hint="eastAsia" w:ascii="宋体" w:hAnsi="宋体" w:eastAsia="宋体"/>
          <w:color w:val="auto"/>
          <w:lang w:val="en-US" w:eastAsia="zh-CN"/>
        </w:rPr>
        <w:t>30</w:t>
      </w:r>
      <w:r>
        <w:rPr>
          <w:rFonts w:hint="eastAsia" w:ascii="宋体" w:hAnsi="宋体" w:eastAsia="宋体"/>
          <w:color w:val="auto"/>
        </w:rPr>
        <w:t>之间</w:t>
      </w:r>
      <w:r>
        <w:rPr>
          <w:rFonts w:hint="eastAsia" w:ascii="宋体" w:hAnsi="宋体" w:eastAsia="宋体"/>
          <w:color w:val="auto"/>
          <w:lang w:val="en-US" w:eastAsia="zh-CN"/>
        </w:rPr>
        <w:t>的数据是小概率事件，可以忽略不计，</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版中该牌号断后伸长率为≥</w:t>
      </w:r>
      <w:r>
        <w:rPr>
          <w:rFonts w:hint="eastAsia" w:ascii="宋体" w:hAnsi="宋体" w:eastAsia="宋体"/>
          <w:color w:val="auto"/>
          <w:lang w:val="en-US" w:eastAsia="zh-CN"/>
        </w:rPr>
        <w:t>25</w:t>
      </w:r>
      <w:r>
        <w:rPr>
          <w:rFonts w:hint="eastAsia"/>
          <w:color w:val="auto"/>
        </w:rPr>
        <w:t>%</w:t>
      </w:r>
      <w:r>
        <w:rPr>
          <w:rFonts w:hint="eastAsia" w:ascii="宋体" w:hAnsi="宋体" w:eastAsia="宋体"/>
          <w:color w:val="auto"/>
        </w:rPr>
        <w:t>，经对比分析，本版断后伸长率</w:t>
      </w:r>
      <w:r>
        <w:rPr>
          <w:rFonts w:hint="eastAsia" w:ascii="宋体" w:hAnsi="宋体" w:eastAsia="宋体"/>
          <w:color w:val="auto"/>
          <w:lang w:val="en-US" w:eastAsia="zh-CN"/>
        </w:rPr>
        <w:t>调整</w:t>
      </w:r>
      <w:r>
        <w:rPr>
          <w:rFonts w:hint="eastAsia" w:ascii="宋体" w:hAnsi="宋体" w:eastAsia="宋体"/>
          <w:color w:val="auto"/>
        </w:rPr>
        <w:t>为≥</w:t>
      </w:r>
      <w:r>
        <w:rPr>
          <w:rFonts w:hint="eastAsia" w:ascii="宋体" w:hAnsi="宋体" w:eastAsia="宋体"/>
          <w:color w:val="auto"/>
          <w:lang w:val="en-US" w:eastAsia="zh-CN"/>
        </w:rPr>
        <w:t>30</w:t>
      </w:r>
      <w:r>
        <w:rPr>
          <w:rFonts w:hint="eastAsia"/>
          <w:color w:val="auto"/>
        </w:rPr>
        <w:t>%</w:t>
      </w:r>
      <w:r>
        <w:rPr>
          <w:rFonts w:hint="eastAsia" w:ascii="宋体" w:hAnsi="宋体" w:eastAsia="宋体"/>
          <w:color w:val="auto"/>
        </w:rPr>
        <w:t>。</w:t>
      </w:r>
    </w:p>
    <w:p>
      <w:pPr>
        <w:numPr>
          <w:ilvl w:val="0"/>
          <w:numId w:val="9"/>
        </w:numPr>
        <w:tabs>
          <w:tab w:val="left" w:pos="7470"/>
        </w:tabs>
        <w:ind w:left="0" w:leftChars="0" w:firstLine="420" w:firstLineChars="200"/>
        <w:rPr>
          <w:color w:val="auto"/>
        </w:rPr>
      </w:pPr>
      <w:r>
        <w:rPr>
          <w:rFonts w:hint="eastAsia"/>
          <w:color w:val="auto"/>
        </w:rPr>
        <w:t>维氏硬度</w:t>
      </w:r>
    </w:p>
    <w:p>
      <w:pPr>
        <w:ind w:firstLine="420" w:firstLineChars="200"/>
        <w:rPr>
          <w:rFonts w:hint="eastAsia" w:ascii="宋体" w:hAnsi="宋体" w:eastAsia="宋体"/>
          <w:color w:val="auto"/>
          <w:lang w:val="en-US" w:eastAsia="zh-CN"/>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 xml:space="preserve"> 维氏硬度</w:t>
      </w:r>
      <w:r>
        <w:rPr>
          <w:rFonts w:hint="eastAsia"/>
          <w:color w:val="auto"/>
          <w:lang w:val="en-US" w:eastAsia="zh-CN"/>
        </w:rPr>
        <w:t>调研数据看，本次数据共收集到321个，较均匀的分布在70</w:t>
      </w:r>
      <w:r>
        <w:rPr>
          <w:rFonts w:hint="eastAsia" w:ascii="宋体" w:hAnsi="宋体" w:eastAsia="宋体"/>
          <w:color w:val="auto"/>
        </w:rPr>
        <w:t>～</w:t>
      </w:r>
      <w:r>
        <w:rPr>
          <w:rFonts w:hint="eastAsia"/>
          <w:color w:val="auto"/>
          <w:lang w:val="en-US" w:eastAsia="zh-CN"/>
        </w:rPr>
        <w:t>90之间，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版中维氏硬度规定</w:t>
      </w:r>
      <w:r>
        <w:rPr>
          <w:rFonts w:hint="eastAsia" w:ascii="宋体" w:hAnsi="宋体" w:eastAsia="宋体"/>
          <w:color w:val="auto"/>
          <w:lang w:val="en-US" w:eastAsia="zh-CN"/>
        </w:rPr>
        <w:t>范围为70</w:t>
      </w:r>
      <w:r>
        <w:rPr>
          <w:rFonts w:hint="eastAsia" w:ascii="宋体" w:hAnsi="宋体" w:eastAsia="宋体"/>
          <w:color w:val="auto"/>
          <w:lang w:val="en-US" w:eastAsia="zh-CN"/>
        </w:rPr>
        <w:t>HV</w:t>
      </w:r>
      <w:r>
        <w:rPr>
          <w:rFonts w:hint="eastAsia" w:ascii="宋体" w:hAnsi="宋体" w:eastAsia="宋体"/>
          <w:color w:val="auto"/>
        </w:rPr>
        <w:t>～</w:t>
      </w:r>
      <w:r>
        <w:rPr>
          <w:rFonts w:hint="eastAsia" w:ascii="宋体" w:hAnsi="宋体" w:eastAsia="宋体"/>
          <w:color w:val="auto"/>
          <w:lang w:val="en-US" w:eastAsia="zh-CN"/>
        </w:rPr>
        <w:t>105</w:t>
      </w:r>
      <w:r>
        <w:rPr>
          <w:rFonts w:hint="eastAsia" w:ascii="宋体" w:hAnsi="宋体" w:eastAsia="宋体"/>
          <w:color w:val="auto"/>
          <w:lang w:val="en-US" w:eastAsia="zh-CN"/>
        </w:rPr>
        <w:t>HV</w:t>
      </w:r>
      <w:r>
        <w:rPr>
          <w:rFonts w:hint="eastAsia" w:ascii="宋体" w:hAnsi="宋体" w:eastAsia="宋体"/>
          <w:color w:val="auto"/>
        </w:rPr>
        <w:t>，经对比分析，本版指标</w:t>
      </w:r>
      <w:r>
        <w:rPr>
          <w:rFonts w:hint="eastAsia" w:ascii="宋体" w:hAnsi="宋体" w:eastAsia="宋体"/>
          <w:color w:val="auto"/>
          <w:lang w:val="en-US" w:eastAsia="zh-CN"/>
        </w:rPr>
        <w:t>维持不变。</w:t>
      </w:r>
    </w:p>
    <w:p>
      <w:pPr>
        <w:ind w:firstLine="422" w:firstLineChars="200"/>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2.2 </w:t>
      </w:r>
      <w:r>
        <w:rPr>
          <w:rFonts w:hint="eastAsia"/>
          <w:b/>
          <w:bCs/>
          <w:color w:val="auto"/>
        </w:rPr>
        <w:t>O</w:t>
      </w:r>
      <w:r>
        <w:rPr>
          <w:rFonts w:hint="eastAsia" w:asciiTheme="minorEastAsia" w:hAnsiTheme="minorEastAsia"/>
          <w:b/>
          <w:bCs/>
          <w:color w:val="auto"/>
          <w:szCs w:val="21"/>
          <w:lang w:val="en-US" w:eastAsia="zh-CN"/>
        </w:rPr>
        <w:t>82</w:t>
      </w:r>
    </w:p>
    <w:p>
      <w:pPr>
        <w:ind w:firstLine="420" w:firstLineChars="200"/>
        <w:rPr>
          <w:color w:val="auto"/>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抗拉强度</w:t>
      </w:r>
    </w:p>
    <w:p>
      <w:pPr>
        <w:ind w:firstLine="420" w:firstLineChars="200"/>
        <w:rPr>
          <w:rFonts w:hint="eastAsia"/>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w:t>
      </w:r>
      <w:r>
        <w:rPr>
          <w:rFonts w:hint="eastAsia"/>
          <w:color w:val="auto"/>
          <w:lang w:val="en-US" w:eastAsia="zh-CN"/>
        </w:rPr>
        <w:t>82</w:t>
      </w:r>
      <w:r>
        <w:rPr>
          <w:rFonts w:hint="eastAsia"/>
          <w:color w:val="auto"/>
        </w:rPr>
        <w:t xml:space="preserve"> 抗拉强度</w:t>
      </w:r>
      <w:r>
        <w:rPr>
          <w:rFonts w:hint="eastAsia"/>
          <w:color w:val="auto"/>
          <w:lang w:val="en-US" w:eastAsia="zh-CN"/>
        </w:rPr>
        <w:t>调研数据</w:t>
      </w:r>
      <w:r>
        <w:rPr>
          <w:rFonts w:hint="eastAsia"/>
          <w:color w:val="auto"/>
        </w:rPr>
        <w:t>可以看出，该牌号共收集到</w:t>
      </w:r>
      <w:r>
        <w:rPr>
          <w:rFonts w:hint="eastAsia"/>
          <w:color w:val="auto"/>
          <w:lang w:val="en-US" w:eastAsia="zh-CN"/>
        </w:rPr>
        <w:t>50</w:t>
      </w:r>
      <w:r>
        <w:rPr>
          <w:rFonts w:hint="eastAsia"/>
          <w:color w:val="auto"/>
        </w:rPr>
        <w:t>个数据，</w:t>
      </w:r>
      <w:r>
        <w:rPr>
          <w:rFonts w:hint="eastAsia"/>
          <w:color w:val="auto"/>
          <w:lang w:val="en-US" w:eastAsia="zh-CN"/>
        </w:rPr>
        <w:t>均匀分布在400</w:t>
      </w:r>
      <w:r>
        <w:rPr>
          <w:rFonts w:hint="eastAsia" w:ascii="宋体" w:hAnsi="宋体" w:eastAsia="宋体"/>
          <w:color w:val="auto"/>
        </w:rPr>
        <w:t>～</w:t>
      </w:r>
      <w:r>
        <w:rPr>
          <w:rFonts w:hint="eastAsia" w:ascii="宋体" w:hAnsi="宋体" w:eastAsia="宋体"/>
          <w:color w:val="auto"/>
          <w:lang w:val="en-US" w:eastAsia="zh-CN"/>
        </w:rPr>
        <w:t>470之间，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w:t>
      </w:r>
      <w:r>
        <w:rPr>
          <w:rFonts w:hint="eastAsia" w:eastAsia="宋体"/>
          <w:color w:val="auto"/>
          <w:lang w:val="en-US" w:eastAsia="zh-CN"/>
        </w:rPr>
        <w:t>抗拉</w:t>
      </w:r>
      <w:r>
        <w:rPr>
          <w:rFonts w:hint="eastAsia"/>
          <w:color w:val="auto"/>
        </w:rPr>
        <w:t>强度</w:t>
      </w:r>
      <w:r>
        <w:rPr>
          <w:rFonts w:hint="eastAsia" w:ascii="宋体" w:hAnsi="宋体" w:eastAsia="宋体"/>
          <w:color w:val="auto"/>
        </w:rPr>
        <w:t>为≥</w:t>
      </w:r>
      <w:r>
        <w:rPr>
          <w:rFonts w:hint="eastAsia" w:ascii="宋体" w:hAnsi="宋体" w:eastAsia="宋体"/>
          <w:color w:val="auto"/>
          <w:lang w:val="en-US" w:eastAsia="zh-CN"/>
        </w:rPr>
        <w:t>31</w:t>
      </w:r>
      <w:r>
        <w:rPr>
          <w:rFonts w:hint="eastAsia" w:ascii="宋体" w:hAnsi="宋体" w:eastAsia="宋体"/>
          <w:color w:val="auto"/>
        </w:rPr>
        <w:t>0，经对比分析，</w:t>
      </w:r>
      <w:r>
        <w:rPr>
          <w:rFonts w:hint="eastAsia" w:ascii="宋体" w:hAnsi="宋体" w:eastAsia="宋体"/>
          <w:color w:val="auto"/>
          <w:lang w:val="en-US" w:eastAsia="zh-CN"/>
        </w:rPr>
        <w:t>若本版直接修改为</w:t>
      </w:r>
      <w:r>
        <w:rPr>
          <w:rFonts w:hint="eastAsia" w:ascii="宋体" w:hAnsi="宋体" w:eastAsia="宋体"/>
          <w:color w:val="auto"/>
        </w:rPr>
        <w:t>≥</w:t>
      </w:r>
      <w:r>
        <w:rPr>
          <w:rFonts w:hint="eastAsia" w:ascii="宋体" w:hAnsi="宋体" w:eastAsia="宋体"/>
          <w:color w:val="auto"/>
          <w:lang w:val="en-US" w:eastAsia="zh-CN"/>
        </w:rPr>
        <w:t>40</w:t>
      </w:r>
      <w:r>
        <w:rPr>
          <w:rFonts w:hint="eastAsia" w:ascii="宋体" w:hAnsi="宋体" w:eastAsia="宋体"/>
          <w:color w:val="auto"/>
        </w:rPr>
        <w:t>0</w:t>
      </w:r>
      <w:r>
        <w:rPr>
          <w:rFonts w:hint="eastAsia" w:ascii="宋体" w:hAnsi="宋体" w:eastAsia="宋体"/>
          <w:color w:val="auto"/>
        </w:rPr>
        <w:t>Mpa</w:t>
      </w:r>
      <w:r>
        <w:rPr>
          <w:rFonts w:hint="eastAsia" w:ascii="宋体" w:hAnsi="宋体" w:eastAsia="宋体"/>
          <w:color w:val="auto"/>
          <w:lang w:eastAsia="zh-CN"/>
        </w:rPr>
        <w:t>，</w:t>
      </w:r>
      <w:r>
        <w:rPr>
          <w:rFonts w:hint="eastAsia" w:ascii="宋体" w:hAnsi="宋体" w:eastAsia="宋体"/>
          <w:color w:val="auto"/>
          <w:lang w:val="en-US" w:eastAsia="zh-CN"/>
        </w:rPr>
        <w:t>调整幅度太大，稳妥起见，本文件参照GB/T 8890-2015《热交换器用铜合金无缝管》中的规定，将</w:t>
      </w:r>
      <w:r>
        <w:rPr>
          <w:rFonts w:hint="eastAsia" w:ascii="宋体" w:hAnsi="宋体" w:eastAsia="宋体"/>
          <w:color w:val="auto"/>
        </w:rPr>
        <w:t>本版</w:t>
      </w:r>
      <w:r>
        <w:rPr>
          <w:rFonts w:hint="eastAsia" w:ascii="宋体" w:hAnsi="宋体" w:eastAsia="宋体"/>
          <w:color w:val="auto"/>
          <w:lang w:val="en-US" w:eastAsia="zh-CN"/>
        </w:rPr>
        <w:t>调整为</w:t>
      </w:r>
      <w:r>
        <w:rPr>
          <w:rFonts w:hint="eastAsia" w:ascii="宋体" w:hAnsi="宋体" w:eastAsia="宋体"/>
          <w:color w:val="auto"/>
        </w:rPr>
        <w:t>≥</w:t>
      </w:r>
      <w:r>
        <w:rPr>
          <w:rFonts w:hint="eastAsia" w:ascii="宋体" w:hAnsi="宋体" w:eastAsia="宋体"/>
          <w:color w:val="auto"/>
          <w:lang w:val="en-US" w:eastAsia="zh-CN"/>
        </w:rPr>
        <w:t>345</w:t>
      </w:r>
      <w:r>
        <w:rPr>
          <w:rFonts w:hint="eastAsia" w:ascii="宋体" w:hAnsi="宋体" w:eastAsia="宋体"/>
          <w:color w:val="auto"/>
        </w:rPr>
        <w:t>Mpa</w:t>
      </w:r>
      <w:r>
        <w:rPr>
          <w:rFonts w:hint="eastAsia" w:ascii="宋体" w:hAnsi="宋体" w:eastAsia="宋体"/>
          <w:color w:val="auto"/>
        </w:rPr>
        <w:t>。</w:t>
      </w:r>
    </w:p>
    <w:p>
      <w:pPr>
        <w:numPr>
          <w:ilvl w:val="0"/>
          <w:numId w:val="0"/>
        </w:numPr>
        <w:tabs>
          <w:tab w:val="left" w:pos="7470"/>
        </w:tabs>
        <w:ind w:left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规定非比例延伸强度</w:t>
      </w:r>
    </w:p>
    <w:p>
      <w:pPr>
        <w:ind w:firstLine="420" w:firstLineChars="200"/>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本次没有调研到</w:t>
      </w:r>
      <w:r>
        <w:rPr>
          <w:rFonts w:hint="eastAsia" w:asciiTheme="minorEastAsia" w:hAnsiTheme="minorEastAsia"/>
          <w:color w:val="auto"/>
          <w:szCs w:val="21"/>
        </w:rPr>
        <w:t>规定非比例延伸强度</w:t>
      </w:r>
      <w:r>
        <w:rPr>
          <w:rFonts w:hint="eastAsia" w:asciiTheme="minorEastAsia" w:hAnsiTheme="minorEastAsia"/>
          <w:color w:val="auto"/>
          <w:szCs w:val="21"/>
          <w:lang w:val="en-US" w:eastAsia="zh-CN"/>
        </w:rPr>
        <w:t>数据，参照抗拉强度的提升幅度，将</w:t>
      </w:r>
      <w:r>
        <w:rPr>
          <w:rFonts w:hint="eastAsia" w:asciiTheme="minorEastAsia" w:hAnsiTheme="minorEastAsia"/>
          <w:color w:val="auto"/>
          <w:szCs w:val="21"/>
        </w:rPr>
        <w:t>规定非比例延伸强度</w:t>
      </w:r>
      <w:r>
        <w:rPr>
          <w:rFonts w:hint="eastAsia" w:asciiTheme="minorEastAsia" w:hAnsiTheme="minorEastAsia"/>
          <w:color w:val="auto"/>
          <w:szCs w:val="21"/>
          <w:lang w:val="en-US" w:eastAsia="zh-CN"/>
        </w:rPr>
        <w:t>由</w:t>
      </w:r>
    </w:p>
    <w:p>
      <w:pPr>
        <w:rPr>
          <w:rFonts w:hint="default" w:asciiTheme="minorEastAsia" w:hAnsiTheme="minorEastAsia"/>
          <w:color w:val="auto"/>
          <w:szCs w:val="21"/>
          <w:lang w:val="en-US" w:eastAsia="zh-CN"/>
        </w:rPr>
      </w:pPr>
      <w:r>
        <w:rPr>
          <w:rFonts w:hint="eastAsia" w:asciiTheme="minorEastAsia" w:hAnsiTheme="minorEastAsia"/>
          <w:color w:val="auto"/>
          <w:szCs w:val="21"/>
          <w:lang w:val="en-US" w:eastAsia="zh-CN"/>
        </w:rPr>
        <w:t>2009版的</w:t>
      </w:r>
      <w:r>
        <w:rPr>
          <w:rFonts w:hint="eastAsia" w:asciiTheme="minorEastAsia" w:hAnsiTheme="minorEastAsia"/>
          <w:color w:val="auto"/>
          <w:szCs w:val="21"/>
        </w:rPr>
        <w:t>≥</w:t>
      </w:r>
      <w:r>
        <w:rPr>
          <w:rFonts w:hint="eastAsia" w:asciiTheme="minorEastAsia" w:hAnsiTheme="minorEastAsia"/>
          <w:color w:val="auto"/>
          <w:szCs w:val="21"/>
          <w:lang w:val="en-US" w:eastAsia="zh-CN"/>
        </w:rPr>
        <w:t>105</w:t>
      </w:r>
      <w:r>
        <w:rPr>
          <w:rFonts w:hint="eastAsia" w:ascii="宋体" w:hAnsi="宋体" w:eastAsia="宋体"/>
          <w:color w:val="auto"/>
        </w:rPr>
        <w:t>Mpa</w:t>
      </w:r>
      <w:r>
        <w:rPr>
          <w:rFonts w:hint="eastAsia" w:asciiTheme="minorEastAsia" w:hAnsiTheme="minorEastAsia"/>
          <w:color w:val="auto"/>
          <w:szCs w:val="21"/>
          <w:lang w:val="en-US" w:eastAsia="zh-CN"/>
        </w:rPr>
        <w:t>调整为</w:t>
      </w:r>
      <w:r>
        <w:rPr>
          <w:rFonts w:hint="eastAsia" w:asciiTheme="minorEastAsia" w:hAnsiTheme="minorEastAsia"/>
          <w:color w:val="auto"/>
          <w:szCs w:val="21"/>
        </w:rPr>
        <w:t>≥</w:t>
      </w:r>
      <w:r>
        <w:rPr>
          <w:rFonts w:hint="eastAsia" w:asciiTheme="minorEastAsia" w:hAnsiTheme="minorEastAsia"/>
          <w:color w:val="auto"/>
          <w:szCs w:val="21"/>
          <w:lang w:val="en-US" w:eastAsia="zh-CN"/>
        </w:rPr>
        <w:t>140</w:t>
      </w:r>
      <w:r>
        <w:rPr>
          <w:rFonts w:hint="eastAsia" w:ascii="宋体" w:hAnsi="宋体" w:eastAsia="宋体"/>
          <w:color w:val="auto"/>
        </w:rPr>
        <w:t>Mpa</w:t>
      </w:r>
      <w:r>
        <w:rPr>
          <w:rFonts w:hint="eastAsia" w:asciiTheme="minorEastAsia" w:hAnsiTheme="minorEastAsia"/>
          <w:color w:val="auto"/>
          <w:szCs w:val="21"/>
          <w:lang w:val="en-US" w:eastAsia="zh-CN"/>
        </w:rPr>
        <w:t>。</w:t>
      </w:r>
    </w:p>
    <w:p>
      <w:pPr>
        <w:numPr>
          <w:ilvl w:val="0"/>
          <w:numId w:val="8"/>
        </w:numPr>
        <w:tabs>
          <w:tab w:val="left" w:pos="7470"/>
        </w:tabs>
        <w:ind w:left="0" w:leftChars="0" w:firstLine="420" w:firstLineChars="200"/>
        <w:rPr>
          <w:rFonts w:hint="eastAsia"/>
          <w:color w:val="auto"/>
        </w:rPr>
      </w:pPr>
      <w:r>
        <w:rPr>
          <w:rFonts w:hint="eastAsia"/>
          <w:color w:val="auto"/>
        </w:rPr>
        <w:t>断后伸长率</w:t>
      </w:r>
    </w:p>
    <w:p>
      <w:pPr>
        <w:ind w:firstLine="420" w:firstLineChars="200"/>
        <w:rPr>
          <w:rFonts w:hint="default"/>
          <w:color w:val="auto"/>
          <w:lang w:val="en-US"/>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w:t>
      </w:r>
      <w:r>
        <w:rPr>
          <w:rFonts w:hint="eastAsia"/>
          <w:color w:val="auto"/>
        </w:rPr>
        <w:t xml:space="preserve"> O</w:t>
      </w:r>
      <w:r>
        <w:rPr>
          <w:rFonts w:hint="eastAsia"/>
          <w:color w:val="auto"/>
          <w:lang w:val="en-US" w:eastAsia="zh-CN"/>
        </w:rPr>
        <w:t>82</w:t>
      </w:r>
      <w:r>
        <w:rPr>
          <w:rFonts w:hint="eastAsia"/>
          <w:color w:val="auto"/>
        </w:rPr>
        <w:t xml:space="preserve"> </w:t>
      </w:r>
      <w:r>
        <w:rPr>
          <w:rFonts w:hint="eastAsia"/>
          <w:color w:val="auto"/>
          <w:lang w:val="en-US" w:eastAsia="zh-CN"/>
        </w:rPr>
        <w:t>断后伸长率调研数据</w:t>
      </w:r>
      <w:r>
        <w:rPr>
          <w:rFonts w:hint="eastAsia"/>
          <w:color w:val="auto"/>
        </w:rPr>
        <w:t>可以看出，该牌号共收集到</w:t>
      </w:r>
      <w:r>
        <w:rPr>
          <w:rFonts w:hint="eastAsia"/>
          <w:color w:val="auto"/>
          <w:lang w:val="en-US" w:eastAsia="zh-CN"/>
        </w:rPr>
        <w:t>50</w:t>
      </w:r>
      <w:r>
        <w:rPr>
          <w:rFonts w:hint="eastAsia"/>
          <w:color w:val="auto"/>
        </w:rPr>
        <w:t>个数据，</w:t>
      </w:r>
      <w:r>
        <w:rPr>
          <w:rFonts w:hint="eastAsia"/>
          <w:color w:val="auto"/>
          <w:lang w:val="en-US" w:eastAsia="zh-CN"/>
        </w:rPr>
        <w:t>均匀分布在12</w:t>
      </w:r>
      <w:r>
        <w:rPr>
          <w:rFonts w:hint="eastAsia" w:ascii="宋体" w:hAnsi="宋体" w:eastAsia="宋体"/>
          <w:color w:val="auto"/>
        </w:rPr>
        <w:t>～</w:t>
      </w:r>
      <w:r>
        <w:rPr>
          <w:rFonts w:hint="eastAsia" w:ascii="宋体" w:hAnsi="宋体" w:eastAsia="宋体"/>
          <w:color w:val="auto"/>
          <w:lang w:val="en-US" w:eastAsia="zh-CN"/>
        </w:rPr>
        <w:t>20之间，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w:t>
      </w:r>
      <w:r>
        <w:rPr>
          <w:rFonts w:hint="eastAsia" w:eastAsia="宋体"/>
          <w:color w:val="auto"/>
          <w:lang w:val="en-US" w:eastAsia="zh-CN"/>
        </w:rPr>
        <w:t>断后伸长率</w:t>
      </w:r>
      <w:r>
        <w:rPr>
          <w:rFonts w:hint="eastAsia" w:ascii="宋体" w:hAnsi="宋体" w:eastAsia="宋体"/>
          <w:color w:val="auto"/>
        </w:rPr>
        <w:t>为≥</w:t>
      </w:r>
      <w:r>
        <w:rPr>
          <w:rFonts w:hint="eastAsia" w:ascii="宋体" w:hAnsi="宋体" w:eastAsia="宋体"/>
          <w:color w:val="auto"/>
          <w:lang w:val="en-US" w:eastAsia="zh-CN"/>
        </w:rPr>
        <w:t>12</w:t>
      </w:r>
      <w:r>
        <w:rPr>
          <w:rFonts w:hint="eastAsia" w:ascii="宋体" w:hAnsi="宋体" w:eastAsia="宋体"/>
          <w:color w:val="auto"/>
        </w:rPr>
        <w:t>，经对比分析，本版</w:t>
      </w:r>
      <w:r>
        <w:rPr>
          <w:rFonts w:hint="eastAsia" w:ascii="宋体" w:hAnsi="宋体" w:eastAsia="宋体"/>
          <w:color w:val="auto"/>
          <w:lang w:val="en-US" w:eastAsia="zh-CN"/>
        </w:rPr>
        <w:t>将维持不变。</w:t>
      </w:r>
    </w:p>
    <w:p>
      <w:pPr>
        <w:numPr>
          <w:ilvl w:val="0"/>
          <w:numId w:val="0"/>
        </w:numPr>
        <w:tabs>
          <w:tab w:val="left" w:pos="7470"/>
        </w:tabs>
        <w:ind w:leftChars="20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维氏硬度</w:t>
      </w:r>
    </w:p>
    <w:p>
      <w:pPr>
        <w:ind w:firstLine="420" w:firstLineChars="200"/>
        <w:rPr>
          <w:rFonts w:hint="eastAsia"/>
          <w:color w:val="auto"/>
          <w:lang w:val="en-US" w:eastAsia="zh-CN"/>
        </w:rPr>
      </w:pPr>
      <w:r>
        <w:rPr>
          <w:rFonts w:hint="eastAsia" w:asciiTheme="minorEastAsia" w:hAnsiTheme="minorEastAsia"/>
          <w:color w:val="auto"/>
          <w:szCs w:val="21"/>
          <w:lang w:val="en-US" w:eastAsia="zh-CN"/>
        </w:rPr>
        <w:t>本次没有调研到维氏硬度数据，本版维持2009版的数据不变。</w:t>
      </w:r>
    </w:p>
    <w:p>
      <w:pPr>
        <w:ind w:firstLine="422" w:firstLineChars="200"/>
        <w:rPr>
          <w:rFonts w:hint="eastAsia"/>
          <w:b/>
          <w:bCs/>
          <w:color w:val="auto"/>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2.3 </w:t>
      </w:r>
      <w:r>
        <w:rPr>
          <w:rFonts w:hint="eastAsia"/>
          <w:b/>
          <w:bCs/>
          <w:color w:val="auto"/>
          <w:lang w:val="en-US" w:eastAsia="zh-CN"/>
        </w:rPr>
        <w:t>H80</w:t>
      </w:r>
    </w:p>
    <w:p>
      <w:pPr>
        <w:pStyle w:val="2"/>
        <w:ind w:firstLine="420"/>
        <w:rPr>
          <w:rFonts w:hint="eastAsia"/>
          <w:color w:val="auto"/>
          <w:lang w:val="en-US" w:eastAsia="zh-CN"/>
        </w:rPr>
      </w:pPr>
      <w:r>
        <w:rPr>
          <w:rFonts w:hint="eastAsia"/>
          <w:b w:val="0"/>
          <w:bCs w:val="0"/>
          <w:color w:val="auto"/>
          <w:lang w:val="en-US" w:eastAsia="zh-CN"/>
        </w:rPr>
        <w:t>本次调研没有调研到</w:t>
      </w:r>
      <w:r>
        <w:rPr>
          <w:rFonts w:hint="eastAsia" w:asciiTheme="minorEastAsia" w:hAnsiTheme="minorEastAsia"/>
          <w:b w:val="0"/>
          <w:bCs w:val="0"/>
          <w:color w:val="auto"/>
          <w:szCs w:val="21"/>
          <w:lang w:val="en-US" w:eastAsia="zh-CN"/>
        </w:rPr>
        <w:t>BF</w:t>
      </w:r>
      <w:r>
        <w:rPr>
          <w:rFonts w:hint="eastAsia" w:asciiTheme="minorEastAsia" w:hAnsiTheme="minorEastAsia"/>
          <w:color w:val="auto"/>
          <w:szCs w:val="21"/>
          <w:lang w:val="en-US" w:eastAsia="zh-CN"/>
        </w:rPr>
        <w:t>e10-1-1</w:t>
      </w:r>
      <w:r>
        <w:rPr>
          <w:rFonts w:hint="eastAsia"/>
          <w:color w:val="auto"/>
        </w:rPr>
        <w:t xml:space="preserve"> </w:t>
      </w:r>
      <w:r>
        <w:rPr>
          <w:rFonts w:hint="eastAsia"/>
          <w:color w:val="auto"/>
          <w:lang w:val="en-US" w:eastAsia="zh-CN"/>
        </w:rPr>
        <w:t>H80的数据，所以本次修订仍维持原有数据不变。</w:t>
      </w:r>
    </w:p>
    <w:p>
      <w:pPr>
        <w:ind w:firstLine="422" w:firstLineChars="200"/>
        <w:rPr>
          <w:rFonts w:hint="eastAsia"/>
          <w:b/>
          <w:bCs/>
          <w:color w:val="auto"/>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2.4 </w:t>
      </w:r>
      <w:r>
        <w:rPr>
          <w:rFonts w:hint="eastAsia"/>
          <w:b/>
          <w:bCs/>
          <w:color w:val="auto"/>
          <w:lang w:val="en-US" w:eastAsia="zh-CN"/>
        </w:rPr>
        <w:t>H55</w:t>
      </w:r>
    </w:p>
    <w:p>
      <w:pPr>
        <w:pStyle w:val="2"/>
        <w:ind w:firstLine="420"/>
        <w:rPr>
          <w:rFonts w:hint="eastAsia"/>
          <w:b w:val="0"/>
          <w:bCs w:val="0"/>
          <w:color w:val="auto"/>
          <w:lang w:val="en-US" w:eastAsia="zh-CN"/>
        </w:rPr>
      </w:pPr>
      <w:r>
        <w:rPr>
          <w:rFonts w:hint="eastAsia"/>
          <w:b w:val="0"/>
          <w:bCs w:val="0"/>
          <w:color w:val="auto"/>
          <w:lang w:val="en-US" w:eastAsia="zh-CN"/>
        </w:rPr>
        <w:t>本次调研到的H55状态的数据较少，主要数据如下：</w:t>
      </w:r>
    </w:p>
    <w:tbl>
      <w:tblPr>
        <w:tblStyle w:val="11"/>
        <w:tblW w:w="8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51"/>
        <w:gridCol w:w="742"/>
        <w:gridCol w:w="1354"/>
        <w:gridCol w:w="1176"/>
        <w:gridCol w:w="1260"/>
        <w:gridCol w:w="1104"/>
        <w:gridCol w:w="76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序号</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牌号</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状态</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规格</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抗拉强度</w:t>
            </w:r>
            <w:r>
              <w:rPr>
                <w:rFonts w:hint="default" w:ascii="Times New Roman" w:hAnsi="Times New Roman" w:eastAsia="宋体" w:cs="Times New Roman"/>
                <w:i w:val="0"/>
                <w:iCs w:val="0"/>
                <w:color w:val="auto"/>
                <w:kern w:val="0"/>
                <w:sz w:val="22"/>
                <w:szCs w:val="22"/>
                <w:u w:val="none"/>
                <w:lang w:val="en-US" w:eastAsia="zh-CN" w:bidi="ar"/>
              </w:rPr>
              <w:t>Rm/Mpa</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规定塑性延伸强度</w:t>
            </w:r>
            <w:r>
              <w:rPr>
                <w:rFonts w:hint="default" w:ascii="Times New Roman" w:hAnsi="Times New Roman" w:eastAsia="宋体" w:cs="Times New Roman"/>
                <w:i w:val="0"/>
                <w:iCs w:val="0"/>
                <w:color w:val="auto"/>
                <w:kern w:val="0"/>
                <w:sz w:val="22"/>
                <w:szCs w:val="22"/>
                <w:u w:val="none"/>
                <w:lang w:val="en-US" w:eastAsia="zh-CN" w:bidi="ar"/>
              </w:rPr>
              <w:t>Rp0.2/Mpa</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断后伸长率</w:t>
            </w:r>
            <w:r>
              <w:rPr>
                <w:rFonts w:hint="default" w:ascii="Times New Roman" w:hAnsi="Times New Roman" w:eastAsia="宋体" w:cs="Times New Roman"/>
                <w:i w:val="0"/>
                <w:iCs w:val="0"/>
                <w:color w:val="auto"/>
                <w:kern w:val="0"/>
                <w:sz w:val="22"/>
                <w:szCs w:val="22"/>
                <w:u w:val="none"/>
                <w:lang w:val="en-US" w:eastAsia="zh-CN" w:bidi="ar"/>
              </w:rPr>
              <w:t>A/%</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维氏硬度</w:t>
            </w:r>
            <w:r>
              <w:rPr>
                <w:rFonts w:hint="default" w:ascii="Times New Roman" w:hAnsi="Times New Roman" w:eastAsia="宋体" w:cs="Times New Roman"/>
                <w:i w:val="0"/>
                <w:iCs w:val="0"/>
                <w:color w:val="auto"/>
                <w:kern w:val="0"/>
                <w:sz w:val="22"/>
                <w:szCs w:val="22"/>
                <w:u w:val="none"/>
                <w:lang w:val="en-US" w:eastAsia="zh-CN" w:bidi="ar"/>
              </w:rPr>
              <w:t>HV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最小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74"/>
                <w:color w:val="auto"/>
                <w:lang w:val="en-US" w:eastAsia="zh-CN" w:bidi="ar"/>
              </w:rPr>
              <w:t>最大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10*0.6*524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10*0.6*524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10*0.6*524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10*0.6*524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28</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27.5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377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31</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29.5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BFe10-1-1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H55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9*0.6*608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19.5</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default" w:ascii="Times New Roman" w:hAnsi="Times New Roman" w:eastAsia="宋体" w:cs="Times New Roman"/>
                <w:i w:val="0"/>
                <w:iCs w:val="0"/>
                <w:color w:val="auto"/>
                <w:sz w:val="22"/>
                <w:szCs w:val="22"/>
                <w:u w:val="none"/>
              </w:rPr>
            </w:pPr>
          </w:p>
        </w:tc>
      </w:tr>
    </w:tbl>
    <w:p>
      <w:pPr>
        <w:pStyle w:val="2"/>
        <w:ind w:firstLine="420"/>
        <w:rPr>
          <w:rFonts w:hint="default"/>
          <w:color w:val="auto"/>
          <w:lang w:val="en-US" w:eastAsia="zh-CN"/>
        </w:rPr>
      </w:pPr>
      <w:r>
        <w:rPr>
          <w:rFonts w:hint="eastAsia"/>
          <w:b w:val="0"/>
          <w:bCs w:val="0"/>
          <w:color w:val="auto"/>
          <w:lang w:val="en-US" w:eastAsia="zh-CN"/>
        </w:rPr>
        <w:t>根据实际情况，本次修订给出抗拉强度和断后伸长率的平均值取整作为标准指标，分别为</w:t>
      </w:r>
      <w:r>
        <w:rPr>
          <w:rFonts w:hint="eastAsia" w:ascii="宋体" w:hAnsi="宋体" w:eastAsia="宋体"/>
          <w:color w:val="auto"/>
        </w:rPr>
        <w:t>≥</w:t>
      </w:r>
      <w:r>
        <w:rPr>
          <w:rFonts w:hint="eastAsia"/>
          <w:b w:val="0"/>
          <w:bCs w:val="0"/>
          <w:color w:val="auto"/>
          <w:lang w:val="en-US" w:eastAsia="zh-CN"/>
        </w:rPr>
        <w:t>380</w:t>
      </w:r>
      <w:r>
        <w:rPr>
          <w:rFonts w:hint="default" w:ascii="Times New Roman" w:hAnsi="Times New Roman" w:eastAsia="宋体" w:cs="Times New Roman"/>
          <w:i w:val="0"/>
          <w:iCs w:val="0"/>
          <w:color w:val="auto"/>
          <w:kern w:val="0"/>
          <w:sz w:val="22"/>
          <w:szCs w:val="22"/>
          <w:u w:val="none"/>
          <w:lang w:val="en-US" w:eastAsia="zh-CN" w:bidi="ar"/>
        </w:rPr>
        <w:t>Mpa</w:t>
      </w:r>
      <w:r>
        <w:rPr>
          <w:rFonts w:hint="eastAsia" w:cs="Times New Roman"/>
          <w:i w:val="0"/>
          <w:iCs w:val="0"/>
          <w:color w:val="auto"/>
          <w:kern w:val="0"/>
          <w:sz w:val="22"/>
          <w:szCs w:val="22"/>
          <w:u w:val="none"/>
          <w:lang w:val="en-US" w:eastAsia="zh-CN" w:bidi="ar"/>
        </w:rPr>
        <w:t>和</w:t>
      </w:r>
      <w:r>
        <w:rPr>
          <w:rFonts w:hint="eastAsia" w:ascii="宋体" w:hAnsi="宋体" w:eastAsia="宋体"/>
          <w:color w:val="auto"/>
        </w:rPr>
        <w:t>≥</w:t>
      </w:r>
      <w:r>
        <w:rPr>
          <w:rFonts w:hint="eastAsia" w:ascii="宋体" w:hAnsi="宋体"/>
          <w:color w:val="auto"/>
          <w:lang w:val="en-US" w:eastAsia="zh-CN"/>
        </w:rPr>
        <w:t>25%，</w:t>
      </w:r>
      <w:r>
        <w:rPr>
          <w:rFonts w:hint="eastAsia"/>
          <w:b w:val="0"/>
          <w:bCs w:val="0"/>
          <w:color w:val="auto"/>
          <w:lang w:val="en-US" w:eastAsia="zh-CN"/>
        </w:rPr>
        <w:t>其他性能指标按照实测值进行判断。</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3</w:t>
      </w:r>
      <w:r>
        <w:rPr>
          <w:rFonts w:hint="eastAsia" w:asciiTheme="minorEastAsia" w:hAnsiTheme="minorEastAsia"/>
          <w:b/>
          <w:bCs/>
          <w:color w:val="auto"/>
          <w:szCs w:val="21"/>
        </w:rPr>
        <w:t xml:space="preserve">  BFe16-1-1-0.5铜管性能频数和频率分析</w:t>
      </w:r>
    </w:p>
    <w:p>
      <w:pPr>
        <w:pStyle w:val="2"/>
        <w:ind w:firstLine="420" w:firstLineChars="200"/>
        <w:rPr>
          <w:rFonts w:hint="default" w:eastAsia="宋体"/>
          <w:color w:val="auto"/>
          <w:lang w:val="en-US" w:eastAsia="zh-CN"/>
        </w:rPr>
      </w:pPr>
      <w:r>
        <w:rPr>
          <w:rFonts w:hint="eastAsia"/>
          <w:b w:val="0"/>
          <w:bCs w:val="0"/>
          <w:color w:val="auto"/>
          <w:lang w:val="en-US" w:eastAsia="zh-CN"/>
        </w:rPr>
        <w:t>本次调研没有调研到</w:t>
      </w:r>
      <w:r>
        <w:rPr>
          <w:rFonts w:hint="eastAsia" w:asciiTheme="minorEastAsia" w:hAnsiTheme="minorEastAsia"/>
          <w:b w:val="0"/>
          <w:bCs w:val="0"/>
          <w:color w:val="auto"/>
          <w:szCs w:val="21"/>
        </w:rPr>
        <w:t>BFe16-1-1-0.5</w:t>
      </w:r>
      <w:r>
        <w:rPr>
          <w:rFonts w:hint="eastAsia"/>
          <w:color w:val="auto"/>
          <w:lang w:val="en-US" w:eastAsia="zh-CN"/>
        </w:rPr>
        <w:t>的相关数据，所以本次修订仍维持原有数据不变。</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 xml:space="preserve">  BFe30-1-1铜管性能频数和频率分析</w:t>
      </w:r>
    </w:p>
    <w:p>
      <w:pPr>
        <w:ind w:firstLine="420" w:firstLineChars="200"/>
        <w:rPr>
          <w:rFonts w:hint="eastAsia" w:asciiTheme="minorEastAsia" w:hAnsiTheme="minorEastAsia"/>
          <w:color w:val="auto"/>
          <w:szCs w:val="21"/>
          <w:lang w:val="en-US" w:eastAsia="zh-CN"/>
        </w:rPr>
      </w:pPr>
      <w:r>
        <w:rPr>
          <w:rFonts w:hint="eastAsia" w:asciiTheme="minorEastAsia" w:hAnsiTheme="minorEastAsia"/>
          <w:color w:val="auto"/>
          <w:szCs w:val="21"/>
          <w:lang w:val="en-US" w:eastAsia="zh-CN"/>
        </w:rPr>
        <w:t>BFe30-1-1牌号分为</w:t>
      </w: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rPr>
        <w:t>O</w:t>
      </w:r>
      <w:r>
        <w:rPr>
          <w:rFonts w:hint="eastAsia" w:asciiTheme="minorEastAsia" w:hAnsiTheme="minorEastAsia"/>
          <w:color w:val="auto"/>
          <w:szCs w:val="21"/>
          <w:lang w:val="en-US" w:eastAsia="zh-CN"/>
        </w:rPr>
        <w:t>82两种状态。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4.1 </w:t>
      </w:r>
      <w:r>
        <w:rPr>
          <w:rFonts w:hint="eastAsia" w:asciiTheme="minorEastAsia" w:hAnsiTheme="minorEastAsia"/>
          <w:b/>
          <w:bCs/>
          <w:color w:val="auto"/>
          <w:szCs w:val="21"/>
        </w:rPr>
        <w:t>O6</w:t>
      </w:r>
      <w:r>
        <w:rPr>
          <w:rFonts w:hint="eastAsia" w:asciiTheme="minorEastAsia" w:hAnsiTheme="minorEastAsia"/>
          <w:b/>
          <w:bCs/>
          <w:color w:val="auto"/>
          <w:szCs w:val="21"/>
          <w:lang w:val="en-US" w:eastAsia="zh-CN"/>
        </w:rPr>
        <w:t>1</w:t>
      </w:r>
    </w:p>
    <w:p>
      <w:pPr>
        <w:ind w:firstLine="420" w:firstLineChars="200"/>
        <w:rPr>
          <w:rFonts w:hint="default" w:asciiTheme="minorEastAsia" w:hAnsiTheme="minorEastAsia"/>
          <w:color w:val="auto"/>
          <w:szCs w:val="21"/>
          <w:lang w:val="en-US" w:eastAsia="zh-CN"/>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1</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抗拉强度</w:t>
      </w:r>
    </w:p>
    <w:p>
      <w:pPr>
        <w:ind w:firstLine="420" w:firstLineChars="200"/>
        <w:rPr>
          <w:color w:val="auto"/>
        </w:rPr>
      </w:pPr>
      <w:r>
        <w:rPr>
          <w:rFonts w:hint="eastAsia" w:asciiTheme="minorEastAsia" w:hAnsiTheme="minorEastAsia"/>
          <w:color w:val="auto"/>
          <w:szCs w:val="21"/>
        </w:rPr>
        <w:t>O6</w:t>
      </w:r>
      <w:r>
        <w:rPr>
          <w:rFonts w:hint="eastAsia" w:asciiTheme="minorEastAsia" w:hAnsiTheme="minorEastAsia"/>
          <w:color w:val="auto"/>
          <w:szCs w:val="21"/>
          <w:lang w:val="en-US" w:eastAsia="zh-CN"/>
        </w:rPr>
        <w:t>1</w:t>
      </w:r>
      <w:r>
        <w:rPr>
          <w:rFonts w:hint="eastAsia"/>
          <w:color w:val="auto"/>
        </w:rPr>
        <w:t>抗拉强度频数和频率分布表及直方图如下：</w:t>
      </w:r>
    </w:p>
    <w:p>
      <w:pPr>
        <w:jc w:val="center"/>
        <w:rPr>
          <w:rFonts w:hint="eastAsia"/>
          <w:color w:val="auto"/>
        </w:rPr>
      </w:pPr>
      <w:r>
        <w:rPr>
          <w:rFonts w:hint="eastAsia"/>
          <w:color w:val="auto"/>
        </w:rPr>
        <w:t>表4  实测</w:t>
      </w:r>
      <w:r>
        <w:rPr>
          <w:rFonts w:hint="eastAsia" w:asciiTheme="minorEastAsia" w:hAnsiTheme="minorEastAsia"/>
          <w:color w:val="auto"/>
          <w:szCs w:val="21"/>
          <w:lang w:val="en-US" w:eastAsia="zh-CN"/>
        </w:rPr>
        <w:t>BFe30-1-1</w:t>
      </w:r>
      <w:r>
        <w:rPr>
          <w:rFonts w:hint="eastAsia"/>
          <w:color w:val="auto"/>
        </w:rPr>
        <w:t xml:space="preserve"> O6</w:t>
      </w:r>
      <w:r>
        <w:rPr>
          <w:rFonts w:hint="eastAsia"/>
          <w:color w:val="auto"/>
          <w:lang w:val="en-US" w:eastAsia="zh-CN"/>
        </w:rPr>
        <w:t>1</w:t>
      </w:r>
      <w:r>
        <w:rPr>
          <w:rFonts w:hint="eastAsia"/>
          <w:color w:val="auto"/>
        </w:rPr>
        <w:t xml:space="preserve"> 抗拉强度频数和频率分布表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169920" cy="1752600"/>
            <wp:effectExtent l="0" t="0" r="0" b="0"/>
            <wp:docPr id="58" name="图片 58" descr="165095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1650952406(1)"/>
                    <pic:cNvPicPr>
                      <a:picLocks noChangeAspect="1"/>
                    </pic:cNvPicPr>
                  </pic:nvPicPr>
                  <pic:blipFill>
                    <a:blip r:embed="rId25"/>
                    <a:stretch>
                      <a:fillRect/>
                    </a:stretch>
                  </pic:blipFill>
                  <pic:spPr>
                    <a:xfrm>
                      <a:off x="0" y="0"/>
                      <a:ext cx="3169920" cy="1752600"/>
                    </a:xfrm>
                    <a:prstGeom prst="rect">
                      <a:avLst/>
                    </a:prstGeom>
                  </pic:spPr>
                </pic:pic>
              </a:graphicData>
            </a:graphic>
          </wp:inline>
        </w:drawing>
      </w:r>
    </w:p>
    <w:p>
      <w:pPr>
        <w:pStyle w:val="2"/>
        <w:jc w:val="center"/>
        <w:rPr>
          <w:rFonts w:ascii="宋体" w:hAnsi="宋体" w:eastAsia="宋体" w:cs="宋体"/>
          <w:color w:val="auto"/>
          <w:kern w:val="0"/>
          <w:sz w:val="24"/>
          <w:szCs w:val="24"/>
        </w:rPr>
      </w:pPr>
      <w:r>
        <w:rPr>
          <w:rFonts w:ascii="宋体" w:hAnsi="宋体" w:eastAsia="宋体" w:cs="宋体"/>
          <w:color w:val="auto"/>
          <w:kern w:val="0"/>
          <w:sz w:val="24"/>
          <w:szCs w:val="24"/>
        </w:rPr>
        <w:drawing>
          <wp:inline distT="0" distB="0" distL="114300" distR="114300">
            <wp:extent cx="3741420" cy="2025015"/>
            <wp:effectExtent l="0" t="0" r="7620" b="1905"/>
            <wp:docPr id="59" name="图片 59" descr="1650952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650952422(1)"/>
                    <pic:cNvPicPr>
                      <a:picLocks noChangeAspect="1"/>
                    </pic:cNvPicPr>
                  </pic:nvPicPr>
                  <pic:blipFill>
                    <a:blip r:embed="rId26"/>
                    <a:stretch>
                      <a:fillRect/>
                    </a:stretch>
                  </pic:blipFill>
                  <pic:spPr>
                    <a:xfrm>
                      <a:off x="0" y="0"/>
                      <a:ext cx="3741420" cy="2025015"/>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8</w:t>
      </w:r>
      <w:r>
        <w:rPr>
          <w:rFonts w:hint="eastAsia"/>
          <w:color w:val="auto"/>
        </w:rPr>
        <w:t xml:space="preserve"> </w:t>
      </w:r>
      <w:r>
        <w:rPr>
          <w:rFonts w:hint="eastAsia"/>
          <w:color w:val="auto"/>
          <w:lang w:val="en-US" w:eastAsia="zh-CN"/>
        </w:rPr>
        <w:t>实测</w:t>
      </w:r>
      <w:r>
        <w:rPr>
          <w:rFonts w:hint="eastAsia" w:asciiTheme="minorEastAsia" w:hAnsiTheme="minorEastAsia"/>
          <w:color w:val="auto"/>
          <w:szCs w:val="21"/>
          <w:lang w:val="en-US" w:eastAsia="zh-CN"/>
        </w:rPr>
        <w:t>BFe30-1-1</w:t>
      </w:r>
      <w:r>
        <w:rPr>
          <w:rFonts w:hint="eastAsia"/>
          <w:color w:val="auto"/>
        </w:rPr>
        <w:t xml:space="preserve"> O6</w:t>
      </w:r>
      <w:r>
        <w:rPr>
          <w:rFonts w:hint="eastAsia"/>
          <w:color w:val="auto"/>
          <w:lang w:val="en-US" w:eastAsia="zh-CN"/>
        </w:rPr>
        <w:t>1</w:t>
      </w:r>
      <w:r>
        <w:rPr>
          <w:rFonts w:hint="eastAsia"/>
          <w:color w:val="auto"/>
        </w:rPr>
        <w:t xml:space="preserve"> 抗拉强度频数直方图</w:t>
      </w:r>
    </w:p>
    <w:p>
      <w:pPr>
        <w:jc w:val="left"/>
        <w:rPr>
          <w:rFonts w:ascii="宋体" w:hAnsi="宋体" w:eastAsia="宋体"/>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BFe30-1-1</w:t>
      </w:r>
      <w:r>
        <w:rPr>
          <w:rFonts w:hint="eastAsia"/>
          <w:color w:val="auto"/>
        </w:rPr>
        <w:t xml:space="preserve"> O6</w:t>
      </w:r>
      <w:r>
        <w:rPr>
          <w:rFonts w:hint="eastAsia"/>
          <w:color w:val="auto"/>
          <w:lang w:val="en-US" w:eastAsia="zh-CN"/>
        </w:rPr>
        <w:t>1</w:t>
      </w:r>
      <w:r>
        <w:rPr>
          <w:rFonts w:hint="eastAsia"/>
          <w:color w:val="auto"/>
        </w:rPr>
        <w:t xml:space="preserve"> 抗拉强度频数和频率分布表及分布图的分析，可以看出，该牌号共收集到</w:t>
      </w:r>
      <w:r>
        <w:rPr>
          <w:rFonts w:hint="eastAsia"/>
          <w:color w:val="auto"/>
          <w:lang w:val="en-US" w:eastAsia="zh-CN"/>
        </w:rPr>
        <w:t>108</w:t>
      </w:r>
      <w:r>
        <w:rPr>
          <w:rFonts w:hint="eastAsia"/>
          <w:color w:val="auto"/>
        </w:rPr>
        <w:t>个数据，</w:t>
      </w:r>
      <w:r>
        <w:rPr>
          <w:rFonts w:hint="eastAsia"/>
          <w:color w:val="auto"/>
          <w:lang w:val="en-US" w:eastAsia="zh-CN"/>
        </w:rPr>
        <w:t>除了46.30%的数据较集中的分布在448</w:t>
      </w:r>
      <w:r>
        <w:rPr>
          <w:rFonts w:hint="eastAsia" w:ascii="宋体" w:hAnsi="宋体" w:eastAsia="宋体"/>
          <w:color w:val="auto"/>
        </w:rPr>
        <w:t>～</w:t>
      </w:r>
      <w:r>
        <w:rPr>
          <w:rFonts w:hint="eastAsia" w:ascii="宋体" w:hAnsi="宋体" w:eastAsia="宋体"/>
          <w:color w:val="auto"/>
          <w:lang w:val="en-US" w:eastAsia="zh-CN"/>
        </w:rPr>
        <w:t>460之间，其他数据均较均匀的分布在400</w:t>
      </w:r>
      <w:r>
        <w:rPr>
          <w:rFonts w:hint="eastAsia" w:ascii="宋体" w:hAnsi="宋体" w:eastAsia="宋体"/>
          <w:color w:val="auto"/>
        </w:rPr>
        <w:t>～</w:t>
      </w:r>
      <w:r>
        <w:rPr>
          <w:rFonts w:hint="eastAsia" w:ascii="宋体" w:hAnsi="宋体" w:eastAsia="宋体"/>
          <w:color w:val="auto"/>
          <w:lang w:val="en-US" w:eastAsia="zh-CN"/>
        </w:rPr>
        <w:t>448和</w:t>
      </w:r>
      <w:r>
        <w:rPr>
          <w:rFonts w:hint="eastAsia"/>
          <w:color w:val="auto"/>
          <w:lang w:val="en-US" w:eastAsia="zh-CN"/>
        </w:rPr>
        <w:t>460</w:t>
      </w:r>
      <w:r>
        <w:rPr>
          <w:rFonts w:hint="eastAsia" w:ascii="宋体" w:hAnsi="宋体" w:eastAsia="宋体"/>
          <w:color w:val="auto"/>
        </w:rPr>
        <w:t>～</w:t>
      </w:r>
      <w:r>
        <w:rPr>
          <w:rFonts w:hint="eastAsia" w:ascii="宋体" w:hAnsi="宋体" w:eastAsia="宋体"/>
          <w:color w:val="auto"/>
          <w:lang w:val="en-US" w:eastAsia="zh-CN"/>
        </w:rPr>
        <w:t>483之间，</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版中该牌号抗拉强度为≥</w:t>
      </w:r>
      <w:r>
        <w:rPr>
          <w:rFonts w:hint="eastAsia" w:ascii="宋体" w:hAnsi="宋体" w:eastAsia="宋体"/>
          <w:color w:val="auto"/>
          <w:lang w:val="en-US" w:eastAsia="zh-CN"/>
        </w:rPr>
        <w:t>37</w:t>
      </w:r>
      <w:r>
        <w:rPr>
          <w:rFonts w:hint="eastAsia" w:ascii="宋体" w:hAnsi="宋体" w:eastAsia="宋体"/>
          <w:color w:val="auto"/>
        </w:rPr>
        <w:t>0</w:t>
      </w:r>
      <w:r>
        <w:rPr>
          <w:rFonts w:hint="eastAsia" w:ascii="宋体" w:hAnsi="宋体"/>
          <w:color w:val="auto"/>
          <w:sz w:val="21"/>
          <w:szCs w:val="21"/>
        </w:rPr>
        <w:t>MPa</w:t>
      </w:r>
      <w:r>
        <w:rPr>
          <w:rFonts w:hint="eastAsia" w:ascii="宋体" w:hAnsi="宋体" w:eastAsia="宋体"/>
          <w:color w:val="auto"/>
        </w:rPr>
        <w:t>，经对比分析，</w:t>
      </w:r>
      <w:r>
        <w:rPr>
          <w:rFonts w:hint="eastAsia" w:ascii="宋体" w:hAnsi="宋体" w:eastAsia="宋体"/>
          <w:color w:val="auto"/>
          <w:lang w:val="en-US" w:eastAsia="zh-CN"/>
        </w:rPr>
        <w:t>若本版直接修改为</w:t>
      </w:r>
      <w:r>
        <w:rPr>
          <w:rFonts w:hint="eastAsia" w:ascii="宋体" w:hAnsi="宋体" w:eastAsia="宋体"/>
          <w:color w:val="auto"/>
        </w:rPr>
        <w:t>≥</w:t>
      </w:r>
      <w:r>
        <w:rPr>
          <w:rFonts w:hint="eastAsia" w:ascii="宋体" w:hAnsi="宋体" w:eastAsia="宋体"/>
          <w:color w:val="auto"/>
          <w:lang w:val="en-US" w:eastAsia="zh-CN"/>
        </w:rPr>
        <w:t>40</w:t>
      </w:r>
      <w:r>
        <w:rPr>
          <w:rFonts w:hint="eastAsia" w:ascii="宋体" w:hAnsi="宋体" w:eastAsia="宋体"/>
          <w:color w:val="auto"/>
        </w:rPr>
        <w:t>0</w:t>
      </w:r>
      <w:r>
        <w:rPr>
          <w:rFonts w:hint="eastAsia" w:ascii="宋体" w:hAnsi="宋体"/>
          <w:color w:val="auto"/>
          <w:sz w:val="21"/>
          <w:szCs w:val="21"/>
        </w:rPr>
        <w:t>MPa</w:t>
      </w:r>
      <w:r>
        <w:rPr>
          <w:rFonts w:hint="eastAsia" w:ascii="宋体" w:hAnsi="宋体" w:eastAsia="宋体"/>
          <w:color w:val="auto"/>
          <w:lang w:eastAsia="zh-CN"/>
        </w:rPr>
        <w:t>，</w:t>
      </w:r>
      <w:r>
        <w:rPr>
          <w:rFonts w:hint="eastAsia" w:ascii="宋体" w:hAnsi="宋体" w:eastAsia="宋体"/>
          <w:color w:val="auto"/>
          <w:lang w:val="en-US" w:eastAsia="zh-CN"/>
        </w:rPr>
        <w:t>调整幅度呈跳跃式，稳妥起见，</w:t>
      </w:r>
      <w:r>
        <w:rPr>
          <w:rFonts w:hint="eastAsia" w:ascii="宋体" w:hAnsi="宋体" w:eastAsia="宋体"/>
          <w:color w:val="auto"/>
        </w:rPr>
        <w:t>本版</w:t>
      </w:r>
      <w:r>
        <w:rPr>
          <w:rFonts w:hint="eastAsia" w:ascii="宋体" w:hAnsi="宋体" w:eastAsia="宋体"/>
          <w:color w:val="auto"/>
          <w:lang w:val="en-US" w:eastAsia="zh-CN"/>
        </w:rPr>
        <w:t>调整为</w:t>
      </w:r>
      <w:r>
        <w:rPr>
          <w:rFonts w:hint="eastAsia" w:ascii="宋体" w:hAnsi="宋体" w:eastAsia="宋体"/>
          <w:color w:val="auto"/>
        </w:rPr>
        <w:t>≥</w:t>
      </w:r>
      <w:r>
        <w:rPr>
          <w:rFonts w:hint="eastAsia" w:ascii="宋体" w:hAnsi="宋体" w:eastAsia="宋体"/>
          <w:color w:val="auto"/>
          <w:lang w:val="en-US" w:eastAsia="zh-CN"/>
        </w:rPr>
        <w:t>380</w:t>
      </w:r>
      <w:r>
        <w:rPr>
          <w:rFonts w:hint="eastAsia" w:ascii="宋体" w:hAnsi="宋体"/>
          <w:color w:val="auto"/>
          <w:sz w:val="21"/>
          <w:szCs w:val="21"/>
        </w:rPr>
        <w:t>MPa</w:t>
      </w:r>
      <w:r>
        <w:rPr>
          <w:rFonts w:hint="eastAsia" w:ascii="宋体" w:hAnsi="宋体" w:eastAsia="宋体"/>
          <w:color w:val="auto"/>
        </w:rPr>
        <w:t>。</w:t>
      </w:r>
    </w:p>
    <w:p>
      <w:p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规定非比例延伸强度</w:t>
      </w:r>
    </w:p>
    <w:p>
      <w:pPr>
        <w:tabs>
          <w:tab w:val="left" w:pos="7470"/>
        </w:tabs>
        <w:ind w:firstLine="420" w:firstLineChars="200"/>
        <w:rPr>
          <w:color w:val="auto"/>
        </w:rPr>
      </w:pPr>
      <w:r>
        <w:rPr>
          <w:rFonts w:hint="eastAsia"/>
          <w:b w:val="0"/>
          <w:bCs w:val="0"/>
          <w:color w:val="auto"/>
          <w:lang w:val="en-US" w:eastAsia="zh-CN"/>
        </w:rPr>
        <w:t>本次调研没有调研到</w:t>
      </w:r>
      <w:r>
        <w:rPr>
          <w:rFonts w:hint="eastAsia" w:asciiTheme="minorEastAsia" w:hAnsiTheme="minorEastAsia"/>
          <w:b w:val="0"/>
          <w:bCs w:val="0"/>
          <w:color w:val="auto"/>
          <w:szCs w:val="21"/>
          <w:lang w:val="en-US" w:eastAsia="zh-CN"/>
        </w:rPr>
        <w:t>BF</w:t>
      </w:r>
      <w:r>
        <w:rPr>
          <w:rFonts w:hint="eastAsia" w:asciiTheme="minorEastAsia" w:hAnsiTheme="minorEastAsia"/>
          <w:color w:val="auto"/>
          <w:szCs w:val="21"/>
          <w:lang w:val="en-US" w:eastAsia="zh-CN"/>
        </w:rPr>
        <w:t>e30-1-1</w:t>
      </w:r>
      <w:r>
        <w:rPr>
          <w:rFonts w:hint="eastAsia"/>
          <w:color w:val="auto"/>
        </w:rPr>
        <w:t xml:space="preserve"> </w:t>
      </w:r>
      <w:r>
        <w:rPr>
          <w:rFonts w:hint="eastAsia"/>
          <w:color w:val="auto"/>
        </w:rPr>
        <w:t>O6</w:t>
      </w:r>
      <w:r>
        <w:rPr>
          <w:rFonts w:hint="eastAsia"/>
          <w:color w:val="auto"/>
          <w:lang w:val="en-US" w:eastAsia="zh-CN"/>
        </w:rPr>
        <w:t>1</w:t>
      </w:r>
      <w:r>
        <w:rPr>
          <w:rFonts w:hint="eastAsia"/>
          <w:color w:val="auto"/>
          <w:lang w:val="en-US" w:eastAsia="zh-CN"/>
        </w:rPr>
        <w:t>的数据，所以本次修订仍维持原有数据不变。</w:t>
      </w:r>
      <w:r>
        <w:rPr>
          <w:color w:val="auto"/>
        </w:rPr>
        <w:tab/>
      </w:r>
    </w:p>
    <w:p>
      <w:pPr>
        <w:numPr>
          <w:ilvl w:val="0"/>
          <w:numId w:val="0"/>
        </w:numPr>
        <w:tabs>
          <w:tab w:val="left" w:pos="7470"/>
        </w:tabs>
        <w:ind w:firstLine="420" w:firstLineChars="20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断后伸长率</w:t>
      </w:r>
    </w:p>
    <w:p>
      <w:pPr>
        <w:numPr>
          <w:ilvl w:val="0"/>
          <w:numId w:val="0"/>
        </w:numPr>
        <w:tabs>
          <w:tab w:val="left" w:pos="7470"/>
        </w:tabs>
        <w:ind w:firstLine="420" w:firstLineChars="200"/>
        <w:rPr>
          <w:color w:val="auto"/>
        </w:rPr>
      </w:pPr>
      <w:r>
        <w:rPr>
          <w:rFonts w:hint="eastAsia"/>
          <w:color w:val="auto"/>
        </w:rPr>
        <w:t>断后伸长率频数和频率分布表及直方图如下：</w:t>
      </w:r>
      <w:r>
        <w:rPr>
          <w:color w:val="auto"/>
        </w:rPr>
        <w:tab/>
      </w:r>
    </w:p>
    <w:p>
      <w:pPr>
        <w:jc w:val="center"/>
        <w:rPr>
          <w:rFonts w:hint="eastAsia"/>
          <w:color w:val="auto"/>
        </w:rPr>
      </w:pPr>
      <w:r>
        <w:rPr>
          <w:rFonts w:hint="eastAsia"/>
          <w:color w:val="auto"/>
        </w:rPr>
        <w:t>表6  实测</w:t>
      </w:r>
      <w:r>
        <w:rPr>
          <w:rFonts w:hint="eastAsia" w:asciiTheme="minorEastAsia" w:hAnsiTheme="minorEastAsia"/>
          <w:color w:val="auto"/>
          <w:szCs w:val="21"/>
          <w:lang w:val="en-US" w:eastAsia="zh-CN"/>
        </w:rPr>
        <w:t>BFe30-1-1</w:t>
      </w:r>
      <w:r>
        <w:rPr>
          <w:rFonts w:hint="eastAsia"/>
          <w:color w:val="auto"/>
        </w:rPr>
        <w:t xml:space="preserve"> O6</w:t>
      </w:r>
      <w:r>
        <w:rPr>
          <w:rFonts w:hint="eastAsia"/>
          <w:color w:val="auto"/>
          <w:lang w:val="en-US" w:eastAsia="zh-CN"/>
        </w:rPr>
        <w:t>1</w:t>
      </w:r>
      <w:r>
        <w:rPr>
          <w:rFonts w:hint="eastAsia"/>
          <w:color w:val="auto"/>
        </w:rPr>
        <w:t xml:space="preserve"> 断后伸长率频数和频率分布表</w:t>
      </w:r>
    </w:p>
    <w:p>
      <w:pPr>
        <w:pStyle w:val="2"/>
        <w:jc w:val="center"/>
        <w:rPr>
          <w:rFonts w:hint="eastAsia" w:eastAsia="宋体"/>
          <w:color w:val="auto"/>
          <w:lang w:eastAsia="zh-CN"/>
        </w:rPr>
      </w:pPr>
      <w:r>
        <w:rPr>
          <w:rFonts w:hint="eastAsia" w:eastAsia="宋体"/>
          <w:color w:val="auto"/>
          <w:lang w:eastAsia="zh-CN"/>
        </w:rPr>
        <w:drawing>
          <wp:inline distT="0" distB="0" distL="114300" distR="114300">
            <wp:extent cx="3230880" cy="1760220"/>
            <wp:effectExtent l="0" t="0" r="0" b="7620"/>
            <wp:docPr id="60" name="图片 60" descr="1650953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1650953388(1)"/>
                    <pic:cNvPicPr>
                      <a:picLocks noChangeAspect="1"/>
                    </pic:cNvPicPr>
                  </pic:nvPicPr>
                  <pic:blipFill>
                    <a:blip r:embed="rId27"/>
                    <a:stretch>
                      <a:fillRect/>
                    </a:stretch>
                  </pic:blipFill>
                  <pic:spPr>
                    <a:xfrm>
                      <a:off x="0" y="0"/>
                      <a:ext cx="3230880" cy="1760220"/>
                    </a:xfrm>
                    <a:prstGeom prst="rect">
                      <a:avLst/>
                    </a:prstGeom>
                  </pic:spPr>
                </pic:pic>
              </a:graphicData>
            </a:graphic>
          </wp:inline>
        </w:drawing>
      </w:r>
    </w:p>
    <w:p>
      <w:pPr>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3840480" cy="2103120"/>
            <wp:effectExtent l="0" t="0" r="0" b="0"/>
            <wp:docPr id="61" name="图片 61" descr="1650953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1650953406(1)"/>
                    <pic:cNvPicPr>
                      <a:picLocks noChangeAspect="1"/>
                    </pic:cNvPicPr>
                  </pic:nvPicPr>
                  <pic:blipFill>
                    <a:blip r:embed="rId28"/>
                    <a:stretch>
                      <a:fillRect/>
                    </a:stretch>
                  </pic:blipFill>
                  <pic:spPr>
                    <a:xfrm>
                      <a:off x="0" y="0"/>
                      <a:ext cx="3840480" cy="2103120"/>
                    </a:xfrm>
                    <a:prstGeom prst="rect">
                      <a:avLst/>
                    </a:prstGeom>
                  </pic:spPr>
                </pic:pic>
              </a:graphicData>
            </a:graphic>
          </wp:inline>
        </w:drawing>
      </w:r>
    </w:p>
    <w:p>
      <w:pPr>
        <w:jc w:val="center"/>
        <w:rPr>
          <w:color w:val="auto"/>
        </w:rPr>
      </w:pPr>
      <w:r>
        <w:rPr>
          <w:rFonts w:hint="eastAsia"/>
          <w:color w:val="auto"/>
        </w:rPr>
        <w:t>图</w:t>
      </w:r>
      <w:r>
        <w:rPr>
          <w:rFonts w:hint="eastAsia"/>
          <w:color w:val="auto"/>
          <w:lang w:val="en-US" w:eastAsia="zh-CN"/>
        </w:rPr>
        <w:t>10</w:t>
      </w:r>
      <w:r>
        <w:rPr>
          <w:rFonts w:hint="eastAsia"/>
          <w:color w:val="auto"/>
        </w:rPr>
        <w:t xml:space="preserve"> 实测</w:t>
      </w:r>
      <w:r>
        <w:rPr>
          <w:rFonts w:hint="eastAsia" w:asciiTheme="minorEastAsia" w:hAnsiTheme="minorEastAsia"/>
          <w:color w:val="auto"/>
          <w:szCs w:val="21"/>
          <w:lang w:val="en-US" w:eastAsia="zh-CN"/>
        </w:rPr>
        <w:t>BFe10-1-1</w:t>
      </w:r>
      <w:r>
        <w:rPr>
          <w:rFonts w:hint="eastAsia"/>
          <w:color w:val="auto"/>
        </w:rPr>
        <w:t xml:space="preserve"> O6</w:t>
      </w:r>
      <w:r>
        <w:rPr>
          <w:rFonts w:hint="eastAsia"/>
          <w:color w:val="auto"/>
          <w:lang w:val="en-US" w:eastAsia="zh-CN"/>
        </w:rPr>
        <w:t>1</w:t>
      </w:r>
      <w:r>
        <w:rPr>
          <w:rFonts w:hint="eastAsia"/>
          <w:color w:val="auto"/>
        </w:rPr>
        <w:t>断后伸长率频数直方图</w:t>
      </w:r>
    </w:p>
    <w:p>
      <w:pPr>
        <w:ind w:firstLine="420" w:firstLineChars="200"/>
        <w:rPr>
          <w:rFonts w:ascii="宋体" w:hAnsi="宋体" w:eastAsia="宋体"/>
          <w:color w:val="auto"/>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BFe30-1-1</w:t>
      </w:r>
      <w:r>
        <w:rPr>
          <w:rFonts w:hint="eastAsia"/>
          <w:color w:val="auto"/>
        </w:rPr>
        <w:t xml:space="preserve"> O6</w:t>
      </w:r>
      <w:r>
        <w:rPr>
          <w:rFonts w:hint="eastAsia"/>
          <w:color w:val="auto"/>
          <w:lang w:val="en-US" w:eastAsia="zh-CN"/>
        </w:rPr>
        <w:t>1</w:t>
      </w:r>
      <w:r>
        <w:rPr>
          <w:rFonts w:hint="eastAsia"/>
          <w:color w:val="auto"/>
        </w:rPr>
        <w:t xml:space="preserve"> </w:t>
      </w:r>
      <w:r>
        <w:rPr>
          <w:rFonts w:hint="eastAsia"/>
          <w:color w:val="auto"/>
          <w:lang w:val="en-US" w:eastAsia="zh-CN"/>
        </w:rPr>
        <w:t>断后伸长率</w:t>
      </w:r>
      <w:r>
        <w:rPr>
          <w:rFonts w:hint="eastAsia"/>
          <w:color w:val="auto"/>
        </w:rPr>
        <w:t>频数和频率分布表及分布图的分析，可以看出，该牌号共收集到</w:t>
      </w:r>
      <w:r>
        <w:rPr>
          <w:rFonts w:hint="eastAsia"/>
          <w:color w:val="auto"/>
          <w:lang w:val="en-US" w:eastAsia="zh-CN"/>
        </w:rPr>
        <w:t>108</w:t>
      </w:r>
      <w:r>
        <w:rPr>
          <w:rFonts w:hint="eastAsia"/>
          <w:color w:val="auto"/>
        </w:rPr>
        <w:t>个有效数据，有</w:t>
      </w:r>
      <w:r>
        <w:rPr>
          <w:rFonts w:hint="eastAsia"/>
          <w:color w:val="auto"/>
          <w:lang w:val="en-US" w:eastAsia="zh-CN"/>
        </w:rPr>
        <w:t>87.04</w:t>
      </w:r>
      <w:r>
        <w:rPr>
          <w:rFonts w:hint="eastAsia"/>
          <w:color w:val="auto"/>
        </w:rPr>
        <w:t>%的数据是集中的分布在</w:t>
      </w:r>
      <w:r>
        <w:rPr>
          <w:rFonts w:hint="eastAsia"/>
          <w:color w:val="auto"/>
          <w:lang w:val="en-US" w:eastAsia="zh-CN"/>
        </w:rPr>
        <w:t>38</w:t>
      </w:r>
      <w:r>
        <w:rPr>
          <w:rFonts w:hint="eastAsia" w:ascii="宋体" w:hAnsi="宋体" w:eastAsia="宋体"/>
          <w:color w:val="auto"/>
        </w:rPr>
        <w:t>～</w:t>
      </w:r>
      <w:r>
        <w:rPr>
          <w:rFonts w:hint="eastAsia" w:eastAsia="宋体"/>
          <w:color w:val="auto"/>
          <w:lang w:val="en-US" w:eastAsia="zh-CN"/>
        </w:rPr>
        <w:t>47</w:t>
      </w:r>
      <w:r>
        <w:rPr>
          <w:rFonts w:hint="eastAsia"/>
          <w:color w:val="auto"/>
        </w:rPr>
        <w:t>之间，有</w:t>
      </w:r>
      <w:r>
        <w:rPr>
          <w:rFonts w:hint="eastAsia"/>
          <w:color w:val="auto"/>
          <w:lang w:val="en-US" w:eastAsia="zh-CN"/>
        </w:rPr>
        <w:t>8.33</w:t>
      </w:r>
      <w:r>
        <w:rPr>
          <w:rFonts w:hint="eastAsia"/>
          <w:color w:val="auto"/>
        </w:rPr>
        <w:t>%的数据分布在</w:t>
      </w:r>
      <w:r>
        <w:rPr>
          <w:rFonts w:hint="eastAsia"/>
          <w:color w:val="auto"/>
          <w:lang w:val="en-US" w:eastAsia="zh-CN"/>
        </w:rPr>
        <w:t>47</w:t>
      </w:r>
      <w:r>
        <w:rPr>
          <w:rFonts w:hint="eastAsia" w:ascii="宋体" w:hAnsi="宋体" w:eastAsia="宋体"/>
          <w:color w:val="auto"/>
        </w:rPr>
        <w:t>～</w:t>
      </w:r>
      <w:r>
        <w:rPr>
          <w:rFonts w:hint="eastAsia" w:ascii="宋体" w:hAnsi="宋体" w:eastAsia="宋体"/>
          <w:color w:val="auto"/>
          <w:lang w:val="en-US" w:eastAsia="zh-CN"/>
        </w:rPr>
        <w:t>49</w:t>
      </w:r>
      <w:r>
        <w:rPr>
          <w:rFonts w:hint="eastAsia" w:ascii="宋体" w:hAnsi="宋体" w:eastAsia="宋体"/>
          <w:color w:val="auto"/>
        </w:rPr>
        <w:t>之间，有</w:t>
      </w:r>
      <w:r>
        <w:rPr>
          <w:rFonts w:hint="eastAsia" w:ascii="宋体" w:hAnsi="宋体" w:eastAsia="宋体"/>
          <w:color w:val="auto"/>
          <w:lang w:val="en-US" w:eastAsia="zh-CN"/>
        </w:rPr>
        <w:t>3.70</w:t>
      </w:r>
      <w:r>
        <w:rPr>
          <w:rFonts w:hint="eastAsia" w:ascii="宋体" w:hAnsi="宋体" w:eastAsia="宋体"/>
          <w:color w:val="auto"/>
        </w:rPr>
        <w:t>%的数据分布在</w:t>
      </w:r>
      <w:r>
        <w:rPr>
          <w:rFonts w:hint="eastAsia" w:ascii="宋体" w:hAnsi="宋体" w:eastAsia="宋体"/>
          <w:color w:val="auto"/>
          <w:lang w:val="en-US" w:eastAsia="zh-CN"/>
        </w:rPr>
        <w:t>35</w:t>
      </w:r>
      <w:r>
        <w:rPr>
          <w:rFonts w:hint="eastAsia" w:ascii="宋体" w:hAnsi="宋体" w:eastAsia="宋体"/>
          <w:color w:val="auto"/>
        </w:rPr>
        <w:t>～</w:t>
      </w:r>
      <w:r>
        <w:rPr>
          <w:rFonts w:hint="eastAsia" w:ascii="宋体" w:hAnsi="宋体" w:eastAsia="宋体"/>
          <w:color w:val="auto"/>
          <w:lang w:val="en-US" w:eastAsia="zh-CN"/>
        </w:rPr>
        <w:t>38</w:t>
      </w:r>
      <w:r>
        <w:rPr>
          <w:rFonts w:hint="eastAsia" w:ascii="宋体" w:hAnsi="宋体" w:eastAsia="宋体"/>
          <w:color w:val="auto"/>
        </w:rPr>
        <w:t>之间</w:t>
      </w:r>
      <w:r>
        <w:rPr>
          <w:rFonts w:hint="eastAsia" w:ascii="宋体" w:hAnsi="宋体" w:eastAsia="宋体"/>
          <w:color w:val="auto"/>
          <w:lang w:eastAsia="zh-CN"/>
        </w:rPr>
        <w:t>，</w:t>
      </w:r>
      <w:r>
        <w:rPr>
          <w:rFonts w:hint="eastAsia" w:ascii="宋体" w:hAnsi="宋体" w:eastAsia="宋体"/>
          <w:color w:val="auto"/>
        </w:rPr>
        <w:t>有</w:t>
      </w:r>
      <w:r>
        <w:rPr>
          <w:rFonts w:hint="eastAsia" w:ascii="宋体" w:hAnsi="宋体" w:eastAsia="宋体"/>
          <w:color w:val="auto"/>
          <w:lang w:val="en-US" w:eastAsia="zh-CN"/>
        </w:rPr>
        <w:t>0.,93</w:t>
      </w:r>
      <w:r>
        <w:rPr>
          <w:rFonts w:hint="eastAsia" w:ascii="宋体" w:hAnsi="宋体" w:eastAsia="宋体"/>
          <w:color w:val="auto"/>
        </w:rPr>
        <w:t>%的数据分布在</w:t>
      </w:r>
      <w:r>
        <w:rPr>
          <w:rFonts w:hint="eastAsia" w:ascii="宋体" w:hAnsi="宋体" w:eastAsia="宋体"/>
          <w:color w:val="auto"/>
          <w:lang w:val="en-US" w:eastAsia="zh-CN"/>
        </w:rPr>
        <w:t>33</w:t>
      </w:r>
      <w:r>
        <w:rPr>
          <w:rFonts w:hint="eastAsia" w:ascii="宋体" w:hAnsi="宋体" w:eastAsia="宋体"/>
          <w:color w:val="auto"/>
        </w:rPr>
        <w:t>～</w:t>
      </w:r>
      <w:r>
        <w:rPr>
          <w:rFonts w:hint="eastAsia" w:ascii="宋体" w:hAnsi="宋体" w:eastAsia="宋体"/>
          <w:color w:val="auto"/>
          <w:lang w:val="en-US" w:eastAsia="zh-CN"/>
        </w:rPr>
        <w:t>35</w:t>
      </w:r>
      <w:r>
        <w:rPr>
          <w:rFonts w:hint="eastAsia" w:ascii="宋体" w:hAnsi="宋体" w:eastAsia="宋体"/>
          <w:color w:val="auto"/>
        </w:rPr>
        <w:t>之间，</w:t>
      </w:r>
      <w:r>
        <w:rPr>
          <w:rFonts w:hint="eastAsia" w:ascii="宋体" w:hAnsi="宋体" w:eastAsia="宋体"/>
          <w:color w:val="auto"/>
          <w:lang w:val="en-US" w:eastAsia="zh-CN"/>
        </w:rPr>
        <w:t>33</w:t>
      </w:r>
      <w:r>
        <w:rPr>
          <w:rFonts w:hint="eastAsia" w:ascii="宋体" w:hAnsi="宋体" w:eastAsia="宋体"/>
          <w:color w:val="auto"/>
        </w:rPr>
        <w:t>～</w:t>
      </w:r>
      <w:r>
        <w:rPr>
          <w:rFonts w:hint="eastAsia" w:ascii="宋体" w:hAnsi="宋体" w:eastAsia="宋体"/>
          <w:color w:val="auto"/>
          <w:lang w:val="en-US" w:eastAsia="zh-CN"/>
        </w:rPr>
        <w:t>35</w:t>
      </w:r>
      <w:r>
        <w:rPr>
          <w:rFonts w:hint="eastAsia" w:ascii="宋体" w:hAnsi="宋体" w:eastAsia="宋体"/>
          <w:color w:val="auto"/>
        </w:rPr>
        <w:t>之间</w:t>
      </w:r>
      <w:r>
        <w:rPr>
          <w:rFonts w:hint="eastAsia" w:ascii="宋体" w:hAnsi="宋体" w:eastAsia="宋体"/>
          <w:color w:val="auto"/>
          <w:lang w:val="en-US" w:eastAsia="zh-CN"/>
        </w:rPr>
        <w:t>的数据是小概率事件，可以忽略不计，</w:t>
      </w:r>
      <w:r>
        <w:rPr>
          <w:rFonts w:hint="eastAsia" w:ascii="宋体" w:hAnsi="宋体" w:eastAsia="宋体"/>
          <w:color w:val="auto"/>
        </w:rPr>
        <w:t>该标准</w:t>
      </w:r>
      <w:r>
        <w:rPr>
          <w:rFonts w:hint="eastAsia" w:ascii="宋体" w:hAnsi="宋体" w:eastAsia="宋体"/>
          <w:color w:val="auto"/>
          <w:lang w:val="en-US" w:eastAsia="zh-CN"/>
        </w:rPr>
        <w:t>2009</w:t>
      </w:r>
      <w:r>
        <w:rPr>
          <w:rFonts w:hint="eastAsia" w:ascii="宋体" w:hAnsi="宋体" w:eastAsia="宋体"/>
          <w:color w:val="auto"/>
        </w:rPr>
        <w:t>版中该牌号断后伸长率为≥</w:t>
      </w:r>
      <w:r>
        <w:rPr>
          <w:rFonts w:hint="eastAsia" w:ascii="宋体" w:hAnsi="宋体" w:eastAsia="宋体"/>
          <w:color w:val="auto"/>
          <w:lang w:val="en-US" w:eastAsia="zh-CN"/>
        </w:rPr>
        <w:t>30</w:t>
      </w:r>
      <w:r>
        <w:rPr>
          <w:rFonts w:hint="eastAsia"/>
          <w:color w:val="auto"/>
        </w:rPr>
        <w:t>%</w:t>
      </w:r>
      <w:r>
        <w:rPr>
          <w:rFonts w:hint="eastAsia" w:ascii="宋体" w:hAnsi="宋体" w:eastAsia="宋体"/>
          <w:color w:val="auto"/>
        </w:rPr>
        <w:t>，经对比分析，本版断后伸长率</w:t>
      </w:r>
      <w:r>
        <w:rPr>
          <w:rFonts w:hint="eastAsia" w:ascii="宋体" w:hAnsi="宋体" w:eastAsia="宋体"/>
          <w:color w:val="auto"/>
          <w:lang w:val="en-US" w:eastAsia="zh-CN"/>
        </w:rPr>
        <w:t>调整</w:t>
      </w:r>
      <w:r>
        <w:rPr>
          <w:rFonts w:hint="eastAsia" w:ascii="宋体" w:hAnsi="宋体" w:eastAsia="宋体"/>
          <w:color w:val="auto"/>
        </w:rPr>
        <w:t>为≥</w:t>
      </w:r>
      <w:r>
        <w:rPr>
          <w:rFonts w:hint="eastAsia" w:ascii="宋体" w:hAnsi="宋体" w:eastAsia="宋体"/>
          <w:color w:val="auto"/>
          <w:lang w:val="en-US" w:eastAsia="zh-CN"/>
        </w:rPr>
        <w:t>35</w:t>
      </w:r>
      <w:r>
        <w:rPr>
          <w:rFonts w:hint="eastAsia"/>
          <w:color w:val="auto"/>
        </w:rPr>
        <w:t>%</w:t>
      </w:r>
      <w:r>
        <w:rPr>
          <w:rFonts w:hint="eastAsia" w:ascii="宋体" w:hAnsi="宋体" w:eastAsia="宋体"/>
          <w:color w:val="auto"/>
        </w:rPr>
        <w:t>。</w:t>
      </w:r>
    </w:p>
    <w:p>
      <w:pPr>
        <w:numPr>
          <w:ilvl w:val="0"/>
          <w:numId w:val="0"/>
        </w:numPr>
        <w:tabs>
          <w:tab w:val="left" w:pos="7470"/>
        </w:tabs>
        <w:ind w:leftChars="20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维氏硬度</w:t>
      </w:r>
    </w:p>
    <w:p>
      <w:pPr>
        <w:tabs>
          <w:tab w:val="left" w:pos="7470"/>
        </w:tabs>
        <w:ind w:firstLine="420" w:firstLineChars="200"/>
        <w:rPr>
          <w:color w:val="auto"/>
        </w:rPr>
      </w:pPr>
      <w:r>
        <w:rPr>
          <w:rFonts w:hint="eastAsia"/>
          <w:b w:val="0"/>
          <w:bCs w:val="0"/>
          <w:color w:val="auto"/>
          <w:lang w:val="en-US" w:eastAsia="zh-CN"/>
        </w:rPr>
        <w:t>本次调研没有调研到</w:t>
      </w:r>
      <w:r>
        <w:rPr>
          <w:rFonts w:hint="eastAsia" w:asciiTheme="minorEastAsia" w:hAnsiTheme="minorEastAsia"/>
          <w:b w:val="0"/>
          <w:bCs w:val="0"/>
          <w:color w:val="auto"/>
          <w:szCs w:val="21"/>
          <w:lang w:val="en-US" w:eastAsia="zh-CN"/>
        </w:rPr>
        <w:t>相关</w:t>
      </w:r>
      <w:r>
        <w:rPr>
          <w:rFonts w:hint="eastAsia"/>
          <w:color w:val="auto"/>
          <w:lang w:val="en-US" w:eastAsia="zh-CN"/>
        </w:rPr>
        <w:t>的数据，所以本次修订仍维持原有数据不变。</w:t>
      </w:r>
      <w:r>
        <w:rPr>
          <w:color w:val="auto"/>
        </w:rPr>
        <w:tab/>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b/>
          <w:bCs/>
          <w:color w:val="auto"/>
          <w:szCs w:val="21"/>
          <w:lang w:val="en-US" w:eastAsia="zh-CN"/>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 xml:space="preserve">4.2 </w:t>
      </w:r>
      <w:r>
        <w:rPr>
          <w:rFonts w:hint="eastAsia"/>
          <w:b/>
          <w:bCs/>
          <w:color w:val="auto"/>
        </w:rPr>
        <w:t>O</w:t>
      </w:r>
      <w:r>
        <w:rPr>
          <w:rFonts w:hint="eastAsia" w:asciiTheme="minorEastAsia" w:hAnsiTheme="minorEastAsia"/>
          <w:b/>
          <w:bCs/>
          <w:color w:val="auto"/>
          <w:szCs w:val="21"/>
          <w:lang w:val="en-US" w:eastAsia="zh-CN"/>
        </w:rPr>
        <w:t>82</w:t>
      </w:r>
    </w:p>
    <w:p>
      <w:pPr>
        <w:pStyle w:val="2"/>
        <w:ind w:firstLine="420" w:firstLineChars="200"/>
        <w:rPr>
          <w:rFonts w:hint="eastAsia" w:asciiTheme="minorEastAsia" w:hAnsiTheme="minorEastAsia"/>
          <w:b/>
          <w:bCs/>
          <w:color w:val="auto"/>
          <w:szCs w:val="21"/>
          <w:lang w:val="en-US" w:eastAsia="zh-CN"/>
        </w:rPr>
      </w:pPr>
      <w:r>
        <w:rPr>
          <w:rFonts w:hint="eastAsia"/>
          <w:b w:val="0"/>
          <w:bCs w:val="0"/>
          <w:color w:val="auto"/>
          <w:lang w:val="en-US" w:eastAsia="zh-CN"/>
        </w:rPr>
        <w:t>本次调研没有调研到</w:t>
      </w:r>
      <w:r>
        <w:rPr>
          <w:rFonts w:hint="eastAsia" w:asciiTheme="minorEastAsia" w:hAnsiTheme="minorEastAsia"/>
          <w:b w:val="0"/>
          <w:bCs w:val="0"/>
          <w:color w:val="auto"/>
          <w:szCs w:val="21"/>
          <w:lang w:val="en-US" w:eastAsia="zh-CN"/>
        </w:rPr>
        <w:t>相关</w:t>
      </w:r>
      <w:r>
        <w:rPr>
          <w:rFonts w:hint="eastAsia"/>
          <w:color w:val="auto"/>
          <w:lang w:val="en-US" w:eastAsia="zh-CN"/>
        </w:rPr>
        <w:t>的数据，所以本次修订仍维持原有数据不变。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5</w:t>
      </w:r>
      <w:r>
        <w:rPr>
          <w:rFonts w:hint="eastAsia" w:asciiTheme="minorEastAsia" w:hAnsiTheme="minorEastAsia"/>
          <w:b/>
          <w:bCs/>
          <w:color w:val="auto"/>
          <w:szCs w:val="21"/>
        </w:rPr>
        <w:t xml:space="preserve">  BFe</w:t>
      </w:r>
      <w:r>
        <w:rPr>
          <w:rFonts w:hint="eastAsia" w:asciiTheme="minorEastAsia" w:hAnsiTheme="minorEastAsia"/>
          <w:b/>
          <w:bCs/>
          <w:color w:val="auto"/>
          <w:szCs w:val="21"/>
          <w:lang w:val="en-US" w:eastAsia="zh-CN"/>
        </w:rPr>
        <w:t>30</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2</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2</w:t>
      </w:r>
      <w:r>
        <w:rPr>
          <w:rFonts w:hint="eastAsia" w:asciiTheme="minorEastAsia" w:hAnsiTheme="minorEastAsia"/>
          <w:b/>
          <w:bCs/>
          <w:color w:val="auto"/>
          <w:szCs w:val="21"/>
        </w:rPr>
        <w:t>铜管性能频数和频率分析</w:t>
      </w:r>
    </w:p>
    <w:p>
      <w:pPr>
        <w:pStyle w:val="2"/>
        <w:ind w:firstLine="420" w:firstLineChars="200"/>
        <w:rPr>
          <w:rFonts w:hint="default" w:eastAsia="宋体"/>
          <w:color w:val="auto"/>
          <w:lang w:val="en-US" w:eastAsia="zh-CN"/>
        </w:rPr>
      </w:pPr>
      <w:r>
        <w:rPr>
          <w:rFonts w:hint="eastAsia"/>
          <w:b w:val="0"/>
          <w:bCs w:val="0"/>
          <w:color w:val="auto"/>
          <w:lang w:val="en-US" w:eastAsia="zh-CN"/>
        </w:rPr>
        <w:t>本次调研没有调研到</w:t>
      </w:r>
      <w:r>
        <w:rPr>
          <w:rFonts w:hint="eastAsia" w:asciiTheme="minorEastAsia" w:hAnsiTheme="minorEastAsia"/>
          <w:b w:val="0"/>
          <w:bCs w:val="0"/>
          <w:color w:val="auto"/>
          <w:szCs w:val="21"/>
        </w:rPr>
        <w:t>BFe</w:t>
      </w:r>
      <w:r>
        <w:rPr>
          <w:rFonts w:hint="eastAsia" w:asciiTheme="minorEastAsia" w:hAnsiTheme="minorEastAsia"/>
          <w:b w:val="0"/>
          <w:bCs w:val="0"/>
          <w:color w:val="auto"/>
          <w:szCs w:val="21"/>
          <w:lang w:val="en-US" w:eastAsia="zh-CN"/>
        </w:rPr>
        <w:t>30</w:t>
      </w:r>
      <w:r>
        <w:rPr>
          <w:rFonts w:hint="eastAsia" w:asciiTheme="minorEastAsia" w:hAnsiTheme="minorEastAsia"/>
          <w:b w:val="0"/>
          <w:bCs w:val="0"/>
          <w:color w:val="auto"/>
          <w:szCs w:val="21"/>
        </w:rPr>
        <w:t>-</w:t>
      </w:r>
      <w:r>
        <w:rPr>
          <w:rFonts w:hint="eastAsia" w:asciiTheme="minorEastAsia" w:hAnsiTheme="minorEastAsia"/>
          <w:b w:val="0"/>
          <w:bCs w:val="0"/>
          <w:color w:val="auto"/>
          <w:szCs w:val="21"/>
          <w:lang w:val="en-US" w:eastAsia="zh-CN"/>
        </w:rPr>
        <w:t>2</w:t>
      </w:r>
      <w:r>
        <w:rPr>
          <w:rFonts w:hint="eastAsia" w:asciiTheme="minorEastAsia" w:hAnsiTheme="minorEastAsia"/>
          <w:b w:val="0"/>
          <w:bCs w:val="0"/>
          <w:color w:val="auto"/>
          <w:szCs w:val="21"/>
        </w:rPr>
        <w:t>-</w:t>
      </w:r>
      <w:r>
        <w:rPr>
          <w:rFonts w:hint="eastAsia" w:asciiTheme="minorEastAsia" w:hAnsiTheme="minorEastAsia"/>
          <w:b w:val="0"/>
          <w:bCs w:val="0"/>
          <w:color w:val="auto"/>
          <w:szCs w:val="21"/>
          <w:lang w:val="en-US" w:eastAsia="zh-CN"/>
        </w:rPr>
        <w:t>2</w:t>
      </w:r>
      <w:r>
        <w:rPr>
          <w:rFonts w:hint="eastAsia"/>
          <w:color w:val="auto"/>
          <w:lang w:val="en-US" w:eastAsia="zh-CN"/>
        </w:rPr>
        <w:t>的相关数据，所以本次修订仍维持原有数据不变。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b/>
          <w:bCs/>
          <w:color w:val="auto"/>
          <w:szCs w:val="21"/>
        </w:rPr>
      </w:pPr>
      <w:r>
        <w:rPr>
          <w:rFonts w:hint="eastAsia" w:asciiTheme="minorEastAsia" w:hAnsiTheme="minorEastAsia"/>
          <w:b/>
          <w:bCs/>
          <w:color w:val="auto"/>
          <w:szCs w:val="21"/>
        </w:rPr>
        <w:t>4.2.</w:t>
      </w:r>
      <w:r>
        <w:rPr>
          <w:rFonts w:hint="eastAsia" w:asciiTheme="minorEastAsia" w:hAnsiTheme="minorEastAsia"/>
          <w:b/>
          <w:bCs/>
          <w:color w:val="auto"/>
          <w:szCs w:val="21"/>
          <w:lang w:val="en-US" w:eastAsia="zh-CN"/>
        </w:rPr>
        <w:t>4</w:t>
      </w:r>
      <w:r>
        <w:rPr>
          <w:rFonts w:hint="eastAsia" w:asciiTheme="minorEastAsia" w:hAnsiTheme="minorEastAsia"/>
          <w:b/>
          <w:bCs/>
          <w:color w:val="auto"/>
          <w:szCs w:val="21"/>
        </w:rPr>
        <w:t>.</w:t>
      </w:r>
      <w:r>
        <w:rPr>
          <w:rFonts w:hint="eastAsia" w:asciiTheme="minorEastAsia" w:hAnsiTheme="minorEastAsia"/>
          <w:b/>
          <w:bCs/>
          <w:color w:val="auto"/>
          <w:szCs w:val="21"/>
          <w:lang w:val="en-US" w:eastAsia="zh-CN"/>
        </w:rPr>
        <w:t>6</w:t>
      </w:r>
      <w:r>
        <w:rPr>
          <w:rFonts w:hint="eastAsia" w:asciiTheme="minorEastAsia" w:hAnsiTheme="minorEastAsia"/>
          <w:b/>
          <w:bCs/>
          <w:color w:val="auto"/>
          <w:szCs w:val="21"/>
        </w:rPr>
        <w:t xml:space="preserve">  </w:t>
      </w:r>
      <w:r>
        <w:rPr>
          <w:rFonts w:hint="eastAsia" w:asciiTheme="minorEastAsia" w:hAnsiTheme="minorEastAsia" w:eastAsiaTheme="minorEastAsia" w:cstheme="minorBidi"/>
          <w:b/>
          <w:bCs/>
          <w:color w:val="auto"/>
          <w:kern w:val="2"/>
          <w:sz w:val="21"/>
          <w:szCs w:val="21"/>
          <w:lang w:val="en-US" w:eastAsia="zh-CN" w:bidi="ar-SA"/>
        </w:rPr>
        <w:t>BFe10-1.5-1</w:t>
      </w:r>
      <w:r>
        <w:rPr>
          <w:rFonts w:hint="eastAsia" w:asciiTheme="minorEastAsia" w:hAnsiTheme="minorEastAsia"/>
          <w:b/>
          <w:bCs/>
          <w:color w:val="auto"/>
          <w:szCs w:val="21"/>
        </w:rPr>
        <w:t>铜管性能频数和频率分析</w:t>
      </w:r>
    </w:p>
    <w:p>
      <w:pPr>
        <w:pStyle w:val="2"/>
        <w:ind w:firstLine="420" w:firstLineChars="200"/>
        <w:rPr>
          <w:rFonts w:hint="default" w:asciiTheme="minorEastAsia" w:hAnsiTheme="minorEastAsia"/>
          <w:b/>
          <w:bCs/>
          <w:color w:val="auto"/>
          <w:szCs w:val="21"/>
          <w:lang w:val="en-US"/>
        </w:rPr>
      </w:pPr>
      <w:r>
        <w:rPr>
          <w:rFonts w:hint="eastAsia" w:asciiTheme="minorEastAsia" w:hAnsiTheme="minorEastAsia"/>
          <w:color w:val="auto"/>
          <w:szCs w:val="21"/>
          <w:lang w:val="en-US" w:eastAsia="zh-CN"/>
        </w:rPr>
        <w:t>BFe10-1-1.5牌号只调研</w:t>
      </w:r>
      <w:r>
        <w:rPr>
          <w:rFonts w:hint="eastAsia" w:asciiTheme="minorEastAsia" w:hAnsiTheme="minorEastAsia"/>
          <w:color w:val="auto"/>
          <w:szCs w:val="21"/>
        </w:rPr>
        <w:t>O</w:t>
      </w:r>
      <w:r>
        <w:rPr>
          <w:rFonts w:hint="eastAsia" w:asciiTheme="minorEastAsia" w:hAnsiTheme="minorEastAsia"/>
          <w:color w:val="auto"/>
          <w:szCs w:val="21"/>
          <w:lang w:val="en-US" w:eastAsia="zh-CN"/>
        </w:rPr>
        <w:t>81一种状态，本次调研到的数据只有维氏硬度。</w:t>
      </w:r>
    </w:p>
    <w:p>
      <w:pPr>
        <w:ind w:firstLine="420" w:firstLineChars="200"/>
        <w:rPr>
          <w:rFonts w:hint="eastAsia" w:ascii="宋体" w:hAnsi="宋体" w:eastAsia="宋体"/>
          <w:color w:val="auto"/>
          <w:lang w:val="en-US" w:eastAsia="zh-CN"/>
        </w:rPr>
      </w:pPr>
      <w:r>
        <w:rPr>
          <w:rFonts w:hint="eastAsia" w:asciiTheme="minorEastAsia" w:hAnsiTheme="minorEastAsia"/>
          <w:color w:val="auto"/>
          <w:szCs w:val="21"/>
        </w:rPr>
        <w:t>根据</w:t>
      </w:r>
      <w:r>
        <w:rPr>
          <w:rFonts w:hint="eastAsia"/>
          <w:color w:val="auto"/>
        </w:rPr>
        <w:t>实测</w:t>
      </w:r>
      <w:r>
        <w:rPr>
          <w:rFonts w:hint="eastAsia" w:asciiTheme="minorEastAsia" w:hAnsiTheme="minorEastAsia"/>
          <w:color w:val="auto"/>
          <w:szCs w:val="21"/>
          <w:lang w:val="en-US" w:eastAsia="zh-CN"/>
        </w:rPr>
        <w:t>BFe10-1-1.5</w:t>
      </w:r>
      <w:r>
        <w:rPr>
          <w:rFonts w:hint="eastAsia"/>
          <w:color w:val="auto"/>
        </w:rPr>
        <w:t xml:space="preserve"> O</w:t>
      </w:r>
      <w:r>
        <w:rPr>
          <w:rFonts w:hint="eastAsia"/>
          <w:color w:val="auto"/>
          <w:lang w:val="en-US" w:eastAsia="zh-CN"/>
        </w:rPr>
        <w:t>81</w:t>
      </w:r>
      <w:r>
        <w:rPr>
          <w:rFonts w:hint="eastAsia"/>
          <w:color w:val="auto"/>
        </w:rPr>
        <w:t xml:space="preserve"> 维氏硬度</w:t>
      </w:r>
      <w:r>
        <w:rPr>
          <w:rFonts w:hint="eastAsia"/>
          <w:color w:val="auto"/>
          <w:lang w:val="en-US" w:eastAsia="zh-CN"/>
        </w:rPr>
        <w:t>调研数据看，本次数据共收集到10个，较均匀的分布在90</w:t>
      </w:r>
      <w:r>
        <w:rPr>
          <w:rFonts w:hint="eastAsia" w:ascii="宋体" w:hAnsi="宋体" w:eastAsia="宋体"/>
          <w:color w:val="auto"/>
        </w:rPr>
        <w:t>～</w:t>
      </w:r>
      <w:r>
        <w:rPr>
          <w:rFonts w:hint="eastAsia"/>
          <w:color w:val="auto"/>
          <w:lang w:val="en-US" w:eastAsia="zh-CN"/>
        </w:rPr>
        <w:t>110之间，本牌号为本次修订新增，所以</w:t>
      </w:r>
      <w:r>
        <w:rPr>
          <w:rFonts w:hint="eastAsia" w:ascii="宋体" w:hAnsi="宋体" w:eastAsia="宋体"/>
          <w:color w:val="auto"/>
        </w:rPr>
        <w:t>本版指标</w:t>
      </w:r>
      <w:r>
        <w:rPr>
          <w:rFonts w:hint="eastAsia" w:ascii="宋体" w:hAnsi="宋体" w:eastAsia="宋体"/>
          <w:color w:val="auto"/>
          <w:lang w:val="en-US" w:eastAsia="zh-CN"/>
        </w:rPr>
        <w:t>为</w:t>
      </w:r>
      <w:r>
        <w:rPr>
          <w:rFonts w:hint="eastAsia"/>
          <w:color w:val="auto"/>
          <w:lang w:val="en-US" w:eastAsia="zh-CN"/>
        </w:rPr>
        <w:t>90</w:t>
      </w:r>
      <w:r>
        <w:rPr>
          <w:rFonts w:hint="eastAsia"/>
          <w:color w:val="auto"/>
          <w:lang w:val="en-US" w:eastAsia="zh-CN"/>
        </w:rPr>
        <w:t>HV</w:t>
      </w:r>
      <w:r>
        <w:rPr>
          <w:rFonts w:hint="eastAsia" w:ascii="宋体" w:hAnsi="宋体" w:eastAsia="宋体"/>
          <w:color w:val="auto"/>
        </w:rPr>
        <w:t>～</w:t>
      </w:r>
      <w:r>
        <w:rPr>
          <w:rFonts w:hint="eastAsia"/>
          <w:color w:val="auto"/>
          <w:lang w:val="en-US" w:eastAsia="zh-CN"/>
        </w:rPr>
        <w:t>110</w:t>
      </w:r>
      <w:r>
        <w:rPr>
          <w:rFonts w:hint="eastAsia"/>
          <w:color w:val="auto"/>
          <w:lang w:val="en-US" w:eastAsia="zh-CN"/>
        </w:rPr>
        <w:t>HV</w:t>
      </w:r>
      <w:r>
        <w:rPr>
          <w:rFonts w:hint="eastAsia" w:ascii="宋体" w:hAnsi="宋体" w:eastAsia="宋体"/>
          <w:color w:val="auto"/>
          <w:lang w:val="en-US" w:eastAsia="zh-CN"/>
        </w:rPr>
        <w:t>。</w:t>
      </w:r>
    </w:p>
    <w:p>
      <w:pPr>
        <w:pStyle w:val="2"/>
        <w:rPr>
          <w:rFonts w:hint="default" w:eastAsia="宋体"/>
          <w:color w:val="auto"/>
          <w:lang w:val="en-US" w:eastAsia="zh-CN"/>
        </w:rPr>
      </w:pPr>
      <w:r>
        <w:rPr>
          <w:rFonts w:hint="eastAsia" w:ascii="宋体" w:hAnsi="宋体"/>
          <w:color w:val="auto"/>
          <w:lang w:val="en-US" w:eastAsia="zh-CN"/>
        </w:rPr>
        <w:t xml:space="preserve">    但在实际需求和使用中，本牌号还有</w:t>
      </w:r>
      <w:r>
        <w:rPr>
          <w:rFonts w:hint="eastAsia"/>
          <w:color w:val="auto"/>
        </w:rPr>
        <w:t>O</w:t>
      </w:r>
      <w:r>
        <w:rPr>
          <w:rFonts w:hint="eastAsia"/>
          <w:color w:val="auto"/>
          <w:lang w:val="en-US" w:eastAsia="zh-CN"/>
        </w:rPr>
        <w:t>61状态，为了文本的完整性和使用性考虑，参照AS 1569《热交换用铜及铜合金无缝管》中C70610的规定，将</w:t>
      </w:r>
      <w:r>
        <w:rPr>
          <w:rFonts w:hint="eastAsia"/>
          <w:color w:val="auto"/>
        </w:rPr>
        <w:t>O</w:t>
      </w:r>
      <w:r>
        <w:rPr>
          <w:rFonts w:hint="eastAsia"/>
          <w:color w:val="auto"/>
          <w:lang w:val="en-US" w:eastAsia="zh-CN"/>
        </w:rPr>
        <w:t>61的抗拉强度和规定</w:t>
      </w:r>
      <w:r>
        <w:rPr>
          <w:rFonts w:hint="eastAsia"/>
          <w:color w:val="auto"/>
        </w:rPr>
        <w:t>非比例延伸强度</w:t>
      </w:r>
      <w:r>
        <w:rPr>
          <w:rFonts w:hint="eastAsia"/>
          <w:color w:val="auto"/>
          <w:lang w:val="en-US" w:eastAsia="zh-CN"/>
        </w:rPr>
        <w:t>分别制定为</w:t>
      </w:r>
      <w:r>
        <w:rPr>
          <w:rFonts w:hint="eastAsia" w:ascii="宋体" w:hAnsi="宋体" w:eastAsia="宋体"/>
          <w:color w:val="auto"/>
        </w:rPr>
        <w:t>≥</w:t>
      </w:r>
      <w:r>
        <w:rPr>
          <w:rFonts w:hint="eastAsia" w:ascii="宋体" w:hAnsi="宋体" w:eastAsia="宋体"/>
          <w:color w:val="auto"/>
          <w:lang w:val="en-US" w:eastAsia="zh-CN"/>
        </w:rPr>
        <w:t>300</w:t>
      </w:r>
      <w:r>
        <w:rPr>
          <w:rFonts w:hint="eastAsia" w:ascii="宋体" w:hAnsi="宋体"/>
          <w:color w:val="auto"/>
          <w:sz w:val="21"/>
          <w:szCs w:val="21"/>
        </w:rPr>
        <w:t>MPa</w:t>
      </w:r>
      <w:r>
        <w:rPr>
          <w:rFonts w:hint="eastAsia" w:ascii="宋体" w:hAnsi="宋体" w:eastAsia="宋体"/>
          <w:color w:val="auto"/>
          <w:lang w:val="en-US" w:eastAsia="zh-CN"/>
        </w:rPr>
        <w:t>，</w:t>
      </w:r>
      <w:r>
        <w:rPr>
          <w:rFonts w:hint="eastAsia" w:ascii="宋体" w:hAnsi="宋体" w:eastAsia="宋体"/>
          <w:color w:val="auto"/>
        </w:rPr>
        <w:t>≥</w:t>
      </w:r>
      <w:r>
        <w:rPr>
          <w:rFonts w:hint="eastAsia" w:ascii="宋体" w:hAnsi="宋体" w:eastAsia="宋体"/>
          <w:color w:val="auto"/>
          <w:lang w:val="en-US" w:eastAsia="zh-CN"/>
        </w:rPr>
        <w:t>100</w:t>
      </w:r>
      <w:r>
        <w:rPr>
          <w:rFonts w:hint="eastAsia" w:ascii="宋体" w:hAnsi="宋体"/>
          <w:color w:val="auto"/>
          <w:sz w:val="21"/>
          <w:szCs w:val="21"/>
        </w:rPr>
        <w:t>MPa</w:t>
      </w:r>
      <w:r>
        <w:rPr>
          <w:rFonts w:hint="eastAsia" w:ascii="宋体" w:hAnsi="宋体" w:eastAsia="宋体"/>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bCs/>
          <w:color w:val="auto"/>
        </w:rPr>
      </w:pPr>
      <w:r>
        <w:rPr>
          <w:rFonts w:hint="eastAsia" w:ascii="黑体" w:eastAsia="黑体"/>
          <w:bCs/>
          <w:color w:val="auto"/>
          <w:lang w:val="en-US" w:eastAsia="zh-CN"/>
        </w:rPr>
        <w:t>4.2.5</w:t>
      </w:r>
      <w:r>
        <w:rPr>
          <w:rFonts w:hint="eastAsia" w:ascii="黑体" w:eastAsia="黑体"/>
          <w:bCs/>
          <w:color w:val="auto"/>
        </w:rPr>
        <w:t xml:space="preserve">　工艺性能 </w:t>
      </w:r>
    </w:p>
    <w:p>
      <w:pPr>
        <w:ind w:firstLine="420" w:firstLineChars="200"/>
        <w:rPr>
          <w:rFonts w:hint="eastAsia"/>
          <w:color w:val="auto"/>
          <w:szCs w:val="21"/>
        </w:rPr>
      </w:pPr>
      <w:r>
        <w:rPr>
          <w:rFonts w:hint="eastAsia"/>
          <w:color w:val="auto"/>
          <w:szCs w:val="21"/>
          <w:lang w:val="en-US" w:eastAsia="zh-CN"/>
        </w:rPr>
        <w:t>在实际生产中，</w:t>
      </w:r>
      <w:r>
        <w:rPr>
          <w:rFonts w:hint="eastAsia"/>
          <w:color w:val="auto"/>
          <w:szCs w:val="21"/>
        </w:rPr>
        <w:t>O61态</w:t>
      </w:r>
      <w:r>
        <w:rPr>
          <w:rFonts w:hint="eastAsia"/>
          <w:color w:val="auto"/>
          <w:szCs w:val="21"/>
          <w:lang w:eastAsia="zh-CN"/>
        </w:rPr>
        <w:t>、</w:t>
      </w:r>
      <w:r>
        <w:rPr>
          <w:rFonts w:hint="eastAsia"/>
          <w:color w:val="auto"/>
          <w:szCs w:val="21"/>
          <w:lang w:val="en-US" w:eastAsia="zh-CN"/>
        </w:rPr>
        <w:t>O81态</w:t>
      </w:r>
      <w:r>
        <w:rPr>
          <w:rFonts w:hint="eastAsia"/>
          <w:color w:val="auto"/>
          <w:szCs w:val="21"/>
        </w:rPr>
        <w:t>和O82</w:t>
      </w:r>
      <w:r>
        <w:rPr>
          <w:rFonts w:hint="eastAsia"/>
          <w:color w:val="auto"/>
          <w:szCs w:val="21"/>
          <w:lang w:val="en-US" w:eastAsia="zh-CN"/>
        </w:rPr>
        <w:t>态的管材都要进行工艺性能实验，</w:t>
      </w:r>
      <w:r>
        <w:rPr>
          <w:rFonts w:hint="eastAsia"/>
          <w:color w:val="auto"/>
          <w:szCs w:val="21"/>
        </w:rPr>
        <w:t>试验后的管材不应有肉眼可见的裂纹和裂口。</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color w:val="auto"/>
          <w:szCs w:val="21"/>
        </w:rPr>
      </w:pPr>
      <w:r>
        <w:rPr>
          <w:rFonts w:hint="eastAsia" w:ascii="黑体" w:eastAsia="黑体"/>
          <w:color w:val="auto"/>
          <w:szCs w:val="21"/>
          <w:lang w:val="en-US" w:eastAsia="zh-CN"/>
        </w:rPr>
        <w:t>4.2</w:t>
      </w:r>
      <w:r>
        <w:rPr>
          <w:rFonts w:hint="eastAsia" w:ascii="黑体" w:eastAsia="黑体"/>
          <w:color w:val="auto"/>
          <w:szCs w:val="21"/>
        </w:rPr>
        <w:t>.5.1  压扁试验</w:t>
      </w:r>
    </w:p>
    <w:p>
      <w:pPr>
        <w:ind w:firstLine="435"/>
        <w:rPr>
          <w:rFonts w:hint="eastAsia"/>
          <w:color w:val="auto"/>
          <w:szCs w:val="21"/>
        </w:rPr>
      </w:pPr>
      <w:r>
        <w:rPr>
          <w:rFonts w:hint="eastAsia"/>
          <w:color w:val="auto"/>
          <w:szCs w:val="21"/>
        </w:rPr>
        <w:t>O61态</w:t>
      </w:r>
      <w:r>
        <w:rPr>
          <w:rFonts w:hint="eastAsia"/>
          <w:color w:val="auto"/>
          <w:szCs w:val="21"/>
          <w:lang w:eastAsia="zh-CN"/>
        </w:rPr>
        <w:t>、</w:t>
      </w:r>
      <w:r>
        <w:rPr>
          <w:rFonts w:hint="eastAsia"/>
          <w:color w:val="auto"/>
          <w:szCs w:val="21"/>
          <w:lang w:val="en-US" w:eastAsia="zh-CN"/>
        </w:rPr>
        <w:t>O81态</w:t>
      </w:r>
      <w:r>
        <w:rPr>
          <w:rFonts w:hint="eastAsia"/>
          <w:color w:val="auto"/>
          <w:szCs w:val="21"/>
        </w:rPr>
        <w:t>和O82</w:t>
      </w:r>
      <w:r>
        <w:rPr>
          <w:rFonts w:hint="eastAsia"/>
          <w:color w:val="auto"/>
          <w:szCs w:val="21"/>
          <w:lang w:val="en-US" w:eastAsia="zh-CN"/>
        </w:rPr>
        <w:t>态</w:t>
      </w:r>
      <w:r>
        <w:rPr>
          <w:rFonts w:hint="eastAsia"/>
          <w:color w:val="auto"/>
          <w:szCs w:val="21"/>
        </w:rPr>
        <w:t>管材压扁至内壁间距等于壁厚。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color w:val="auto"/>
          <w:szCs w:val="21"/>
        </w:rPr>
      </w:pPr>
      <w:r>
        <w:rPr>
          <w:rFonts w:hint="eastAsia" w:ascii="黑体" w:eastAsia="黑体"/>
          <w:color w:val="auto"/>
          <w:szCs w:val="21"/>
          <w:lang w:val="en-US" w:eastAsia="zh-CN"/>
        </w:rPr>
        <w:t>4.2</w:t>
      </w:r>
      <w:r>
        <w:rPr>
          <w:rFonts w:hint="eastAsia" w:ascii="黑体" w:eastAsia="黑体"/>
          <w:color w:val="auto"/>
          <w:szCs w:val="21"/>
        </w:rPr>
        <w:t>.5.2  扩口试验</w:t>
      </w:r>
    </w:p>
    <w:p>
      <w:pPr>
        <w:ind w:firstLine="420" w:firstLineChars="200"/>
        <w:rPr>
          <w:rFonts w:hint="eastAsia" w:ascii="黑体" w:eastAsia="黑体"/>
          <w:color w:val="auto"/>
          <w:szCs w:val="21"/>
        </w:rPr>
      </w:pPr>
      <w:r>
        <w:rPr>
          <w:rFonts w:hint="eastAsia"/>
          <w:color w:val="auto"/>
          <w:szCs w:val="21"/>
        </w:rPr>
        <w:t>O61态</w:t>
      </w:r>
      <w:r>
        <w:rPr>
          <w:rFonts w:hint="eastAsia"/>
          <w:color w:val="auto"/>
          <w:szCs w:val="21"/>
          <w:lang w:eastAsia="zh-CN"/>
        </w:rPr>
        <w:t>、</w:t>
      </w:r>
      <w:r>
        <w:rPr>
          <w:rFonts w:hint="eastAsia"/>
          <w:color w:val="auto"/>
          <w:szCs w:val="21"/>
          <w:lang w:val="en-US" w:eastAsia="zh-CN"/>
        </w:rPr>
        <w:t>O81态</w:t>
      </w:r>
      <w:r>
        <w:rPr>
          <w:rFonts w:hint="eastAsia"/>
          <w:color w:val="auto"/>
          <w:szCs w:val="21"/>
        </w:rPr>
        <w:t>和O82</w:t>
      </w:r>
      <w:r>
        <w:rPr>
          <w:rFonts w:hint="eastAsia"/>
          <w:color w:val="auto"/>
          <w:szCs w:val="21"/>
          <w:vertAlign w:val="baseline"/>
          <w:lang w:val="en-US" w:eastAsia="zh-CN"/>
        </w:rPr>
        <w:t>态</w:t>
      </w:r>
      <w:r>
        <w:rPr>
          <w:rFonts w:hint="eastAsia"/>
          <w:color w:val="auto"/>
          <w:szCs w:val="21"/>
        </w:rPr>
        <w:t>管材的扩口试验应符合表</w:t>
      </w:r>
      <w:r>
        <w:rPr>
          <w:rFonts w:hint="eastAsia"/>
          <w:color w:val="auto"/>
          <w:szCs w:val="21"/>
          <w:lang w:val="en-US" w:eastAsia="zh-CN"/>
        </w:rPr>
        <w:t>6</w:t>
      </w:r>
      <w:r>
        <w:rPr>
          <w:rFonts w:hint="eastAsia"/>
          <w:color w:val="auto"/>
          <w:szCs w:val="21"/>
        </w:rPr>
        <w:t>的规定。</w:t>
      </w:r>
    </w:p>
    <w:tbl>
      <w:tblPr>
        <w:tblStyle w:val="11"/>
        <w:tblW w:w="45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3"/>
        <w:gridCol w:w="1798"/>
        <w:gridCol w:w="2807"/>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牌号</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状态</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1"/>
                <w:color w:val="auto"/>
                <w:lang w:val="en-US" w:eastAsia="zh-CN" w:bidi="ar"/>
              </w:rPr>
              <w:t>扩口</w:t>
            </w:r>
            <w:r>
              <w:rPr>
                <w:rStyle w:val="72"/>
                <w:color w:val="auto"/>
                <w:lang w:val="en-US" w:eastAsia="zh-CN" w:bidi="ar"/>
              </w:rPr>
              <w:t>率</w:t>
            </w:r>
            <w:r>
              <w:rPr>
                <w:rStyle w:val="73"/>
                <w:rFonts w:eastAsia="宋体"/>
                <w:color w:val="auto"/>
                <w:lang w:val="en-US" w:eastAsia="zh-CN" w:bidi="ar"/>
              </w:rPr>
              <w:t>/%</w:t>
            </w:r>
          </w:p>
        </w:tc>
        <w:tc>
          <w:tcPr>
            <w:tcW w:w="11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顶芯锥度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HAl77-2</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Style w:val="73"/>
                <w:rFonts w:eastAsia="等线"/>
                <w:color w:val="auto"/>
                <w:lang w:val="en-US" w:eastAsia="zh-CN" w:bidi="ar"/>
              </w:rPr>
              <w:t>60</w:t>
            </w:r>
            <w:r>
              <w:rPr>
                <w:rStyle w:val="71"/>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BFe10-1-1</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20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BFe30-1-1</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20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BFe30-2-2</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20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8"/>
                <w:szCs w:val="18"/>
                <w:u w:val="none"/>
              </w:rPr>
            </w:pPr>
            <w:r>
              <w:rPr>
                <w:rFonts w:hint="default" w:ascii="Times New Roman" w:hAnsi="Times New Roman" w:eastAsia="等线" w:cs="Times New Roman"/>
                <w:i w:val="0"/>
                <w:iCs w:val="0"/>
                <w:color w:val="auto"/>
                <w:kern w:val="0"/>
                <w:sz w:val="18"/>
                <w:szCs w:val="18"/>
                <w:u w:val="none"/>
                <w:lang w:val="en-US" w:eastAsia="zh-CN" w:bidi="ar"/>
              </w:rPr>
              <w:t>BFe16-1-1-0.5</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18"/>
                <w:szCs w:val="18"/>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20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8"/>
                <w:szCs w:val="18"/>
                <w:u w:val="none"/>
              </w:rPr>
            </w:pPr>
            <w:r>
              <w:rPr>
                <w:rFonts w:hint="default" w:ascii="Times New Roman" w:hAnsi="Times New Roman" w:eastAsia="等线" w:cs="Times New Roman"/>
                <w:i w:val="0"/>
                <w:iCs w:val="0"/>
                <w:color w:val="auto"/>
                <w:kern w:val="0"/>
                <w:sz w:val="18"/>
                <w:szCs w:val="18"/>
                <w:u w:val="none"/>
                <w:lang w:val="en-US" w:eastAsia="zh-CN" w:bidi="ar"/>
              </w:rPr>
              <w:t>BFe10-1.5-1</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30</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18"/>
                <w:szCs w:val="18"/>
                <w:u w:val="none"/>
              </w:rPr>
            </w:pPr>
          </w:p>
        </w:tc>
        <w:tc>
          <w:tcPr>
            <w:tcW w:w="10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O81</w:t>
            </w:r>
          </w:p>
        </w:tc>
        <w:tc>
          <w:tcPr>
            <w:tcW w:w="1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lang w:val="en-US" w:eastAsia="zh-CN" w:bidi="ar"/>
              </w:rPr>
              <w:t>25</w:t>
            </w:r>
          </w:p>
        </w:tc>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iCs w:val="0"/>
                <w:color w:val="auto"/>
                <w:sz w:val="21"/>
                <w:szCs w:val="21"/>
                <w:u w:val="none"/>
              </w:rPr>
            </w:pPr>
          </w:p>
        </w:tc>
      </w:tr>
    </w:tbl>
    <w:p>
      <w:pPr>
        <w:pStyle w:val="9"/>
        <w:ind w:firstLine="420" w:firstLineChars="200"/>
        <w:rPr>
          <w:rFonts w:hint="eastAsia"/>
          <w:color w:val="auto"/>
          <w:lang w:val="en-US" w:eastAsia="zh-CN"/>
        </w:rPr>
      </w:pPr>
    </w:p>
    <w:p>
      <w:pPr>
        <w:pStyle w:val="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rPr>
      </w:pPr>
      <w:r>
        <w:rPr>
          <w:rFonts w:hint="eastAsia"/>
          <w:color w:val="auto"/>
          <w:lang w:val="en-US" w:eastAsia="zh-CN"/>
        </w:rPr>
        <w:t>4.2</w:t>
      </w:r>
      <w:r>
        <w:rPr>
          <w:rFonts w:hint="eastAsia"/>
          <w:color w:val="auto"/>
        </w:rPr>
        <w:t>.6  晶粒度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Theme="minorEastAsia"/>
          <w:color w:val="auto"/>
          <w:szCs w:val="21"/>
          <w:lang w:val="en-US" w:eastAsia="zh-CN"/>
        </w:rPr>
      </w:pPr>
      <w:r>
        <w:rPr>
          <w:rFonts w:hint="eastAsia"/>
          <w:color w:val="auto"/>
          <w:szCs w:val="21"/>
          <w:lang w:val="en-US" w:eastAsia="zh-CN"/>
        </w:rPr>
        <w:t>本次调研到的</w:t>
      </w:r>
      <w:r>
        <w:rPr>
          <w:rFonts w:hint="eastAsia"/>
          <w:color w:val="auto"/>
          <w:szCs w:val="21"/>
        </w:rPr>
        <w:t>O61态</w:t>
      </w:r>
      <w:r>
        <w:rPr>
          <w:rFonts w:hint="eastAsia"/>
          <w:color w:val="auto"/>
          <w:szCs w:val="21"/>
          <w:lang w:eastAsia="zh-CN"/>
        </w:rPr>
        <w:t>、</w:t>
      </w:r>
      <w:r>
        <w:rPr>
          <w:rFonts w:hint="eastAsia"/>
          <w:color w:val="auto"/>
          <w:szCs w:val="21"/>
          <w:lang w:val="en-US" w:eastAsia="zh-CN"/>
        </w:rPr>
        <w:t>O81态</w:t>
      </w:r>
      <w:r>
        <w:rPr>
          <w:rFonts w:hint="eastAsia"/>
          <w:color w:val="auto"/>
          <w:szCs w:val="21"/>
        </w:rPr>
        <w:t>和O82态管材平均晶粒度</w:t>
      </w:r>
      <w:r>
        <w:rPr>
          <w:rFonts w:hint="eastAsia"/>
          <w:color w:val="auto"/>
          <w:szCs w:val="21"/>
          <w:lang w:val="en-US" w:eastAsia="zh-CN"/>
        </w:rPr>
        <w:t>数据在0.015</w:t>
      </w:r>
      <w:r>
        <w:rPr>
          <w:rFonts w:hint="eastAsia"/>
          <w:color w:val="auto"/>
          <w:szCs w:val="21"/>
        </w:rPr>
        <w:t>㎜～0.045㎜</w:t>
      </w:r>
      <w:r>
        <w:rPr>
          <w:rFonts w:hint="eastAsia"/>
          <w:color w:val="auto"/>
          <w:szCs w:val="21"/>
          <w:lang w:val="en-US" w:eastAsia="zh-CN"/>
        </w:rPr>
        <w:t>之间，本标准2009版标准指标为</w:t>
      </w:r>
      <w:r>
        <w:rPr>
          <w:rFonts w:hint="eastAsia"/>
          <w:color w:val="auto"/>
          <w:szCs w:val="21"/>
        </w:rPr>
        <w:t>0.010㎜～0.045㎜</w:t>
      </w:r>
      <w:r>
        <w:rPr>
          <w:rFonts w:hint="eastAsia"/>
          <w:color w:val="auto"/>
          <w:szCs w:val="21"/>
          <w:lang w:eastAsia="zh-CN"/>
        </w:rPr>
        <w:t>，</w:t>
      </w:r>
      <w:r>
        <w:rPr>
          <w:rFonts w:hint="eastAsia"/>
          <w:color w:val="auto"/>
          <w:szCs w:val="21"/>
          <w:lang w:val="en-US" w:eastAsia="zh-CN"/>
        </w:rPr>
        <w:t>所以本次修订维持原有指标不变。</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bCs/>
          <w:color w:val="auto"/>
        </w:rPr>
      </w:pPr>
      <w:r>
        <w:rPr>
          <w:rFonts w:hint="eastAsia" w:ascii="黑体" w:eastAsia="黑体"/>
          <w:bCs/>
          <w:color w:val="auto"/>
          <w:lang w:val="en-US" w:eastAsia="zh-CN"/>
        </w:rPr>
        <w:t>4.2</w:t>
      </w:r>
      <w:r>
        <w:rPr>
          <w:rFonts w:hint="eastAsia" w:ascii="黑体" w:eastAsia="黑体"/>
          <w:bCs/>
          <w:color w:val="auto"/>
        </w:rPr>
        <w:t>.7  残余应力试验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rPr>
      </w:pPr>
      <w:r>
        <w:rPr>
          <w:rFonts w:hint="eastAsia"/>
          <w:color w:val="auto"/>
        </w:rPr>
        <w:t>管材应进行残余应力试验。试验后不应出现肉眼可见的裂纹。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color w:val="auto"/>
        </w:rPr>
      </w:pPr>
      <w:r>
        <w:rPr>
          <w:rFonts w:hint="eastAsia" w:ascii="黑体" w:eastAsia="黑体"/>
          <w:color w:val="auto"/>
          <w:lang w:val="en-US" w:eastAsia="zh-CN"/>
        </w:rPr>
        <w:t>4.2</w:t>
      </w:r>
      <w:r>
        <w:rPr>
          <w:rFonts w:hint="eastAsia" w:ascii="黑体" w:eastAsia="黑体"/>
          <w:color w:val="auto"/>
        </w:rPr>
        <w:t>.8  无损检验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Cs/>
          <w:color w:val="auto"/>
        </w:rPr>
      </w:pPr>
      <w:r>
        <w:rPr>
          <w:rFonts w:hint="eastAsia"/>
          <w:bCs/>
          <w:color w:val="auto"/>
        </w:rPr>
        <w:t>管材应进行涡流探伤试验，如需方要求并在合同中注明时，也可进行水压或气压试验。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bCs/>
          <w:color w:val="auto"/>
        </w:rPr>
      </w:pPr>
      <w:r>
        <w:rPr>
          <w:rFonts w:hint="eastAsia" w:ascii="黑体" w:eastAsia="黑体"/>
          <w:bCs/>
          <w:color w:val="auto"/>
          <w:lang w:val="en-US" w:eastAsia="zh-CN"/>
        </w:rPr>
        <w:t>4.2</w:t>
      </w:r>
      <w:r>
        <w:rPr>
          <w:rFonts w:hint="eastAsia" w:ascii="黑体" w:eastAsia="黑体"/>
          <w:bCs/>
          <w:color w:val="auto"/>
        </w:rPr>
        <w:t>.8.1  涡流探伤试验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Cs/>
          <w:color w:val="auto"/>
        </w:rPr>
      </w:pPr>
      <w:r>
        <w:rPr>
          <w:rFonts w:hint="eastAsia"/>
          <w:bCs/>
          <w:color w:val="auto"/>
        </w:rPr>
        <w:t xml:space="preserve">    管材的涡流探伤试验应符合</w:t>
      </w:r>
      <w:r>
        <w:rPr>
          <w:rFonts w:hint="eastAsia"/>
          <w:color w:val="auto"/>
        </w:rPr>
        <w:t>GB</w:t>
      </w:r>
      <w:r>
        <w:rPr>
          <w:color w:val="auto"/>
        </w:rPr>
        <w:t>/T</w:t>
      </w:r>
      <w:r>
        <w:rPr>
          <w:rFonts w:hint="eastAsia"/>
          <w:color w:val="auto"/>
        </w:rPr>
        <w:t xml:space="preserve"> 5248或供需双方协商的要求。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color w:val="auto"/>
        </w:rPr>
      </w:pPr>
      <w:r>
        <w:rPr>
          <w:rFonts w:hint="eastAsia" w:ascii="黑体" w:eastAsia="黑体"/>
          <w:color w:val="auto"/>
          <w:lang w:val="en-US" w:eastAsia="zh-CN"/>
        </w:rPr>
        <w:t>4.2</w:t>
      </w:r>
      <w:r>
        <w:rPr>
          <w:rFonts w:hint="eastAsia" w:ascii="黑体" w:eastAsia="黑体"/>
          <w:color w:val="auto"/>
        </w:rPr>
        <w:t>.8.2  水压试验</w:t>
      </w:r>
    </w:p>
    <w:p>
      <w:pPr>
        <w:ind w:firstLine="420" w:firstLineChars="200"/>
        <w:rPr>
          <w:rFonts w:hint="eastAsia"/>
          <w:color w:val="auto"/>
        </w:rPr>
      </w:pPr>
      <w:r>
        <w:rPr>
          <w:rFonts w:hint="eastAsia"/>
          <w:color w:val="auto"/>
        </w:rPr>
        <w:t>试验时，每根管材应经受一次持续时间</w:t>
      </w:r>
      <w:r>
        <w:rPr>
          <w:rFonts w:hint="eastAsia"/>
          <w:color w:val="auto"/>
          <w:highlight w:val="none"/>
        </w:rPr>
        <w:t>10s~15s</w:t>
      </w:r>
      <w:r>
        <w:rPr>
          <w:rFonts w:hint="eastAsia"/>
          <w:color w:val="auto"/>
        </w:rPr>
        <w:t>的内部静水压力而不产生渗漏或永久变形现象。此压力可由公式(1)求出。</w:t>
      </w:r>
    </w:p>
    <w:p>
      <w:pPr>
        <w:rPr>
          <w:rFonts w:hint="eastAsia"/>
          <w:color w:val="auto"/>
        </w:rPr>
      </w:pPr>
      <w:r>
        <w:rPr>
          <w:rFonts w:hint="eastAsia"/>
          <w:color w:val="auto"/>
        </w:rPr>
        <w:t xml:space="preserve">       P＝2St/(D－0.8t)        …………………………………………………………(1)</w:t>
      </w:r>
    </w:p>
    <w:p>
      <w:pPr>
        <w:ind w:firstLine="570"/>
        <w:rPr>
          <w:rFonts w:hint="eastAsia"/>
          <w:color w:val="auto"/>
        </w:rPr>
      </w:pPr>
      <w:r>
        <w:rPr>
          <w:rFonts w:hint="eastAsia"/>
          <w:color w:val="auto"/>
        </w:rPr>
        <w:t xml:space="preserve">式中：P——静水压力，单位为牛顿每平方毫米( </w:t>
      </w:r>
      <w:r>
        <w:rPr>
          <w:rFonts w:hint="eastAsia" w:ascii="宋体" w:hAnsi="宋体"/>
          <w:color w:val="auto"/>
          <w:sz w:val="18"/>
          <w:szCs w:val="18"/>
        </w:rPr>
        <w:t>MPa</w:t>
      </w:r>
      <w:r>
        <w:rPr>
          <w:rFonts w:hint="eastAsia"/>
          <w:color w:val="auto"/>
        </w:rPr>
        <w:t>)；</w:t>
      </w:r>
    </w:p>
    <w:p>
      <w:pPr>
        <w:ind w:firstLine="570"/>
        <w:rPr>
          <w:rFonts w:hint="eastAsia"/>
          <w:color w:val="auto"/>
        </w:rPr>
      </w:pPr>
      <w:r>
        <w:rPr>
          <w:rFonts w:hint="eastAsia"/>
          <w:color w:val="auto"/>
        </w:rPr>
        <w:t xml:space="preserve">      t——管材壁厚，单位为毫米（mm）；</w:t>
      </w:r>
    </w:p>
    <w:p>
      <w:pPr>
        <w:ind w:firstLine="570"/>
        <w:rPr>
          <w:rFonts w:hint="eastAsia"/>
          <w:color w:val="auto"/>
        </w:rPr>
      </w:pPr>
      <w:r>
        <w:rPr>
          <w:rFonts w:hint="eastAsia"/>
          <w:color w:val="auto"/>
        </w:rPr>
        <w:t xml:space="preserve">      D——管材外径，单位为毫米（mm）；</w:t>
      </w:r>
    </w:p>
    <w:p>
      <w:pPr>
        <w:ind w:firstLine="420" w:firstLineChars="200"/>
        <w:rPr>
          <w:rFonts w:hint="eastAsia"/>
          <w:color w:val="auto"/>
          <w:highlight w:val="none"/>
        </w:rPr>
      </w:pPr>
      <w:r>
        <w:rPr>
          <w:rFonts w:hint="eastAsia"/>
          <w:color w:val="auto"/>
        </w:rPr>
        <w:t xml:space="preserve">      S——</w:t>
      </w:r>
      <w:r>
        <w:rPr>
          <w:rFonts w:hint="eastAsia"/>
          <w:color w:val="auto"/>
          <w:highlight w:val="none"/>
        </w:rPr>
        <w:t>材料的允</w:t>
      </w:r>
      <w:r>
        <w:rPr>
          <w:rFonts w:hint="eastAsia"/>
          <w:color w:val="auto"/>
          <w:highlight w:val="none"/>
        </w:rPr>
        <w:t>许应力</w:t>
      </w:r>
      <w:r>
        <w:rPr>
          <w:rFonts w:hint="eastAsia"/>
          <w:color w:val="auto"/>
          <w:highlight w:val="none"/>
          <w:lang w:val="en-US" w:eastAsia="zh-CN"/>
        </w:rPr>
        <w:t>取值</w:t>
      </w:r>
      <w:r>
        <w:rPr>
          <w:rFonts w:hint="eastAsia"/>
          <w:color w:val="auto"/>
          <w:highlight w:val="none"/>
        </w:rPr>
        <w:t>48</w:t>
      </w:r>
      <w:r>
        <w:rPr>
          <w:rFonts w:hint="eastAsia" w:ascii="宋体" w:hAnsi="宋体"/>
          <w:color w:val="auto"/>
          <w:sz w:val="18"/>
          <w:szCs w:val="18"/>
          <w:highlight w:val="none"/>
        </w:rPr>
        <w:t>MPa</w:t>
      </w:r>
      <w:r>
        <w:rPr>
          <w:rFonts w:hint="eastAsia"/>
          <w:color w:val="auto"/>
          <w:highlight w:val="none"/>
        </w:rPr>
        <w:t>，</w:t>
      </w:r>
      <w:r>
        <w:rPr>
          <w:rFonts w:hint="eastAsia"/>
          <w:color w:val="auto"/>
          <w:highlight w:val="none"/>
        </w:rPr>
        <w:t xml:space="preserve">单位为牛顿每平方毫米( </w:t>
      </w:r>
      <w:r>
        <w:rPr>
          <w:rFonts w:hint="eastAsia" w:ascii="宋体" w:hAnsi="宋体"/>
          <w:color w:val="auto"/>
          <w:sz w:val="18"/>
          <w:szCs w:val="18"/>
          <w:highlight w:val="none"/>
        </w:rPr>
        <w:t>MPa</w:t>
      </w:r>
      <w:r>
        <w:rPr>
          <w:rFonts w:hint="eastAsia"/>
          <w:color w:val="auto"/>
          <w:highlight w:val="none"/>
        </w:rPr>
        <w:t>)。</w:t>
      </w:r>
    </w:p>
    <w:p>
      <w:pPr>
        <w:ind w:firstLine="420" w:firstLineChars="200"/>
        <w:rPr>
          <w:rFonts w:hint="eastAsia"/>
          <w:color w:val="auto"/>
          <w:highlight w:val="none"/>
        </w:rPr>
      </w:pPr>
      <w:r>
        <w:rPr>
          <w:rFonts w:hint="eastAsia"/>
          <w:color w:val="auto"/>
          <w:highlight w:val="none"/>
        </w:rPr>
        <w:t>除非另有规定，</w:t>
      </w:r>
      <w:r>
        <w:rPr>
          <w:rFonts w:hint="eastAsia"/>
          <w:color w:val="auto"/>
          <w:highlight w:val="none"/>
          <w:lang w:val="en-US" w:eastAsia="zh-CN"/>
        </w:rPr>
        <w:t>公式（1）计算出的P值，如果大</w:t>
      </w:r>
      <w:r>
        <w:rPr>
          <w:rFonts w:hint="eastAsia" w:ascii="Times New Roman" w:hAnsi="Times New Roman" w:eastAsia="宋体" w:cs="Times New Roman"/>
          <w:color w:val="auto"/>
          <w:highlight w:val="none"/>
          <w:lang w:val="en-US" w:eastAsia="zh-CN"/>
        </w:rPr>
        <w:t>于</w:t>
      </w:r>
      <w:r>
        <w:rPr>
          <w:rFonts w:hint="eastAsia" w:ascii="Times New Roman" w:hAnsi="Times New Roman" w:eastAsia="宋体" w:cs="Times New Roman"/>
          <w:color w:val="auto"/>
          <w:highlight w:val="none"/>
        </w:rPr>
        <w:t xml:space="preserve">6.9 </w:t>
      </w:r>
      <w:r>
        <w:rPr>
          <w:rFonts w:hint="eastAsia" w:ascii="Times New Roman" w:hAnsi="Times New Roman" w:eastAsia="宋体" w:cs="Times New Roman"/>
          <w:color w:val="auto"/>
          <w:sz w:val="21"/>
          <w:szCs w:val="24"/>
          <w:highlight w:val="none"/>
        </w:rPr>
        <w:t>MPa</w:t>
      </w:r>
      <w:r>
        <w:rPr>
          <w:rFonts w:hint="eastAsia" w:ascii="Times New Roman" w:hAnsi="Times New Roman" w:eastAsia="宋体" w:cs="Times New Roman"/>
          <w:color w:val="auto"/>
          <w:sz w:val="21"/>
          <w:szCs w:val="24"/>
          <w:highlight w:val="none"/>
          <w:lang w:val="en-US" w:eastAsia="zh-CN"/>
        </w:rPr>
        <w:t>时</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就采用</w:t>
      </w:r>
      <w:r>
        <w:rPr>
          <w:rFonts w:hint="eastAsia" w:ascii="Times New Roman" w:hAnsi="Times New Roman" w:eastAsia="宋体" w:cs="Times New Roman"/>
          <w:color w:val="auto"/>
          <w:highlight w:val="none"/>
        </w:rPr>
        <w:t xml:space="preserve">6.9 </w:t>
      </w:r>
      <w:r>
        <w:rPr>
          <w:rFonts w:hint="eastAsia" w:ascii="Times New Roman" w:hAnsi="Times New Roman" w:eastAsia="宋体" w:cs="Times New Roman"/>
          <w:color w:val="auto"/>
          <w:sz w:val="21"/>
          <w:szCs w:val="24"/>
          <w:highlight w:val="none"/>
        </w:rPr>
        <w:t>MPa</w:t>
      </w:r>
      <w:r>
        <w:rPr>
          <w:rFonts w:hint="eastAsia" w:ascii="Times New Roman" w:hAnsi="Times New Roman" w:eastAsia="宋体" w:cs="Times New Roman"/>
          <w:color w:val="auto"/>
          <w:highlight w:val="none"/>
        </w:rPr>
        <w:t>的静水压</w:t>
      </w:r>
      <w:r>
        <w:rPr>
          <w:rFonts w:hint="eastAsia"/>
          <w:color w:val="auto"/>
          <w:highlight w:val="none"/>
          <w:lang w:val="en-US" w:eastAsia="zh-CN"/>
        </w:rPr>
        <w:t>进行</w:t>
      </w:r>
      <w:r>
        <w:rPr>
          <w:rFonts w:hint="eastAsia"/>
          <w:color w:val="auto"/>
          <w:highlight w:val="none"/>
        </w:rPr>
        <w:t>试验。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黑体" w:eastAsia="黑体"/>
          <w:color w:val="auto"/>
          <w:highlight w:val="none"/>
        </w:rPr>
      </w:pPr>
      <w:r>
        <w:rPr>
          <w:rFonts w:hint="eastAsia" w:ascii="黑体" w:eastAsia="黑体"/>
          <w:color w:val="auto"/>
          <w:highlight w:val="none"/>
          <w:lang w:val="en-US" w:eastAsia="zh-CN"/>
        </w:rPr>
        <w:t>4.2.8.3</w:t>
      </w:r>
      <w:r>
        <w:rPr>
          <w:rFonts w:hint="eastAsia" w:ascii="黑体" w:eastAsia="黑体"/>
          <w:color w:val="auto"/>
          <w:highlight w:val="none"/>
        </w:rPr>
        <w:t>气压试验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Theme="minorEastAsia"/>
          <w:color w:val="auto"/>
          <w:highlight w:val="yellow"/>
          <w:lang w:val="en-US" w:eastAsia="zh-CN"/>
        </w:rPr>
      </w:pPr>
      <w:r>
        <w:rPr>
          <w:rFonts w:hint="eastAsia" w:ascii="黑体" w:eastAsia="黑体"/>
          <w:color w:val="auto"/>
          <w:highlight w:val="none"/>
        </w:rPr>
        <w:t xml:space="preserve">    </w:t>
      </w:r>
      <w:r>
        <w:rPr>
          <w:rFonts w:hint="eastAsia"/>
          <w:color w:val="auto"/>
          <w:highlight w:val="none"/>
        </w:rPr>
        <w:t>管材进行气压试验时，其空气压力为0.4</w:t>
      </w:r>
      <w:r>
        <w:rPr>
          <w:rFonts w:hint="eastAsia" w:ascii="宋体" w:hAnsi="宋体"/>
          <w:color w:val="auto"/>
          <w:sz w:val="21"/>
          <w:szCs w:val="21"/>
        </w:rPr>
        <w:t>MPa</w:t>
      </w:r>
      <w:r>
        <w:rPr>
          <w:rFonts w:hint="eastAsia"/>
          <w:color w:val="auto"/>
          <w:highlight w:val="none"/>
        </w:rPr>
        <w:t>，</w:t>
      </w:r>
      <w:r>
        <w:rPr>
          <w:rFonts w:hint="eastAsia"/>
          <w:strike w:val="0"/>
          <w:dstrike w:val="0"/>
          <w:color w:val="auto"/>
          <w:highlight w:val="none"/>
        </w:rPr>
        <w:t>管材完全浸入水中</w:t>
      </w:r>
      <w:r>
        <w:rPr>
          <w:rFonts w:hint="eastAsia"/>
          <w:strike w:val="0"/>
          <w:dstrike w:val="0"/>
          <w:color w:val="auto"/>
          <w:highlight w:val="none"/>
          <w:lang w:val="en-US" w:eastAsia="zh-CN"/>
        </w:rPr>
        <w:t>保压</w:t>
      </w:r>
      <w:r>
        <w:rPr>
          <w:rFonts w:hint="eastAsia"/>
          <w:strike w:val="0"/>
          <w:color w:val="auto"/>
          <w:highlight w:val="none"/>
        </w:rPr>
        <w:t>至少10s，应无</w:t>
      </w:r>
      <w:r>
        <w:rPr>
          <w:rFonts w:hint="eastAsia"/>
          <w:strike w:val="0"/>
          <w:dstrike w:val="0"/>
          <w:color w:val="auto"/>
          <w:highlight w:val="none"/>
        </w:rPr>
        <w:t>气泡</w:t>
      </w:r>
      <w:r>
        <w:rPr>
          <w:rFonts w:hint="eastAsia"/>
          <w:strike w:val="0"/>
          <w:color w:val="auto"/>
          <w:highlight w:val="none"/>
          <w:lang w:val="en-US" w:eastAsia="zh-CN"/>
        </w:rPr>
        <w:t>泄漏</w:t>
      </w:r>
      <w:r>
        <w:rPr>
          <w:rFonts w:hint="eastAsia"/>
          <w:color w:val="auto"/>
          <w:highlight w:val="none"/>
        </w:rPr>
        <w:t>出现。</w:t>
      </w:r>
      <w:r>
        <w:rPr>
          <w:rFonts w:hint="eastAsia"/>
          <w:color w:val="auto"/>
          <w:highlight w:val="none"/>
          <w:lang w:val="en-US" w:eastAsia="zh-CN"/>
        </w:rPr>
        <w:t>管材完全浸入水中容易污染管材，造成氧化，</w:t>
      </w:r>
      <w:r>
        <w:rPr>
          <w:rFonts w:hint="eastAsia"/>
          <w:color w:val="auto"/>
          <w:highlight w:val="none"/>
        </w:rPr>
        <w:t>管材试验时，应与具有压力的气源保持连接，让具有一定压力的空气保持在管内。压力维持时间不少</w:t>
      </w:r>
      <w:r>
        <w:rPr>
          <w:rFonts w:hint="eastAsia"/>
          <w:color w:val="auto"/>
          <w:highlight w:val="none"/>
          <w:lang w:val="en-US" w:eastAsia="zh-CN"/>
        </w:rPr>
        <w:t>于</w:t>
      </w:r>
      <w:r>
        <w:rPr>
          <w:rFonts w:hint="eastAsia"/>
          <w:color w:val="auto"/>
          <w:highlight w:val="none"/>
        </w:rPr>
        <w:t>10 s</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黑体" w:eastAsia="黑体"/>
          <w:color w:val="auto"/>
        </w:rPr>
      </w:pPr>
      <w:r>
        <w:rPr>
          <w:rFonts w:hint="eastAsia" w:ascii="黑体" w:eastAsia="黑体"/>
          <w:color w:val="auto"/>
          <w:lang w:val="en-US" w:eastAsia="zh-CN"/>
        </w:rPr>
        <w:t>4.2.9</w:t>
      </w:r>
      <w:r>
        <w:rPr>
          <w:rFonts w:hint="eastAsia" w:ascii="黑体" w:eastAsia="黑体"/>
          <w:color w:val="auto"/>
        </w:rPr>
        <w:t>残碳试验</w:t>
      </w:r>
    </w:p>
    <w:p>
      <w:pPr>
        <w:pStyle w:val="2"/>
        <w:ind w:firstLine="420" w:firstLineChars="200"/>
        <w:rPr>
          <w:rFonts w:hint="eastAsia"/>
          <w:color w:val="auto"/>
        </w:rPr>
      </w:pPr>
      <w:r>
        <w:rPr>
          <w:rFonts w:hint="eastAsia"/>
          <w:color w:val="auto"/>
        </w:rPr>
        <w:t>管材应进行残碳试验，其允许的残碳</w:t>
      </w:r>
      <w:r>
        <w:rPr>
          <w:rFonts w:hint="eastAsia"/>
          <w:i/>
          <w:iCs/>
          <w:color w:val="auto"/>
          <w:lang w:val="en-US" w:eastAsia="zh-CN"/>
        </w:rPr>
        <w:t>C</w:t>
      </w:r>
      <w:r>
        <w:rPr>
          <w:rFonts w:hint="eastAsia"/>
          <w:color w:val="auto"/>
          <w:vertAlign w:val="subscript"/>
        </w:rPr>
        <w:t>R</w:t>
      </w:r>
      <w:r>
        <w:rPr>
          <w:rFonts w:hint="eastAsia"/>
          <w:color w:val="auto"/>
        </w:rPr>
        <w:t>≤0.2mg/</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 xml:space="preserve"> 本次修订将定性碳膜实验要求进行了删除。</w:t>
      </w:r>
    </w:p>
    <w:p>
      <w:pPr>
        <w:pStyle w:val="2"/>
        <w:ind w:firstLine="420" w:firstLineChars="200"/>
        <w:rPr>
          <w:rFonts w:hint="eastAsia"/>
          <w:color w:val="auto"/>
          <w:lang w:val="en-US" w:eastAsia="zh-CN"/>
        </w:rPr>
      </w:pPr>
      <w:r>
        <w:rPr>
          <w:rFonts w:hint="eastAsia"/>
          <w:color w:val="auto"/>
          <w:lang w:val="en-US" w:eastAsia="zh-CN"/>
        </w:rPr>
        <w:t>主要依据来源于以下实测数据：</w:t>
      </w:r>
    </w:p>
    <w:tbl>
      <w:tblPr>
        <w:tblStyle w:val="11"/>
        <w:tblW w:w="6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380"/>
        <w:gridCol w:w="872"/>
        <w:gridCol w:w="1364"/>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牌号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状态</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规格</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内表面残碳量</w:t>
            </w:r>
            <w:r>
              <w:rPr>
                <w:rFonts w:hint="eastAsia" w:ascii="Times New Roman" w:hAnsi="Times New Roman" w:eastAsia="等线" w:cs="Times New Roman"/>
                <w:i w:val="0"/>
                <w:iCs w:val="0"/>
                <w:color w:val="auto"/>
                <w:kern w:val="0"/>
                <w:sz w:val="21"/>
                <w:szCs w:val="21"/>
                <w:u w:val="none"/>
                <w:lang w:val="en-US" w:eastAsia="zh-CN" w:bidi="ar"/>
              </w:rPr>
              <w:t>mg/m</w:t>
            </w:r>
            <w:r>
              <w:rPr>
                <w:rFonts w:hint="eastAsia" w:ascii="Times New Roman" w:hAnsi="Times New Roman" w:eastAsia="等线" w:cs="Times New Roman"/>
                <w:i w:val="0"/>
                <w:iCs w:val="0"/>
                <w:color w:val="auto"/>
                <w:kern w:val="0"/>
                <w:sz w:val="21"/>
                <w:szCs w:val="21"/>
                <w:u w:val="none"/>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BFe10-1-1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30*1*23120</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HAl77-2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O60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44*1*23155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auto"/>
                <w:kern w:val="0"/>
                <w:sz w:val="21"/>
                <w:szCs w:val="21"/>
                <w:u w:val="none"/>
                <w:lang w:val="en-US" w:eastAsia="zh-CN" w:bidi="ar"/>
              </w:rPr>
            </w:pPr>
            <w:r>
              <w:rPr>
                <w:rFonts w:hint="eastAsia" w:ascii="Times New Roman" w:hAnsi="Times New Roman" w:eastAsia="等线" w:cs="Times New Roman"/>
                <w:i w:val="0"/>
                <w:iCs w:val="0"/>
                <w:color w:val="auto"/>
                <w:kern w:val="0"/>
                <w:sz w:val="21"/>
                <w:szCs w:val="21"/>
                <w:u w:val="none"/>
                <w:lang w:val="en-US" w:eastAsia="zh-CN" w:bidi="ar"/>
              </w:rPr>
              <w:t>15</w:t>
            </w:r>
          </w:p>
        </w:tc>
      </w:tr>
    </w:tbl>
    <w:p>
      <w:pPr>
        <w:pStyle w:val="2"/>
        <w:ind w:firstLine="420" w:firstLineChars="20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黑体" w:eastAsia="黑体"/>
          <w:color w:val="auto"/>
        </w:rPr>
      </w:pPr>
      <w:r>
        <w:rPr>
          <w:rFonts w:hint="eastAsia" w:ascii="黑体" w:eastAsia="黑体"/>
          <w:color w:val="auto"/>
          <w:lang w:val="en-US" w:eastAsia="zh-CN"/>
        </w:rPr>
        <w:t>4.2.10</w:t>
      </w:r>
      <w:r>
        <w:rPr>
          <w:rFonts w:hint="eastAsia" w:ascii="黑体" w:eastAsia="黑体"/>
          <w:color w:val="auto"/>
        </w:rPr>
        <w:t xml:space="preserve"> </w:t>
      </w:r>
      <w:r>
        <w:rPr>
          <w:rFonts w:hint="eastAsia" w:ascii="黑体" w:eastAsia="黑体"/>
          <w:color w:val="auto"/>
        </w:rPr>
        <w:t>电化学腐蚀性能试验</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eastAsia="宋体"/>
          <w:color w:val="auto"/>
          <w:lang w:val="en-US" w:eastAsia="zh-CN"/>
        </w:rPr>
      </w:pPr>
      <w:r>
        <w:rPr>
          <w:rFonts w:hint="eastAsia"/>
          <w:color w:val="auto"/>
        </w:rPr>
        <w:t>管材</w:t>
      </w:r>
      <w:r>
        <w:rPr>
          <w:rFonts w:hint="eastAsia"/>
          <w:color w:val="auto"/>
          <w:szCs w:val="21"/>
        </w:rPr>
        <w:t>应进行电化学腐蚀性能试验，</w:t>
      </w:r>
      <w:r>
        <w:rPr>
          <w:rFonts w:hint="eastAsia"/>
          <w:color w:val="auto"/>
          <w:szCs w:val="21"/>
          <w:lang w:val="en-US" w:eastAsia="zh-CN"/>
        </w:rPr>
        <w:t>标准</w:t>
      </w:r>
      <w:r>
        <w:rPr>
          <w:rFonts w:hint="eastAsia"/>
          <w:color w:val="auto"/>
        </w:rPr>
        <w:t>要求</w:t>
      </w:r>
      <w:r>
        <w:rPr>
          <w:rFonts w:hint="eastAsia"/>
          <w:color w:val="auto"/>
          <w:szCs w:val="21"/>
        </w:rPr>
        <w:t>管材内外表面电位差</w:t>
      </w:r>
      <w:r>
        <w:rPr>
          <w:rFonts w:hint="eastAsia" w:hAnsi="宋体"/>
          <w:color w:val="auto"/>
        </w:rPr>
        <w:t>Δ</w:t>
      </w:r>
      <w:r>
        <w:rPr>
          <w:rFonts w:hint="eastAsia"/>
          <w:color w:val="auto"/>
        </w:rPr>
        <w:t>E</w:t>
      </w:r>
      <w:r>
        <w:rPr>
          <w:rFonts w:hint="eastAsia" w:hAnsi="宋体"/>
          <w:color w:val="auto"/>
        </w:rPr>
        <w:t>≤</w:t>
      </w:r>
      <w:r>
        <w:rPr>
          <w:rFonts w:hint="eastAsia"/>
          <w:color w:val="auto"/>
        </w:rPr>
        <w:t>0.07V。</w:t>
      </w:r>
      <w:r>
        <w:rPr>
          <w:rFonts w:hint="eastAsia"/>
          <w:color w:val="auto"/>
          <w:lang w:val="en-US" w:eastAsia="zh-CN"/>
        </w:rPr>
        <w:t>在实际检测中，管材的</w:t>
      </w:r>
      <w:r>
        <w:rPr>
          <w:rFonts w:hint="eastAsia"/>
          <w:color w:val="auto"/>
          <w:szCs w:val="21"/>
        </w:rPr>
        <w:t>管材内外表面电位差</w:t>
      </w:r>
      <w:r>
        <w:rPr>
          <w:rFonts w:hint="eastAsia"/>
          <w:color w:val="auto"/>
          <w:lang w:val="en-US" w:eastAsia="zh-CN"/>
        </w:rPr>
        <w:t>指标一般在0.03</w:t>
      </w:r>
      <w:r>
        <w:rPr>
          <w:rFonts w:hint="eastAsia"/>
          <w:color w:val="auto"/>
        </w:rPr>
        <w:t>V</w:t>
      </w:r>
      <w:r>
        <w:rPr>
          <w:rFonts w:hint="eastAsia" w:ascii="宋体" w:hAnsi="宋体" w:eastAsia="宋体" w:cs="宋体"/>
          <w:color w:val="auto"/>
          <w:lang w:val="en-US" w:eastAsia="zh-CN"/>
        </w:rPr>
        <w:t>～</w:t>
      </w:r>
      <w:r>
        <w:rPr>
          <w:rFonts w:hint="eastAsia"/>
          <w:color w:val="auto"/>
          <w:lang w:val="en-US" w:eastAsia="zh-CN"/>
        </w:rPr>
        <w:t>0.04</w:t>
      </w:r>
      <w:r>
        <w:rPr>
          <w:rFonts w:hint="eastAsia"/>
          <w:color w:val="auto"/>
        </w:rPr>
        <w:t>V</w:t>
      </w:r>
      <w:r>
        <w:rPr>
          <w:rFonts w:hint="eastAsia"/>
          <w:color w:val="auto"/>
          <w:lang w:val="en-US" w:eastAsia="zh-CN"/>
        </w:rPr>
        <w:t>之间。</w:t>
      </w:r>
    </w:p>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黑体" w:eastAsia="黑体"/>
          <w:bCs/>
          <w:color w:val="auto"/>
        </w:rPr>
      </w:pPr>
      <w:r>
        <w:rPr>
          <w:rFonts w:hint="eastAsia" w:ascii="黑体" w:eastAsia="黑体"/>
          <w:bCs/>
          <w:color w:val="auto"/>
          <w:lang w:val="en-US" w:eastAsia="zh-CN"/>
        </w:rPr>
        <w:t>4.2</w:t>
      </w:r>
      <w:r>
        <w:rPr>
          <w:rFonts w:hint="eastAsia" w:ascii="黑体" w:eastAsia="黑体"/>
          <w:bCs/>
          <w:color w:val="auto"/>
        </w:rPr>
        <w:t>.1</w:t>
      </w:r>
      <w:r>
        <w:rPr>
          <w:rFonts w:hint="eastAsia" w:ascii="黑体" w:eastAsia="黑体"/>
          <w:bCs/>
          <w:color w:val="auto"/>
          <w:lang w:val="en-US" w:eastAsia="zh-CN"/>
        </w:rPr>
        <w:t>1</w:t>
      </w:r>
      <w:r>
        <w:rPr>
          <w:rFonts w:hint="eastAsia" w:ascii="黑体" w:eastAsia="黑体"/>
          <w:bCs/>
          <w:color w:val="auto"/>
        </w:rPr>
        <w:t xml:space="preserve"> 表面质量</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黑体" w:hAnsi="黑体" w:eastAsia="黑体"/>
          <w:color w:val="auto"/>
          <w:szCs w:val="21"/>
        </w:rPr>
      </w:pPr>
      <w:r>
        <w:rPr>
          <w:rFonts w:hint="eastAsia"/>
          <w:color w:val="auto"/>
        </w:rPr>
        <w:t>管材的内外表面应清洁、光亮，不应存在影响使用的有害缺陷。</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contextualSpacing/>
        <w:textAlignment w:val="auto"/>
        <w:rPr>
          <w:rFonts w:ascii="黑体" w:hAnsi="黑体" w:eastAsia="黑体"/>
          <w:color w:val="auto"/>
          <w:szCs w:val="21"/>
        </w:rPr>
      </w:pPr>
      <w:r>
        <w:rPr>
          <w:rFonts w:hint="eastAsia" w:ascii="黑体" w:hAnsi="黑体" w:eastAsia="黑体"/>
          <w:color w:val="auto"/>
          <w:szCs w:val="21"/>
        </w:rPr>
        <w:t>标准水平分析</w:t>
      </w:r>
      <w:r>
        <w:rPr>
          <w:rFonts w:ascii="黑体" w:hAnsi="黑体" w:eastAsia="黑体"/>
          <w:color w:val="auto"/>
          <w:szCs w:val="21"/>
        </w:rPr>
        <w:t xml:space="preserve"> </w:t>
      </w:r>
    </w:p>
    <w:p>
      <w:pPr>
        <w:spacing w:line="300" w:lineRule="auto"/>
        <w:ind w:firstLine="420" w:firstLineChars="200"/>
        <w:rPr>
          <w:rFonts w:asciiTheme="majorEastAsia" w:hAnsiTheme="majorEastAsia" w:eastAsiaTheme="majorEastAsia"/>
          <w:color w:val="auto"/>
          <w:szCs w:val="21"/>
          <w:highlight w:val="none"/>
        </w:rPr>
      </w:pPr>
      <w:r>
        <w:rPr>
          <w:rFonts w:hint="eastAsia" w:hAnsi="宋体"/>
          <w:color w:val="auto"/>
        </w:rPr>
        <w:t>本标准是修订标准，是根据我国实际生产使用情况和结合国外先进产品标准</w:t>
      </w:r>
      <w:r>
        <w:rPr>
          <w:rFonts w:asciiTheme="majorEastAsia" w:hAnsiTheme="majorEastAsia" w:eastAsiaTheme="majorEastAsia"/>
          <w:color w:val="auto"/>
          <w:szCs w:val="21"/>
        </w:rPr>
        <w:t>ASTM B</w:t>
      </w:r>
      <w:r>
        <w:rPr>
          <w:rFonts w:hint="eastAsia" w:asciiTheme="majorEastAsia" w:hAnsiTheme="majorEastAsia" w:eastAsiaTheme="majorEastAsia"/>
          <w:color w:val="auto"/>
          <w:szCs w:val="21"/>
          <w:lang w:val="en-US" w:eastAsia="zh-CN"/>
        </w:rPr>
        <w:t>552</w:t>
      </w:r>
      <w:r>
        <w:rPr>
          <w:rFonts w:asciiTheme="majorEastAsia" w:hAnsiTheme="majorEastAsia" w:eastAsiaTheme="majorEastAsia"/>
          <w:color w:val="auto"/>
          <w:szCs w:val="21"/>
        </w:rPr>
        <w:t>-20</w:t>
      </w:r>
      <w:r>
        <w:rPr>
          <w:rFonts w:hint="eastAsia" w:asciiTheme="majorEastAsia" w:hAnsiTheme="majorEastAsia" w:eastAsiaTheme="majorEastAsia"/>
          <w:color w:val="auto"/>
          <w:szCs w:val="21"/>
          <w:lang w:val="en-US" w:eastAsia="zh-CN"/>
        </w:rPr>
        <w:t>19</w:t>
      </w:r>
      <w:r>
        <w:rPr>
          <w:rFonts w:hint="eastAsia" w:hAnsi="宋体"/>
          <w:color w:val="auto"/>
        </w:rPr>
        <w:t>进行修订的。</w:t>
      </w:r>
      <w:r>
        <w:rPr>
          <w:rFonts w:hint="eastAsia" w:asciiTheme="majorEastAsia" w:hAnsiTheme="majorEastAsia" w:eastAsiaTheme="majorEastAsia"/>
          <w:color w:val="auto"/>
          <w:szCs w:val="21"/>
          <w:highlight w:val="none"/>
          <w:lang w:val="en-US" w:eastAsia="zh-CN"/>
        </w:rPr>
        <w:t>本标准在</w:t>
      </w:r>
      <w:r>
        <w:rPr>
          <w:rFonts w:hint="eastAsia" w:ascii="Times New Roman" w:hAnsi="宋体"/>
          <w:color w:val="auto"/>
          <w:szCs w:val="22"/>
          <w:highlight w:val="none"/>
          <w:lang w:val="en-US" w:eastAsia="zh-CN"/>
        </w:rPr>
        <w:t>GB/T 23609－2009《海水淡化装置用铜合金无缝管》的基础上，</w:t>
      </w:r>
      <w:r>
        <w:rPr>
          <w:rFonts w:hint="eastAsia" w:asciiTheme="majorEastAsia" w:hAnsiTheme="majorEastAsia" w:eastAsiaTheme="majorEastAsia"/>
          <w:color w:val="auto"/>
          <w:szCs w:val="21"/>
          <w:highlight w:val="none"/>
        </w:rPr>
        <w:t>主要</w:t>
      </w:r>
      <w:r>
        <w:rPr>
          <w:rFonts w:hint="eastAsia" w:asciiTheme="majorEastAsia" w:hAnsiTheme="majorEastAsia" w:eastAsiaTheme="majorEastAsia"/>
          <w:color w:val="auto"/>
          <w:szCs w:val="21"/>
          <w:highlight w:val="none"/>
          <w:lang w:val="en-US" w:eastAsia="zh-CN"/>
        </w:rPr>
        <w:t>进行了</w:t>
      </w:r>
      <w:r>
        <w:rPr>
          <w:rFonts w:hint="eastAsia" w:asciiTheme="majorEastAsia" w:hAnsiTheme="majorEastAsia" w:eastAsiaTheme="majorEastAsia"/>
          <w:color w:val="auto"/>
          <w:szCs w:val="21"/>
          <w:highlight w:val="none"/>
        </w:rPr>
        <w:t>如下</w:t>
      </w:r>
      <w:r>
        <w:rPr>
          <w:rFonts w:hint="eastAsia" w:asciiTheme="majorEastAsia" w:hAnsiTheme="majorEastAsia" w:eastAsiaTheme="majorEastAsia"/>
          <w:color w:val="auto"/>
          <w:szCs w:val="21"/>
          <w:highlight w:val="none"/>
          <w:lang w:val="en-US" w:eastAsia="zh-CN"/>
        </w:rPr>
        <w:t>内容的</w:t>
      </w:r>
      <w:r>
        <w:rPr>
          <w:rFonts w:hint="eastAsia" w:asciiTheme="majorEastAsia" w:hAnsiTheme="majorEastAsia" w:eastAsiaTheme="majorEastAsia"/>
          <w:color w:val="auto"/>
          <w:szCs w:val="21"/>
          <w:highlight w:val="none"/>
        </w:rPr>
        <w:t>修订：</w:t>
      </w:r>
    </w:p>
    <w:p>
      <w:pPr>
        <w:pStyle w:val="48"/>
        <w:ind w:firstLine="420"/>
        <w:jc w:val="left"/>
        <w:rPr>
          <w:rFonts w:hAnsi="宋体"/>
          <w:color w:val="auto"/>
        </w:rPr>
      </w:pPr>
      <w:r>
        <w:rPr>
          <w:rFonts w:hint="eastAsia" w:ascii="Times New Roman"/>
          <w:color w:val="auto"/>
        </w:rPr>
        <w:t>a）</w:t>
      </w:r>
      <w:r>
        <w:rPr>
          <w:rFonts w:hint="eastAsia" w:hAnsi="宋体"/>
          <w:color w:val="auto"/>
        </w:rPr>
        <w:t>增加了代号，</w:t>
      </w:r>
      <w:r>
        <w:rPr>
          <w:rFonts w:hint="eastAsia" w:hAnsi="宋体"/>
          <w:color w:val="auto"/>
          <w:lang w:val="en-US" w:eastAsia="zh-CN"/>
        </w:rPr>
        <w:t>更改</w:t>
      </w:r>
      <w:r>
        <w:rPr>
          <w:rFonts w:hint="eastAsia" w:hAnsi="宋体"/>
          <w:color w:val="auto"/>
        </w:rPr>
        <w:t>了状态表示</w:t>
      </w:r>
      <w:r>
        <w:rPr>
          <w:rFonts w:hint="eastAsia" w:hAnsi="宋体"/>
          <w:color w:val="auto"/>
          <w:lang w:val="en-US" w:eastAsia="zh-CN"/>
        </w:rPr>
        <w:t>方法</w:t>
      </w:r>
      <w:r>
        <w:rPr>
          <w:rFonts w:hint="eastAsia" w:hAnsi="宋体"/>
          <w:color w:val="auto"/>
        </w:rPr>
        <w:t>；</w:t>
      </w:r>
    </w:p>
    <w:p>
      <w:pPr>
        <w:pStyle w:val="29"/>
        <w:numPr>
          <w:ilvl w:val="0"/>
          <w:numId w:val="0"/>
        </w:numPr>
        <w:tabs>
          <w:tab w:val="left" w:pos="854"/>
          <w:tab w:val="clear" w:pos="1140"/>
        </w:tabs>
        <w:ind w:left="0" w:leftChars="0" w:firstLine="420" w:firstLineChars="200"/>
        <w:jc w:val="left"/>
        <w:rPr>
          <w:rFonts w:hint="eastAsia" w:ascii="Times New Roman" w:hAnsi="Times New Roman" w:eastAsia="宋体" w:cs="Times New Roman"/>
          <w:color w:val="auto"/>
          <w:szCs w:val="22"/>
        </w:rPr>
      </w:pPr>
      <w:r>
        <w:rPr>
          <w:rFonts w:hint="eastAsia" w:ascii="Times New Roman"/>
          <w:color w:val="auto"/>
        </w:rPr>
        <w:t>b）增加了</w:t>
      </w:r>
      <w:r>
        <w:rPr>
          <w:rFonts w:hint="eastAsia"/>
          <w:color w:val="auto"/>
          <w:szCs w:val="21"/>
        </w:rPr>
        <w:t>BFe10-1.5-1</w:t>
      </w:r>
      <w:r>
        <w:rPr>
          <w:rFonts w:hint="eastAsia" w:ascii="Times New Roman"/>
          <w:color w:val="auto"/>
        </w:rPr>
        <w:t>牌号</w:t>
      </w:r>
      <w:r>
        <w:rPr>
          <w:rFonts w:hint="eastAsia" w:ascii="Times New Roman"/>
          <w:color w:val="auto"/>
          <w:lang w:val="en-US" w:eastAsia="zh-CN"/>
        </w:rPr>
        <w:t>和</w:t>
      </w:r>
      <w:r>
        <w:rPr>
          <w:rFonts w:hint="eastAsia" w:ascii="Times New Roman" w:hAnsi="Times New Roman" w:eastAsia="宋体" w:cs="Times New Roman"/>
          <w:color w:val="auto"/>
          <w:sz w:val="21"/>
          <w:szCs w:val="22"/>
          <w:highlight w:val="none"/>
        </w:rPr>
        <w:t>轻拉（H55）</w:t>
      </w:r>
      <w:r>
        <w:rPr>
          <w:rFonts w:hint="eastAsia" w:ascii="Times New Roman" w:hAnsi="Times New Roman" w:eastAsia="宋体" w:cs="Times New Roman"/>
          <w:color w:val="auto"/>
          <w:sz w:val="21"/>
          <w:szCs w:val="22"/>
          <w:highlight w:val="none"/>
          <w:lang w:val="en-US" w:eastAsia="zh-CN"/>
        </w:rPr>
        <w:t>和</w:t>
      </w:r>
      <w:r>
        <w:rPr>
          <w:rFonts w:hint="eastAsia" w:ascii="Times New Roman" w:hAnsi="Times New Roman" w:eastAsia="宋体" w:cs="Times New Roman"/>
          <w:color w:val="auto"/>
          <w:szCs w:val="22"/>
        </w:rPr>
        <w:t>退火到1/4硬（O81）</w:t>
      </w:r>
      <w:r>
        <w:rPr>
          <w:rFonts w:hint="eastAsia" w:ascii="Times New Roman" w:hAnsi="Times New Roman" w:eastAsia="宋体" w:cs="Times New Roman"/>
          <w:color w:val="auto"/>
          <w:szCs w:val="22"/>
          <w:lang w:val="en-US" w:eastAsia="zh-CN"/>
        </w:rPr>
        <w:t>两</w:t>
      </w:r>
      <w:r>
        <w:rPr>
          <w:rFonts w:hint="eastAsia" w:ascii="Times New Roman" w:hAnsi="Times New Roman" w:eastAsia="宋体" w:cs="Times New Roman"/>
          <w:color w:val="auto"/>
          <w:szCs w:val="22"/>
        </w:rPr>
        <w:t>个状态</w:t>
      </w:r>
      <w:r>
        <w:rPr>
          <w:rFonts w:hint="eastAsia" w:ascii="Times New Roman" w:hAnsi="Times New Roman" w:eastAsia="宋体" w:cs="Times New Roman"/>
          <w:color w:val="auto"/>
          <w:sz w:val="21"/>
          <w:szCs w:val="22"/>
        </w:rPr>
        <w:t>；</w:t>
      </w:r>
    </w:p>
    <w:p>
      <w:pPr>
        <w:pStyle w:val="29"/>
        <w:numPr>
          <w:ilvl w:val="0"/>
          <w:numId w:val="0"/>
        </w:numPr>
        <w:tabs>
          <w:tab w:val="left" w:pos="854"/>
          <w:tab w:val="clear" w:pos="1140"/>
        </w:tabs>
        <w:ind w:left="840" w:leftChars="200" w:hanging="420" w:hangingChars="200"/>
        <w:jc w:val="left"/>
        <w:rPr>
          <w:rFonts w:hint="eastAsia"/>
          <w:color w:val="auto"/>
          <w:szCs w:val="21"/>
        </w:rPr>
      </w:pPr>
      <w:r>
        <w:rPr>
          <w:rFonts w:hint="eastAsia" w:ascii="Times New Roman"/>
          <w:color w:val="auto"/>
        </w:rPr>
        <w:t>c）</w:t>
      </w:r>
      <w:r>
        <w:rPr>
          <w:rFonts w:hint="eastAsia" w:ascii="Times New Roman"/>
          <w:color w:val="auto"/>
          <w:szCs w:val="22"/>
        </w:rPr>
        <w:t>更改了规格范围，长度范围由“</w:t>
      </w:r>
      <w:r>
        <w:rPr>
          <w:rFonts w:hint="eastAsia"/>
          <w:color w:val="auto"/>
          <w:szCs w:val="21"/>
        </w:rPr>
        <w:t>3000</w:t>
      </w:r>
      <w:r>
        <w:rPr>
          <w:rFonts w:hint="eastAsia" w:ascii="Times New Roman"/>
          <w:color w:val="auto"/>
        </w:rPr>
        <w:t>mm</w:t>
      </w:r>
      <w:r>
        <w:rPr>
          <w:rFonts w:hint="eastAsia"/>
          <w:color w:val="auto"/>
          <w:szCs w:val="21"/>
        </w:rPr>
        <w:t>～8000</w:t>
      </w:r>
      <w:r>
        <w:rPr>
          <w:rFonts w:hint="eastAsia" w:ascii="Times New Roman"/>
          <w:color w:val="auto"/>
        </w:rPr>
        <w:t>mm</w:t>
      </w:r>
      <w:r>
        <w:rPr>
          <w:rFonts w:hint="eastAsia" w:ascii="Times New Roman"/>
          <w:color w:val="auto"/>
          <w:szCs w:val="22"/>
        </w:rPr>
        <w:t>”更改为“</w:t>
      </w:r>
      <w:r>
        <w:rPr>
          <w:rFonts w:hint="eastAsia"/>
          <w:color w:val="auto"/>
          <w:szCs w:val="21"/>
        </w:rPr>
        <w:t>1000</w:t>
      </w:r>
      <w:r>
        <w:rPr>
          <w:rFonts w:hint="eastAsia" w:ascii="Times New Roman"/>
          <w:color w:val="auto"/>
        </w:rPr>
        <w:t>mm</w:t>
      </w:r>
      <w:r>
        <w:rPr>
          <w:rFonts w:hint="eastAsia"/>
          <w:color w:val="auto"/>
          <w:szCs w:val="21"/>
        </w:rPr>
        <w:t>～9000</w:t>
      </w:r>
      <w:r>
        <w:rPr>
          <w:rFonts w:hint="eastAsia" w:ascii="Times New Roman"/>
          <w:color w:val="auto"/>
        </w:rPr>
        <w:t>mm</w:t>
      </w:r>
      <w:r>
        <w:rPr>
          <w:rFonts w:hint="eastAsia" w:ascii="Times New Roman"/>
          <w:color w:val="auto"/>
          <w:szCs w:val="22"/>
        </w:rPr>
        <w:t>”，“</w:t>
      </w:r>
      <w:r>
        <w:rPr>
          <w:rFonts w:hint="eastAsia"/>
          <w:color w:val="auto"/>
          <w:szCs w:val="21"/>
        </w:rPr>
        <w:t>6000</w:t>
      </w:r>
      <w:r>
        <w:rPr>
          <w:rFonts w:hint="eastAsia" w:ascii="Times New Roman"/>
          <w:color w:val="auto"/>
        </w:rPr>
        <w:t>mm</w:t>
      </w:r>
      <w:r>
        <w:rPr>
          <w:rFonts w:hint="eastAsia"/>
          <w:color w:val="auto"/>
          <w:szCs w:val="21"/>
        </w:rPr>
        <w:t>～</w:t>
      </w:r>
    </w:p>
    <w:p>
      <w:pPr>
        <w:pStyle w:val="29"/>
        <w:numPr>
          <w:ilvl w:val="0"/>
          <w:numId w:val="0"/>
        </w:numPr>
        <w:tabs>
          <w:tab w:val="left" w:pos="854"/>
          <w:tab w:val="clear" w:pos="1140"/>
        </w:tabs>
        <w:ind w:left="598" w:leftChars="285" w:firstLine="0" w:firstLineChars="0"/>
        <w:jc w:val="left"/>
        <w:rPr>
          <w:rFonts w:hint="eastAsia" w:ascii="Times New Roman" w:eastAsia="宋体"/>
          <w:color w:val="auto"/>
          <w:szCs w:val="22"/>
          <w:lang w:eastAsia="zh-CN"/>
        </w:rPr>
      </w:pPr>
      <w:r>
        <w:rPr>
          <w:rFonts w:hint="eastAsia"/>
          <w:color w:val="auto"/>
          <w:szCs w:val="21"/>
        </w:rPr>
        <w:t>15000</w:t>
      </w:r>
      <w:r>
        <w:rPr>
          <w:rFonts w:hint="eastAsia" w:ascii="Times New Roman"/>
          <w:color w:val="auto"/>
        </w:rPr>
        <w:t>mm</w:t>
      </w:r>
      <w:r>
        <w:rPr>
          <w:rFonts w:hint="eastAsia" w:ascii="Times New Roman"/>
          <w:color w:val="auto"/>
          <w:szCs w:val="22"/>
        </w:rPr>
        <w:t>”更改为“</w:t>
      </w:r>
      <w:r>
        <w:rPr>
          <w:rFonts w:hint="eastAsia"/>
          <w:color w:val="auto"/>
          <w:szCs w:val="21"/>
        </w:rPr>
        <w:t>1000</w:t>
      </w:r>
      <w:r>
        <w:rPr>
          <w:rFonts w:hint="eastAsia" w:ascii="Times New Roman"/>
          <w:color w:val="auto"/>
        </w:rPr>
        <w:t>mm</w:t>
      </w:r>
      <w:r>
        <w:rPr>
          <w:rFonts w:hint="eastAsia"/>
          <w:color w:val="auto"/>
          <w:szCs w:val="21"/>
        </w:rPr>
        <w:t>～25000</w:t>
      </w:r>
      <w:r>
        <w:rPr>
          <w:rFonts w:hint="eastAsia" w:ascii="Times New Roman"/>
          <w:color w:val="auto"/>
        </w:rPr>
        <w:t>mm</w:t>
      </w:r>
      <w:r>
        <w:rPr>
          <w:rFonts w:hint="eastAsia" w:ascii="Times New Roman"/>
          <w:color w:val="auto"/>
          <w:szCs w:val="22"/>
        </w:rPr>
        <w:t>”，“</w:t>
      </w:r>
      <w:r>
        <w:rPr>
          <w:rFonts w:hint="eastAsia"/>
          <w:color w:val="auto"/>
          <w:szCs w:val="21"/>
        </w:rPr>
        <w:t>8000</w:t>
      </w:r>
      <w:r>
        <w:rPr>
          <w:rFonts w:hint="eastAsia" w:ascii="Times New Roman"/>
          <w:color w:val="auto"/>
        </w:rPr>
        <w:t>mm</w:t>
      </w:r>
      <w:r>
        <w:rPr>
          <w:rFonts w:hint="eastAsia"/>
          <w:color w:val="auto"/>
          <w:szCs w:val="21"/>
        </w:rPr>
        <w:t>～35000</w:t>
      </w:r>
      <w:r>
        <w:rPr>
          <w:rFonts w:hint="eastAsia" w:ascii="Times New Roman"/>
          <w:color w:val="auto"/>
        </w:rPr>
        <w:t>mm</w:t>
      </w:r>
      <w:r>
        <w:rPr>
          <w:rFonts w:hint="eastAsia" w:ascii="Times New Roman"/>
          <w:color w:val="auto"/>
          <w:szCs w:val="22"/>
        </w:rPr>
        <w:t>”更改为“</w:t>
      </w:r>
      <w:r>
        <w:rPr>
          <w:rFonts w:hint="eastAsia"/>
          <w:color w:val="auto"/>
          <w:szCs w:val="21"/>
        </w:rPr>
        <w:t>1000</w:t>
      </w:r>
      <w:r>
        <w:rPr>
          <w:rFonts w:hint="eastAsia" w:ascii="Times New Roman"/>
          <w:color w:val="auto"/>
        </w:rPr>
        <w:t>mm</w:t>
      </w:r>
      <w:r>
        <w:rPr>
          <w:rFonts w:hint="eastAsia"/>
          <w:color w:val="auto"/>
          <w:szCs w:val="21"/>
        </w:rPr>
        <w:t>～35000</w:t>
      </w:r>
      <w:r>
        <w:rPr>
          <w:rFonts w:hint="eastAsia" w:ascii="Times New Roman"/>
          <w:color w:val="auto"/>
        </w:rPr>
        <w:t>mm</w:t>
      </w:r>
      <w:r>
        <w:rPr>
          <w:rFonts w:hint="eastAsia" w:ascii="Times New Roman"/>
          <w:color w:val="auto"/>
          <w:szCs w:val="22"/>
        </w:rPr>
        <w:t>”</w:t>
      </w:r>
      <w:r>
        <w:rPr>
          <w:rFonts w:hint="eastAsia" w:ascii="Times New Roman"/>
          <w:color w:val="auto"/>
          <w:szCs w:val="22"/>
          <w:lang w:eastAsia="zh-CN"/>
        </w:rPr>
        <w:t>；</w:t>
      </w:r>
    </w:p>
    <w:p>
      <w:pPr>
        <w:pStyle w:val="29"/>
        <w:numPr>
          <w:ilvl w:val="0"/>
          <w:numId w:val="0"/>
        </w:numPr>
        <w:tabs>
          <w:tab w:val="left" w:pos="854"/>
          <w:tab w:val="clear" w:pos="1140"/>
        </w:tabs>
        <w:ind w:left="840" w:leftChars="200" w:hanging="420" w:hangingChars="200"/>
        <w:jc w:val="left"/>
        <w:rPr>
          <w:rFonts w:hint="eastAsia" w:ascii="Times New Roman"/>
          <w:color w:val="auto"/>
        </w:rPr>
      </w:pPr>
      <w:r>
        <w:rPr>
          <w:rFonts w:hint="eastAsia" w:ascii="Times New Roman"/>
          <w:color w:val="auto"/>
        </w:rPr>
        <w:t>d）</w:t>
      </w:r>
      <w:r>
        <w:rPr>
          <w:rFonts w:hint="eastAsia" w:ascii="Times New Roman"/>
          <w:color w:val="auto"/>
          <w:szCs w:val="22"/>
        </w:rPr>
        <w:t>更改了外径允许偏差：由</w:t>
      </w:r>
      <w:r>
        <w:rPr>
          <w:rFonts w:hint="eastAsia"/>
          <w:color w:val="auto"/>
          <w:szCs w:val="21"/>
        </w:rPr>
        <w:t>0.08</w:t>
      </w:r>
      <w:r>
        <w:rPr>
          <w:rFonts w:hint="eastAsia" w:ascii="Times New Roman"/>
          <w:color w:val="auto"/>
        </w:rPr>
        <w:t>mm更改为0.06mm</w:t>
      </w:r>
      <w:r>
        <w:rPr>
          <w:rFonts w:hint="eastAsia" w:ascii="Times New Roman"/>
          <w:color w:val="auto"/>
          <w:szCs w:val="22"/>
        </w:rPr>
        <w:t>，由</w:t>
      </w:r>
      <w:r>
        <w:rPr>
          <w:rFonts w:hint="eastAsia"/>
          <w:color w:val="auto"/>
          <w:szCs w:val="21"/>
        </w:rPr>
        <w:t>0.10</w:t>
      </w:r>
      <w:r>
        <w:rPr>
          <w:rFonts w:hint="eastAsia" w:ascii="Times New Roman"/>
          <w:color w:val="auto"/>
        </w:rPr>
        <w:t>mm更改为0.08mm，由</w:t>
      </w:r>
      <w:r>
        <w:rPr>
          <w:rFonts w:hint="eastAsia"/>
          <w:color w:val="auto"/>
          <w:szCs w:val="21"/>
        </w:rPr>
        <w:t>0.12</w:t>
      </w:r>
      <w:r>
        <w:rPr>
          <w:rFonts w:hint="eastAsia" w:ascii="Times New Roman"/>
          <w:color w:val="auto"/>
        </w:rPr>
        <w:t>mm更改</w:t>
      </w:r>
    </w:p>
    <w:p>
      <w:pPr>
        <w:pStyle w:val="29"/>
        <w:numPr>
          <w:ilvl w:val="0"/>
          <w:numId w:val="0"/>
        </w:numPr>
        <w:tabs>
          <w:tab w:val="left" w:pos="854"/>
          <w:tab w:val="clear" w:pos="1140"/>
        </w:tabs>
        <w:ind w:left="798" w:leftChars="380" w:firstLine="0" w:firstLineChars="0"/>
        <w:jc w:val="left"/>
        <w:rPr>
          <w:rFonts w:hint="eastAsia" w:ascii="Times New Roman"/>
          <w:color w:val="auto"/>
          <w:szCs w:val="22"/>
        </w:rPr>
      </w:pPr>
      <w:r>
        <w:rPr>
          <w:rFonts w:hint="eastAsia" w:ascii="Times New Roman"/>
          <w:color w:val="auto"/>
        </w:rPr>
        <w:t>为0.10mm，由</w:t>
      </w:r>
      <w:r>
        <w:rPr>
          <w:rFonts w:hint="eastAsia"/>
          <w:color w:val="auto"/>
          <w:szCs w:val="21"/>
        </w:rPr>
        <w:t>0.15</w:t>
      </w:r>
      <w:r>
        <w:rPr>
          <w:rFonts w:hint="eastAsia" w:ascii="Times New Roman"/>
          <w:color w:val="auto"/>
        </w:rPr>
        <w:t>mm更改为0.13mm，由</w:t>
      </w:r>
      <w:r>
        <w:rPr>
          <w:rFonts w:hint="eastAsia"/>
          <w:color w:val="auto"/>
          <w:szCs w:val="21"/>
        </w:rPr>
        <w:t>0.18</w:t>
      </w:r>
      <w:r>
        <w:rPr>
          <w:rFonts w:hint="eastAsia" w:ascii="Times New Roman"/>
          <w:color w:val="auto"/>
        </w:rPr>
        <w:t>mm更改为0.16mm，由</w:t>
      </w:r>
      <w:r>
        <w:rPr>
          <w:rFonts w:hint="eastAsia"/>
          <w:color w:val="auto"/>
          <w:szCs w:val="21"/>
        </w:rPr>
        <w:t>0.25</w:t>
      </w:r>
      <w:r>
        <w:rPr>
          <w:rFonts w:hint="eastAsia" w:ascii="Times New Roman"/>
          <w:color w:val="auto"/>
        </w:rPr>
        <w:t>mm更改为0.23mm</w:t>
      </w:r>
      <w:r>
        <w:rPr>
          <w:rFonts w:hint="eastAsia"/>
          <w:color w:val="auto"/>
          <w:sz w:val="18"/>
          <w:szCs w:val="18"/>
        </w:rPr>
        <w:t>；</w:t>
      </w:r>
    </w:p>
    <w:p>
      <w:pPr>
        <w:pStyle w:val="29"/>
        <w:numPr>
          <w:ilvl w:val="0"/>
          <w:numId w:val="0"/>
        </w:numPr>
        <w:tabs>
          <w:tab w:val="left" w:pos="854"/>
          <w:tab w:val="clear" w:pos="1140"/>
        </w:tabs>
        <w:ind w:left="840" w:leftChars="200" w:hanging="420" w:hangingChars="200"/>
        <w:jc w:val="left"/>
        <w:rPr>
          <w:rFonts w:hint="eastAsia" w:ascii="Times New Roman"/>
          <w:color w:val="auto"/>
          <w:szCs w:val="22"/>
        </w:rPr>
      </w:pPr>
      <w:r>
        <w:rPr>
          <w:rFonts w:hint="eastAsia" w:ascii="Times New Roman"/>
          <w:color w:val="auto"/>
        </w:rPr>
        <w:t>e）删除了圆度要求</w:t>
      </w:r>
      <w:r>
        <w:rPr>
          <w:rFonts w:hint="eastAsia"/>
          <w:color w:val="auto"/>
          <w:sz w:val="18"/>
          <w:szCs w:val="18"/>
        </w:rPr>
        <w:t>；</w:t>
      </w:r>
    </w:p>
    <w:p>
      <w:pPr>
        <w:pStyle w:val="29"/>
        <w:numPr>
          <w:ilvl w:val="0"/>
          <w:numId w:val="0"/>
        </w:numPr>
        <w:tabs>
          <w:tab w:val="left" w:pos="854"/>
          <w:tab w:val="clear" w:pos="1140"/>
        </w:tabs>
        <w:ind w:left="840" w:leftChars="200" w:hanging="420" w:hangingChars="200"/>
        <w:jc w:val="left"/>
        <w:rPr>
          <w:rFonts w:hint="eastAsia" w:ascii="Times New Roman"/>
          <w:color w:val="auto"/>
        </w:rPr>
      </w:pPr>
      <w:r>
        <w:rPr>
          <w:rFonts w:hint="eastAsia" w:ascii="Times New Roman"/>
          <w:color w:val="auto"/>
        </w:rPr>
        <w:t>f）更改了长度允许偏差：由</w:t>
      </w:r>
      <w:r>
        <w:rPr>
          <w:rFonts w:hint="eastAsia"/>
          <w:color w:val="auto"/>
          <w:szCs w:val="21"/>
        </w:rPr>
        <w:t>2.4</w:t>
      </w:r>
      <w:r>
        <w:rPr>
          <w:rFonts w:hint="eastAsia" w:ascii="Times New Roman"/>
          <w:color w:val="auto"/>
        </w:rPr>
        <w:t>mm更改为2mm</w:t>
      </w:r>
      <w:r>
        <w:rPr>
          <w:rFonts w:hint="eastAsia" w:ascii="Times New Roman"/>
          <w:color w:val="auto"/>
          <w:szCs w:val="22"/>
        </w:rPr>
        <w:t>，由</w:t>
      </w:r>
      <w:r>
        <w:rPr>
          <w:rFonts w:hint="eastAsia"/>
          <w:color w:val="auto"/>
          <w:szCs w:val="21"/>
        </w:rPr>
        <w:t>3.2</w:t>
      </w:r>
      <w:r>
        <w:rPr>
          <w:rFonts w:hint="eastAsia" w:ascii="Times New Roman"/>
          <w:color w:val="auto"/>
        </w:rPr>
        <w:t>mm更改为3mm，由</w:t>
      </w:r>
      <w:r>
        <w:rPr>
          <w:rFonts w:hint="eastAsia"/>
          <w:color w:val="auto"/>
          <w:szCs w:val="21"/>
        </w:rPr>
        <w:t>9.5</w:t>
      </w:r>
      <w:r>
        <w:rPr>
          <w:rFonts w:hint="eastAsia" w:ascii="Times New Roman"/>
          <w:color w:val="auto"/>
        </w:rPr>
        <w:t>mm更改为9mm，</w:t>
      </w:r>
    </w:p>
    <w:p>
      <w:pPr>
        <w:pStyle w:val="29"/>
        <w:numPr>
          <w:ilvl w:val="0"/>
          <w:numId w:val="0"/>
        </w:numPr>
        <w:tabs>
          <w:tab w:val="left" w:pos="854"/>
          <w:tab w:val="clear" w:pos="1140"/>
        </w:tabs>
        <w:ind w:firstLine="630" w:firstLineChars="300"/>
        <w:jc w:val="left"/>
        <w:rPr>
          <w:rFonts w:hint="eastAsia" w:ascii="Times New Roman"/>
          <w:color w:val="auto"/>
          <w:szCs w:val="22"/>
        </w:rPr>
      </w:pPr>
      <w:r>
        <w:rPr>
          <w:rFonts w:hint="eastAsia" w:ascii="Times New Roman"/>
          <w:color w:val="auto"/>
        </w:rPr>
        <w:t>由</w:t>
      </w:r>
      <w:r>
        <w:rPr>
          <w:rFonts w:hint="eastAsia"/>
          <w:color w:val="auto"/>
          <w:szCs w:val="21"/>
        </w:rPr>
        <w:t>12.7</w:t>
      </w:r>
      <w:r>
        <w:rPr>
          <w:rFonts w:hint="eastAsia" w:ascii="Times New Roman"/>
          <w:color w:val="auto"/>
        </w:rPr>
        <w:t>mm更改为12mm</w:t>
      </w:r>
      <w:r>
        <w:rPr>
          <w:rFonts w:hint="eastAsia"/>
          <w:color w:val="auto"/>
          <w:sz w:val="18"/>
          <w:szCs w:val="18"/>
        </w:rPr>
        <w:t>；</w:t>
      </w:r>
    </w:p>
    <w:p>
      <w:pPr>
        <w:pStyle w:val="29"/>
        <w:numPr>
          <w:ilvl w:val="0"/>
          <w:numId w:val="0"/>
        </w:numPr>
        <w:tabs>
          <w:tab w:val="left" w:pos="854"/>
          <w:tab w:val="clear" w:pos="1140"/>
        </w:tabs>
        <w:ind w:firstLine="420" w:firstLineChars="200"/>
        <w:jc w:val="left"/>
        <w:rPr>
          <w:rFonts w:ascii="Times New Roman"/>
          <w:color w:val="auto"/>
        </w:rPr>
      </w:pPr>
      <w:r>
        <w:rPr>
          <w:rFonts w:hint="eastAsia" w:ascii="Times New Roman"/>
          <w:color w:val="auto"/>
        </w:rPr>
        <w:t>g）更改了部分力学性能指标</w:t>
      </w:r>
      <w:r>
        <w:rPr>
          <w:rFonts w:hint="eastAsia"/>
          <w:color w:val="auto"/>
          <w:sz w:val="18"/>
          <w:szCs w:val="18"/>
        </w:rPr>
        <w:t>；</w:t>
      </w:r>
    </w:p>
    <w:p>
      <w:pPr>
        <w:pStyle w:val="29"/>
        <w:numPr>
          <w:ilvl w:val="0"/>
          <w:numId w:val="0"/>
        </w:numPr>
        <w:tabs>
          <w:tab w:val="left" w:pos="854"/>
          <w:tab w:val="clear" w:pos="1140"/>
        </w:tabs>
        <w:ind w:left="840" w:leftChars="200" w:hanging="420" w:hangingChars="200"/>
        <w:jc w:val="left"/>
        <w:rPr>
          <w:rFonts w:ascii="Times New Roman"/>
          <w:color w:val="auto"/>
        </w:rPr>
      </w:pPr>
      <w:r>
        <w:rPr>
          <w:rFonts w:hint="eastAsia" w:ascii="Times New Roman"/>
          <w:color w:val="auto"/>
        </w:rPr>
        <w:t>h）增加了管材内表面残碳量的要求及检测方法；</w:t>
      </w:r>
    </w:p>
    <w:p>
      <w:pPr>
        <w:ind w:left="420"/>
        <w:rPr>
          <w:rFonts w:hint="eastAsia" w:eastAsia="宋体"/>
          <w:color w:val="auto"/>
          <w:lang w:eastAsia="zh-CN"/>
        </w:rPr>
      </w:pPr>
      <w:r>
        <w:rPr>
          <w:rFonts w:hint="eastAsia"/>
          <w:color w:val="auto"/>
        </w:rPr>
        <w:t>i）增加了腐蚀试验的定量指标</w:t>
      </w:r>
      <w:r>
        <w:rPr>
          <w:rFonts w:hint="eastAsia" w:hAnsi="宋体"/>
          <w:color w:val="auto"/>
        </w:rPr>
        <w:t>Δ</w:t>
      </w:r>
      <w:r>
        <w:rPr>
          <w:rFonts w:hint="eastAsia"/>
          <w:color w:val="auto"/>
        </w:rPr>
        <w:t>E</w:t>
      </w:r>
      <w:r>
        <w:rPr>
          <w:rFonts w:hint="eastAsia" w:hAnsi="宋体"/>
          <w:color w:val="auto"/>
        </w:rPr>
        <w:t>≤</w:t>
      </w:r>
      <w:r>
        <w:rPr>
          <w:rFonts w:hint="eastAsia"/>
          <w:color w:val="auto"/>
        </w:rPr>
        <w:t>0.07V</w:t>
      </w:r>
      <w:r>
        <w:rPr>
          <w:rFonts w:hint="eastAsia"/>
          <w:color w:val="auto"/>
          <w:lang w:eastAsia="zh-CN"/>
        </w:rPr>
        <w:t>；</w:t>
      </w:r>
    </w:p>
    <w:p>
      <w:pPr>
        <w:ind w:left="420"/>
        <w:rPr>
          <w:rFonts w:hint="eastAsia"/>
          <w:color w:val="auto"/>
        </w:rPr>
      </w:pPr>
      <w:r>
        <w:rPr>
          <w:rFonts w:hint="eastAsia" w:ascii="Times New Roman"/>
          <w:color w:val="auto"/>
        </w:rPr>
        <w:t>j）</w:t>
      </w:r>
      <w:r>
        <w:rPr>
          <w:rFonts w:hint="eastAsia"/>
          <w:color w:val="auto"/>
        </w:rPr>
        <w:t>更改了电化学腐蚀性能检验方法：</w:t>
      </w:r>
      <w:r>
        <w:rPr>
          <w:rFonts w:hint="eastAsia"/>
          <w:color w:val="auto"/>
          <w:lang w:val="en-US" w:eastAsia="zh-CN"/>
        </w:rPr>
        <w:t>由“</w:t>
      </w:r>
      <w:r>
        <w:rPr>
          <w:rFonts w:hint="eastAsia" w:ascii="宋体" w:hAnsi="宋体"/>
          <w:color w:val="auto"/>
        </w:rPr>
        <w:t>供需双方协商确定或参照GB/T 10125或附录A进行</w:t>
      </w:r>
      <w:r>
        <w:rPr>
          <w:rFonts w:hint="eastAsia"/>
          <w:color w:val="auto"/>
          <w:lang w:val="en-US" w:eastAsia="zh-CN"/>
        </w:rPr>
        <w:t>”</w:t>
      </w:r>
      <w:r>
        <w:rPr>
          <w:rFonts w:hint="eastAsia"/>
          <w:color w:val="auto"/>
        </w:rPr>
        <w:t>更改</w:t>
      </w:r>
      <w:r>
        <w:rPr>
          <w:rFonts w:hint="eastAsia"/>
          <w:color w:val="auto"/>
          <w:lang w:val="en-US" w:eastAsia="zh-CN"/>
        </w:rPr>
        <w:t>为“</w:t>
      </w:r>
      <w:r>
        <w:rPr>
          <w:rFonts w:hint="eastAsia"/>
          <w:color w:val="auto"/>
        </w:rPr>
        <w:t>参见附录A进行</w:t>
      </w:r>
      <w:r>
        <w:rPr>
          <w:rFonts w:hint="eastAsia"/>
          <w:color w:val="auto"/>
          <w:lang w:val="en-US" w:eastAsia="zh-CN"/>
        </w:rPr>
        <w:t>”</w:t>
      </w:r>
      <w:r>
        <w:rPr>
          <w:rFonts w:hint="eastAsia" w:ascii="Calibri"/>
          <w:color w:val="auto"/>
        </w:rPr>
        <w:t>；</w:t>
      </w:r>
    </w:p>
    <w:p>
      <w:pPr>
        <w:pStyle w:val="29"/>
        <w:numPr>
          <w:ilvl w:val="0"/>
          <w:numId w:val="0"/>
        </w:numPr>
        <w:tabs>
          <w:tab w:val="left" w:pos="854"/>
          <w:tab w:val="clear" w:pos="1140"/>
        </w:tabs>
        <w:ind w:firstLine="420" w:firstLineChars="200"/>
        <w:jc w:val="left"/>
        <w:rPr>
          <w:rFonts w:hint="eastAsia" w:ascii="Times New Roman" w:hAnsi="宋体"/>
          <w:color w:val="auto"/>
        </w:rPr>
      </w:pPr>
      <w:r>
        <w:rPr>
          <w:rFonts w:hint="eastAsia" w:ascii="Times New Roman"/>
          <w:color w:val="auto"/>
          <w:lang w:val="en-US" w:eastAsia="zh-CN"/>
        </w:rPr>
        <w:t>k</w:t>
      </w:r>
      <w:r>
        <w:rPr>
          <w:rFonts w:hint="eastAsia" w:ascii="Times New Roman"/>
          <w:color w:val="auto"/>
        </w:rPr>
        <w:t>）删除了碳膜试验及检测方法</w:t>
      </w:r>
      <w:r>
        <w:rPr>
          <w:rFonts w:hint="eastAsia" w:ascii="Times New Roman" w:hAnsi="宋体"/>
          <w:color w:val="auto"/>
        </w:rPr>
        <w:t>。</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420" w:firstLineChars="200"/>
        <w:contextualSpacing/>
        <w:textAlignment w:val="auto"/>
        <w:rPr>
          <w:rFonts w:hint="default" w:hAnsi="宋体" w:eastAsiaTheme="minorEastAsia"/>
          <w:color w:val="auto"/>
          <w:highlight w:val="cyan"/>
          <w:lang w:val="en-US" w:eastAsia="zh-CN"/>
        </w:rPr>
      </w:pPr>
    </w:p>
    <w:p>
      <w:pPr>
        <w:spacing w:line="30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目前我国该产品在国际市场的占有率达到70%以上，产品质量达到国际领先。</w:t>
      </w:r>
      <w:r>
        <w:rPr>
          <w:rFonts w:hint="eastAsia" w:hAnsi="宋体"/>
          <w:color w:val="auto"/>
          <w:highlight w:val="none"/>
          <w:lang w:val="en-US" w:eastAsia="zh-CN"/>
        </w:rPr>
        <w:t>修订后的标准</w:t>
      </w:r>
      <w:r>
        <w:rPr>
          <w:rFonts w:hint="eastAsia" w:asciiTheme="majorEastAsia" w:hAnsiTheme="majorEastAsia" w:eastAsiaTheme="majorEastAsia"/>
          <w:color w:val="auto"/>
          <w:szCs w:val="21"/>
          <w:highlight w:val="none"/>
          <w:lang w:val="en-US" w:eastAsia="zh-CN"/>
        </w:rPr>
        <w:t>与ASTM B 552-19《海水淡化工厂用无缝和焊接铜镍管》相比，在化学成分、外形尺寸及其允许偏差、扩口和压扁实验、残余应力和晶粒度等方面都优于美国标准，耐腐蚀性是该产品最主要的质量指标之一，为了控制该产品耐腐蚀性能，目前我国行业都对该产品进行残碳、碳膜、电化学腐蚀性能的检测，美国标准中没有针对耐腐蚀性的检测项目，</w:t>
      </w:r>
      <w:r>
        <w:rPr>
          <w:rFonts w:hint="eastAsia" w:hAnsi="宋体"/>
          <w:color w:val="auto"/>
        </w:rPr>
        <w:t>具体各项指标对比如下（附后）</w:t>
      </w:r>
      <w:r>
        <w:rPr>
          <w:rFonts w:hint="eastAsia" w:asciiTheme="majorEastAsia" w:hAnsiTheme="majorEastAsia" w:eastAsiaTheme="majorEastAsia"/>
          <w:color w:val="auto"/>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420" w:firstLineChars="200"/>
        <w:contextualSpacing/>
        <w:textAlignment w:val="auto"/>
        <w:rPr>
          <w:rFonts w:hAnsi="宋体"/>
          <w:color w:val="auto"/>
        </w:rPr>
      </w:pPr>
      <w:r>
        <w:rPr>
          <w:rFonts w:hint="eastAsia" w:hAnsi="宋体"/>
          <w:color w:val="auto"/>
        </w:rPr>
        <w:t>根据对比结果，本标准的整体内容达到国际先进水平。</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rPr>
        <w:t>与现行相关法律、法规、规章及相关标准，特别是强制性标准的协调性：</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420" w:firstLineChars="200"/>
        <w:contextualSpacing/>
        <w:textAlignment w:val="auto"/>
        <w:rPr>
          <w:rFonts w:hAnsi="宋体"/>
          <w:color w:val="auto"/>
        </w:rPr>
      </w:pPr>
      <w:r>
        <w:rPr>
          <w:rFonts w:hint="eastAsia" w:hAnsi="宋体"/>
          <w:color w:val="auto"/>
        </w:rPr>
        <w:t>本标准的制定过程、技术指标的选定、检验项目的设置符合现行法律、法规和强制性国家标准的规定。</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rPr>
        <w:t>重大分歧意见的处理经过和依据</w:t>
      </w:r>
    </w:p>
    <w:p>
      <w:pPr>
        <w:pStyle w:val="28"/>
        <w:spacing w:line="300" w:lineRule="auto"/>
        <w:rPr>
          <w:rFonts w:asciiTheme="minorEastAsia" w:hAnsiTheme="minorEastAsia"/>
          <w:color w:val="auto"/>
          <w:szCs w:val="21"/>
        </w:rPr>
      </w:pPr>
      <w:r>
        <w:rPr>
          <w:rFonts w:hint="eastAsia" w:asciiTheme="minorEastAsia" w:hAnsiTheme="minorEastAsia"/>
          <w:color w:val="auto"/>
          <w:szCs w:val="21"/>
        </w:rPr>
        <w:t>无</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textAlignment w:val="auto"/>
        <w:rPr>
          <w:rFonts w:hint="eastAsia" w:ascii="黑体" w:hAnsi="黑体" w:eastAsia="黑体" w:cs="黑体"/>
          <w:color w:val="auto"/>
          <w:szCs w:val="21"/>
        </w:rPr>
      </w:pPr>
      <w:r>
        <w:rPr>
          <w:rFonts w:hint="eastAsia" w:ascii="黑体" w:hAnsi="黑体" w:eastAsia="黑体" w:cs="黑体"/>
          <w:color w:val="auto"/>
          <w:szCs w:val="21"/>
        </w:rPr>
        <w:t>标准作为强制性或推荐性标准的建议</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auto"/>
        <w:rPr>
          <w:rFonts w:asciiTheme="minorEastAsia" w:hAnsiTheme="minorEastAsia"/>
          <w:color w:val="auto"/>
          <w:szCs w:val="21"/>
        </w:rPr>
      </w:pPr>
      <w:r>
        <w:rPr>
          <w:rFonts w:hint="eastAsia" w:asciiTheme="minorEastAsia" w:hAnsiTheme="minorEastAsia"/>
          <w:color w:val="auto"/>
          <w:szCs w:val="21"/>
        </w:rPr>
        <w:t xml:space="preserve">    本标准建议作为推荐性行业标准</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textAlignment w:val="auto"/>
        <w:rPr>
          <w:rFonts w:hint="eastAsia" w:ascii="黑体" w:hAnsi="黑体" w:eastAsia="黑体" w:cs="黑体"/>
          <w:color w:val="auto"/>
          <w:szCs w:val="21"/>
        </w:rPr>
      </w:pPr>
      <w:r>
        <w:rPr>
          <w:rFonts w:hint="eastAsia" w:ascii="黑体" w:hAnsi="黑体" w:eastAsia="黑体" w:cs="黑体"/>
          <w:color w:val="auto"/>
          <w:szCs w:val="21"/>
        </w:rPr>
        <w:t>贯彻标准的要求和措施建议</w:t>
      </w:r>
    </w:p>
    <w:p>
      <w:pPr>
        <w:pStyle w:val="4"/>
        <w:spacing w:line="320" w:lineRule="exact"/>
        <w:ind w:left="0" w:leftChars="0" w:firstLine="420" w:firstLineChars="200"/>
        <w:rPr>
          <w:color w:val="auto"/>
        </w:rPr>
      </w:pPr>
      <w:r>
        <w:rPr>
          <w:rFonts w:hint="eastAsia" w:asciiTheme="minorEastAsia" w:hAnsiTheme="minorEastAsia"/>
          <w:color w:val="auto"/>
          <w:szCs w:val="21"/>
        </w:rPr>
        <w:t>本标准是以我国</w:t>
      </w:r>
      <w:r>
        <w:rPr>
          <w:rFonts w:hint="eastAsia" w:asciiTheme="minorEastAsia" w:hAnsiTheme="minorEastAsia"/>
          <w:color w:val="auto"/>
          <w:szCs w:val="21"/>
          <w:lang w:val="en-US" w:eastAsia="zh-CN"/>
        </w:rPr>
        <w:t>海水淡化管</w:t>
      </w:r>
      <w:r>
        <w:rPr>
          <w:rFonts w:hint="eastAsia" w:asciiTheme="minorEastAsia" w:hAnsiTheme="minorEastAsia"/>
          <w:color w:val="auto"/>
          <w:szCs w:val="21"/>
        </w:rPr>
        <w:t>实际生产现状为基础，结合国内、外订货合同及技术标准要求而进行修订而成。标准全面覆盖了医用管材产品的技术要求，建议相关生产及使用单位组织专项标准宣贯会进行系统学习。</w:t>
      </w:r>
      <w:r>
        <w:rPr>
          <w:rFonts w:hint="eastAsia" w:asciiTheme="minorEastAsia" w:hAnsiTheme="minorEastAsia"/>
          <w:color w:val="auto"/>
          <w:szCs w:val="21"/>
        </w:rPr>
        <w:t>本标准发布后</w:t>
      </w:r>
      <w:r>
        <w:rPr>
          <w:rFonts w:hint="eastAsia" w:asciiTheme="minorEastAsia" w:hAnsiTheme="minorEastAsia"/>
          <w:color w:val="auto"/>
          <w:szCs w:val="21"/>
          <w:lang w:eastAsia="zh-CN"/>
        </w:rPr>
        <w:t>，</w:t>
      </w:r>
      <w:r>
        <w:rPr>
          <w:rFonts w:hint="eastAsia"/>
          <w:color w:val="auto"/>
          <w:szCs w:val="21"/>
        </w:rPr>
        <w:t>建议标准实施过渡期为6个月，以便各单位宣贯实施，采用新标准订货，保证产品质量，满足国内、外市场及用户的需要。</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420" w:firstLineChars="200"/>
        <w:textAlignment w:val="auto"/>
        <w:rPr>
          <w:rFonts w:asciiTheme="minorEastAsia" w:hAnsiTheme="minorEastAsia"/>
          <w:color w:val="auto"/>
          <w:szCs w:val="21"/>
        </w:rPr>
      </w:pPr>
    </w:p>
    <w:p>
      <w:pPr>
        <w:pStyle w:val="28"/>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rPr>
        <w:t>废止现行有关标准的建议</w:t>
      </w:r>
    </w:p>
    <w:p>
      <w:pPr>
        <w:pStyle w:val="28"/>
        <w:keepNext w:val="0"/>
        <w:keepLines w:val="0"/>
        <w:pageBreakBefore w:val="0"/>
        <w:widowControl w:val="0"/>
        <w:kinsoku/>
        <w:wordWrap/>
        <w:overflowPunct/>
        <w:topLinePunct w:val="0"/>
        <w:autoSpaceDE/>
        <w:autoSpaceDN/>
        <w:bidi w:val="0"/>
        <w:adjustRightInd/>
        <w:snapToGrid/>
        <w:spacing w:line="300" w:lineRule="auto"/>
        <w:ind w:left="0" w:firstLine="420" w:firstLineChars="200"/>
        <w:textAlignment w:val="auto"/>
        <w:rPr>
          <w:rFonts w:asciiTheme="majorEastAsia" w:hAnsiTheme="majorEastAsia" w:eastAsiaTheme="majorEastAsia"/>
          <w:color w:val="auto"/>
          <w:szCs w:val="21"/>
        </w:rPr>
      </w:pPr>
      <w:r>
        <w:rPr>
          <w:rFonts w:hint="eastAsia" w:asciiTheme="minorEastAsia" w:hAnsiTheme="minorEastAsia"/>
          <w:color w:val="auto"/>
          <w:szCs w:val="21"/>
        </w:rPr>
        <w:t>本标准</w:t>
      </w:r>
      <w:r>
        <w:rPr>
          <w:rFonts w:hint="eastAsia" w:asciiTheme="minorEastAsia" w:hAnsiTheme="minorEastAsia"/>
          <w:color w:val="auto"/>
          <w:szCs w:val="21"/>
          <w:lang w:val="en-US" w:eastAsia="zh-CN"/>
        </w:rPr>
        <w:t>发布实施后，</w:t>
      </w:r>
      <w:r>
        <w:rPr>
          <w:rFonts w:hint="eastAsia" w:asciiTheme="minorEastAsia" w:hAnsiTheme="minorEastAsia"/>
          <w:color w:val="auto"/>
          <w:szCs w:val="21"/>
        </w:rPr>
        <w:t>建议废止原标准：</w:t>
      </w:r>
      <w:r>
        <w:rPr>
          <w:rFonts w:hint="eastAsia" w:ascii="Times New Roman" w:hAnsi="宋体"/>
          <w:color w:val="auto"/>
          <w:szCs w:val="22"/>
          <w:highlight w:val="none"/>
          <w:lang w:val="en-US" w:eastAsia="zh-CN"/>
        </w:rPr>
        <w:t>GB/T 23609－2009《海水淡化装置用铜合金无缝管》。</w:t>
      </w:r>
    </w:p>
    <w:p>
      <w:pPr>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auto"/>
        <w:rPr>
          <w:rFonts w:ascii="黑体" w:hAnsi="黑体" w:eastAsia="黑体"/>
          <w:color w:val="auto"/>
          <w:szCs w:val="21"/>
        </w:rPr>
      </w:pPr>
      <w:r>
        <w:rPr>
          <w:rFonts w:hint="eastAsia" w:ascii="黑体" w:hAnsi="黑体" w:eastAsia="黑体"/>
          <w:color w:val="auto"/>
          <w:szCs w:val="21"/>
        </w:rPr>
        <w:t>11  预期效果</w:t>
      </w:r>
    </w:p>
    <w:p>
      <w:pPr>
        <w:pStyle w:val="28"/>
        <w:spacing w:line="300" w:lineRule="auto"/>
        <w:rPr>
          <w:rFonts w:asciiTheme="minorEastAsia" w:hAnsiTheme="minorEastAsia"/>
          <w:color w:val="auto"/>
          <w:szCs w:val="21"/>
        </w:rPr>
      </w:pPr>
      <w:r>
        <w:rPr>
          <w:rFonts w:hint="eastAsia" w:asciiTheme="minorEastAsia" w:hAnsiTheme="minorEastAsia"/>
          <w:color w:val="auto"/>
          <w:szCs w:val="21"/>
        </w:rPr>
        <w:t>本标准在国内生产企业及国内外用户需求的基础上，参照国内外相关产品标准规范制定的，技术指标先进，具有普遍性、广泛性、适用性、科学性和先进性。本标准发布后，将更好的规范我国</w:t>
      </w:r>
      <w:r>
        <w:rPr>
          <w:rFonts w:hint="eastAsia" w:asciiTheme="minorEastAsia" w:hAnsiTheme="minorEastAsia"/>
          <w:color w:val="auto"/>
          <w:szCs w:val="21"/>
          <w:lang w:val="en-US" w:eastAsia="zh-CN"/>
        </w:rPr>
        <w:t>海水淡化管</w:t>
      </w:r>
      <w:r>
        <w:rPr>
          <w:rFonts w:hint="eastAsia" w:asciiTheme="minorEastAsia" w:hAnsiTheme="minorEastAsia"/>
          <w:color w:val="auto"/>
          <w:szCs w:val="21"/>
        </w:rPr>
        <w:t>产品的性能和技术要求，提高产品在国内、外市场上的竞争力，给生产企业带来更大的经济效益。</w:t>
      </w:r>
    </w:p>
    <w:p>
      <w:pPr>
        <w:spacing w:line="300" w:lineRule="auto"/>
        <w:rPr>
          <w:rFonts w:asciiTheme="minorEastAsia" w:hAnsiTheme="minorEastAsia"/>
          <w:color w:val="auto"/>
          <w:szCs w:val="21"/>
        </w:rPr>
      </w:pPr>
    </w:p>
    <w:p>
      <w:pPr>
        <w:pStyle w:val="28"/>
        <w:spacing w:line="300" w:lineRule="auto"/>
        <w:ind w:left="5460" w:leftChars="400" w:hanging="4620" w:hangingChars="2200"/>
        <w:rPr>
          <w:rFonts w:asciiTheme="minorEastAsia" w:hAnsiTheme="minorEastAsia"/>
          <w:color w:val="auto"/>
          <w:szCs w:val="21"/>
        </w:rPr>
        <w:sectPr>
          <w:footerReference r:id="rId3"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color w:val="auto"/>
          <w:szCs w:val="21"/>
        </w:rPr>
        <w:t xml:space="preserve">                                                     20</w:t>
      </w:r>
      <w:r>
        <w:rPr>
          <w:rFonts w:hint="eastAsia" w:asciiTheme="minorEastAsia" w:hAnsiTheme="minorEastAsia"/>
          <w:color w:val="auto"/>
          <w:szCs w:val="21"/>
          <w:lang w:val="en-US" w:eastAsia="zh-CN"/>
        </w:rPr>
        <w:t>22.7.5</w:t>
      </w:r>
      <w:r>
        <w:rPr>
          <w:rFonts w:hint="eastAsia" w:asciiTheme="minorEastAsia" w:hAnsiTheme="minorEastAsia"/>
          <w:color w:val="auto"/>
          <w:szCs w:val="21"/>
        </w:rPr>
        <w:t xml:space="preserve">                                             </w:t>
      </w:r>
      <w:r>
        <w:rPr>
          <w:rFonts w:hint="eastAsia" w:asciiTheme="minorEastAsia" w:hAnsiTheme="minorEastAsia"/>
          <w:color w:val="auto"/>
          <w:szCs w:val="21"/>
          <w:lang w:val="en-US" w:eastAsia="zh-CN"/>
        </w:rPr>
        <w:t>海水淡化装置用铜合金无缝管</w:t>
      </w:r>
      <w:r>
        <w:rPr>
          <w:rFonts w:hint="eastAsia" w:asciiTheme="minorEastAsia" w:hAnsiTheme="minorEastAsia"/>
          <w:color w:val="auto"/>
          <w:szCs w:val="21"/>
        </w:rPr>
        <w:t>编制小组</w:t>
      </w:r>
    </w:p>
    <w:p>
      <w:pPr>
        <w:spacing w:line="360" w:lineRule="auto"/>
        <w:jc w:val="center"/>
        <w:rPr>
          <w:rFonts w:hint="eastAsia"/>
          <w:b/>
          <w:color w:val="auto"/>
        </w:rPr>
      </w:pPr>
    </w:p>
    <w:p>
      <w:pPr>
        <w:spacing w:line="360" w:lineRule="auto"/>
        <w:jc w:val="center"/>
        <w:rPr>
          <w:rFonts w:hint="eastAsia"/>
          <w:b/>
          <w:color w:val="auto"/>
        </w:rPr>
      </w:pPr>
      <w:r>
        <w:rPr>
          <w:rFonts w:hint="eastAsia"/>
          <w:b/>
          <w:color w:val="auto"/>
          <w:lang w:val="en-US" w:eastAsia="zh-CN"/>
        </w:rPr>
        <w:t>附</w:t>
      </w:r>
      <w:r>
        <w:rPr>
          <w:rFonts w:hint="eastAsia"/>
          <w:b/>
          <w:color w:val="auto"/>
        </w:rPr>
        <w:t xml:space="preserve">表 </w:t>
      </w:r>
      <w:r>
        <w:rPr>
          <w:b/>
          <w:color w:val="auto"/>
        </w:rPr>
        <w:t>GB</w:t>
      </w:r>
      <w:r>
        <w:rPr>
          <w:rFonts w:hint="eastAsia"/>
          <w:b/>
          <w:color w:val="auto"/>
        </w:rPr>
        <w:t xml:space="preserve">/T </w:t>
      </w:r>
      <w:r>
        <w:rPr>
          <w:rFonts w:hint="eastAsia"/>
          <w:b/>
          <w:color w:val="auto"/>
          <w:lang w:val="en-US" w:eastAsia="zh-CN"/>
        </w:rPr>
        <w:t>23609</w:t>
      </w:r>
      <w:r>
        <w:rPr>
          <w:rFonts w:hint="eastAsia"/>
          <w:b/>
          <w:color w:val="auto"/>
        </w:rPr>
        <w:t>－XXXX与ASTMB 552-</w:t>
      </w:r>
      <w:r>
        <w:rPr>
          <w:rFonts w:hint="eastAsia"/>
          <w:b/>
          <w:color w:val="auto"/>
          <w:lang w:val="en-US" w:eastAsia="zh-CN"/>
        </w:rPr>
        <w:t>2019</w:t>
      </w:r>
      <w:r>
        <w:rPr>
          <w:rFonts w:hint="eastAsia"/>
          <w:b/>
          <w:color w:val="auto"/>
        </w:rPr>
        <w:t>中尺寸、尺寸允许偏差及</w:t>
      </w:r>
      <w:r>
        <w:rPr>
          <w:rFonts w:hint="eastAsia"/>
          <w:b/>
          <w:color w:val="auto"/>
        </w:rPr>
        <w:t>其他相</w:t>
      </w:r>
      <w:r>
        <w:rPr>
          <w:rFonts w:hint="eastAsia"/>
          <w:b/>
          <w:color w:val="auto"/>
          <w:lang w:val="en-US" w:eastAsia="zh-CN"/>
        </w:rPr>
        <w:t>关要求</w:t>
      </w:r>
      <w:r>
        <w:rPr>
          <w:rFonts w:hint="eastAsia"/>
          <w:b/>
          <w:color w:val="auto"/>
        </w:rPr>
        <w:t>的对比</w:t>
      </w:r>
    </w:p>
    <w:tbl>
      <w:tblPr>
        <w:tblStyle w:val="11"/>
        <w:tblW w:w="14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73"/>
        <w:gridCol w:w="1133"/>
        <w:gridCol w:w="2616"/>
        <w:gridCol w:w="1861"/>
        <w:gridCol w:w="18"/>
        <w:gridCol w:w="5"/>
        <w:gridCol w:w="1264"/>
        <w:gridCol w:w="302"/>
        <w:gridCol w:w="5"/>
        <w:gridCol w:w="5"/>
        <w:gridCol w:w="1308"/>
        <w:gridCol w:w="236"/>
        <w:gridCol w:w="18"/>
        <w:gridCol w:w="675"/>
        <w:gridCol w:w="696"/>
        <w:gridCol w:w="183"/>
        <w:gridCol w:w="17"/>
        <w:gridCol w:w="65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tcBorders>
              <w:top w:val="single" w:color="auto" w:sz="12" w:space="0"/>
            </w:tcBorders>
            <w:noWrap w:val="0"/>
            <w:vAlign w:val="center"/>
          </w:tcPr>
          <w:p>
            <w:pPr>
              <w:spacing w:line="440" w:lineRule="exact"/>
              <w:jc w:val="center"/>
              <w:rPr>
                <w:rFonts w:hint="eastAsia"/>
                <w:color w:val="auto"/>
              </w:rPr>
            </w:pPr>
            <w:r>
              <w:rPr>
                <w:rFonts w:hint="eastAsia"/>
                <w:color w:val="auto"/>
              </w:rPr>
              <w:t>项目</w:t>
            </w:r>
          </w:p>
        </w:tc>
        <w:tc>
          <w:tcPr>
            <w:tcW w:w="7483" w:type="dxa"/>
            <w:gridSpan w:val="4"/>
            <w:tcBorders>
              <w:top w:val="single" w:color="auto" w:sz="12" w:space="0"/>
              <w:right w:val="single" w:color="auto" w:sz="12" w:space="0"/>
            </w:tcBorders>
            <w:noWrap w:val="0"/>
            <w:vAlign w:val="center"/>
          </w:tcPr>
          <w:p>
            <w:pPr>
              <w:spacing w:line="440" w:lineRule="exact"/>
              <w:jc w:val="center"/>
              <w:rPr>
                <w:rFonts w:hint="eastAsia"/>
                <w:color w:val="auto"/>
              </w:rPr>
            </w:pPr>
            <w:r>
              <w:rPr>
                <w:rFonts w:hint="eastAsia"/>
                <w:color w:val="auto"/>
              </w:rPr>
              <w:t>《海水淡化装置用铜合金无缝管》</w:t>
            </w:r>
            <w:r>
              <w:rPr>
                <w:rFonts w:eastAsia="黑体"/>
                <w:bCs/>
                <w:color w:val="auto"/>
                <w:szCs w:val="21"/>
              </w:rPr>
              <w:t>GB</w:t>
            </w:r>
            <w:r>
              <w:rPr>
                <w:rFonts w:hint="eastAsia" w:eastAsia="黑体"/>
                <w:bCs/>
                <w:color w:val="auto"/>
                <w:szCs w:val="21"/>
              </w:rPr>
              <w:t xml:space="preserve">/T </w:t>
            </w:r>
            <w:r>
              <w:rPr>
                <w:rFonts w:hint="eastAsia" w:eastAsia="黑体"/>
                <w:bCs/>
                <w:color w:val="auto"/>
                <w:szCs w:val="21"/>
                <w:lang w:val="en-US" w:eastAsia="zh-CN"/>
              </w:rPr>
              <w:t>23609</w:t>
            </w:r>
            <w:r>
              <w:rPr>
                <w:rFonts w:hint="eastAsia" w:eastAsia="黑体"/>
                <w:bCs/>
                <w:color w:val="auto"/>
                <w:szCs w:val="21"/>
              </w:rPr>
              <w:t>－XXXX</w:t>
            </w:r>
          </w:p>
        </w:tc>
        <w:tc>
          <w:tcPr>
            <w:tcW w:w="6304" w:type="dxa"/>
            <w:gridSpan w:val="15"/>
            <w:tcBorders>
              <w:top w:val="single" w:color="auto" w:sz="12" w:space="0"/>
              <w:left w:val="single" w:color="auto" w:sz="12" w:space="0"/>
              <w:right w:val="single" w:color="auto" w:sz="12" w:space="0"/>
            </w:tcBorders>
            <w:noWrap w:val="0"/>
            <w:vAlign w:val="center"/>
          </w:tcPr>
          <w:p>
            <w:pPr>
              <w:spacing w:line="440" w:lineRule="exact"/>
              <w:jc w:val="center"/>
              <w:rPr>
                <w:rFonts w:hint="default" w:eastAsiaTheme="minorEastAsia"/>
                <w:color w:val="auto"/>
                <w:lang w:val="en-US" w:eastAsia="zh-CN"/>
              </w:rPr>
            </w:pPr>
            <w:r>
              <w:rPr>
                <w:rFonts w:hint="eastAsia"/>
                <w:color w:val="auto"/>
              </w:rPr>
              <w:t>《海水淡化工厂用无缝和焊接铜镍管》 ASTM B 552</w:t>
            </w:r>
            <w:r>
              <w:rPr>
                <w:rFonts w:hint="eastAsia"/>
                <w:color w:val="auto"/>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外径及允许偏差</w:t>
            </w:r>
            <w:r>
              <w:rPr>
                <w:rFonts w:hint="eastAsia"/>
                <w:color w:val="auto"/>
                <w:sz w:val="18"/>
                <w:szCs w:val="18"/>
              </w:rPr>
              <w:t>(㎜)</w:t>
            </w:r>
          </w:p>
        </w:tc>
        <w:tc>
          <w:tcPr>
            <w:tcW w:w="3006" w:type="dxa"/>
            <w:gridSpan w:val="2"/>
            <w:vMerge w:val="restart"/>
            <w:noWrap w:val="0"/>
            <w:vAlign w:val="center"/>
          </w:tcPr>
          <w:p>
            <w:pPr>
              <w:spacing w:line="440" w:lineRule="exact"/>
              <w:jc w:val="center"/>
              <w:rPr>
                <w:rFonts w:hint="eastAsia"/>
                <w:color w:val="auto"/>
              </w:rPr>
            </w:pPr>
            <w:r>
              <w:rPr>
                <w:rFonts w:hint="eastAsia"/>
                <w:color w:val="auto"/>
              </w:rPr>
              <w:t>外径</w:t>
            </w:r>
          </w:p>
        </w:tc>
        <w:tc>
          <w:tcPr>
            <w:tcW w:w="4495" w:type="dxa"/>
            <w:gridSpan w:val="3"/>
            <w:vMerge w:val="restart"/>
            <w:tcBorders>
              <w:right w:val="single" w:color="auto" w:sz="12" w:space="0"/>
            </w:tcBorders>
            <w:noWrap w:val="0"/>
            <w:vAlign w:val="center"/>
          </w:tcPr>
          <w:p>
            <w:pPr>
              <w:spacing w:line="440" w:lineRule="exact"/>
              <w:jc w:val="center"/>
              <w:rPr>
                <w:rFonts w:hint="eastAsia"/>
                <w:color w:val="auto"/>
              </w:rPr>
            </w:pPr>
            <w:r>
              <w:rPr>
                <w:rFonts w:hint="eastAsia"/>
                <w:color w:val="auto"/>
              </w:rPr>
              <w:t>允许偏差</w:t>
            </w:r>
          </w:p>
        </w:tc>
        <w:tc>
          <w:tcPr>
            <w:tcW w:w="1269" w:type="dxa"/>
            <w:gridSpan w:val="2"/>
            <w:vMerge w:val="restart"/>
            <w:tcBorders>
              <w:left w:val="single" w:color="auto" w:sz="12" w:space="0"/>
            </w:tcBorders>
            <w:noWrap w:val="0"/>
            <w:vAlign w:val="center"/>
          </w:tcPr>
          <w:p>
            <w:pPr>
              <w:spacing w:line="440" w:lineRule="exact"/>
              <w:jc w:val="center"/>
              <w:rPr>
                <w:rFonts w:hint="eastAsia"/>
                <w:color w:val="auto"/>
              </w:rPr>
            </w:pPr>
            <w:r>
              <w:rPr>
                <w:rFonts w:hint="eastAsia"/>
                <w:color w:val="auto"/>
              </w:rPr>
              <w:t>外径</w:t>
            </w:r>
          </w:p>
        </w:tc>
        <w:tc>
          <w:tcPr>
            <w:tcW w:w="5017" w:type="dxa"/>
            <w:gridSpan w:val="12"/>
            <w:tcBorders>
              <w:right w:val="single" w:color="auto" w:sz="4" w:space="0"/>
            </w:tcBorders>
            <w:noWrap w:val="0"/>
            <w:vAlign w:val="center"/>
          </w:tcPr>
          <w:p>
            <w:pPr>
              <w:spacing w:line="440" w:lineRule="exact"/>
              <w:jc w:val="center"/>
              <w:rPr>
                <w:rFonts w:hint="eastAsia" w:eastAsiaTheme="minorEastAsia"/>
                <w:color w:val="auto"/>
                <w:lang w:val="en-US" w:eastAsia="zh-CN"/>
              </w:rPr>
            </w:pPr>
            <w:r>
              <w:rPr>
                <w:rFonts w:hint="eastAsia"/>
                <w:color w:val="auto"/>
                <w:lang w:val="en-US" w:eastAsia="zh-CN"/>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vMerge w:val="continue"/>
            <w:noWrap w:val="0"/>
            <w:vAlign w:val="center"/>
          </w:tcPr>
          <w:p>
            <w:pPr>
              <w:spacing w:line="440" w:lineRule="exact"/>
              <w:jc w:val="center"/>
              <w:rPr>
                <w:rFonts w:hint="eastAsia"/>
                <w:color w:val="auto"/>
              </w:rPr>
            </w:pPr>
          </w:p>
        </w:tc>
        <w:tc>
          <w:tcPr>
            <w:tcW w:w="4495" w:type="dxa"/>
            <w:gridSpan w:val="3"/>
            <w:vMerge w:val="continue"/>
            <w:tcBorders>
              <w:right w:val="single" w:color="auto" w:sz="12" w:space="0"/>
            </w:tcBorders>
            <w:noWrap w:val="0"/>
            <w:vAlign w:val="center"/>
          </w:tcPr>
          <w:p>
            <w:pPr>
              <w:spacing w:line="440" w:lineRule="exact"/>
              <w:jc w:val="center"/>
              <w:rPr>
                <w:rFonts w:hint="eastAsia"/>
                <w:color w:val="auto"/>
              </w:rPr>
            </w:pPr>
          </w:p>
        </w:tc>
        <w:tc>
          <w:tcPr>
            <w:tcW w:w="1269" w:type="dxa"/>
            <w:gridSpan w:val="2"/>
            <w:vMerge w:val="continue"/>
            <w:tcBorders>
              <w:left w:val="single" w:color="auto" w:sz="12" w:space="0"/>
            </w:tcBorders>
            <w:noWrap w:val="0"/>
            <w:vAlign w:val="center"/>
          </w:tcPr>
          <w:p>
            <w:pPr>
              <w:spacing w:line="440" w:lineRule="exact"/>
              <w:jc w:val="center"/>
              <w:rPr>
                <w:rFonts w:hint="eastAsia"/>
                <w:color w:val="auto"/>
              </w:rPr>
            </w:pPr>
          </w:p>
        </w:tc>
        <w:tc>
          <w:tcPr>
            <w:tcW w:w="1620" w:type="dxa"/>
            <w:gridSpan w:val="4"/>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0.508,0.559，0.635,0.028</w:t>
            </w:r>
          </w:p>
        </w:tc>
        <w:tc>
          <w:tcPr>
            <w:tcW w:w="929"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0.813</w:t>
            </w:r>
          </w:p>
        </w:tc>
        <w:tc>
          <w:tcPr>
            <w:tcW w:w="696" w:type="dxa"/>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0.889</w:t>
            </w:r>
          </w:p>
        </w:tc>
        <w:tc>
          <w:tcPr>
            <w:tcW w:w="852"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1.067</w:t>
            </w:r>
          </w:p>
        </w:tc>
        <w:tc>
          <w:tcPr>
            <w:tcW w:w="920" w:type="dxa"/>
            <w:tcBorders>
              <w:right w:val="single" w:color="auto" w:sz="4" w:space="0"/>
            </w:tcBorders>
            <w:noWrap w:val="0"/>
            <w:vAlign w:val="center"/>
          </w:tcPr>
          <w:p>
            <w:pPr>
              <w:spacing w:line="440" w:lineRule="exact"/>
              <w:jc w:val="center"/>
              <w:rPr>
                <w:rFonts w:hint="default" w:asciiTheme="minorEastAsia" w:hAnsiTheme="minorEastAsia" w:eastAsiaTheme="minorEastAsia" w:cstheme="minorEastAsia"/>
                <w:color w:val="auto"/>
                <w:lang w:val="en-US" w:eastAsia="zh-CN"/>
              </w:rPr>
            </w:pPr>
            <w:r>
              <w:rPr>
                <w:rFonts w:hint="eastAsia" w:ascii="宋体" w:hAnsi="宋体" w:eastAsia="宋体" w:cs="宋体"/>
                <w:color w:val="auto"/>
              </w:rPr>
              <w:t>≥</w:t>
            </w:r>
            <w:r>
              <w:rPr>
                <w:rFonts w:hint="eastAsia" w:asciiTheme="minorEastAsia" w:hAnsiTheme="minorEastAsia" w:cstheme="minorEastAsia"/>
                <w:color w:val="auto"/>
                <w:lang w:val="en-US" w:eastAsia="zh-CN"/>
              </w:rPr>
              <w:t>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vMerge w:val="continue"/>
            <w:noWrap w:val="0"/>
            <w:vAlign w:val="center"/>
          </w:tcPr>
          <w:p>
            <w:pPr>
              <w:spacing w:line="440" w:lineRule="exact"/>
              <w:jc w:val="center"/>
              <w:rPr>
                <w:rFonts w:hint="eastAsia"/>
                <w:color w:val="auto"/>
              </w:rPr>
            </w:pPr>
          </w:p>
        </w:tc>
        <w:tc>
          <w:tcPr>
            <w:tcW w:w="4495" w:type="dxa"/>
            <w:gridSpan w:val="3"/>
            <w:vMerge w:val="continue"/>
            <w:tcBorders>
              <w:right w:val="single" w:color="auto" w:sz="12" w:space="0"/>
            </w:tcBorders>
            <w:noWrap w:val="0"/>
            <w:vAlign w:val="center"/>
          </w:tcPr>
          <w:p>
            <w:pPr>
              <w:spacing w:line="440" w:lineRule="exact"/>
              <w:jc w:val="center"/>
              <w:rPr>
                <w:rFonts w:hint="eastAsia"/>
                <w:color w:val="auto"/>
              </w:rPr>
            </w:pPr>
          </w:p>
        </w:tc>
        <w:tc>
          <w:tcPr>
            <w:tcW w:w="1269" w:type="dxa"/>
            <w:gridSpan w:val="2"/>
            <w:vMerge w:val="continue"/>
            <w:tcBorders>
              <w:left w:val="single" w:color="auto" w:sz="12" w:space="0"/>
            </w:tcBorders>
            <w:noWrap w:val="0"/>
            <w:vAlign w:val="center"/>
          </w:tcPr>
          <w:p>
            <w:pPr>
              <w:spacing w:line="440" w:lineRule="exact"/>
              <w:jc w:val="center"/>
              <w:rPr>
                <w:rFonts w:hint="eastAsia"/>
                <w:color w:val="auto"/>
              </w:rPr>
            </w:pPr>
          </w:p>
        </w:tc>
        <w:tc>
          <w:tcPr>
            <w:tcW w:w="5017" w:type="dxa"/>
            <w:gridSpan w:val="12"/>
            <w:tcBorders>
              <w:right w:val="single" w:color="auto" w:sz="4" w:space="0"/>
            </w:tcBorders>
            <w:noWrap w:val="0"/>
            <w:vAlign w:val="center"/>
          </w:tcPr>
          <w:p>
            <w:pPr>
              <w:spacing w:line="440" w:lineRule="exact"/>
              <w:jc w:val="center"/>
              <w:rPr>
                <w:rFonts w:hint="eastAsia"/>
                <w:color w:val="auto"/>
              </w:rPr>
            </w:pPr>
            <w:r>
              <w:rPr>
                <w:rFonts w:hint="eastAsia"/>
                <w:color w:val="auto"/>
              </w:rPr>
              <w:t>允许偏差，</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8~15.88</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±0.06</w:t>
            </w:r>
          </w:p>
        </w:tc>
        <w:tc>
          <w:tcPr>
            <w:tcW w:w="1269" w:type="dxa"/>
            <w:gridSpan w:val="2"/>
            <w:tcBorders>
              <w:left w:val="single" w:color="auto" w:sz="12" w:space="0"/>
            </w:tcBorders>
            <w:noWrap w:val="0"/>
            <w:vAlign w:val="top"/>
          </w:tcPr>
          <w:p>
            <w:pPr>
              <w:spacing w:line="440" w:lineRule="exact"/>
              <w:jc w:val="center"/>
              <w:rPr>
                <w:rFonts w:hint="default" w:eastAsiaTheme="minorEastAsia"/>
                <w:color w:val="auto"/>
                <w:lang w:val="en-US" w:eastAsia="zh-CN"/>
              </w:rPr>
            </w:pPr>
            <w:r>
              <w:rPr>
                <w:rFonts w:hint="eastAsia"/>
                <w:color w:val="auto"/>
                <w:lang w:val="en-US" w:eastAsia="zh-CN"/>
              </w:rPr>
              <w:t>6.4</w:t>
            </w:r>
            <w:r>
              <w:rPr>
                <w:rFonts w:hint="eastAsia"/>
                <w:color w:val="auto"/>
              </w:rPr>
              <w:t>~</w:t>
            </w:r>
            <w:r>
              <w:rPr>
                <w:rFonts w:hint="eastAsia"/>
                <w:color w:val="auto"/>
                <w:lang w:val="en-US" w:eastAsia="zh-CN"/>
              </w:rPr>
              <w:t>12</w:t>
            </w:r>
          </w:p>
        </w:tc>
        <w:tc>
          <w:tcPr>
            <w:tcW w:w="1620" w:type="dxa"/>
            <w:gridSpan w:val="4"/>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0.076</w:t>
            </w:r>
          </w:p>
        </w:tc>
        <w:tc>
          <w:tcPr>
            <w:tcW w:w="929"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0.076</w:t>
            </w:r>
          </w:p>
        </w:tc>
        <w:tc>
          <w:tcPr>
            <w:tcW w:w="696" w:type="dxa"/>
            <w:tcBorders>
              <w:right w:val="single" w:color="auto" w:sz="4" w:space="0"/>
            </w:tcBorders>
            <w:noWrap w:val="0"/>
            <w:vAlign w:val="center"/>
          </w:tcPr>
          <w:p>
            <w:pPr>
              <w:spacing w:line="440" w:lineRule="exact"/>
              <w:jc w:val="center"/>
              <w:rPr>
                <w:rFonts w:hint="eastAsia"/>
                <w:color w:val="auto"/>
              </w:rPr>
            </w:pPr>
          </w:p>
        </w:tc>
        <w:tc>
          <w:tcPr>
            <w:tcW w:w="852" w:type="dxa"/>
            <w:gridSpan w:val="3"/>
            <w:tcBorders>
              <w:right w:val="single" w:color="auto" w:sz="4" w:space="0"/>
            </w:tcBorders>
            <w:noWrap w:val="0"/>
            <w:vAlign w:val="center"/>
          </w:tcPr>
          <w:p>
            <w:pPr>
              <w:spacing w:line="440" w:lineRule="exact"/>
              <w:jc w:val="center"/>
              <w:rPr>
                <w:rFonts w:hint="eastAsia"/>
                <w:color w:val="auto"/>
              </w:rPr>
            </w:pPr>
          </w:p>
        </w:tc>
        <w:tc>
          <w:tcPr>
            <w:tcW w:w="920" w:type="dxa"/>
            <w:tcBorders>
              <w:right w:val="single" w:color="auto" w:sz="4" w:space="0"/>
            </w:tcBorders>
            <w:noWrap w:val="0"/>
            <w:vAlign w:val="center"/>
          </w:tcPr>
          <w:p>
            <w:pPr>
              <w:spacing w:line="44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＞15.88~28.58</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±0.08</w:t>
            </w:r>
          </w:p>
        </w:tc>
        <w:tc>
          <w:tcPr>
            <w:tcW w:w="1269" w:type="dxa"/>
            <w:gridSpan w:val="2"/>
            <w:tcBorders>
              <w:left w:val="single" w:color="auto" w:sz="12" w:space="0"/>
            </w:tcBorders>
            <w:noWrap w:val="0"/>
            <w:vAlign w:val="top"/>
          </w:tcPr>
          <w:p>
            <w:pPr>
              <w:spacing w:line="440" w:lineRule="exact"/>
              <w:jc w:val="center"/>
              <w:rPr>
                <w:rFonts w:hint="default" w:eastAsiaTheme="minorEastAsia"/>
                <w:color w:val="auto"/>
                <w:lang w:val="en-US" w:eastAsia="zh-CN"/>
              </w:rPr>
            </w:pP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18</w:t>
            </w:r>
          </w:p>
        </w:tc>
        <w:tc>
          <w:tcPr>
            <w:tcW w:w="1620" w:type="dxa"/>
            <w:gridSpan w:val="4"/>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0.10</w:t>
            </w:r>
          </w:p>
        </w:tc>
        <w:tc>
          <w:tcPr>
            <w:tcW w:w="929"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0.10</w:t>
            </w:r>
          </w:p>
        </w:tc>
        <w:tc>
          <w:tcPr>
            <w:tcW w:w="696" w:type="dxa"/>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0.10</w:t>
            </w:r>
          </w:p>
        </w:tc>
        <w:tc>
          <w:tcPr>
            <w:tcW w:w="852"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0.089</w:t>
            </w:r>
          </w:p>
        </w:tc>
        <w:tc>
          <w:tcPr>
            <w:tcW w:w="920" w:type="dxa"/>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＞28.58~31.75</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±0.10</w:t>
            </w:r>
          </w:p>
        </w:tc>
        <w:tc>
          <w:tcPr>
            <w:tcW w:w="1269" w:type="dxa"/>
            <w:gridSpan w:val="2"/>
            <w:tcBorders>
              <w:left w:val="single" w:color="auto" w:sz="12" w:space="0"/>
            </w:tcBorders>
            <w:noWrap w:val="0"/>
            <w:vAlign w:val="top"/>
          </w:tcPr>
          <w:p>
            <w:pPr>
              <w:spacing w:line="440" w:lineRule="exact"/>
              <w:jc w:val="center"/>
              <w:rPr>
                <w:rFonts w:hint="default" w:eastAsiaTheme="minorEastAsia"/>
                <w:color w:val="auto"/>
                <w:lang w:val="en-US" w:eastAsia="zh-CN"/>
              </w:rPr>
            </w:pPr>
            <w:r>
              <w:rPr>
                <w:rFonts w:hint="eastAsia"/>
                <w:color w:val="auto"/>
              </w:rPr>
              <w:t>＞</w:t>
            </w:r>
            <w:r>
              <w:rPr>
                <w:rFonts w:hint="eastAsia"/>
                <w:color w:val="auto"/>
                <w:lang w:val="en-US" w:eastAsia="zh-CN"/>
              </w:rPr>
              <w:t>18</w:t>
            </w:r>
            <w:r>
              <w:rPr>
                <w:rFonts w:hint="eastAsia"/>
                <w:color w:val="auto"/>
              </w:rPr>
              <w:t>~</w:t>
            </w:r>
            <w:r>
              <w:rPr>
                <w:rFonts w:hint="eastAsia"/>
                <w:color w:val="auto"/>
                <w:lang w:val="en-US" w:eastAsia="zh-CN"/>
              </w:rPr>
              <w:t>25</w:t>
            </w:r>
          </w:p>
        </w:tc>
        <w:tc>
          <w:tcPr>
            <w:tcW w:w="1620" w:type="dxa"/>
            <w:gridSpan w:val="4"/>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0.15</w:t>
            </w:r>
          </w:p>
        </w:tc>
        <w:tc>
          <w:tcPr>
            <w:tcW w:w="929"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0.15</w:t>
            </w:r>
          </w:p>
        </w:tc>
        <w:tc>
          <w:tcPr>
            <w:tcW w:w="696" w:type="dxa"/>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0.13</w:t>
            </w:r>
          </w:p>
        </w:tc>
        <w:tc>
          <w:tcPr>
            <w:tcW w:w="852" w:type="dxa"/>
            <w:gridSpan w:val="3"/>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0.114</w:t>
            </w:r>
          </w:p>
        </w:tc>
        <w:tc>
          <w:tcPr>
            <w:tcW w:w="920" w:type="dxa"/>
            <w:tcBorders>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＞31.75~38.10</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±0.13</w:t>
            </w:r>
          </w:p>
        </w:tc>
        <w:tc>
          <w:tcPr>
            <w:tcW w:w="1269" w:type="dxa"/>
            <w:gridSpan w:val="2"/>
            <w:tcBorders>
              <w:left w:val="single" w:color="auto" w:sz="12" w:space="0"/>
              <w:bottom w:val="single" w:color="auto" w:sz="2" w:space="0"/>
            </w:tcBorders>
            <w:noWrap w:val="0"/>
            <w:vAlign w:val="top"/>
          </w:tcPr>
          <w:p>
            <w:pPr>
              <w:spacing w:line="440" w:lineRule="exact"/>
              <w:jc w:val="center"/>
              <w:rPr>
                <w:rFonts w:hint="default" w:eastAsiaTheme="minorEastAsia"/>
                <w:color w:val="auto"/>
                <w:lang w:val="en-US" w:eastAsia="zh-CN"/>
              </w:rPr>
            </w:pPr>
            <w:r>
              <w:rPr>
                <w:rFonts w:hint="eastAsia"/>
                <w:color w:val="auto"/>
              </w:rPr>
              <w:t>＞</w:t>
            </w:r>
            <w:r>
              <w:rPr>
                <w:rFonts w:hint="eastAsia"/>
                <w:color w:val="auto"/>
                <w:lang w:val="en-US" w:eastAsia="zh-CN"/>
              </w:rPr>
              <w:t>25</w:t>
            </w:r>
            <w:r>
              <w:rPr>
                <w:rFonts w:hint="eastAsia"/>
                <w:color w:val="auto"/>
              </w:rPr>
              <w:t>~</w:t>
            </w:r>
            <w:r>
              <w:rPr>
                <w:rFonts w:hint="eastAsia"/>
                <w:color w:val="auto"/>
                <w:lang w:val="en-US" w:eastAsia="zh-CN"/>
              </w:rPr>
              <w:t>32</w:t>
            </w:r>
          </w:p>
        </w:tc>
        <w:tc>
          <w:tcPr>
            <w:tcW w:w="1620" w:type="dxa"/>
            <w:gridSpan w:val="4"/>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929" w:type="dxa"/>
            <w:gridSpan w:val="3"/>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0.229</w:t>
            </w:r>
          </w:p>
        </w:tc>
        <w:tc>
          <w:tcPr>
            <w:tcW w:w="696" w:type="dxa"/>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0.203</w:t>
            </w:r>
          </w:p>
        </w:tc>
        <w:tc>
          <w:tcPr>
            <w:tcW w:w="852" w:type="dxa"/>
            <w:gridSpan w:val="3"/>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0.152</w:t>
            </w:r>
          </w:p>
        </w:tc>
        <w:tc>
          <w:tcPr>
            <w:tcW w:w="920" w:type="dxa"/>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b/>
                <w:bCs/>
                <w:color w:val="auto"/>
                <w:lang w:val="en-US" w:eastAsia="zh-CN"/>
              </w:rPr>
              <w:t>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＞38.10~41.27</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±0.16</w:t>
            </w:r>
          </w:p>
        </w:tc>
        <w:tc>
          <w:tcPr>
            <w:tcW w:w="1269" w:type="dxa"/>
            <w:gridSpan w:val="2"/>
            <w:tcBorders>
              <w:left w:val="single" w:color="auto" w:sz="12" w:space="0"/>
              <w:bottom w:val="single" w:color="auto" w:sz="2" w:space="0"/>
            </w:tcBorders>
            <w:noWrap w:val="0"/>
            <w:vAlign w:val="top"/>
          </w:tcPr>
          <w:p>
            <w:pPr>
              <w:spacing w:line="440" w:lineRule="exact"/>
              <w:jc w:val="center"/>
              <w:rPr>
                <w:rFonts w:hint="default" w:eastAsiaTheme="minorEastAsia"/>
                <w:color w:val="auto"/>
                <w:lang w:val="en-US" w:eastAsia="zh-CN"/>
              </w:rPr>
            </w:pPr>
            <w:r>
              <w:rPr>
                <w:rFonts w:hint="eastAsia"/>
                <w:color w:val="auto"/>
              </w:rPr>
              <w:t>＞</w:t>
            </w:r>
            <w:r>
              <w:rPr>
                <w:rFonts w:hint="eastAsia"/>
                <w:color w:val="auto"/>
                <w:lang w:val="en-US" w:eastAsia="zh-CN"/>
              </w:rPr>
              <w:t>32</w:t>
            </w:r>
            <w:r>
              <w:rPr>
                <w:rFonts w:hint="eastAsia"/>
                <w:color w:val="auto"/>
              </w:rPr>
              <w:t>~</w:t>
            </w:r>
            <w:r>
              <w:rPr>
                <w:rFonts w:hint="eastAsia"/>
                <w:color w:val="auto"/>
                <w:lang w:val="en-US" w:eastAsia="zh-CN"/>
              </w:rPr>
              <w:t>35</w:t>
            </w:r>
          </w:p>
        </w:tc>
        <w:tc>
          <w:tcPr>
            <w:tcW w:w="1620" w:type="dxa"/>
            <w:gridSpan w:val="4"/>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929" w:type="dxa"/>
            <w:gridSpan w:val="3"/>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696" w:type="dxa"/>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852" w:type="dxa"/>
            <w:gridSpan w:val="3"/>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color w:val="auto"/>
                <w:lang w:val="en-US" w:eastAsia="zh-CN"/>
              </w:rPr>
              <w:t>0.203</w:t>
            </w:r>
          </w:p>
        </w:tc>
        <w:tc>
          <w:tcPr>
            <w:tcW w:w="920" w:type="dxa"/>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b/>
                <w:bCs/>
                <w:color w:val="auto"/>
                <w:lang w:val="en-US" w:eastAsia="zh-CN"/>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rFonts w:hint="eastAsia"/>
                <w:color w:val="auto"/>
              </w:rPr>
            </w:pPr>
            <w:r>
              <w:rPr>
                <w:rFonts w:hint="eastAsia"/>
                <w:color w:val="auto"/>
              </w:rPr>
              <w:t>＞41.27~50.80</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±0.23</w:t>
            </w:r>
          </w:p>
        </w:tc>
        <w:tc>
          <w:tcPr>
            <w:tcW w:w="1269" w:type="dxa"/>
            <w:gridSpan w:val="2"/>
            <w:tcBorders>
              <w:left w:val="single" w:color="auto" w:sz="12" w:space="0"/>
              <w:bottom w:val="single" w:color="auto" w:sz="2" w:space="0"/>
            </w:tcBorders>
            <w:noWrap w:val="0"/>
            <w:vAlign w:val="top"/>
          </w:tcPr>
          <w:p>
            <w:pPr>
              <w:spacing w:line="440" w:lineRule="exact"/>
              <w:jc w:val="center"/>
              <w:rPr>
                <w:rFonts w:hint="default" w:eastAsiaTheme="minorEastAsia"/>
                <w:color w:val="auto"/>
                <w:lang w:val="en-US" w:eastAsia="zh-CN"/>
              </w:rPr>
            </w:pPr>
            <w:r>
              <w:rPr>
                <w:rFonts w:hint="eastAsia"/>
                <w:color w:val="auto"/>
              </w:rPr>
              <w:t>＞</w:t>
            </w:r>
            <w:r>
              <w:rPr>
                <w:rFonts w:hint="eastAsia"/>
                <w:color w:val="auto"/>
                <w:lang w:val="en-US" w:eastAsia="zh-CN"/>
              </w:rPr>
              <w:t>35</w:t>
            </w:r>
            <w:r>
              <w:rPr>
                <w:rFonts w:hint="eastAsia"/>
                <w:color w:val="auto"/>
              </w:rPr>
              <w:t>~</w:t>
            </w:r>
            <w:r>
              <w:rPr>
                <w:rFonts w:hint="eastAsia"/>
                <w:color w:val="auto"/>
                <w:lang w:val="en-US" w:eastAsia="zh-CN"/>
              </w:rPr>
              <w:t>54</w:t>
            </w:r>
          </w:p>
        </w:tc>
        <w:tc>
          <w:tcPr>
            <w:tcW w:w="1620" w:type="dxa"/>
            <w:gridSpan w:val="4"/>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929" w:type="dxa"/>
            <w:gridSpan w:val="3"/>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696" w:type="dxa"/>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852" w:type="dxa"/>
            <w:gridSpan w:val="3"/>
            <w:tcBorders>
              <w:bottom w:val="single" w:color="auto" w:sz="2" w:space="0"/>
              <w:right w:val="single" w:color="auto" w:sz="4" w:space="0"/>
            </w:tcBorders>
            <w:noWrap w:val="0"/>
            <w:vAlign w:val="center"/>
          </w:tcPr>
          <w:p>
            <w:pPr>
              <w:spacing w:line="440" w:lineRule="exact"/>
              <w:jc w:val="center"/>
              <w:rPr>
                <w:rFonts w:hint="eastAsia"/>
                <w:color w:val="auto"/>
              </w:rPr>
            </w:pPr>
          </w:p>
        </w:tc>
        <w:tc>
          <w:tcPr>
            <w:tcW w:w="920" w:type="dxa"/>
            <w:tcBorders>
              <w:bottom w:val="single" w:color="auto" w:sz="2" w:space="0"/>
              <w:right w:val="single" w:color="auto" w:sz="4" w:space="0"/>
            </w:tcBorders>
            <w:noWrap w:val="0"/>
            <w:vAlign w:val="center"/>
          </w:tcPr>
          <w:p>
            <w:pPr>
              <w:spacing w:line="440" w:lineRule="exact"/>
              <w:jc w:val="center"/>
              <w:rPr>
                <w:rFonts w:hint="default" w:eastAsiaTheme="minorEastAsia"/>
                <w:color w:val="auto"/>
                <w:lang w:val="en-US" w:eastAsia="zh-CN"/>
              </w:rPr>
            </w:pPr>
            <w:r>
              <w:rPr>
                <w:rFonts w:hint="eastAsia"/>
                <w:b/>
                <w:bCs/>
                <w:color w:val="auto"/>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top"/>
          </w:tcPr>
          <w:p>
            <w:pPr>
              <w:widowControl/>
              <w:jc w:val="left"/>
              <w:rPr>
                <w:rFonts w:hint="default" w:eastAsiaTheme="minorEastAsia"/>
                <w:color w:val="auto"/>
                <w:lang w:val="en-US" w:eastAsia="zh-CN"/>
              </w:rPr>
            </w:pPr>
            <w:r>
              <w:rPr>
                <w:rFonts w:hint="eastAsia"/>
                <w:color w:val="auto"/>
              </w:rPr>
              <w:t>对比结果：</w:t>
            </w:r>
            <w:r>
              <w:rPr>
                <w:rFonts w:eastAsia="黑体"/>
                <w:bCs/>
                <w:color w:val="auto"/>
                <w:szCs w:val="21"/>
              </w:rPr>
              <w:t>GB</w:t>
            </w:r>
            <w:r>
              <w:rPr>
                <w:rFonts w:hint="eastAsia" w:eastAsia="黑体"/>
                <w:bCs/>
                <w:color w:val="auto"/>
                <w:szCs w:val="21"/>
              </w:rPr>
              <w:t xml:space="preserve">/T </w:t>
            </w:r>
            <w:r>
              <w:rPr>
                <w:rFonts w:hint="eastAsia" w:eastAsia="黑体"/>
                <w:bCs/>
                <w:color w:val="auto"/>
                <w:szCs w:val="21"/>
                <w:lang w:val="en-US" w:eastAsia="zh-CN"/>
              </w:rPr>
              <w:t>23609</w:t>
            </w:r>
            <w:r>
              <w:rPr>
                <w:rFonts w:hint="eastAsia" w:eastAsia="黑体"/>
                <w:bCs/>
                <w:color w:val="auto"/>
                <w:szCs w:val="21"/>
              </w:rPr>
              <w:t>－XXXX</w:t>
            </w:r>
            <w:r>
              <w:rPr>
                <w:rFonts w:hint="eastAsia"/>
                <w:color w:val="auto"/>
                <w:lang w:val="en-US" w:eastAsia="zh-CN"/>
              </w:rPr>
              <w:t>除三个壁厚系列外，其他规格的外径允许偏差均高于或等同于</w:t>
            </w:r>
            <w:r>
              <w:rPr>
                <w:rFonts w:hint="eastAsia"/>
                <w:color w:val="auto"/>
              </w:rPr>
              <w:t>ASTM B 552</w:t>
            </w:r>
            <w:r>
              <w:rPr>
                <w:rFonts w:hint="eastAsia"/>
                <w:color w:val="auto"/>
                <w:lang w:val="en-US" w:eastAsia="zh-CN"/>
              </w:rPr>
              <w:t>-2019标准水平。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652" w:type="dxa"/>
            <w:vMerge w:val="restart"/>
            <w:noWrap w:val="0"/>
            <w:vAlign w:val="center"/>
          </w:tcPr>
          <w:p>
            <w:pPr>
              <w:jc w:val="center"/>
              <w:rPr>
                <w:rFonts w:hint="eastAsia"/>
                <w:color w:val="auto"/>
              </w:rPr>
            </w:pPr>
            <w:r>
              <w:rPr>
                <w:rFonts w:hint="eastAsia"/>
                <w:color w:val="auto"/>
              </w:rPr>
              <w:t>壁厚允许偏差</w:t>
            </w:r>
            <w:r>
              <w:rPr>
                <w:rFonts w:hint="eastAsia"/>
                <w:color w:val="auto"/>
                <w:sz w:val="18"/>
                <w:szCs w:val="18"/>
              </w:rPr>
              <w:t>(mm)</w:t>
            </w:r>
          </w:p>
        </w:tc>
        <w:tc>
          <w:tcPr>
            <w:tcW w:w="7501" w:type="dxa"/>
            <w:gridSpan w:val="5"/>
            <w:vMerge w:val="restart"/>
            <w:tcBorders>
              <w:right w:val="single" w:color="auto" w:sz="12" w:space="0"/>
            </w:tcBorders>
            <w:noWrap w:val="0"/>
            <w:vAlign w:val="center"/>
          </w:tcPr>
          <w:p>
            <w:pPr>
              <w:spacing w:line="440" w:lineRule="exact"/>
              <w:rPr>
                <w:rFonts w:hint="eastAsia"/>
                <w:color w:val="auto"/>
              </w:rPr>
            </w:pPr>
            <w:r>
              <w:rPr>
                <w:rFonts w:hint="eastAsia"/>
                <w:color w:val="auto"/>
              </w:rPr>
              <w:t>管材的壁厚允许偏差为公称壁厚的</w:t>
            </w:r>
            <w:r>
              <w:rPr>
                <w:rFonts w:hint="eastAsia" w:ascii="宋体" w:hAnsi="宋体"/>
                <w:color w:val="auto"/>
              </w:rPr>
              <w:t>±10%。</w:t>
            </w:r>
          </w:p>
        </w:tc>
        <w:tc>
          <w:tcPr>
            <w:tcW w:w="6286" w:type="dxa"/>
            <w:gridSpan w:val="14"/>
            <w:vMerge w:val="restart"/>
            <w:tcBorders>
              <w:left w:val="single" w:color="auto" w:sz="12" w:space="0"/>
              <w:right w:val="single" w:color="auto" w:sz="4" w:space="0"/>
            </w:tcBorders>
            <w:noWrap w:val="0"/>
            <w:vAlign w:val="center"/>
          </w:tcPr>
          <w:p>
            <w:pPr>
              <w:spacing w:line="440" w:lineRule="exact"/>
              <w:jc w:val="center"/>
              <w:rPr>
                <w:rFonts w:hint="eastAsia"/>
                <w:color w:val="auto"/>
              </w:rPr>
            </w:pPr>
            <w:r>
              <w:rPr>
                <w:rFonts w:hint="eastAsia"/>
                <w:color w:val="auto"/>
              </w:rPr>
              <w:t>管材的壁厚允许偏差为公称壁厚的</w:t>
            </w:r>
            <w:r>
              <w:rPr>
                <w:rFonts w:hint="eastAsia" w:ascii="宋体" w:hAnsi="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7501" w:type="dxa"/>
            <w:gridSpan w:val="5"/>
            <w:vMerge w:val="continue"/>
            <w:tcBorders>
              <w:right w:val="single" w:color="auto" w:sz="12" w:space="0"/>
            </w:tcBorders>
            <w:noWrap w:val="0"/>
            <w:vAlign w:val="center"/>
          </w:tcPr>
          <w:p>
            <w:pPr>
              <w:spacing w:line="440" w:lineRule="exact"/>
              <w:jc w:val="center"/>
              <w:rPr>
                <w:rFonts w:hint="eastAsia"/>
                <w:color w:val="auto"/>
              </w:rPr>
            </w:pPr>
          </w:p>
        </w:tc>
        <w:tc>
          <w:tcPr>
            <w:tcW w:w="6286" w:type="dxa"/>
            <w:gridSpan w:val="14"/>
            <w:vMerge w:val="continue"/>
            <w:tcBorders>
              <w:left w:val="single" w:color="auto" w:sz="12" w:space="0"/>
              <w:right w:val="single" w:color="auto" w:sz="4" w:space="0"/>
            </w:tcBorders>
            <w:noWrap w:val="0"/>
            <w:vAlign w:val="center"/>
          </w:tcPr>
          <w:p>
            <w:pPr>
              <w:spacing w:line="44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7501" w:type="dxa"/>
            <w:gridSpan w:val="5"/>
            <w:vMerge w:val="continue"/>
            <w:tcBorders>
              <w:right w:val="single" w:color="auto" w:sz="12" w:space="0"/>
            </w:tcBorders>
            <w:noWrap w:val="0"/>
            <w:vAlign w:val="center"/>
          </w:tcPr>
          <w:p>
            <w:pPr>
              <w:spacing w:line="440" w:lineRule="exact"/>
              <w:jc w:val="center"/>
              <w:rPr>
                <w:rFonts w:hint="eastAsia"/>
                <w:color w:val="auto"/>
              </w:rPr>
            </w:pPr>
          </w:p>
        </w:tc>
        <w:tc>
          <w:tcPr>
            <w:tcW w:w="6286" w:type="dxa"/>
            <w:gridSpan w:val="14"/>
            <w:vMerge w:val="continue"/>
            <w:tcBorders>
              <w:left w:val="single" w:color="auto" w:sz="12" w:space="0"/>
              <w:right w:val="single" w:color="auto" w:sz="4" w:space="0"/>
            </w:tcBorders>
            <w:noWrap w:val="0"/>
            <w:vAlign w:val="center"/>
          </w:tcPr>
          <w:p>
            <w:pPr>
              <w:spacing w:line="44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7501" w:type="dxa"/>
            <w:gridSpan w:val="5"/>
            <w:vMerge w:val="continue"/>
            <w:tcBorders>
              <w:right w:val="single" w:color="auto" w:sz="12" w:space="0"/>
            </w:tcBorders>
            <w:noWrap w:val="0"/>
            <w:vAlign w:val="center"/>
          </w:tcPr>
          <w:p>
            <w:pPr>
              <w:spacing w:line="440" w:lineRule="exact"/>
              <w:jc w:val="center"/>
              <w:rPr>
                <w:rFonts w:hint="eastAsia"/>
                <w:color w:val="auto"/>
              </w:rPr>
            </w:pPr>
          </w:p>
        </w:tc>
        <w:tc>
          <w:tcPr>
            <w:tcW w:w="6286" w:type="dxa"/>
            <w:gridSpan w:val="14"/>
            <w:vMerge w:val="continue"/>
            <w:tcBorders>
              <w:left w:val="single" w:color="auto" w:sz="12" w:space="0"/>
              <w:right w:val="single" w:color="auto" w:sz="4" w:space="0"/>
            </w:tcBorders>
            <w:noWrap w:val="0"/>
            <w:vAlign w:val="center"/>
          </w:tcPr>
          <w:p>
            <w:pPr>
              <w:spacing w:line="44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52" w:type="dxa"/>
            <w:vMerge w:val="continue"/>
            <w:noWrap w:val="0"/>
            <w:vAlign w:val="center"/>
          </w:tcPr>
          <w:p>
            <w:pPr>
              <w:spacing w:line="440" w:lineRule="exact"/>
              <w:jc w:val="center"/>
              <w:rPr>
                <w:rFonts w:hint="eastAsia"/>
                <w:color w:val="auto"/>
              </w:rPr>
            </w:pPr>
          </w:p>
        </w:tc>
        <w:tc>
          <w:tcPr>
            <w:tcW w:w="7501" w:type="dxa"/>
            <w:gridSpan w:val="5"/>
            <w:vMerge w:val="continue"/>
            <w:tcBorders>
              <w:right w:val="single" w:color="auto" w:sz="12" w:space="0"/>
            </w:tcBorders>
            <w:noWrap w:val="0"/>
            <w:vAlign w:val="center"/>
          </w:tcPr>
          <w:p>
            <w:pPr>
              <w:spacing w:line="440" w:lineRule="exact"/>
              <w:jc w:val="center"/>
              <w:rPr>
                <w:rFonts w:hint="eastAsia"/>
                <w:color w:val="auto"/>
              </w:rPr>
            </w:pPr>
          </w:p>
        </w:tc>
        <w:tc>
          <w:tcPr>
            <w:tcW w:w="6286" w:type="dxa"/>
            <w:gridSpan w:val="14"/>
            <w:vMerge w:val="continue"/>
            <w:tcBorders>
              <w:left w:val="single" w:color="auto" w:sz="12" w:space="0"/>
              <w:right w:val="single" w:color="auto" w:sz="4" w:space="0"/>
            </w:tcBorders>
            <w:noWrap w:val="0"/>
            <w:vAlign w:val="center"/>
          </w:tcPr>
          <w:p>
            <w:pPr>
              <w:spacing w:line="44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52" w:type="dxa"/>
            <w:vMerge w:val="continue"/>
            <w:tcBorders>
              <w:bottom w:val="single" w:color="auto" w:sz="4" w:space="0"/>
            </w:tcBorders>
            <w:noWrap w:val="0"/>
            <w:vAlign w:val="center"/>
          </w:tcPr>
          <w:p>
            <w:pPr>
              <w:spacing w:line="440" w:lineRule="exact"/>
              <w:jc w:val="center"/>
              <w:rPr>
                <w:rFonts w:hint="eastAsia"/>
                <w:color w:val="auto"/>
              </w:rPr>
            </w:pPr>
          </w:p>
        </w:tc>
        <w:tc>
          <w:tcPr>
            <w:tcW w:w="13787" w:type="dxa"/>
            <w:gridSpan w:val="19"/>
            <w:noWrap w:val="0"/>
            <w:vAlign w:val="top"/>
          </w:tcPr>
          <w:p>
            <w:pPr>
              <w:widowControl/>
              <w:jc w:val="left"/>
              <w:rPr>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w:t>
            </w:r>
            <w:r>
              <w:rPr>
                <w:rFonts w:hint="eastAsia"/>
                <w:color w:val="auto"/>
                <w:lang w:val="en-US" w:eastAsia="zh-CN"/>
              </w:rPr>
              <w:t>等同于</w:t>
            </w:r>
            <w:r>
              <w:rPr>
                <w:rFonts w:hint="eastAsia"/>
                <w:color w:val="auto"/>
              </w:rPr>
              <w:t>ASTM B 552-</w:t>
            </w:r>
            <w:r>
              <w:rPr>
                <w:rFonts w:hint="eastAsia"/>
                <w:color w:val="auto"/>
                <w:lang w:val="en-US" w:eastAsia="zh-CN"/>
              </w:rPr>
              <w:t>2019标准水平</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长度及其允许偏差</w:t>
            </w:r>
            <w:r>
              <w:rPr>
                <w:rFonts w:hint="eastAsia"/>
                <w:color w:val="auto"/>
                <w:sz w:val="18"/>
                <w:szCs w:val="18"/>
              </w:rPr>
              <w:t>(mm)</w:t>
            </w:r>
          </w:p>
        </w:tc>
        <w:tc>
          <w:tcPr>
            <w:tcW w:w="3006" w:type="dxa"/>
            <w:gridSpan w:val="2"/>
            <w:noWrap w:val="0"/>
            <w:vAlign w:val="center"/>
          </w:tcPr>
          <w:p>
            <w:pPr>
              <w:spacing w:line="440" w:lineRule="exact"/>
              <w:jc w:val="center"/>
              <w:rPr>
                <w:rFonts w:hint="eastAsia"/>
                <w:color w:val="auto"/>
              </w:rPr>
            </w:pPr>
            <w:r>
              <w:rPr>
                <w:rFonts w:hint="eastAsia"/>
                <w:color w:val="auto"/>
              </w:rPr>
              <w:t>长度</w:t>
            </w:r>
          </w:p>
        </w:tc>
        <w:tc>
          <w:tcPr>
            <w:tcW w:w="4495" w:type="dxa"/>
            <w:gridSpan w:val="3"/>
            <w:tcBorders>
              <w:right w:val="single" w:color="auto" w:sz="12" w:space="0"/>
            </w:tcBorders>
            <w:noWrap w:val="0"/>
            <w:vAlign w:val="center"/>
          </w:tcPr>
          <w:p>
            <w:pPr>
              <w:spacing w:line="440" w:lineRule="exact"/>
              <w:jc w:val="center"/>
              <w:rPr>
                <w:rFonts w:hint="eastAsia"/>
                <w:color w:val="auto"/>
              </w:rPr>
            </w:pPr>
            <w:r>
              <w:rPr>
                <w:rFonts w:hint="eastAsia"/>
                <w:color w:val="auto"/>
              </w:rPr>
              <w:t>长度允许偏差，</w:t>
            </w:r>
            <w:r>
              <w:rPr>
                <w:rFonts w:hint="eastAsia" w:ascii="宋体" w:hAnsi="宋体"/>
                <w:color w:val="auto"/>
              </w:rPr>
              <w:t>±</w:t>
            </w:r>
          </w:p>
        </w:tc>
        <w:tc>
          <w:tcPr>
            <w:tcW w:w="1269" w:type="dxa"/>
            <w:gridSpan w:val="2"/>
            <w:tcBorders>
              <w:left w:val="single" w:color="auto" w:sz="12" w:space="0"/>
            </w:tcBorders>
            <w:noWrap w:val="0"/>
            <w:vAlign w:val="center"/>
          </w:tcPr>
          <w:p>
            <w:pPr>
              <w:spacing w:line="440" w:lineRule="exact"/>
              <w:jc w:val="center"/>
              <w:rPr>
                <w:rFonts w:hint="eastAsia"/>
                <w:color w:val="auto"/>
              </w:rPr>
            </w:pPr>
            <w:r>
              <w:rPr>
                <w:rFonts w:hint="eastAsia"/>
                <w:color w:val="auto"/>
              </w:rPr>
              <w:t>规定长度/m</w:t>
            </w:r>
          </w:p>
        </w:tc>
        <w:tc>
          <w:tcPr>
            <w:tcW w:w="5017" w:type="dxa"/>
            <w:gridSpan w:val="12"/>
            <w:tcBorders>
              <w:right w:val="single" w:color="auto" w:sz="4" w:space="0"/>
            </w:tcBorders>
            <w:noWrap w:val="0"/>
            <w:vAlign w:val="center"/>
          </w:tcPr>
          <w:p>
            <w:pPr>
              <w:spacing w:line="440" w:lineRule="exact"/>
              <w:jc w:val="center"/>
              <w:rPr>
                <w:rFonts w:hint="eastAsia"/>
                <w:color w:val="auto"/>
              </w:rPr>
            </w:pPr>
            <w:r>
              <w:rPr>
                <w:rFonts w:hint="eastAsia"/>
                <w:color w:val="auto"/>
              </w:rPr>
              <w:t>允许偏差(mm)，</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center"/>
          </w:tcPr>
          <w:p>
            <w:pPr>
              <w:spacing w:line="440" w:lineRule="exact"/>
              <w:jc w:val="center"/>
              <w:rPr>
                <w:rFonts w:hint="eastAsia"/>
                <w:color w:val="auto"/>
              </w:rPr>
            </w:pPr>
            <w:r>
              <w:rPr>
                <w:rFonts w:hint="eastAsia"/>
                <w:color w:val="auto"/>
              </w:rPr>
              <w:t>≤4900</w:t>
            </w:r>
          </w:p>
        </w:tc>
        <w:tc>
          <w:tcPr>
            <w:tcW w:w="4495" w:type="dxa"/>
            <w:gridSpan w:val="3"/>
            <w:tcBorders>
              <w:right w:val="single" w:color="auto" w:sz="12" w:space="0"/>
            </w:tcBorders>
            <w:noWrap w:val="0"/>
            <w:vAlign w:val="center"/>
          </w:tcPr>
          <w:p>
            <w:pPr>
              <w:spacing w:line="440" w:lineRule="exact"/>
              <w:jc w:val="center"/>
              <w:rPr>
                <w:rFonts w:hint="eastAsia" w:eastAsiaTheme="minorEastAsia"/>
                <w:color w:val="auto"/>
                <w:lang w:eastAsia="zh-CN"/>
              </w:rPr>
            </w:pPr>
            <w:r>
              <w:rPr>
                <w:rFonts w:hint="eastAsia"/>
                <w:color w:val="auto"/>
              </w:rPr>
              <w:t>2.</w:t>
            </w:r>
            <w:r>
              <w:rPr>
                <w:rFonts w:hint="eastAsia"/>
                <w:color w:val="auto"/>
                <w:lang w:val="en-US" w:eastAsia="zh-CN"/>
              </w:rPr>
              <w:t>0</w:t>
            </w:r>
          </w:p>
        </w:tc>
        <w:tc>
          <w:tcPr>
            <w:tcW w:w="1269" w:type="dxa"/>
            <w:gridSpan w:val="2"/>
            <w:tcBorders>
              <w:left w:val="single" w:color="auto" w:sz="12" w:space="0"/>
            </w:tcBorders>
            <w:noWrap w:val="0"/>
            <w:vAlign w:val="center"/>
          </w:tcPr>
          <w:p>
            <w:pPr>
              <w:spacing w:line="440" w:lineRule="exact"/>
              <w:jc w:val="center"/>
              <w:rPr>
                <w:rFonts w:hint="eastAsia"/>
                <w:color w:val="auto"/>
              </w:rPr>
            </w:pPr>
            <w:r>
              <w:rPr>
                <w:rFonts w:hint="eastAsia"/>
                <w:color w:val="auto"/>
              </w:rPr>
              <w:t>≤4900</w:t>
            </w:r>
          </w:p>
        </w:tc>
        <w:tc>
          <w:tcPr>
            <w:tcW w:w="5017" w:type="dxa"/>
            <w:gridSpan w:val="12"/>
            <w:tcBorders>
              <w:right w:val="single" w:color="auto" w:sz="4" w:space="0"/>
            </w:tcBorders>
            <w:noWrap w:val="0"/>
            <w:vAlign w:val="center"/>
          </w:tcPr>
          <w:p>
            <w:pPr>
              <w:spacing w:line="440" w:lineRule="exact"/>
              <w:jc w:val="center"/>
              <w:rPr>
                <w:rFonts w:hint="eastAsia"/>
                <w:color w:val="auto"/>
              </w:rPr>
            </w:pPr>
            <w:r>
              <w:rPr>
                <w:rFonts w:hint="eastAsia"/>
                <w:color w:val="auto"/>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center"/>
          </w:tcPr>
          <w:p>
            <w:pPr>
              <w:spacing w:line="440" w:lineRule="exact"/>
              <w:jc w:val="center"/>
              <w:rPr>
                <w:rFonts w:hint="eastAsia"/>
                <w:color w:val="auto"/>
              </w:rPr>
            </w:pPr>
            <w:r>
              <w:rPr>
                <w:rFonts w:hint="eastAsia"/>
                <w:color w:val="auto"/>
              </w:rPr>
              <w:t>＞4900～6600</w:t>
            </w:r>
          </w:p>
        </w:tc>
        <w:tc>
          <w:tcPr>
            <w:tcW w:w="4495" w:type="dxa"/>
            <w:gridSpan w:val="3"/>
            <w:tcBorders>
              <w:right w:val="single" w:color="auto" w:sz="12" w:space="0"/>
            </w:tcBorders>
            <w:noWrap w:val="0"/>
            <w:vAlign w:val="center"/>
          </w:tcPr>
          <w:p>
            <w:pPr>
              <w:spacing w:line="440" w:lineRule="exact"/>
              <w:jc w:val="center"/>
              <w:rPr>
                <w:rFonts w:hint="eastAsia" w:eastAsiaTheme="minorEastAsia"/>
                <w:color w:val="auto"/>
                <w:lang w:eastAsia="zh-CN"/>
              </w:rPr>
            </w:pPr>
            <w:r>
              <w:rPr>
                <w:rFonts w:hint="eastAsia"/>
                <w:color w:val="auto"/>
              </w:rPr>
              <w:t>3.</w:t>
            </w:r>
            <w:r>
              <w:rPr>
                <w:rFonts w:hint="eastAsia"/>
                <w:color w:val="auto"/>
                <w:lang w:val="en-US" w:eastAsia="zh-CN"/>
              </w:rPr>
              <w:t>0</w:t>
            </w:r>
          </w:p>
        </w:tc>
        <w:tc>
          <w:tcPr>
            <w:tcW w:w="1269" w:type="dxa"/>
            <w:gridSpan w:val="2"/>
            <w:tcBorders>
              <w:left w:val="single" w:color="auto" w:sz="12" w:space="0"/>
            </w:tcBorders>
            <w:noWrap w:val="0"/>
            <w:vAlign w:val="center"/>
          </w:tcPr>
          <w:p>
            <w:pPr>
              <w:spacing w:line="440" w:lineRule="exact"/>
              <w:jc w:val="center"/>
              <w:rPr>
                <w:rFonts w:hint="eastAsia"/>
                <w:color w:val="auto"/>
              </w:rPr>
            </w:pPr>
            <w:r>
              <w:rPr>
                <w:rFonts w:hint="eastAsia"/>
                <w:color w:val="auto"/>
              </w:rPr>
              <w:t>＞4900～6600</w:t>
            </w:r>
          </w:p>
        </w:tc>
        <w:tc>
          <w:tcPr>
            <w:tcW w:w="5017" w:type="dxa"/>
            <w:gridSpan w:val="12"/>
            <w:tcBorders>
              <w:right w:val="single" w:color="auto" w:sz="4" w:space="0"/>
            </w:tcBorders>
            <w:noWrap w:val="0"/>
            <w:vAlign w:val="center"/>
          </w:tcPr>
          <w:p>
            <w:pPr>
              <w:spacing w:line="440" w:lineRule="exact"/>
              <w:jc w:val="center"/>
              <w:rPr>
                <w:rFonts w:hint="eastAsia"/>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center"/>
          </w:tcPr>
          <w:p>
            <w:pPr>
              <w:spacing w:line="440" w:lineRule="exact"/>
              <w:jc w:val="center"/>
              <w:rPr>
                <w:rFonts w:hint="eastAsia"/>
                <w:color w:val="auto"/>
              </w:rPr>
            </w:pPr>
            <w:r>
              <w:rPr>
                <w:rFonts w:hint="eastAsia"/>
                <w:color w:val="auto"/>
              </w:rPr>
              <w:t>＞6600～9800</w:t>
            </w:r>
          </w:p>
        </w:tc>
        <w:tc>
          <w:tcPr>
            <w:tcW w:w="4495" w:type="dxa"/>
            <w:gridSpan w:val="3"/>
            <w:tcBorders>
              <w:right w:val="single" w:color="auto" w:sz="4" w:space="0"/>
            </w:tcBorders>
            <w:noWrap w:val="0"/>
            <w:vAlign w:val="center"/>
          </w:tcPr>
          <w:p>
            <w:pPr>
              <w:spacing w:line="440" w:lineRule="exact"/>
              <w:jc w:val="center"/>
              <w:rPr>
                <w:rFonts w:hint="eastAsia"/>
                <w:color w:val="auto"/>
              </w:rPr>
            </w:pPr>
            <w:r>
              <w:rPr>
                <w:rFonts w:hint="eastAsia"/>
                <w:color w:val="auto"/>
              </w:rPr>
              <w:t>4.0</w:t>
            </w:r>
          </w:p>
        </w:tc>
        <w:tc>
          <w:tcPr>
            <w:tcW w:w="1269" w:type="dxa"/>
            <w:gridSpan w:val="2"/>
            <w:tcBorders>
              <w:left w:val="single" w:color="auto" w:sz="4" w:space="0"/>
            </w:tcBorders>
            <w:noWrap w:val="0"/>
            <w:vAlign w:val="center"/>
          </w:tcPr>
          <w:p>
            <w:pPr>
              <w:spacing w:line="440" w:lineRule="exact"/>
              <w:jc w:val="center"/>
              <w:rPr>
                <w:rFonts w:hint="eastAsia"/>
                <w:color w:val="auto"/>
              </w:rPr>
            </w:pPr>
            <w:r>
              <w:rPr>
                <w:rFonts w:hint="eastAsia"/>
                <w:color w:val="auto"/>
              </w:rPr>
              <w:t>＞6600～9800</w:t>
            </w:r>
          </w:p>
        </w:tc>
        <w:tc>
          <w:tcPr>
            <w:tcW w:w="5017" w:type="dxa"/>
            <w:gridSpan w:val="12"/>
            <w:tcBorders>
              <w:right w:val="single" w:color="auto" w:sz="12" w:space="0"/>
            </w:tcBorders>
            <w:noWrap w:val="0"/>
            <w:vAlign w:val="center"/>
          </w:tcPr>
          <w:p>
            <w:pPr>
              <w:spacing w:line="440" w:lineRule="exact"/>
              <w:jc w:val="center"/>
              <w:rPr>
                <w:rFonts w:hint="eastAsia"/>
                <w:color w:val="auto"/>
              </w:rPr>
            </w:pPr>
            <w:r>
              <w:rPr>
                <w:rFonts w:hint="eastAsia"/>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color w:val="auto"/>
              </w:rPr>
            </w:pPr>
            <w:r>
              <w:rPr>
                <w:rFonts w:hint="eastAsia"/>
                <w:color w:val="auto"/>
              </w:rPr>
              <w:t>＞9800～19700</w:t>
            </w:r>
          </w:p>
        </w:tc>
        <w:tc>
          <w:tcPr>
            <w:tcW w:w="4495" w:type="dxa"/>
            <w:gridSpan w:val="3"/>
            <w:tcBorders>
              <w:right w:val="single" w:color="auto" w:sz="4" w:space="0"/>
            </w:tcBorders>
            <w:noWrap w:val="0"/>
            <w:vAlign w:val="center"/>
          </w:tcPr>
          <w:p>
            <w:pPr>
              <w:spacing w:line="440" w:lineRule="exact"/>
              <w:jc w:val="center"/>
              <w:rPr>
                <w:rFonts w:hint="eastAsia" w:eastAsiaTheme="minorEastAsia"/>
                <w:color w:val="auto"/>
                <w:lang w:eastAsia="zh-CN"/>
              </w:rPr>
            </w:pPr>
            <w:r>
              <w:rPr>
                <w:rFonts w:hint="eastAsia"/>
                <w:color w:val="auto"/>
              </w:rPr>
              <w:t>9.</w:t>
            </w:r>
            <w:r>
              <w:rPr>
                <w:rFonts w:hint="eastAsia"/>
                <w:color w:val="auto"/>
                <w:lang w:val="en-US" w:eastAsia="zh-CN"/>
              </w:rPr>
              <w:t>0</w:t>
            </w:r>
          </w:p>
        </w:tc>
        <w:tc>
          <w:tcPr>
            <w:tcW w:w="1269" w:type="dxa"/>
            <w:gridSpan w:val="2"/>
            <w:tcBorders>
              <w:left w:val="single" w:color="auto" w:sz="4" w:space="0"/>
            </w:tcBorders>
            <w:noWrap w:val="0"/>
            <w:vAlign w:val="top"/>
          </w:tcPr>
          <w:p>
            <w:pPr>
              <w:spacing w:line="440" w:lineRule="exact"/>
              <w:jc w:val="center"/>
              <w:rPr>
                <w:color w:val="auto"/>
              </w:rPr>
            </w:pPr>
            <w:r>
              <w:rPr>
                <w:rFonts w:hint="eastAsia"/>
                <w:color w:val="auto"/>
              </w:rPr>
              <w:t>＞9800～19700</w:t>
            </w:r>
          </w:p>
        </w:tc>
        <w:tc>
          <w:tcPr>
            <w:tcW w:w="5017" w:type="dxa"/>
            <w:gridSpan w:val="12"/>
            <w:tcBorders>
              <w:right w:val="single" w:color="auto" w:sz="12" w:space="0"/>
            </w:tcBorders>
            <w:noWrap w:val="0"/>
            <w:vAlign w:val="center"/>
          </w:tcPr>
          <w:p>
            <w:pPr>
              <w:spacing w:line="440" w:lineRule="exact"/>
              <w:jc w:val="center"/>
              <w:rPr>
                <w:rFonts w:hint="eastAsia"/>
                <w:color w:val="auto"/>
              </w:rPr>
            </w:pPr>
            <w:r>
              <w:rPr>
                <w:rFonts w:hint="eastAsia"/>
                <w:color w:val="auto"/>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52" w:type="dxa"/>
            <w:vMerge w:val="continue"/>
            <w:noWrap w:val="0"/>
            <w:vAlign w:val="center"/>
          </w:tcPr>
          <w:p>
            <w:pPr>
              <w:spacing w:line="440" w:lineRule="exact"/>
              <w:jc w:val="center"/>
              <w:rPr>
                <w:rFonts w:hint="eastAsia"/>
                <w:color w:val="auto"/>
              </w:rPr>
            </w:pPr>
          </w:p>
        </w:tc>
        <w:tc>
          <w:tcPr>
            <w:tcW w:w="3006" w:type="dxa"/>
            <w:gridSpan w:val="2"/>
            <w:noWrap w:val="0"/>
            <w:vAlign w:val="top"/>
          </w:tcPr>
          <w:p>
            <w:pPr>
              <w:spacing w:line="440" w:lineRule="exact"/>
              <w:jc w:val="center"/>
              <w:rPr>
                <w:color w:val="auto"/>
              </w:rPr>
            </w:pPr>
            <w:r>
              <w:rPr>
                <w:rFonts w:hint="eastAsia"/>
                <w:color w:val="auto"/>
              </w:rPr>
              <w:t>＞19700～35000</w:t>
            </w:r>
          </w:p>
        </w:tc>
        <w:tc>
          <w:tcPr>
            <w:tcW w:w="4495" w:type="dxa"/>
            <w:gridSpan w:val="3"/>
            <w:tcBorders>
              <w:right w:val="single" w:color="auto" w:sz="4" w:space="0"/>
            </w:tcBorders>
            <w:noWrap w:val="0"/>
            <w:vAlign w:val="center"/>
          </w:tcPr>
          <w:p>
            <w:pPr>
              <w:spacing w:line="440" w:lineRule="exact"/>
              <w:jc w:val="center"/>
              <w:rPr>
                <w:rFonts w:hint="eastAsia" w:eastAsiaTheme="minorEastAsia"/>
                <w:color w:val="auto"/>
                <w:lang w:eastAsia="zh-CN"/>
              </w:rPr>
            </w:pPr>
            <w:r>
              <w:rPr>
                <w:rFonts w:hint="eastAsia"/>
                <w:color w:val="auto"/>
              </w:rPr>
              <w:t>12.</w:t>
            </w:r>
            <w:r>
              <w:rPr>
                <w:rFonts w:hint="eastAsia"/>
                <w:color w:val="auto"/>
                <w:lang w:val="en-US" w:eastAsia="zh-CN"/>
              </w:rPr>
              <w:t>0</w:t>
            </w:r>
          </w:p>
        </w:tc>
        <w:tc>
          <w:tcPr>
            <w:tcW w:w="1269" w:type="dxa"/>
            <w:gridSpan w:val="2"/>
            <w:tcBorders>
              <w:left w:val="single" w:color="auto" w:sz="4" w:space="0"/>
            </w:tcBorders>
            <w:noWrap w:val="0"/>
            <w:vAlign w:val="top"/>
          </w:tcPr>
          <w:p>
            <w:pPr>
              <w:spacing w:line="440" w:lineRule="exact"/>
              <w:jc w:val="center"/>
              <w:rPr>
                <w:color w:val="auto"/>
              </w:rPr>
            </w:pPr>
            <w:r>
              <w:rPr>
                <w:rFonts w:hint="eastAsia"/>
                <w:color w:val="auto"/>
              </w:rPr>
              <w:t>＞19700～32000</w:t>
            </w:r>
          </w:p>
        </w:tc>
        <w:tc>
          <w:tcPr>
            <w:tcW w:w="5017" w:type="dxa"/>
            <w:gridSpan w:val="12"/>
            <w:tcBorders>
              <w:right w:val="single" w:color="auto" w:sz="12" w:space="0"/>
            </w:tcBorders>
            <w:noWrap w:val="0"/>
            <w:vAlign w:val="center"/>
          </w:tcPr>
          <w:p>
            <w:pPr>
              <w:spacing w:line="440" w:lineRule="exact"/>
              <w:jc w:val="center"/>
              <w:rPr>
                <w:rFonts w:hint="default" w:eastAsiaTheme="minorEastAsia"/>
                <w:color w:val="auto"/>
                <w:lang w:val="en-US" w:eastAsia="zh-CN"/>
              </w:rPr>
            </w:pPr>
            <w:r>
              <w:rPr>
                <w:rFonts w:hint="eastAsia"/>
                <w:color w:val="auto"/>
              </w:rPr>
              <w:t>1</w:t>
            </w: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7501" w:type="dxa"/>
            <w:gridSpan w:val="5"/>
            <w:noWrap w:val="0"/>
            <w:vAlign w:val="top"/>
          </w:tcPr>
          <w:p>
            <w:pPr>
              <w:widowControl/>
              <w:jc w:val="left"/>
              <w:rPr>
                <w:rFonts w:hint="eastAsia" w:eastAsiaTheme="minorEastAsia"/>
                <w:color w:val="auto"/>
                <w:lang w:eastAsia="zh-CN"/>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w:t>
            </w:r>
            <w:r>
              <w:rPr>
                <w:rFonts w:hint="eastAsia"/>
                <w:color w:val="auto"/>
                <w:lang w:val="en-US" w:eastAsia="zh-CN"/>
              </w:rPr>
              <w:t>高于或等同于</w:t>
            </w:r>
            <w:r>
              <w:rPr>
                <w:rFonts w:hint="eastAsia"/>
                <w:color w:val="auto"/>
              </w:rPr>
              <w:t>ASTM B 552-</w:t>
            </w:r>
            <w:r>
              <w:rPr>
                <w:rFonts w:hint="eastAsia"/>
                <w:color w:val="auto"/>
                <w:lang w:val="en-US" w:eastAsia="zh-CN"/>
              </w:rPr>
              <w:t>2019</w:t>
            </w:r>
            <w:r>
              <w:rPr>
                <w:rFonts w:hint="eastAsia"/>
                <w:color w:val="auto"/>
              </w:rPr>
              <w:t>标准水平</w:t>
            </w:r>
            <w:r>
              <w:rPr>
                <w:rFonts w:hint="eastAsia"/>
                <w:color w:val="auto"/>
                <w:lang w:eastAsia="zh-CN"/>
              </w:rPr>
              <w:t>。</w:t>
            </w:r>
          </w:p>
        </w:tc>
        <w:tc>
          <w:tcPr>
            <w:tcW w:w="6286" w:type="dxa"/>
            <w:gridSpan w:val="14"/>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表面质量</w:t>
            </w:r>
          </w:p>
        </w:tc>
        <w:tc>
          <w:tcPr>
            <w:tcW w:w="7501" w:type="dxa"/>
            <w:gridSpan w:val="5"/>
            <w:noWrap w:val="0"/>
            <w:vAlign w:val="top"/>
          </w:tcPr>
          <w:p>
            <w:pPr>
              <w:widowControl/>
              <w:jc w:val="left"/>
              <w:rPr>
                <w:rFonts w:hint="eastAsia"/>
                <w:color w:val="auto"/>
              </w:rPr>
            </w:pPr>
            <w:r>
              <w:rPr>
                <w:rFonts w:hint="eastAsia"/>
                <w:color w:val="auto"/>
              </w:rPr>
              <w:t>管材的内外表面应清洁、光亮，不应存在影响客户使用的有害缺陷。</w:t>
            </w:r>
          </w:p>
        </w:tc>
        <w:tc>
          <w:tcPr>
            <w:tcW w:w="6286" w:type="dxa"/>
            <w:gridSpan w:val="14"/>
            <w:noWrap w:val="0"/>
            <w:vAlign w:val="top"/>
          </w:tcPr>
          <w:p>
            <w:pPr>
              <w:widowControl/>
              <w:jc w:val="left"/>
              <w:rPr>
                <w:rFonts w:hint="eastAsia"/>
                <w:color w:val="auto"/>
              </w:rPr>
            </w:pPr>
            <w:r>
              <w:rPr>
                <w:rFonts w:hint="eastAsia"/>
                <w:color w:val="auto"/>
              </w:rPr>
              <w:t>管材应清洁无缺陷，但允许有不影响使用的自然缺陷。退火状态的管材可以在内外表面上有一层暗彩虹色薄膜，而拉拔状态的管材可以在其表面上有一层拉拔润滑薄膜。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top"/>
          </w:tcPr>
          <w:p>
            <w:pPr>
              <w:widowControl/>
              <w:jc w:val="left"/>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－XXXX与ASTM B 552-98（04）标准水平相当。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扩口试验</w:t>
            </w:r>
          </w:p>
        </w:tc>
        <w:tc>
          <w:tcPr>
            <w:tcW w:w="1873" w:type="dxa"/>
            <w:noWrap w:val="0"/>
            <w:vAlign w:val="center"/>
          </w:tcPr>
          <w:p>
            <w:pPr>
              <w:widowControl/>
              <w:jc w:val="center"/>
              <w:rPr>
                <w:rFonts w:hint="eastAsia"/>
                <w:color w:val="auto"/>
              </w:rPr>
            </w:pPr>
          </w:p>
        </w:tc>
        <w:tc>
          <w:tcPr>
            <w:tcW w:w="3749" w:type="dxa"/>
            <w:gridSpan w:val="2"/>
            <w:noWrap w:val="0"/>
            <w:vAlign w:val="center"/>
          </w:tcPr>
          <w:p>
            <w:pPr>
              <w:widowControl/>
              <w:ind w:firstLine="1050" w:firstLineChars="500"/>
              <w:jc w:val="center"/>
              <w:rPr>
                <w:rFonts w:hint="eastAsia"/>
                <w:color w:val="auto"/>
              </w:rPr>
            </w:pPr>
            <w:r>
              <w:rPr>
                <w:rFonts w:hint="eastAsia"/>
                <w:color w:val="auto"/>
              </w:rPr>
              <w:t>扩口量/%</w:t>
            </w:r>
          </w:p>
        </w:tc>
        <w:tc>
          <w:tcPr>
            <w:tcW w:w="1879" w:type="dxa"/>
            <w:gridSpan w:val="2"/>
            <w:noWrap w:val="0"/>
            <w:vAlign w:val="center"/>
          </w:tcPr>
          <w:p>
            <w:pPr>
              <w:widowControl/>
              <w:jc w:val="center"/>
              <w:rPr>
                <w:rFonts w:hint="eastAsia"/>
                <w:color w:val="auto"/>
              </w:rPr>
            </w:pPr>
            <w:r>
              <w:rPr>
                <w:rFonts w:hint="eastAsia"/>
                <w:color w:val="auto"/>
              </w:rPr>
              <w:t>顶芯锥度</w:t>
            </w:r>
          </w:p>
        </w:tc>
        <w:tc>
          <w:tcPr>
            <w:tcW w:w="1571" w:type="dxa"/>
            <w:gridSpan w:val="3"/>
            <w:noWrap w:val="0"/>
            <w:vAlign w:val="center"/>
          </w:tcPr>
          <w:p>
            <w:pPr>
              <w:widowControl/>
              <w:jc w:val="center"/>
              <w:rPr>
                <w:rFonts w:hint="eastAsia"/>
                <w:color w:val="auto"/>
              </w:rPr>
            </w:pPr>
          </w:p>
        </w:tc>
        <w:tc>
          <w:tcPr>
            <w:tcW w:w="3143" w:type="dxa"/>
            <w:gridSpan w:val="9"/>
            <w:noWrap w:val="0"/>
            <w:vAlign w:val="center"/>
          </w:tcPr>
          <w:p>
            <w:pPr>
              <w:widowControl/>
              <w:ind w:firstLine="1050" w:firstLineChars="500"/>
              <w:jc w:val="center"/>
              <w:rPr>
                <w:rFonts w:hint="eastAsia"/>
                <w:color w:val="auto"/>
              </w:rPr>
            </w:pPr>
            <w:r>
              <w:rPr>
                <w:rFonts w:hint="eastAsia"/>
                <w:color w:val="auto"/>
              </w:rPr>
              <w:t>扩口量/%</w:t>
            </w:r>
          </w:p>
        </w:tc>
        <w:tc>
          <w:tcPr>
            <w:tcW w:w="1572" w:type="dxa"/>
            <w:gridSpan w:val="2"/>
            <w:noWrap w:val="0"/>
            <w:vAlign w:val="top"/>
          </w:tcPr>
          <w:p>
            <w:pPr>
              <w:widowControl/>
              <w:jc w:val="left"/>
              <w:rPr>
                <w:rFonts w:hint="eastAsia"/>
                <w:color w:val="auto"/>
              </w:rPr>
            </w:pPr>
            <w:r>
              <w:rPr>
                <w:rFonts w:hint="eastAsia"/>
                <w:color w:val="auto"/>
              </w:rPr>
              <w:t>顶芯锥度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restart"/>
            <w:noWrap w:val="0"/>
            <w:vAlign w:val="center"/>
          </w:tcPr>
          <w:p>
            <w:pPr>
              <w:widowControl/>
              <w:jc w:val="center"/>
              <w:rPr>
                <w:rFonts w:hint="eastAsia"/>
                <w:color w:val="auto"/>
              </w:rPr>
            </w:pPr>
            <w:r>
              <w:rPr>
                <w:color w:val="auto"/>
                <w:szCs w:val="21"/>
              </w:rPr>
              <w:t>HAl77-2</w:t>
            </w: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2616" w:type="dxa"/>
            <w:noWrap w:val="0"/>
            <w:vAlign w:val="center"/>
          </w:tcPr>
          <w:p>
            <w:pPr>
              <w:widowControl/>
              <w:jc w:val="center"/>
              <w:rPr>
                <w:rFonts w:hint="eastAsia"/>
                <w:color w:val="auto"/>
              </w:rPr>
            </w:pPr>
            <w:r>
              <w:rPr>
                <w:rFonts w:hint="eastAsia"/>
                <w:color w:val="auto"/>
              </w:rPr>
              <w:t>30</w:t>
            </w:r>
          </w:p>
        </w:tc>
        <w:tc>
          <w:tcPr>
            <w:tcW w:w="1879" w:type="dxa"/>
            <w:gridSpan w:val="2"/>
            <w:vMerge w:val="restart"/>
            <w:noWrap w:val="0"/>
            <w:vAlign w:val="center"/>
          </w:tcPr>
          <w:p>
            <w:pPr>
              <w:widowControl/>
              <w:jc w:val="center"/>
              <w:rPr>
                <w:rFonts w:hint="eastAsia"/>
                <w:color w:val="auto"/>
                <w:vertAlign w:val="superscript"/>
              </w:rPr>
            </w:pPr>
            <w:r>
              <w:rPr>
                <w:rFonts w:hint="eastAsia"/>
                <w:color w:val="auto"/>
              </w:rPr>
              <w:t>60</w:t>
            </w:r>
            <w:r>
              <w:rPr>
                <w:rFonts w:hint="eastAsia"/>
                <w:color w:val="auto"/>
                <w:vertAlign w:val="superscript"/>
              </w:rPr>
              <w:t>0</w:t>
            </w:r>
          </w:p>
        </w:tc>
        <w:tc>
          <w:tcPr>
            <w:tcW w:w="1571" w:type="dxa"/>
            <w:gridSpan w:val="3"/>
            <w:noWrap w:val="0"/>
            <w:vAlign w:val="center"/>
          </w:tcPr>
          <w:p>
            <w:pPr>
              <w:widowControl/>
              <w:jc w:val="center"/>
              <w:rPr>
                <w:rFonts w:hint="eastAsia"/>
                <w:color w:val="auto"/>
              </w:rPr>
            </w:pPr>
          </w:p>
        </w:tc>
        <w:tc>
          <w:tcPr>
            <w:tcW w:w="1572" w:type="dxa"/>
            <w:gridSpan w:val="5"/>
            <w:noWrap w:val="0"/>
            <w:vAlign w:val="center"/>
          </w:tcPr>
          <w:p>
            <w:pPr>
              <w:widowControl/>
              <w:jc w:val="center"/>
              <w:rPr>
                <w:rFonts w:hint="eastAsia"/>
                <w:color w:val="auto"/>
              </w:rPr>
            </w:pPr>
          </w:p>
        </w:tc>
        <w:tc>
          <w:tcPr>
            <w:tcW w:w="1571" w:type="dxa"/>
            <w:gridSpan w:val="4"/>
            <w:noWrap w:val="0"/>
            <w:vAlign w:val="center"/>
          </w:tcPr>
          <w:p>
            <w:pPr>
              <w:widowControl/>
              <w:jc w:val="center"/>
              <w:rPr>
                <w:rFonts w:hint="eastAsia"/>
                <w:color w:val="auto"/>
              </w:rPr>
            </w:pPr>
          </w:p>
        </w:tc>
        <w:tc>
          <w:tcPr>
            <w:tcW w:w="1572" w:type="dxa"/>
            <w:gridSpan w:val="2"/>
            <w:vMerge w:val="restart"/>
            <w:noWrap w:val="0"/>
            <w:vAlign w:val="center"/>
          </w:tcPr>
          <w:p>
            <w:pPr>
              <w:widowControl/>
              <w:jc w:val="center"/>
              <w:rPr>
                <w:rFonts w:hint="eastAsia"/>
                <w:color w:val="auto"/>
              </w:rPr>
            </w:pPr>
            <w:r>
              <w:rPr>
                <w:rFonts w:hint="eastAsia"/>
                <w:color w:val="auto"/>
              </w:rPr>
              <w:t>60</w:t>
            </w:r>
            <w:r>
              <w:rPr>
                <w:rFonts w:hint="eastAsia"/>
                <w:color w:val="auto"/>
                <w:vertAlign w:val="super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continue"/>
            <w:noWrap w:val="0"/>
            <w:vAlign w:val="center"/>
          </w:tcPr>
          <w:p>
            <w:pPr>
              <w:widowControl/>
              <w:jc w:val="center"/>
              <w:rPr>
                <w:color w:val="auto"/>
                <w:szCs w:val="21"/>
              </w:rPr>
            </w:pP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2616" w:type="dxa"/>
            <w:noWrap w:val="0"/>
            <w:vAlign w:val="center"/>
          </w:tcPr>
          <w:p>
            <w:pPr>
              <w:widowControl/>
              <w:jc w:val="center"/>
              <w:rPr>
                <w:rFonts w:hint="eastAsia"/>
                <w:color w:val="auto"/>
              </w:rPr>
            </w:pPr>
            <w:r>
              <w:rPr>
                <w:rFonts w:hint="eastAsia"/>
                <w:color w:val="auto"/>
              </w:rPr>
              <w:t>30</w:t>
            </w:r>
          </w:p>
        </w:tc>
        <w:tc>
          <w:tcPr>
            <w:tcW w:w="1879" w:type="dxa"/>
            <w:gridSpan w:val="2"/>
            <w:vMerge w:val="continue"/>
            <w:noWrap w:val="0"/>
            <w:vAlign w:val="center"/>
          </w:tcPr>
          <w:p>
            <w:pPr>
              <w:widowControl/>
              <w:jc w:val="center"/>
              <w:rPr>
                <w:rFonts w:hint="eastAsia"/>
                <w:color w:val="auto"/>
              </w:rPr>
            </w:pPr>
          </w:p>
        </w:tc>
        <w:tc>
          <w:tcPr>
            <w:tcW w:w="1571" w:type="dxa"/>
            <w:gridSpan w:val="3"/>
            <w:noWrap w:val="0"/>
            <w:vAlign w:val="center"/>
          </w:tcPr>
          <w:p>
            <w:pPr>
              <w:widowControl/>
              <w:jc w:val="center"/>
              <w:rPr>
                <w:rFonts w:hint="eastAsia"/>
                <w:color w:val="auto"/>
              </w:rPr>
            </w:pPr>
          </w:p>
        </w:tc>
        <w:tc>
          <w:tcPr>
            <w:tcW w:w="1572" w:type="dxa"/>
            <w:gridSpan w:val="5"/>
            <w:noWrap w:val="0"/>
            <w:vAlign w:val="center"/>
          </w:tcPr>
          <w:p>
            <w:pPr>
              <w:widowControl/>
              <w:jc w:val="center"/>
              <w:rPr>
                <w:rFonts w:hint="eastAsia"/>
                <w:color w:val="auto"/>
              </w:rPr>
            </w:pPr>
          </w:p>
        </w:tc>
        <w:tc>
          <w:tcPr>
            <w:tcW w:w="1571" w:type="dxa"/>
            <w:gridSpan w:val="4"/>
            <w:noWrap w:val="0"/>
            <w:vAlign w:val="center"/>
          </w:tcPr>
          <w:p>
            <w:pPr>
              <w:widowControl/>
              <w:jc w:val="center"/>
              <w:rPr>
                <w:rFonts w:hint="eastAsia"/>
                <w:color w:val="auto"/>
              </w:rPr>
            </w:pPr>
          </w:p>
        </w:tc>
        <w:tc>
          <w:tcPr>
            <w:tcW w:w="1572" w:type="dxa"/>
            <w:gridSpan w:val="2"/>
            <w:vMerge w:val="continue"/>
            <w:noWrap w:val="0"/>
            <w:vAlign w:val="top"/>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restart"/>
            <w:noWrap w:val="0"/>
            <w:vAlign w:val="center"/>
          </w:tcPr>
          <w:p>
            <w:pPr>
              <w:widowControl/>
              <w:jc w:val="center"/>
              <w:rPr>
                <w:rFonts w:hint="eastAsia"/>
                <w:color w:val="auto"/>
              </w:rPr>
            </w:pPr>
            <w:r>
              <w:rPr>
                <w:color w:val="auto"/>
                <w:szCs w:val="21"/>
              </w:rPr>
              <w:t>BFe10-1-1</w:t>
            </w: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2616" w:type="dxa"/>
            <w:noWrap w:val="0"/>
            <w:vAlign w:val="center"/>
          </w:tcPr>
          <w:p>
            <w:pPr>
              <w:widowControl/>
              <w:jc w:val="center"/>
              <w:rPr>
                <w:rFonts w:hint="eastAsia"/>
                <w:color w:val="auto"/>
              </w:rPr>
            </w:pPr>
            <w:r>
              <w:rPr>
                <w:rFonts w:hint="eastAsia"/>
                <w:color w:val="auto"/>
              </w:rPr>
              <w:t>30</w:t>
            </w:r>
          </w:p>
        </w:tc>
        <w:tc>
          <w:tcPr>
            <w:tcW w:w="1879" w:type="dxa"/>
            <w:gridSpan w:val="2"/>
            <w:vMerge w:val="continue"/>
            <w:noWrap w:val="0"/>
            <w:vAlign w:val="center"/>
          </w:tcPr>
          <w:p>
            <w:pPr>
              <w:widowControl/>
              <w:jc w:val="center"/>
              <w:rPr>
                <w:rFonts w:hint="eastAsia"/>
                <w:color w:val="auto"/>
              </w:rPr>
            </w:pPr>
          </w:p>
        </w:tc>
        <w:tc>
          <w:tcPr>
            <w:tcW w:w="1571" w:type="dxa"/>
            <w:gridSpan w:val="3"/>
            <w:vMerge w:val="restart"/>
            <w:noWrap w:val="0"/>
            <w:vAlign w:val="center"/>
          </w:tcPr>
          <w:p>
            <w:pPr>
              <w:widowControl/>
              <w:jc w:val="center"/>
              <w:rPr>
                <w:rFonts w:hint="eastAsia"/>
                <w:color w:val="auto"/>
              </w:rPr>
            </w:pPr>
            <w:r>
              <w:rPr>
                <w:rFonts w:hint="eastAsia"/>
                <w:color w:val="auto"/>
              </w:rPr>
              <w:t>C70600</w:t>
            </w:r>
          </w:p>
        </w:tc>
        <w:tc>
          <w:tcPr>
            <w:tcW w:w="1572" w:type="dxa"/>
            <w:gridSpan w:val="5"/>
            <w:noWrap w:val="0"/>
            <w:vAlign w:val="center"/>
          </w:tcPr>
          <w:p>
            <w:pPr>
              <w:widowControl/>
              <w:jc w:val="center"/>
              <w:rPr>
                <w:rFonts w:hint="eastAsia"/>
                <w:color w:val="auto"/>
              </w:rPr>
            </w:pPr>
            <w:r>
              <w:rPr>
                <w:rFonts w:hint="eastAsia"/>
                <w:color w:val="auto"/>
              </w:rPr>
              <w:t>O61</w:t>
            </w:r>
          </w:p>
        </w:tc>
        <w:tc>
          <w:tcPr>
            <w:tcW w:w="1571" w:type="dxa"/>
            <w:gridSpan w:val="4"/>
            <w:noWrap w:val="0"/>
            <w:vAlign w:val="center"/>
          </w:tcPr>
          <w:p>
            <w:pPr>
              <w:widowControl/>
              <w:jc w:val="center"/>
              <w:rPr>
                <w:rFonts w:hint="eastAsia"/>
                <w:color w:val="auto"/>
              </w:rPr>
            </w:pPr>
            <w:r>
              <w:rPr>
                <w:rFonts w:hint="eastAsia"/>
                <w:color w:val="auto"/>
              </w:rPr>
              <w:t>30</w:t>
            </w:r>
          </w:p>
        </w:tc>
        <w:tc>
          <w:tcPr>
            <w:tcW w:w="1572" w:type="dxa"/>
            <w:gridSpan w:val="2"/>
            <w:vMerge w:val="continue"/>
            <w:noWrap w:val="0"/>
            <w:vAlign w:val="top"/>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continue"/>
            <w:noWrap w:val="0"/>
            <w:vAlign w:val="center"/>
          </w:tcPr>
          <w:p>
            <w:pPr>
              <w:widowControl/>
              <w:jc w:val="center"/>
              <w:rPr>
                <w:color w:val="auto"/>
                <w:szCs w:val="21"/>
              </w:rPr>
            </w:pP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2616" w:type="dxa"/>
            <w:noWrap w:val="0"/>
            <w:vAlign w:val="center"/>
          </w:tcPr>
          <w:p>
            <w:pPr>
              <w:widowControl/>
              <w:jc w:val="center"/>
              <w:rPr>
                <w:rFonts w:hint="eastAsia"/>
                <w:color w:val="auto"/>
              </w:rPr>
            </w:pPr>
            <w:r>
              <w:rPr>
                <w:rFonts w:hint="eastAsia"/>
                <w:color w:val="auto"/>
              </w:rPr>
              <w:t>20</w:t>
            </w:r>
          </w:p>
        </w:tc>
        <w:tc>
          <w:tcPr>
            <w:tcW w:w="1879" w:type="dxa"/>
            <w:gridSpan w:val="2"/>
            <w:vMerge w:val="continue"/>
            <w:noWrap w:val="0"/>
            <w:vAlign w:val="center"/>
          </w:tcPr>
          <w:p>
            <w:pPr>
              <w:widowControl/>
              <w:jc w:val="center"/>
              <w:rPr>
                <w:rFonts w:hint="eastAsia"/>
                <w:color w:val="auto"/>
              </w:rPr>
            </w:pPr>
          </w:p>
        </w:tc>
        <w:tc>
          <w:tcPr>
            <w:tcW w:w="1571" w:type="dxa"/>
            <w:gridSpan w:val="3"/>
            <w:vMerge w:val="continue"/>
            <w:noWrap w:val="0"/>
            <w:vAlign w:val="center"/>
          </w:tcPr>
          <w:p>
            <w:pPr>
              <w:widowControl/>
              <w:jc w:val="center"/>
              <w:rPr>
                <w:rFonts w:hint="eastAsia"/>
                <w:color w:val="auto"/>
              </w:rPr>
            </w:pPr>
          </w:p>
        </w:tc>
        <w:tc>
          <w:tcPr>
            <w:tcW w:w="1572" w:type="dxa"/>
            <w:gridSpan w:val="5"/>
            <w:noWrap w:val="0"/>
            <w:vAlign w:val="center"/>
          </w:tcPr>
          <w:p>
            <w:pPr>
              <w:widowControl/>
              <w:jc w:val="center"/>
              <w:rPr>
                <w:rFonts w:hint="eastAsia"/>
                <w:color w:val="auto"/>
              </w:rPr>
            </w:pPr>
            <w:r>
              <w:rPr>
                <w:rFonts w:hint="eastAsia"/>
                <w:color w:val="auto"/>
              </w:rPr>
              <w:t>H55</w:t>
            </w:r>
          </w:p>
        </w:tc>
        <w:tc>
          <w:tcPr>
            <w:tcW w:w="1571" w:type="dxa"/>
            <w:gridSpan w:val="4"/>
            <w:noWrap w:val="0"/>
            <w:vAlign w:val="center"/>
          </w:tcPr>
          <w:p>
            <w:pPr>
              <w:widowControl/>
              <w:jc w:val="center"/>
              <w:rPr>
                <w:rFonts w:hint="eastAsia"/>
                <w:color w:val="auto"/>
              </w:rPr>
            </w:pPr>
            <w:r>
              <w:rPr>
                <w:rFonts w:hint="eastAsia"/>
                <w:color w:val="auto"/>
              </w:rPr>
              <w:t>30</w:t>
            </w:r>
          </w:p>
        </w:tc>
        <w:tc>
          <w:tcPr>
            <w:tcW w:w="1572" w:type="dxa"/>
            <w:gridSpan w:val="2"/>
            <w:vMerge w:val="continue"/>
            <w:noWrap w:val="0"/>
            <w:vAlign w:val="top"/>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restart"/>
            <w:noWrap w:val="0"/>
            <w:vAlign w:val="center"/>
          </w:tcPr>
          <w:p>
            <w:pPr>
              <w:widowControl/>
              <w:jc w:val="center"/>
              <w:rPr>
                <w:color w:val="auto"/>
                <w:szCs w:val="21"/>
              </w:rPr>
            </w:pPr>
            <w:r>
              <w:rPr>
                <w:color w:val="auto"/>
                <w:szCs w:val="21"/>
              </w:rPr>
              <w:t>BFe30-1-1</w:t>
            </w: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2616" w:type="dxa"/>
            <w:noWrap w:val="0"/>
            <w:vAlign w:val="center"/>
          </w:tcPr>
          <w:p>
            <w:pPr>
              <w:widowControl/>
              <w:jc w:val="center"/>
              <w:rPr>
                <w:rFonts w:hint="eastAsia"/>
                <w:color w:val="auto"/>
              </w:rPr>
            </w:pPr>
            <w:r>
              <w:rPr>
                <w:rFonts w:hint="eastAsia"/>
                <w:color w:val="auto"/>
              </w:rPr>
              <w:t>30</w:t>
            </w:r>
          </w:p>
        </w:tc>
        <w:tc>
          <w:tcPr>
            <w:tcW w:w="1884" w:type="dxa"/>
            <w:gridSpan w:val="3"/>
            <w:vMerge w:val="restart"/>
            <w:noWrap w:val="0"/>
            <w:vAlign w:val="center"/>
          </w:tcPr>
          <w:p>
            <w:pPr>
              <w:widowControl/>
              <w:jc w:val="center"/>
              <w:rPr>
                <w:rFonts w:hint="eastAsia"/>
                <w:color w:val="auto"/>
              </w:rPr>
            </w:pPr>
            <w:r>
              <w:rPr>
                <w:rFonts w:hint="eastAsia"/>
                <w:color w:val="auto"/>
              </w:rPr>
              <w:t>60</w:t>
            </w:r>
            <w:r>
              <w:rPr>
                <w:rFonts w:hint="eastAsia"/>
                <w:color w:val="auto"/>
                <w:vertAlign w:val="superscript"/>
              </w:rPr>
              <w:t>0</w:t>
            </w:r>
          </w:p>
        </w:tc>
        <w:tc>
          <w:tcPr>
            <w:tcW w:w="1571" w:type="dxa"/>
            <w:gridSpan w:val="3"/>
            <w:vMerge w:val="restart"/>
            <w:noWrap w:val="0"/>
            <w:vAlign w:val="center"/>
          </w:tcPr>
          <w:p>
            <w:pPr>
              <w:widowControl/>
              <w:jc w:val="center"/>
              <w:rPr>
                <w:rFonts w:hint="eastAsia" w:eastAsiaTheme="minorEastAsia"/>
                <w:color w:val="auto"/>
                <w:lang w:val="en-US" w:eastAsia="zh-CN"/>
              </w:rPr>
            </w:pPr>
            <w:r>
              <w:rPr>
                <w:rFonts w:hint="eastAsia"/>
                <w:color w:val="auto"/>
              </w:rPr>
              <w:t>C7150</w:t>
            </w:r>
            <w:r>
              <w:rPr>
                <w:rFonts w:hint="eastAsia"/>
                <w:color w:val="auto"/>
                <w:lang w:val="en-US" w:eastAsia="zh-CN"/>
              </w:rPr>
              <w:t>0</w:t>
            </w:r>
          </w:p>
        </w:tc>
        <w:tc>
          <w:tcPr>
            <w:tcW w:w="1549" w:type="dxa"/>
            <w:gridSpan w:val="3"/>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O61</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30</w:t>
            </w:r>
          </w:p>
        </w:tc>
        <w:tc>
          <w:tcPr>
            <w:tcW w:w="1589" w:type="dxa"/>
            <w:gridSpan w:val="3"/>
            <w:vMerge w:val="restart"/>
            <w:noWrap w:val="0"/>
            <w:vAlign w:val="center"/>
          </w:tcPr>
          <w:p>
            <w:pPr>
              <w:widowControl/>
              <w:jc w:val="center"/>
              <w:rPr>
                <w:rFonts w:hint="eastAsia"/>
                <w:color w:val="auto"/>
              </w:rPr>
            </w:pPr>
            <w:r>
              <w:rPr>
                <w:rFonts w:hint="eastAsia"/>
                <w:color w:val="auto"/>
              </w:rPr>
              <w:t>60</w:t>
            </w:r>
            <w:r>
              <w:rPr>
                <w:rFonts w:hint="eastAsia"/>
                <w:color w:val="auto"/>
                <w:vertAlign w:val="super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continue"/>
            <w:noWrap w:val="0"/>
            <w:vAlign w:val="center"/>
          </w:tcPr>
          <w:p>
            <w:pPr>
              <w:widowControl/>
              <w:jc w:val="center"/>
              <w:rPr>
                <w:color w:val="auto"/>
                <w:szCs w:val="21"/>
              </w:rPr>
            </w:pP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2616" w:type="dxa"/>
            <w:noWrap w:val="0"/>
            <w:vAlign w:val="center"/>
          </w:tcPr>
          <w:p>
            <w:pPr>
              <w:widowControl/>
              <w:jc w:val="center"/>
              <w:rPr>
                <w:rFonts w:hint="eastAsia"/>
                <w:color w:val="auto"/>
              </w:rPr>
            </w:pPr>
            <w:r>
              <w:rPr>
                <w:rFonts w:hint="eastAsia"/>
                <w:color w:val="auto"/>
              </w:rPr>
              <w:t>20</w:t>
            </w:r>
          </w:p>
        </w:tc>
        <w:tc>
          <w:tcPr>
            <w:tcW w:w="1884" w:type="dxa"/>
            <w:gridSpan w:val="3"/>
            <w:vMerge w:val="continue"/>
            <w:noWrap w:val="0"/>
            <w:vAlign w:val="center"/>
          </w:tcPr>
          <w:p>
            <w:pPr>
              <w:widowControl/>
              <w:jc w:val="center"/>
              <w:rPr>
                <w:rFonts w:hint="eastAsia"/>
                <w:color w:val="auto"/>
              </w:rPr>
            </w:pPr>
          </w:p>
        </w:tc>
        <w:tc>
          <w:tcPr>
            <w:tcW w:w="1571" w:type="dxa"/>
            <w:gridSpan w:val="3"/>
            <w:vMerge w:val="continue"/>
            <w:noWrap w:val="0"/>
            <w:vAlign w:val="center"/>
          </w:tcPr>
          <w:p>
            <w:pPr>
              <w:widowControl/>
              <w:jc w:val="center"/>
              <w:rPr>
                <w:rFonts w:hint="eastAsia"/>
                <w:color w:val="auto"/>
              </w:rPr>
            </w:pPr>
          </w:p>
        </w:tc>
        <w:tc>
          <w:tcPr>
            <w:tcW w:w="1549" w:type="dxa"/>
            <w:gridSpan w:val="3"/>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H55</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15</w:t>
            </w:r>
          </w:p>
        </w:tc>
        <w:tc>
          <w:tcPr>
            <w:tcW w:w="1589" w:type="dxa"/>
            <w:gridSpan w:val="3"/>
            <w:vMerge w:val="continue"/>
            <w:noWrap w:val="0"/>
            <w:vAlign w:val="center"/>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restart"/>
            <w:noWrap w:val="0"/>
            <w:vAlign w:val="center"/>
          </w:tcPr>
          <w:p>
            <w:pPr>
              <w:widowControl/>
              <w:jc w:val="center"/>
              <w:rPr>
                <w:rFonts w:hint="eastAsia"/>
                <w:color w:val="auto"/>
              </w:rPr>
            </w:pPr>
            <w:r>
              <w:rPr>
                <w:color w:val="auto"/>
                <w:szCs w:val="21"/>
              </w:rPr>
              <w:t>BFe30-2-2</w:t>
            </w: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2616" w:type="dxa"/>
            <w:noWrap w:val="0"/>
            <w:vAlign w:val="center"/>
          </w:tcPr>
          <w:p>
            <w:pPr>
              <w:widowControl/>
              <w:jc w:val="center"/>
              <w:rPr>
                <w:rFonts w:hint="eastAsia"/>
                <w:color w:val="auto"/>
              </w:rPr>
            </w:pPr>
            <w:r>
              <w:rPr>
                <w:rFonts w:hint="eastAsia"/>
                <w:color w:val="auto"/>
              </w:rPr>
              <w:t>30</w:t>
            </w:r>
          </w:p>
        </w:tc>
        <w:tc>
          <w:tcPr>
            <w:tcW w:w="1884" w:type="dxa"/>
            <w:gridSpan w:val="3"/>
            <w:vMerge w:val="continue"/>
            <w:noWrap w:val="0"/>
            <w:vAlign w:val="center"/>
          </w:tcPr>
          <w:p>
            <w:pPr>
              <w:widowControl/>
              <w:jc w:val="center"/>
              <w:rPr>
                <w:rFonts w:hint="eastAsia"/>
                <w:color w:val="auto"/>
              </w:rPr>
            </w:pPr>
          </w:p>
        </w:tc>
        <w:tc>
          <w:tcPr>
            <w:tcW w:w="1571" w:type="dxa"/>
            <w:gridSpan w:val="3"/>
            <w:vMerge w:val="restart"/>
            <w:noWrap w:val="0"/>
            <w:vAlign w:val="center"/>
          </w:tcPr>
          <w:p>
            <w:pPr>
              <w:widowControl/>
              <w:jc w:val="center"/>
              <w:rPr>
                <w:rFonts w:hint="eastAsia" w:eastAsiaTheme="minorEastAsia"/>
                <w:color w:val="auto"/>
                <w:lang w:val="en-US" w:eastAsia="zh-CN"/>
              </w:rPr>
            </w:pPr>
            <w:r>
              <w:rPr>
                <w:rFonts w:hint="eastAsia"/>
                <w:color w:val="auto"/>
              </w:rPr>
              <w:t>C7164</w:t>
            </w:r>
            <w:r>
              <w:rPr>
                <w:rFonts w:hint="eastAsia"/>
                <w:color w:val="auto"/>
                <w:lang w:val="en-US" w:eastAsia="zh-CN"/>
              </w:rPr>
              <w:t>0</w:t>
            </w:r>
          </w:p>
        </w:tc>
        <w:tc>
          <w:tcPr>
            <w:tcW w:w="1549" w:type="dxa"/>
            <w:gridSpan w:val="3"/>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O61</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30</w:t>
            </w:r>
          </w:p>
        </w:tc>
        <w:tc>
          <w:tcPr>
            <w:tcW w:w="1589" w:type="dxa"/>
            <w:gridSpan w:val="3"/>
            <w:vMerge w:val="continue"/>
            <w:noWrap w:val="0"/>
            <w:vAlign w:val="center"/>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continue"/>
            <w:noWrap w:val="0"/>
            <w:vAlign w:val="center"/>
          </w:tcPr>
          <w:p>
            <w:pPr>
              <w:widowControl/>
              <w:jc w:val="center"/>
              <w:rPr>
                <w:color w:val="auto"/>
                <w:szCs w:val="21"/>
              </w:rPr>
            </w:pP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2616" w:type="dxa"/>
            <w:noWrap w:val="0"/>
            <w:vAlign w:val="center"/>
          </w:tcPr>
          <w:p>
            <w:pPr>
              <w:widowControl/>
              <w:jc w:val="center"/>
              <w:rPr>
                <w:rFonts w:hint="eastAsia"/>
                <w:color w:val="auto"/>
              </w:rPr>
            </w:pPr>
            <w:r>
              <w:rPr>
                <w:rFonts w:hint="eastAsia"/>
                <w:color w:val="auto"/>
              </w:rPr>
              <w:t>20</w:t>
            </w:r>
          </w:p>
        </w:tc>
        <w:tc>
          <w:tcPr>
            <w:tcW w:w="1884" w:type="dxa"/>
            <w:gridSpan w:val="3"/>
            <w:vMerge w:val="continue"/>
            <w:noWrap w:val="0"/>
            <w:vAlign w:val="center"/>
          </w:tcPr>
          <w:p>
            <w:pPr>
              <w:widowControl/>
              <w:jc w:val="center"/>
              <w:rPr>
                <w:rFonts w:hint="eastAsia"/>
                <w:color w:val="auto"/>
              </w:rPr>
            </w:pPr>
          </w:p>
        </w:tc>
        <w:tc>
          <w:tcPr>
            <w:tcW w:w="1571" w:type="dxa"/>
            <w:gridSpan w:val="3"/>
            <w:vMerge w:val="continue"/>
            <w:noWrap w:val="0"/>
            <w:vAlign w:val="center"/>
          </w:tcPr>
          <w:p>
            <w:pPr>
              <w:widowControl/>
              <w:jc w:val="center"/>
              <w:rPr>
                <w:rFonts w:hint="eastAsia"/>
                <w:color w:val="auto"/>
              </w:rPr>
            </w:pPr>
          </w:p>
        </w:tc>
        <w:tc>
          <w:tcPr>
            <w:tcW w:w="1549" w:type="dxa"/>
            <w:gridSpan w:val="3"/>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H55</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15</w:t>
            </w:r>
          </w:p>
        </w:tc>
        <w:tc>
          <w:tcPr>
            <w:tcW w:w="1589" w:type="dxa"/>
            <w:gridSpan w:val="3"/>
            <w:vMerge w:val="continue"/>
            <w:noWrap w:val="0"/>
            <w:vAlign w:val="center"/>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restart"/>
            <w:noWrap w:val="0"/>
            <w:vAlign w:val="center"/>
          </w:tcPr>
          <w:p>
            <w:pPr>
              <w:widowControl/>
              <w:jc w:val="center"/>
              <w:rPr>
                <w:color w:val="auto"/>
                <w:szCs w:val="21"/>
              </w:rPr>
            </w:pPr>
            <w:r>
              <w:rPr>
                <w:rFonts w:hint="eastAsia"/>
                <w:color w:val="auto"/>
                <w:szCs w:val="21"/>
              </w:rPr>
              <w:t>BFe16-1-1-0.5</w:t>
            </w:r>
          </w:p>
        </w:tc>
        <w:tc>
          <w:tcPr>
            <w:tcW w:w="1133" w:type="dxa"/>
            <w:noWrap w:val="0"/>
            <w:vAlign w:val="center"/>
          </w:tcPr>
          <w:p>
            <w:pPr>
              <w:keepNext w:val="0"/>
              <w:keepLines w:val="0"/>
              <w:widowControl/>
              <w:suppressLineNumbers w:val="0"/>
              <w:jc w:val="center"/>
              <w:textAlignment w:val="center"/>
              <w:rPr>
                <w:rFonts w:hint="eastAsia"/>
                <w:color w:val="auto"/>
              </w:rPr>
            </w:pPr>
            <w:r>
              <w:rPr>
                <w:rFonts w:hint="default" w:ascii="Times New Roman" w:hAnsi="Times New Roman" w:eastAsia="等线" w:cs="Times New Roman"/>
                <w:i w:val="0"/>
                <w:iCs w:val="0"/>
                <w:color w:val="auto"/>
                <w:kern w:val="0"/>
                <w:sz w:val="21"/>
                <w:szCs w:val="21"/>
                <w:u w:val="none"/>
                <w:lang w:val="en-US" w:eastAsia="zh-CN" w:bidi="ar"/>
              </w:rPr>
              <w:t>O61</w:t>
            </w:r>
          </w:p>
        </w:tc>
        <w:tc>
          <w:tcPr>
            <w:tcW w:w="2616" w:type="dxa"/>
            <w:noWrap w:val="0"/>
            <w:vAlign w:val="center"/>
          </w:tcPr>
          <w:p>
            <w:pPr>
              <w:widowControl/>
              <w:jc w:val="center"/>
              <w:rPr>
                <w:rFonts w:hint="eastAsia"/>
                <w:color w:val="auto"/>
              </w:rPr>
            </w:pPr>
            <w:r>
              <w:rPr>
                <w:rFonts w:hint="eastAsia"/>
                <w:color w:val="auto"/>
              </w:rPr>
              <w:t>30</w:t>
            </w:r>
          </w:p>
        </w:tc>
        <w:tc>
          <w:tcPr>
            <w:tcW w:w="1884" w:type="dxa"/>
            <w:gridSpan w:val="3"/>
            <w:vMerge w:val="continue"/>
            <w:noWrap w:val="0"/>
            <w:vAlign w:val="center"/>
          </w:tcPr>
          <w:p>
            <w:pPr>
              <w:widowControl/>
              <w:jc w:val="center"/>
              <w:rPr>
                <w:rFonts w:hint="eastAsia"/>
                <w:color w:val="auto"/>
              </w:rPr>
            </w:pPr>
          </w:p>
        </w:tc>
        <w:tc>
          <w:tcPr>
            <w:tcW w:w="1571" w:type="dxa"/>
            <w:gridSpan w:val="3"/>
            <w:noWrap w:val="0"/>
            <w:vAlign w:val="center"/>
          </w:tcPr>
          <w:p>
            <w:pPr>
              <w:widowControl/>
              <w:jc w:val="center"/>
              <w:rPr>
                <w:rFonts w:hint="eastAsia"/>
                <w:color w:val="auto"/>
              </w:rPr>
            </w:pPr>
          </w:p>
        </w:tc>
        <w:tc>
          <w:tcPr>
            <w:tcW w:w="1549" w:type="dxa"/>
            <w:gridSpan w:val="3"/>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O61</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30</w:t>
            </w:r>
          </w:p>
        </w:tc>
        <w:tc>
          <w:tcPr>
            <w:tcW w:w="1589" w:type="dxa"/>
            <w:gridSpan w:val="3"/>
            <w:vMerge w:val="continue"/>
            <w:noWrap w:val="0"/>
            <w:vAlign w:val="center"/>
          </w:tcPr>
          <w:p>
            <w:pPr>
              <w:widowControl/>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52" w:type="dxa"/>
            <w:vMerge w:val="continue"/>
            <w:noWrap w:val="0"/>
            <w:vAlign w:val="center"/>
          </w:tcPr>
          <w:p>
            <w:pPr>
              <w:spacing w:line="440" w:lineRule="exact"/>
              <w:jc w:val="center"/>
              <w:rPr>
                <w:rFonts w:hint="eastAsia"/>
                <w:color w:val="auto"/>
              </w:rPr>
            </w:pPr>
          </w:p>
        </w:tc>
        <w:tc>
          <w:tcPr>
            <w:tcW w:w="1873" w:type="dxa"/>
            <w:vMerge w:val="continue"/>
            <w:noWrap w:val="0"/>
            <w:vAlign w:val="center"/>
          </w:tcPr>
          <w:p>
            <w:pPr>
              <w:widowControl/>
              <w:jc w:val="center"/>
              <w:rPr>
                <w:rFonts w:hint="eastAsia"/>
                <w:color w:val="auto"/>
                <w:szCs w:val="21"/>
              </w:rPr>
            </w:pPr>
          </w:p>
        </w:tc>
        <w:tc>
          <w:tcPr>
            <w:tcW w:w="1133" w:type="dxa"/>
            <w:noWrap w:val="0"/>
            <w:vAlign w:val="center"/>
          </w:tcPr>
          <w:p>
            <w:pPr>
              <w:keepNext w:val="0"/>
              <w:keepLines w:val="0"/>
              <w:widowControl/>
              <w:suppressLineNumbers w:val="0"/>
              <w:jc w:val="center"/>
              <w:textAlignment w:val="center"/>
              <w:rPr>
                <w:color w:val="auto"/>
                <w:szCs w:val="21"/>
              </w:rPr>
            </w:pPr>
            <w:r>
              <w:rPr>
                <w:rFonts w:hint="default" w:ascii="Times New Roman" w:hAnsi="Times New Roman" w:eastAsia="等线" w:cs="Times New Roman"/>
                <w:i w:val="0"/>
                <w:iCs w:val="0"/>
                <w:color w:val="auto"/>
                <w:kern w:val="0"/>
                <w:sz w:val="21"/>
                <w:szCs w:val="21"/>
                <w:u w:val="none"/>
                <w:lang w:val="en-US" w:eastAsia="zh-CN" w:bidi="ar"/>
              </w:rPr>
              <w:t>O82</w:t>
            </w:r>
          </w:p>
        </w:tc>
        <w:tc>
          <w:tcPr>
            <w:tcW w:w="2616" w:type="dxa"/>
            <w:noWrap w:val="0"/>
            <w:vAlign w:val="center"/>
          </w:tcPr>
          <w:p>
            <w:pPr>
              <w:widowControl/>
              <w:jc w:val="center"/>
              <w:rPr>
                <w:rFonts w:hint="default" w:eastAsiaTheme="minorEastAsia"/>
                <w:color w:val="auto"/>
                <w:lang w:val="en-US" w:eastAsia="zh-CN"/>
              </w:rPr>
            </w:pPr>
            <w:r>
              <w:rPr>
                <w:rFonts w:hint="eastAsia"/>
                <w:color w:val="auto"/>
                <w:lang w:val="en-US" w:eastAsia="zh-CN"/>
              </w:rPr>
              <w:t>20</w:t>
            </w:r>
          </w:p>
        </w:tc>
        <w:tc>
          <w:tcPr>
            <w:tcW w:w="1884" w:type="dxa"/>
            <w:gridSpan w:val="3"/>
            <w:vMerge w:val="continue"/>
            <w:noWrap w:val="0"/>
            <w:vAlign w:val="center"/>
          </w:tcPr>
          <w:p>
            <w:pPr>
              <w:widowControl/>
              <w:jc w:val="center"/>
              <w:rPr>
                <w:rFonts w:hint="eastAsia"/>
                <w:color w:val="auto"/>
              </w:rPr>
            </w:pPr>
          </w:p>
        </w:tc>
        <w:tc>
          <w:tcPr>
            <w:tcW w:w="1576" w:type="dxa"/>
            <w:gridSpan w:val="4"/>
            <w:noWrap w:val="0"/>
            <w:vAlign w:val="center"/>
          </w:tcPr>
          <w:p>
            <w:pPr>
              <w:widowControl/>
              <w:jc w:val="center"/>
              <w:rPr>
                <w:rFonts w:hint="eastAsia"/>
                <w:color w:val="auto"/>
                <w:lang w:val="en-US" w:eastAsia="zh-CN"/>
              </w:rPr>
            </w:pPr>
            <w:r>
              <w:rPr>
                <w:rFonts w:hint="eastAsia"/>
                <w:color w:val="auto"/>
              </w:rPr>
              <w:t>C7220</w:t>
            </w:r>
            <w:r>
              <w:rPr>
                <w:rFonts w:hint="eastAsia"/>
                <w:color w:val="auto"/>
                <w:lang w:val="en-US" w:eastAsia="zh-CN"/>
              </w:rPr>
              <w:t>0</w:t>
            </w:r>
          </w:p>
        </w:tc>
        <w:tc>
          <w:tcPr>
            <w:tcW w:w="1544" w:type="dxa"/>
            <w:gridSpan w:val="2"/>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H55</w:t>
            </w:r>
          </w:p>
        </w:tc>
        <w:tc>
          <w:tcPr>
            <w:tcW w:w="1572" w:type="dxa"/>
            <w:gridSpan w:val="4"/>
            <w:noWrap w:val="0"/>
            <w:vAlign w:val="center"/>
          </w:tcPr>
          <w:p>
            <w:pPr>
              <w:widowControl/>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15</w:t>
            </w:r>
          </w:p>
        </w:tc>
        <w:tc>
          <w:tcPr>
            <w:tcW w:w="1589" w:type="dxa"/>
            <w:gridSpan w:val="3"/>
            <w:vMerge w:val="continue"/>
            <w:noWrap w:val="0"/>
            <w:vAlign w:val="center"/>
          </w:tcPr>
          <w:p>
            <w:pPr>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top"/>
          </w:tcPr>
          <w:p>
            <w:pPr>
              <w:widowControl/>
              <w:jc w:val="left"/>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－XXXX与ASTM B 552-</w:t>
            </w:r>
            <w:r>
              <w:rPr>
                <w:rFonts w:hint="eastAsia"/>
                <w:color w:val="auto"/>
                <w:lang w:val="en-US" w:eastAsia="zh-CN"/>
              </w:rPr>
              <w:t>2019</w:t>
            </w:r>
            <w:r>
              <w:rPr>
                <w:rFonts w:hint="eastAsia"/>
                <w:color w:val="auto"/>
              </w:rPr>
              <w:t>标准水平相当。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52" w:type="dxa"/>
            <w:vMerge w:val="restart"/>
            <w:noWrap w:val="0"/>
            <w:vAlign w:val="center"/>
          </w:tcPr>
          <w:p>
            <w:pPr>
              <w:spacing w:line="440" w:lineRule="exact"/>
              <w:rPr>
                <w:rFonts w:hint="eastAsia"/>
                <w:color w:val="auto"/>
              </w:rPr>
            </w:pPr>
            <w:r>
              <w:rPr>
                <w:rFonts w:hint="eastAsia"/>
                <w:color w:val="auto"/>
              </w:rPr>
              <w:t>压扁试验</w:t>
            </w:r>
          </w:p>
        </w:tc>
        <w:tc>
          <w:tcPr>
            <w:tcW w:w="10390" w:type="dxa"/>
            <w:gridSpan w:val="11"/>
            <w:noWrap w:val="0"/>
            <w:vAlign w:val="center"/>
          </w:tcPr>
          <w:p>
            <w:pPr>
              <w:rPr>
                <w:rFonts w:hint="eastAsia"/>
                <w:color w:val="auto"/>
                <w:szCs w:val="21"/>
              </w:rPr>
            </w:pPr>
            <w:r>
              <w:rPr>
                <w:rFonts w:hint="eastAsia"/>
                <w:color w:val="auto"/>
                <w:szCs w:val="21"/>
              </w:rPr>
              <w:t>压扁后软态和半软态管材内壁间距应等于壁厚。</w:t>
            </w:r>
          </w:p>
        </w:tc>
        <w:tc>
          <w:tcPr>
            <w:tcW w:w="3397" w:type="dxa"/>
            <w:gridSpan w:val="8"/>
            <w:noWrap w:val="0"/>
            <w:vAlign w:val="center"/>
          </w:tcPr>
          <w:p>
            <w:pPr>
              <w:widowControl/>
              <w:rPr>
                <w:rFonts w:hint="eastAsia"/>
                <w:color w:val="auto"/>
              </w:rPr>
            </w:pPr>
            <w:r>
              <w:rPr>
                <w:rFonts w:hint="eastAsia"/>
                <w:color w:val="auto"/>
              </w:rPr>
              <w:t>退火态管材压扁后内壁间距等于三倍壁厚。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rPr>
                <w:rFonts w:hint="eastAsia"/>
                <w:color w:val="auto"/>
              </w:rPr>
            </w:pPr>
          </w:p>
        </w:tc>
        <w:tc>
          <w:tcPr>
            <w:tcW w:w="13787" w:type="dxa"/>
            <w:gridSpan w:val="19"/>
            <w:noWrap w:val="0"/>
            <w:vAlign w:val="center"/>
          </w:tcPr>
          <w:p>
            <w:pPr>
              <w:widowControl/>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－XXXX高于ASTM B 552-98（04）标准水平。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晶粒度</w:t>
            </w:r>
          </w:p>
        </w:tc>
        <w:tc>
          <w:tcPr>
            <w:tcW w:w="10390" w:type="dxa"/>
            <w:gridSpan w:val="11"/>
            <w:noWrap w:val="0"/>
            <w:vAlign w:val="center"/>
          </w:tcPr>
          <w:p>
            <w:pPr>
              <w:widowControl/>
              <w:rPr>
                <w:rFonts w:hint="eastAsia"/>
                <w:color w:val="auto"/>
              </w:rPr>
            </w:pPr>
            <w:r>
              <w:rPr>
                <w:rFonts w:hint="eastAsia"/>
                <w:color w:val="auto"/>
              </w:rPr>
              <w:t>管材的平均晶粒度为0.010~0.045mm。</w:t>
            </w:r>
          </w:p>
        </w:tc>
        <w:tc>
          <w:tcPr>
            <w:tcW w:w="3397" w:type="dxa"/>
            <w:gridSpan w:val="8"/>
            <w:noWrap w:val="0"/>
            <w:vAlign w:val="center"/>
          </w:tcPr>
          <w:p>
            <w:pPr>
              <w:widowControl/>
              <w:rPr>
                <w:rFonts w:hint="eastAsia"/>
                <w:color w:val="auto"/>
              </w:rPr>
            </w:pPr>
            <w:r>
              <w:rPr>
                <w:rFonts w:hint="eastAsia"/>
                <w:color w:val="auto"/>
              </w:rPr>
              <w:t>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center"/>
          </w:tcPr>
          <w:p>
            <w:pPr>
              <w:widowControl/>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－XXXX高于ASTM B 552-98（04）标准水平。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无损检验</w:t>
            </w:r>
          </w:p>
        </w:tc>
        <w:tc>
          <w:tcPr>
            <w:tcW w:w="10390" w:type="dxa"/>
            <w:gridSpan w:val="11"/>
            <w:noWrap w:val="0"/>
            <w:vAlign w:val="center"/>
          </w:tcPr>
          <w:p>
            <w:pPr>
              <w:widowControl/>
              <w:rPr>
                <w:rFonts w:hint="eastAsia"/>
                <w:color w:val="auto"/>
              </w:rPr>
            </w:pPr>
            <w:r>
              <w:rPr>
                <w:rFonts w:hint="eastAsia"/>
                <w:color w:val="auto"/>
              </w:rPr>
              <w:t>规定了涡流探伤、水压试验</w:t>
            </w:r>
          </w:p>
        </w:tc>
        <w:tc>
          <w:tcPr>
            <w:tcW w:w="3397" w:type="dxa"/>
            <w:gridSpan w:val="8"/>
            <w:noWrap w:val="0"/>
            <w:vAlign w:val="center"/>
          </w:tcPr>
          <w:p>
            <w:pPr>
              <w:widowControl/>
              <w:rPr>
                <w:rFonts w:hint="eastAsia"/>
                <w:color w:val="auto"/>
              </w:rPr>
            </w:pPr>
            <w:r>
              <w:rPr>
                <w:rFonts w:hint="eastAsia"/>
                <w:color w:val="auto"/>
              </w:rPr>
              <w:t>规定了涡流探伤、水压和气压试验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center"/>
          </w:tcPr>
          <w:p>
            <w:pPr>
              <w:widowControl/>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－XXXX与ASTM B 552-98（04）标准水平相当。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restart"/>
            <w:noWrap w:val="0"/>
            <w:vAlign w:val="center"/>
          </w:tcPr>
          <w:p>
            <w:pPr>
              <w:spacing w:line="440" w:lineRule="exact"/>
              <w:jc w:val="center"/>
              <w:rPr>
                <w:rFonts w:hint="eastAsia"/>
                <w:color w:val="auto"/>
              </w:rPr>
            </w:pPr>
            <w:r>
              <w:rPr>
                <w:rFonts w:hint="eastAsia"/>
                <w:color w:val="auto"/>
              </w:rPr>
              <w:t>残余应力检验</w:t>
            </w:r>
          </w:p>
        </w:tc>
        <w:tc>
          <w:tcPr>
            <w:tcW w:w="10390" w:type="dxa"/>
            <w:gridSpan w:val="11"/>
            <w:noWrap w:val="0"/>
            <w:vAlign w:val="center"/>
          </w:tcPr>
          <w:p>
            <w:pPr>
              <w:rPr>
                <w:rFonts w:hint="eastAsia"/>
                <w:color w:val="auto"/>
              </w:rPr>
            </w:pPr>
            <w:r>
              <w:rPr>
                <w:rFonts w:hint="eastAsia"/>
                <w:color w:val="auto"/>
              </w:rPr>
              <w:t>管材应进行残余应力试验。试验后，不应出现肉眼可见的裂纹。</w:t>
            </w:r>
          </w:p>
        </w:tc>
        <w:tc>
          <w:tcPr>
            <w:tcW w:w="3397" w:type="dxa"/>
            <w:gridSpan w:val="8"/>
            <w:noWrap w:val="0"/>
            <w:vAlign w:val="center"/>
          </w:tcPr>
          <w:p>
            <w:pPr>
              <w:widowControl/>
              <w:rPr>
                <w:rFonts w:hint="eastAsia"/>
                <w:color w:val="auto"/>
              </w:rPr>
            </w:pPr>
            <w:r>
              <w:rPr>
                <w:rFonts w:hint="eastAsia"/>
                <w:color w:val="auto"/>
              </w:rPr>
              <w:t>管材应进行残余应力试验。试验后，不应出现肉眼可见的裂纹。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vMerge w:val="continue"/>
            <w:noWrap w:val="0"/>
            <w:vAlign w:val="center"/>
          </w:tcPr>
          <w:p>
            <w:pPr>
              <w:spacing w:line="440" w:lineRule="exact"/>
              <w:jc w:val="center"/>
              <w:rPr>
                <w:rFonts w:hint="eastAsia"/>
                <w:color w:val="auto"/>
              </w:rPr>
            </w:pPr>
          </w:p>
        </w:tc>
        <w:tc>
          <w:tcPr>
            <w:tcW w:w="13787" w:type="dxa"/>
            <w:gridSpan w:val="19"/>
            <w:noWrap w:val="0"/>
            <w:vAlign w:val="center"/>
          </w:tcPr>
          <w:p>
            <w:pPr>
              <w:widowControl/>
              <w:rPr>
                <w:rFonts w:hint="eastAsia"/>
                <w:color w:val="auto"/>
              </w:rPr>
            </w:pPr>
            <w:r>
              <w:rPr>
                <w:rFonts w:hint="eastAsia"/>
                <w:color w:val="auto"/>
              </w:rPr>
              <w:t>对比结果：</w:t>
            </w:r>
            <w:r>
              <w:rPr>
                <w:color w:val="auto"/>
              </w:rPr>
              <w:t>GB</w:t>
            </w:r>
            <w:r>
              <w:rPr>
                <w:rFonts w:hint="eastAsia"/>
                <w:color w:val="auto"/>
              </w:rPr>
              <w:t xml:space="preserve">/T </w:t>
            </w:r>
            <w:r>
              <w:rPr>
                <w:rFonts w:hint="eastAsia" w:eastAsia="黑体"/>
                <w:bCs/>
                <w:color w:val="auto"/>
                <w:szCs w:val="21"/>
                <w:lang w:val="en-US" w:eastAsia="zh-CN"/>
              </w:rPr>
              <w:t>23609</w:t>
            </w:r>
            <w:r>
              <w:rPr>
                <w:rFonts w:hint="eastAsia"/>
                <w:color w:val="auto"/>
              </w:rPr>
              <w:t>－XXXX与ASTM B 552-98（04）标准水平相当。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52" w:type="dxa"/>
            <w:noWrap w:val="0"/>
            <w:vAlign w:val="center"/>
          </w:tcPr>
          <w:p>
            <w:pPr>
              <w:spacing w:line="240" w:lineRule="atLeast"/>
              <w:jc w:val="center"/>
              <w:rPr>
                <w:rFonts w:hint="default" w:eastAsiaTheme="minorEastAsia"/>
                <w:color w:val="auto"/>
                <w:lang w:val="en-US" w:eastAsia="zh-CN"/>
              </w:rPr>
            </w:pPr>
            <w:r>
              <w:rPr>
                <w:rFonts w:hint="eastAsia"/>
                <w:color w:val="auto"/>
                <w:lang w:val="en-US" w:eastAsia="zh-CN"/>
              </w:rPr>
              <w:t>内表面残碳量</w:t>
            </w:r>
          </w:p>
        </w:tc>
        <w:tc>
          <w:tcPr>
            <w:tcW w:w="10390" w:type="dxa"/>
            <w:gridSpan w:val="11"/>
            <w:noWrap w:val="0"/>
            <w:vAlign w:val="center"/>
          </w:tcPr>
          <w:p>
            <w:pPr>
              <w:ind w:left="525"/>
              <w:jc w:val="both"/>
              <w:rPr>
                <w:rFonts w:hint="eastAsia"/>
                <w:color w:val="auto"/>
              </w:rPr>
            </w:pPr>
            <w:r>
              <w:rPr>
                <w:rFonts w:hint="eastAsia"/>
                <w:color w:val="auto"/>
              </w:rPr>
              <w:t>管材内表面残碳量Rc≤0.2mg/dm</w:t>
            </w:r>
            <w:r>
              <w:rPr>
                <w:rFonts w:hint="eastAsia"/>
                <w:color w:val="auto"/>
                <w:vertAlign w:val="superscript"/>
              </w:rPr>
              <w:t>2</w:t>
            </w:r>
            <w:r>
              <w:rPr>
                <w:rFonts w:hint="eastAsia"/>
                <w:color w:val="auto"/>
              </w:rPr>
              <w:t>。</w:t>
            </w:r>
          </w:p>
          <w:p>
            <w:pPr>
              <w:widowControl/>
              <w:jc w:val="both"/>
              <w:rPr>
                <w:rFonts w:hint="eastAsia"/>
                <w:color w:val="auto"/>
              </w:rPr>
            </w:pPr>
          </w:p>
        </w:tc>
        <w:tc>
          <w:tcPr>
            <w:tcW w:w="3397" w:type="dxa"/>
            <w:gridSpan w:val="8"/>
            <w:noWrap w:val="0"/>
            <w:vAlign w:val="center"/>
          </w:tcPr>
          <w:p>
            <w:pPr>
              <w:widowControl/>
              <w:rPr>
                <w:rFonts w:hint="eastAsia"/>
                <w:color w:val="auto"/>
              </w:rPr>
            </w:pPr>
            <w:r>
              <w:rPr>
                <w:rFonts w:hint="eastAsia"/>
                <w:color w:val="auto"/>
              </w:rPr>
              <w:t>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52" w:type="dxa"/>
            <w:noWrap w:val="0"/>
            <w:vAlign w:val="center"/>
          </w:tcPr>
          <w:p>
            <w:pPr>
              <w:spacing w:line="240" w:lineRule="atLeast"/>
              <w:jc w:val="center"/>
              <w:rPr>
                <w:rFonts w:hint="eastAsia"/>
                <w:color w:val="auto"/>
                <w:lang w:val="en-US" w:eastAsia="zh-CN"/>
              </w:rPr>
            </w:pPr>
            <w:r>
              <w:rPr>
                <w:rFonts w:hint="eastAsia"/>
                <w:color w:val="auto"/>
                <w:lang w:val="en-US" w:eastAsia="zh-CN"/>
              </w:rPr>
              <w:t>电化学腐蚀性能</w:t>
            </w:r>
          </w:p>
        </w:tc>
        <w:tc>
          <w:tcPr>
            <w:tcW w:w="10390" w:type="dxa"/>
            <w:gridSpan w:val="11"/>
            <w:noWrap w:val="0"/>
            <w:vAlign w:val="center"/>
          </w:tcPr>
          <w:p>
            <w:pPr>
              <w:spacing w:line="240" w:lineRule="atLeast"/>
              <w:jc w:val="both"/>
              <w:rPr>
                <w:rFonts w:hint="eastAsia"/>
                <w:color w:val="auto"/>
                <w:lang w:val="en-US" w:eastAsia="zh-CN"/>
              </w:rPr>
            </w:pPr>
            <w:r>
              <w:rPr>
                <w:rFonts w:hint="eastAsia"/>
                <w:color w:val="auto"/>
              </w:rPr>
              <w:t>管材</w:t>
            </w:r>
            <w:r>
              <w:rPr>
                <w:rFonts w:hint="eastAsia"/>
                <w:color w:val="auto"/>
                <w:szCs w:val="21"/>
              </w:rPr>
              <w:t>内外表面电位差</w:t>
            </w:r>
            <w:r>
              <w:rPr>
                <w:rFonts w:hint="eastAsia" w:hAnsi="宋体"/>
                <w:color w:val="auto"/>
              </w:rPr>
              <w:t>Δ</w:t>
            </w:r>
            <w:r>
              <w:rPr>
                <w:rFonts w:hint="eastAsia"/>
                <w:color w:val="auto"/>
              </w:rPr>
              <w:t>E</w:t>
            </w:r>
            <w:r>
              <w:rPr>
                <w:rFonts w:hint="eastAsia" w:hAnsi="宋体"/>
                <w:color w:val="auto"/>
              </w:rPr>
              <w:t>≤</w:t>
            </w:r>
            <w:r>
              <w:rPr>
                <w:rFonts w:hint="eastAsia"/>
                <w:color w:val="auto"/>
              </w:rPr>
              <w:t>0.07V。</w:t>
            </w:r>
          </w:p>
        </w:tc>
        <w:tc>
          <w:tcPr>
            <w:tcW w:w="3397" w:type="dxa"/>
            <w:gridSpan w:val="8"/>
            <w:noWrap w:val="0"/>
            <w:vAlign w:val="center"/>
          </w:tcPr>
          <w:p>
            <w:pPr>
              <w:widowControl/>
              <w:rPr>
                <w:rFonts w:hint="eastAsia"/>
                <w:color w:val="auto"/>
              </w:rPr>
            </w:pPr>
            <w:r>
              <w:rPr>
                <w:rFonts w:hint="eastAsia"/>
                <w:color w:val="auto"/>
              </w:rPr>
              <w:t>无规定</w:t>
            </w:r>
          </w:p>
        </w:tc>
      </w:tr>
    </w:tbl>
    <w:p>
      <w:pPr>
        <w:spacing w:line="360" w:lineRule="auto"/>
        <w:rPr>
          <w:rFonts w:hint="eastAsia"/>
          <w:color w:val="auto"/>
        </w:rPr>
      </w:pPr>
    </w:p>
    <w:p>
      <w:pPr>
        <w:spacing w:line="360" w:lineRule="auto"/>
        <w:rPr>
          <w:rFonts w:asciiTheme="minorEastAsia" w:hAnsiTheme="minorEastAsia"/>
          <w:color w:val="auto"/>
          <w:szCs w:val="21"/>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color w:val="auto"/>
        </w:rPr>
        <w:t xml:space="preserve">  </w:t>
      </w:r>
    </w:p>
    <w:p>
      <w:pPr>
        <w:spacing w:line="300" w:lineRule="auto"/>
        <w:jc w:val="left"/>
        <w:rPr>
          <w:rFonts w:asciiTheme="minorEastAsia" w:hAnsiTheme="minorEastAsia"/>
          <w:color w:val="auto"/>
          <w:szCs w:val="21"/>
        </w:rPr>
      </w:pPr>
    </w:p>
    <w:sectPr>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4141"/>
      <w:docPartObj>
        <w:docPartGallery w:val="autotext"/>
      </w:docPartObj>
    </w:sdtPr>
    <w:sdtContent>
      <w:p>
        <w:pPr>
          <w:pStyle w:val="7"/>
          <w:jc w:val="center"/>
        </w:pPr>
        <w:r>
          <w:fldChar w:fldCharType="begin"/>
        </w:r>
        <w:r>
          <w:instrText xml:space="preserve">PAGE   \* MERGEFORMAT</w:instrText>
        </w:r>
        <w:r>
          <w:fldChar w:fldCharType="separate"/>
        </w:r>
        <w:r>
          <w:rPr>
            <w:lang w:val="zh-CN"/>
          </w:rPr>
          <w:t>41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8A6B3"/>
    <w:multiLevelType w:val="singleLevel"/>
    <w:tmpl w:val="B1D8A6B3"/>
    <w:lvl w:ilvl="0" w:tentative="0">
      <w:start w:val="2"/>
      <w:numFmt w:val="decimal"/>
      <w:suff w:val="nothing"/>
      <w:lvlText w:val="（%1）"/>
      <w:lvlJc w:val="left"/>
    </w:lvl>
  </w:abstractNum>
  <w:abstractNum w:abstractNumId="1">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5E2A3B"/>
    <w:multiLevelType w:val="singleLevel"/>
    <w:tmpl w:val="175E2A3B"/>
    <w:lvl w:ilvl="0" w:tentative="0">
      <w:start w:val="3"/>
      <w:numFmt w:val="decimal"/>
      <w:suff w:val="nothing"/>
      <w:lvlText w:val="（%1）"/>
      <w:lvlJc w:val="left"/>
    </w:lvl>
  </w:abstractNum>
  <w:abstractNum w:abstractNumId="3">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806F7D"/>
    <w:multiLevelType w:val="multilevel"/>
    <w:tmpl w:val="46806F7D"/>
    <w:lvl w:ilvl="0" w:tentative="0">
      <w:start w:val="1"/>
      <w:numFmt w:val="none"/>
      <w:pStyle w:val="5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5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4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50366A"/>
    <w:multiLevelType w:val="multilevel"/>
    <w:tmpl w:val="6350366A"/>
    <w:lvl w:ilvl="0" w:tentative="0">
      <w:start w:val="1"/>
      <w:numFmt w:val="none"/>
      <w:pStyle w:val="5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zE2MDMzMmZhNjZmODRjODA2NDU3Mjk4YmExNDAifQ=="/>
  </w:docVars>
  <w:rsids>
    <w:rsidRoot w:val="0066274A"/>
    <w:rsid w:val="00020AF5"/>
    <w:rsid w:val="00025876"/>
    <w:rsid w:val="000360BC"/>
    <w:rsid w:val="00041112"/>
    <w:rsid w:val="00044EFF"/>
    <w:rsid w:val="000631C4"/>
    <w:rsid w:val="00063D24"/>
    <w:rsid w:val="00066BE2"/>
    <w:rsid w:val="00067CC8"/>
    <w:rsid w:val="00076A12"/>
    <w:rsid w:val="00086AC6"/>
    <w:rsid w:val="000877FD"/>
    <w:rsid w:val="00090276"/>
    <w:rsid w:val="000965BC"/>
    <w:rsid w:val="000A5D73"/>
    <w:rsid w:val="000B1365"/>
    <w:rsid w:val="000B1605"/>
    <w:rsid w:val="000B162B"/>
    <w:rsid w:val="000C5471"/>
    <w:rsid w:val="000C6334"/>
    <w:rsid w:val="000C7DF3"/>
    <w:rsid w:val="000D1C25"/>
    <w:rsid w:val="000E2907"/>
    <w:rsid w:val="000F2A2B"/>
    <w:rsid w:val="000F5C6E"/>
    <w:rsid w:val="00100F4B"/>
    <w:rsid w:val="001056E5"/>
    <w:rsid w:val="00111126"/>
    <w:rsid w:val="00113E84"/>
    <w:rsid w:val="00160A5A"/>
    <w:rsid w:val="0016688A"/>
    <w:rsid w:val="0018376E"/>
    <w:rsid w:val="001A5302"/>
    <w:rsid w:val="001B12CA"/>
    <w:rsid w:val="001B4D53"/>
    <w:rsid w:val="001B7FE4"/>
    <w:rsid w:val="001D157F"/>
    <w:rsid w:val="001D56FA"/>
    <w:rsid w:val="001F11B7"/>
    <w:rsid w:val="00201130"/>
    <w:rsid w:val="00207875"/>
    <w:rsid w:val="00215E3B"/>
    <w:rsid w:val="002236A6"/>
    <w:rsid w:val="00245AAF"/>
    <w:rsid w:val="00252A06"/>
    <w:rsid w:val="0027721A"/>
    <w:rsid w:val="002911D0"/>
    <w:rsid w:val="00292898"/>
    <w:rsid w:val="002A0907"/>
    <w:rsid w:val="002A1588"/>
    <w:rsid w:val="002A2F32"/>
    <w:rsid w:val="002A3A23"/>
    <w:rsid w:val="002A7EB2"/>
    <w:rsid w:val="002B0897"/>
    <w:rsid w:val="002B72DF"/>
    <w:rsid w:val="002C2248"/>
    <w:rsid w:val="002C55A1"/>
    <w:rsid w:val="002C56D5"/>
    <w:rsid w:val="002C7B78"/>
    <w:rsid w:val="002E5681"/>
    <w:rsid w:val="002E6CD0"/>
    <w:rsid w:val="002F2E4A"/>
    <w:rsid w:val="002F652B"/>
    <w:rsid w:val="00301DD6"/>
    <w:rsid w:val="0031542D"/>
    <w:rsid w:val="00335B03"/>
    <w:rsid w:val="003375EE"/>
    <w:rsid w:val="00340578"/>
    <w:rsid w:val="00342213"/>
    <w:rsid w:val="00343915"/>
    <w:rsid w:val="00390A0A"/>
    <w:rsid w:val="003951E4"/>
    <w:rsid w:val="0039530B"/>
    <w:rsid w:val="003974DF"/>
    <w:rsid w:val="003A1A14"/>
    <w:rsid w:val="003B0072"/>
    <w:rsid w:val="003B3D63"/>
    <w:rsid w:val="003C03BB"/>
    <w:rsid w:val="003D39B8"/>
    <w:rsid w:val="003E6023"/>
    <w:rsid w:val="003E7FB9"/>
    <w:rsid w:val="003F0A6C"/>
    <w:rsid w:val="004043A6"/>
    <w:rsid w:val="004306B4"/>
    <w:rsid w:val="004319BA"/>
    <w:rsid w:val="00435760"/>
    <w:rsid w:val="004413B2"/>
    <w:rsid w:val="00446B59"/>
    <w:rsid w:val="00455D61"/>
    <w:rsid w:val="004630AA"/>
    <w:rsid w:val="00464FC3"/>
    <w:rsid w:val="00467E90"/>
    <w:rsid w:val="00473D0D"/>
    <w:rsid w:val="0048350B"/>
    <w:rsid w:val="0048372F"/>
    <w:rsid w:val="00497FF6"/>
    <w:rsid w:val="004A5D8E"/>
    <w:rsid w:val="004B7AFE"/>
    <w:rsid w:val="004D5C81"/>
    <w:rsid w:val="004E07CE"/>
    <w:rsid w:val="004E1AC4"/>
    <w:rsid w:val="004E2AE0"/>
    <w:rsid w:val="004E5FDC"/>
    <w:rsid w:val="004F41BD"/>
    <w:rsid w:val="004F79E9"/>
    <w:rsid w:val="00502283"/>
    <w:rsid w:val="005116E7"/>
    <w:rsid w:val="00513ACF"/>
    <w:rsid w:val="005336EB"/>
    <w:rsid w:val="00552EFB"/>
    <w:rsid w:val="00555794"/>
    <w:rsid w:val="00557291"/>
    <w:rsid w:val="00563B57"/>
    <w:rsid w:val="0057086B"/>
    <w:rsid w:val="00572817"/>
    <w:rsid w:val="00584E1B"/>
    <w:rsid w:val="00590FD1"/>
    <w:rsid w:val="005A0599"/>
    <w:rsid w:val="005A624C"/>
    <w:rsid w:val="005C2E9C"/>
    <w:rsid w:val="005C49C7"/>
    <w:rsid w:val="005C5E10"/>
    <w:rsid w:val="005D2B3C"/>
    <w:rsid w:val="005E5551"/>
    <w:rsid w:val="0061515C"/>
    <w:rsid w:val="006164F7"/>
    <w:rsid w:val="00630498"/>
    <w:rsid w:val="00631C92"/>
    <w:rsid w:val="006417C4"/>
    <w:rsid w:val="0066274A"/>
    <w:rsid w:val="00664E23"/>
    <w:rsid w:val="00671295"/>
    <w:rsid w:val="0067707E"/>
    <w:rsid w:val="00677735"/>
    <w:rsid w:val="006845E3"/>
    <w:rsid w:val="006861B6"/>
    <w:rsid w:val="00693DC3"/>
    <w:rsid w:val="006A08DE"/>
    <w:rsid w:val="006B3FC7"/>
    <w:rsid w:val="006C1ADC"/>
    <w:rsid w:val="006D107C"/>
    <w:rsid w:val="006D13E7"/>
    <w:rsid w:val="006E319D"/>
    <w:rsid w:val="00722395"/>
    <w:rsid w:val="00726226"/>
    <w:rsid w:val="007415AC"/>
    <w:rsid w:val="00741D6E"/>
    <w:rsid w:val="00755D18"/>
    <w:rsid w:val="00773F13"/>
    <w:rsid w:val="007964C1"/>
    <w:rsid w:val="007B6FD1"/>
    <w:rsid w:val="007C107A"/>
    <w:rsid w:val="007C55B1"/>
    <w:rsid w:val="007D5352"/>
    <w:rsid w:val="007D53E8"/>
    <w:rsid w:val="007D5927"/>
    <w:rsid w:val="007F3C93"/>
    <w:rsid w:val="007F57AB"/>
    <w:rsid w:val="007F6547"/>
    <w:rsid w:val="008222E0"/>
    <w:rsid w:val="00825610"/>
    <w:rsid w:val="00845F87"/>
    <w:rsid w:val="00856D02"/>
    <w:rsid w:val="00864AFA"/>
    <w:rsid w:val="008828E0"/>
    <w:rsid w:val="00890FA7"/>
    <w:rsid w:val="008B5FB7"/>
    <w:rsid w:val="008B786F"/>
    <w:rsid w:val="008C0A5F"/>
    <w:rsid w:val="008C7FF6"/>
    <w:rsid w:val="008E2E71"/>
    <w:rsid w:val="008F096E"/>
    <w:rsid w:val="008F3463"/>
    <w:rsid w:val="00901810"/>
    <w:rsid w:val="009034BF"/>
    <w:rsid w:val="00911DBB"/>
    <w:rsid w:val="00925BC9"/>
    <w:rsid w:val="00965743"/>
    <w:rsid w:val="0096691E"/>
    <w:rsid w:val="0097472A"/>
    <w:rsid w:val="009A34D5"/>
    <w:rsid w:val="009B26C9"/>
    <w:rsid w:val="009B4186"/>
    <w:rsid w:val="009C2CB4"/>
    <w:rsid w:val="009C2E61"/>
    <w:rsid w:val="009D2D00"/>
    <w:rsid w:val="00A03DF5"/>
    <w:rsid w:val="00A11164"/>
    <w:rsid w:val="00A23E0E"/>
    <w:rsid w:val="00A25E53"/>
    <w:rsid w:val="00A36FDF"/>
    <w:rsid w:val="00A61C73"/>
    <w:rsid w:val="00A64A7F"/>
    <w:rsid w:val="00A70DB5"/>
    <w:rsid w:val="00A87E96"/>
    <w:rsid w:val="00AA4849"/>
    <w:rsid w:val="00AA65C8"/>
    <w:rsid w:val="00AB21D0"/>
    <w:rsid w:val="00AB44E3"/>
    <w:rsid w:val="00AB6971"/>
    <w:rsid w:val="00AB7FDA"/>
    <w:rsid w:val="00AC2AEE"/>
    <w:rsid w:val="00AD4307"/>
    <w:rsid w:val="00AD52D8"/>
    <w:rsid w:val="00AE0723"/>
    <w:rsid w:val="00AE5F38"/>
    <w:rsid w:val="00B04AEB"/>
    <w:rsid w:val="00B07ABA"/>
    <w:rsid w:val="00B139B9"/>
    <w:rsid w:val="00B32F05"/>
    <w:rsid w:val="00B60385"/>
    <w:rsid w:val="00B72378"/>
    <w:rsid w:val="00B90234"/>
    <w:rsid w:val="00BC24B0"/>
    <w:rsid w:val="00BD5B79"/>
    <w:rsid w:val="00BE1DA9"/>
    <w:rsid w:val="00BF03AC"/>
    <w:rsid w:val="00C04279"/>
    <w:rsid w:val="00C24688"/>
    <w:rsid w:val="00C3613F"/>
    <w:rsid w:val="00C41C4A"/>
    <w:rsid w:val="00C4360F"/>
    <w:rsid w:val="00C43BC7"/>
    <w:rsid w:val="00C5657E"/>
    <w:rsid w:val="00C6091C"/>
    <w:rsid w:val="00C71D31"/>
    <w:rsid w:val="00C747C7"/>
    <w:rsid w:val="00C8057B"/>
    <w:rsid w:val="00C84B7C"/>
    <w:rsid w:val="00C9517A"/>
    <w:rsid w:val="00C97C78"/>
    <w:rsid w:val="00CF43F9"/>
    <w:rsid w:val="00CF5254"/>
    <w:rsid w:val="00CF5C0B"/>
    <w:rsid w:val="00D127A5"/>
    <w:rsid w:val="00D1642F"/>
    <w:rsid w:val="00D216EE"/>
    <w:rsid w:val="00D339BA"/>
    <w:rsid w:val="00D346E1"/>
    <w:rsid w:val="00D63FC7"/>
    <w:rsid w:val="00D64E42"/>
    <w:rsid w:val="00D84C5A"/>
    <w:rsid w:val="00D86DB0"/>
    <w:rsid w:val="00DA10E6"/>
    <w:rsid w:val="00DA1FF4"/>
    <w:rsid w:val="00DA3E7C"/>
    <w:rsid w:val="00DA64E3"/>
    <w:rsid w:val="00DD0904"/>
    <w:rsid w:val="00DD0A16"/>
    <w:rsid w:val="00DD76C3"/>
    <w:rsid w:val="00DE4989"/>
    <w:rsid w:val="00DF1C80"/>
    <w:rsid w:val="00DF2D2C"/>
    <w:rsid w:val="00E01D0E"/>
    <w:rsid w:val="00E06C3E"/>
    <w:rsid w:val="00E20C98"/>
    <w:rsid w:val="00E238E3"/>
    <w:rsid w:val="00E302F6"/>
    <w:rsid w:val="00E30723"/>
    <w:rsid w:val="00E343CC"/>
    <w:rsid w:val="00E46697"/>
    <w:rsid w:val="00E4703D"/>
    <w:rsid w:val="00E641EF"/>
    <w:rsid w:val="00E64878"/>
    <w:rsid w:val="00E72975"/>
    <w:rsid w:val="00E73B56"/>
    <w:rsid w:val="00E82A3D"/>
    <w:rsid w:val="00E82BE5"/>
    <w:rsid w:val="00E96E3B"/>
    <w:rsid w:val="00E976B4"/>
    <w:rsid w:val="00EB3DCA"/>
    <w:rsid w:val="00EE1C3B"/>
    <w:rsid w:val="00EE371C"/>
    <w:rsid w:val="00F03107"/>
    <w:rsid w:val="00F153D2"/>
    <w:rsid w:val="00F346D5"/>
    <w:rsid w:val="00F35EC2"/>
    <w:rsid w:val="00F44BE9"/>
    <w:rsid w:val="00F50E4F"/>
    <w:rsid w:val="00F57C02"/>
    <w:rsid w:val="00F73D8D"/>
    <w:rsid w:val="00F81CCF"/>
    <w:rsid w:val="00F822A0"/>
    <w:rsid w:val="00FA36B8"/>
    <w:rsid w:val="00FB03D9"/>
    <w:rsid w:val="00FC6320"/>
    <w:rsid w:val="00FD162E"/>
    <w:rsid w:val="00FD1C35"/>
    <w:rsid w:val="00FD37A3"/>
    <w:rsid w:val="00FE2CD3"/>
    <w:rsid w:val="00FF26D6"/>
    <w:rsid w:val="00FF5D8A"/>
    <w:rsid w:val="039A23A7"/>
    <w:rsid w:val="042042C5"/>
    <w:rsid w:val="053D4DD6"/>
    <w:rsid w:val="05930253"/>
    <w:rsid w:val="07871513"/>
    <w:rsid w:val="08135524"/>
    <w:rsid w:val="0A7A76F4"/>
    <w:rsid w:val="0ABD67A2"/>
    <w:rsid w:val="0B266BF2"/>
    <w:rsid w:val="0CC70A7E"/>
    <w:rsid w:val="0CEE0FFB"/>
    <w:rsid w:val="0DE07CA8"/>
    <w:rsid w:val="0DF503CA"/>
    <w:rsid w:val="0E8A6C82"/>
    <w:rsid w:val="0FA97FF5"/>
    <w:rsid w:val="10054FEF"/>
    <w:rsid w:val="10D606A6"/>
    <w:rsid w:val="1100110B"/>
    <w:rsid w:val="113413B0"/>
    <w:rsid w:val="12B51489"/>
    <w:rsid w:val="13051255"/>
    <w:rsid w:val="14005939"/>
    <w:rsid w:val="145B6291"/>
    <w:rsid w:val="18A94A53"/>
    <w:rsid w:val="195F2D42"/>
    <w:rsid w:val="1A02204B"/>
    <w:rsid w:val="1A910448"/>
    <w:rsid w:val="1D917CAA"/>
    <w:rsid w:val="1FE964DC"/>
    <w:rsid w:val="21E93069"/>
    <w:rsid w:val="221134D6"/>
    <w:rsid w:val="232129B2"/>
    <w:rsid w:val="234F221B"/>
    <w:rsid w:val="268D5F84"/>
    <w:rsid w:val="295C4660"/>
    <w:rsid w:val="2DE37BA3"/>
    <w:rsid w:val="32FA5275"/>
    <w:rsid w:val="374E2522"/>
    <w:rsid w:val="3811540E"/>
    <w:rsid w:val="382628BA"/>
    <w:rsid w:val="389E2FF7"/>
    <w:rsid w:val="39A13C59"/>
    <w:rsid w:val="3A6B2D2C"/>
    <w:rsid w:val="3BB31535"/>
    <w:rsid w:val="3C357E8F"/>
    <w:rsid w:val="3E255738"/>
    <w:rsid w:val="417C43BE"/>
    <w:rsid w:val="42324BF0"/>
    <w:rsid w:val="42AA34B5"/>
    <w:rsid w:val="44246EDE"/>
    <w:rsid w:val="4481322C"/>
    <w:rsid w:val="44866652"/>
    <w:rsid w:val="45633792"/>
    <w:rsid w:val="45835DD0"/>
    <w:rsid w:val="4960718E"/>
    <w:rsid w:val="49CA7BE0"/>
    <w:rsid w:val="4A062BE2"/>
    <w:rsid w:val="4A8D6256"/>
    <w:rsid w:val="51A768B2"/>
    <w:rsid w:val="51AB16A4"/>
    <w:rsid w:val="52645A3D"/>
    <w:rsid w:val="53CA0019"/>
    <w:rsid w:val="54931DA0"/>
    <w:rsid w:val="55363FDF"/>
    <w:rsid w:val="55765B39"/>
    <w:rsid w:val="58207565"/>
    <w:rsid w:val="592321BA"/>
    <w:rsid w:val="5A2571B9"/>
    <w:rsid w:val="5C012D4D"/>
    <w:rsid w:val="5DE53775"/>
    <w:rsid w:val="5F737068"/>
    <w:rsid w:val="5F836BFB"/>
    <w:rsid w:val="60997EBE"/>
    <w:rsid w:val="634274DB"/>
    <w:rsid w:val="64153158"/>
    <w:rsid w:val="66C25C40"/>
    <w:rsid w:val="66F607A6"/>
    <w:rsid w:val="676141CE"/>
    <w:rsid w:val="68AB2E7A"/>
    <w:rsid w:val="68AC51C4"/>
    <w:rsid w:val="6A2C6C98"/>
    <w:rsid w:val="6A9D4BDA"/>
    <w:rsid w:val="6B6C4B43"/>
    <w:rsid w:val="6D2C27D6"/>
    <w:rsid w:val="6D4D4308"/>
    <w:rsid w:val="6D780CD8"/>
    <w:rsid w:val="6FA62C66"/>
    <w:rsid w:val="6FCC5336"/>
    <w:rsid w:val="704E3A0C"/>
    <w:rsid w:val="70AE3E20"/>
    <w:rsid w:val="71FB3645"/>
    <w:rsid w:val="72985C28"/>
    <w:rsid w:val="72E84980"/>
    <w:rsid w:val="73132628"/>
    <w:rsid w:val="734909D7"/>
    <w:rsid w:val="750309A6"/>
    <w:rsid w:val="75C21F92"/>
    <w:rsid w:val="75CC1A95"/>
    <w:rsid w:val="78E018CC"/>
    <w:rsid w:val="79B20979"/>
    <w:rsid w:val="7B127E4E"/>
    <w:rsid w:val="7D442650"/>
    <w:rsid w:val="7D7358BD"/>
    <w:rsid w:val="7DC302BA"/>
    <w:rsid w:val="7F1833E4"/>
    <w:rsid w:val="7F38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Times New Roman" w:hAnsi="Times New Roman" w:eastAsia="宋体" w:cs="Times New Roman"/>
      <w:szCs w:val="24"/>
    </w:rPr>
  </w:style>
  <w:style w:type="paragraph" w:styleId="3">
    <w:name w:val="annotation text"/>
    <w:basedOn w:val="1"/>
    <w:link w:val="20"/>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ind w:firstLine="359" w:firstLineChars="171"/>
      <w:jc w:val="left"/>
    </w:pPr>
    <w:rPr>
      <w:rFonts w:ascii="Times New Roman" w:hAnsi="Times New Roman" w:eastAsia="宋体" w:cs="Times New Roman"/>
      <w:szCs w:val="24"/>
    </w:rPr>
  </w:style>
  <w:style w:type="paragraph" w:styleId="5">
    <w:name w:val="Date"/>
    <w:basedOn w:val="1"/>
    <w:next w:val="1"/>
    <w:link w:val="23"/>
    <w:unhideWhenUsed/>
    <w:qFormat/>
    <w:uiPriority w:val="0"/>
    <w:pPr>
      <w:ind w:left="100" w:leftChars="2500"/>
    </w:pPr>
  </w:style>
  <w:style w:type="paragraph" w:styleId="6">
    <w:name w:val="Balloon Text"/>
    <w:basedOn w:val="1"/>
    <w:link w:val="24"/>
    <w:unhideWhenUsed/>
    <w:qFormat/>
    <w:uiPriority w:val="0"/>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rPr>
      <w:rFonts w:ascii="黑体" w:eastAsia="黑体"/>
    </w:rPr>
  </w:style>
  <w:style w:type="paragraph" w:styleId="10">
    <w:name w:val="annotation subject"/>
    <w:basedOn w:val="3"/>
    <w:next w:val="3"/>
    <w:link w:val="27"/>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qFormat/>
    <w:uiPriority w:val="0"/>
    <w:rPr>
      <w:rFonts w:ascii="Times New Roman" w:hAnsi="Times New Roman" w:eastAsia="宋体"/>
      <w:sz w:val="18"/>
    </w:rPr>
  </w:style>
  <w:style w:type="character" w:styleId="16">
    <w:name w:val="FollowedHyperlink"/>
    <w:unhideWhenUsed/>
    <w:qFormat/>
    <w:uiPriority w:val="99"/>
    <w:rPr>
      <w:color w:val="800080"/>
      <w:u w:val="single"/>
    </w:rPr>
  </w:style>
  <w:style w:type="character" w:styleId="17">
    <w:name w:val="HTML Acronym"/>
    <w:basedOn w:val="13"/>
    <w:qFormat/>
    <w:uiPriority w:val="0"/>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批注文字 Char"/>
    <w:basedOn w:val="13"/>
    <w:link w:val="3"/>
    <w:qFormat/>
    <w:uiPriority w:val="0"/>
    <w:rPr>
      <w:rFonts w:ascii="Times New Roman" w:hAnsi="Times New Roman" w:eastAsia="宋体" w:cs="Times New Roman"/>
      <w:szCs w:val="24"/>
    </w:rPr>
  </w:style>
  <w:style w:type="character" w:customStyle="1" w:styleId="21">
    <w:name w:val="正文文本 Char"/>
    <w:basedOn w:val="13"/>
    <w:link w:val="2"/>
    <w:qFormat/>
    <w:uiPriority w:val="0"/>
    <w:rPr>
      <w:rFonts w:ascii="Times New Roman" w:hAnsi="Times New Roman" w:eastAsia="宋体" w:cs="Times New Roman"/>
      <w:szCs w:val="24"/>
    </w:rPr>
  </w:style>
  <w:style w:type="character" w:customStyle="1" w:styleId="22">
    <w:name w:val="正文文本缩进 Char"/>
    <w:basedOn w:val="13"/>
    <w:link w:val="4"/>
    <w:qFormat/>
    <w:uiPriority w:val="0"/>
    <w:rPr>
      <w:rFonts w:ascii="Times New Roman" w:hAnsi="Times New Roman" w:eastAsia="宋体" w:cs="Times New Roman"/>
      <w:szCs w:val="24"/>
    </w:rPr>
  </w:style>
  <w:style w:type="character" w:customStyle="1" w:styleId="23">
    <w:name w:val="日期 Char"/>
    <w:basedOn w:val="13"/>
    <w:link w:val="5"/>
    <w:qFormat/>
    <w:uiPriority w:val="0"/>
  </w:style>
  <w:style w:type="character" w:customStyle="1" w:styleId="24">
    <w:name w:val="批注框文本 Char"/>
    <w:basedOn w:val="13"/>
    <w:link w:val="6"/>
    <w:qFormat/>
    <w:uiPriority w:val="0"/>
    <w:rPr>
      <w:sz w:val="18"/>
      <w:szCs w:val="18"/>
    </w:rPr>
  </w:style>
  <w:style w:type="character" w:customStyle="1" w:styleId="25">
    <w:name w:val="页脚 Char"/>
    <w:basedOn w:val="13"/>
    <w:link w:val="7"/>
    <w:qFormat/>
    <w:uiPriority w:val="0"/>
    <w:rPr>
      <w:sz w:val="18"/>
      <w:szCs w:val="18"/>
    </w:rPr>
  </w:style>
  <w:style w:type="character" w:customStyle="1" w:styleId="26">
    <w:name w:val="页眉 Char"/>
    <w:basedOn w:val="13"/>
    <w:link w:val="8"/>
    <w:qFormat/>
    <w:uiPriority w:val="0"/>
    <w:rPr>
      <w:sz w:val="18"/>
      <w:szCs w:val="18"/>
    </w:rPr>
  </w:style>
  <w:style w:type="character" w:customStyle="1" w:styleId="27">
    <w:name w:val="批注主题 Char"/>
    <w:basedOn w:val="20"/>
    <w:link w:val="10"/>
    <w:qFormat/>
    <w:uiPriority w:val="0"/>
    <w:rPr>
      <w:rFonts w:ascii="Times New Roman" w:hAnsi="Times New Roman" w:eastAsia="宋体" w:cs="Times New Roman"/>
      <w:b/>
      <w:bCs/>
      <w:szCs w:val="24"/>
    </w:rPr>
  </w:style>
  <w:style w:type="paragraph" w:styleId="28">
    <w:name w:val="List Paragraph"/>
    <w:basedOn w:val="1"/>
    <w:qFormat/>
    <w:uiPriority w:val="34"/>
    <w:pPr>
      <w:ind w:firstLine="420" w:firstLineChars="200"/>
    </w:pPr>
  </w:style>
  <w:style w:type="paragraph" w:customStyle="1" w:styleId="2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标准书眉一"/>
    <w:qFormat/>
    <w:uiPriority w:val="0"/>
    <w:pPr>
      <w:jc w:val="both"/>
    </w:pPr>
    <w:rPr>
      <w:rFonts w:ascii="Times New Roman" w:hAnsi="Times New Roman" w:eastAsia="宋体" w:cs="Times New Roman"/>
      <w:lang w:val="en-US" w:eastAsia="zh-CN" w:bidi="ar-SA"/>
    </w:rPr>
  </w:style>
  <w:style w:type="paragraph" w:customStyle="1" w:styleId="3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6">
    <w:name w:val="发布"/>
    <w:qFormat/>
    <w:uiPriority w:val="0"/>
    <w:rPr>
      <w:rFonts w:ascii="黑体" w:eastAsia="黑体"/>
      <w:spacing w:val="22"/>
      <w:w w:val="100"/>
      <w:position w:val="3"/>
      <w:sz w:val="28"/>
    </w:rPr>
  </w:style>
  <w:style w:type="paragraph" w:customStyle="1" w:styleId="3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0">
    <w:name w:val="封面标准代替信息"/>
    <w:basedOn w:val="39"/>
    <w:qFormat/>
    <w:uiPriority w:val="0"/>
    <w:pPr>
      <w:spacing w:before="57"/>
    </w:pPr>
    <w:rPr>
      <w:rFonts w:ascii="宋体"/>
      <w:sz w:val="21"/>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封面正文"/>
    <w:qFormat/>
    <w:uiPriority w:val="0"/>
    <w:pPr>
      <w:jc w:val="both"/>
    </w:pPr>
    <w:rPr>
      <w:rFonts w:ascii="Times New Roman" w:hAnsi="Times New Roman" w:eastAsia="宋体" w:cs="Times New Roman"/>
      <w:lang w:val="en-US" w:eastAsia="zh-CN" w:bidi="ar-SA"/>
    </w:rPr>
  </w:style>
  <w:style w:type="paragraph" w:customStyle="1" w:styleId="45">
    <w:name w:val="实施日期"/>
    <w:basedOn w:val="38"/>
    <w:qFormat/>
    <w:uiPriority w:val="0"/>
    <w:pPr>
      <w:framePr w:hSpace="0" w:xAlign="right"/>
      <w:jc w:val="right"/>
    </w:pPr>
  </w:style>
  <w:style w:type="paragraph" w:customStyle="1" w:styleId="4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7">
    <w:name w:val="附录表标题"/>
    <w:next w:val="48"/>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48">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w:link w:val="48"/>
    <w:qFormat/>
    <w:uiPriority w:val="0"/>
    <w:rPr>
      <w:rFonts w:ascii="宋体" w:hAnsi="Times New Roman" w:eastAsia="宋体" w:cs="Times New Roman"/>
      <w:kern w:val="0"/>
      <w:szCs w:val="20"/>
    </w:rPr>
  </w:style>
  <w:style w:type="paragraph" w:customStyle="1" w:styleId="50">
    <w:name w:val="附录图标题"/>
    <w:next w:val="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52">
    <w:name w:val="列项◆（三级）"/>
    <w:qFormat/>
    <w:uiPriority w:val="0"/>
    <w:pPr>
      <w:numPr>
        <w:ilvl w:val="0"/>
        <w:numId w:val="5"/>
      </w:numPr>
      <w:ind w:left="800" w:leftChars="600" w:hanging="200" w:hangingChars="200"/>
    </w:pPr>
    <w:rPr>
      <w:rFonts w:ascii="宋体" w:hAnsi="Times New Roman" w:eastAsia="宋体" w:cs="Times New Roman"/>
      <w:sz w:val="21"/>
      <w:lang w:val="en-US" w:eastAsia="zh-CN" w:bidi="ar-SA"/>
    </w:rPr>
  </w:style>
  <w:style w:type="paragraph" w:customStyle="1" w:styleId="53">
    <w:name w:val="目次、标准名称标题"/>
    <w:basedOn w:val="35"/>
    <w:next w:val="48"/>
    <w:qFormat/>
    <w:uiPriority w:val="0"/>
    <w:pPr>
      <w:spacing w:line="460" w:lineRule="exact"/>
    </w:pPr>
  </w:style>
  <w:style w:type="paragraph" w:customStyle="1" w:styleId="54">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5">
    <w:name w:val="标准书眉_偶数页"/>
    <w:basedOn w:val="33"/>
    <w:next w:val="1"/>
    <w:qFormat/>
    <w:uiPriority w:val="0"/>
    <w:pPr>
      <w:jc w:val="left"/>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一级条标题"/>
    <w:next w:val="48"/>
    <w:qFormat/>
    <w:uiPriority w:val="0"/>
    <w:pPr>
      <w:ind w:left="525"/>
      <w:outlineLvl w:val="2"/>
    </w:pPr>
    <w:rPr>
      <w:rFonts w:ascii="Times New Roman" w:hAnsi="Times New Roman" w:eastAsia="黑体" w:cs="Times New Roman"/>
      <w:sz w:val="21"/>
      <w:lang w:val="en-US" w:eastAsia="zh-CN" w:bidi="ar-SA"/>
    </w:rPr>
  </w:style>
  <w:style w:type="paragraph" w:customStyle="1" w:styleId="58">
    <w:name w:val="二级条标题"/>
    <w:basedOn w:val="57"/>
    <w:next w:val="48"/>
    <w:qFormat/>
    <w:uiPriority w:val="0"/>
    <w:pPr>
      <w:ind w:left="0"/>
      <w:outlineLvl w:val="3"/>
    </w:pPr>
  </w:style>
  <w:style w:type="paragraph" w:customStyle="1" w:styleId="59">
    <w:name w:val="三级条标题"/>
    <w:basedOn w:val="58"/>
    <w:next w:val="48"/>
    <w:qFormat/>
    <w:uiPriority w:val="0"/>
    <w:pPr>
      <w:outlineLvl w:val="4"/>
    </w:pPr>
  </w:style>
  <w:style w:type="paragraph" w:customStyle="1" w:styleId="60">
    <w:name w:val="四级条标题"/>
    <w:basedOn w:val="59"/>
    <w:next w:val="48"/>
    <w:qFormat/>
    <w:uiPriority w:val="0"/>
    <w:pPr>
      <w:outlineLvl w:val="5"/>
    </w:pPr>
  </w:style>
  <w:style w:type="paragraph" w:customStyle="1" w:styleId="61">
    <w:name w:val="五级条标题"/>
    <w:basedOn w:val="60"/>
    <w:next w:val="48"/>
    <w:qFormat/>
    <w:uiPriority w:val="0"/>
    <w:pPr>
      <w:outlineLvl w:val="6"/>
    </w:pPr>
  </w:style>
  <w:style w:type="paragraph" w:customStyle="1" w:styleId="62">
    <w:name w:val="正文表标题"/>
    <w:next w:val="48"/>
    <w:link w:val="63"/>
    <w:qFormat/>
    <w:uiPriority w:val="0"/>
    <w:pPr>
      <w:ind w:left="4095"/>
      <w:jc w:val="center"/>
    </w:pPr>
    <w:rPr>
      <w:rFonts w:ascii="黑体" w:hAnsi="Times New Roman" w:eastAsia="黑体" w:cs="Times New Roman"/>
      <w:sz w:val="21"/>
      <w:lang w:val="en-US" w:eastAsia="zh-CN" w:bidi="ar-SA"/>
    </w:rPr>
  </w:style>
  <w:style w:type="character" w:customStyle="1" w:styleId="63">
    <w:name w:val="正文表标题 Char"/>
    <w:link w:val="62"/>
    <w:qFormat/>
    <w:uiPriority w:val="0"/>
    <w:rPr>
      <w:rFonts w:ascii="黑体" w:hAnsi="Times New Roman" w:eastAsia="黑体" w:cs="Times New Roman"/>
      <w:kern w:val="0"/>
      <w:szCs w:val="20"/>
    </w:rPr>
  </w:style>
  <w:style w:type="paragraph" w:customStyle="1" w:styleId="64">
    <w:name w:val="注："/>
    <w:next w:val="48"/>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71">
    <w:name w:val="font21"/>
    <w:basedOn w:val="13"/>
    <w:uiPriority w:val="0"/>
    <w:rPr>
      <w:rFonts w:hint="eastAsia" w:ascii="宋体" w:hAnsi="宋体" w:eastAsia="宋体" w:cs="宋体"/>
      <w:color w:val="000000"/>
      <w:sz w:val="21"/>
      <w:szCs w:val="21"/>
      <w:u w:val="none"/>
    </w:rPr>
  </w:style>
  <w:style w:type="character" w:customStyle="1" w:styleId="72">
    <w:name w:val="font51"/>
    <w:basedOn w:val="13"/>
    <w:qFormat/>
    <w:uiPriority w:val="0"/>
    <w:rPr>
      <w:rFonts w:hint="eastAsia" w:ascii="宋体" w:hAnsi="宋体" w:eastAsia="宋体" w:cs="宋体"/>
      <w:color w:val="000000"/>
      <w:sz w:val="21"/>
      <w:szCs w:val="21"/>
      <w:u w:val="none"/>
    </w:rPr>
  </w:style>
  <w:style w:type="character" w:customStyle="1" w:styleId="73">
    <w:name w:val="font11"/>
    <w:basedOn w:val="13"/>
    <w:qFormat/>
    <w:uiPriority w:val="0"/>
    <w:rPr>
      <w:rFonts w:hint="default" w:ascii="Times New Roman" w:hAnsi="Times New Roman" w:cs="Times New Roman"/>
      <w:color w:val="000000"/>
      <w:sz w:val="21"/>
      <w:szCs w:val="21"/>
      <w:u w:val="none"/>
    </w:rPr>
  </w:style>
  <w:style w:type="character" w:customStyle="1" w:styleId="74">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DBA90-3BDE-4E01-A208-770A75635B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14238</Words>
  <Characters>18536</Characters>
  <Lines>315</Lines>
  <Paragraphs>88</Paragraphs>
  <TotalTime>0</TotalTime>
  <ScaleCrop>false</ScaleCrop>
  <LinksUpToDate>false</LinksUpToDate>
  <CharactersWithSpaces>19122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2019-07-15T00:50:00Z</dcterms:created>
  <dc:creator>蒋杰</dc:creator>
  <cp:lastModifiedBy>杨丽娟</cp:lastModifiedBy>
  <cp:lastPrinted>2019-07-19T02:21:00Z</cp:lastPrinted>
  <dcterms:modified xsi:type="dcterms:W3CDTF">2022-07-07T05:19:22Z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93B99DFB281841C09676CC7DC1217801</vt:lpwstr>
  </property>
</Properties>
</file>