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olor w:val="000000"/>
          <w:sz w:val="28"/>
          <w:szCs w:val="28"/>
        </w:rPr>
      </w:pPr>
      <w:r>
        <w:rPr>
          <w:rStyle w:val="17"/>
          <w:rFonts w:ascii="Arial" w:hAnsi="Arial" w:cs="Arial"/>
          <w:b w:val="0"/>
          <w:bCs w:val="0"/>
          <w:color w:val="CC0000"/>
          <w:szCs w:val="21"/>
          <w:shd w:val="clear" w:color="auto" w:fill="FFFFFF"/>
        </w:rPr>
        <w:t>waste acid</w:t>
      </w:r>
      <w:r>
        <w:rPr>
          <w:rFonts w:ascii="Times New Roman" w:hAnsi="Times New Roman"/>
          <w:color w:val="000000"/>
        </w:rPr>
        <mc:AlternateContent>
          <mc:Choice Requires="wps">
            <w:drawing>
              <wp:anchor distT="0" distB="0" distL="114300" distR="114300" simplePos="0" relativeHeight="251652096" behindDoc="0" locked="0" layoutInCell="1" allowOverlap="1">
                <wp:simplePos x="0" y="0"/>
                <wp:positionH relativeFrom="column">
                  <wp:posOffset>-270510</wp:posOffset>
                </wp:positionH>
                <wp:positionV relativeFrom="paragraph">
                  <wp:posOffset>1859915</wp:posOffset>
                </wp:positionV>
                <wp:extent cx="6111875" cy="0"/>
                <wp:effectExtent l="5715" t="12065" r="6985" b="6985"/>
                <wp:wrapNone/>
                <wp:docPr id="17" name="直接连接符 65"/>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straightConnector1">
                          <a:avLst/>
                        </a:prstGeom>
                        <a:noFill/>
                        <a:ln w="9525">
                          <a:solidFill>
                            <a:srgbClr val="000000"/>
                          </a:solidFill>
                          <a:round/>
                        </a:ln>
                      </wps:spPr>
                      <wps:bodyPr/>
                    </wps:wsp>
                  </a:graphicData>
                </a:graphic>
              </wp:anchor>
            </w:drawing>
          </mc:Choice>
          <mc:Fallback>
            <w:pict>
              <v:shape id="直接连接符 65" o:spid="_x0000_s1026" o:spt="32" type="#_x0000_t32" style="position:absolute;left:0pt;margin-left:-21.3pt;margin-top:146.45pt;height:0pt;width:481.25pt;z-index:251652096;mso-width-relative:page;mso-height-relative:page;" filled="f" stroked="t" coordsize="21600,21600" o:gfxdata="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KDq171wAAAAsBAAAPAAAAAAAAAAEAIAAA&#10;ACIAAABkcnMvZG93bnJldi54bWxQSwECFAAUAAAACACHTuJAxvt0stQBAABsAwAADgAAAAAAAAAB&#10;ACAAAAAmAQAAZHJzL2Uyb0RvYy54bWxQSwUGAAAAAAYABgBZAQAAbAUAAAAA&#10;">
                <v:fill on="f" focussize="0,0"/>
                <v:stroke color="#000000" joinstyle="round"/>
                <v:imagedata o:title=""/>
                <o:lock v:ext="edit" aspectratio="f"/>
              </v:shape>
            </w:pict>
          </mc:Fallback>
        </mc:AlternateContent>
      </w:r>
      <w:r>
        <w:rPr>
          <w:rFonts w:ascii="Times New Roman" w:hAnsi="Times New Roman"/>
          <w:color w:val="000000"/>
          <w:sz w:val="28"/>
          <w:szCs w:val="28"/>
        </w:rPr>
        <w:t xml:space="preserve"> </w:t>
      </w:r>
    </w:p>
    <w:p>
      <w:pPr>
        <w:rPr>
          <w:rFonts w:ascii="Times New Roman" w:hAnsi="Times New Roman"/>
          <w:color w:val="000000"/>
          <w:sz w:val="28"/>
          <w:szCs w:val="28"/>
        </w:rPr>
      </w:pPr>
      <w:r>
        <w:rPr>
          <w:rFonts w:ascii="Times New Roman" w:hAnsi="Times New Roman"/>
          <w:color w:val="000000"/>
        </w:rPr>
        <mc:AlternateContent>
          <mc:Choice Requires="wps">
            <w:drawing>
              <wp:anchor distT="0" distB="0" distL="114300" distR="114300" simplePos="0" relativeHeight="251653120" behindDoc="0" locked="1" layoutInCell="0" allowOverlap="1">
                <wp:simplePos x="0" y="0"/>
                <wp:positionH relativeFrom="margin">
                  <wp:posOffset>-269240</wp:posOffset>
                </wp:positionH>
                <wp:positionV relativeFrom="margin">
                  <wp:posOffset>506730</wp:posOffset>
                </wp:positionV>
                <wp:extent cx="6101715" cy="933450"/>
                <wp:effectExtent l="0" t="1905" r="0" b="0"/>
                <wp:wrapNone/>
                <wp:docPr id="16" name="fmFrame2"/>
                <wp:cNvGraphicFramePr/>
                <a:graphic xmlns:a="http://schemas.openxmlformats.org/drawingml/2006/main">
                  <a:graphicData uri="http://schemas.microsoft.com/office/word/2010/wordprocessingShape">
                    <wps:wsp>
                      <wps:cNvSpPr txBox="1">
                        <a:spLocks noChangeArrowheads="1"/>
                      </wps:cNvSpPr>
                      <wps:spPr bwMode="auto">
                        <a:xfrm>
                          <a:off x="0" y="0"/>
                          <a:ext cx="6101715" cy="933450"/>
                        </a:xfrm>
                        <a:prstGeom prst="rect">
                          <a:avLst/>
                        </a:prstGeom>
                        <a:solidFill>
                          <a:srgbClr val="FFFFFF"/>
                        </a:solidFill>
                        <a:ln>
                          <a:noFill/>
                        </a:ln>
                      </wps:spPr>
                      <wps:txbx>
                        <w:txbxContent>
                          <w:p>
                            <w:pPr>
                              <w:pStyle w:val="25"/>
                              <w:jc w:val="center"/>
                              <w:rPr>
                                <w:rFonts w:hAnsi="宋体" w:cs="宋体"/>
                                <w:sz w:val="72"/>
                                <w:szCs w:val="72"/>
                              </w:rPr>
                            </w:pPr>
                            <w:r>
                              <w:rPr>
                                <w:rFonts w:hint="eastAsia" w:hAnsi="宋体" w:cs="宋体"/>
                                <w:b w:val="0"/>
                                <w:bCs w:val="0"/>
                                <w:sz w:val="72"/>
                                <w:szCs w:val="72"/>
                              </w:rPr>
                              <w:t>团</w:t>
                            </w:r>
                            <w:r>
                              <w:rPr>
                                <w:rFonts w:hAnsi="宋体" w:cs="宋体"/>
                                <w:b w:val="0"/>
                                <w:bCs w:val="0"/>
                                <w:sz w:val="72"/>
                                <w:szCs w:val="72"/>
                              </w:rPr>
                              <w:t xml:space="preserve"> </w:t>
                            </w:r>
                            <w:r>
                              <w:rPr>
                                <w:rFonts w:hint="eastAsia" w:hAnsi="宋体" w:cs="宋体"/>
                                <w:b w:val="0"/>
                                <w:bCs w:val="0"/>
                                <w:sz w:val="72"/>
                                <w:szCs w:val="72"/>
                              </w:rPr>
                              <w:t>体</w:t>
                            </w:r>
                            <w:r>
                              <w:rPr>
                                <w:rFonts w:hAnsi="宋体" w:cs="宋体"/>
                                <w:b w:val="0"/>
                                <w:bCs w:val="0"/>
                                <w:sz w:val="72"/>
                                <w:szCs w:val="72"/>
                              </w:rPr>
                              <w:t xml:space="preserve"> </w:t>
                            </w:r>
                            <w:r>
                              <w:rPr>
                                <w:rFonts w:hint="eastAsia" w:hAnsi="宋体" w:cs="宋体"/>
                                <w:b w:val="0"/>
                                <w:bCs w:val="0"/>
                                <w:sz w:val="72"/>
                                <w:szCs w:val="72"/>
                              </w:rPr>
                              <w:t>标</w:t>
                            </w:r>
                            <w:r>
                              <w:rPr>
                                <w:rFonts w:hAnsi="宋体" w:cs="宋体"/>
                                <w:b w:val="0"/>
                                <w:bCs w:val="0"/>
                                <w:sz w:val="72"/>
                                <w:szCs w:val="72"/>
                              </w:rPr>
                              <w:t xml:space="preserve"> </w:t>
                            </w:r>
                            <w:r>
                              <w:rPr>
                                <w:rFonts w:hint="eastAsia" w:hAnsi="宋体" w:cs="宋体"/>
                                <w:b w:val="0"/>
                                <w:bCs w:val="0"/>
                                <w:sz w:val="72"/>
                                <w:szCs w:val="72"/>
                              </w:rPr>
                              <w:t>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21.2pt;margin-top:39.9pt;height:73.5pt;width:480.45pt;mso-position-horizontal-relative:margin;mso-position-vertical-relative:margin;z-index:251653120;mso-width-relative:page;mso-height-relative:page;" fillcolor="#FFFFFF" filled="t" stroked="f" coordsize="21600,21600" o:allowincell="f" o:gfxdata="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UOSI9oAAAAKAQAADwAAAAAAAAABACAAAAAiAAAAZHJzL2Rvd25yZXYueG1s&#10;UEsBAhQAFAAAAAgAh07iQG8Bugr2AQAA3gMAAA4AAAAAAAAAAQAgAAAAKQEAAGRycy9lMm9Eb2Mu&#10;eG1sUEsFBgAAAAAGAAYAWQEAAJEFAAAAAA==&#10;">
                <v:fill on="t" focussize="0,0"/>
                <v:stroke on="f"/>
                <v:imagedata o:title=""/>
                <o:lock v:ext="edit" aspectratio="f"/>
                <v:textbox inset="0mm,0mm,0mm,0mm">
                  <w:txbxContent>
                    <w:p>
                      <w:pPr>
                        <w:pStyle w:val="25"/>
                        <w:jc w:val="center"/>
                        <w:rPr>
                          <w:rFonts w:hAnsi="宋体" w:cs="宋体"/>
                          <w:sz w:val="72"/>
                          <w:szCs w:val="72"/>
                        </w:rPr>
                      </w:pPr>
                      <w:r>
                        <w:rPr>
                          <w:rFonts w:hint="eastAsia" w:hAnsi="宋体" w:cs="宋体"/>
                          <w:b w:val="0"/>
                          <w:bCs w:val="0"/>
                          <w:sz w:val="72"/>
                          <w:szCs w:val="72"/>
                        </w:rPr>
                        <w:t>团</w:t>
                      </w:r>
                      <w:r>
                        <w:rPr>
                          <w:rFonts w:hAnsi="宋体" w:cs="宋体"/>
                          <w:b w:val="0"/>
                          <w:bCs w:val="0"/>
                          <w:sz w:val="72"/>
                          <w:szCs w:val="72"/>
                        </w:rPr>
                        <w:t xml:space="preserve"> </w:t>
                      </w:r>
                      <w:r>
                        <w:rPr>
                          <w:rFonts w:hint="eastAsia" w:hAnsi="宋体" w:cs="宋体"/>
                          <w:b w:val="0"/>
                          <w:bCs w:val="0"/>
                          <w:sz w:val="72"/>
                          <w:szCs w:val="72"/>
                        </w:rPr>
                        <w:t>体</w:t>
                      </w:r>
                      <w:r>
                        <w:rPr>
                          <w:rFonts w:hAnsi="宋体" w:cs="宋体"/>
                          <w:b w:val="0"/>
                          <w:bCs w:val="0"/>
                          <w:sz w:val="72"/>
                          <w:szCs w:val="72"/>
                        </w:rPr>
                        <w:t xml:space="preserve"> </w:t>
                      </w:r>
                      <w:r>
                        <w:rPr>
                          <w:rFonts w:hint="eastAsia" w:hAnsi="宋体" w:cs="宋体"/>
                          <w:b w:val="0"/>
                          <w:bCs w:val="0"/>
                          <w:sz w:val="72"/>
                          <w:szCs w:val="72"/>
                        </w:rPr>
                        <w:t>标</w:t>
                      </w:r>
                      <w:r>
                        <w:rPr>
                          <w:rFonts w:hAnsi="宋体" w:cs="宋体"/>
                          <w:b w:val="0"/>
                          <w:bCs w:val="0"/>
                          <w:sz w:val="72"/>
                          <w:szCs w:val="72"/>
                        </w:rPr>
                        <w:t xml:space="preserve"> </w:t>
                      </w:r>
                      <w:r>
                        <w:rPr>
                          <w:rFonts w:hint="eastAsia" w:hAnsi="宋体" w:cs="宋体"/>
                          <w:b w:val="0"/>
                          <w:bCs w:val="0"/>
                          <w:sz w:val="72"/>
                          <w:szCs w:val="72"/>
                        </w:rPr>
                        <w:t>准</w:t>
                      </w:r>
                    </w:p>
                  </w:txbxContent>
                </v:textbox>
                <w10:anchorlock/>
              </v:shape>
            </w:pict>
          </mc:Fallback>
        </mc:AlternateContent>
      </w:r>
    </w:p>
    <w:p>
      <w:pPr>
        <w:rPr>
          <w:rFonts w:ascii="Times New Roman" w:hAnsi="Times New Roman"/>
          <w:color w:val="000000"/>
          <w:sz w:val="28"/>
          <w:szCs w:val="28"/>
        </w:rPr>
      </w:pPr>
      <w:r>
        <w:rPr>
          <w:rFonts w:ascii="Times New Roman" w:hAnsi="Times New Roman"/>
          <w:color w:val="000000"/>
        </w:rPr>
        <mc:AlternateContent>
          <mc:Choice Requires="wps">
            <w:drawing>
              <wp:anchor distT="0" distB="0" distL="114300" distR="114300" simplePos="0" relativeHeight="251654144" behindDoc="0" locked="1" layoutInCell="0" allowOverlap="1">
                <wp:simplePos x="0" y="0"/>
                <wp:positionH relativeFrom="margin">
                  <wp:posOffset>-56515</wp:posOffset>
                </wp:positionH>
                <wp:positionV relativeFrom="margin">
                  <wp:posOffset>-50165</wp:posOffset>
                </wp:positionV>
                <wp:extent cx="1807845" cy="542925"/>
                <wp:effectExtent l="635" t="0" r="1270" b="2540"/>
                <wp:wrapNone/>
                <wp:docPr id="15" name="fmFrame1"/>
                <wp:cNvGraphicFramePr/>
                <a:graphic xmlns:a="http://schemas.openxmlformats.org/drawingml/2006/main">
                  <a:graphicData uri="http://schemas.microsoft.com/office/word/2010/wordprocessingShape">
                    <wps:wsp>
                      <wps:cNvSpPr txBox="1">
                        <a:spLocks noChangeArrowheads="1"/>
                      </wps:cNvSpPr>
                      <wps:spPr bwMode="auto">
                        <a:xfrm>
                          <a:off x="0" y="0"/>
                          <a:ext cx="1807845" cy="542925"/>
                        </a:xfrm>
                        <a:prstGeom prst="rect">
                          <a:avLst/>
                        </a:prstGeom>
                        <a:solidFill>
                          <a:srgbClr val="FFFFFF"/>
                        </a:solidFill>
                        <a:ln>
                          <a:noFill/>
                        </a:ln>
                      </wps:spPr>
                      <wps:txbx>
                        <w:txbxContent>
                          <w:p>
                            <w:pPr>
                              <w:pStyle w:val="26"/>
                              <w:snapToGrid w:val="0"/>
                              <w:rPr>
                                <w:rFonts w:eastAsia="宋体"/>
                                <w:bCs/>
                                <w:color w:val="000000"/>
                              </w:rPr>
                            </w:pPr>
                            <w:r>
                              <w:rPr>
                                <w:rFonts w:eastAsia="宋体"/>
                                <w:bCs/>
                                <w:color w:val="000000"/>
                              </w:rPr>
                              <w:t>ICS 13.020.40</w:t>
                            </w:r>
                          </w:p>
                          <w:p>
                            <w:pPr>
                              <w:pStyle w:val="26"/>
                              <w:snapToGrid w:val="0"/>
                              <w:rPr>
                                <w:rFonts w:hint="default" w:eastAsia="宋体"/>
                                <w:bCs/>
                                <w:color w:val="000000"/>
                                <w:lang w:val="en-US" w:eastAsia="zh-CN"/>
                              </w:rPr>
                            </w:pPr>
                            <w:r>
                              <w:rPr>
                                <w:rFonts w:eastAsia="宋体"/>
                                <w:bCs/>
                                <w:color w:val="000000"/>
                              </w:rPr>
                              <w:t>CCS H</w:t>
                            </w:r>
                            <w:r>
                              <w:rPr>
                                <w:rFonts w:hint="eastAsia" w:eastAsia="宋体"/>
                                <w:bCs/>
                                <w:color w:val="000000"/>
                                <w:lang w:val="en-US" w:eastAsia="zh-CN"/>
                              </w:rPr>
                              <w:t>01</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4.45pt;margin-top:-3.95pt;height:42.75pt;width:142.35pt;mso-position-horizontal-relative:margin;mso-position-vertical-relative:margin;z-index:251654144;mso-width-relative:page;mso-height-relative:page;" fillcolor="#FFFFFF" filled="t" stroked="f" coordsize="21600,21600" o:allowincell="f" o:gfxdata="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xpcjNcAAAAIAQAADwAAAAAAAAABACAAAAAiAAAAZHJzL2Rvd25yZXYueG1sUEsBAhQA&#10;FAAAAAgAh07iQNh/WMPzAQAA3gMAAA4AAAAAAAAAAQAgAAAAJgEAAGRycy9lMm9Eb2MueG1sUEsF&#10;BgAAAAAGAAYAWQEAAIsFAAAAAA==&#10;">
                <v:fill on="t" focussize="0,0"/>
                <v:stroke on="f"/>
                <v:imagedata o:title=""/>
                <o:lock v:ext="edit" aspectratio="f"/>
                <v:textbox inset="0mm,0mm,0mm,0mm">
                  <w:txbxContent>
                    <w:p>
                      <w:pPr>
                        <w:pStyle w:val="26"/>
                        <w:snapToGrid w:val="0"/>
                        <w:rPr>
                          <w:rFonts w:eastAsia="宋体"/>
                          <w:bCs/>
                          <w:color w:val="000000"/>
                        </w:rPr>
                      </w:pPr>
                      <w:r>
                        <w:rPr>
                          <w:rFonts w:eastAsia="宋体"/>
                          <w:bCs/>
                          <w:color w:val="000000"/>
                        </w:rPr>
                        <w:t>ICS 13.020.40</w:t>
                      </w:r>
                    </w:p>
                    <w:p>
                      <w:pPr>
                        <w:pStyle w:val="26"/>
                        <w:snapToGrid w:val="0"/>
                        <w:rPr>
                          <w:rFonts w:hint="default" w:eastAsia="宋体"/>
                          <w:bCs/>
                          <w:color w:val="000000"/>
                          <w:lang w:val="en-US" w:eastAsia="zh-CN"/>
                        </w:rPr>
                      </w:pPr>
                      <w:r>
                        <w:rPr>
                          <w:rFonts w:eastAsia="宋体"/>
                          <w:bCs/>
                          <w:color w:val="000000"/>
                        </w:rPr>
                        <w:t>CCS H</w:t>
                      </w:r>
                      <w:r>
                        <w:rPr>
                          <w:rFonts w:hint="eastAsia" w:eastAsia="宋体"/>
                          <w:bCs/>
                          <w:color w:val="000000"/>
                          <w:lang w:val="en-US" w:eastAsia="zh-CN"/>
                        </w:rPr>
                        <w:t>01</w:t>
                      </w:r>
                    </w:p>
                  </w:txbxContent>
                </v:textbox>
                <w10:anchorlock/>
              </v:shape>
            </w:pict>
          </mc:Fallback>
        </mc:AlternateContent>
      </w: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r>
        <w:rPr>
          <w:rFonts w:ascii="Times New Roman" w:hAnsi="Times New Roman"/>
          <w:color w:val="000000"/>
        </w:rPr>
        <mc:AlternateContent>
          <mc:Choice Requires="wps">
            <w:drawing>
              <wp:anchor distT="0" distB="0" distL="114300" distR="114300" simplePos="0" relativeHeight="251655168" behindDoc="0" locked="1" layoutInCell="0" allowOverlap="1">
                <wp:simplePos x="0" y="0"/>
                <wp:positionH relativeFrom="margin">
                  <wp:posOffset>-278765</wp:posOffset>
                </wp:positionH>
                <wp:positionV relativeFrom="margin">
                  <wp:posOffset>1315720</wp:posOffset>
                </wp:positionV>
                <wp:extent cx="6084570" cy="297180"/>
                <wp:effectExtent l="0" t="1270" r="4445" b="0"/>
                <wp:wrapNone/>
                <wp:docPr id="14" name="fmFrame3"/>
                <wp:cNvGraphicFramePr/>
                <a:graphic xmlns:a="http://schemas.openxmlformats.org/drawingml/2006/main">
                  <a:graphicData uri="http://schemas.microsoft.com/office/word/2010/wordprocessingShape">
                    <wps:wsp>
                      <wps:cNvSpPr txBox="1">
                        <a:spLocks noChangeArrowheads="1"/>
                      </wps:cNvSpPr>
                      <wps:spPr bwMode="auto">
                        <a:xfrm>
                          <a:off x="0" y="0"/>
                          <a:ext cx="6084570" cy="297180"/>
                        </a:xfrm>
                        <a:prstGeom prst="rect">
                          <a:avLst/>
                        </a:prstGeom>
                        <a:solidFill>
                          <a:srgbClr val="FFFFFF"/>
                        </a:solidFill>
                        <a:ln>
                          <a:noFill/>
                        </a:ln>
                      </wps:spPr>
                      <wps:txbx>
                        <w:txbxContent>
                          <w:p>
                            <w:pPr>
                              <w:pStyle w:val="27"/>
                              <w:spacing w:before="0"/>
                            </w:pPr>
                            <w:r>
                              <w:t>T/CNIA XXXX-2021</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21.95pt;margin-top:103.6pt;height:23.4pt;width:479.1pt;mso-position-horizontal-relative:margin;mso-position-vertical-relative:margin;z-index:251655168;mso-width-relative:page;mso-height-relative:page;" fillcolor="#FFFFFF" filled="t" stroked="f" coordsize="21600,21600" o:allowincell="f" o:gfxdata="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i+J5tsAAAALAQAADwAAAAAAAAABACAAAAAiAAAAZHJzL2Rvd25yZXYueG1s&#10;UEsBAhQAFAAAAAgAh07iQEGtdZj1AQAA3gMAAA4AAAAAAAAAAQAgAAAAKgEAAGRycy9lMm9Eb2Mu&#10;eG1sUEsFBgAAAAAGAAYAWQEAAJEFAAAAAA==&#10;">
                <v:fill on="t" focussize="0,0"/>
                <v:stroke on="f"/>
                <v:imagedata o:title=""/>
                <o:lock v:ext="edit" aspectratio="f"/>
                <v:textbox inset="0mm,0mm,0mm,0mm">
                  <w:txbxContent>
                    <w:p>
                      <w:pPr>
                        <w:pStyle w:val="27"/>
                        <w:spacing w:before="0"/>
                      </w:pPr>
                      <w:r>
                        <w:t>T/CNIA XXXX-2021</w:t>
                      </w:r>
                    </w:p>
                  </w:txbxContent>
                </v:textbox>
                <w10:anchorlock/>
              </v:shape>
            </w:pict>
          </mc:Fallback>
        </mc:AlternateContent>
      </w:r>
    </w:p>
    <w:p>
      <w:pPr>
        <w:rPr>
          <w:rFonts w:ascii="Times New Roman" w:hAnsi="Times New Roman"/>
          <w:color w:val="000000"/>
          <w:sz w:val="28"/>
          <w:szCs w:val="28"/>
        </w:rPr>
      </w:pPr>
      <w:r>
        <w:rPr>
          <w:rFonts w:ascii="Times New Roman" w:hAnsi="Times New Roman"/>
          <w:color w:val="000000"/>
        </w:rPr>
        <mc:AlternateContent>
          <mc:Choice Requires="wps">
            <w:drawing>
              <wp:anchor distT="0" distB="0" distL="114300" distR="114300" simplePos="0" relativeHeight="251656192" behindDoc="0" locked="0" layoutInCell="1" allowOverlap="1">
                <wp:simplePos x="0" y="0"/>
                <wp:positionH relativeFrom="column">
                  <wp:posOffset>-393065</wp:posOffset>
                </wp:positionH>
                <wp:positionV relativeFrom="paragraph">
                  <wp:posOffset>247015</wp:posOffset>
                </wp:positionV>
                <wp:extent cx="6121400" cy="0"/>
                <wp:effectExtent l="6985" t="6985" r="15240" b="12065"/>
                <wp:wrapNone/>
                <wp:docPr id="13" name="Line 6"/>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6" o:spid="_x0000_s1026" o:spt="20" style="position:absolute;left:0pt;margin-left:-30.95pt;margin-top:19.45pt;height:0pt;width:482pt;z-index:251656192;mso-width-relative:page;mso-height-relative:page;" filled="f" stroked="t" coordsize="21600,21600" o:gfxdata="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udAtb1wAA&#10;AAkBAAAPAAAAAAAAAAEAIAAAACIAAABkcnMvZG93bnJldi54bWxQSwECFAAUAAAACACHTuJA7Stx&#10;Gq0BAABTAwAADgAAAAAAAAABACAAAAAmAQAAZHJzL2Uyb0RvYy54bWxQSwUGAAAAAAYABgBZAQAA&#10;RQUAAAAA&#10;">
                <v:fill on="f" focussize="0,0"/>
                <v:stroke weight="1pt" color="#FFFFFF" joinstyle="round"/>
                <v:imagedata o:title=""/>
                <o:lock v:ext="edit" aspectratio="f"/>
              </v:line>
            </w:pict>
          </mc:Fallback>
        </mc:AlternateContent>
      </w: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r>
        <w:rPr>
          <w:rFonts w:ascii="Times New Roman" w:hAnsi="Times New Roman"/>
          <w:color w:val="000000"/>
        </w:rPr>
        <mc:AlternateContent>
          <mc:Choice Requires="wps">
            <w:drawing>
              <wp:anchor distT="0" distB="0" distL="114300" distR="114300" simplePos="0" relativeHeight="251657216" behindDoc="0" locked="1" layoutInCell="0" allowOverlap="1">
                <wp:simplePos x="0" y="0"/>
                <wp:positionH relativeFrom="margin">
                  <wp:posOffset>-323850</wp:posOffset>
                </wp:positionH>
                <wp:positionV relativeFrom="margin">
                  <wp:posOffset>2222500</wp:posOffset>
                </wp:positionV>
                <wp:extent cx="5969000" cy="4036695"/>
                <wp:effectExtent l="0" t="3175" r="3175" b="0"/>
                <wp:wrapNone/>
                <wp:docPr id="12"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036695"/>
                        </a:xfrm>
                        <a:prstGeom prst="rect">
                          <a:avLst/>
                        </a:prstGeom>
                        <a:solidFill>
                          <a:srgbClr val="FFFFFF"/>
                        </a:solidFill>
                        <a:ln>
                          <a:noFill/>
                        </a:ln>
                      </wps:spPr>
                      <wps:txbx>
                        <w:txbxContent>
                          <w:p>
                            <w:pPr>
                              <w:pStyle w:val="28"/>
                              <w:rPr>
                                <w:rFonts w:ascii="Times New Roman"/>
                              </w:rPr>
                            </w:pPr>
                          </w:p>
                          <w:p>
                            <w:pPr>
                              <w:pStyle w:val="28"/>
                              <w:rPr>
                                <w:rFonts w:ascii="Times New Roman"/>
                              </w:rPr>
                            </w:pPr>
                          </w:p>
                          <w:p>
                            <w:pPr>
                              <w:jc w:val="center"/>
                              <w:rPr>
                                <w:rFonts w:ascii="Times New Roman" w:hAnsi="Times New Roman" w:eastAsia="黑体"/>
                                <w:kern w:val="0"/>
                                <w:sz w:val="52"/>
                                <w:szCs w:val="52"/>
                              </w:rPr>
                            </w:pPr>
                            <w:r>
                              <w:rPr>
                                <w:rFonts w:hint="eastAsia" w:ascii="Times New Roman" w:hAnsi="Times New Roman" w:eastAsia="黑体"/>
                                <w:bCs/>
                                <w:kern w:val="0"/>
                                <w:sz w:val="52"/>
                                <w:szCs w:val="52"/>
                              </w:rPr>
                              <w:t>铅锌冶炼</w:t>
                            </w:r>
                            <w:r>
                              <w:rPr>
                                <w:rFonts w:ascii="Times New Roman" w:hAnsi="Times New Roman" w:eastAsia="黑体"/>
                                <w:bCs/>
                                <w:kern w:val="0"/>
                                <w:sz w:val="52"/>
                                <w:szCs w:val="52"/>
                              </w:rPr>
                              <w:t>污酸渣资源化</w:t>
                            </w:r>
                            <w:r>
                              <w:rPr>
                                <w:rFonts w:hint="eastAsia" w:ascii="Times New Roman" w:hAnsi="Times New Roman" w:eastAsia="黑体"/>
                                <w:bCs/>
                                <w:kern w:val="0"/>
                                <w:sz w:val="52"/>
                                <w:szCs w:val="52"/>
                              </w:rPr>
                              <w:t>处置</w:t>
                            </w:r>
                            <w:r>
                              <w:rPr>
                                <w:rFonts w:ascii="Times New Roman" w:hAnsi="Times New Roman" w:eastAsia="黑体"/>
                                <w:bCs/>
                                <w:kern w:val="0"/>
                                <w:sz w:val="52"/>
                                <w:szCs w:val="52"/>
                              </w:rPr>
                              <w:t>技术规范</w:t>
                            </w:r>
                          </w:p>
                          <w:p>
                            <w:pPr>
                              <w:jc w:val="center"/>
                              <w:rPr>
                                <w:rFonts w:ascii="Times New Roman" w:hAnsi="Times New Roman"/>
                                <w:b/>
                                <w:bCs/>
                                <w:kern w:val="0"/>
                                <w:sz w:val="44"/>
                              </w:rPr>
                            </w:pPr>
                          </w:p>
                          <w:p>
                            <w:pPr>
                              <w:jc w:val="center"/>
                              <w:rPr>
                                <w:rFonts w:ascii="Times New Roman" w:hAnsi="Times New Roman"/>
                                <w:bCs/>
                                <w:sz w:val="30"/>
                                <w:szCs w:val="30"/>
                              </w:rPr>
                            </w:pPr>
                            <w:r>
                              <w:rPr>
                                <w:rFonts w:ascii="Times New Roman" w:hAnsi="Times New Roman"/>
                                <w:bCs/>
                                <w:sz w:val="30"/>
                                <w:szCs w:val="30"/>
                              </w:rPr>
                              <w:t xml:space="preserve">Technical specifications for resourceful disposal of </w:t>
                            </w:r>
                            <w:r>
                              <w:rPr>
                                <w:rFonts w:hint="eastAsia" w:ascii="Times New Roman" w:hAnsi="Times New Roman"/>
                                <w:bCs/>
                                <w:sz w:val="30"/>
                                <w:szCs w:val="30"/>
                              </w:rPr>
                              <w:t>wasted</w:t>
                            </w:r>
                            <w:r>
                              <w:rPr>
                                <w:rFonts w:ascii="Times New Roman" w:hAnsi="Times New Roman"/>
                                <w:bCs/>
                                <w:sz w:val="30"/>
                                <w:szCs w:val="30"/>
                              </w:rPr>
                              <w:t xml:space="preserve"> acid slag in lead and zinc smelting</w:t>
                            </w:r>
                          </w:p>
                          <w:p>
                            <w:pPr>
                              <w:pStyle w:val="31"/>
                              <w:rPr>
                                <w:rFonts w:ascii="Times New Roman"/>
                                <w:b/>
                                <w:sz w:val="30"/>
                                <w:szCs w:val="30"/>
                              </w:rPr>
                            </w:pPr>
                            <w:r>
                              <w:rPr>
                                <w:rFonts w:ascii="Times New Roman"/>
                                <w:b/>
                                <w:sz w:val="30"/>
                                <w:szCs w:val="30"/>
                              </w:rPr>
                              <w:t>（</w:t>
                            </w:r>
                            <w:r>
                              <w:rPr>
                                <w:rFonts w:hint="eastAsia" w:ascii="Times New Roman"/>
                                <w:b/>
                                <w:sz w:val="30"/>
                                <w:szCs w:val="30"/>
                                <w:lang w:eastAsia="zh-CN"/>
                              </w:rPr>
                              <w:t>预审</w:t>
                            </w:r>
                            <w:r>
                              <w:rPr>
                                <w:rFonts w:ascii="Times New Roman"/>
                                <w:b/>
                                <w:sz w:val="30"/>
                                <w:szCs w:val="30"/>
                              </w:rPr>
                              <w:t>稿）</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25.5pt;margin-top:175pt;height:317.85pt;width:470pt;mso-position-horizontal-relative:margin;mso-position-vertical-relative:margin;z-index:251657216;mso-width-relative:page;mso-height-relative:page;" fillcolor="#FFFFFF" filled="t" stroked="f" coordsize="21600,21600" o:allowincell="f" o:gfxdata="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yPVZ9oAAAALAQAADwAAAAAAAAABACAAAAAiAAAAZHJzL2Rvd25yZXYueG1s&#10;UEsBAhQAFAAAAAgAh07iQPfHPZz2AQAA3wMAAA4AAAAAAAAAAQAgAAAAKQEAAGRycy9lMm9Eb2Mu&#10;eG1sUEsFBgAAAAAGAAYAWQEAAJEFAAAAAA==&#10;">
                <v:fill on="t" focussize="0,0"/>
                <v:stroke on="f"/>
                <v:imagedata o:title=""/>
                <o:lock v:ext="edit" aspectratio="f"/>
                <v:textbox inset="0mm,0mm,0mm,0mm">
                  <w:txbxContent>
                    <w:p>
                      <w:pPr>
                        <w:pStyle w:val="28"/>
                        <w:rPr>
                          <w:rFonts w:ascii="Times New Roman"/>
                        </w:rPr>
                      </w:pPr>
                    </w:p>
                    <w:p>
                      <w:pPr>
                        <w:pStyle w:val="28"/>
                        <w:rPr>
                          <w:rFonts w:ascii="Times New Roman"/>
                        </w:rPr>
                      </w:pPr>
                    </w:p>
                    <w:p>
                      <w:pPr>
                        <w:jc w:val="center"/>
                        <w:rPr>
                          <w:rFonts w:ascii="Times New Roman" w:hAnsi="Times New Roman" w:eastAsia="黑体"/>
                          <w:kern w:val="0"/>
                          <w:sz w:val="52"/>
                          <w:szCs w:val="52"/>
                        </w:rPr>
                      </w:pPr>
                      <w:r>
                        <w:rPr>
                          <w:rFonts w:hint="eastAsia" w:ascii="Times New Roman" w:hAnsi="Times New Roman" w:eastAsia="黑体"/>
                          <w:bCs/>
                          <w:kern w:val="0"/>
                          <w:sz w:val="52"/>
                          <w:szCs w:val="52"/>
                        </w:rPr>
                        <w:t>铅锌冶炼</w:t>
                      </w:r>
                      <w:r>
                        <w:rPr>
                          <w:rFonts w:ascii="Times New Roman" w:hAnsi="Times New Roman" w:eastAsia="黑体"/>
                          <w:bCs/>
                          <w:kern w:val="0"/>
                          <w:sz w:val="52"/>
                          <w:szCs w:val="52"/>
                        </w:rPr>
                        <w:t>污酸渣资源化</w:t>
                      </w:r>
                      <w:r>
                        <w:rPr>
                          <w:rFonts w:hint="eastAsia" w:ascii="Times New Roman" w:hAnsi="Times New Roman" w:eastAsia="黑体"/>
                          <w:bCs/>
                          <w:kern w:val="0"/>
                          <w:sz w:val="52"/>
                          <w:szCs w:val="52"/>
                        </w:rPr>
                        <w:t>处置</w:t>
                      </w:r>
                      <w:r>
                        <w:rPr>
                          <w:rFonts w:ascii="Times New Roman" w:hAnsi="Times New Roman" w:eastAsia="黑体"/>
                          <w:bCs/>
                          <w:kern w:val="0"/>
                          <w:sz w:val="52"/>
                          <w:szCs w:val="52"/>
                        </w:rPr>
                        <w:t>技术规范</w:t>
                      </w:r>
                    </w:p>
                    <w:p>
                      <w:pPr>
                        <w:jc w:val="center"/>
                        <w:rPr>
                          <w:rFonts w:ascii="Times New Roman" w:hAnsi="Times New Roman"/>
                          <w:b/>
                          <w:bCs/>
                          <w:kern w:val="0"/>
                          <w:sz w:val="44"/>
                        </w:rPr>
                      </w:pPr>
                    </w:p>
                    <w:p>
                      <w:pPr>
                        <w:jc w:val="center"/>
                        <w:rPr>
                          <w:rFonts w:ascii="Times New Roman" w:hAnsi="Times New Roman"/>
                          <w:bCs/>
                          <w:sz w:val="30"/>
                          <w:szCs w:val="30"/>
                        </w:rPr>
                      </w:pPr>
                      <w:r>
                        <w:rPr>
                          <w:rFonts w:ascii="Times New Roman" w:hAnsi="Times New Roman"/>
                          <w:bCs/>
                          <w:sz w:val="30"/>
                          <w:szCs w:val="30"/>
                        </w:rPr>
                        <w:t xml:space="preserve">Technical specifications for resourceful disposal of </w:t>
                      </w:r>
                      <w:r>
                        <w:rPr>
                          <w:rFonts w:hint="eastAsia" w:ascii="Times New Roman" w:hAnsi="Times New Roman"/>
                          <w:bCs/>
                          <w:sz w:val="30"/>
                          <w:szCs w:val="30"/>
                        </w:rPr>
                        <w:t>wasted</w:t>
                      </w:r>
                      <w:r>
                        <w:rPr>
                          <w:rFonts w:ascii="Times New Roman" w:hAnsi="Times New Roman"/>
                          <w:bCs/>
                          <w:sz w:val="30"/>
                          <w:szCs w:val="30"/>
                        </w:rPr>
                        <w:t xml:space="preserve"> acid slag in lead and zinc smelting</w:t>
                      </w:r>
                    </w:p>
                    <w:p>
                      <w:pPr>
                        <w:pStyle w:val="31"/>
                        <w:rPr>
                          <w:rFonts w:ascii="Times New Roman"/>
                          <w:b/>
                          <w:sz w:val="30"/>
                          <w:szCs w:val="30"/>
                        </w:rPr>
                      </w:pPr>
                      <w:r>
                        <w:rPr>
                          <w:rFonts w:ascii="Times New Roman"/>
                          <w:b/>
                          <w:sz w:val="30"/>
                          <w:szCs w:val="30"/>
                        </w:rPr>
                        <w:t>（</w:t>
                      </w:r>
                      <w:r>
                        <w:rPr>
                          <w:rFonts w:hint="eastAsia" w:ascii="Times New Roman"/>
                          <w:b/>
                          <w:sz w:val="30"/>
                          <w:szCs w:val="30"/>
                          <w:lang w:eastAsia="zh-CN"/>
                        </w:rPr>
                        <w:t>预审</w:t>
                      </w:r>
                      <w:r>
                        <w:rPr>
                          <w:rFonts w:ascii="Times New Roman"/>
                          <w:b/>
                          <w:sz w:val="30"/>
                          <w:szCs w:val="30"/>
                        </w:rPr>
                        <w:t>稿）</w:t>
                      </w:r>
                    </w:p>
                  </w:txbxContent>
                </v:textbox>
                <w10:anchorlock/>
              </v:shape>
            </w:pict>
          </mc:Fallback>
        </mc:AlternateContent>
      </w: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r>
        <w:rPr>
          <w:rFonts w:ascii="Times New Roman" w:hAnsi="Times New Roman"/>
          <w:color w:val="000000"/>
        </w:rPr>
        <mc:AlternateContent>
          <mc:Choice Requires="wps">
            <w:drawing>
              <wp:anchor distT="0" distB="0" distL="114300" distR="114300" simplePos="0" relativeHeight="251658240" behindDoc="0" locked="1" layoutInCell="1" allowOverlap="1">
                <wp:simplePos x="0" y="0"/>
                <wp:positionH relativeFrom="margin">
                  <wp:posOffset>3836035</wp:posOffset>
                </wp:positionH>
                <wp:positionV relativeFrom="margin">
                  <wp:posOffset>7323455</wp:posOffset>
                </wp:positionV>
                <wp:extent cx="2019300" cy="312420"/>
                <wp:effectExtent l="0" t="0" r="2540" b="3175"/>
                <wp:wrapNone/>
                <wp:docPr id="11"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33"/>
                            </w:pPr>
                            <w:r>
                              <w:t>2021-xx-xx</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02.05pt;margin-top:576.65pt;height:24.6pt;width:159pt;mso-position-horizontal-relative:margin;mso-position-vertical-relative:margin;z-index:251658240;mso-width-relative:page;mso-height-relative:page;" fillcolor="#FFFFFF" filled="t" stroked="f" coordsize="21600,21600" o:gfxdata="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0Pw3t2QAAAA0BAAAPAAAAAAAAAAEAIAAAACIAAABkcnMvZG93bnJldi54bWxQSwEC&#10;FAAUAAAACACHTuJAY7j+s/MBAADeAwAADgAAAAAAAAABACAAAAAoAQAAZHJzL2Uyb0RvYy54bWxQ&#10;SwUGAAAAAAYABgBZAQAAjQUAAAAA&#10;">
                <v:fill on="t" focussize="0,0"/>
                <v:stroke on="f"/>
                <v:imagedata o:title=""/>
                <o:lock v:ext="edit" aspectratio="f"/>
                <v:textbox inset="0mm,0mm,0mm,0mm">
                  <w:txbxContent>
                    <w:p>
                      <w:pPr>
                        <w:pStyle w:val="33"/>
                      </w:pPr>
                      <w:r>
                        <w:t>2021-xx-xx</w:t>
                      </w:r>
                      <w:r>
                        <w:rPr>
                          <w:rFonts w:hint="eastAsia"/>
                        </w:rPr>
                        <w:t>实施</w:t>
                      </w:r>
                    </w:p>
                  </w:txbxContent>
                </v:textbox>
                <w10:anchorlock/>
              </v:shape>
            </w:pict>
          </mc:Fallback>
        </mc:AlternateContent>
      </w:r>
      <w:r>
        <w:rPr>
          <w:rFonts w:ascii="Times New Roman" w:hAnsi="Times New Roman"/>
          <w:color w:val="000000"/>
        </w:rPr>
        <mc:AlternateContent>
          <mc:Choice Requires="wps">
            <w:drawing>
              <wp:anchor distT="0" distB="0" distL="114300" distR="114300" simplePos="0" relativeHeight="251659264" behindDoc="0" locked="1" layoutInCell="1" allowOverlap="1">
                <wp:simplePos x="0" y="0"/>
                <wp:positionH relativeFrom="margin">
                  <wp:posOffset>-278765</wp:posOffset>
                </wp:positionH>
                <wp:positionV relativeFrom="margin">
                  <wp:posOffset>7350125</wp:posOffset>
                </wp:positionV>
                <wp:extent cx="2019300" cy="312420"/>
                <wp:effectExtent l="0" t="0" r="2540" b="0"/>
                <wp:wrapNone/>
                <wp:docPr id="10"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32"/>
                            </w:pPr>
                            <w:r>
                              <w:t>2021-xx-xx</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21.95pt;margin-top:578.75pt;height:24.6pt;width:159pt;mso-position-horizontal-relative:margin;mso-position-vertical-relative:margin;z-index:251659264;mso-width-relative:page;mso-height-relative:page;" fillcolor="#FFFFFF" filled="t" stroked="f" coordsize="21600,21600" o:gfxdata="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2m6cd3AAAAA0BAAAPAAAAAAAAAAEAIAAAACIAAABkcnMvZG93bnJldi54bWxQ&#10;SwECFAAUAAAACACHTuJAnVq5dPMBAADeAwAADgAAAAAAAAABACAAAAArAQAAZHJzL2Uyb0RvYy54&#10;bWxQSwUGAAAAAAYABgBZAQAAkAUAAAAA&#10;">
                <v:fill on="t" focussize="0,0"/>
                <v:stroke on="f"/>
                <v:imagedata o:title=""/>
                <o:lock v:ext="edit" aspectratio="f"/>
                <v:textbox inset="0mm,0mm,0mm,0mm">
                  <w:txbxContent>
                    <w:p>
                      <w:pPr>
                        <w:pStyle w:val="32"/>
                      </w:pPr>
                      <w:r>
                        <w:t>2021-xx-xx</w:t>
                      </w:r>
                      <w:r>
                        <w:rPr>
                          <w:rFonts w:hint="eastAsia"/>
                        </w:rPr>
                        <w:t>发布</w:t>
                      </w:r>
                    </w:p>
                  </w:txbxContent>
                </v:textbox>
                <w10:anchorlock/>
              </v:shape>
            </w:pict>
          </mc:Fallback>
        </mc:AlternateContent>
      </w:r>
    </w:p>
    <w:p>
      <w:pPr>
        <w:rPr>
          <w:rFonts w:ascii="Times New Roman" w:hAnsi="Times New Roman"/>
          <w:color w:val="000000"/>
          <w:sz w:val="28"/>
          <w:szCs w:val="28"/>
        </w:rPr>
      </w:pPr>
      <w:r>
        <w:rPr>
          <w:rFonts w:ascii="Times New Roman" w:hAnsi="Times New Roman"/>
          <w:color w:val="000000"/>
        </w:rPr>
        <mc:AlternateContent>
          <mc:Choice Requires="wps">
            <w:drawing>
              <wp:anchor distT="0" distB="0" distL="114300" distR="114300" simplePos="0" relativeHeight="251660288" behindDoc="0" locked="0" layoutInCell="1" allowOverlap="1">
                <wp:simplePos x="0" y="0"/>
                <wp:positionH relativeFrom="column">
                  <wp:posOffset>-278765</wp:posOffset>
                </wp:positionH>
                <wp:positionV relativeFrom="paragraph">
                  <wp:posOffset>217805</wp:posOffset>
                </wp:positionV>
                <wp:extent cx="6121400" cy="0"/>
                <wp:effectExtent l="6985" t="10160" r="15240" b="8890"/>
                <wp:wrapNone/>
                <wp:docPr id="9"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10" o:spid="_x0000_s1026" o:spt="20" style="position:absolute;left:0pt;margin-left:-21.95pt;margin-top:17.15pt;height:0pt;width:482pt;z-index:251660288;mso-width-relative:page;mso-height-relative:page;" filled="f" stroked="t" coordsize="21600,21600" o:gfxdata="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ieR2DY&#10;AAAACQEAAA8AAAAAAAAAAQAgAAAAIgAAAGRycy9kb3ducmV2LnhtbFBLAQIUABQAAAAIAIdO4kDR&#10;dwP3rgEAAFMDAAAOAAAAAAAAAAEAIAAAACcBAABkcnMvZTJvRG9jLnhtbFBLBQYAAAAABgAGAFkB&#10;AABHBQAAAAA=&#10;">
                <v:fill on="f" focussize="0,0"/>
                <v:stroke weight="1pt" color="#FFFFFF" joinstyle="round"/>
                <v:imagedata o:title=""/>
                <o:lock v:ext="edit" aspectratio="f"/>
              </v:line>
            </w:pict>
          </mc:Fallback>
        </mc:AlternateContent>
      </w:r>
    </w:p>
    <w:p>
      <w:pPr>
        <w:pStyle w:val="38"/>
        <w:jc w:val="center"/>
        <w:rPr>
          <w:rFonts w:ascii="Times New Roman" w:hAnsi="Times New Roman"/>
          <w:color w:val="000000"/>
        </w:rPr>
        <w:sectPr>
          <w:pgSz w:w="11906" w:h="16838"/>
          <w:pgMar w:top="1440" w:right="1800" w:bottom="1440" w:left="1800" w:header="851" w:footer="992" w:gutter="0"/>
          <w:cols w:space="425" w:num="1"/>
          <w:docGrid w:type="lines" w:linePitch="312" w:charSpace="0"/>
        </w:sectPr>
      </w:pPr>
      <w:r>
        <w:rPr>
          <w:rFonts w:ascii="Times New Roman" w:hAnsi="Times New Roman"/>
          <w:color w:val="000000"/>
        </w:rPr>
        <mc:AlternateContent>
          <mc:Choice Requires="wps">
            <w:drawing>
              <wp:anchor distT="0" distB="0" distL="114300" distR="114300" simplePos="0" relativeHeight="251661312" behindDoc="0" locked="0" layoutInCell="1" allowOverlap="1">
                <wp:simplePos x="0" y="0"/>
                <wp:positionH relativeFrom="column">
                  <wp:posOffset>4330065</wp:posOffset>
                </wp:positionH>
                <wp:positionV relativeFrom="paragraph">
                  <wp:posOffset>1967230</wp:posOffset>
                </wp:positionV>
                <wp:extent cx="781050" cy="390525"/>
                <wp:effectExtent l="0" t="3175" r="3810" b="0"/>
                <wp:wrapNone/>
                <wp:docPr id="8" name="文本框 67"/>
                <wp:cNvGraphicFramePr/>
                <a:graphic xmlns:a="http://schemas.openxmlformats.org/drawingml/2006/main">
                  <a:graphicData uri="http://schemas.microsoft.com/office/word/2010/wordprocessingShape">
                    <wps:wsp>
                      <wps:cNvSpPr txBox="1">
                        <a:spLocks noChangeArrowheads="1"/>
                      </wps:cNvSpPr>
                      <wps:spPr bwMode="auto">
                        <a:xfrm>
                          <a:off x="0" y="0"/>
                          <a:ext cx="781050" cy="390525"/>
                        </a:xfrm>
                        <a:prstGeom prst="rect">
                          <a:avLst/>
                        </a:prstGeom>
                        <a:noFill/>
                        <a:ln>
                          <a:noFill/>
                        </a:ln>
                      </wps:spPr>
                      <wps:txbx>
                        <w:txbxContent>
                          <w:p>
                            <w:pPr>
                              <w:rPr>
                                <w:rFonts w:ascii="黑体" w:hAnsi="黑体" w:eastAsia="黑体"/>
                                <w:spacing w:val="20"/>
                                <w:w w:val="135"/>
                                <w:kern w:val="0"/>
                                <w:sz w:val="28"/>
                                <w:szCs w:val="20"/>
                              </w:rPr>
                            </w:pPr>
                            <w:r>
                              <w:rPr>
                                <w:rFonts w:hint="eastAsia" w:ascii="黑体" w:hAnsi="黑体" w:eastAsia="黑体"/>
                                <w:spacing w:val="20"/>
                                <w:w w:val="135"/>
                                <w:szCs w:val="20"/>
                              </w:rPr>
                              <w:t>发布</w:t>
                            </w:r>
                          </w:p>
                        </w:txbxContent>
                      </wps:txbx>
                      <wps:bodyPr rot="0" vert="horz" wrap="square" lIns="91440" tIns="45720" rIns="91440" bIns="45720" anchor="t" anchorCtr="0" upright="1">
                        <a:noAutofit/>
                      </wps:bodyPr>
                    </wps:wsp>
                  </a:graphicData>
                </a:graphic>
              </wp:anchor>
            </w:drawing>
          </mc:Choice>
          <mc:Fallback>
            <w:pict>
              <v:shape id="文本框 67" o:spid="_x0000_s1026" o:spt="202" type="#_x0000_t202" style="position:absolute;left:0pt;margin-left:340.95pt;margin-top:154.9pt;height:30.75pt;width:61.5pt;z-index:251661312;mso-width-relative:page;mso-height-relative:page;" filled="f" stroked="f" coordsize="21600,21600" o:gfxdata="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q9jvNcAAAALAQAADwAAAAAAAAABACAAAAAiAAAAZHJzL2Rvd25yZXYu&#10;eG1sUEsBAhQAFAAAAAgAh07iQJi8YH/8AQAAxwMAAA4AAAAAAAAAAQAgAAAAJgEAAGRycy9lMm9E&#10;b2MueG1sUEsFBgAAAAAGAAYAWQEAAJQFAAAAAA==&#10;">
                <v:fill on="f" focussize="0,0"/>
                <v:stroke on="f"/>
                <v:imagedata o:title=""/>
                <o:lock v:ext="edit" aspectratio="f"/>
                <v:textbox>
                  <w:txbxContent>
                    <w:p>
                      <w:pPr>
                        <w:rPr>
                          <w:rFonts w:ascii="黑体" w:hAnsi="黑体" w:eastAsia="黑体"/>
                          <w:spacing w:val="20"/>
                          <w:w w:val="135"/>
                          <w:kern w:val="0"/>
                          <w:sz w:val="28"/>
                          <w:szCs w:val="20"/>
                        </w:rPr>
                      </w:pPr>
                      <w:r>
                        <w:rPr>
                          <w:rFonts w:hint="eastAsia" w:ascii="黑体" w:hAnsi="黑体" w:eastAsia="黑体"/>
                          <w:spacing w:val="20"/>
                          <w:w w:val="135"/>
                          <w:szCs w:val="20"/>
                        </w:rPr>
                        <w:t>发布</w:t>
                      </w:r>
                    </w:p>
                  </w:txbxContent>
                </v:textbox>
              </v:shape>
            </w:pict>
          </mc:Fallback>
        </mc:AlternateContent>
      </w:r>
      <w:r>
        <w:rPr>
          <w:rFonts w:ascii="Times New Roman" w:hAnsi="Times New Roman"/>
          <w:color w:val="000000"/>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1508760</wp:posOffset>
                </wp:positionV>
                <wp:extent cx="6200775" cy="0"/>
                <wp:effectExtent l="9525" t="11430" r="9525" b="7620"/>
                <wp:wrapNone/>
                <wp:docPr id="7" name="自选图形 11"/>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 id="自选图形 11" o:spid="_x0000_s1026" o:spt="32" type="#_x0000_t32" style="position:absolute;left:0pt;margin-left:-25.5pt;margin-top:118.8pt;height:0pt;width:488.25pt;z-index:251662336;mso-width-relative:page;mso-height-relative:page;" filled="f" stroked="t" coordsize="21600,21600" o:gfxdata="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u9H6D2AAAAAsBAAAPAAAAAAAAAAEAIAAAACIA&#10;AABkcnMvZG93bnJldi54bWxQSwECFAAUAAAACACHTuJA/nrbDdABAABoAwAADgAAAAAAAAABACAA&#10;AAAnAQAAZHJzL2Uyb0RvYy54bWxQSwUGAAAAAAYABgBZAQAAaQUAAAAA&#10;">
                <v:fill on="f" focussize="0,0"/>
                <v:stroke color="#000000" joinstyle="round"/>
                <v:imagedata o:title=""/>
                <o:lock v:ext="edit" aspectratio="f"/>
              </v:shape>
            </w:pict>
          </mc:Fallback>
        </mc:AlternateContent>
      </w:r>
      <w:r>
        <w:rPr>
          <w:rFonts w:ascii="Times New Roman" w:hAnsi="Times New Roman"/>
          <w:color w:val="000000"/>
        </w:rPr>
        <mc:AlternateContent>
          <mc:Choice Requires="wps">
            <w:drawing>
              <wp:anchor distT="0" distB="0" distL="114300" distR="114300" simplePos="0" relativeHeight="251663360" behindDoc="0" locked="1" layoutInCell="1" allowOverlap="1">
                <wp:simplePos x="0" y="0"/>
                <wp:positionH relativeFrom="margin">
                  <wp:posOffset>956945</wp:posOffset>
                </wp:positionH>
                <wp:positionV relativeFrom="margin">
                  <wp:posOffset>8100060</wp:posOffset>
                </wp:positionV>
                <wp:extent cx="3936365" cy="786130"/>
                <wp:effectExtent l="4445" t="3810" r="2540" b="635"/>
                <wp:wrapNone/>
                <wp:docPr id="6" name="fmFrame7"/>
                <wp:cNvGraphicFramePr/>
                <a:graphic xmlns:a="http://schemas.openxmlformats.org/drawingml/2006/main">
                  <a:graphicData uri="http://schemas.microsoft.com/office/word/2010/wordprocessingShape">
                    <wps:wsp>
                      <wps:cNvSpPr txBox="1">
                        <a:spLocks noChangeArrowheads="1"/>
                      </wps:cNvSpPr>
                      <wps:spPr bwMode="auto">
                        <a:xfrm>
                          <a:off x="0" y="0"/>
                          <a:ext cx="3936365" cy="786130"/>
                        </a:xfrm>
                        <a:prstGeom prst="rect">
                          <a:avLst/>
                        </a:prstGeom>
                        <a:solidFill>
                          <a:srgbClr val="FFFFFF"/>
                        </a:solidFill>
                        <a:ln>
                          <a:noFill/>
                        </a:ln>
                      </wps:spPr>
                      <wps:txbx>
                        <w:txbxContent>
                          <w:p>
                            <w:pPr>
                              <w:pStyle w:val="35"/>
                              <w:jc w:val="both"/>
                              <w:rPr>
                                <w:spacing w:val="0"/>
                                <w:sz w:val="28"/>
                                <w:szCs w:val="28"/>
                              </w:rPr>
                            </w:pPr>
                            <w:r>
                              <w:rPr>
                                <w:rFonts w:hint="eastAsia"/>
                                <w:spacing w:val="0"/>
                                <w:sz w:val="28"/>
                                <w:szCs w:val="28"/>
                              </w:rPr>
                              <w:t>中国有色金属工业协会</w:t>
                            </w:r>
                            <w:r>
                              <w:rPr>
                                <w:rFonts w:hint="eastAsia"/>
                                <w:spacing w:val="0"/>
                                <w:sz w:val="28"/>
                                <w:szCs w:val="28"/>
                                <w:lang w:val="en-US" w:eastAsia="zh-CN"/>
                              </w:rPr>
                              <w:t xml:space="preserve">   发布</w:t>
                            </w:r>
                            <w:r>
                              <w:rPr>
                                <w:spacing w:val="0"/>
                                <w:sz w:val="28"/>
                                <w:szCs w:val="28"/>
                              </w:rPr>
                              <w:t xml:space="preserve"> </w:t>
                            </w:r>
                          </w:p>
                          <w:p>
                            <w:pPr>
                              <w:pStyle w:val="35"/>
                              <w:jc w:val="both"/>
                              <w:rPr>
                                <w:sz w:val="28"/>
                                <w:szCs w:val="28"/>
                              </w:rPr>
                            </w:pPr>
                            <w:r>
                              <w:rPr>
                                <w:rFonts w:hint="eastAsia"/>
                                <w:spacing w:val="0"/>
                                <w:w w:val="130"/>
                                <w:sz w:val="28"/>
                                <w:szCs w:val="28"/>
                              </w:rPr>
                              <w:t>中国有色金属学会</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75.35pt;margin-top:637.8pt;height:61.9pt;width:309.95pt;mso-position-horizontal-relative:margin;mso-position-vertical-relative:margin;z-index:251663360;mso-width-relative:page;mso-height-relative:page;" fillcolor="#FFFFFF" filled="t" stroked="f" coordsize="21600,21600" o:gfxdata="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7/NQ9oAAAANAQAADwAAAAAAAAABACAAAAAiAAAAZHJzL2Rvd25yZXYueG1s&#10;UEsBAhQAFAAAAAgAh07iQBSFOEH2AQAA3QMAAA4AAAAAAAAAAQAgAAAAKQEAAGRycy9lMm9Eb2Mu&#10;eG1sUEsFBgAAAAAGAAYAWQEAAJEFAAAAAA==&#10;">
                <v:fill on="t" focussize="0,0"/>
                <v:stroke on="f"/>
                <v:imagedata o:title=""/>
                <o:lock v:ext="edit" aspectratio="f"/>
                <v:textbox inset="0mm,0mm,0mm,0mm">
                  <w:txbxContent>
                    <w:p>
                      <w:pPr>
                        <w:pStyle w:val="35"/>
                        <w:jc w:val="both"/>
                        <w:rPr>
                          <w:spacing w:val="0"/>
                          <w:sz w:val="28"/>
                          <w:szCs w:val="28"/>
                        </w:rPr>
                      </w:pPr>
                      <w:r>
                        <w:rPr>
                          <w:rFonts w:hint="eastAsia"/>
                          <w:spacing w:val="0"/>
                          <w:sz w:val="28"/>
                          <w:szCs w:val="28"/>
                        </w:rPr>
                        <w:t>中国有色金属工业协会</w:t>
                      </w:r>
                      <w:r>
                        <w:rPr>
                          <w:rFonts w:hint="eastAsia"/>
                          <w:spacing w:val="0"/>
                          <w:sz w:val="28"/>
                          <w:szCs w:val="28"/>
                          <w:lang w:val="en-US" w:eastAsia="zh-CN"/>
                        </w:rPr>
                        <w:t xml:space="preserve">   发布</w:t>
                      </w:r>
                      <w:r>
                        <w:rPr>
                          <w:spacing w:val="0"/>
                          <w:sz w:val="28"/>
                          <w:szCs w:val="28"/>
                        </w:rPr>
                        <w:t xml:space="preserve"> </w:t>
                      </w:r>
                    </w:p>
                    <w:p>
                      <w:pPr>
                        <w:pStyle w:val="35"/>
                        <w:jc w:val="both"/>
                        <w:rPr>
                          <w:sz w:val="28"/>
                          <w:szCs w:val="28"/>
                        </w:rPr>
                      </w:pPr>
                      <w:r>
                        <w:rPr>
                          <w:rFonts w:hint="eastAsia"/>
                          <w:spacing w:val="0"/>
                          <w:w w:val="130"/>
                          <w:sz w:val="28"/>
                          <w:szCs w:val="28"/>
                        </w:rPr>
                        <w:t>中国有色金属学会</w:t>
                      </w:r>
                    </w:p>
                  </w:txbxContent>
                </v:textbox>
                <w10:anchorlock/>
              </v:shape>
            </w:pict>
          </mc:Fallback>
        </mc:AlternateContent>
      </w:r>
    </w:p>
    <w:p>
      <w:pPr>
        <w:pStyle w:val="38"/>
        <w:jc w:val="center"/>
        <w:rPr>
          <w:rFonts w:ascii="Times New Roman" w:hAnsi="Times New Roman"/>
          <w:color w:val="000000"/>
          <w:sz w:val="30"/>
          <w:szCs w:val="30"/>
        </w:rPr>
      </w:pPr>
      <w:r>
        <w:rPr>
          <w:rFonts w:ascii="Times New Roman" w:hAnsi="Times New Roman"/>
          <w:color w:val="000000"/>
          <w:sz w:val="30"/>
          <w:szCs w:val="30"/>
          <w:lang w:val="zh-CN"/>
        </w:rPr>
        <w:t>目次</w:t>
      </w:r>
    </w:p>
    <w:p>
      <w:pPr>
        <w:pStyle w:val="9"/>
        <w:tabs>
          <w:tab w:val="right" w:leader="dot" w:pos="8296"/>
        </w:tabs>
      </w:pPr>
      <w:r>
        <w:rPr>
          <w:rFonts w:ascii="Times New Roman" w:hAnsi="Times New Roman"/>
          <w:color w:val="000000"/>
          <w:szCs w:val="21"/>
        </w:rPr>
        <w:fldChar w:fldCharType="begin"/>
      </w:r>
      <w:r>
        <w:rPr>
          <w:rFonts w:ascii="Times New Roman" w:hAnsi="Times New Roman"/>
          <w:color w:val="000000"/>
          <w:szCs w:val="21"/>
        </w:rPr>
        <w:instrText xml:space="preserve"> TOC \o "1-2" \h \z \u </w:instrText>
      </w:r>
      <w:r>
        <w:rPr>
          <w:rFonts w:ascii="Times New Roman" w:hAnsi="Times New Roman"/>
          <w:color w:val="000000"/>
          <w:szCs w:val="21"/>
        </w:rPr>
        <w:fldChar w:fldCharType="separate"/>
      </w:r>
      <w:r>
        <w:fldChar w:fldCharType="begin"/>
      </w:r>
      <w:r>
        <w:instrText xml:space="preserve"> HYPERLINK \l "_Toc101716258" </w:instrText>
      </w:r>
      <w:r>
        <w:fldChar w:fldCharType="separate"/>
      </w:r>
      <w:r>
        <w:rPr>
          <w:rStyle w:val="18"/>
          <w:rFonts w:ascii="Times New Roman" w:hAnsi="Times New Roman"/>
          <w:b/>
        </w:rPr>
        <w:t>前言</w:t>
      </w:r>
      <w:r>
        <w:tab/>
      </w:r>
      <w:r>
        <w:fldChar w:fldCharType="begin"/>
      </w:r>
      <w:r>
        <w:instrText xml:space="preserve"> PAGEREF _Toc101716258 \h </w:instrText>
      </w:r>
      <w:r>
        <w:fldChar w:fldCharType="separate"/>
      </w:r>
      <w:r>
        <w:t>I</w:t>
      </w:r>
      <w:r>
        <w:fldChar w:fldCharType="end"/>
      </w:r>
      <w:r>
        <w:fldChar w:fldCharType="end"/>
      </w:r>
    </w:p>
    <w:p>
      <w:pPr>
        <w:pStyle w:val="11"/>
        <w:tabs>
          <w:tab w:val="right" w:leader="dot" w:pos="8296"/>
        </w:tabs>
      </w:pPr>
      <w:r>
        <w:fldChar w:fldCharType="begin"/>
      </w:r>
      <w:r>
        <w:instrText xml:space="preserve"> HYPERLINK \l "_Toc101716259" </w:instrText>
      </w:r>
      <w:r>
        <w:fldChar w:fldCharType="separate"/>
      </w:r>
      <w:r>
        <w:rPr>
          <w:rStyle w:val="18"/>
        </w:rPr>
        <w:t>1</w:t>
      </w:r>
      <w:r>
        <w:rPr>
          <w:rStyle w:val="18"/>
          <w:rFonts w:ascii="Times New Roman"/>
        </w:rPr>
        <w:t xml:space="preserve"> 范围</w:t>
      </w:r>
      <w:r>
        <w:tab/>
      </w:r>
      <w:r>
        <w:fldChar w:fldCharType="begin"/>
      </w:r>
      <w:r>
        <w:instrText xml:space="preserve"> PAGEREF _Toc101716259 \h </w:instrText>
      </w:r>
      <w:r>
        <w:fldChar w:fldCharType="separate"/>
      </w:r>
      <w:r>
        <w:t>1</w:t>
      </w:r>
      <w:r>
        <w:fldChar w:fldCharType="end"/>
      </w:r>
      <w:r>
        <w:fldChar w:fldCharType="end"/>
      </w:r>
    </w:p>
    <w:p>
      <w:pPr>
        <w:pStyle w:val="11"/>
        <w:tabs>
          <w:tab w:val="right" w:leader="dot" w:pos="8296"/>
        </w:tabs>
      </w:pPr>
      <w:r>
        <w:fldChar w:fldCharType="begin"/>
      </w:r>
      <w:r>
        <w:instrText xml:space="preserve"> HYPERLINK \l "_Toc101716260" </w:instrText>
      </w:r>
      <w:r>
        <w:fldChar w:fldCharType="separate"/>
      </w:r>
      <w:r>
        <w:rPr>
          <w:rStyle w:val="18"/>
        </w:rPr>
        <w:t>2</w:t>
      </w:r>
      <w:r>
        <w:rPr>
          <w:rStyle w:val="18"/>
          <w:rFonts w:ascii="Times New Roman"/>
        </w:rPr>
        <w:t xml:space="preserve"> 规范性引用文件</w:t>
      </w:r>
      <w:r>
        <w:tab/>
      </w:r>
      <w:r>
        <w:fldChar w:fldCharType="begin"/>
      </w:r>
      <w:r>
        <w:instrText xml:space="preserve"> PAGEREF _Toc101716260 \h </w:instrText>
      </w:r>
      <w:r>
        <w:fldChar w:fldCharType="separate"/>
      </w:r>
      <w:r>
        <w:t>1</w:t>
      </w:r>
      <w:r>
        <w:fldChar w:fldCharType="end"/>
      </w:r>
      <w:r>
        <w:fldChar w:fldCharType="end"/>
      </w:r>
    </w:p>
    <w:p>
      <w:pPr>
        <w:pStyle w:val="11"/>
        <w:tabs>
          <w:tab w:val="right" w:leader="dot" w:pos="8296"/>
        </w:tabs>
      </w:pPr>
      <w:r>
        <w:fldChar w:fldCharType="begin"/>
      </w:r>
      <w:r>
        <w:instrText xml:space="preserve"> HYPERLINK \l "_Toc101716261" </w:instrText>
      </w:r>
      <w:r>
        <w:fldChar w:fldCharType="separate"/>
      </w:r>
      <w:r>
        <w:rPr>
          <w:rStyle w:val="18"/>
        </w:rPr>
        <w:t>3</w:t>
      </w:r>
      <w:r>
        <w:rPr>
          <w:rStyle w:val="18"/>
          <w:rFonts w:ascii="Times New Roman"/>
        </w:rPr>
        <w:t xml:space="preserve"> 术语和定义</w:t>
      </w:r>
      <w:r>
        <w:tab/>
      </w:r>
      <w:r>
        <w:fldChar w:fldCharType="begin"/>
      </w:r>
      <w:r>
        <w:instrText xml:space="preserve"> PAGEREF _Toc101716261 \h </w:instrText>
      </w:r>
      <w:r>
        <w:fldChar w:fldCharType="separate"/>
      </w:r>
      <w:r>
        <w:t>1</w:t>
      </w:r>
      <w:r>
        <w:fldChar w:fldCharType="end"/>
      </w:r>
      <w:r>
        <w:fldChar w:fldCharType="end"/>
      </w:r>
    </w:p>
    <w:p>
      <w:pPr>
        <w:pStyle w:val="11"/>
        <w:tabs>
          <w:tab w:val="right" w:leader="dot" w:pos="8296"/>
        </w:tabs>
      </w:pPr>
      <w:r>
        <w:fldChar w:fldCharType="begin"/>
      </w:r>
      <w:r>
        <w:instrText xml:space="preserve"> HYPERLINK \l "_Toc101716262" </w:instrText>
      </w:r>
      <w:r>
        <w:fldChar w:fldCharType="separate"/>
      </w:r>
      <w:r>
        <w:rPr>
          <w:rStyle w:val="18"/>
        </w:rPr>
        <w:t>4</w:t>
      </w:r>
      <w:r>
        <w:rPr>
          <w:rStyle w:val="18"/>
          <w:rFonts w:ascii="Times New Roman"/>
        </w:rPr>
        <w:t xml:space="preserve"> 总体要求</w:t>
      </w:r>
      <w:r>
        <w:tab/>
      </w:r>
      <w:r>
        <w:fldChar w:fldCharType="begin"/>
      </w:r>
      <w:r>
        <w:instrText xml:space="preserve"> PAGEREF _Toc101716262 \h </w:instrText>
      </w:r>
      <w:r>
        <w:fldChar w:fldCharType="separate"/>
      </w:r>
      <w:r>
        <w:t>2</w:t>
      </w:r>
      <w:r>
        <w:fldChar w:fldCharType="end"/>
      </w:r>
      <w:r>
        <w:fldChar w:fldCharType="end"/>
      </w:r>
    </w:p>
    <w:p>
      <w:pPr>
        <w:pStyle w:val="11"/>
        <w:tabs>
          <w:tab w:val="right" w:leader="dot" w:pos="8296"/>
        </w:tabs>
      </w:pPr>
      <w:r>
        <w:fldChar w:fldCharType="begin"/>
      </w:r>
      <w:r>
        <w:instrText xml:space="preserve"> HYPERLINK \l "_Toc101716263" </w:instrText>
      </w:r>
      <w:r>
        <w:fldChar w:fldCharType="separate"/>
      </w:r>
      <w:r>
        <w:rPr>
          <w:rStyle w:val="18"/>
        </w:rPr>
        <w:t>5</w:t>
      </w:r>
      <w:r>
        <w:rPr>
          <w:rStyle w:val="18"/>
          <w:rFonts w:ascii="Times New Roman"/>
        </w:rPr>
        <w:t xml:space="preserve"> 工艺设计</w:t>
      </w:r>
      <w:r>
        <w:tab/>
      </w:r>
      <w:r>
        <w:fldChar w:fldCharType="begin"/>
      </w:r>
      <w:r>
        <w:instrText xml:space="preserve"> PAGEREF _Toc101716263 \h </w:instrText>
      </w:r>
      <w:r>
        <w:fldChar w:fldCharType="separate"/>
      </w:r>
      <w:r>
        <w:t>2</w:t>
      </w:r>
      <w:r>
        <w:fldChar w:fldCharType="end"/>
      </w:r>
      <w:r>
        <w:fldChar w:fldCharType="end"/>
      </w:r>
    </w:p>
    <w:p>
      <w:pPr>
        <w:pStyle w:val="11"/>
        <w:tabs>
          <w:tab w:val="right" w:leader="dot" w:pos="8296"/>
        </w:tabs>
      </w:pPr>
      <w:r>
        <w:fldChar w:fldCharType="begin"/>
      </w:r>
      <w:r>
        <w:instrText xml:space="preserve"> HYPERLINK \l "_Toc101716264" </w:instrText>
      </w:r>
      <w:r>
        <w:fldChar w:fldCharType="separate"/>
      </w:r>
      <w:r>
        <w:rPr>
          <w:rStyle w:val="18"/>
        </w:rPr>
        <w:t>6</w:t>
      </w:r>
      <w:r>
        <w:rPr>
          <w:rStyle w:val="18"/>
          <w:rFonts w:ascii="Times New Roman"/>
        </w:rPr>
        <w:t xml:space="preserve"> 主要工艺设备和材料</w:t>
      </w:r>
      <w:r>
        <w:tab/>
      </w:r>
      <w:r>
        <w:fldChar w:fldCharType="begin"/>
      </w:r>
      <w:r>
        <w:instrText xml:space="preserve"> PAGEREF _Toc101716264 \h </w:instrText>
      </w:r>
      <w:r>
        <w:fldChar w:fldCharType="separate"/>
      </w:r>
      <w:r>
        <w:t>5</w:t>
      </w:r>
      <w:r>
        <w:fldChar w:fldCharType="end"/>
      </w:r>
      <w:r>
        <w:fldChar w:fldCharType="end"/>
      </w:r>
    </w:p>
    <w:p>
      <w:pPr>
        <w:pStyle w:val="11"/>
        <w:tabs>
          <w:tab w:val="right" w:leader="dot" w:pos="8296"/>
        </w:tabs>
      </w:pPr>
      <w:r>
        <w:fldChar w:fldCharType="begin"/>
      </w:r>
      <w:r>
        <w:instrText xml:space="preserve"> HYPERLINK \l "_Toc101716265" </w:instrText>
      </w:r>
      <w:r>
        <w:fldChar w:fldCharType="separate"/>
      </w:r>
      <w:r>
        <w:rPr>
          <w:rStyle w:val="18"/>
        </w:rPr>
        <w:t>7</w:t>
      </w:r>
      <w:r>
        <w:rPr>
          <w:rStyle w:val="18"/>
          <w:rFonts w:ascii="Times New Roman"/>
        </w:rPr>
        <w:t xml:space="preserve"> 检测与过程控制</w:t>
      </w:r>
      <w:r>
        <w:tab/>
      </w:r>
      <w:r>
        <w:fldChar w:fldCharType="begin"/>
      </w:r>
      <w:r>
        <w:instrText xml:space="preserve"> PAGEREF _Toc101716265 \h </w:instrText>
      </w:r>
      <w:r>
        <w:fldChar w:fldCharType="separate"/>
      </w:r>
      <w:r>
        <w:t>6</w:t>
      </w:r>
      <w:r>
        <w:fldChar w:fldCharType="end"/>
      </w:r>
      <w:r>
        <w:fldChar w:fldCharType="end"/>
      </w:r>
    </w:p>
    <w:p>
      <w:pPr>
        <w:pStyle w:val="11"/>
        <w:tabs>
          <w:tab w:val="right" w:leader="dot" w:pos="8296"/>
        </w:tabs>
      </w:pPr>
      <w:r>
        <w:fldChar w:fldCharType="begin"/>
      </w:r>
      <w:r>
        <w:instrText xml:space="preserve"> HYPERLINK \l "_Toc101716266" </w:instrText>
      </w:r>
      <w:r>
        <w:fldChar w:fldCharType="separate"/>
      </w:r>
      <w:r>
        <w:rPr>
          <w:rStyle w:val="18"/>
        </w:rPr>
        <w:t>8</w:t>
      </w:r>
      <w:r>
        <w:rPr>
          <w:rStyle w:val="18"/>
          <w:rFonts w:ascii="Times New Roman"/>
        </w:rPr>
        <w:t xml:space="preserve"> 运行与维护</w:t>
      </w:r>
      <w:r>
        <w:tab/>
      </w:r>
      <w:r>
        <w:fldChar w:fldCharType="begin"/>
      </w:r>
      <w:r>
        <w:instrText xml:space="preserve"> PAGEREF _Toc101716266 \h </w:instrText>
      </w:r>
      <w:r>
        <w:fldChar w:fldCharType="separate"/>
      </w:r>
      <w:r>
        <w:t>6</w:t>
      </w:r>
      <w:r>
        <w:fldChar w:fldCharType="end"/>
      </w:r>
      <w:r>
        <w:fldChar w:fldCharType="end"/>
      </w:r>
    </w:p>
    <w:p>
      <w:pPr>
        <w:pStyle w:val="11"/>
        <w:tabs>
          <w:tab w:val="right" w:leader="dot" w:pos="8306"/>
        </w:tabs>
        <w:ind w:left="0" w:leftChars="0"/>
        <w:rPr>
          <w:rFonts w:ascii="Times New Roman" w:hAnsi="Times New Roman"/>
          <w:color w:val="000000"/>
        </w:rPr>
      </w:pPr>
      <w:r>
        <w:rPr>
          <w:rFonts w:ascii="Times New Roman" w:hAnsi="Times New Roman"/>
          <w:color w:val="000000"/>
          <w:szCs w:val="21"/>
        </w:rPr>
        <w:fldChar w:fldCharType="end"/>
      </w:r>
    </w:p>
    <w:p>
      <w:pPr>
        <w:widowControl/>
        <w:jc w:val="left"/>
        <w:rPr>
          <w:rFonts w:ascii="Times New Roman" w:hAnsi="Times New Roman"/>
          <w:color w:val="000000"/>
          <w:sz w:val="28"/>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widowControl/>
        <w:jc w:val="left"/>
        <w:rPr>
          <w:rFonts w:ascii="Times New Roman" w:hAnsi="Times New Roman"/>
          <w:color w:val="000000"/>
          <w:sz w:val="28"/>
        </w:rPr>
      </w:pPr>
    </w:p>
    <w:p>
      <w:pPr>
        <w:jc w:val="center"/>
        <w:outlineLvl w:val="0"/>
        <w:rPr>
          <w:rFonts w:ascii="Times New Roman" w:hAnsi="Times New Roman"/>
          <w:b/>
          <w:color w:val="000000"/>
          <w:sz w:val="28"/>
        </w:rPr>
      </w:pPr>
      <w:bookmarkStart w:id="0" w:name="_Toc101716258"/>
      <w:r>
        <w:rPr>
          <w:rFonts w:ascii="Times New Roman" w:hAnsi="Times New Roman"/>
          <w:b/>
          <w:color w:val="000000"/>
          <w:sz w:val="28"/>
        </w:rPr>
        <w:t>前言</w:t>
      </w:r>
      <w:bookmarkEnd w:id="0"/>
    </w:p>
    <w:p>
      <w:pPr>
        <w:ind w:firstLine="2730" w:firstLineChars="1300"/>
        <w:rPr>
          <w:rFonts w:ascii="Times New Roman" w:hAnsi="Times New Roman" w:eastAsia="黑体"/>
          <w:color w:val="000000"/>
        </w:rPr>
      </w:pPr>
    </w:p>
    <w:p>
      <w:pPr>
        <w:ind w:firstLine="420" w:firstLineChars="200"/>
        <w:rPr>
          <w:rFonts w:ascii="Times New Roman" w:hAnsi="Times New Roman"/>
          <w:color w:val="000000"/>
          <w:kern w:val="0"/>
          <w:szCs w:val="21"/>
        </w:rPr>
      </w:pPr>
      <w:r>
        <w:rPr>
          <w:rFonts w:ascii="Times New Roman" w:hAnsi="Times New Roman"/>
          <w:color w:val="000000"/>
          <w:kern w:val="0"/>
          <w:szCs w:val="21"/>
        </w:rPr>
        <w:t>本文件按照GB/T1.1-2020《标准化工作导则 第1部分：标准化文件的结构和起草规则》的规定起草。</w:t>
      </w:r>
    </w:p>
    <w:p>
      <w:pPr>
        <w:ind w:firstLine="420" w:firstLineChars="200"/>
        <w:rPr>
          <w:rFonts w:ascii="Times New Roman" w:hAnsi="Times New Roman"/>
          <w:color w:val="000000"/>
          <w:kern w:val="0"/>
          <w:szCs w:val="21"/>
        </w:rPr>
      </w:pPr>
      <w:r>
        <w:rPr>
          <w:rFonts w:ascii="Times New Roman" w:hAnsi="Times New Roman"/>
          <w:color w:val="000000"/>
        </w:rPr>
        <w:t>请注意本文件的某些内容可能涉及专利。本文件的发布机构不承担识别专利的责任。</w:t>
      </w:r>
    </w:p>
    <w:p>
      <w:pPr>
        <w:ind w:firstLine="420" w:firstLineChars="200"/>
        <w:rPr>
          <w:rFonts w:ascii="Times New Roman" w:hAnsi="Times New Roman"/>
          <w:color w:val="000000"/>
          <w:szCs w:val="21"/>
        </w:rPr>
      </w:pPr>
      <w:r>
        <w:rPr>
          <w:rFonts w:ascii="Times New Roman" w:hAnsi="Times New Roman"/>
          <w:color w:val="000000"/>
          <w:szCs w:val="21"/>
        </w:rPr>
        <w:t>本文件由工业和信息化部节能与综合利用司提出。</w:t>
      </w:r>
    </w:p>
    <w:p>
      <w:pPr>
        <w:ind w:firstLine="420" w:firstLineChars="200"/>
        <w:rPr>
          <w:rFonts w:ascii="Times New Roman" w:hAnsi="Times New Roman"/>
          <w:color w:val="000000"/>
          <w:szCs w:val="21"/>
        </w:rPr>
      </w:pPr>
      <w:r>
        <w:rPr>
          <w:rFonts w:ascii="Times New Roman" w:hAnsi="Times New Roman"/>
          <w:color w:val="000000"/>
          <w:szCs w:val="21"/>
        </w:rPr>
        <w:t>本文件由全国有色金属标准化技术委员会(SAC/TC243)归口。</w:t>
      </w:r>
    </w:p>
    <w:p>
      <w:pPr>
        <w:ind w:firstLine="420" w:firstLineChars="200"/>
        <w:rPr>
          <w:rFonts w:ascii="Times New Roman" w:hAnsi="Times New Roman"/>
          <w:color w:val="000000"/>
        </w:rPr>
      </w:pPr>
      <w:r>
        <w:rPr>
          <w:rFonts w:ascii="Times New Roman" w:hAnsi="Times New Roman"/>
          <w:color w:val="000000"/>
          <w:szCs w:val="21"/>
        </w:rPr>
        <w:t>本文件</w:t>
      </w:r>
      <w:r>
        <w:rPr>
          <w:rFonts w:ascii="Times New Roman" w:hAnsi="Times New Roman"/>
          <w:color w:val="000000"/>
        </w:rPr>
        <w:t>起草</w:t>
      </w:r>
      <w:r>
        <w:rPr>
          <w:rFonts w:ascii="Times New Roman" w:hAnsi="Times New Roman"/>
          <w:color w:val="000000"/>
          <w:szCs w:val="21"/>
        </w:rPr>
        <w:t>单位：清华大学、中国科学院过程工程研究所、湖南腾驰环保科技有限公司、中南大学、中冶长天国际工程有限责任公司</w:t>
      </w:r>
      <w:r>
        <w:rPr>
          <w:rFonts w:hint="eastAsia" w:ascii="Times New Roman" w:hAnsi="Times New Roman"/>
          <w:color w:val="000000"/>
          <w:szCs w:val="21"/>
        </w:rPr>
        <w:t>、清华苏州环境创新研究院</w:t>
      </w:r>
      <w:r>
        <w:rPr>
          <w:rFonts w:ascii="Times New Roman" w:hAnsi="Times New Roman"/>
          <w:color w:val="000000"/>
          <w:szCs w:val="21"/>
        </w:rPr>
        <w:t>。</w:t>
      </w:r>
    </w:p>
    <w:p>
      <w:pPr>
        <w:ind w:firstLine="420" w:firstLineChars="200"/>
        <w:rPr>
          <w:rFonts w:ascii="Times New Roman" w:hAnsi="Times New Roman"/>
          <w:color w:val="000000"/>
        </w:rPr>
      </w:pPr>
      <w:r>
        <w:rPr>
          <w:rFonts w:ascii="Times New Roman" w:hAnsi="Times New Roman"/>
          <w:color w:val="000000"/>
        </w:rPr>
        <w:t xml:space="preserve">本文件主要起草人： </w:t>
      </w:r>
    </w:p>
    <w:p>
      <w:pPr>
        <w:widowControl/>
        <w:jc w:val="center"/>
        <w:rPr>
          <w:rFonts w:ascii="Times New Roman" w:hAnsi="Times New Roman"/>
          <w:color w:val="000000"/>
          <w:sz w:val="24"/>
          <w:szCs w:val="28"/>
        </w:rPr>
        <w:sectPr>
          <w:footerReference r:id="rId5" w:type="default"/>
          <w:pgSz w:w="11906" w:h="16838"/>
          <w:pgMar w:top="1440" w:right="1800" w:bottom="1440" w:left="1800" w:header="851" w:footer="992" w:gutter="0"/>
          <w:pgNumType w:fmt="upperRoman" w:start="1"/>
          <w:cols w:space="425" w:num="1"/>
          <w:docGrid w:type="lines" w:linePitch="312" w:charSpace="0"/>
        </w:sectPr>
      </w:pPr>
    </w:p>
    <w:p>
      <w:pPr>
        <w:widowControl/>
        <w:jc w:val="center"/>
        <w:rPr>
          <w:rFonts w:ascii="Times New Roman" w:hAnsi="Times New Roman"/>
          <w:color w:val="000000"/>
          <w:sz w:val="22"/>
          <w:szCs w:val="24"/>
        </w:rPr>
      </w:pPr>
      <w:r>
        <w:rPr>
          <w:rFonts w:ascii="Times New Roman" w:hAnsi="Times New Roman" w:eastAsia="黑体"/>
          <w:color w:val="000000"/>
          <w:sz w:val="32"/>
          <w:szCs w:val="32"/>
        </w:rPr>
        <w:t>铅锌冶炼污酸渣资源化处置技术规范</w:t>
      </w:r>
    </w:p>
    <w:p>
      <w:pPr>
        <w:pStyle w:val="47"/>
        <w:numPr>
          <w:ilvl w:val="0"/>
          <w:numId w:val="3"/>
        </w:numPr>
        <w:spacing w:before="312" w:after="312"/>
        <w:rPr>
          <w:rFonts w:ascii="Times New Roman"/>
          <w:color w:val="000000"/>
          <w:szCs w:val="22"/>
        </w:rPr>
      </w:pPr>
      <w:bookmarkStart w:id="1" w:name="_Toc101716259"/>
      <w:r>
        <w:rPr>
          <w:rFonts w:ascii="Times New Roman"/>
          <w:color w:val="000000"/>
          <w:szCs w:val="22"/>
        </w:rPr>
        <w:t>范围</w:t>
      </w:r>
      <w:bookmarkEnd w:id="1"/>
    </w:p>
    <w:p>
      <w:pPr>
        <w:ind w:firstLine="420" w:firstLineChars="200"/>
        <w:jc w:val="left"/>
        <w:rPr>
          <w:rFonts w:ascii="Times New Roman" w:hAnsi="Times New Roman"/>
          <w:color w:val="000000"/>
          <w:szCs w:val="21"/>
        </w:rPr>
      </w:pPr>
      <w:r>
        <w:rPr>
          <w:rFonts w:ascii="Times New Roman" w:hAnsi="Times New Roman"/>
          <w:color w:val="000000"/>
          <w:szCs w:val="21"/>
        </w:rPr>
        <w:t>本文件规定了</w:t>
      </w:r>
      <w:bookmarkStart w:id="2" w:name="_Hlk100845136"/>
      <w:bookmarkStart w:id="3" w:name="_Hlk97049299"/>
      <w:r>
        <w:rPr>
          <w:rFonts w:ascii="Times New Roman" w:hAnsi="Times New Roman"/>
          <w:color w:val="000000"/>
          <w:szCs w:val="21"/>
        </w:rPr>
        <w:t>铅锌冶炼污酸渣</w:t>
      </w:r>
      <w:r>
        <w:rPr>
          <w:rFonts w:hint="eastAsia" w:ascii="Times New Roman" w:hAnsi="Times New Roman"/>
          <w:color w:val="000000"/>
          <w:szCs w:val="21"/>
        </w:rPr>
        <w:t>资源化</w:t>
      </w:r>
      <w:r>
        <w:rPr>
          <w:rFonts w:ascii="Times New Roman" w:hAnsi="Times New Roman"/>
          <w:color w:val="000000"/>
          <w:szCs w:val="21"/>
        </w:rPr>
        <w:t>处置</w:t>
      </w:r>
      <w:bookmarkEnd w:id="2"/>
      <w:r>
        <w:rPr>
          <w:rFonts w:ascii="Times New Roman" w:hAnsi="Times New Roman"/>
          <w:color w:val="000000"/>
          <w:szCs w:val="21"/>
        </w:rPr>
        <w:t>技术</w:t>
      </w:r>
      <w:bookmarkEnd w:id="3"/>
      <w:r>
        <w:rPr>
          <w:rFonts w:ascii="Times New Roman" w:hAnsi="Times New Roman"/>
          <w:color w:val="000000"/>
          <w:szCs w:val="21"/>
        </w:rPr>
        <w:t>规范的总体要求、工艺设计、主要工艺设备和材料、检测与过程控制、运行与维护的要求。</w:t>
      </w:r>
    </w:p>
    <w:p>
      <w:pPr>
        <w:ind w:firstLine="420" w:firstLineChars="200"/>
        <w:jc w:val="left"/>
        <w:rPr>
          <w:rFonts w:ascii="Times New Roman" w:hAnsi="Times New Roman"/>
          <w:color w:val="000000"/>
          <w:szCs w:val="21"/>
        </w:rPr>
      </w:pPr>
      <w:r>
        <w:rPr>
          <w:rFonts w:ascii="Times New Roman" w:hAnsi="Times New Roman"/>
          <w:color w:val="000000"/>
          <w:szCs w:val="21"/>
        </w:rPr>
        <w:t>本文件适用于铅锌冶炼工艺产生的污酸</w:t>
      </w:r>
      <w:r>
        <w:rPr>
          <w:rFonts w:hint="eastAsia" w:ascii="Times New Roman" w:hAnsi="Times New Roman"/>
          <w:color w:val="000000"/>
          <w:szCs w:val="21"/>
        </w:rPr>
        <w:t>治理和酸性废水治理过程产生的污酸</w:t>
      </w:r>
      <w:r>
        <w:rPr>
          <w:rFonts w:ascii="Times New Roman" w:hAnsi="Times New Roman"/>
          <w:color w:val="000000"/>
          <w:szCs w:val="21"/>
        </w:rPr>
        <w:t>渣的</w:t>
      </w:r>
      <w:r>
        <w:rPr>
          <w:rFonts w:hint="eastAsia" w:ascii="Times New Roman" w:hAnsi="Times New Roman"/>
          <w:color w:val="000000"/>
          <w:szCs w:val="21"/>
        </w:rPr>
        <w:t>资源化</w:t>
      </w:r>
      <w:r>
        <w:rPr>
          <w:rFonts w:ascii="Times New Roman" w:hAnsi="Times New Roman"/>
          <w:color w:val="000000"/>
          <w:szCs w:val="21"/>
        </w:rPr>
        <w:t>处置技术。</w:t>
      </w:r>
    </w:p>
    <w:p>
      <w:pPr>
        <w:pStyle w:val="47"/>
        <w:numPr>
          <w:ilvl w:val="0"/>
          <w:numId w:val="3"/>
        </w:numPr>
        <w:spacing w:before="312" w:after="312"/>
        <w:rPr>
          <w:rFonts w:ascii="Times New Roman"/>
          <w:color w:val="000000"/>
          <w:szCs w:val="22"/>
        </w:rPr>
      </w:pPr>
      <w:bookmarkStart w:id="4" w:name="_Toc101716260"/>
      <w:r>
        <w:rPr>
          <w:rFonts w:ascii="Times New Roman"/>
          <w:color w:val="000000"/>
          <w:szCs w:val="22"/>
        </w:rPr>
        <w:t>规范性引用文件</w:t>
      </w:r>
      <w:bookmarkEnd w:id="4"/>
    </w:p>
    <w:p>
      <w:pPr>
        <w:ind w:firstLine="420" w:firstLineChars="200"/>
        <w:jc w:val="left"/>
        <w:rPr>
          <w:rFonts w:ascii="Times New Roman" w:hAnsi="Times New Roman"/>
          <w:color w:val="000000"/>
          <w:szCs w:val="21"/>
        </w:rPr>
      </w:pPr>
      <w:r>
        <w:rPr>
          <w:rFonts w:ascii="Times New Roman" w:hAnsi="Times New Roman"/>
          <w:color w:val="000000"/>
          <w:szCs w:val="21"/>
        </w:rPr>
        <w:t>下列文件中的内容通过文中的规范性引用文件引用而构成本文件必不可少的条款。其中，注日期的引用文件，仅注日期对应的版本适用于本文件；不注日期的引用文件，其最新版本（包括所有的修改单）适用于本文件。</w:t>
      </w:r>
    </w:p>
    <w:p>
      <w:pPr>
        <w:ind w:firstLine="420" w:firstLineChars="200"/>
        <w:jc w:val="left"/>
        <w:rPr>
          <w:rFonts w:ascii="Times New Roman" w:hAnsi="Times New Roman"/>
          <w:color w:val="000000"/>
        </w:rPr>
      </w:pPr>
      <w:r>
        <w:rPr>
          <w:rFonts w:ascii="Times New Roman" w:hAnsi="Times New Roman"/>
          <w:color w:val="000000"/>
        </w:rPr>
        <w:t>GB 3096 声环境质量标准</w:t>
      </w:r>
    </w:p>
    <w:p>
      <w:pPr>
        <w:ind w:firstLine="420" w:firstLineChars="200"/>
        <w:jc w:val="left"/>
        <w:rPr>
          <w:rFonts w:ascii="Times New Roman" w:hAnsi="Times New Roman"/>
          <w:color w:val="000000"/>
        </w:rPr>
      </w:pPr>
      <w:r>
        <w:rPr>
          <w:rFonts w:ascii="Times New Roman" w:hAnsi="Times New Roman"/>
          <w:color w:val="000000"/>
        </w:rPr>
        <w:t>GB 5085.3 危险废物鉴别标准 浸出毒性鉴别</w:t>
      </w:r>
    </w:p>
    <w:p>
      <w:pPr>
        <w:ind w:firstLine="420" w:firstLineChars="200"/>
        <w:jc w:val="left"/>
        <w:rPr>
          <w:rFonts w:ascii="Times New Roman" w:hAnsi="Times New Roman"/>
          <w:color w:val="000000"/>
        </w:rPr>
      </w:pPr>
      <w:r>
        <w:rPr>
          <w:rFonts w:hint="eastAsia" w:ascii="Times New Roman" w:hAnsi="Times New Roman"/>
          <w:color w:val="000000"/>
        </w:rPr>
        <w:t>GB</w:t>
      </w:r>
      <w:r>
        <w:rPr>
          <w:rFonts w:ascii="Times New Roman" w:hAnsi="Times New Roman"/>
          <w:color w:val="000000"/>
        </w:rPr>
        <w:t xml:space="preserve"> </w:t>
      </w:r>
      <w:r>
        <w:rPr>
          <w:rFonts w:hint="eastAsia" w:ascii="Times New Roman" w:hAnsi="Times New Roman"/>
          <w:color w:val="000000"/>
        </w:rPr>
        <w:t>5085.6危险废物鉴别标准</w:t>
      </w:r>
      <w:r>
        <w:rPr>
          <w:rFonts w:ascii="Times New Roman" w:hAnsi="Times New Roman"/>
          <w:color w:val="000000"/>
        </w:rPr>
        <w:t xml:space="preserve"> </w:t>
      </w:r>
      <w:r>
        <w:rPr>
          <w:rFonts w:hint="eastAsia" w:ascii="Times New Roman" w:hAnsi="Times New Roman"/>
          <w:color w:val="000000"/>
        </w:rPr>
        <w:t>毒性物质含量鉴别</w:t>
      </w:r>
    </w:p>
    <w:p>
      <w:pPr>
        <w:ind w:firstLine="420" w:firstLineChars="200"/>
        <w:jc w:val="left"/>
        <w:rPr>
          <w:rFonts w:ascii="Times New Roman" w:hAnsi="Times New Roman"/>
          <w:color w:val="000000"/>
        </w:rPr>
      </w:pPr>
      <w:r>
        <w:rPr>
          <w:rFonts w:ascii="Times New Roman" w:hAnsi="Times New Roman"/>
          <w:color w:val="000000"/>
        </w:rPr>
        <w:t>GB 8978 污水综合排放标准</w:t>
      </w:r>
    </w:p>
    <w:p>
      <w:pPr>
        <w:ind w:firstLine="420" w:firstLineChars="200"/>
        <w:jc w:val="left"/>
        <w:rPr>
          <w:rFonts w:ascii="Times New Roman" w:hAnsi="Times New Roman"/>
          <w:color w:val="000000"/>
        </w:rPr>
      </w:pPr>
      <w:r>
        <w:rPr>
          <w:rFonts w:ascii="Times New Roman" w:hAnsi="Times New Roman"/>
          <w:color w:val="000000"/>
        </w:rPr>
        <w:t>GB 12348 工业企业厂界环境噪声排放标准</w:t>
      </w:r>
    </w:p>
    <w:p>
      <w:pPr>
        <w:ind w:firstLine="420" w:firstLineChars="200"/>
        <w:jc w:val="left"/>
        <w:rPr>
          <w:rFonts w:ascii="Times New Roman" w:hAnsi="Times New Roman"/>
          <w:color w:val="000000"/>
        </w:rPr>
      </w:pPr>
      <w:r>
        <w:rPr>
          <w:rFonts w:ascii="Times New Roman" w:hAnsi="Times New Roman"/>
          <w:color w:val="000000"/>
        </w:rPr>
        <w:t>GB/T 14848 地下水质量标准</w:t>
      </w:r>
    </w:p>
    <w:p>
      <w:pPr>
        <w:ind w:firstLine="420" w:firstLineChars="200"/>
        <w:jc w:val="left"/>
        <w:rPr>
          <w:rFonts w:ascii="Times New Roman" w:hAnsi="Times New Roman"/>
          <w:color w:val="000000"/>
        </w:rPr>
      </w:pPr>
      <w:r>
        <w:rPr>
          <w:rFonts w:ascii="Times New Roman" w:hAnsi="Times New Roman"/>
          <w:color w:val="000000"/>
        </w:rPr>
        <w:t>GB 18597 危险废物贮存污染控制标准</w:t>
      </w:r>
    </w:p>
    <w:p>
      <w:pPr>
        <w:ind w:firstLine="420" w:firstLineChars="200"/>
        <w:jc w:val="left"/>
        <w:rPr>
          <w:rFonts w:ascii="Times New Roman" w:hAnsi="Times New Roman"/>
          <w:color w:val="000000"/>
        </w:rPr>
      </w:pPr>
      <w:r>
        <w:rPr>
          <w:rFonts w:ascii="Times New Roman" w:hAnsi="Times New Roman"/>
          <w:color w:val="000000"/>
        </w:rPr>
        <w:t>HJ 2025 危险废物收集 贮存 运输技术规范</w:t>
      </w:r>
    </w:p>
    <w:p>
      <w:pPr>
        <w:ind w:firstLine="420" w:firstLineChars="200"/>
        <w:jc w:val="left"/>
        <w:rPr>
          <w:rFonts w:ascii="Times New Roman" w:hAnsi="Times New Roman"/>
          <w:color w:val="000000"/>
        </w:rPr>
      </w:pPr>
      <w:r>
        <w:rPr>
          <w:rFonts w:ascii="Times New Roman" w:hAnsi="Times New Roman"/>
          <w:color w:val="000000"/>
        </w:rPr>
        <w:t>HJ/T 20 工业固体废物采样制样技术规范</w:t>
      </w:r>
    </w:p>
    <w:p>
      <w:pPr>
        <w:ind w:firstLine="420" w:firstLineChars="200"/>
        <w:jc w:val="left"/>
        <w:rPr>
          <w:rFonts w:ascii="Times New Roman" w:hAnsi="Times New Roman"/>
          <w:color w:val="000000"/>
        </w:rPr>
      </w:pPr>
      <w:r>
        <w:rPr>
          <w:rFonts w:hint="eastAsia" w:ascii="Times New Roman" w:hAnsi="Times New Roman"/>
          <w:color w:val="000000"/>
        </w:rPr>
        <w:t>HJ/T 299 固体废物 浸出毒性浸出方法 硫酸硝酸法</w:t>
      </w:r>
    </w:p>
    <w:p>
      <w:pPr>
        <w:ind w:firstLine="420" w:firstLineChars="200"/>
        <w:jc w:val="left"/>
        <w:rPr>
          <w:rFonts w:ascii="Times New Roman" w:hAnsi="Times New Roman"/>
          <w:color w:val="000000"/>
        </w:rPr>
      </w:pPr>
      <w:r>
        <w:rPr>
          <w:rFonts w:hint="eastAsia" w:ascii="Times New Roman" w:hAnsi="Times New Roman"/>
          <w:color w:val="000000"/>
        </w:rPr>
        <w:t>T/CECS 689固废基胶凝材料应用技术规程</w:t>
      </w:r>
    </w:p>
    <w:p>
      <w:pPr>
        <w:ind w:firstLine="420" w:firstLineChars="200"/>
        <w:jc w:val="left"/>
        <w:rPr>
          <w:rFonts w:ascii="Times New Roman" w:hAnsi="Times New Roman"/>
          <w:color w:val="000000"/>
        </w:rPr>
      </w:pPr>
      <w:r>
        <w:rPr>
          <w:rFonts w:ascii="Times New Roman" w:hAnsi="Times New Roman"/>
          <w:color w:val="000000"/>
        </w:rPr>
        <w:t>T/CNIA0110 重有色金属冶炼副产品石膏</w:t>
      </w:r>
    </w:p>
    <w:p>
      <w:pPr>
        <w:pStyle w:val="47"/>
        <w:numPr>
          <w:ilvl w:val="0"/>
          <w:numId w:val="3"/>
        </w:numPr>
        <w:spacing w:before="312" w:after="312"/>
        <w:rPr>
          <w:rFonts w:ascii="Times New Roman"/>
          <w:color w:val="000000"/>
          <w:szCs w:val="22"/>
        </w:rPr>
      </w:pPr>
      <w:bookmarkStart w:id="5" w:name="_Toc101716261"/>
      <w:r>
        <w:rPr>
          <w:rFonts w:ascii="Times New Roman"/>
          <w:color w:val="000000"/>
          <w:szCs w:val="22"/>
        </w:rPr>
        <w:t>术语和定义</w:t>
      </w:r>
      <w:bookmarkEnd w:id="5"/>
    </w:p>
    <w:p>
      <w:pPr>
        <w:ind w:firstLine="420" w:firstLineChars="200"/>
        <w:jc w:val="left"/>
        <w:rPr>
          <w:rFonts w:ascii="Times New Roman" w:hAnsi="Times New Roman"/>
          <w:color w:val="000000"/>
          <w:szCs w:val="21"/>
        </w:rPr>
      </w:pPr>
      <w:bookmarkStart w:id="6" w:name="_Toc51663865"/>
      <w:bookmarkStart w:id="7" w:name="_Toc51664032"/>
      <w:r>
        <w:rPr>
          <w:rFonts w:ascii="Times New Roman" w:hAnsi="Times New Roman"/>
          <w:color w:val="000000"/>
          <w:szCs w:val="21"/>
        </w:rPr>
        <w:t>下列术语和定义适用于本文件。</w:t>
      </w:r>
    </w:p>
    <w:bookmarkEnd w:id="6"/>
    <w:bookmarkEnd w:id="7"/>
    <w:p>
      <w:pPr>
        <w:pStyle w:val="50"/>
        <w:spacing w:before="156" w:after="156"/>
        <w:outlineLvl w:val="9"/>
        <w:rPr>
          <w:rFonts w:ascii="Times New Roman"/>
          <w:color w:val="000000"/>
        </w:rPr>
      </w:pPr>
    </w:p>
    <w:p>
      <w:pPr>
        <w:pStyle w:val="50"/>
        <w:numPr>
          <w:ilvl w:val="0"/>
          <w:numId w:val="0"/>
        </w:numPr>
        <w:spacing w:before="156" w:after="156"/>
        <w:ind w:firstLine="420" w:firstLineChars="200"/>
        <w:outlineLvl w:val="9"/>
        <w:rPr>
          <w:rFonts w:ascii="Times New Roman"/>
          <w:color w:val="000000"/>
        </w:rPr>
      </w:pPr>
      <w:r>
        <w:rPr>
          <w:rFonts w:ascii="Times New Roman"/>
          <w:color w:val="000000"/>
        </w:rPr>
        <w:t xml:space="preserve">污酸 </w:t>
      </w:r>
      <w:r>
        <w:rPr>
          <w:rFonts w:hint="eastAsia" w:ascii="Times New Roman"/>
          <w:color w:val="000000"/>
        </w:rPr>
        <w:t>waste</w:t>
      </w:r>
      <w:r>
        <w:rPr>
          <w:rFonts w:ascii="Times New Roman"/>
          <w:color w:val="000000"/>
        </w:rPr>
        <w:t xml:space="preserve"> acid</w:t>
      </w:r>
    </w:p>
    <w:p>
      <w:pPr>
        <w:ind w:firstLine="420" w:firstLineChars="200"/>
        <w:rPr>
          <w:rFonts w:ascii="Times New Roman" w:hAnsi="Times New Roman"/>
          <w:color w:val="000000"/>
        </w:rPr>
      </w:pPr>
      <w:r>
        <w:rPr>
          <w:rFonts w:ascii="Times New Roman" w:hAnsi="Times New Roman"/>
          <w:color w:val="000000"/>
        </w:rPr>
        <w:t>指铅锌冶炼烟气制</w:t>
      </w:r>
      <w:r>
        <w:rPr>
          <w:rFonts w:hint="eastAsia" w:ascii="Times New Roman" w:hAnsi="Times New Roman"/>
          <w:color w:val="000000"/>
        </w:rPr>
        <w:t>硫</w:t>
      </w:r>
      <w:r>
        <w:rPr>
          <w:rFonts w:ascii="Times New Roman" w:hAnsi="Times New Roman"/>
          <w:color w:val="000000"/>
        </w:rPr>
        <w:t>酸</w:t>
      </w:r>
      <w:r>
        <w:rPr>
          <w:rFonts w:hint="eastAsia" w:ascii="Times New Roman" w:hAnsi="Times New Roman"/>
          <w:color w:val="000000"/>
        </w:rPr>
        <w:t>前</w:t>
      </w:r>
      <w:r>
        <w:rPr>
          <w:rFonts w:ascii="Times New Roman" w:hAnsi="Times New Roman"/>
          <w:color w:val="000000"/>
        </w:rPr>
        <w:t>烟气净化</w:t>
      </w:r>
      <w:r>
        <w:rPr>
          <w:rFonts w:hint="eastAsia" w:ascii="Times New Roman" w:hAnsi="Times New Roman"/>
          <w:color w:val="000000"/>
        </w:rPr>
        <w:t>处理</w:t>
      </w:r>
      <w:r>
        <w:rPr>
          <w:rFonts w:ascii="Times New Roman" w:hAnsi="Times New Roman"/>
          <w:color w:val="000000"/>
        </w:rPr>
        <w:t>排出的含有硫酸、重金属等化合物和其他有害杂质的稀酸溶液。</w:t>
      </w:r>
    </w:p>
    <w:p>
      <w:pPr>
        <w:pStyle w:val="50"/>
        <w:spacing w:before="156" w:after="156"/>
        <w:outlineLvl w:val="9"/>
        <w:rPr>
          <w:rFonts w:ascii="Times New Roman"/>
          <w:color w:val="000000"/>
        </w:rPr>
      </w:pPr>
    </w:p>
    <w:p>
      <w:pPr>
        <w:pStyle w:val="50"/>
        <w:numPr>
          <w:ilvl w:val="0"/>
          <w:numId w:val="0"/>
        </w:numPr>
        <w:spacing w:before="156" w:after="156"/>
        <w:ind w:firstLine="420" w:firstLineChars="200"/>
        <w:outlineLvl w:val="9"/>
        <w:rPr>
          <w:rFonts w:ascii="Times New Roman"/>
          <w:color w:val="000000"/>
        </w:rPr>
      </w:pPr>
      <w:r>
        <w:rPr>
          <w:rFonts w:ascii="Times New Roman"/>
          <w:color w:val="000000"/>
        </w:rPr>
        <w:t>酸性废水 acidic wastewater</w:t>
      </w:r>
    </w:p>
    <w:p>
      <w:pPr>
        <w:ind w:firstLine="420" w:firstLineChars="200"/>
        <w:rPr>
          <w:rFonts w:ascii="Times New Roman" w:hAnsi="Times New Roman"/>
          <w:color w:val="000000"/>
        </w:rPr>
      </w:pPr>
      <w:r>
        <w:rPr>
          <w:rFonts w:ascii="Times New Roman" w:hAnsi="Times New Roman"/>
          <w:color w:val="000000"/>
        </w:rPr>
        <w:t>指铅锌冶炼过程产生的含有重金属、酸、悬浮物等有害物质的废水。主要来源于污酸处理后液、烟气制酸系统排出的电除雾器冲洗水、脱硫废水、制酸区地面冲洗水、湿法车间工艺排水、酸雾净化排水、污染地面冲洗水、实验室废水、危险废物填埋场渗滤液、萃余液等。</w:t>
      </w:r>
    </w:p>
    <w:p>
      <w:pPr>
        <w:pStyle w:val="50"/>
        <w:spacing w:before="156" w:after="156"/>
        <w:outlineLvl w:val="9"/>
        <w:rPr>
          <w:rFonts w:ascii="Times New Roman"/>
          <w:color w:val="000000"/>
        </w:rPr>
      </w:pPr>
    </w:p>
    <w:p>
      <w:pPr>
        <w:pStyle w:val="50"/>
        <w:numPr>
          <w:ilvl w:val="0"/>
          <w:numId w:val="0"/>
        </w:numPr>
        <w:spacing w:before="156" w:after="156"/>
        <w:ind w:firstLine="420" w:firstLineChars="200"/>
        <w:outlineLvl w:val="9"/>
        <w:rPr>
          <w:rFonts w:ascii="Times New Roman"/>
          <w:color w:val="000000"/>
        </w:rPr>
      </w:pPr>
      <w:r>
        <w:rPr>
          <w:rFonts w:ascii="Times New Roman"/>
          <w:color w:val="000000"/>
        </w:rPr>
        <w:t>污酸渣waste acid slag</w:t>
      </w:r>
    </w:p>
    <w:p>
      <w:pPr>
        <w:pStyle w:val="48"/>
        <w:rPr>
          <w:rFonts w:ascii="Times New Roman"/>
          <w:color w:val="000000"/>
          <w:szCs w:val="21"/>
        </w:rPr>
      </w:pPr>
      <w:r>
        <w:rPr>
          <w:rFonts w:hint="eastAsia" w:ascii="Times New Roman"/>
          <w:color w:val="000000"/>
          <w:szCs w:val="21"/>
        </w:rPr>
        <w:t>污酸渣指</w:t>
      </w:r>
      <w:r>
        <w:rPr>
          <w:rFonts w:ascii="Times New Roman"/>
          <w:color w:val="000000"/>
          <w:szCs w:val="21"/>
        </w:rPr>
        <w:t>铅锌冶炼过程产生的污酸经硫化脱砷、石灰中和</w:t>
      </w:r>
      <w:r>
        <w:rPr>
          <w:rFonts w:hint="eastAsia" w:ascii="Times New Roman"/>
          <w:color w:val="000000"/>
          <w:szCs w:val="21"/>
        </w:rPr>
        <w:t>，及与其他</w:t>
      </w:r>
      <w:r>
        <w:rPr>
          <w:rFonts w:ascii="Times New Roman"/>
          <w:color w:val="000000"/>
          <w:szCs w:val="21"/>
        </w:rPr>
        <w:t>酸性废水</w:t>
      </w:r>
      <w:r>
        <w:rPr>
          <w:rFonts w:hint="eastAsia" w:ascii="Times New Roman"/>
          <w:color w:val="000000"/>
          <w:szCs w:val="21"/>
        </w:rPr>
        <w:t>混合</w:t>
      </w:r>
      <w:r>
        <w:rPr>
          <w:rFonts w:ascii="Times New Roman"/>
          <w:color w:val="000000"/>
          <w:szCs w:val="21"/>
        </w:rPr>
        <w:t>处理</w:t>
      </w:r>
      <w:r>
        <w:rPr>
          <w:rFonts w:hint="eastAsia" w:ascii="Times New Roman"/>
          <w:color w:val="000000"/>
          <w:szCs w:val="21"/>
        </w:rPr>
        <w:t>过程中</w:t>
      </w:r>
      <w:r>
        <w:rPr>
          <w:rFonts w:ascii="Times New Roman"/>
          <w:color w:val="000000"/>
          <w:szCs w:val="21"/>
        </w:rPr>
        <w:t>产生</w:t>
      </w:r>
      <w:r>
        <w:rPr>
          <w:rFonts w:hint="eastAsia" w:ascii="Times New Roman"/>
          <w:color w:val="000000"/>
          <w:szCs w:val="21"/>
        </w:rPr>
        <w:t>的</w:t>
      </w:r>
      <w:r>
        <w:rPr>
          <w:rFonts w:ascii="Times New Roman"/>
          <w:color w:val="000000"/>
          <w:szCs w:val="21"/>
        </w:rPr>
        <w:t>固体废弃物，</w:t>
      </w:r>
      <w:r>
        <w:rPr>
          <w:rFonts w:hint="eastAsia" w:ascii="Times New Roman"/>
          <w:color w:val="000000"/>
          <w:szCs w:val="21"/>
        </w:rPr>
        <w:t>包括</w:t>
      </w:r>
      <w:r>
        <w:rPr>
          <w:rFonts w:ascii="Times New Roman"/>
          <w:color w:val="000000"/>
          <w:kern w:val="2"/>
        </w:rPr>
        <w:t>石膏</w:t>
      </w:r>
      <w:r>
        <w:rPr>
          <w:rFonts w:hint="eastAsia" w:ascii="Times New Roman"/>
          <w:color w:val="000000"/>
          <w:kern w:val="2"/>
        </w:rPr>
        <w:t>渣、废水</w:t>
      </w:r>
      <w:r>
        <w:rPr>
          <w:rFonts w:hint="eastAsia" w:ascii="Times New Roman"/>
          <w:color w:val="000000"/>
          <w:szCs w:val="21"/>
        </w:rPr>
        <w:t>中和渣，不包括硫化渣</w:t>
      </w:r>
      <w:r>
        <w:rPr>
          <w:rFonts w:hint="eastAsia" w:ascii="Times New Roman"/>
          <w:color w:val="000000"/>
          <w:kern w:val="2"/>
        </w:rPr>
        <w:t>。</w:t>
      </w:r>
    </w:p>
    <w:p>
      <w:pPr>
        <w:pStyle w:val="50"/>
        <w:spacing w:before="156" w:after="156"/>
        <w:outlineLvl w:val="9"/>
        <w:rPr>
          <w:rFonts w:ascii="Times New Roman"/>
          <w:color w:val="000000"/>
        </w:rPr>
      </w:pPr>
    </w:p>
    <w:p>
      <w:pPr>
        <w:pStyle w:val="50"/>
        <w:numPr>
          <w:ilvl w:val="0"/>
          <w:numId w:val="0"/>
        </w:numPr>
        <w:spacing w:before="156" w:after="156"/>
        <w:ind w:firstLine="420" w:firstLineChars="200"/>
        <w:outlineLvl w:val="9"/>
        <w:rPr>
          <w:rFonts w:ascii="Times New Roman"/>
          <w:color w:val="000000"/>
        </w:rPr>
      </w:pPr>
      <w:r>
        <w:rPr>
          <w:rFonts w:ascii="Times New Roman"/>
          <w:color w:val="000000"/>
        </w:rPr>
        <w:t xml:space="preserve">富氧熔炼 </w:t>
      </w:r>
      <w:r>
        <w:rPr>
          <w:rFonts w:hint="eastAsia" w:ascii="Times New Roman"/>
          <w:color w:val="000000"/>
          <w:lang w:val="en-US" w:eastAsia="zh-CN"/>
        </w:rPr>
        <w:t>o</w:t>
      </w:r>
      <w:r>
        <w:rPr>
          <w:rFonts w:ascii="Times New Roman"/>
          <w:color w:val="000000"/>
        </w:rPr>
        <w:t>xygen enriched air smelting</w:t>
      </w:r>
    </w:p>
    <w:p>
      <w:pPr>
        <w:spacing w:before="156" w:beforeLines="50" w:after="156" w:afterLines="50"/>
        <w:ind w:firstLine="420" w:firstLineChars="200"/>
        <w:rPr>
          <w:rFonts w:ascii="Times New Roman" w:hAnsi="Times New Roman"/>
          <w:iCs/>
          <w:color w:val="000000"/>
          <w:szCs w:val="21"/>
        </w:rPr>
      </w:pPr>
      <w:r>
        <w:rPr>
          <w:rFonts w:ascii="Times New Roman" w:hAnsi="Times New Roman"/>
          <w:color w:val="000000"/>
          <w:szCs w:val="21"/>
        </w:rPr>
        <w:t>一种在有色金属熔炼中利用工业氧气部分或全部取代空气以强化冶金过程的熔炼方法。</w:t>
      </w:r>
    </w:p>
    <w:p>
      <w:pPr>
        <w:pStyle w:val="47"/>
        <w:numPr>
          <w:ilvl w:val="0"/>
          <w:numId w:val="3"/>
        </w:numPr>
        <w:spacing w:before="312" w:after="312"/>
        <w:rPr>
          <w:rFonts w:ascii="Times New Roman"/>
          <w:color w:val="000000"/>
          <w:szCs w:val="22"/>
        </w:rPr>
      </w:pPr>
      <w:bookmarkStart w:id="8" w:name="_Toc101716262"/>
      <w:r>
        <w:rPr>
          <w:rFonts w:ascii="Times New Roman"/>
          <w:color w:val="000000"/>
          <w:szCs w:val="22"/>
        </w:rPr>
        <w:t>总体要求</w:t>
      </w:r>
      <w:bookmarkEnd w:id="8"/>
    </w:p>
    <w:p>
      <w:pPr>
        <w:pStyle w:val="51"/>
        <w:spacing w:beforeLines="0" w:afterLines="0"/>
        <w:rPr>
          <w:rFonts w:ascii="Times New Roman" w:eastAsia="宋体"/>
          <w:color w:val="000000"/>
          <w:kern w:val="2"/>
        </w:rPr>
      </w:pPr>
      <w:r>
        <w:rPr>
          <w:rFonts w:ascii="Times New Roman" w:eastAsia="宋体"/>
          <w:color w:val="000000"/>
          <w:kern w:val="2"/>
        </w:rPr>
        <w:t>铅锌冶炼企业应进行工艺优化，推行清洁生产，减少污酸渣的产生量。</w:t>
      </w:r>
    </w:p>
    <w:p>
      <w:pPr>
        <w:pStyle w:val="51"/>
        <w:spacing w:beforeLines="0" w:afterLines="0"/>
        <w:rPr>
          <w:rFonts w:ascii="Times New Roman" w:eastAsia="宋体"/>
          <w:color w:val="000000"/>
          <w:kern w:val="2"/>
        </w:rPr>
      </w:pPr>
      <w:r>
        <w:rPr>
          <w:rFonts w:ascii="Times New Roman" w:eastAsia="宋体"/>
          <w:color w:val="000000"/>
          <w:kern w:val="2"/>
        </w:rPr>
        <w:t>铅锌冶炼污酸渣</w:t>
      </w:r>
      <w:r>
        <w:rPr>
          <w:rFonts w:hint="eastAsia" w:ascii="Times New Roman" w:eastAsia="宋体"/>
          <w:color w:val="000000"/>
          <w:kern w:val="2"/>
        </w:rPr>
        <w:t>资源化</w:t>
      </w:r>
      <w:r>
        <w:rPr>
          <w:rFonts w:ascii="Times New Roman" w:eastAsia="宋体"/>
          <w:color w:val="000000"/>
          <w:kern w:val="2"/>
        </w:rPr>
        <w:t>处置技术应以市场需求为导向，结合企业生产条件、工艺特点，兼顾成本和效益等多方面综合因素，采用效率高、安全可靠的处理工艺。</w:t>
      </w:r>
    </w:p>
    <w:p>
      <w:pPr>
        <w:pStyle w:val="51"/>
        <w:spacing w:beforeLines="0" w:afterLines="0"/>
        <w:rPr>
          <w:rFonts w:ascii="Times New Roman"/>
        </w:rPr>
      </w:pPr>
      <w:r>
        <w:rPr>
          <w:rFonts w:ascii="Times New Roman" w:eastAsia="宋体"/>
          <w:color w:val="000000"/>
          <w:kern w:val="2"/>
        </w:rPr>
        <w:t>污酸渣</w:t>
      </w:r>
      <w:r>
        <w:rPr>
          <w:rFonts w:hint="eastAsia" w:ascii="Times New Roman" w:eastAsia="宋体"/>
          <w:color w:val="000000"/>
          <w:kern w:val="2"/>
        </w:rPr>
        <w:t>资源化</w:t>
      </w:r>
      <w:r>
        <w:rPr>
          <w:rFonts w:ascii="Times New Roman" w:eastAsia="宋体"/>
          <w:color w:val="000000"/>
          <w:kern w:val="2"/>
        </w:rPr>
        <w:t>处置</w:t>
      </w:r>
      <w:r>
        <w:rPr>
          <w:rFonts w:hint="eastAsia" w:ascii="Times New Roman" w:eastAsia="宋体"/>
          <w:color w:val="000000"/>
          <w:kern w:val="2"/>
        </w:rPr>
        <w:t>应以废物减量化为原则，以产品化和建材化为处置方向，其副产石膏应满足</w:t>
      </w:r>
      <w:r>
        <w:rPr>
          <w:rFonts w:ascii="Times New Roman"/>
          <w:color w:val="000000"/>
        </w:rPr>
        <w:t>T/CNIA0110</w:t>
      </w:r>
      <w:r>
        <w:rPr>
          <w:rFonts w:hint="eastAsia" w:ascii="宋体" w:hAnsi="宋体" w:eastAsia="宋体" w:cs="宋体"/>
          <w:color w:val="000000"/>
        </w:rPr>
        <w:t>标准要求，</w:t>
      </w:r>
      <w:r>
        <w:rPr>
          <w:rFonts w:hint="eastAsia" w:ascii="Times New Roman" w:eastAsia="宋体"/>
          <w:color w:val="000000"/>
          <w:kern w:val="2"/>
        </w:rPr>
        <w:t>冶炼炉渣浸出毒性应低于GB5085.3标准要求。</w:t>
      </w:r>
    </w:p>
    <w:p>
      <w:pPr>
        <w:pStyle w:val="47"/>
        <w:numPr>
          <w:ilvl w:val="0"/>
          <w:numId w:val="3"/>
        </w:numPr>
        <w:spacing w:before="312" w:after="312"/>
        <w:rPr>
          <w:rFonts w:ascii="Times New Roman"/>
          <w:color w:val="000000"/>
          <w:szCs w:val="21"/>
        </w:rPr>
      </w:pPr>
      <w:bookmarkStart w:id="9" w:name="_Toc101716263"/>
      <w:r>
        <w:rPr>
          <w:rFonts w:ascii="Times New Roman"/>
          <w:color w:val="000000"/>
          <w:szCs w:val="21"/>
        </w:rPr>
        <w:t>工艺设计</w:t>
      </w:r>
      <w:bookmarkEnd w:id="9"/>
    </w:p>
    <w:p>
      <w:pPr>
        <w:pStyle w:val="50"/>
        <w:spacing w:before="156" w:after="156"/>
        <w:outlineLvl w:val="9"/>
        <w:rPr>
          <w:rFonts w:ascii="Times New Roman"/>
          <w:color w:val="000000"/>
        </w:rPr>
      </w:pPr>
      <w:bookmarkStart w:id="10" w:name="_Hlk90026514"/>
      <w:r>
        <w:rPr>
          <w:rFonts w:ascii="Times New Roman"/>
          <w:color w:val="000000"/>
        </w:rPr>
        <w:t>一般规定</w:t>
      </w:r>
    </w:p>
    <w:bookmarkEnd w:id="10"/>
    <w:p>
      <w:pPr>
        <w:pStyle w:val="51"/>
        <w:spacing w:beforeLines="0" w:afterLines="0"/>
        <w:rPr>
          <w:rFonts w:ascii="Times New Roman" w:eastAsia="宋体"/>
          <w:color w:val="000000"/>
          <w:kern w:val="2"/>
        </w:rPr>
      </w:pPr>
      <w:r>
        <w:rPr>
          <w:rFonts w:hint="eastAsia" w:ascii="Times New Roman" w:eastAsia="宋体"/>
          <w:color w:val="000000"/>
          <w:kern w:val="2"/>
        </w:rPr>
        <w:t>铅锌冶炼</w:t>
      </w:r>
      <w:r>
        <w:rPr>
          <w:rFonts w:ascii="Times New Roman" w:eastAsia="宋体"/>
          <w:color w:val="000000"/>
          <w:kern w:val="2"/>
        </w:rPr>
        <w:t>污酸渣</w:t>
      </w:r>
      <w:r>
        <w:rPr>
          <w:rFonts w:hint="eastAsia" w:ascii="Times New Roman" w:eastAsia="宋体"/>
          <w:color w:val="000000"/>
          <w:kern w:val="2"/>
        </w:rPr>
        <w:t>资源化</w:t>
      </w:r>
      <w:r>
        <w:rPr>
          <w:rFonts w:ascii="Times New Roman" w:eastAsia="宋体"/>
          <w:color w:val="000000"/>
          <w:kern w:val="2"/>
        </w:rPr>
        <w:t>处置工艺设计前应对污酸渣的微观形貌、物相组成、金属元素主要赋存形态、含量、浸出毒性等相关性质进行采样分析，并以检测结果作为污酸渣</w:t>
      </w:r>
      <w:r>
        <w:rPr>
          <w:rFonts w:hint="eastAsia" w:ascii="Times New Roman" w:eastAsia="宋体"/>
          <w:color w:val="000000"/>
          <w:kern w:val="2"/>
        </w:rPr>
        <w:t>资源化</w:t>
      </w:r>
      <w:r>
        <w:rPr>
          <w:rFonts w:ascii="Times New Roman" w:eastAsia="宋体"/>
          <w:color w:val="000000"/>
          <w:kern w:val="2"/>
        </w:rPr>
        <w:t>处置工艺技术选择的重要依据，遵循“分类分级、按需处理”的原则，在资源化利用的目标下，选择成熟稳定、低（无）二次污染、经济合理的工艺技术路线。</w:t>
      </w:r>
    </w:p>
    <w:p>
      <w:pPr>
        <w:pStyle w:val="51"/>
        <w:spacing w:beforeLines="0" w:afterLines="0"/>
        <w:rPr>
          <w:rFonts w:ascii="Times New Roman" w:eastAsia="宋体"/>
          <w:color w:val="000000"/>
          <w:kern w:val="2"/>
        </w:rPr>
      </w:pPr>
      <w:bookmarkStart w:id="11" w:name="_Hlk102820144"/>
      <w:r>
        <w:rPr>
          <w:rFonts w:hint="eastAsia" w:ascii="Times New Roman" w:eastAsia="宋体"/>
          <w:color w:val="000000"/>
          <w:kern w:val="2"/>
        </w:rPr>
        <w:t>铅锌冶炼</w:t>
      </w:r>
      <w:r>
        <w:rPr>
          <w:rFonts w:ascii="Times New Roman" w:eastAsia="宋体"/>
          <w:color w:val="000000"/>
          <w:kern w:val="2"/>
        </w:rPr>
        <w:t>污酸渣</w:t>
      </w:r>
      <w:r>
        <w:rPr>
          <w:rFonts w:hint="eastAsia" w:ascii="Times New Roman" w:eastAsia="宋体"/>
          <w:color w:val="000000"/>
          <w:kern w:val="2"/>
        </w:rPr>
        <w:t>资源化</w:t>
      </w:r>
      <w:r>
        <w:rPr>
          <w:rFonts w:ascii="Times New Roman" w:eastAsia="宋体"/>
          <w:color w:val="000000"/>
          <w:kern w:val="2"/>
        </w:rPr>
        <w:t>处置工艺设计应符合以下原则：</w:t>
      </w:r>
    </w:p>
    <w:bookmarkEnd w:id="11"/>
    <w:p>
      <w:pPr>
        <w:pStyle w:val="49"/>
        <w:rPr>
          <w:rFonts w:ascii="Times New Roman"/>
          <w:color w:val="000000"/>
        </w:rPr>
      </w:pPr>
      <w:r>
        <w:rPr>
          <w:rFonts w:ascii="Times New Roman"/>
          <w:color w:val="000000"/>
        </w:rPr>
        <w:t>处理系统应具有收集、临时贮存、分质分离、过程监控和应急处理的功能；</w:t>
      </w:r>
    </w:p>
    <w:p>
      <w:pPr>
        <w:pStyle w:val="49"/>
        <w:rPr>
          <w:rFonts w:ascii="Times New Roman"/>
          <w:color w:val="000000"/>
        </w:rPr>
      </w:pPr>
      <w:r>
        <w:rPr>
          <w:rFonts w:ascii="Times New Roman"/>
          <w:color w:val="000000"/>
        </w:rPr>
        <w:t>应考虑处理过程中可能产生的废水、废气的处理，防止二次污染；</w:t>
      </w:r>
    </w:p>
    <w:p>
      <w:pPr>
        <w:pStyle w:val="49"/>
        <w:rPr>
          <w:rFonts w:ascii="Times New Roman"/>
          <w:color w:val="000000"/>
        </w:rPr>
      </w:pPr>
      <w:r>
        <w:rPr>
          <w:rFonts w:ascii="Times New Roman"/>
          <w:color w:val="000000"/>
        </w:rPr>
        <w:t>处理系统的设计应选用能耗低、噪声低的设备设施。</w:t>
      </w:r>
    </w:p>
    <w:p>
      <w:pPr>
        <w:pStyle w:val="50"/>
        <w:spacing w:before="156" w:after="156"/>
        <w:outlineLvl w:val="9"/>
        <w:rPr>
          <w:rFonts w:ascii="Times New Roman"/>
          <w:color w:val="000000"/>
        </w:rPr>
      </w:pPr>
      <w:r>
        <w:rPr>
          <w:rFonts w:ascii="Times New Roman"/>
          <w:color w:val="000000"/>
        </w:rPr>
        <w:t>工艺选择</w:t>
      </w:r>
    </w:p>
    <w:p>
      <w:pPr>
        <w:pStyle w:val="51"/>
        <w:spacing w:beforeLines="0" w:afterLines="0"/>
      </w:pPr>
      <w:r>
        <w:rPr>
          <w:rFonts w:hint="eastAsia" w:ascii="宋体" w:hAnsi="宋体" w:eastAsia="宋体" w:cs="宋体"/>
        </w:rPr>
        <w:t>污酸渣资源化工艺应根据污酸渣中的重金属毒性、</w:t>
      </w:r>
      <w:r>
        <w:rPr>
          <w:rFonts w:ascii="Times New Roman" w:eastAsia="宋体"/>
          <w:color w:val="000000"/>
          <w:kern w:val="2"/>
        </w:rPr>
        <w:t>含量等相关性质</w:t>
      </w:r>
      <w:r>
        <w:rPr>
          <w:rFonts w:hint="eastAsia" w:ascii="Times New Roman"/>
          <w:color w:val="000000"/>
          <w:kern w:val="2"/>
        </w:rPr>
        <w:t>，</w:t>
      </w:r>
      <w:r>
        <w:rPr>
          <w:rFonts w:hint="eastAsia" w:ascii="Times New Roman" w:hAnsi="宋体" w:eastAsia="宋体"/>
          <w:kern w:val="2"/>
        </w:rPr>
        <w:t>合理选用处置工艺，</w:t>
      </w:r>
      <w:r>
        <w:rPr>
          <w:rFonts w:hint="eastAsia" w:ascii="宋体" w:hAnsi="宋体" w:eastAsia="宋体" w:cs="宋体"/>
        </w:rPr>
        <w:t>污酸渣资源化</w:t>
      </w:r>
      <w:r>
        <w:rPr>
          <w:rFonts w:hint="eastAsia" w:ascii="Times New Roman" w:hAnsi="宋体" w:eastAsia="宋体"/>
          <w:kern w:val="2"/>
        </w:rPr>
        <w:t>特征及推荐工艺见图1。</w:t>
      </w:r>
    </w:p>
    <w:p>
      <w:pPr>
        <w:pStyle w:val="51"/>
        <w:spacing w:beforeLines="0" w:afterLines="0"/>
      </w:pPr>
      <w:r>
        <w:rPr>
          <w:rFonts w:hint="eastAsia" w:ascii="Times New Roman" w:hAnsi="宋体" w:eastAsia="宋体"/>
          <w:kern w:val="2"/>
        </w:rPr>
        <w:t>铅锌冶炼污酸渣若符合T/CNIA0110标准要求，则可作为有色冶炼副产品直接销售；若不符合T/CNIA0110标准要求，在资源化利用与经济合理的条件下，应参与富氧熔炼协同处置。</w:t>
      </w:r>
    </w:p>
    <w:p>
      <w:pPr>
        <w:pStyle w:val="48"/>
        <w:ind w:firstLine="0" w:firstLineChars="0"/>
        <w:jc w:val="center"/>
        <w:rPr>
          <w:rFonts w:ascii="Times New Roman"/>
        </w:rPr>
      </w:pPr>
      <w:r>
        <w:rPr>
          <w:rFonts w:ascii="Times New Roman"/>
        </w:rPr>
        <w:drawing>
          <wp:inline distT="0" distB="0" distL="0" distR="0">
            <wp:extent cx="2838450" cy="15119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2860941" cy="1524052"/>
                    </a:xfrm>
                    <a:prstGeom prst="rect">
                      <a:avLst/>
                    </a:prstGeom>
                  </pic:spPr>
                </pic:pic>
              </a:graphicData>
            </a:graphic>
          </wp:inline>
        </w:drawing>
      </w:r>
    </w:p>
    <w:p>
      <w:pPr>
        <w:pStyle w:val="48"/>
        <w:ind w:firstLine="0" w:firstLineChars="0"/>
        <w:jc w:val="center"/>
        <w:rPr>
          <w:rFonts w:ascii="Times New Roman"/>
        </w:rPr>
      </w:pPr>
      <w:r>
        <w:rPr>
          <w:rFonts w:hint="eastAsia" w:ascii="Times New Roman"/>
        </w:rPr>
        <w:t>图1 铅锌冶炼污酸渣资源化处置工艺选择</w:t>
      </w:r>
    </w:p>
    <w:p>
      <w:pPr>
        <w:pStyle w:val="50"/>
        <w:spacing w:before="156" w:after="156"/>
        <w:outlineLvl w:val="9"/>
        <w:rPr>
          <w:rFonts w:ascii="Times New Roman"/>
          <w:color w:val="000000"/>
        </w:rPr>
      </w:pPr>
      <w:r>
        <w:rPr>
          <w:rFonts w:ascii="Times New Roman"/>
          <w:color w:val="000000"/>
        </w:rPr>
        <w:t>工艺要求</w:t>
      </w:r>
    </w:p>
    <w:p>
      <w:pPr>
        <w:pStyle w:val="51"/>
        <w:spacing w:before="156" w:after="156"/>
        <w:rPr>
          <w:rFonts w:ascii="Times New Roman"/>
          <w:color w:val="000000"/>
        </w:rPr>
      </w:pPr>
      <w:r>
        <w:rPr>
          <w:rFonts w:hint="eastAsia" w:ascii="Times New Roman"/>
          <w:color w:val="000000"/>
        </w:rPr>
        <w:t>建材化</w:t>
      </w:r>
    </w:p>
    <w:p>
      <w:pPr>
        <w:pStyle w:val="48"/>
      </w:pPr>
      <w:r>
        <w:rPr>
          <w:rFonts w:hint="eastAsia" w:ascii="Times New Roman" w:hAnsi="宋体"/>
          <w:kern w:val="2"/>
        </w:rPr>
        <w:t>符合T/CNIA0110标准要求的铅锌冶炼污酸渣（石膏渣）作建材化处置，可作为有色冶炼副产品直接销售。</w:t>
      </w:r>
    </w:p>
    <w:p>
      <w:pPr>
        <w:pStyle w:val="51"/>
        <w:spacing w:before="156" w:after="156"/>
        <w:rPr>
          <w:rFonts w:ascii="Times New Roman"/>
          <w:color w:val="000000"/>
        </w:rPr>
      </w:pPr>
      <w:r>
        <w:rPr>
          <w:rFonts w:ascii="Times New Roman"/>
          <w:color w:val="000000"/>
        </w:rPr>
        <w:t>协同富氧熔炼工艺</w:t>
      </w:r>
    </w:p>
    <w:p>
      <w:pPr>
        <w:rPr>
          <w:rFonts w:ascii="Times New Roman" w:hAnsi="Times New Roman" w:eastAsia="黑体"/>
        </w:rPr>
      </w:pPr>
      <w:r>
        <w:rPr>
          <w:rFonts w:ascii="Times New Roman" w:hAnsi="Times New Roman" w:eastAsia="黑体"/>
        </w:rPr>
        <w:t>5.3.</w:t>
      </w:r>
      <w:r>
        <w:rPr>
          <w:rFonts w:hint="eastAsia" w:ascii="Times New Roman" w:hAnsi="Times New Roman" w:eastAsia="黑体"/>
        </w:rPr>
        <w:t>2</w:t>
      </w:r>
      <w:r>
        <w:rPr>
          <w:rFonts w:ascii="Times New Roman" w:hAnsi="Times New Roman" w:eastAsia="黑体"/>
        </w:rPr>
        <w:t>.1 工艺说明</w:t>
      </w:r>
    </w:p>
    <w:p>
      <w:pPr>
        <w:widowControl/>
        <w:ind w:firstLine="420" w:firstLineChars="200"/>
        <w:rPr>
          <w:rFonts w:ascii="Times New Roman" w:hAnsi="Times New Roman"/>
          <w:color w:val="000000"/>
          <w:kern w:val="0"/>
          <w:szCs w:val="21"/>
          <w:lang w:bidi="ar"/>
        </w:rPr>
      </w:pPr>
      <w:r>
        <w:rPr>
          <w:rFonts w:hint="eastAsia" w:ascii="Times New Roman" w:hAnsi="Times New Roman"/>
          <w:szCs w:val="28"/>
        </w:rPr>
        <w:t>污酸渣富氧熔炼协同处理工艺由配料作业、富氧熔炼作业、资源化处置作业等组成，基本工艺流程如图2。</w:t>
      </w:r>
    </w:p>
    <w:p>
      <w:pPr>
        <w:jc w:val="center"/>
        <w:rPr>
          <w:rFonts w:ascii="Times New Roman" w:hAnsi="Times New Roman"/>
        </w:rPr>
      </w:pPr>
      <w:r>
        <w:rPr>
          <w:rFonts w:ascii="Times New Roman" w:hAnsi="Times New Roman"/>
        </w:rPr>
        <w:drawing>
          <wp:inline distT="0" distB="0" distL="0" distR="0">
            <wp:extent cx="3117850" cy="260350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3129871" cy="2613958"/>
                    </a:xfrm>
                    <a:prstGeom prst="rect">
                      <a:avLst/>
                    </a:prstGeom>
                  </pic:spPr>
                </pic:pic>
              </a:graphicData>
            </a:graphic>
          </wp:inline>
        </w:drawing>
      </w:r>
    </w:p>
    <w:p>
      <w:pPr>
        <w:jc w:val="center"/>
        <w:rPr>
          <w:rFonts w:ascii="Times New Roman" w:hAnsi="Times New Roman"/>
        </w:rPr>
      </w:pPr>
      <w:r>
        <w:rPr>
          <w:rFonts w:ascii="Times New Roman" w:hAnsi="Times New Roman"/>
        </w:rPr>
        <w:t>图</w:t>
      </w:r>
      <w:r>
        <w:rPr>
          <w:rFonts w:hint="eastAsia" w:ascii="Times New Roman" w:hAnsi="Times New Roman"/>
        </w:rPr>
        <w:t>2</w:t>
      </w:r>
      <w:r>
        <w:rPr>
          <w:rFonts w:ascii="Times New Roman" w:hAnsi="Times New Roman"/>
        </w:rPr>
        <w:t xml:space="preserve"> 铅锌冶炼污酸渣富氧熔炼协同处置工艺流程图</w:t>
      </w:r>
    </w:p>
    <w:p>
      <w:pPr>
        <w:rPr>
          <w:rFonts w:ascii="Times New Roman" w:hAnsi="Times New Roman" w:eastAsia="黑体"/>
        </w:rPr>
      </w:pPr>
      <w:r>
        <w:rPr>
          <w:rFonts w:ascii="Times New Roman" w:hAnsi="Times New Roman" w:eastAsia="黑体"/>
        </w:rPr>
        <w:t>5.3.</w:t>
      </w:r>
      <w:r>
        <w:rPr>
          <w:rFonts w:hint="eastAsia" w:ascii="Times New Roman" w:hAnsi="Times New Roman" w:eastAsia="黑体"/>
        </w:rPr>
        <w:t>2</w:t>
      </w:r>
      <w:r>
        <w:rPr>
          <w:rFonts w:ascii="Times New Roman" w:hAnsi="Times New Roman" w:eastAsia="黑体"/>
        </w:rPr>
        <w:t>.</w:t>
      </w:r>
      <w:r>
        <w:rPr>
          <w:rFonts w:hint="eastAsia" w:ascii="Times New Roman" w:hAnsi="Times New Roman" w:eastAsia="黑体"/>
        </w:rPr>
        <w:t>2</w:t>
      </w:r>
      <w:r>
        <w:rPr>
          <w:rFonts w:ascii="Times New Roman" w:hAnsi="Times New Roman" w:eastAsia="黑体"/>
        </w:rPr>
        <w:t xml:space="preserve"> </w:t>
      </w:r>
      <w:r>
        <w:rPr>
          <w:rFonts w:hint="eastAsia" w:ascii="Times New Roman" w:hAnsi="Times New Roman" w:eastAsia="黑体"/>
        </w:rPr>
        <w:t>技术要求</w:t>
      </w:r>
    </w:p>
    <w:p>
      <w:pPr>
        <w:pStyle w:val="49"/>
        <w:numPr>
          <w:ilvl w:val="0"/>
          <w:numId w:val="4"/>
        </w:numPr>
        <w:rPr>
          <w:rFonts w:ascii="Times New Roman"/>
          <w:color w:val="000000"/>
        </w:rPr>
      </w:pPr>
      <w:r>
        <w:rPr>
          <w:rFonts w:ascii="Times New Roman"/>
          <w:color w:val="000000"/>
        </w:rPr>
        <w:t>配料作业</w:t>
      </w:r>
    </w:p>
    <w:p>
      <w:pPr>
        <w:pStyle w:val="49"/>
        <w:numPr>
          <w:ilvl w:val="0"/>
          <w:numId w:val="0"/>
        </w:numPr>
        <w:ind w:left="839"/>
        <w:rPr>
          <w:rFonts w:ascii="Times New Roman"/>
          <w:color w:val="000000"/>
        </w:rPr>
      </w:pPr>
      <w:r>
        <w:rPr>
          <w:rFonts w:ascii="Times New Roman"/>
          <w:color w:val="000000"/>
        </w:rPr>
        <w:t>1）配料</w:t>
      </w:r>
      <w:r>
        <w:rPr>
          <w:rFonts w:hint="eastAsia" w:ascii="Times New Roman"/>
          <w:color w:val="000000"/>
        </w:rPr>
        <w:t>计量</w:t>
      </w:r>
      <w:r>
        <w:rPr>
          <w:rFonts w:ascii="Times New Roman"/>
          <w:color w:val="000000"/>
        </w:rPr>
        <w:t>单元由储仓、输送设备、计量设备、搅拌设备等组成</w:t>
      </w:r>
      <w:r>
        <w:rPr>
          <w:rFonts w:hint="eastAsia" w:ascii="Times New Roman"/>
          <w:color w:val="000000"/>
        </w:rPr>
        <w:t>，</w:t>
      </w:r>
      <w:r>
        <w:rPr>
          <w:rFonts w:ascii="Times New Roman"/>
          <w:color w:val="000000"/>
        </w:rPr>
        <w:t>搅拌设备可选择双螺旋拌料机；</w:t>
      </w:r>
    </w:p>
    <w:p>
      <w:pPr>
        <w:pStyle w:val="49"/>
        <w:numPr>
          <w:ilvl w:val="0"/>
          <w:numId w:val="0"/>
        </w:numPr>
        <w:ind w:left="839"/>
        <w:rPr>
          <w:rFonts w:ascii="Times New Roman"/>
          <w:color w:val="000000"/>
        </w:rPr>
      </w:pPr>
      <w:r>
        <w:rPr>
          <w:rFonts w:hint="eastAsia" w:ascii="Times New Roman"/>
          <w:color w:val="000000"/>
        </w:rPr>
        <w:t>2</w:t>
      </w:r>
      <w:r>
        <w:rPr>
          <w:rFonts w:ascii="Times New Roman"/>
          <w:color w:val="000000"/>
        </w:rPr>
        <w:t>）</w:t>
      </w:r>
      <w:bookmarkStart w:id="12" w:name="_Hlk105004428"/>
      <w:r>
        <w:rPr>
          <w:rFonts w:hint="eastAsia" w:ascii="Times New Roman"/>
          <w:color w:val="000000"/>
        </w:rPr>
        <w:t>燃料煤和还原煤可选择焦炭、粉煤、原煤、碎煤等；</w:t>
      </w:r>
    </w:p>
    <w:p>
      <w:pPr>
        <w:pStyle w:val="49"/>
        <w:numPr>
          <w:ilvl w:val="0"/>
          <w:numId w:val="0"/>
        </w:numPr>
        <w:ind w:left="839"/>
        <w:rPr>
          <w:rFonts w:ascii="Times New Roman"/>
          <w:color w:val="000000"/>
        </w:rPr>
      </w:pPr>
      <w:r>
        <w:rPr>
          <w:rFonts w:hint="eastAsia" w:ascii="Times New Roman"/>
          <w:color w:val="000000"/>
        </w:rPr>
        <w:t>3）物料（铅物料、其他物料）、造渣剂（石灰石）、燃料煤和还原煤与污酸渣的配制比例需根据污酸渣种类及各组分含量确定；</w:t>
      </w:r>
    </w:p>
    <w:p>
      <w:pPr>
        <w:pStyle w:val="49"/>
        <w:numPr>
          <w:ilvl w:val="0"/>
          <w:numId w:val="0"/>
        </w:numPr>
        <w:ind w:left="839"/>
        <w:rPr>
          <w:rFonts w:ascii="Times New Roman"/>
          <w:color w:val="000000"/>
        </w:rPr>
      </w:pPr>
      <w:r>
        <w:rPr>
          <w:rFonts w:hint="eastAsia" w:ascii="Times New Roman"/>
          <w:color w:val="000000"/>
        </w:rPr>
        <w:t>4）入炉物料含水率需根据富氧熔炼炉型和铅合金回收率确定；富氧熔炼三联炉工艺入炉物料含水率宜＜1</w:t>
      </w:r>
      <w:r>
        <w:rPr>
          <w:rFonts w:ascii="Times New Roman"/>
          <w:color w:val="000000"/>
        </w:rPr>
        <w:t>0%</w:t>
      </w:r>
      <w:r>
        <w:rPr>
          <w:rFonts w:hint="eastAsia" w:ascii="Times New Roman"/>
          <w:color w:val="000000"/>
        </w:rPr>
        <w:t>、富氧底吹炼铅法的入炉物料含水率宜＜7.5%、富氧闪速炼铅法入炉物料含水率宜＜10%。</w:t>
      </w:r>
      <w:bookmarkEnd w:id="12"/>
    </w:p>
    <w:p>
      <w:pPr>
        <w:pStyle w:val="49"/>
        <w:rPr>
          <w:rFonts w:ascii="Times New Roman"/>
          <w:color w:val="000000"/>
        </w:rPr>
      </w:pPr>
      <w:r>
        <w:rPr>
          <w:rFonts w:ascii="Times New Roman"/>
          <w:color w:val="000000"/>
        </w:rPr>
        <w:t>富氧熔炼作业</w:t>
      </w:r>
    </w:p>
    <w:p>
      <w:pPr>
        <w:widowControl/>
        <w:ind w:left="840"/>
        <w:rPr>
          <w:rFonts w:ascii="Times New Roman" w:hAnsi="Times New Roman"/>
          <w:color w:val="000000"/>
          <w:kern w:val="0"/>
          <w:szCs w:val="21"/>
          <w:lang w:bidi="ar"/>
        </w:rPr>
      </w:pPr>
      <w:r>
        <w:rPr>
          <w:rFonts w:ascii="Times New Roman" w:hAnsi="Times New Roman"/>
          <w:color w:val="000000"/>
        </w:rPr>
        <w:t>1）</w:t>
      </w:r>
      <w:r>
        <w:rPr>
          <w:rFonts w:ascii="Times New Roman" w:hAnsi="Times New Roman"/>
          <w:color w:val="000000"/>
          <w:kern w:val="0"/>
          <w:szCs w:val="21"/>
          <w:lang w:bidi="ar"/>
        </w:rPr>
        <w:t>富氧熔炼单元由熔炼炉、收尘袋、余热锅炉、计量设备和输送设备等组成；</w:t>
      </w:r>
    </w:p>
    <w:p>
      <w:pPr>
        <w:widowControl/>
        <w:ind w:left="840"/>
        <w:rPr>
          <w:rFonts w:ascii="Times New Roman" w:hAnsi="Times New Roman"/>
          <w:color w:val="000000"/>
          <w:kern w:val="0"/>
          <w:szCs w:val="21"/>
          <w:lang w:bidi="ar"/>
        </w:rPr>
      </w:pPr>
      <w:r>
        <w:rPr>
          <w:rFonts w:ascii="Times New Roman" w:hAnsi="Times New Roman"/>
          <w:color w:val="000000"/>
          <w:kern w:val="0"/>
          <w:szCs w:val="21"/>
          <w:lang w:bidi="ar"/>
        </w:rPr>
        <w:t>2）富氧熔炼单元可根据原料组分不同，按需选择富氧熔炼三</w:t>
      </w:r>
      <w:r>
        <w:rPr>
          <w:rFonts w:hint="eastAsia" w:ascii="Times New Roman" w:hAnsi="Times New Roman"/>
          <w:color w:val="000000"/>
          <w:kern w:val="0"/>
          <w:szCs w:val="21"/>
          <w:lang w:bidi="ar"/>
        </w:rPr>
        <w:t>联</w:t>
      </w:r>
      <w:r>
        <w:rPr>
          <w:rFonts w:ascii="Times New Roman" w:hAnsi="Times New Roman"/>
          <w:color w:val="000000"/>
          <w:kern w:val="0"/>
          <w:szCs w:val="21"/>
          <w:lang w:bidi="ar"/>
        </w:rPr>
        <w:t>炉工艺</w:t>
      </w:r>
      <w:r>
        <w:rPr>
          <w:rFonts w:hint="eastAsia" w:ascii="Times New Roman" w:hAnsi="Times New Roman"/>
          <w:color w:val="000000"/>
          <w:kern w:val="0"/>
          <w:szCs w:val="21"/>
          <w:lang w:bidi="ar"/>
        </w:rPr>
        <w:t>、</w:t>
      </w:r>
      <w:r>
        <w:rPr>
          <w:rFonts w:ascii="Times New Roman" w:hAnsi="Times New Roman"/>
          <w:color w:val="000000"/>
          <w:kern w:val="0"/>
          <w:szCs w:val="21"/>
          <w:lang w:bidi="ar"/>
        </w:rPr>
        <w:t>富氧熔炼工艺（底吹</w:t>
      </w:r>
      <w:r>
        <w:rPr>
          <w:rFonts w:hint="eastAsia" w:ascii="Times New Roman" w:hAnsi="Times New Roman"/>
          <w:color w:val="000000"/>
          <w:kern w:val="0"/>
          <w:szCs w:val="21"/>
          <w:lang w:bidi="ar"/>
        </w:rPr>
        <w:t>、</w:t>
      </w:r>
      <w:r>
        <w:rPr>
          <w:rFonts w:ascii="Times New Roman" w:hAnsi="Times New Roman"/>
          <w:color w:val="000000"/>
          <w:kern w:val="0"/>
          <w:szCs w:val="21"/>
          <w:lang w:bidi="ar"/>
        </w:rPr>
        <w:t>侧吹</w:t>
      </w:r>
      <w:r>
        <w:rPr>
          <w:rFonts w:hint="eastAsia" w:ascii="Times New Roman" w:hAnsi="Times New Roman"/>
          <w:color w:val="000000"/>
          <w:kern w:val="0"/>
          <w:szCs w:val="21"/>
          <w:lang w:bidi="ar"/>
        </w:rPr>
        <w:t>或顶吹</w:t>
      </w:r>
      <w:r>
        <w:rPr>
          <w:rFonts w:ascii="Times New Roman" w:hAnsi="Times New Roman"/>
          <w:color w:val="000000"/>
          <w:kern w:val="0"/>
          <w:szCs w:val="21"/>
          <w:lang w:bidi="ar"/>
        </w:rPr>
        <w:t>）</w:t>
      </w:r>
      <w:r>
        <w:rPr>
          <w:rFonts w:hint="eastAsia" w:ascii="Times New Roman" w:hAnsi="Times New Roman"/>
          <w:color w:val="000000"/>
          <w:kern w:val="0"/>
          <w:szCs w:val="21"/>
          <w:lang w:bidi="ar"/>
        </w:rPr>
        <w:t>、</w:t>
      </w:r>
      <w:r>
        <w:rPr>
          <w:rFonts w:ascii="Times New Roman" w:hAnsi="Times New Roman"/>
          <w:color w:val="000000"/>
          <w:kern w:val="0"/>
          <w:szCs w:val="21"/>
          <w:lang w:bidi="ar"/>
        </w:rPr>
        <w:t>闪速熔炼等；</w:t>
      </w:r>
    </w:p>
    <w:p>
      <w:pPr>
        <w:pStyle w:val="49"/>
        <w:numPr>
          <w:ilvl w:val="0"/>
          <w:numId w:val="0"/>
        </w:numPr>
        <w:ind w:left="839"/>
        <w:rPr>
          <w:rFonts w:ascii="Times New Roman"/>
          <w:color w:val="000000"/>
        </w:rPr>
      </w:pPr>
      <w:r>
        <w:rPr>
          <w:rFonts w:ascii="Times New Roman"/>
          <w:color w:val="000000"/>
          <w:szCs w:val="21"/>
          <w:lang w:bidi="ar"/>
        </w:rPr>
        <w:t>3）富氧熔炼鼓风中氧浓度、炉内氧分压、温度、熔炼时间等参数按实际生产需求确定。</w:t>
      </w:r>
    </w:p>
    <w:p>
      <w:pPr>
        <w:pStyle w:val="49"/>
        <w:numPr>
          <w:ilvl w:val="0"/>
          <w:numId w:val="4"/>
        </w:numPr>
        <w:rPr>
          <w:rFonts w:ascii="Times New Roman"/>
          <w:color w:val="000000"/>
        </w:rPr>
      </w:pPr>
      <w:r>
        <w:rPr>
          <w:rFonts w:hint="eastAsia" w:ascii="Times New Roman"/>
          <w:color w:val="000000"/>
        </w:rPr>
        <w:t>资源化处置作业</w:t>
      </w:r>
    </w:p>
    <w:p>
      <w:pPr>
        <w:pStyle w:val="49"/>
        <w:numPr>
          <w:ilvl w:val="0"/>
          <w:numId w:val="0"/>
        </w:numPr>
        <w:ind w:left="839"/>
        <w:rPr>
          <w:rFonts w:ascii="Times New Roman"/>
          <w:color w:val="000000"/>
        </w:rPr>
      </w:pPr>
      <w:r>
        <w:rPr>
          <w:rFonts w:hint="eastAsia" w:ascii="Times New Roman"/>
          <w:color w:val="000000"/>
        </w:rPr>
        <w:t>1）对富氧熔炼工艺产生的铅合金进行回收，可进一步处理得到粗铅、铅冰铜等；</w:t>
      </w:r>
    </w:p>
    <w:p>
      <w:pPr>
        <w:pStyle w:val="49"/>
        <w:numPr>
          <w:ilvl w:val="0"/>
          <w:numId w:val="0"/>
        </w:numPr>
        <w:ind w:left="839"/>
        <w:rPr>
          <w:rFonts w:ascii="Times New Roman"/>
          <w:color w:val="000000"/>
        </w:rPr>
      </w:pPr>
      <w:r>
        <w:rPr>
          <w:rFonts w:ascii="Times New Roman"/>
          <w:color w:val="000000"/>
        </w:rPr>
        <w:t>2）</w:t>
      </w:r>
      <w:bookmarkStart w:id="13" w:name="_Hlk101887219"/>
      <w:r>
        <w:rPr>
          <w:rFonts w:hint="eastAsia" w:ascii="Times New Roman"/>
          <w:szCs w:val="28"/>
        </w:rPr>
        <w:t>熔炼炉渣应根据其成分和含量确定最终去处。常规富氧熔炼工艺（底吹、顶吹或侧吹）、闪速熔炼工艺产生的熔炼炉渣可根据实际情况进行锌回收，生成次氧化锌产品；富氧熔炼三连炉工艺产生的熔炼炉渣经水淬后为水淬渣，其浸出毒性应低于GB5085.3标准限值</w:t>
      </w:r>
      <w:bookmarkEnd w:id="13"/>
      <w:r>
        <w:rPr>
          <w:rFonts w:hint="eastAsia" w:ascii="Times New Roman"/>
          <w:szCs w:val="28"/>
        </w:rPr>
        <w:t>，送往建材厂做水泥熟料的掺料</w:t>
      </w:r>
      <w:bookmarkStart w:id="14" w:name="_Hlk101886923"/>
      <w:r>
        <w:rPr>
          <w:rFonts w:hint="eastAsia" w:ascii="Times New Roman"/>
          <w:szCs w:val="28"/>
        </w:rPr>
        <w:t>；</w:t>
      </w:r>
      <w:r>
        <w:rPr>
          <w:rFonts w:hint="eastAsia" w:ascii="Times New Roman"/>
          <w:color w:val="000000"/>
        </w:rPr>
        <w:t>满足</w:t>
      </w:r>
      <w:r>
        <w:rPr>
          <w:rFonts w:ascii="Times New Roman"/>
          <w:color w:val="000000"/>
        </w:rPr>
        <w:t>T/CECS</w:t>
      </w:r>
      <w:r>
        <w:rPr>
          <w:rFonts w:hint="eastAsia" w:ascii="Times New Roman"/>
          <w:color w:val="000000"/>
        </w:rPr>
        <w:t xml:space="preserve"> 689标准的</w:t>
      </w:r>
      <w:r>
        <w:rPr>
          <w:rFonts w:hint="eastAsia" w:ascii="Times New Roman"/>
          <w:szCs w:val="28"/>
        </w:rPr>
        <w:t>水淬渣</w:t>
      </w:r>
      <w:r>
        <w:rPr>
          <w:rFonts w:hint="eastAsia" w:ascii="Times New Roman"/>
          <w:color w:val="000000"/>
        </w:rPr>
        <w:t>，可做</w:t>
      </w:r>
      <w:r>
        <w:rPr>
          <w:rFonts w:ascii="Times New Roman"/>
          <w:color w:val="000000"/>
        </w:rPr>
        <w:t>固废基胶凝材料</w:t>
      </w:r>
      <w:bookmarkEnd w:id="14"/>
      <w:r>
        <w:rPr>
          <w:rFonts w:hint="eastAsia" w:ascii="Times New Roman"/>
          <w:color w:val="000000"/>
        </w:rPr>
        <w:t>；</w:t>
      </w:r>
    </w:p>
    <w:p>
      <w:pPr>
        <w:pStyle w:val="49"/>
        <w:numPr>
          <w:ilvl w:val="0"/>
          <w:numId w:val="0"/>
        </w:numPr>
        <w:ind w:left="839"/>
        <w:rPr>
          <w:rFonts w:ascii="Times New Roman"/>
          <w:color w:val="000000"/>
        </w:rPr>
      </w:pPr>
      <w:r>
        <w:rPr>
          <w:rFonts w:hint="eastAsia" w:ascii="Times New Roman"/>
          <w:color w:val="000000"/>
        </w:rPr>
        <w:t>3）富氧熔炼工艺产生的</w:t>
      </w:r>
      <w:bookmarkStart w:id="15" w:name="_Hlk101886978"/>
      <w:r>
        <w:rPr>
          <w:rFonts w:hint="eastAsia" w:ascii="Times New Roman"/>
          <w:color w:val="000000"/>
        </w:rPr>
        <w:t>烟气进入制酸系统。</w:t>
      </w:r>
      <w:bookmarkEnd w:id="15"/>
    </w:p>
    <w:p>
      <w:pPr>
        <w:pStyle w:val="50"/>
        <w:spacing w:before="156" w:after="156"/>
        <w:outlineLvl w:val="9"/>
        <w:rPr>
          <w:rFonts w:ascii="Times New Roman"/>
          <w:color w:val="000000"/>
        </w:rPr>
      </w:pPr>
      <w:r>
        <w:rPr>
          <w:rFonts w:ascii="Times New Roman"/>
          <w:color w:val="000000"/>
        </w:rPr>
        <w:t>贮存与转运</w:t>
      </w:r>
    </w:p>
    <w:p>
      <w:pPr>
        <w:pStyle w:val="51"/>
        <w:spacing w:beforeLines="0" w:afterLines="0"/>
        <w:jc w:val="both"/>
        <w:rPr>
          <w:rFonts w:ascii="Times New Roman" w:eastAsia="宋体"/>
          <w:color w:val="000000"/>
          <w:kern w:val="2"/>
        </w:rPr>
      </w:pPr>
      <w:r>
        <w:rPr>
          <w:rFonts w:ascii="Times New Roman" w:eastAsia="宋体"/>
          <w:color w:val="000000"/>
          <w:kern w:val="2"/>
        </w:rPr>
        <w:t>贮存场地设计应符合GB 18597有关规定。</w:t>
      </w:r>
    </w:p>
    <w:p>
      <w:pPr>
        <w:pStyle w:val="51"/>
        <w:spacing w:beforeLines="0" w:afterLines="0"/>
        <w:jc w:val="both"/>
        <w:rPr>
          <w:rFonts w:ascii="Times New Roman" w:eastAsia="宋体"/>
          <w:color w:val="000000"/>
          <w:kern w:val="2"/>
        </w:rPr>
      </w:pPr>
      <w:r>
        <w:rPr>
          <w:rFonts w:ascii="Times New Roman" w:eastAsia="宋体"/>
          <w:color w:val="000000"/>
          <w:kern w:val="2"/>
        </w:rPr>
        <w:t>冶炼污酸渣回收后贮存与转运应符合HJ 2025有关规定。</w:t>
      </w:r>
    </w:p>
    <w:p>
      <w:pPr>
        <w:pStyle w:val="50"/>
        <w:spacing w:before="156" w:after="156"/>
        <w:outlineLvl w:val="9"/>
        <w:rPr>
          <w:rFonts w:ascii="Times New Roman"/>
          <w:color w:val="000000"/>
        </w:rPr>
      </w:pPr>
      <w:r>
        <w:rPr>
          <w:rFonts w:ascii="Times New Roman"/>
          <w:color w:val="000000"/>
        </w:rPr>
        <w:t>二次污染控制</w:t>
      </w:r>
    </w:p>
    <w:p>
      <w:pPr>
        <w:pStyle w:val="51"/>
        <w:spacing w:beforeLines="0" w:afterLines="0"/>
        <w:jc w:val="both"/>
        <w:rPr>
          <w:rFonts w:ascii="Times New Roman" w:eastAsia="宋体"/>
          <w:color w:val="000000"/>
          <w:kern w:val="2"/>
        </w:rPr>
      </w:pPr>
      <w:r>
        <w:rPr>
          <w:rFonts w:ascii="Times New Roman" w:eastAsia="宋体"/>
          <w:color w:val="000000"/>
          <w:kern w:val="2"/>
        </w:rPr>
        <w:t>输送</w:t>
      </w:r>
      <w:r>
        <w:rPr>
          <w:rFonts w:hint="eastAsia" w:ascii="Times New Roman" w:eastAsia="宋体"/>
          <w:color w:val="000000"/>
          <w:kern w:val="2"/>
        </w:rPr>
        <w:t>铅锌</w:t>
      </w:r>
      <w:r>
        <w:rPr>
          <w:rFonts w:ascii="Times New Roman" w:eastAsia="宋体"/>
          <w:color w:val="000000"/>
          <w:kern w:val="2"/>
        </w:rPr>
        <w:t>冶炼污酸渣的设备应采用密封型输送机，运输车驶入驶出处理场地时应进行冲洗，防止污酸渣散落污染场地及外部环境。因装卸、设备故障、检修等原因造成洒落的固废应及时清扫和回收。</w:t>
      </w:r>
    </w:p>
    <w:p>
      <w:pPr>
        <w:pStyle w:val="51"/>
        <w:spacing w:beforeLines="0" w:afterLines="0"/>
        <w:jc w:val="both"/>
        <w:rPr>
          <w:rFonts w:ascii="Times New Roman" w:eastAsia="宋体"/>
          <w:color w:val="000000"/>
          <w:kern w:val="2"/>
        </w:rPr>
      </w:pPr>
      <w:r>
        <w:rPr>
          <w:rFonts w:ascii="Times New Roman" w:eastAsia="宋体"/>
          <w:color w:val="000000"/>
          <w:kern w:val="2"/>
        </w:rPr>
        <w:t>固体粉料药剂的输送设备、投加设备、强效搅拌机连接处应密封处理，避免药剂泄漏，造成粉尘污染。</w:t>
      </w:r>
    </w:p>
    <w:p>
      <w:pPr>
        <w:pStyle w:val="51"/>
        <w:spacing w:beforeLines="0" w:afterLines="0"/>
        <w:jc w:val="both"/>
        <w:rPr>
          <w:rFonts w:ascii="Times New Roman" w:eastAsia="宋体"/>
          <w:color w:val="000000"/>
          <w:kern w:val="2"/>
        </w:rPr>
      </w:pPr>
      <w:r>
        <w:rPr>
          <w:rFonts w:hint="eastAsia" w:ascii="Times New Roman" w:eastAsia="宋体"/>
          <w:color w:val="000000"/>
          <w:kern w:val="2"/>
        </w:rPr>
        <w:t>铅锌</w:t>
      </w:r>
      <w:r>
        <w:rPr>
          <w:rFonts w:ascii="Times New Roman" w:eastAsia="宋体"/>
          <w:color w:val="000000"/>
          <w:kern w:val="2"/>
        </w:rPr>
        <w:t>冶炼污酸渣在</w:t>
      </w:r>
      <w:r>
        <w:rPr>
          <w:rFonts w:hint="eastAsia" w:ascii="Times New Roman" w:eastAsia="宋体"/>
          <w:color w:val="000000"/>
          <w:kern w:val="2"/>
        </w:rPr>
        <w:t>资源化</w:t>
      </w:r>
      <w:r>
        <w:rPr>
          <w:rFonts w:ascii="Times New Roman" w:eastAsia="宋体"/>
          <w:color w:val="000000"/>
          <w:kern w:val="2"/>
        </w:rPr>
        <w:t>处置过程中产生的废水应全收集、全处理，处理达到地方、行业和国家相关标准要求后，方可回用或排放，防止二次污染。</w:t>
      </w:r>
    </w:p>
    <w:p>
      <w:pPr>
        <w:pStyle w:val="51"/>
        <w:spacing w:beforeLines="0" w:afterLines="0"/>
        <w:jc w:val="both"/>
        <w:rPr>
          <w:rFonts w:ascii="Times New Roman" w:eastAsia="宋体"/>
          <w:color w:val="000000"/>
          <w:kern w:val="2"/>
        </w:rPr>
      </w:pPr>
      <w:r>
        <w:rPr>
          <w:rFonts w:ascii="Times New Roman" w:eastAsia="宋体"/>
          <w:color w:val="000000"/>
          <w:kern w:val="2"/>
        </w:rPr>
        <w:t>运输设备、振动电机、搅拌设备须配备降噪设施，控制噪声符合GB 3096和GB 12348有关规定。</w:t>
      </w:r>
    </w:p>
    <w:p>
      <w:pPr>
        <w:pStyle w:val="47"/>
        <w:numPr>
          <w:ilvl w:val="0"/>
          <w:numId w:val="3"/>
        </w:numPr>
        <w:spacing w:before="312" w:after="312"/>
        <w:rPr>
          <w:rFonts w:ascii="Times New Roman"/>
          <w:color w:val="000000"/>
          <w:szCs w:val="22"/>
        </w:rPr>
      </w:pPr>
      <w:bookmarkStart w:id="16" w:name="_Toc101716264"/>
      <w:r>
        <w:rPr>
          <w:rFonts w:ascii="Times New Roman"/>
          <w:color w:val="000000"/>
          <w:szCs w:val="22"/>
        </w:rPr>
        <w:t>主要工艺设备和材料</w:t>
      </w:r>
      <w:bookmarkEnd w:id="16"/>
    </w:p>
    <w:p>
      <w:pPr>
        <w:pStyle w:val="50"/>
        <w:spacing w:before="156" w:after="156"/>
        <w:outlineLvl w:val="9"/>
        <w:rPr>
          <w:rFonts w:ascii="Times New Roman"/>
          <w:color w:val="000000"/>
        </w:rPr>
      </w:pPr>
      <w:r>
        <w:rPr>
          <w:rFonts w:ascii="Times New Roman"/>
          <w:color w:val="000000"/>
        </w:rPr>
        <w:t>一般规定</w:t>
      </w:r>
    </w:p>
    <w:p>
      <w:pPr>
        <w:ind w:firstLine="420" w:firstLineChars="200"/>
        <w:rPr>
          <w:rFonts w:ascii="Times New Roman" w:hAnsi="Times New Roman"/>
          <w:color w:val="000000"/>
          <w:szCs w:val="21"/>
        </w:rPr>
      </w:pPr>
      <w:r>
        <w:rPr>
          <w:rFonts w:ascii="Times New Roman" w:hAnsi="Times New Roman"/>
          <w:color w:val="000000"/>
          <w:szCs w:val="21"/>
        </w:rPr>
        <w:t>污酸渣</w:t>
      </w:r>
      <w:r>
        <w:rPr>
          <w:rFonts w:hint="eastAsia" w:ascii="Times New Roman" w:hAnsi="Times New Roman"/>
          <w:color w:val="000000"/>
          <w:szCs w:val="21"/>
        </w:rPr>
        <w:t>协同</w:t>
      </w:r>
      <w:r>
        <w:rPr>
          <w:rFonts w:ascii="Times New Roman" w:hAnsi="Times New Roman"/>
          <w:color w:val="000000"/>
          <w:szCs w:val="21"/>
        </w:rPr>
        <w:t>富氧熔炼工艺的关键设备和材质应进行严格控制。选用质量可靠、运行稳定、高效节能、绿色环保，以及便于运行维护与管理的产品。</w:t>
      </w:r>
    </w:p>
    <w:p>
      <w:pPr>
        <w:pStyle w:val="50"/>
        <w:spacing w:before="156" w:after="156"/>
        <w:outlineLvl w:val="9"/>
        <w:rPr>
          <w:rFonts w:ascii="Times New Roman"/>
          <w:color w:val="000000"/>
        </w:rPr>
      </w:pPr>
      <w:r>
        <w:rPr>
          <w:rFonts w:ascii="Times New Roman"/>
          <w:color w:val="000000"/>
        </w:rPr>
        <w:t>设备选择</w:t>
      </w:r>
    </w:p>
    <w:p>
      <w:pPr>
        <w:pStyle w:val="51"/>
        <w:spacing w:beforeLines="0" w:afterLines="0"/>
        <w:jc w:val="both"/>
        <w:rPr>
          <w:rFonts w:ascii="Times New Roman" w:eastAsia="宋体"/>
          <w:color w:val="000000"/>
          <w:kern w:val="2"/>
        </w:rPr>
      </w:pPr>
      <w:r>
        <w:rPr>
          <w:rFonts w:ascii="Times New Roman" w:eastAsia="宋体"/>
          <w:color w:val="000000"/>
          <w:kern w:val="2"/>
        </w:rPr>
        <w:t>收集容器应选用密封、防渗、防漏、相容容器，包括包装袋、包装桶、包装箱等。</w:t>
      </w:r>
    </w:p>
    <w:p>
      <w:pPr>
        <w:pStyle w:val="51"/>
        <w:spacing w:beforeLines="0" w:afterLines="0"/>
        <w:jc w:val="both"/>
        <w:rPr>
          <w:rFonts w:ascii="Times New Roman" w:eastAsia="宋体"/>
          <w:color w:val="000000"/>
          <w:kern w:val="2"/>
        </w:rPr>
      </w:pPr>
      <w:bookmarkStart w:id="17" w:name="_Hlk90026445"/>
      <w:r>
        <w:rPr>
          <w:rFonts w:ascii="Times New Roman" w:eastAsia="宋体"/>
          <w:color w:val="000000"/>
          <w:kern w:val="2"/>
        </w:rPr>
        <w:t>输送设备宜选用带式输送设备。</w:t>
      </w:r>
    </w:p>
    <w:p>
      <w:pPr>
        <w:pStyle w:val="51"/>
        <w:spacing w:beforeLines="0" w:afterLines="0"/>
        <w:jc w:val="both"/>
        <w:rPr>
          <w:rFonts w:ascii="Times New Roman" w:eastAsia="宋体"/>
          <w:color w:val="000000"/>
          <w:kern w:val="2"/>
        </w:rPr>
      </w:pPr>
      <w:r>
        <w:rPr>
          <w:rFonts w:ascii="Times New Roman" w:eastAsia="宋体"/>
          <w:color w:val="000000"/>
          <w:kern w:val="2"/>
        </w:rPr>
        <w:t>搅拌设备宜选用强效搅拌机、强力捏合机、双轴搅拌机、无重力搅拌器、犁刀式混合机。</w:t>
      </w:r>
    </w:p>
    <w:p>
      <w:pPr>
        <w:pStyle w:val="50"/>
        <w:spacing w:before="156" w:after="156"/>
        <w:outlineLvl w:val="9"/>
        <w:rPr>
          <w:rFonts w:ascii="Times New Roman"/>
          <w:color w:val="000000"/>
        </w:rPr>
      </w:pPr>
      <w:r>
        <w:rPr>
          <w:rFonts w:ascii="Times New Roman"/>
          <w:color w:val="000000"/>
        </w:rPr>
        <w:t>材料选择</w:t>
      </w:r>
    </w:p>
    <w:p>
      <w:pPr>
        <w:pStyle w:val="51"/>
        <w:spacing w:beforeLines="0" w:afterLines="0"/>
        <w:jc w:val="both"/>
        <w:rPr>
          <w:rFonts w:ascii="Times New Roman" w:eastAsia="宋体"/>
          <w:color w:val="000000"/>
          <w:kern w:val="2"/>
        </w:rPr>
      </w:pPr>
      <w:r>
        <w:rPr>
          <w:rFonts w:ascii="Times New Roman" w:eastAsia="宋体"/>
          <w:color w:val="000000"/>
          <w:kern w:val="2"/>
        </w:rPr>
        <w:t>材料的选择应满足污酸渣</w:t>
      </w:r>
      <w:r>
        <w:rPr>
          <w:rFonts w:hint="eastAsia" w:ascii="Times New Roman" w:eastAsia="宋体"/>
          <w:color w:val="000000"/>
          <w:kern w:val="2"/>
        </w:rPr>
        <w:t>资源化处置</w:t>
      </w:r>
      <w:r>
        <w:rPr>
          <w:rFonts w:ascii="Times New Roman" w:eastAsia="宋体"/>
          <w:color w:val="000000"/>
          <w:kern w:val="2"/>
        </w:rPr>
        <w:t>工艺的特点和技术要求，同时保证系统可靠性和经济性。</w:t>
      </w:r>
    </w:p>
    <w:p>
      <w:pPr>
        <w:pStyle w:val="51"/>
        <w:spacing w:beforeLines="0" w:afterLines="0"/>
        <w:jc w:val="both"/>
        <w:rPr>
          <w:rFonts w:ascii="Times New Roman" w:eastAsia="宋体"/>
          <w:color w:val="000000"/>
          <w:kern w:val="2"/>
        </w:rPr>
      </w:pPr>
      <w:r>
        <w:rPr>
          <w:rFonts w:ascii="Times New Roman" w:eastAsia="宋体"/>
          <w:color w:val="000000"/>
          <w:kern w:val="2"/>
        </w:rPr>
        <w:t>带式输送设备的输送带材质宜选用橡胶、硅胶、聚氯乙烯、聚氨酯等材质。</w:t>
      </w:r>
    </w:p>
    <w:p>
      <w:pPr>
        <w:pStyle w:val="51"/>
        <w:spacing w:beforeLines="0" w:afterLines="0"/>
        <w:jc w:val="both"/>
        <w:rPr>
          <w:rFonts w:ascii="Times New Roman" w:eastAsia="宋体"/>
          <w:color w:val="000000"/>
          <w:kern w:val="2"/>
        </w:rPr>
      </w:pPr>
      <w:bookmarkStart w:id="18" w:name="_Hlk98335122"/>
      <w:r>
        <w:rPr>
          <w:rFonts w:ascii="Times New Roman" w:eastAsia="宋体"/>
          <w:color w:val="000000"/>
          <w:kern w:val="2"/>
        </w:rPr>
        <w:t>搅拌设备主体容器及其构件</w:t>
      </w:r>
      <w:bookmarkEnd w:id="18"/>
      <w:r>
        <w:rPr>
          <w:rFonts w:ascii="Times New Roman" w:eastAsia="宋体"/>
          <w:color w:val="000000"/>
          <w:kern w:val="2"/>
        </w:rPr>
        <w:t>应采用SUS304不锈钢、合金钢等材质。</w:t>
      </w:r>
    </w:p>
    <w:bookmarkEnd w:id="17"/>
    <w:p>
      <w:pPr>
        <w:pStyle w:val="51"/>
        <w:spacing w:beforeLines="0" w:afterLines="0"/>
        <w:jc w:val="both"/>
        <w:rPr>
          <w:rFonts w:ascii="Times New Roman" w:eastAsia="宋体"/>
          <w:color w:val="000000"/>
          <w:kern w:val="2"/>
        </w:rPr>
      </w:pPr>
      <w:r>
        <w:rPr>
          <w:rFonts w:ascii="Times New Roman" w:eastAsia="宋体"/>
          <w:color w:val="000000"/>
          <w:kern w:val="2"/>
        </w:rPr>
        <w:t>药剂储罐应宜选择PVC材质。</w:t>
      </w:r>
    </w:p>
    <w:p>
      <w:pPr>
        <w:pStyle w:val="47"/>
        <w:numPr>
          <w:ilvl w:val="0"/>
          <w:numId w:val="3"/>
        </w:numPr>
        <w:spacing w:before="312" w:after="312"/>
        <w:rPr>
          <w:rFonts w:ascii="Times New Roman"/>
          <w:color w:val="000000"/>
          <w:szCs w:val="22"/>
        </w:rPr>
      </w:pPr>
      <w:bookmarkStart w:id="19" w:name="_Toc101716265"/>
      <w:r>
        <w:rPr>
          <w:rFonts w:ascii="Times New Roman"/>
          <w:color w:val="000000"/>
          <w:szCs w:val="22"/>
        </w:rPr>
        <w:t>检测与过程控制</w:t>
      </w:r>
      <w:bookmarkEnd w:id="19"/>
    </w:p>
    <w:p>
      <w:pPr>
        <w:pStyle w:val="50"/>
        <w:spacing w:beforeLines="0" w:afterLines="0"/>
        <w:jc w:val="both"/>
        <w:outlineLvl w:val="9"/>
        <w:rPr>
          <w:rFonts w:ascii="Times New Roman" w:eastAsia="宋体"/>
          <w:color w:val="000000"/>
        </w:rPr>
      </w:pPr>
      <w:r>
        <w:rPr>
          <w:rFonts w:hint="eastAsia" w:ascii="Times New Roman" w:eastAsia="宋体"/>
          <w:color w:val="000000"/>
          <w:kern w:val="2"/>
        </w:rPr>
        <w:t>铅锌冶炼</w:t>
      </w:r>
      <w:r>
        <w:rPr>
          <w:rFonts w:ascii="Times New Roman" w:eastAsia="宋体"/>
          <w:color w:val="000000"/>
          <w:kern w:val="2"/>
        </w:rPr>
        <w:t>污酸渣</w:t>
      </w:r>
      <w:r>
        <w:rPr>
          <w:rFonts w:hint="eastAsia" w:ascii="Times New Roman" w:eastAsia="宋体"/>
          <w:color w:val="000000"/>
          <w:kern w:val="2"/>
        </w:rPr>
        <w:t>资源化处置</w:t>
      </w:r>
      <w:r>
        <w:rPr>
          <w:rFonts w:ascii="Times New Roman" w:eastAsia="宋体"/>
          <w:color w:val="000000"/>
          <w:kern w:val="2"/>
        </w:rPr>
        <w:t>工艺</w:t>
      </w:r>
      <w:r>
        <w:rPr>
          <w:rFonts w:ascii="Times New Roman" w:eastAsia="宋体"/>
          <w:color w:val="000000"/>
        </w:rPr>
        <w:t>宜设置化验室，并配备相应的检测仪器和设备。</w:t>
      </w:r>
    </w:p>
    <w:p>
      <w:pPr>
        <w:pStyle w:val="50"/>
        <w:spacing w:beforeLines="0" w:afterLines="0"/>
        <w:jc w:val="both"/>
        <w:outlineLvl w:val="9"/>
        <w:rPr>
          <w:rFonts w:ascii="Times New Roman" w:eastAsia="宋体"/>
          <w:color w:val="000000"/>
        </w:rPr>
      </w:pPr>
      <w:r>
        <w:rPr>
          <w:rFonts w:ascii="Times New Roman" w:eastAsia="宋体"/>
          <w:color w:val="000000"/>
        </w:rPr>
        <w:t>冶炼污酸渣的采样、制样按HJ/T 20规定的方法执行；采样份数原则上按HJ/T 20规定方法执行，也可根据具体工艺特点，在生产设备稳定运行前提下，适当减少采样份数，合理制定采样频次。应确保采集的样品具有该生产时段代表性，不影响工艺效果。</w:t>
      </w:r>
    </w:p>
    <w:p>
      <w:pPr>
        <w:pStyle w:val="50"/>
        <w:spacing w:beforeLines="0" w:afterLines="0"/>
        <w:jc w:val="both"/>
        <w:outlineLvl w:val="9"/>
        <w:rPr>
          <w:rFonts w:ascii="Times New Roman" w:eastAsia="宋体"/>
          <w:color w:val="000000"/>
        </w:rPr>
      </w:pPr>
      <w:r>
        <w:rPr>
          <w:rFonts w:ascii="Times New Roman" w:eastAsia="宋体"/>
          <w:color w:val="000000"/>
        </w:rPr>
        <w:t>污酸渣</w:t>
      </w:r>
      <w:r>
        <w:rPr>
          <w:rFonts w:hint="eastAsia" w:ascii="Times New Roman" w:eastAsia="宋体"/>
          <w:color w:val="000000"/>
        </w:rPr>
        <w:t>资源化处置</w:t>
      </w:r>
      <w:r>
        <w:rPr>
          <w:rFonts w:ascii="Times New Roman" w:eastAsia="宋体"/>
          <w:color w:val="000000"/>
        </w:rPr>
        <w:t>在实施前应检测：检测内容包括污酸渣中金属元素的含量</w:t>
      </w:r>
      <w:r>
        <w:rPr>
          <w:rFonts w:hint="eastAsia" w:ascii="Times New Roman" w:eastAsia="宋体"/>
          <w:color w:val="000000"/>
        </w:rPr>
        <w:t>、浸出毒性</w:t>
      </w:r>
      <w:r>
        <w:rPr>
          <w:rFonts w:ascii="Times New Roman" w:eastAsia="宋体"/>
          <w:color w:val="000000"/>
        </w:rPr>
        <w:t>和含水率等相关性质，检测值作为</w:t>
      </w:r>
      <w:r>
        <w:rPr>
          <w:rFonts w:hint="eastAsia" w:ascii="Times New Roman" w:eastAsia="宋体"/>
          <w:color w:val="000000"/>
        </w:rPr>
        <w:t>富氧熔炼</w:t>
      </w:r>
      <w:r>
        <w:rPr>
          <w:rFonts w:ascii="Times New Roman" w:eastAsia="宋体"/>
          <w:color w:val="000000"/>
        </w:rPr>
        <w:t>过程参数的设置依据。</w:t>
      </w:r>
      <w:r>
        <w:rPr>
          <w:rFonts w:hint="eastAsia" w:ascii="Times New Roman" w:eastAsia="宋体"/>
          <w:color w:val="000000"/>
        </w:rPr>
        <w:t>污酸渣浸出液</w:t>
      </w:r>
      <w:r>
        <w:rPr>
          <w:rFonts w:hint="eastAsia" w:ascii="Times New Roman" w:eastAsia="宋体"/>
        </w:rPr>
        <w:t>应按照HJ/T</w:t>
      </w:r>
      <w:r>
        <w:rPr>
          <w:rFonts w:ascii="Times New Roman" w:eastAsia="宋体"/>
        </w:rPr>
        <w:t xml:space="preserve"> </w:t>
      </w:r>
      <w:r>
        <w:rPr>
          <w:rFonts w:hint="eastAsia" w:ascii="Times New Roman" w:eastAsia="宋体"/>
        </w:rPr>
        <w:t>299规定方法制备，</w:t>
      </w:r>
      <w:r>
        <w:rPr>
          <w:rFonts w:hint="eastAsia" w:ascii="Times New Roman" w:eastAsia="宋体"/>
          <w:color w:val="000000"/>
        </w:rPr>
        <w:t>浸出毒性和含量测定应按GB</w:t>
      </w:r>
      <w:r>
        <w:rPr>
          <w:rFonts w:ascii="Times New Roman" w:eastAsia="宋体"/>
          <w:color w:val="000000"/>
        </w:rPr>
        <w:t xml:space="preserve"> </w:t>
      </w:r>
      <w:r>
        <w:rPr>
          <w:rFonts w:hint="eastAsia" w:ascii="Times New Roman" w:eastAsia="宋体"/>
          <w:color w:val="000000"/>
        </w:rPr>
        <w:t>5085.3规定方法执行</w:t>
      </w:r>
      <w:r>
        <w:rPr>
          <w:rFonts w:ascii="Times New Roman" w:eastAsia="宋体"/>
          <w:color w:val="000000"/>
        </w:rPr>
        <w:t>。</w:t>
      </w:r>
    </w:p>
    <w:p>
      <w:pPr>
        <w:pStyle w:val="50"/>
        <w:spacing w:beforeLines="0" w:afterLines="0"/>
        <w:jc w:val="both"/>
        <w:outlineLvl w:val="9"/>
        <w:rPr>
          <w:rFonts w:ascii="Times New Roman" w:eastAsia="宋体"/>
          <w:color w:val="000000"/>
        </w:rPr>
      </w:pPr>
      <w:r>
        <w:rPr>
          <w:rFonts w:ascii="Times New Roman" w:eastAsia="宋体"/>
          <w:color w:val="000000"/>
        </w:rPr>
        <w:t>污酸渣</w:t>
      </w:r>
      <w:r>
        <w:rPr>
          <w:rFonts w:hint="eastAsia" w:ascii="Times New Roman" w:eastAsia="宋体"/>
          <w:color w:val="000000"/>
        </w:rPr>
        <w:t>资源化处置的</w:t>
      </w:r>
      <w:r>
        <w:rPr>
          <w:rFonts w:ascii="Times New Roman" w:eastAsia="宋体"/>
          <w:color w:val="000000"/>
        </w:rPr>
        <w:t>实施场所污染监测：应定期对主体设备场所地下水pH、总硬度、COD、磷、砷、铬（六价）、镉、铅、锌、铜、硫酸盐、氯化物、氟化物等相关污染因子进行检测，其限值按照GB/T 14848有关规定执行，磷的限值按照GB 8978有关规定执行。</w:t>
      </w:r>
    </w:p>
    <w:p>
      <w:pPr>
        <w:pStyle w:val="50"/>
        <w:spacing w:beforeLines="0" w:afterLines="0"/>
        <w:jc w:val="both"/>
        <w:outlineLvl w:val="9"/>
        <w:rPr>
          <w:rFonts w:ascii="Times New Roman" w:eastAsia="宋体"/>
          <w:color w:val="000000"/>
        </w:rPr>
      </w:pPr>
      <w:r>
        <w:rPr>
          <w:rFonts w:ascii="Times New Roman" w:eastAsia="宋体"/>
          <w:color w:val="000000"/>
        </w:rPr>
        <w:t>应在富氧熔炼单元等主要生产工序设置生产控制、运行管理所需的检测仪器仪表，实时在线显示运行工况，包括原料给料量、药剂投加量、给水量、酸碱度等参数。</w:t>
      </w:r>
    </w:p>
    <w:p>
      <w:pPr>
        <w:pStyle w:val="50"/>
        <w:spacing w:beforeLines="0" w:afterLines="0"/>
        <w:jc w:val="both"/>
        <w:outlineLvl w:val="9"/>
        <w:rPr>
          <w:rFonts w:ascii="Times New Roman" w:eastAsia="宋体"/>
          <w:color w:val="000000"/>
        </w:rPr>
      </w:pPr>
      <w:r>
        <w:rPr>
          <w:rFonts w:ascii="Times New Roman" w:eastAsia="宋体"/>
          <w:color w:val="000000"/>
        </w:rPr>
        <w:t>应设置生产线电力消耗和原料消耗的计量和控制设施，提高能源利用水平。</w:t>
      </w:r>
    </w:p>
    <w:p>
      <w:pPr>
        <w:pStyle w:val="47"/>
        <w:spacing w:before="312" w:after="312"/>
        <w:rPr>
          <w:rFonts w:ascii="Times New Roman"/>
          <w:color w:val="000000"/>
        </w:rPr>
      </w:pPr>
      <w:bookmarkStart w:id="20" w:name="_Toc101716266"/>
      <w:r>
        <w:rPr>
          <w:rFonts w:ascii="Times New Roman"/>
          <w:color w:val="000000"/>
        </w:rPr>
        <w:t>运行与维护</w:t>
      </w:r>
      <w:bookmarkEnd w:id="20"/>
    </w:p>
    <w:p>
      <w:pPr>
        <w:pStyle w:val="50"/>
        <w:spacing w:before="156" w:after="156"/>
        <w:rPr>
          <w:rFonts w:ascii="Times New Roman"/>
          <w:color w:val="000000"/>
        </w:rPr>
      </w:pPr>
      <w:bookmarkStart w:id="21" w:name="_Toc90029537"/>
      <w:r>
        <w:rPr>
          <w:rFonts w:ascii="Times New Roman"/>
          <w:color w:val="000000"/>
        </w:rPr>
        <w:t>一般规定</w:t>
      </w:r>
      <w:bookmarkEnd w:id="21"/>
    </w:p>
    <w:p>
      <w:pPr>
        <w:pStyle w:val="51"/>
        <w:spacing w:beforeLines="0" w:afterLines="0"/>
        <w:jc w:val="both"/>
        <w:rPr>
          <w:rFonts w:ascii="Times New Roman" w:eastAsia="宋体"/>
          <w:color w:val="000000"/>
          <w:kern w:val="2"/>
        </w:rPr>
      </w:pPr>
      <w:r>
        <w:rPr>
          <w:rFonts w:ascii="Times New Roman" w:eastAsia="宋体"/>
          <w:color w:val="000000"/>
        </w:rPr>
        <w:t>污酸渣</w:t>
      </w:r>
      <w:r>
        <w:rPr>
          <w:rFonts w:hint="eastAsia" w:ascii="Times New Roman" w:eastAsia="宋体"/>
          <w:color w:val="000000"/>
        </w:rPr>
        <w:t>资源化处置</w:t>
      </w:r>
      <w:r>
        <w:rPr>
          <w:rFonts w:ascii="Times New Roman" w:eastAsia="宋体"/>
          <w:color w:val="000000"/>
        </w:rPr>
        <w:t>工艺</w:t>
      </w:r>
      <w:r>
        <w:rPr>
          <w:rFonts w:ascii="Times New Roman" w:eastAsia="宋体"/>
          <w:color w:val="000000"/>
          <w:kern w:val="2"/>
        </w:rPr>
        <w:t>的运行、维护和安全管理应符合国家现行标准和规范的有关规定。</w:t>
      </w:r>
    </w:p>
    <w:p>
      <w:pPr>
        <w:pStyle w:val="51"/>
        <w:spacing w:beforeLines="0" w:afterLines="0"/>
        <w:jc w:val="both"/>
        <w:rPr>
          <w:rFonts w:ascii="Times New Roman" w:eastAsia="宋体"/>
          <w:color w:val="000000"/>
          <w:kern w:val="2"/>
        </w:rPr>
      </w:pPr>
      <w:r>
        <w:rPr>
          <w:rFonts w:ascii="Times New Roman" w:eastAsia="宋体"/>
          <w:color w:val="000000"/>
          <w:kern w:val="2"/>
        </w:rPr>
        <w:t>企业应建立健全规章制度、岗位操作规程和质量管理等文件。</w:t>
      </w:r>
    </w:p>
    <w:p>
      <w:pPr>
        <w:pStyle w:val="51"/>
        <w:spacing w:beforeLines="0" w:afterLines="0"/>
        <w:jc w:val="both"/>
        <w:rPr>
          <w:rFonts w:ascii="Times New Roman" w:eastAsia="宋体"/>
          <w:color w:val="000000"/>
          <w:kern w:val="2"/>
        </w:rPr>
      </w:pPr>
      <w:r>
        <w:rPr>
          <w:rFonts w:ascii="Times New Roman" w:eastAsia="宋体"/>
          <w:color w:val="000000"/>
          <w:kern w:val="2"/>
        </w:rPr>
        <w:t>企业应建立污酸渣处理情况台账，内容包括每批污酸渣的来源、数量、种类、处理方式、处理时间、处理量、检测结果、最终去向等。</w:t>
      </w:r>
    </w:p>
    <w:p>
      <w:pPr>
        <w:pStyle w:val="51"/>
        <w:spacing w:beforeLines="0" w:afterLines="0"/>
        <w:jc w:val="both"/>
        <w:rPr>
          <w:rFonts w:ascii="Times New Roman" w:eastAsia="宋体"/>
          <w:color w:val="000000"/>
          <w:kern w:val="2"/>
        </w:rPr>
      </w:pPr>
      <w:r>
        <w:rPr>
          <w:rFonts w:ascii="Times New Roman" w:eastAsia="宋体"/>
          <w:color w:val="000000"/>
          <w:kern w:val="2"/>
        </w:rPr>
        <w:t>企业应建立药剂购买、贮存、使用情况台账，内容包括药剂名称、品牌、购买时间及数量、每日投加数量、剩余库存数量。</w:t>
      </w:r>
    </w:p>
    <w:p>
      <w:pPr>
        <w:pStyle w:val="50"/>
        <w:spacing w:before="156" w:after="156"/>
        <w:rPr>
          <w:rFonts w:ascii="Times New Roman"/>
          <w:color w:val="000000"/>
        </w:rPr>
      </w:pPr>
      <w:bookmarkStart w:id="22" w:name="_Toc90029538"/>
      <w:r>
        <w:rPr>
          <w:rFonts w:ascii="Times New Roman"/>
          <w:color w:val="000000"/>
        </w:rPr>
        <w:t>人员与运行管理</w:t>
      </w:r>
      <w:bookmarkEnd w:id="22"/>
    </w:p>
    <w:p>
      <w:pPr>
        <w:pStyle w:val="51"/>
        <w:spacing w:beforeLines="0" w:afterLines="0"/>
        <w:jc w:val="both"/>
        <w:rPr>
          <w:rFonts w:ascii="Times New Roman" w:eastAsia="宋体"/>
          <w:color w:val="000000"/>
          <w:kern w:val="2"/>
        </w:rPr>
      </w:pPr>
      <w:r>
        <w:rPr>
          <w:rFonts w:ascii="Times New Roman" w:eastAsia="宋体"/>
          <w:color w:val="000000"/>
          <w:kern w:val="2"/>
        </w:rPr>
        <w:t>在处理工艺启用前，企业应对管理和运行人员进行培训，做到培训考核合格后上岗，并定期对运行人员进行培训及考核。培训内容包括：</w:t>
      </w:r>
    </w:p>
    <w:p>
      <w:pPr>
        <w:pStyle w:val="49"/>
        <w:numPr>
          <w:ilvl w:val="0"/>
          <w:numId w:val="5"/>
        </w:numPr>
        <w:rPr>
          <w:rFonts w:ascii="Times New Roman"/>
          <w:color w:val="000000"/>
        </w:rPr>
      </w:pPr>
      <w:r>
        <w:rPr>
          <w:rFonts w:ascii="Times New Roman"/>
          <w:color w:val="000000"/>
        </w:rPr>
        <w:t>法律法规；</w:t>
      </w:r>
    </w:p>
    <w:p>
      <w:pPr>
        <w:pStyle w:val="49"/>
        <w:numPr>
          <w:ilvl w:val="0"/>
          <w:numId w:val="5"/>
        </w:numPr>
        <w:rPr>
          <w:rFonts w:ascii="Times New Roman"/>
          <w:color w:val="000000"/>
        </w:rPr>
      </w:pPr>
      <w:r>
        <w:rPr>
          <w:rFonts w:ascii="Times New Roman"/>
          <w:color w:val="000000"/>
        </w:rPr>
        <w:t>基本原理和工艺流程和岗位操作规程；</w:t>
      </w:r>
    </w:p>
    <w:p>
      <w:pPr>
        <w:pStyle w:val="49"/>
        <w:numPr>
          <w:ilvl w:val="0"/>
          <w:numId w:val="5"/>
        </w:numPr>
        <w:rPr>
          <w:rFonts w:ascii="Times New Roman"/>
          <w:color w:val="000000"/>
        </w:rPr>
      </w:pPr>
      <w:r>
        <w:rPr>
          <w:rFonts w:ascii="Times New Roman"/>
          <w:color w:val="000000"/>
        </w:rPr>
        <w:t>正常运行情况下设备的控制、报警和指示系统的状态和检查，保持设备良好运行的条件；</w:t>
      </w:r>
    </w:p>
    <w:p>
      <w:pPr>
        <w:pStyle w:val="49"/>
        <w:numPr>
          <w:ilvl w:val="0"/>
          <w:numId w:val="5"/>
        </w:numPr>
        <w:rPr>
          <w:rFonts w:ascii="Times New Roman"/>
          <w:color w:val="000000"/>
        </w:rPr>
      </w:pPr>
      <w:r>
        <w:rPr>
          <w:rFonts w:ascii="Times New Roman"/>
          <w:color w:val="000000"/>
        </w:rPr>
        <w:t>设备日常和定期维护，运行故障的发现、检查和排除；</w:t>
      </w:r>
    </w:p>
    <w:p>
      <w:pPr>
        <w:pStyle w:val="49"/>
        <w:numPr>
          <w:ilvl w:val="0"/>
          <w:numId w:val="5"/>
        </w:numPr>
        <w:rPr>
          <w:rFonts w:ascii="Times New Roman"/>
          <w:color w:val="000000"/>
        </w:rPr>
      </w:pPr>
      <w:r>
        <w:rPr>
          <w:rFonts w:ascii="Times New Roman"/>
          <w:color w:val="000000"/>
        </w:rPr>
        <w:t>事故和紧急状态下人工操作和事故排除方法；</w:t>
      </w:r>
    </w:p>
    <w:p>
      <w:pPr>
        <w:pStyle w:val="49"/>
        <w:numPr>
          <w:ilvl w:val="0"/>
          <w:numId w:val="5"/>
        </w:numPr>
        <w:rPr>
          <w:rFonts w:ascii="Times New Roman"/>
          <w:color w:val="000000"/>
        </w:rPr>
      </w:pPr>
      <w:r>
        <w:rPr>
          <w:rFonts w:ascii="Times New Roman"/>
          <w:color w:val="000000"/>
        </w:rPr>
        <w:t>安全隐患和安全防护措施。</w:t>
      </w:r>
    </w:p>
    <w:p>
      <w:pPr>
        <w:pStyle w:val="51"/>
        <w:spacing w:beforeLines="0" w:afterLines="0"/>
        <w:jc w:val="both"/>
        <w:rPr>
          <w:rFonts w:ascii="Times New Roman" w:eastAsia="宋体"/>
          <w:color w:val="000000"/>
          <w:kern w:val="2"/>
        </w:rPr>
      </w:pPr>
      <w:r>
        <w:rPr>
          <w:rFonts w:ascii="Times New Roman" w:eastAsia="宋体"/>
          <w:color w:val="000000"/>
          <w:kern w:val="2"/>
        </w:rPr>
        <w:t>运行人员应严格按照操作规程作业，如实填写运行状况、设施维护记录，并妥善保存。</w:t>
      </w:r>
    </w:p>
    <w:p>
      <w:pPr>
        <w:pStyle w:val="51"/>
        <w:spacing w:beforeLines="0" w:afterLines="0"/>
        <w:jc w:val="both"/>
        <w:rPr>
          <w:rFonts w:ascii="Times New Roman" w:eastAsia="宋体"/>
          <w:color w:val="000000"/>
          <w:kern w:val="2"/>
        </w:rPr>
      </w:pPr>
      <w:r>
        <w:rPr>
          <w:rFonts w:ascii="Times New Roman" w:eastAsia="宋体"/>
          <w:color w:val="000000"/>
          <w:kern w:val="2"/>
        </w:rPr>
        <w:t>运行人员应遵守企业规定的巡视制度和交接班制度。</w:t>
      </w:r>
    </w:p>
    <w:p>
      <w:pPr>
        <w:pStyle w:val="51"/>
        <w:spacing w:beforeLines="0" w:afterLines="0"/>
        <w:jc w:val="both"/>
        <w:rPr>
          <w:rFonts w:ascii="Times New Roman" w:eastAsia="宋体"/>
          <w:color w:val="000000"/>
          <w:kern w:val="2"/>
        </w:rPr>
      </w:pPr>
      <w:r>
        <w:rPr>
          <w:rFonts w:ascii="Times New Roman" w:eastAsia="宋体"/>
          <w:color w:val="000000"/>
          <w:kern w:val="2"/>
        </w:rPr>
        <w:t>实验及检测人员应具备基础实验能力，掌握HJ/T 20规定的采样、制样方法，掌握GB 5085.3和GB 5085.6规定的相关分析方法，熟练操作常规检测设备。</w:t>
      </w:r>
    </w:p>
    <w:p>
      <w:pPr>
        <w:pStyle w:val="50"/>
        <w:spacing w:before="156" w:after="156"/>
        <w:rPr>
          <w:rFonts w:ascii="Times New Roman"/>
          <w:color w:val="000000"/>
        </w:rPr>
      </w:pPr>
      <w:bookmarkStart w:id="23" w:name="_Toc90029539"/>
      <w:r>
        <w:rPr>
          <w:rFonts w:ascii="Times New Roman"/>
          <w:color w:val="000000"/>
        </w:rPr>
        <w:t>维护</w:t>
      </w:r>
      <w:bookmarkEnd w:id="23"/>
    </w:p>
    <w:p>
      <w:pPr>
        <w:pStyle w:val="51"/>
        <w:spacing w:beforeLines="0" w:afterLines="0"/>
        <w:jc w:val="both"/>
        <w:rPr>
          <w:rFonts w:ascii="Times New Roman" w:eastAsia="宋体"/>
          <w:color w:val="000000"/>
          <w:kern w:val="2"/>
        </w:rPr>
      </w:pPr>
      <w:r>
        <w:rPr>
          <w:rFonts w:ascii="Times New Roman" w:eastAsia="宋体"/>
          <w:color w:val="000000"/>
          <w:kern w:val="2"/>
        </w:rPr>
        <w:t>应制定设备维护计划。</w:t>
      </w:r>
    </w:p>
    <w:p>
      <w:pPr>
        <w:pStyle w:val="51"/>
        <w:spacing w:beforeLines="0" w:afterLines="0"/>
        <w:jc w:val="both"/>
        <w:rPr>
          <w:rFonts w:ascii="Times New Roman" w:eastAsia="宋体"/>
          <w:color w:val="000000"/>
          <w:kern w:val="2"/>
        </w:rPr>
      </w:pPr>
      <w:r>
        <w:rPr>
          <w:rFonts w:ascii="Times New Roman" w:eastAsia="宋体"/>
          <w:color w:val="000000"/>
          <w:kern w:val="2"/>
        </w:rPr>
        <w:t>维护人员应根据计划定期检查、维护和更换必要的部件和材料。</w:t>
      </w:r>
    </w:p>
    <w:p>
      <w:pPr>
        <w:pStyle w:val="51"/>
        <w:spacing w:beforeLines="0" w:afterLines="0"/>
        <w:jc w:val="both"/>
        <w:rPr>
          <w:rFonts w:ascii="Times New Roman" w:eastAsia="宋体"/>
          <w:color w:val="000000"/>
          <w:kern w:val="2"/>
        </w:rPr>
      </w:pPr>
      <w:r>
        <w:rPr>
          <w:rFonts w:ascii="Times New Roman" w:eastAsia="宋体"/>
          <w:color w:val="000000"/>
          <w:kern w:val="2"/>
        </w:rPr>
        <w:t>维护人员应做好相关记录。</w:t>
      </w:r>
    </w:p>
    <w:p>
      <w:pPr>
        <w:pStyle w:val="50"/>
        <w:spacing w:before="156" w:after="156"/>
        <w:rPr>
          <w:rFonts w:ascii="Times New Roman"/>
          <w:color w:val="000000"/>
        </w:rPr>
      </w:pPr>
      <w:bookmarkStart w:id="24" w:name="_Toc90029540"/>
      <w:r>
        <w:rPr>
          <w:rFonts w:ascii="Times New Roman"/>
          <w:color w:val="000000"/>
        </w:rPr>
        <w:t>应急措施</w:t>
      </w:r>
      <w:bookmarkEnd w:id="24"/>
    </w:p>
    <w:p>
      <w:pPr>
        <w:pStyle w:val="51"/>
        <w:spacing w:beforeLines="0" w:afterLines="0"/>
        <w:jc w:val="both"/>
        <w:rPr>
          <w:rFonts w:ascii="Times New Roman" w:eastAsia="宋体"/>
          <w:color w:val="000000"/>
          <w:kern w:val="2"/>
        </w:rPr>
      </w:pPr>
      <w:r>
        <w:rPr>
          <w:rFonts w:ascii="Times New Roman" w:eastAsia="宋体"/>
          <w:color w:val="000000"/>
        </w:rPr>
        <w:t>污酸渣</w:t>
      </w:r>
      <w:r>
        <w:rPr>
          <w:rFonts w:hint="eastAsia" w:ascii="Times New Roman" w:eastAsia="宋体"/>
          <w:color w:val="000000"/>
        </w:rPr>
        <w:t>资源化处置</w:t>
      </w:r>
      <w:r>
        <w:rPr>
          <w:rFonts w:ascii="Times New Roman" w:eastAsia="宋体"/>
          <w:color w:val="000000"/>
        </w:rPr>
        <w:t>工艺</w:t>
      </w:r>
      <w:r>
        <w:rPr>
          <w:rFonts w:ascii="Times New Roman" w:eastAsia="宋体"/>
          <w:color w:val="000000"/>
          <w:kern w:val="2"/>
        </w:rPr>
        <w:t>的运营管理部门应编制应急预案，包括生产事故应急预案、环保事故应急预案。生产事故应急预案包括通用工艺停电应急、设备故障应急、火灾、人员受伤等。环保事故应急预案包括液体或固体粉料药剂泄漏。</w:t>
      </w:r>
    </w:p>
    <w:p>
      <w:pPr>
        <w:pStyle w:val="51"/>
        <w:spacing w:beforeLines="0" w:afterLines="0"/>
        <w:jc w:val="both"/>
        <w:rPr>
          <w:rFonts w:ascii="Times New Roman" w:eastAsia="宋体"/>
          <w:color w:val="000000"/>
          <w:kern w:val="2"/>
        </w:rPr>
      </w:pPr>
      <w:r>
        <w:rPr>
          <w:rFonts w:ascii="Times New Roman" w:eastAsia="宋体"/>
          <w:color w:val="000000"/>
          <w:kern w:val="2"/>
        </w:rPr>
        <w:t>应急预案应包括应急预警、应急响应、应急指挥、应急处理等方面的内容。企业应制定相应的应急处理措施，并配套相应的人力、设备、通讯等应急处理的必备条件。</w:t>
      </w:r>
    </w:p>
    <w:p>
      <w:pPr>
        <w:pStyle w:val="51"/>
        <w:spacing w:beforeLines="0" w:afterLines="0"/>
        <w:jc w:val="both"/>
        <w:rPr>
          <w:rFonts w:ascii="Times New Roman" w:eastAsia="宋体"/>
          <w:color w:val="000000"/>
          <w:kern w:val="2"/>
        </w:rPr>
      </w:pPr>
      <w:r>
        <w:rPr>
          <w:rFonts w:ascii="Times New Roman" w:eastAsia="宋体"/>
          <w:color w:val="000000"/>
          <w:kern w:val="2"/>
        </w:rPr>
        <w:t>处理设施发生异常情况或重大事故时，应启用应急处理措施，并按应急预案中的规定向有关主管部门报告。</w:t>
      </w:r>
    </w:p>
    <w:p>
      <w:pPr>
        <w:pStyle w:val="48"/>
        <w:rPr>
          <w:rFonts w:ascii="Times New Roman" w:eastAsia="宋体"/>
          <w:color w:val="000000"/>
          <w:kern w:val="2"/>
        </w:rPr>
      </w:pPr>
    </w:p>
    <w:p>
      <w:pPr>
        <w:pStyle w:val="48"/>
        <w:rPr>
          <w:rFonts w:ascii="Times New Roman" w:eastAsia="宋体"/>
          <w:color w:val="000000"/>
          <w:kern w:val="2"/>
        </w:rPr>
      </w:pPr>
    </w:p>
    <w:p>
      <w:pPr>
        <w:pStyle w:val="48"/>
        <w:rPr>
          <w:rFonts w:ascii="Times New Roman" w:eastAsia="宋体"/>
          <w:color w:val="000000"/>
          <w:kern w:val="2"/>
        </w:rPr>
      </w:pPr>
    </w:p>
    <w:p>
      <w:pPr>
        <w:pStyle w:val="48"/>
        <w:rPr>
          <w:rFonts w:ascii="Times New Roman" w:eastAsia="宋体"/>
          <w:color w:val="000000"/>
          <w:kern w:val="2"/>
        </w:rPr>
      </w:pPr>
    </w:p>
    <w:p>
      <w:pPr>
        <w:pStyle w:val="48"/>
        <w:rPr>
          <w:rFonts w:ascii="Times New Roman" w:eastAsia="宋体"/>
          <w:color w:val="000000"/>
          <w:kern w:val="2"/>
        </w:rPr>
      </w:pPr>
    </w:p>
    <w:p>
      <w:pPr>
        <w:pStyle w:val="48"/>
        <w:jc w:val="center"/>
        <w:rPr>
          <w:rFonts w:hint="default" w:ascii="Times New Roman" w:eastAsia="宋体"/>
          <w:color w:val="000000"/>
          <w:kern w:val="2"/>
          <w:lang w:val="en-US" w:eastAsia="zh-CN"/>
        </w:rPr>
      </w:pPr>
      <w:r>
        <w:rPr>
          <w:rFonts w:hint="eastAsia" w:ascii="Times New Roman"/>
          <w:color w:val="000000"/>
          <w:kern w:val="2"/>
          <w:lang w:val="en-US" w:eastAsia="zh-CN"/>
        </w:rPr>
        <w:t>____________________________________</w:t>
      </w:r>
      <w:bookmarkStart w:id="25" w:name="_GoBack"/>
      <w:bookmarkEnd w:id="25"/>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38100" cy="131445"/>
              <wp:effectExtent l="0" t="0" r="254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38100" cy="131445"/>
                      </a:xfrm>
                      <a:prstGeom prst="rect">
                        <a:avLst/>
                      </a:prstGeom>
                      <a:noFill/>
                      <a:ln>
                        <a:noFill/>
                      </a:ln>
                    </wps:spPr>
                    <wps:txbx>
                      <w:txbxContent>
                        <w:p>
                          <w:pPr>
                            <w:pStyle w:val="7"/>
                          </w:pPr>
                          <w:r>
                            <w:fldChar w:fldCharType="begin"/>
                          </w:r>
                          <w:r>
                            <w:instrText xml:space="preserve"> PAGE  \* MERGEFORMAT </w:instrText>
                          </w:r>
                          <w:r>
                            <w:fldChar w:fldCharType="separate"/>
                          </w:r>
                          <w:r>
                            <w:t>I</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3pt;mso-position-horizontal:right;mso-position-horizontal-relative:margin;mso-wrap-style:none;z-index:251657216;mso-width-relative:page;mso-height-relative:page;" filled="f" stroked="f" coordsize="21600,21600" o:gfxdata="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1i/cjzwAAAAIBAAAPAAAAAAAAAAEAIAAA&#10;ACIAAABkcnMvZG93bnJldi54bWxQSwECFAAUAAAACACHTuJAQJi7UtwBAACyAwAADgAAAAAAAAAB&#10;ACAAAAAeAQAAZHJzL2Uyb0RvYy54bWxQSwUGAAAAAAYABgBZAQAAbA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7785" cy="131445"/>
              <wp:effectExtent l="0"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7"/>
                          </w:pPr>
                          <w:r>
                            <w:fldChar w:fldCharType="begin"/>
                          </w:r>
                          <w:r>
                            <w:instrText xml:space="preserve"> PAGE  \* MERGEFORMAT </w:instrText>
                          </w:r>
                          <w:r>
                            <w:fldChar w:fldCharType="separate"/>
                          </w:r>
                          <w:r>
                            <w:t>6</w:t>
                          </w:r>
                          <w:r>
                            <w:fldChar w:fldCharType="end"/>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0.35pt;width:4.55pt;mso-position-horizontal:outside;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i91E0AAAAAIBAAAPAAAAAAAAAAEA&#10;IAAAACIAAABkcnMvZG93bnJldi54bWxQSwECFAAUAAAACACHTuJAALLMwN4BAACyAwAADgAAAAAA&#10;AAABACAAAAAfAQAAZHJzL2Uyb0RvYy54bWxQSwUGAAAAAAYABgBZAQAAbw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T/CNIA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47"/>
      <w:suff w:val="nothing"/>
      <w:lvlText w:val="%1　"/>
      <w:lvlJc w:val="left"/>
      <w:rPr>
        <w:rFonts w:hint="eastAsia" w:ascii="黑体" w:hAnsi="Times New Roman" w:eastAsia="黑体" w:cs="Times New Roman"/>
        <w:b w:val="0"/>
        <w:i w:val="0"/>
        <w:sz w:val="21"/>
        <w:szCs w:val="21"/>
      </w:rPr>
    </w:lvl>
    <w:lvl w:ilvl="1" w:tentative="0">
      <w:start w:val="1"/>
      <w:numFmt w:val="decimal"/>
      <w:pStyle w:val="50"/>
      <w:suff w:val="nothing"/>
      <w:lvlText w:val="%1.%2　"/>
      <w:lvlJc w:val="left"/>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1"/>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44C50F90"/>
    <w:multiLevelType w:val="multilevel"/>
    <w:tmpl w:val="44C50F90"/>
    <w:lvl w:ilvl="0" w:tentative="0">
      <w:start w:val="1"/>
      <w:numFmt w:val="lowerLetter"/>
      <w:pStyle w:val="49"/>
      <w:lvlText w:val="%1)"/>
      <w:lvlJc w:val="left"/>
      <w:pPr>
        <w:tabs>
          <w:tab w:val="left" w:pos="839"/>
        </w:tabs>
        <w:ind w:left="839" w:hanging="419"/>
      </w:pPr>
      <w:rPr>
        <w:rFonts w:hint="eastAsia" w:ascii="宋体" w:hAnsi="宋体" w:eastAsia="宋体" w:cs="Times New Roman"/>
        <w:b w:val="0"/>
        <w:i w:val="0"/>
        <w:sz w:val="21"/>
        <w:szCs w:val="21"/>
      </w:rPr>
    </w:lvl>
    <w:lvl w:ilvl="1" w:tentative="0">
      <w:start w:val="1"/>
      <w:numFmt w:val="decimal"/>
      <w:lvlText w:val="%2)"/>
      <w:lvlJc w:val="left"/>
      <w:pPr>
        <w:tabs>
          <w:tab w:val="left" w:pos="1259"/>
        </w:tabs>
        <w:ind w:left="1259" w:hanging="420"/>
      </w:pPr>
      <w:rPr>
        <w:rFonts w:hint="eastAsia" w:ascii="宋体" w:hAnsi="宋体" w:eastAsia="宋体" w:cs="Times New Roman"/>
        <w:b w:val="0"/>
        <w:i w:val="0"/>
        <w:sz w:val="20"/>
      </w:rPr>
    </w:lvl>
    <w:lvl w:ilvl="2" w:tentative="0">
      <w:start w:val="1"/>
      <w:numFmt w:val="decimal"/>
      <w:lvlText w:val="(%3)"/>
      <w:lvlJc w:val="left"/>
      <w:pPr>
        <w:tabs>
          <w:tab w:val="left" w:pos="0"/>
        </w:tabs>
        <w:ind w:left="1678" w:hanging="419"/>
      </w:pPr>
      <w:rPr>
        <w:rFonts w:hint="eastAsia" w:ascii="宋体" w:hAnsi="宋体" w:eastAsia="宋体" w:cs="Times New Roman"/>
        <w:b w:val="0"/>
        <w:i w:val="0"/>
        <w:sz w:val="21"/>
        <w:szCs w:val="21"/>
      </w:rPr>
    </w:lvl>
    <w:lvl w:ilvl="3" w:tentative="0">
      <w:start w:val="1"/>
      <w:numFmt w:val="decimal"/>
      <w:lvlText w:val="%4."/>
      <w:lvlJc w:val="left"/>
      <w:pPr>
        <w:tabs>
          <w:tab w:val="left" w:pos="2098"/>
        </w:tabs>
        <w:ind w:left="2098" w:hanging="420"/>
      </w:pPr>
      <w:rPr>
        <w:rFonts w:hint="eastAsia" w:cs="Times New Roman"/>
      </w:rPr>
    </w:lvl>
    <w:lvl w:ilvl="4" w:tentative="0">
      <w:start w:val="1"/>
      <w:numFmt w:val="lowerLetter"/>
      <w:pStyle w:val="60"/>
      <w:lvlText w:val="%5)"/>
      <w:lvlJc w:val="left"/>
      <w:pPr>
        <w:tabs>
          <w:tab w:val="left" w:pos="2517"/>
        </w:tabs>
        <w:ind w:left="2517" w:hanging="419"/>
      </w:pPr>
      <w:rPr>
        <w:rFonts w:hint="eastAsia" w:cs="Times New Roman"/>
      </w:rPr>
    </w:lvl>
    <w:lvl w:ilvl="5" w:tentative="0">
      <w:start w:val="1"/>
      <w:numFmt w:val="lowerRoman"/>
      <w:lvlText w:val="%6."/>
      <w:lvlJc w:val="right"/>
      <w:pPr>
        <w:tabs>
          <w:tab w:val="left" w:pos="2942"/>
        </w:tabs>
        <w:ind w:left="2937" w:hanging="420"/>
      </w:pPr>
      <w:rPr>
        <w:rFonts w:hint="eastAsia" w:cs="Times New Roman"/>
      </w:rPr>
    </w:lvl>
    <w:lvl w:ilvl="6" w:tentative="0">
      <w:start w:val="1"/>
      <w:numFmt w:val="decimal"/>
      <w:lvlText w:val="%7."/>
      <w:lvlJc w:val="left"/>
      <w:pPr>
        <w:tabs>
          <w:tab w:val="left" w:pos="3362"/>
        </w:tabs>
        <w:ind w:left="3356" w:hanging="414"/>
      </w:pPr>
      <w:rPr>
        <w:rFonts w:hint="eastAsia" w:cs="Times New Roman"/>
      </w:rPr>
    </w:lvl>
    <w:lvl w:ilvl="7" w:tentative="0">
      <w:start w:val="1"/>
      <w:numFmt w:val="lowerLetter"/>
      <w:lvlText w:val="%8)"/>
      <w:lvlJc w:val="left"/>
      <w:pPr>
        <w:tabs>
          <w:tab w:val="left" w:pos="3781"/>
        </w:tabs>
        <w:ind w:left="3776" w:hanging="414"/>
      </w:pPr>
      <w:rPr>
        <w:rFonts w:hint="eastAsia" w:cs="Times New Roman"/>
      </w:rPr>
    </w:lvl>
    <w:lvl w:ilvl="8" w:tentative="0">
      <w:start w:val="1"/>
      <w:numFmt w:val="lowerRoman"/>
      <w:lvlText w:val="%9."/>
      <w:lvlJc w:val="right"/>
      <w:pPr>
        <w:tabs>
          <w:tab w:val="left" w:pos="4201"/>
        </w:tabs>
        <w:ind w:left="4201" w:hanging="420"/>
      </w:pPr>
      <w:rPr>
        <w:rFonts w:hint="eastAsia"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56"/>
    <w:rsid w:val="0000107C"/>
    <w:rsid w:val="000042EC"/>
    <w:rsid w:val="00010535"/>
    <w:rsid w:val="0001093C"/>
    <w:rsid w:val="00010E46"/>
    <w:rsid w:val="000119CA"/>
    <w:rsid w:val="0001211D"/>
    <w:rsid w:val="000220B6"/>
    <w:rsid w:val="00025231"/>
    <w:rsid w:val="000306D0"/>
    <w:rsid w:val="00032471"/>
    <w:rsid w:val="000335F8"/>
    <w:rsid w:val="00033789"/>
    <w:rsid w:val="00035924"/>
    <w:rsid w:val="000413A2"/>
    <w:rsid w:val="00041729"/>
    <w:rsid w:val="0004246E"/>
    <w:rsid w:val="00042764"/>
    <w:rsid w:val="000472E3"/>
    <w:rsid w:val="00047704"/>
    <w:rsid w:val="00047BB1"/>
    <w:rsid w:val="00047E55"/>
    <w:rsid w:val="000509EB"/>
    <w:rsid w:val="00051833"/>
    <w:rsid w:val="0006366C"/>
    <w:rsid w:val="00063D2C"/>
    <w:rsid w:val="00064671"/>
    <w:rsid w:val="00065803"/>
    <w:rsid w:val="000666A7"/>
    <w:rsid w:val="00067AEC"/>
    <w:rsid w:val="00071C03"/>
    <w:rsid w:val="000726F7"/>
    <w:rsid w:val="00074530"/>
    <w:rsid w:val="00075C57"/>
    <w:rsid w:val="000771B9"/>
    <w:rsid w:val="000807CA"/>
    <w:rsid w:val="00080AAE"/>
    <w:rsid w:val="00081946"/>
    <w:rsid w:val="000863CA"/>
    <w:rsid w:val="00090AA7"/>
    <w:rsid w:val="000920ED"/>
    <w:rsid w:val="0009253E"/>
    <w:rsid w:val="00093124"/>
    <w:rsid w:val="00093385"/>
    <w:rsid w:val="00094C2C"/>
    <w:rsid w:val="000958AC"/>
    <w:rsid w:val="00095D65"/>
    <w:rsid w:val="00096A6D"/>
    <w:rsid w:val="000A1276"/>
    <w:rsid w:val="000A13C9"/>
    <w:rsid w:val="000A2227"/>
    <w:rsid w:val="000A2A92"/>
    <w:rsid w:val="000A4BAB"/>
    <w:rsid w:val="000B18C1"/>
    <w:rsid w:val="000C279E"/>
    <w:rsid w:val="000C38AD"/>
    <w:rsid w:val="000C4AB5"/>
    <w:rsid w:val="000C553A"/>
    <w:rsid w:val="000C5DA9"/>
    <w:rsid w:val="000C79FE"/>
    <w:rsid w:val="000D0E0B"/>
    <w:rsid w:val="000D2053"/>
    <w:rsid w:val="000D3213"/>
    <w:rsid w:val="000D50CD"/>
    <w:rsid w:val="000D63AB"/>
    <w:rsid w:val="000D7E3A"/>
    <w:rsid w:val="000E2016"/>
    <w:rsid w:val="000E23F7"/>
    <w:rsid w:val="000E24F9"/>
    <w:rsid w:val="000E2E8D"/>
    <w:rsid w:val="000E4835"/>
    <w:rsid w:val="000F0D26"/>
    <w:rsid w:val="000F0F68"/>
    <w:rsid w:val="000F145D"/>
    <w:rsid w:val="000F5F06"/>
    <w:rsid w:val="000F6624"/>
    <w:rsid w:val="000F7603"/>
    <w:rsid w:val="001005E9"/>
    <w:rsid w:val="00102369"/>
    <w:rsid w:val="001027A6"/>
    <w:rsid w:val="00102916"/>
    <w:rsid w:val="001029A4"/>
    <w:rsid w:val="00114327"/>
    <w:rsid w:val="001158B8"/>
    <w:rsid w:val="001240FC"/>
    <w:rsid w:val="001252FD"/>
    <w:rsid w:val="00125F2A"/>
    <w:rsid w:val="0012601F"/>
    <w:rsid w:val="0013069E"/>
    <w:rsid w:val="00130817"/>
    <w:rsid w:val="00130C98"/>
    <w:rsid w:val="001321F0"/>
    <w:rsid w:val="00137123"/>
    <w:rsid w:val="00140A73"/>
    <w:rsid w:val="0014537E"/>
    <w:rsid w:val="00146E6F"/>
    <w:rsid w:val="00150969"/>
    <w:rsid w:val="00151ECB"/>
    <w:rsid w:val="0015400C"/>
    <w:rsid w:val="001554D8"/>
    <w:rsid w:val="00156609"/>
    <w:rsid w:val="00156D69"/>
    <w:rsid w:val="001601A7"/>
    <w:rsid w:val="00161528"/>
    <w:rsid w:val="0016323F"/>
    <w:rsid w:val="00163246"/>
    <w:rsid w:val="001636FC"/>
    <w:rsid w:val="00166535"/>
    <w:rsid w:val="001672E8"/>
    <w:rsid w:val="00170710"/>
    <w:rsid w:val="00170A99"/>
    <w:rsid w:val="0017146A"/>
    <w:rsid w:val="001729BF"/>
    <w:rsid w:val="00176977"/>
    <w:rsid w:val="00180C9D"/>
    <w:rsid w:val="001822A2"/>
    <w:rsid w:val="001829BC"/>
    <w:rsid w:val="001869C1"/>
    <w:rsid w:val="00186FD2"/>
    <w:rsid w:val="0019001B"/>
    <w:rsid w:val="0019103D"/>
    <w:rsid w:val="001928CA"/>
    <w:rsid w:val="00192AF1"/>
    <w:rsid w:val="00193FBD"/>
    <w:rsid w:val="00194593"/>
    <w:rsid w:val="00194C37"/>
    <w:rsid w:val="0019584D"/>
    <w:rsid w:val="00197A81"/>
    <w:rsid w:val="001A0496"/>
    <w:rsid w:val="001A17E3"/>
    <w:rsid w:val="001A2AF1"/>
    <w:rsid w:val="001A36AC"/>
    <w:rsid w:val="001B13EF"/>
    <w:rsid w:val="001B14EA"/>
    <w:rsid w:val="001B2016"/>
    <w:rsid w:val="001B24BC"/>
    <w:rsid w:val="001B5B5C"/>
    <w:rsid w:val="001B6AED"/>
    <w:rsid w:val="001B7AD9"/>
    <w:rsid w:val="001C087F"/>
    <w:rsid w:val="001C230C"/>
    <w:rsid w:val="001C349D"/>
    <w:rsid w:val="001D03F9"/>
    <w:rsid w:val="001E0F4F"/>
    <w:rsid w:val="001E29EF"/>
    <w:rsid w:val="001E2A67"/>
    <w:rsid w:val="001E423B"/>
    <w:rsid w:val="001E7F01"/>
    <w:rsid w:val="001F1B08"/>
    <w:rsid w:val="001F1EA3"/>
    <w:rsid w:val="001F1F5E"/>
    <w:rsid w:val="001F60EC"/>
    <w:rsid w:val="001F7852"/>
    <w:rsid w:val="00204E11"/>
    <w:rsid w:val="002057D6"/>
    <w:rsid w:val="00205D1B"/>
    <w:rsid w:val="0020638D"/>
    <w:rsid w:val="00207863"/>
    <w:rsid w:val="00211606"/>
    <w:rsid w:val="002138C0"/>
    <w:rsid w:val="00216A6D"/>
    <w:rsid w:val="002173BC"/>
    <w:rsid w:val="002207E7"/>
    <w:rsid w:val="00221E50"/>
    <w:rsid w:val="00222114"/>
    <w:rsid w:val="002231FB"/>
    <w:rsid w:val="0022324D"/>
    <w:rsid w:val="00225FBF"/>
    <w:rsid w:val="00227067"/>
    <w:rsid w:val="00231EF3"/>
    <w:rsid w:val="00233031"/>
    <w:rsid w:val="00245077"/>
    <w:rsid w:val="00246917"/>
    <w:rsid w:val="0025045E"/>
    <w:rsid w:val="002515CE"/>
    <w:rsid w:val="002603AA"/>
    <w:rsid w:val="00262D4B"/>
    <w:rsid w:val="00264C48"/>
    <w:rsid w:val="00266EDF"/>
    <w:rsid w:val="002671A8"/>
    <w:rsid w:val="00270A1A"/>
    <w:rsid w:val="0027109A"/>
    <w:rsid w:val="0027354F"/>
    <w:rsid w:val="0027380E"/>
    <w:rsid w:val="00276EDE"/>
    <w:rsid w:val="00281C49"/>
    <w:rsid w:val="0028463D"/>
    <w:rsid w:val="00286215"/>
    <w:rsid w:val="00286F0A"/>
    <w:rsid w:val="00287B9B"/>
    <w:rsid w:val="00290654"/>
    <w:rsid w:val="0029195E"/>
    <w:rsid w:val="002921A5"/>
    <w:rsid w:val="002967B5"/>
    <w:rsid w:val="00296C31"/>
    <w:rsid w:val="00297BA0"/>
    <w:rsid w:val="002A0DED"/>
    <w:rsid w:val="002A2229"/>
    <w:rsid w:val="002A2DBC"/>
    <w:rsid w:val="002A3DAF"/>
    <w:rsid w:val="002A4EEA"/>
    <w:rsid w:val="002A5ED7"/>
    <w:rsid w:val="002A6F61"/>
    <w:rsid w:val="002A729F"/>
    <w:rsid w:val="002B10BC"/>
    <w:rsid w:val="002C025D"/>
    <w:rsid w:val="002C0BC9"/>
    <w:rsid w:val="002C1CA8"/>
    <w:rsid w:val="002C24EA"/>
    <w:rsid w:val="002C2AF5"/>
    <w:rsid w:val="002C3FB8"/>
    <w:rsid w:val="002C51D5"/>
    <w:rsid w:val="002C5D83"/>
    <w:rsid w:val="002C7DE0"/>
    <w:rsid w:val="002D0C53"/>
    <w:rsid w:val="002D12DC"/>
    <w:rsid w:val="002D18F0"/>
    <w:rsid w:val="002D2EE0"/>
    <w:rsid w:val="002D5384"/>
    <w:rsid w:val="002D6F27"/>
    <w:rsid w:val="002D7A03"/>
    <w:rsid w:val="002E2DA8"/>
    <w:rsid w:val="002E32F4"/>
    <w:rsid w:val="002E38BD"/>
    <w:rsid w:val="002E4571"/>
    <w:rsid w:val="002E4BCC"/>
    <w:rsid w:val="002E55B4"/>
    <w:rsid w:val="002E6379"/>
    <w:rsid w:val="002E6820"/>
    <w:rsid w:val="002E7360"/>
    <w:rsid w:val="002F0262"/>
    <w:rsid w:val="002F060F"/>
    <w:rsid w:val="002F0DCC"/>
    <w:rsid w:val="002F2447"/>
    <w:rsid w:val="002F34F4"/>
    <w:rsid w:val="002F390A"/>
    <w:rsid w:val="002F3B65"/>
    <w:rsid w:val="002F425B"/>
    <w:rsid w:val="002F4FC3"/>
    <w:rsid w:val="0030336D"/>
    <w:rsid w:val="003066AB"/>
    <w:rsid w:val="00307703"/>
    <w:rsid w:val="00307C81"/>
    <w:rsid w:val="003104FE"/>
    <w:rsid w:val="00310790"/>
    <w:rsid w:val="0031085F"/>
    <w:rsid w:val="00311158"/>
    <w:rsid w:val="00311A11"/>
    <w:rsid w:val="00311D5D"/>
    <w:rsid w:val="00314A72"/>
    <w:rsid w:val="0032153E"/>
    <w:rsid w:val="0032444B"/>
    <w:rsid w:val="003259F2"/>
    <w:rsid w:val="00325D28"/>
    <w:rsid w:val="0033160B"/>
    <w:rsid w:val="003326BB"/>
    <w:rsid w:val="00333B26"/>
    <w:rsid w:val="00333CF4"/>
    <w:rsid w:val="00334C5D"/>
    <w:rsid w:val="0034145F"/>
    <w:rsid w:val="00342A4C"/>
    <w:rsid w:val="00345B90"/>
    <w:rsid w:val="00345C7C"/>
    <w:rsid w:val="00347471"/>
    <w:rsid w:val="003477FA"/>
    <w:rsid w:val="00351F82"/>
    <w:rsid w:val="00356FAA"/>
    <w:rsid w:val="00361FDC"/>
    <w:rsid w:val="00363C70"/>
    <w:rsid w:val="00367B30"/>
    <w:rsid w:val="003739C3"/>
    <w:rsid w:val="00374006"/>
    <w:rsid w:val="00377485"/>
    <w:rsid w:val="00384441"/>
    <w:rsid w:val="00384EDF"/>
    <w:rsid w:val="00385885"/>
    <w:rsid w:val="00390F93"/>
    <w:rsid w:val="00390FE6"/>
    <w:rsid w:val="003912AC"/>
    <w:rsid w:val="003A417B"/>
    <w:rsid w:val="003A428D"/>
    <w:rsid w:val="003A5511"/>
    <w:rsid w:val="003B08ED"/>
    <w:rsid w:val="003B2506"/>
    <w:rsid w:val="003B37A2"/>
    <w:rsid w:val="003B4EE3"/>
    <w:rsid w:val="003C5336"/>
    <w:rsid w:val="003C6DAA"/>
    <w:rsid w:val="003C6FF1"/>
    <w:rsid w:val="003D0E48"/>
    <w:rsid w:val="003D2CE5"/>
    <w:rsid w:val="003D3942"/>
    <w:rsid w:val="003D3A81"/>
    <w:rsid w:val="003D4570"/>
    <w:rsid w:val="003D49D7"/>
    <w:rsid w:val="003D6337"/>
    <w:rsid w:val="003D7B40"/>
    <w:rsid w:val="003E3395"/>
    <w:rsid w:val="003E3EA9"/>
    <w:rsid w:val="003E6788"/>
    <w:rsid w:val="003E7352"/>
    <w:rsid w:val="003F13D9"/>
    <w:rsid w:val="003F284C"/>
    <w:rsid w:val="003F34C5"/>
    <w:rsid w:val="003F3500"/>
    <w:rsid w:val="003F3A22"/>
    <w:rsid w:val="003F47A7"/>
    <w:rsid w:val="004018D5"/>
    <w:rsid w:val="004018F2"/>
    <w:rsid w:val="00410104"/>
    <w:rsid w:val="00410972"/>
    <w:rsid w:val="0041413B"/>
    <w:rsid w:val="00415530"/>
    <w:rsid w:val="004163FE"/>
    <w:rsid w:val="00420BE7"/>
    <w:rsid w:val="00420C0D"/>
    <w:rsid w:val="00432FE0"/>
    <w:rsid w:val="00434900"/>
    <w:rsid w:val="00434E8E"/>
    <w:rsid w:val="00435BB3"/>
    <w:rsid w:val="00436B30"/>
    <w:rsid w:val="004377F8"/>
    <w:rsid w:val="00450AA0"/>
    <w:rsid w:val="00452AC1"/>
    <w:rsid w:val="00453B18"/>
    <w:rsid w:val="004548CF"/>
    <w:rsid w:val="004579E8"/>
    <w:rsid w:val="00461B64"/>
    <w:rsid w:val="004621D9"/>
    <w:rsid w:val="0046344D"/>
    <w:rsid w:val="00466076"/>
    <w:rsid w:val="00466A11"/>
    <w:rsid w:val="00466E39"/>
    <w:rsid w:val="0047015A"/>
    <w:rsid w:val="00470BB9"/>
    <w:rsid w:val="00471930"/>
    <w:rsid w:val="00472E80"/>
    <w:rsid w:val="004735EF"/>
    <w:rsid w:val="004754F7"/>
    <w:rsid w:val="00475D2B"/>
    <w:rsid w:val="00476862"/>
    <w:rsid w:val="00480D18"/>
    <w:rsid w:val="00482337"/>
    <w:rsid w:val="00486E09"/>
    <w:rsid w:val="00491650"/>
    <w:rsid w:val="00491757"/>
    <w:rsid w:val="00494738"/>
    <w:rsid w:val="004953C6"/>
    <w:rsid w:val="00495D8A"/>
    <w:rsid w:val="00495D98"/>
    <w:rsid w:val="00495FE9"/>
    <w:rsid w:val="004A22C7"/>
    <w:rsid w:val="004A4791"/>
    <w:rsid w:val="004B0805"/>
    <w:rsid w:val="004B2AC0"/>
    <w:rsid w:val="004B3E3A"/>
    <w:rsid w:val="004B4160"/>
    <w:rsid w:val="004B417D"/>
    <w:rsid w:val="004B4C2B"/>
    <w:rsid w:val="004B5025"/>
    <w:rsid w:val="004C04E6"/>
    <w:rsid w:val="004C0F56"/>
    <w:rsid w:val="004C19A5"/>
    <w:rsid w:val="004C2632"/>
    <w:rsid w:val="004C5CBF"/>
    <w:rsid w:val="004C6B76"/>
    <w:rsid w:val="004D0A25"/>
    <w:rsid w:val="004D34C6"/>
    <w:rsid w:val="004E6019"/>
    <w:rsid w:val="004F03A8"/>
    <w:rsid w:val="004F49E7"/>
    <w:rsid w:val="004F5AFD"/>
    <w:rsid w:val="004F6188"/>
    <w:rsid w:val="004F733A"/>
    <w:rsid w:val="004F7BB9"/>
    <w:rsid w:val="0050047C"/>
    <w:rsid w:val="00500FC0"/>
    <w:rsid w:val="00501680"/>
    <w:rsid w:val="005029A8"/>
    <w:rsid w:val="0050373D"/>
    <w:rsid w:val="005042F8"/>
    <w:rsid w:val="005050BC"/>
    <w:rsid w:val="00507080"/>
    <w:rsid w:val="00510804"/>
    <w:rsid w:val="00510978"/>
    <w:rsid w:val="005114D3"/>
    <w:rsid w:val="0052128B"/>
    <w:rsid w:val="00525B57"/>
    <w:rsid w:val="00525D95"/>
    <w:rsid w:val="0052607B"/>
    <w:rsid w:val="00527049"/>
    <w:rsid w:val="00527CCE"/>
    <w:rsid w:val="005314E7"/>
    <w:rsid w:val="00535132"/>
    <w:rsid w:val="00535E01"/>
    <w:rsid w:val="005405F2"/>
    <w:rsid w:val="00542802"/>
    <w:rsid w:val="005442E2"/>
    <w:rsid w:val="00545505"/>
    <w:rsid w:val="0054671F"/>
    <w:rsid w:val="0054697A"/>
    <w:rsid w:val="00552ECC"/>
    <w:rsid w:val="005547BB"/>
    <w:rsid w:val="005575B7"/>
    <w:rsid w:val="005603B0"/>
    <w:rsid w:val="00560785"/>
    <w:rsid w:val="005636D3"/>
    <w:rsid w:val="00565AD3"/>
    <w:rsid w:val="00566324"/>
    <w:rsid w:val="0056660F"/>
    <w:rsid w:val="00571576"/>
    <w:rsid w:val="0057191A"/>
    <w:rsid w:val="00572471"/>
    <w:rsid w:val="005724E0"/>
    <w:rsid w:val="00572592"/>
    <w:rsid w:val="00574059"/>
    <w:rsid w:val="005741C9"/>
    <w:rsid w:val="00581CCF"/>
    <w:rsid w:val="00585DB6"/>
    <w:rsid w:val="00590B37"/>
    <w:rsid w:val="00591F20"/>
    <w:rsid w:val="005923C5"/>
    <w:rsid w:val="00592564"/>
    <w:rsid w:val="005952B6"/>
    <w:rsid w:val="00596269"/>
    <w:rsid w:val="005A2314"/>
    <w:rsid w:val="005A4383"/>
    <w:rsid w:val="005B0054"/>
    <w:rsid w:val="005B0F0E"/>
    <w:rsid w:val="005B11C5"/>
    <w:rsid w:val="005B17E5"/>
    <w:rsid w:val="005B1D64"/>
    <w:rsid w:val="005B6D96"/>
    <w:rsid w:val="005B7032"/>
    <w:rsid w:val="005C1B1E"/>
    <w:rsid w:val="005C640D"/>
    <w:rsid w:val="005D0972"/>
    <w:rsid w:val="005D1147"/>
    <w:rsid w:val="005D346F"/>
    <w:rsid w:val="005D4863"/>
    <w:rsid w:val="005D6E2E"/>
    <w:rsid w:val="005D7CE4"/>
    <w:rsid w:val="005E4B1B"/>
    <w:rsid w:val="005E5143"/>
    <w:rsid w:val="005F0761"/>
    <w:rsid w:val="005F325B"/>
    <w:rsid w:val="005F795E"/>
    <w:rsid w:val="00602BF2"/>
    <w:rsid w:val="00606F6C"/>
    <w:rsid w:val="00607F97"/>
    <w:rsid w:val="00612A6B"/>
    <w:rsid w:val="0061421A"/>
    <w:rsid w:val="0061454E"/>
    <w:rsid w:val="00614D99"/>
    <w:rsid w:val="0062110A"/>
    <w:rsid w:val="006243F7"/>
    <w:rsid w:val="006244F9"/>
    <w:rsid w:val="00625447"/>
    <w:rsid w:val="0062651B"/>
    <w:rsid w:val="006269CC"/>
    <w:rsid w:val="00631BB2"/>
    <w:rsid w:val="0063231E"/>
    <w:rsid w:val="00633E44"/>
    <w:rsid w:val="00633E4E"/>
    <w:rsid w:val="00637163"/>
    <w:rsid w:val="006374EA"/>
    <w:rsid w:val="00640CA4"/>
    <w:rsid w:val="0064562D"/>
    <w:rsid w:val="006473E8"/>
    <w:rsid w:val="006507A6"/>
    <w:rsid w:val="00650D07"/>
    <w:rsid w:val="0065225C"/>
    <w:rsid w:val="00652F06"/>
    <w:rsid w:val="006538D0"/>
    <w:rsid w:val="00653DB4"/>
    <w:rsid w:val="006568D0"/>
    <w:rsid w:val="00660E03"/>
    <w:rsid w:val="006622FD"/>
    <w:rsid w:val="006625BD"/>
    <w:rsid w:val="00662D89"/>
    <w:rsid w:val="006637F7"/>
    <w:rsid w:val="00667307"/>
    <w:rsid w:val="00671446"/>
    <w:rsid w:val="00671925"/>
    <w:rsid w:val="006728FB"/>
    <w:rsid w:val="00684542"/>
    <w:rsid w:val="00684C62"/>
    <w:rsid w:val="006870D3"/>
    <w:rsid w:val="0068746D"/>
    <w:rsid w:val="00687ABD"/>
    <w:rsid w:val="00696060"/>
    <w:rsid w:val="006A107C"/>
    <w:rsid w:val="006A1419"/>
    <w:rsid w:val="006A1E9A"/>
    <w:rsid w:val="006A4D0C"/>
    <w:rsid w:val="006A6DE9"/>
    <w:rsid w:val="006A7145"/>
    <w:rsid w:val="006B010D"/>
    <w:rsid w:val="006B0D71"/>
    <w:rsid w:val="006B3C0F"/>
    <w:rsid w:val="006B5EC9"/>
    <w:rsid w:val="006C1C34"/>
    <w:rsid w:val="006C29A0"/>
    <w:rsid w:val="006C3D5C"/>
    <w:rsid w:val="006C7CC4"/>
    <w:rsid w:val="006D09CE"/>
    <w:rsid w:val="006D14F3"/>
    <w:rsid w:val="006D2E3A"/>
    <w:rsid w:val="006D3A31"/>
    <w:rsid w:val="006E4E2E"/>
    <w:rsid w:val="006E599A"/>
    <w:rsid w:val="006E784F"/>
    <w:rsid w:val="006F0A55"/>
    <w:rsid w:val="006F25AF"/>
    <w:rsid w:val="006F26BC"/>
    <w:rsid w:val="006F4CCB"/>
    <w:rsid w:val="006F5E27"/>
    <w:rsid w:val="0070092A"/>
    <w:rsid w:val="00700C96"/>
    <w:rsid w:val="007012D7"/>
    <w:rsid w:val="007045A9"/>
    <w:rsid w:val="00704AF5"/>
    <w:rsid w:val="00706A54"/>
    <w:rsid w:val="0071435F"/>
    <w:rsid w:val="00714649"/>
    <w:rsid w:val="007175AA"/>
    <w:rsid w:val="00721866"/>
    <w:rsid w:val="00726C76"/>
    <w:rsid w:val="00727B57"/>
    <w:rsid w:val="00727E96"/>
    <w:rsid w:val="00730472"/>
    <w:rsid w:val="007316DD"/>
    <w:rsid w:val="00732649"/>
    <w:rsid w:val="00736570"/>
    <w:rsid w:val="00736611"/>
    <w:rsid w:val="007522FE"/>
    <w:rsid w:val="007551F6"/>
    <w:rsid w:val="00756F3B"/>
    <w:rsid w:val="00760748"/>
    <w:rsid w:val="00760AC1"/>
    <w:rsid w:val="0076261B"/>
    <w:rsid w:val="00763456"/>
    <w:rsid w:val="00765E2E"/>
    <w:rsid w:val="007667E4"/>
    <w:rsid w:val="00767AA3"/>
    <w:rsid w:val="00772ECA"/>
    <w:rsid w:val="007760CE"/>
    <w:rsid w:val="00777D00"/>
    <w:rsid w:val="00782DF0"/>
    <w:rsid w:val="00783353"/>
    <w:rsid w:val="00785F9C"/>
    <w:rsid w:val="00791DE6"/>
    <w:rsid w:val="0079342A"/>
    <w:rsid w:val="0079403B"/>
    <w:rsid w:val="0079559D"/>
    <w:rsid w:val="00796345"/>
    <w:rsid w:val="00796D17"/>
    <w:rsid w:val="007978E9"/>
    <w:rsid w:val="007A27A8"/>
    <w:rsid w:val="007A5BC7"/>
    <w:rsid w:val="007B0FB1"/>
    <w:rsid w:val="007B43B7"/>
    <w:rsid w:val="007B695E"/>
    <w:rsid w:val="007B747A"/>
    <w:rsid w:val="007C0462"/>
    <w:rsid w:val="007C12C6"/>
    <w:rsid w:val="007D17D3"/>
    <w:rsid w:val="007D55E2"/>
    <w:rsid w:val="007D6E5C"/>
    <w:rsid w:val="007D7BAA"/>
    <w:rsid w:val="007D7F6B"/>
    <w:rsid w:val="007E1E4E"/>
    <w:rsid w:val="007E2F9F"/>
    <w:rsid w:val="007E3127"/>
    <w:rsid w:val="007E5119"/>
    <w:rsid w:val="007E5680"/>
    <w:rsid w:val="007E5AE6"/>
    <w:rsid w:val="007F052E"/>
    <w:rsid w:val="007F07CE"/>
    <w:rsid w:val="007F135D"/>
    <w:rsid w:val="007F145D"/>
    <w:rsid w:val="007F1E56"/>
    <w:rsid w:val="007F21A6"/>
    <w:rsid w:val="007F2EA0"/>
    <w:rsid w:val="007F3F8A"/>
    <w:rsid w:val="007F5530"/>
    <w:rsid w:val="007F5DB3"/>
    <w:rsid w:val="007F7622"/>
    <w:rsid w:val="007F7BD5"/>
    <w:rsid w:val="008008CC"/>
    <w:rsid w:val="00802D85"/>
    <w:rsid w:val="0080368E"/>
    <w:rsid w:val="0080507A"/>
    <w:rsid w:val="00813ACB"/>
    <w:rsid w:val="00814608"/>
    <w:rsid w:val="00816278"/>
    <w:rsid w:val="008214BB"/>
    <w:rsid w:val="00827DAA"/>
    <w:rsid w:val="00831D35"/>
    <w:rsid w:val="00831ED1"/>
    <w:rsid w:val="008329BE"/>
    <w:rsid w:val="00834A78"/>
    <w:rsid w:val="008350A2"/>
    <w:rsid w:val="00836057"/>
    <w:rsid w:val="0083718F"/>
    <w:rsid w:val="00837ADB"/>
    <w:rsid w:val="008409F6"/>
    <w:rsid w:val="0084100F"/>
    <w:rsid w:val="008411E7"/>
    <w:rsid w:val="00844982"/>
    <w:rsid w:val="0084523A"/>
    <w:rsid w:val="00845FA8"/>
    <w:rsid w:val="00846197"/>
    <w:rsid w:val="0084671D"/>
    <w:rsid w:val="008473D3"/>
    <w:rsid w:val="0084799C"/>
    <w:rsid w:val="00850EDF"/>
    <w:rsid w:val="008522EF"/>
    <w:rsid w:val="00854633"/>
    <w:rsid w:val="00854840"/>
    <w:rsid w:val="00860446"/>
    <w:rsid w:val="00860CE0"/>
    <w:rsid w:val="0086185D"/>
    <w:rsid w:val="00861A56"/>
    <w:rsid w:val="00862FD7"/>
    <w:rsid w:val="008657FD"/>
    <w:rsid w:val="008675D0"/>
    <w:rsid w:val="00870B09"/>
    <w:rsid w:val="008726FA"/>
    <w:rsid w:val="00874750"/>
    <w:rsid w:val="00874CC9"/>
    <w:rsid w:val="00875D1C"/>
    <w:rsid w:val="00876BF1"/>
    <w:rsid w:val="008850E4"/>
    <w:rsid w:val="008900B7"/>
    <w:rsid w:val="00890FD2"/>
    <w:rsid w:val="0089155F"/>
    <w:rsid w:val="00892147"/>
    <w:rsid w:val="00892732"/>
    <w:rsid w:val="00894C7C"/>
    <w:rsid w:val="008A41B0"/>
    <w:rsid w:val="008A4F5A"/>
    <w:rsid w:val="008A637C"/>
    <w:rsid w:val="008A7FBF"/>
    <w:rsid w:val="008B0C45"/>
    <w:rsid w:val="008B1EA6"/>
    <w:rsid w:val="008B2A5D"/>
    <w:rsid w:val="008B4313"/>
    <w:rsid w:val="008B47B4"/>
    <w:rsid w:val="008B586B"/>
    <w:rsid w:val="008B651E"/>
    <w:rsid w:val="008B7277"/>
    <w:rsid w:val="008C0469"/>
    <w:rsid w:val="008C0891"/>
    <w:rsid w:val="008C0EA6"/>
    <w:rsid w:val="008C324A"/>
    <w:rsid w:val="008C3B5B"/>
    <w:rsid w:val="008D127E"/>
    <w:rsid w:val="008D2A02"/>
    <w:rsid w:val="008D3C5E"/>
    <w:rsid w:val="008D61AF"/>
    <w:rsid w:val="008D79FA"/>
    <w:rsid w:val="008E10A9"/>
    <w:rsid w:val="008E12C8"/>
    <w:rsid w:val="008E5CB6"/>
    <w:rsid w:val="008E6687"/>
    <w:rsid w:val="008F1151"/>
    <w:rsid w:val="008F141B"/>
    <w:rsid w:val="008F2B41"/>
    <w:rsid w:val="008F4CF0"/>
    <w:rsid w:val="008F5E02"/>
    <w:rsid w:val="008F7535"/>
    <w:rsid w:val="00902DE7"/>
    <w:rsid w:val="009062D4"/>
    <w:rsid w:val="00906AE9"/>
    <w:rsid w:val="009106E6"/>
    <w:rsid w:val="00912168"/>
    <w:rsid w:val="009128FE"/>
    <w:rsid w:val="00912E6C"/>
    <w:rsid w:val="009148A8"/>
    <w:rsid w:val="00917F7A"/>
    <w:rsid w:val="009208C5"/>
    <w:rsid w:val="00920E6C"/>
    <w:rsid w:val="00922856"/>
    <w:rsid w:val="009241E2"/>
    <w:rsid w:val="00935470"/>
    <w:rsid w:val="00937FBA"/>
    <w:rsid w:val="009429BC"/>
    <w:rsid w:val="00943AFF"/>
    <w:rsid w:val="0094474A"/>
    <w:rsid w:val="00953A13"/>
    <w:rsid w:val="00954744"/>
    <w:rsid w:val="00955D21"/>
    <w:rsid w:val="00962123"/>
    <w:rsid w:val="00962496"/>
    <w:rsid w:val="00963AEC"/>
    <w:rsid w:val="00964F36"/>
    <w:rsid w:val="009673E9"/>
    <w:rsid w:val="009758DE"/>
    <w:rsid w:val="00975B62"/>
    <w:rsid w:val="009872AA"/>
    <w:rsid w:val="00987BF7"/>
    <w:rsid w:val="009901E9"/>
    <w:rsid w:val="00990D58"/>
    <w:rsid w:val="00993535"/>
    <w:rsid w:val="009942D6"/>
    <w:rsid w:val="009946CD"/>
    <w:rsid w:val="00996639"/>
    <w:rsid w:val="009A1020"/>
    <w:rsid w:val="009A2FE9"/>
    <w:rsid w:val="009A599E"/>
    <w:rsid w:val="009A722B"/>
    <w:rsid w:val="009A7A13"/>
    <w:rsid w:val="009B033C"/>
    <w:rsid w:val="009B2F6F"/>
    <w:rsid w:val="009C4AE4"/>
    <w:rsid w:val="009C4C0A"/>
    <w:rsid w:val="009C70C6"/>
    <w:rsid w:val="009D3038"/>
    <w:rsid w:val="009D40B3"/>
    <w:rsid w:val="009D6696"/>
    <w:rsid w:val="009D7198"/>
    <w:rsid w:val="009D776C"/>
    <w:rsid w:val="009E3344"/>
    <w:rsid w:val="009E3F2E"/>
    <w:rsid w:val="009E4ACB"/>
    <w:rsid w:val="009E6261"/>
    <w:rsid w:val="009E715F"/>
    <w:rsid w:val="009F06BA"/>
    <w:rsid w:val="009F371D"/>
    <w:rsid w:val="009F3B73"/>
    <w:rsid w:val="009F4BE4"/>
    <w:rsid w:val="009F7C21"/>
    <w:rsid w:val="00A02DCA"/>
    <w:rsid w:val="00A03961"/>
    <w:rsid w:val="00A03DF4"/>
    <w:rsid w:val="00A0474A"/>
    <w:rsid w:val="00A05DBE"/>
    <w:rsid w:val="00A10BFD"/>
    <w:rsid w:val="00A14E54"/>
    <w:rsid w:val="00A17E8E"/>
    <w:rsid w:val="00A211DA"/>
    <w:rsid w:val="00A318C7"/>
    <w:rsid w:val="00A35B37"/>
    <w:rsid w:val="00A40C0F"/>
    <w:rsid w:val="00A414E1"/>
    <w:rsid w:val="00A42FA4"/>
    <w:rsid w:val="00A47D43"/>
    <w:rsid w:val="00A50BFA"/>
    <w:rsid w:val="00A513FD"/>
    <w:rsid w:val="00A51A9A"/>
    <w:rsid w:val="00A539D6"/>
    <w:rsid w:val="00A62199"/>
    <w:rsid w:val="00A62601"/>
    <w:rsid w:val="00A626AD"/>
    <w:rsid w:val="00A638D7"/>
    <w:rsid w:val="00A6418A"/>
    <w:rsid w:val="00A657E1"/>
    <w:rsid w:val="00A703A7"/>
    <w:rsid w:val="00A73743"/>
    <w:rsid w:val="00A75637"/>
    <w:rsid w:val="00A832D3"/>
    <w:rsid w:val="00A84C46"/>
    <w:rsid w:val="00A86250"/>
    <w:rsid w:val="00A9454B"/>
    <w:rsid w:val="00AA01CF"/>
    <w:rsid w:val="00AA031D"/>
    <w:rsid w:val="00AA3865"/>
    <w:rsid w:val="00AA5723"/>
    <w:rsid w:val="00AA572B"/>
    <w:rsid w:val="00AA6166"/>
    <w:rsid w:val="00AB1155"/>
    <w:rsid w:val="00AB1DB3"/>
    <w:rsid w:val="00AB3F14"/>
    <w:rsid w:val="00AB4BC7"/>
    <w:rsid w:val="00AB61C0"/>
    <w:rsid w:val="00AB74C7"/>
    <w:rsid w:val="00AB787E"/>
    <w:rsid w:val="00AB7B49"/>
    <w:rsid w:val="00AC3F65"/>
    <w:rsid w:val="00AC492C"/>
    <w:rsid w:val="00AC5DB5"/>
    <w:rsid w:val="00AD1580"/>
    <w:rsid w:val="00AD1737"/>
    <w:rsid w:val="00AD326D"/>
    <w:rsid w:val="00AD5B32"/>
    <w:rsid w:val="00AD7026"/>
    <w:rsid w:val="00AE089C"/>
    <w:rsid w:val="00AE2137"/>
    <w:rsid w:val="00AE25AE"/>
    <w:rsid w:val="00AE3DF9"/>
    <w:rsid w:val="00AE5352"/>
    <w:rsid w:val="00AE628E"/>
    <w:rsid w:val="00AF1E80"/>
    <w:rsid w:val="00AF24A2"/>
    <w:rsid w:val="00AF5AEF"/>
    <w:rsid w:val="00AF6867"/>
    <w:rsid w:val="00B02134"/>
    <w:rsid w:val="00B0284E"/>
    <w:rsid w:val="00B12F4C"/>
    <w:rsid w:val="00B16078"/>
    <w:rsid w:val="00B176D3"/>
    <w:rsid w:val="00B22E73"/>
    <w:rsid w:val="00B277CA"/>
    <w:rsid w:val="00B302C9"/>
    <w:rsid w:val="00B30632"/>
    <w:rsid w:val="00B33D90"/>
    <w:rsid w:val="00B35F61"/>
    <w:rsid w:val="00B3767B"/>
    <w:rsid w:val="00B424E9"/>
    <w:rsid w:val="00B42E64"/>
    <w:rsid w:val="00B43E9F"/>
    <w:rsid w:val="00B44659"/>
    <w:rsid w:val="00B45BCE"/>
    <w:rsid w:val="00B51E0F"/>
    <w:rsid w:val="00B524DB"/>
    <w:rsid w:val="00B570EA"/>
    <w:rsid w:val="00B64BD2"/>
    <w:rsid w:val="00B653A1"/>
    <w:rsid w:val="00B67B6B"/>
    <w:rsid w:val="00B67D6A"/>
    <w:rsid w:val="00B725E7"/>
    <w:rsid w:val="00B72E1B"/>
    <w:rsid w:val="00B74522"/>
    <w:rsid w:val="00B74802"/>
    <w:rsid w:val="00B8075C"/>
    <w:rsid w:val="00B82B22"/>
    <w:rsid w:val="00B8394B"/>
    <w:rsid w:val="00B83D65"/>
    <w:rsid w:val="00B86CCE"/>
    <w:rsid w:val="00B86F0F"/>
    <w:rsid w:val="00B87D03"/>
    <w:rsid w:val="00B90608"/>
    <w:rsid w:val="00B910F4"/>
    <w:rsid w:val="00B91854"/>
    <w:rsid w:val="00B933B5"/>
    <w:rsid w:val="00B943F4"/>
    <w:rsid w:val="00B94C30"/>
    <w:rsid w:val="00B96453"/>
    <w:rsid w:val="00BB047D"/>
    <w:rsid w:val="00BB11FF"/>
    <w:rsid w:val="00BB74E3"/>
    <w:rsid w:val="00BB7FA9"/>
    <w:rsid w:val="00BC0193"/>
    <w:rsid w:val="00BC0BA1"/>
    <w:rsid w:val="00BC2ABD"/>
    <w:rsid w:val="00BC5932"/>
    <w:rsid w:val="00BC64CA"/>
    <w:rsid w:val="00BC738C"/>
    <w:rsid w:val="00BD2126"/>
    <w:rsid w:val="00BD60E9"/>
    <w:rsid w:val="00BD6274"/>
    <w:rsid w:val="00BD6CC1"/>
    <w:rsid w:val="00BE279C"/>
    <w:rsid w:val="00BE2FDD"/>
    <w:rsid w:val="00BE3771"/>
    <w:rsid w:val="00BE499C"/>
    <w:rsid w:val="00BE544C"/>
    <w:rsid w:val="00BE5ED8"/>
    <w:rsid w:val="00BE6DF8"/>
    <w:rsid w:val="00BF0FC5"/>
    <w:rsid w:val="00BF3637"/>
    <w:rsid w:val="00BF4315"/>
    <w:rsid w:val="00BF6679"/>
    <w:rsid w:val="00BF6F51"/>
    <w:rsid w:val="00C00646"/>
    <w:rsid w:val="00C00A54"/>
    <w:rsid w:val="00C017D6"/>
    <w:rsid w:val="00C023DA"/>
    <w:rsid w:val="00C02494"/>
    <w:rsid w:val="00C04781"/>
    <w:rsid w:val="00C047D0"/>
    <w:rsid w:val="00C06849"/>
    <w:rsid w:val="00C07FC4"/>
    <w:rsid w:val="00C10D7F"/>
    <w:rsid w:val="00C1275D"/>
    <w:rsid w:val="00C127AD"/>
    <w:rsid w:val="00C13E9C"/>
    <w:rsid w:val="00C15121"/>
    <w:rsid w:val="00C16521"/>
    <w:rsid w:val="00C16653"/>
    <w:rsid w:val="00C16670"/>
    <w:rsid w:val="00C17F1C"/>
    <w:rsid w:val="00C21305"/>
    <w:rsid w:val="00C21C92"/>
    <w:rsid w:val="00C23530"/>
    <w:rsid w:val="00C235C3"/>
    <w:rsid w:val="00C2718D"/>
    <w:rsid w:val="00C274F5"/>
    <w:rsid w:val="00C30933"/>
    <w:rsid w:val="00C32ED7"/>
    <w:rsid w:val="00C377FA"/>
    <w:rsid w:val="00C4165D"/>
    <w:rsid w:val="00C4395A"/>
    <w:rsid w:val="00C4554E"/>
    <w:rsid w:val="00C4557B"/>
    <w:rsid w:val="00C4790D"/>
    <w:rsid w:val="00C47BD4"/>
    <w:rsid w:val="00C50C83"/>
    <w:rsid w:val="00C50F69"/>
    <w:rsid w:val="00C522A4"/>
    <w:rsid w:val="00C52DDA"/>
    <w:rsid w:val="00C53A32"/>
    <w:rsid w:val="00C54C08"/>
    <w:rsid w:val="00C57032"/>
    <w:rsid w:val="00C61405"/>
    <w:rsid w:val="00C631BF"/>
    <w:rsid w:val="00C66D31"/>
    <w:rsid w:val="00C678C2"/>
    <w:rsid w:val="00C71ECF"/>
    <w:rsid w:val="00C7699E"/>
    <w:rsid w:val="00C7785C"/>
    <w:rsid w:val="00C779EB"/>
    <w:rsid w:val="00C801FF"/>
    <w:rsid w:val="00C8476D"/>
    <w:rsid w:val="00C87004"/>
    <w:rsid w:val="00C9121B"/>
    <w:rsid w:val="00C92371"/>
    <w:rsid w:val="00C92893"/>
    <w:rsid w:val="00C92DF9"/>
    <w:rsid w:val="00C93ECB"/>
    <w:rsid w:val="00C94F38"/>
    <w:rsid w:val="00C9528C"/>
    <w:rsid w:val="00C96373"/>
    <w:rsid w:val="00CA0633"/>
    <w:rsid w:val="00CA1FA1"/>
    <w:rsid w:val="00CA50D6"/>
    <w:rsid w:val="00CA5C11"/>
    <w:rsid w:val="00CA6775"/>
    <w:rsid w:val="00CA6B92"/>
    <w:rsid w:val="00CB258F"/>
    <w:rsid w:val="00CC22B6"/>
    <w:rsid w:val="00CC2D60"/>
    <w:rsid w:val="00CD0586"/>
    <w:rsid w:val="00CD1E23"/>
    <w:rsid w:val="00CD36C5"/>
    <w:rsid w:val="00CD3A28"/>
    <w:rsid w:val="00CD47F6"/>
    <w:rsid w:val="00CD6E8E"/>
    <w:rsid w:val="00CE0F16"/>
    <w:rsid w:val="00CE1E7C"/>
    <w:rsid w:val="00CE29C1"/>
    <w:rsid w:val="00CE2BB8"/>
    <w:rsid w:val="00CE45F0"/>
    <w:rsid w:val="00CE48E5"/>
    <w:rsid w:val="00CE79F4"/>
    <w:rsid w:val="00CF0F89"/>
    <w:rsid w:val="00CF2335"/>
    <w:rsid w:val="00CF24C5"/>
    <w:rsid w:val="00CF2711"/>
    <w:rsid w:val="00CF2824"/>
    <w:rsid w:val="00CF622C"/>
    <w:rsid w:val="00CF6F70"/>
    <w:rsid w:val="00D00824"/>
    <w:rsid w:val="00D00D59"/>
    <w:rsid w:val="00D01872"/>
    <w:rsid w:val="00D01AA4"/>
    <w:rsid w:val="00D033E2"/>
    <w:rsid w:val="00D0356E"/>
    <w:rsid w:val="00D056CC"/>
    <w:rsid w:val="00D11982"/>
    <w:rsid w:val="00D13103"/>
    <w:rsid w:val="00D13B00"/>
    <w:rsid w:val="00D13E54"/>
    <w:rsid w:val="00D15F23"/>
    <w:rsid w:val="00D16BAC"/>
    <w:rsid w:val="00D219E5"/>
    <w:rsid w:val="00D21B3B"/>
    <w:rsid w:val="00D221DF"/>
    <w:rsid w:val="00D23808"/>
    <w:rsid w:val="00D2393D"/>
    <w:rsid w:val="00D24504"/>
    <w:rsid w:val="00D25071"/>
    <w:rsid w:val="00D25279"/>
    <w:rsid w:val="00D255B3"/>
    <w:rsid w:val="00D26BB7"/>
    <w:rsid w:val="00D27EF7"/>
    <w:rsid w:val="00D30183"/>
    <w:rsid w:val="00D3477B"/>
    <w:rsid w:val="00D34F60"/>
    <w:rsid w:val="00D361BB"/>
    <w:rsid w:val="00D370D4"/>
    <w:rsid w:val="00D37FEA"/>
    <w:rsid w:val="00D41678"/>
    <w:rsid w:val="00D4721E"/>
    <w:rsid w:val="00D51B2A"/>
    <w:rsid w:val="00D52A4B"/>
    <w:rsid w:val="00D53B6D"/>
    <w:rsid w:val="00D568E2"/>
    <w:rsid w:val="00D56A12"/>
    <w:rsid w:val="00D56D81"/>
    <w:rsid w:val="00D624C9"/>
    <w:rsid w:val="00D62521"/>
    <w:rsid w:val="00D708BD"/>
    <w:rsid w:val="00D732AA"/>
    <w:rsid w:val="00D73961"/>
    <w:rsid w:val="00D7457F"/>
    <w:rsid w:val="00D7779B"/>
    <w:rsid w:val="00D77891"/>
    <w:rsid w:val="00D80F30"/>
    <w:rsid w:val="00D814DD"/>
    <w:rsid w:val="00D82580"/>
    <w:rsid w:val="00D8260B"/>
    <w:rsid w:val="00D85561"/>
    <w:rsid w:val="00D91C82"/>
    <w:rsid w:val="00D922B6"/>
    <w:rsid w:val="00D92737"/>
    <w:rsid w:val="00D92C38"/>
    <w:rsid w:val="00D92D95"/>
    <w:rsid w:val="00D96877"/>
    <w:rsid w:val="00D96FF8"/>
    <w:rsid w:val="00DA40D1"/>
    <w:rsid w:val="00DB2AA9"/>
    <w:rsid w:val="00DB5634"/>
    <w:rsid w:val="00DB5947"/>
    <w:rsid w:val="00DB5DFA"/>
    <w:rsid w:val="00DB728C"/>
    <w:rsid w:val="00DC209A"/>
    <w:rsid w:val="00DC32D0"/>
    <w:rsid w:val="00DC32E4"/>
    <w:rsid w:val="00DC37C4"/>
    <w:rsid w:val="00DC3B50"/>
    <w:rsid w:val="00DD1092"/>
    <w:rsid w:val="00DD1382"/>
    <w:rsid w:val="00DD2AD8"/>
    <w:rsid w:val="00DD4571"/>
    <w:rsid w:val="00DD4592"/>
    <w:rsid w:val="00DD4C29"/>
    <w:rsid w:val="00DD690B"/>
    <w:rsid w:val="00DE1D5F"/>
    <w:rsid w:val="00DE2514"/>
    <w:rsid w:val="00DE5499"/>
    <w:rsid w:val="00DF2847"/>
    <w:rsid w:val="00DF4FAD"/>
    <w:rsid w:val="00DF7CF9"/>
    <w:rsid w:val="00E05FA2"/>
    <w:rsid w:val="00E106EC"/>
    <w:rsid w:val="00E12B79"/>
    <w:rsid w:val="00E13BAB"/>
    <w:rsid w:val="00E16780"/>
    <w:rsid w:val="00E21081"/>
    <w:rsid w:val="00E21C56"/>
    <w:rsid w:val="00E2265F"/>
    <w:rsid w:val="00E23772"/>
    <w:rsid w:val="00E250F9"/>
    <w:rsid w:val="00E25977"/>
    <w:rsid w:val="00E265C2"/>
    <w:rsid w:val="00E26AA5"/>
    <w:rsid w:val="00E32391"/>
    <w:rsid w:val="00E32C7B"/>
    <w:rsid w:val="00E338DC"/>
    <w:rsid w:val="00E35727"/>
    <w:rsid w:val="00E379DE"/>
    <w:rsid w:val="00E37FF5"/>
    <w:rsid w:val="00E40D10"/>
    <w:rsid w:val="00E4523A"/>
    <w:rsid w:val="00E47FD7"/>
    <w:rsid w:val="00E50826"/>
    <w:rsid w:val="00E54058"/>
    <w:rsid w:val="00E54A18"/>
    <w:rsid w:val="00E55D82"/>
    <w:rsid w:val="00E576F6"/>
    <w:rsid w:val="00E61A10"/>
    <w:rsid w:val="00E632C5"/>
    <w:rsid w:val="00E64A40"/>
    <w:rsid w:val="00E64C8B"/>
    <w:rsid w:val="00E64D64"/>
    <w:rsid w:val="00E67394"/>
    <w:rsid w:val="00E71B03"/>
    <w:rsid w:val="00E7286D"/>
    <w:rsid w:val="00E75455"/>
    <w:rsid w:val="00E76C8A"/>
    <w:rsid w:val="00E770DE"/>
    <w:rsid w:val="00E842CF"/>
    <w:rsid w:val="00E85841"/>
    <w:rsid w:val="00E86202"/>
    <w:rsid w:val="00E917CB"/>
    <w:rsid w:val="00E92BFB"/>
    <w:rsid w:val="00E9478A"/>
    <w:rsid w:val="00E94F83"/>
    <w:rsid w:val="00E951DF"/>
    <w:rsid w:val="00E96DB4"/>
    <w:rsid w:val="00EA2E00"/>
    <w:rsid w:val="00EB7FDC"/>
    <w:rsid w:val="00EC0639"/>
    <w:rsid w:val="00EC285C"/>
    <w:rsid w:val="00EC5001"/>
    <w:rsid w:val="00ED160A"/>
    <w:rsid w:val="00ED190B"/>
    <w:rsid w:val="00ED1B7A"/>
    <w:rsid w:val="00ED2165"/>
    <w:rsid w:val="00ED22C2"/>
    <w:rsid w:val="00ED2448"/>
    <w:rsid w:val="00ED3908"/>
    <w:rsid w:val="00ED54E4"/>
    <w:rsid w:val="00ED55C1"/>
    <w:rsid w:val="00ED6374"/>
    <w:rsid w:val="00EE0B85"/>
    <w:rsid w:val="00EE2A10"/>
    <w:rsid w:val="00EE3706"/>
    <w:rsid w:val="00EE56D0"/>
    <w:rsid w:val="00EE597A"/>
    <w:rsid w:val="00EE6711"/>
    <w:rsid w:val="00EE6DE1"/>
    <w:rsid w:val="00EE7DFD"/>
    <w:rsid w:val="00EF3A85"/>
    <w:rsid w:val="00EF471A"/>
    <w:rsid w:val="00EF6A0C"/>
    <w:rsid w:val="00EF753E"/>
    <w:rsid w:val="00EF7B37"/>
    <w:rsid w:val="00EF7F16"/>
    <w:rsid w:val="00F005BD"/>
    <w:rsid w:val="00F032B3"/>
    <w:rsid w:val="00F042A9"/>
    <w:rsid w:val="00F06E9E"/>
    <w:rsid w:val="00F079D4"/>
    <w:rsid w:val="00F07A11"/>
    <w:rsid w:val="00F109FF"/>
    <w:rsid w:val="00F130EE"/>
    <w:rsid w:val="00F152BB"/>
    <w:rsid w:val="00F15337"/>
    <w:rsid w:val="00F155C2"/>
    <w:rsid w:val="00F16048"/>
    <w:rsid w:val="00F16321"/>
    <w:rsid w:val="00F16D6D"/>
    <w:rsid w:val="00F175FA"/>
    <w:rsid w:val="00F22D5F"/>
    <w:rsid w:val="00F22E36"/>
    <w:rsid w:val="00F26253"/>
    <w:rsid w:val="00F27752"/>
    <w:rsid w:val="00F30A7F"/>
    <w:rsid w:val="00F34800"/>
    <w:rsid w:val="00F361F8"/>
    <w:rsid w:val="00F41D13"/>
    <w:rsid w:val="00F43900"/>
    <w:rsid w:val="00F45FED"/>
    <w:rsid w:val="00F46DCD"/>
    <w:rsid w:val="00F47EF1"/>
    <w:rsid w:val="00F509FA"/>
    <w:rsid w:val="00F514AE"/>
    <w:rsid w:val="00F55B7C"/>
    <w:rsid w:val="00F5603D"/>
    <w:rsid w:val="00F56429"/>
    <w:rsid w:val="00F62445"/>
    <w:rsid w:val="00F6283D"/>
    <w:rsid w:val="00F64050"/>
    <w:rsid w:val="00F713A3"/>
    <w:rsid w:val="00F72A9D"/>
    <w:rsid w:val="00F75608"/>
    <w:rsid w:val="00F76A3A"/>
    <w:rsid w:val="00F82110"/>
    <w:rsid w:val="00F85115"/>
    <w:rsid w:val="00F8526E"/>
    <w:rsid w:val="00F87322"/>
    <w:rsid w:val="00F90A75"/>
    <w:rsid w:val="00F91FCD"/>
    <w:rsid w:val="00F94D20"/>
    <w:rsid w:val="00F96039"/>
    <w:rsid w:val="00F97953"/>
    <w:rsid w:val="00FA2D29"/>
    <w:rsid w:val="00FA3E97"/>
    <w:rsid w:val="00FA47A8"/>
    <w:rsid w:val="00FA635D"/>
    <w:rsid w:val="00FA6C8B"/>
    <w:rsid w:val="00FB0A48"/>
    <w:rsid w:val="00FB110B"/>
    <w:rsid w:val="00FB3AA4"/>
    <w:rsid w:val="00FB4601"/>
    <w:rsid w:val="00FB6960"/>
    <w:rsid w:val="00FB6E2C"/>
    <w:rsid w:val="00FC09AB"/>
    <w:rsid w:val="00FC0A39"/>
    <w:rsid w:val="00FC0EC1"/>
    <w:rsid w:val="00FC154B"/>
    <w:rsid w:val="00FC1988"/>
    <w:rsid w:val="00FC27F9"/>
    <w:rsid w:val="00FC34C7"/>
    <w:rsid w:val="00FC3FDD"/>
    <w:rsid w:val="00FC7490"/>
    <w:rsid w:val="00FD2C65"/>
    <w:rsid w:val="00FD32E9"/>
    <w:rsid w:val="00FE06B9"/>
    <w:rsid w:val="00FE176F"/>
    <w:rsid w:val="00FE3114"/>
    <w:rsid w:val="013E4D25"/>
    <w:rsid w:val="029F5E4D"/>
    <w:rsid w:val="02CC3651"/>
    <w:rsid w:val="02D35C8D"/>
    <w:rsid w:val="033671A5"/>
    <w:rsid w:val="03682027"/>
    <w:rsid w:val="036A6379"/>
    <w:rsid w:val="03D30324"/>
    <w:rsid w:val="0402706C"/>
    <w:rsid w:val="04E12F03"/>
    <w:rsid w:val="051E264A"/>
    <w:rsid w:val="0523687D"/>
    <w:rsid w:val="056C65E9"/>
    <w:rsid w:val="059F5E21"/>
    <w:rsid w:val="05C10ED3"/>
    <w:rsid w:val="067257F9"/>
    <w:rsid w:val="06BC5913"/>
    <w:rsid w:val="06DF2ED2"/>
    <w:rsid w:val="076749CD"/>
    <w:rsid w:val="07800D06"/>
    <w:rsid w:val="078609C8"/>
    <w:rsid w:val="07D23A11"/>
    <w:rsid w:val="07FF09A5"/>
    <w:rsid w:val="081B037E"/>
    <w:rsid w:val="08532B04"/>
    <w:rsid w:val="092D4CB4"/>
    <w:rsid w:val="0A2847BA"/>
    <w:rsid w:val="0B5F6A89"/>
    <w:rsid w:val="0C036FC4"/>
    <w:rsid w:val="0D0E7423"/>
    <w:rsid w:val="0ED53707"/>
    <w:rsid w:val="0F3A63E1"/>
    <w:rsid w:val="0FF317E3"/>
    <w:rsid w:val="103C6913"/>
    <w:rsid w:val="10DF169D"/>
    <w:rsid w:val="116A74EC"/>
    <w:rsid w:val="11A21A03"/>
    <w:rsid w:val="126C5597"/>
    <w:rsid w:val="127A67EE"/>
    <w:rsid w:val="12F469AC"/>
    <w:rsid w:val="135F76D3"/>
    <w:rsid w:val="145D7497"/>
    <w:rsid w:val="147D41BB"/>
    <w:rsid w:val="1513048A"/>
    <w:rsid w:val="155D1A81"/>
    <w:rsid w:val="15681C75"/>
    <w:rsid w:val="159D5101"/>
    <w:rsid w:val="15F53DEE"/>
    <w:rsid w:val="15FE5D29"/>
    <w:rsid w:val="16146046"/>
    <w:rsid w:val="1624240B"/>
    <w:rsid w:val="1626704F"/>
    <w:rsid w:val="16C72C34"/>
    <w:rsid w:val="17A20554"/>
    <w:rsid w:val="17E94101"/>
    <w:rsid w:val="18026D98"/>
    <w:rsid w:val="180B43FD"/>
    <w:rsid w:val="185A02E1"/>
    <w:rsid w:val="19351668"/>
    <w:rsid w:val="19481B43"/>
    <w:rsid w:val="19635942"/>
    <w:rsid w:val="1A0E4FF7"/>
    <w:rsid w:val="1A3629F0"/>
    <w:rsid w:val="1AAC6032"/>
    <w:rsid w:val="1AB22CEF"/>
    <w:rsid w:val="1AC560F0"/>
    <w:rsid w:val="1B070E58"/>
    <w:rsid w:val="1B126D99"/>
    <w:rsid w:val="1B7B4EA8"/>
    <w:rsid w:val="1B8E4158"/>
    <w:rsid w:val="1BC05558"/>
    <w:rsid w:val="1BC77FCA"/>
    <w:rsid w:val="1BF76FE4"/>
    <w:rsid w:val="1C006D14"/>
    <w:rsid w:val="1C3663D1"/>
    <w:rsid w:val="1C586AF2"/>
    <w:rsid w:val="1CC71FC5"/>
    <w:rsid w:val="1D1637C4"/>
    <w:rsid w:val="1DBE228D"/>
    <w:rsid w:val="1DF86B95"/>
    <w:rsid w:val="1F7168E0"/>
    <w:rsid w:val="1F8D347C"/>
    <w:rsid w:val="1FE4039D"/>
    <w:rsid w:val="2056489E"/>
    <w:rsid w:val="21514B8A"/>
    <w:rsid w:val="218D23FD"/>
    <w:rsid w:val="21CE4D50"/>
    <w:rsid w:val="2224716D"/>
    <w:rsid w:val="22B30A80"/>
    <w:rsid w:val="22D32397"/>
    <w:rsid w:val="22EA5FDE"/>
    <w:rsid w:val="236C6AA4"/>
    <w:rsid w:val="23840E42"/>
    <w:rsid w:val="23A118CC"/>
    <w:rsid w:val="23EE7EA4"/>
    <w:rsid w:val="2435567E"/>
    <w:rsid w:val="24970CA3"/>
    <w:rsid w:val="24CA728A"/>
    <w:rsid w:val="24E00528"/>
    <w:rsid w:val="2503404C"/>
    <w:rsid w:val="25CB7DF3"/>
    <w:rsid w:val="261249CF"/>
    <w:rsid w:val="261C2E6A"/>
    <w:rsid w:val="26236516"/>
    <w:rsid w:val="263C39B1"/>
    <w:rsid w:val="26C67C17"/>
    <w:rsid w:val="26DC0362"/>
    <w:rsid w:val="271F0F56"/>
    <w:rsid w:val="274F66F1"/>
    <w:rsid w:val="27554A59"/>
    <w:rsid w:val="2786361A"/>
    <w:rsid w:val="28834ACA"/>
    <w:rsid w:val="292C55AA"/>
    <w:rsid w:val="2A7E3E39"/>
    <w:rsid w:val="2B003D21"/>
    <w:rsid w:val="2BDE7796"/>
    <w:rsid w:val="2CE7680A"/>
    <w:rsid w:val="2CFA5752"/>
    <w:rsid w:val="2E525602"/>
    <w:rsid w:val="2E604994"/>
    <w:rsid w:val="2E837924"/>
    <w:rsid w:val="2EB83ACD"/>
    <w:rsid w:val="2F086E28"/>
    <w:rsid w:val="2F21089A"/>
    <w:rsid w:val="2F492B87"/>
    <w:rsid w:val="2FE73B4C"/>
    <w:rsid w:val="300B717E"/>
    <w:rsid w:val="307A61B9"/>
    <w:rsid w:val="31280C69"/>
    <w:rsid w:val="31907B69"/>
    <w:rsid w:val="31B1313B"/>
    <w:rsid w:val="31F058EE"/>
    <w:rsid w:val="321D10BE"/>
    <w:rsid w:val="327D2F88"/>
    <w:rsid w:val="34373DF9"/>
    <w:rsid w:val="3458256A"/>
    <w:rsid w:val="34D22BE0"/>
    <w:rsid w:val="34F32C04"/>
    <w:rsid w:val="350203E2"/>
    <w:rsid w:val="356B7E0E"/>
    <w:rsid w:val="35F1161D"/>
    <w:rsid w:val="366F59F2"/>
    <w:rsid w:val="367B3939"/>
    <w:rsid w:val="36905F9C"/>
    <w:rsid w:val="36C81E60"/>
    <w:rsid w:val="36DD3B7E"/>
    <w:rsid w:val="37131E3D"/>
    <w:rsid w:val="372E745C"/>
    <w:rsid w:val="374F6955"/>
    <w:rsid w:val="37EF5723"/>
    <w:rsid w:val="38126148"/>
    <w:rsid w:val="381E1FFF"/>
    <w:rsid w:val="381E27E0"/>
    <w:rsid w:val="38401A95"/>
    <w:rsid w:val="38652E1B"/>
    <w:rsid w:val="3876678D"/>
    <w:rsid w:val="38B47012"/>
    <w:rsid w:val="38D42188"/>
    <w:rsid w:val="3A9C1D79"/>
    <w:rsid w:val="3B15500C"/>
    <w:rsid w:val="3B56089F"/>
    <w:rsid w:val="3C3243C2"/>
    <w:rsid w:val="3C376EF2"/>
    <w:rsid w:val="3C4E2EDB"/>
    <w:rsid w:val="3D0726DD"/>
    <w:rsid w:val="3D67476B"/>
    <w:rsid w:val="3D943C5D"/>
    <w:rsid w:val="3DB215B1"/>
    <w:rsid w:val="3E1A7CCB"/>
    <w:rsid w:val="3E573AF8"/>
    <w:rsid w:val="3ECC1FA8"/>
    <w:rsid w:val="3FF06FB4"/>
    <w:rsid w:val="409E6FD1"/>
    <w:rsid w:val="40A5480A"/>
    <w:rsid w:val="40EF04B2"/>
    <w:rsid w:val="41EA2586"/>
    <w:rsid w:val="41F22391"/>
    <w:rsid w:val="42715AA7"/>
    <w:rsid w:val="42981934"/>
    <w:rsid w:val="42B91FEE"/>
    <w:rsid w:val="43080553"/>
    <w:rsid w:val="439D18D1"/>
    <w:rsid w:val="43E62140"/>
    <w:rsid w:val="44072A4E"/>
    <w:rsid w:val="442B0594"/>
    <w:rsid w:val="44801049"/>
    <w:rsid w:val="44F12A75"/>
    <w:rsid w:val="45AA2980"/>
    <w:rsid w:val="45B943BF"/>
    <w:rsid w:val="470F4623"/>
    <w:rsid w:val="48116372"/>
    <w:rsid w:val="48D35E09"/>
    <w:rsid w:val="498821FD"/>
    <w:rsid w:val="49951F6E"/>
    <w:rsid w:val="49E123A5"/>
    <w:rsid w:val="4A683680"/>
    <w:rsid w:val="4AF54F02"/>
    <w:rsid w:val="4B171154"/>
    <w:rsid w:val="4B332067"/>
    <w:rsid w:val="4B3915E1"/>
    <w:rsid w:val="4B524FB9"/>
    <w:rsid w:val="4B6D7F05"/>
    <w:rsid w:val="4C3C360A"/>
    <w:rsid w:val="4CF36173"/>
    <w:rsid w:val="4CF83E60"/>
    <w:rsid w:val="4D1A7026"/>
    <w:rsid w:val="4D4273DD"/>
    <w:rsid w:val="4D8707A3"/>
    <w:rsid w:val="4DFC3AFA"/>
    <w:rsid w:val="4E0B5C29"/>
    <w:rsid w:val="4E391545"/>
    <w:rsid w:val="4EF32F9F"/>
    <w:rsid w:val="4F2C2377"/>
    <w:rsid w:val="4F340993"/>
    <w:rsid w:val="4F720573"/>
    <w:rsid w:val="4F7C0938"/>
    <w:rsid w:val="4F8E1BE5"/>
    <w:rsid w:val="50AE5AD4"/>
    <w:rsid w:val="50EC1295"/>
    <w:rsid w:val="511561A5"/>
    <w:rsid w:val="52426F1A"/>
    <w:rsid w:val="52717E66"/>
    <w:rsid w:val="53704E14"/>
    <w:rsid w:val="543644CE"/>
    <w:rsid w:val="545D4A39"/>
    <w:rsid w:val="55E65D24"/>
    <w:rsid w:val="57DB60B9"/>
    <w:rsid w:val="580E6262"/>
    <w:rsid w:val="582D0E3B"/>
    <w:rsid w:val="58943DB5"/>
    <w:rsid w:val="59005960"/>
    <w:rsid w:val="590B4449"/>
    <w:rsid w:val="59FD2E64"/>
    <w:rsid w:val="5A47286B"/>
    <w:rsid w:val="5AA10CD6"/>
    <w:rsid w:val="5B0071C3"/>
    <w:rsid w:val="5BB7038F"/>
    <w:rsid w:val="5BBC2EAD"/>
    <w:rsid w:val="5BFC3918"/>
    <w:rsid w:val="5C5F3B74"/>
    <w:rsid w:val="5CDA5B17"/>
    <w:rsid w:val="5CDD7B5D"/>
    <w:rsid w:val="5D1272F8"/>
    <w:rsid w:val="5D602A3B"/>
    <w:rsid w:val="5E1724BE"/>
    <w:rsid w:val="5E717FC6"/>
    <w:rsid w:val="5E9E3FB8"/>
    <w:rsid w:val="5EBA0019"/>
    <w:rsid w:val="5EDA3FFA"/>
    <w:rsid w:val="5EE40559"/>
    <w:rsid w:val="5FDD481E"/>
    <w:rsid w:val="600B7288"/>
    <w:rsid w:val="6056677B"/>
    <w:rsid w:val="60920F66"/>
    <w:rsid w:val="611D7B87"/>
    <w:rsid w:val="61606782"/>
    <w:rsid w:val="61864091"/>
    <w:rsid w:val="61883F50"/>
    <w:rsid w:val="61970A0B"/>
    <w:rsid w:val="61C03B7A"/>
    <w:rsid w:val="628E7657"/>
    <w:rsid w:val="632078CE"/>
    <w:rsid w:val="63264B2B"/>
    <w:rsid w:val="639A4F6B"/>
    <w:rsid w:val="63F739D8"/>
    <w:rsid w:val="63FA1F03"/>
    <w:rsid w:val="656059D7"/>
    <w:rsid w:val="65ED7C2D"/>
    <w:rsid w:val="66094174"/>
    <w:rsid w:val="662676F0"/>
    <w:rsid w:val="66F4588D"/>
    <w:rsid w:val="674C494A"/>
    <w:rsid w:val="67E64CF9"/>
    <w:rsid w:val="68574698"/>
    <w:rsid w:val="68BB2649"/>
    <w:rsid w:val="68D13621"/>
    <w:rsid w:val="68DD446D"/>
    <w:rsid w:val="697B48F9"/>
    <w:rsid w:val="697C2DB9"/>
    <w:rsid w:val="69DB3837"/>
    <w:rsid w:val="6A12329E"/>
    <w:rsid w:val="6AA82399"/>
    <w:rsid w:val="6AB33E93"/>
    <w:rsid w:val="6AB71837"/>
    <w:rsid w:val="6B0F0722"/>
    <w:rsid w:val="6B184813"/>
    <w:rsid w:val="6B3E63EE"/>
    <w:rsid w:val="6B595535"/>
    <w:rsid w:val="6B884C7B"/>
    <w:rsid w:val="6D112724"/>
    <w:rsid w:val="6F1D66A0"/>
    <w:rsid w:val="71150F0D"/>
    <w:rsid w:val="71820C58"/>
    <w:rsid w:val="71A22296"/>
    <w:rsid w:val="71BB2484"/>
    <w:rsid w:val="722A0411"/>
    <w:rsid w:val="72830550"/>
    <w:rsid w:val="72AE2A90"/>
    <w:rsid w:val="739C712B"/>
    <w:rsid w:val="74533CA5"/>
    <w:rsid w:val="74ED4BED"/>
    <w:rsid w:val="75462A3D"/>
    <w:rsid w:val="754A3F82"/>
    <w:rsid w:val="755333E5"/>
    <w:rsid w:val="756F710C"/>
    <w:rsid w:val="760F0302"/>
    <w:rsid w:val="76965005"/>
    <w:rsid w:val="76CD08C3"/>
    <w:rsid w:val="76D71732"/>
    <w:rsid w:val="774501CD"/>
    <w:rsid w:val="77F33FD7"/>
    <w:rsid w:val="78803352"/>
    <w:rsid w:val="78B90872"/>
    <w:rsid w:val="794C5F3D"/>
    <w:rsid w:val="79671ADF"/>
    <w:rsid w:val="79B76D7A"/>
    <w:rsid w:val="7AFF0F52"/>
    <w:rsid w:val="7B277250"/>
    <w:rsid w:val="7B8C762B"/>
    <w:rsid w:val="7BB5595E"/>
    <w:rsid w:val="7BE0350F"/>
    <w:rsid w:val="7BE61393"/>
    <w:rsid w:val="7C3A5C3E"/>
    <w:rsid w:val="7D32501B"/>
    <w:rsid w:val="7D546AE8"/>
    <w:rsid w:val="7E085205"/>
    <w:rsid w:val="7E1B6085"/>
    <w:rsid w:val="7E1C2625"/>
    <w:rsid w:val="7E3E44D7"/>
    <w:rsid w:val="7E7C798A"/>
    <w:rsid w:val="7E7F21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99" w:semiHidden="0" w:name="toc 3" w:locked="1"/>
    <w:lsdException w:unhideWhenUsed="0" w:uiPriority="0" w:semiHidden="0" w:name="toc 4" w:locked="1"/>
    <w:lsdException w:qFormat="1" w:unhideWhenUsed="0" w:uiPriority="99"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9"/>
    <w:pPr>
      <w:widowControl/>
      <w:spacing w:before="100" w:beforeAutospacing="1" w:after="100" w:afterAutospacing="1"/>
      <w:jc w:val="left"/>
      <w:outlineLvl w:val="0"/>
    </w:pPr>
    <w:rPr>
      <w:rFonts w:ascii="宋体" w:hAnsi="宋体"/>
      <w:b/>
      <w:bCs/>
      <w:kern w:val="36"/>
      <w:sz w:val="48"/>
      <w:szCs w:val="48"/>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61"/>
    <w:unhideWhenUsed/>
    <w:qFormat/>
    <w:uiPriority w:val="99"/>
    <w:pPr>
      <w:jc w:val="left"/>
    </w:pPr>
  </w:style>
  <w:style w:type="paragraph" w:styleId="4">
    <w:name w:val="toc 5"/>
    <w:basedOn w:val="1"/>
    <w:next w:val="1"/>
    <w:qFormat/>
    <w:locked/>
    <w:uiPriority w:val="99"/>
    <w:pPr>
      <w:ind w:left="1680" w:leftChars="800"/>
    </w:pPr>
  </w:style>
  <w:style w:type="paragraph" w:styleId="5">
    <w:name w:val="toc 3"/>
    <w:basedOn w:val="1"/>
    <w:next w:val="1"/>
    <w:qFormat/>
    <w:locked/>
    <w:uiPriority w:val="99"/>
    <w:pPr>
      <w:ind w:left="840" w:leftChars="400"/>
    </w:pPr>
  </w:style>
  <w:style w:type="paragraph" w:styleId="6">
    <w:name w:val="Balloon Text"/>
    <w:basedOn w:val="1"/>
    <w:link w:val="21"/>
    <w:semiHidden/>
    <w:qFormat/>
    <w:uiPriority w:val="99"/>
    <w:rPr>
      <w:rFonts w:ascii="Times New Roman" w:hAnsi="Times New Roman"/>
      <w:kern w:val="0"/>
      <w:sz w:val="18"/>
      <w:szCs w:val="18"/>
    </w:rPr>
  </w:style>
  <w:style w:type="paragraph" w:styleId="7">
    <w:name w:val="footer"/>
    <w:basedOn w:val="1"/>
    <w:link w:val="22"/>
    <w:semiHidden/>
    <w:qFormat/>
    <w:uiPriority w:val="99"/>
    <w:pPr>
      <w:tabs>
        <w:tab w:val="center" w:pos="4153"/>
        <w:tab w:val="right" w:pos="8306"/>
      </w:tabs>
      <w:snapToGrid w:val="0"/>
      <w:jc w:val="left"/>
    </w:pPr>
    <w:rPr>
      <w:rFonts w:ascii="Times New Roman" w:hAnsi="Times New Roman"/>
      <w:kern w:val="0"/>
      <w:sz w:val="18"/>
      <w:szCs w:val="18"/>
    </w:rPr>
  </w:style>
  <w:style w:type="paragraph" w:styleId="8">
    <w:name w:val="header"/>
    <w:basedOn w:val="1"/>
    <w:link w:val="23"/>
    <w:semiHidden/>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9">
    <w:name w:val="toc 1"/>
    <w:basedOn w:val="1"/>
    <w:next w:val="1"/>
    <w:qFormat/>
    <w:locked/>
    <w:uiPriority w:val="39"/>
  </w:style>
  <w:style w:type="paragraph" w:styleId="10">
    <w:name w:val="Body Text Indent 3"/>
    <w:basedOn w:val="1"/>
    <w:link w:val="24"/>
    <w:qFormat/>
    <w:uiPriority w:val="99"/>
    <w:pPr>
      <w:tabs>
        <w:tab w:val="left" w:pos="900"/>
      </w:tabs>
      <w:ind w:right="288" w:rightChars="137" w:firstLine="900"/>
      <w:jc w:val="center"/>
    </w:pPr>
    <w:rPr>
      <w:rFonts w:ascii="Times New Roman" w:hAnsi="Times New Roman"/>
      <w:b/>
      <w:bCs/>
      <w:kern w:val="0"/>
      <w:sz w:val="24"/>
      <w:szCs w:val="24"/>
    </w:rPr>
  </w:style>
  <w:style w:type="paragraph" w:styleId="11">
    <w:name w:val="toc 2"/>
    <w:basedOn w:val="1"/>
    <w:next w:val="1"/>
    <w:qFormat/>
    <w:locked/>
    <w:uiPriority w:val="39"/>
    <w:pPr>
      <w:ind w:left="420" w:leftChars="200"/>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3">
    <w:name w:val="annotation subject"/>
    <w:basedOn w:val="3"/>
    <w:next w:val="3"/>
    <w:link w:val="62"/>
    <w:semiHidden/>
    <w:unhideWhenUsed/>
    <w:qFormat/>
    <w:uiPriority w:val="99"/>
    <w:rPr>
      <w:b/>
      <w:bCs/>
    </w:rPr>
  </w:style>
  <w:style w:type="table" w:styleId="15">
    <w:name w:val="Table Grid"/>
    <w:basedOn w:val="1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Strong"/>
    <w:qFormat/>
    <w:locked/>
    <w:uiPriority w:val="22"/>
    <w:rPr>
      <w:b/>
      <w:bCs/>
    </w:rPr>
  </w:style>
  <w:style w:type="character" w:styleId="18">
    <w:name w:val="Hyperlink"/>
    <w:qFormat/>
    <w:uiPriority w:val="99"/>
    <w:rPr>
      <w:rFonts w:cs="Times New Roman"/>
      <w:color w:val="0000FF"/>
      <w:u w:val="single"/>
    </w:rPr>
  </w:style>
  <w:style w:type="character" w:styleId="19">
    <w:name w:val="annotation reference"/>
    <w:semiHidden/>
    <w:unhideWhenUsed/>
    <w:qFormat/>
    <w:uiPriority w:val="99"/>
    <w:rPr>
      <w:sz w:val="21"/>
      <w:szCs w:val="21"/>
    </w:rPr>
  </w:style>
  <w:style w:type="character" w:customStyle="1" w:styleId="20">
    <w:name w:val="标题 1 字符"/>
    <w:link w:val="2"/>
    <w:qFormat/>
    <w:locked/>
    <w:uiPriority w:val="99"/>
    <w:rPr>
      <w:rFonts w:ascii="宋体" w:hAnsi="宋体" w:eastAsia="宋体" w:cs="Times New Roman"/>
      <w:b/>
      <w:kern w:val="36"/>
      <w:sz w:val="48"/>
    </w:rPr>
  </w:style>
  <w:style w:type="character" w:customStyle="1" w:styleId="21">
    <w:name w:val="批注框文本 字符"/>
    <w:link w:val="6"/>
    <w:semiHidden/>
    <w:qFormat/>
    <w:locked/>
    <w:uiPriority w:val="99"/>
    <w:rPr>
      <w:rFonts w:cs="Times New Roman"/>
      <w:sz w:val="18"/>
    </w:rPr>
  </w:style>
  <w:style w:type="character" w:customStyle="1" w:styleId="22">
    <w:name w:val="页脚 字符"/>
    <w:link w:val="7"/>
    <w:semiHidden/>
    <w:qFormat/>
    <w:locked/>
    <w:uiPriority w:val="99"/>
    <w:rPr>
      <w:rFonts w:cs="Times New Roman"/>
      <w:sz w:val="18"/>
    </w:rPr>
  </w:style>
  <w:style w:type="character" w:customStyle="1" w:styleId="23">
    <w:name w:val="页眉 字符"/>
    <w:link w:val="8"/>
    <w:semiHidden/>
    <w:qFormat/>
    <w:locked/>
    <w:uiPriority w:val="99"/>
    <w:rPr>
      <w:rFonts w:cs="Times New Roman"/>
      <w:sz w:val="18"/>
    </w:rPr>
  </w:style>
  <w:style w:type="character" w:customStyle="1" w:styleId="24">
    <w:name w:val="正文文本缩进 3 字符"/>
    <w:link w:val="10"/>
    <w:qFormat/>
    <w:locked/>
    <w:uiPriority w:val="99"/>
    <w:rPr>
      <w:rFonts w:ascii="Times New Roman" w:hAnsi="Times New Roman" w:eastAsia="宋体" w:cs="Times New Roman"/>
      <w:b/>
      <w:sz w:val="24"/>
    </w:rPr>
  </w:style>
  <w:style w:type="paragraph" w:customStyle="1" w:styleId="25">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26">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7">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8">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9">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30">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31">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32">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3">
    <w:name w:val="实施日期"/>
    <w:basedOn w:val="32"/>
    <w:qFormat/>
    <w:uiPriority w:val="99"/>
    <w:pPr>
      <w:framePr w:hSpace="0" w:xAlign="right"/>
      <w:jc w:val="right"/>
    </w:pPr>
  </w:style>
  <w:style w:type="character" w:customStyle="1" w:styleId="34">
    <w:name w:val="发布"/>
    <w:qFormat/>
    <w:uiPriority w:val="99"/>
    <w:rPr>
      <w:rFonts w:ascii="黑体" w:eastAsia="黑体"/>
      <w:spacing w:val="22"/>
      <w:w w:val="100"/>
      <w:position w:val="3"/>
      <w:sz w:val="28"/>
    </w:rPr>
  </w:style>
  <w:style w:type="paragraph" w:customStyle="1" w:styleId="35">
    <w:name w:val="发布部门"/>
    <w:next w:val="1"/>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styleId="36">
    <w:name w:val="Placeholder Text"/>
    <w:semiHidden/>
    <w:qFormat/>
    <w:uiPriority w:val="99"/>
    <w:rPr>
      <w:rFonts w:cs="Times New Roman"/>
      <w:color w:val="808080"/>
    </w:rPr>
  </w:style>
  <w:style w:type="paragraph" w:styleId="37">
    <w:name w:val="List Paragraph"/>
    <w:basedOn w:val="1"/>
    <w:qFormat/>
    <w:uiPriority w:val="99"/>
    <w:pPr>
      <w:ind w:firstLine="420" w:firstLineChars="200"/>
    </w:pPr>
  </w:style>
  <w:style w:type="paragraph" w:customStyle="1" w:styleId="38">
    <w:name w:val="TOC 标题1"/>
    <w:basedOn w:val="2"/>
    <w:next w:val="1"/>
    <w:semiHidden/>
    <w:qFormat/>
    <w:uiPriority w:val="99"/>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39">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character" w:customStyle="1" w:styleId="40">
    <w:name w:val="font61"/>
    <w:qFormat/>
    <w:uiPriority w:val="99"/>
    <w:rPr>
      <w:rFonts w:ascii="宋体" w:hAnsi="宋体" w:eastAsia="宋体" w:cs="宋体"/>
      <w:color w:val="000000"/>
      <w:sz w:val="21"/>
      <w:szCs w:val="21"/>
      <w:u w:val="none"/>
      <w:vertAlign w:val="superscript"/>
    </w:rPr>
  </w:style>
  <w:style w:type="character" w:customStyle="1" w:styleId="41">
    <w:name w:val="font51"/>
    <w:qFormat/>
    <w:uiPriority w:val="99"/>
    <w:rPr>
      <w:rFonts w:ascii="Calibri" w:hAnsi="Calibri" w:cs="Calibri"/>
      <w:color w:val="000000"/>
      <w:sz w:val="21"/>
      <w:szCs w:val="21"/>
      <w:u w:val="none"/>
    </w:rPr>
  </w:style>
  <w:style w:type="character" w:customStyle="1" w:styleId="42">
    <w:name w:val="font21"/>
    <w:qFormat/>
    <w:uiPriority w:val="99"/>
    <w:rPr>
      <w:rFonts w:ascii="宋体" w:hAnsi="宋体" w:eastAsia="宋体" w:cs="宋体"/>
      <w:color w:val="000000"/>
      <w:sz w:val="21"/>
      <w:szCs w:val="21"/>
      <w:u w:val="none"/>
    </w:rPr>
  </w:style>
  <w:style w:type="character" w:customStyle="1" w:styleId="43">
    <w:name w:val="font01"/>
    <w:qFormat/>
    <w:uiPriority w:val="99"/>
    <w:rPr>
      <w:rFonts w:ascii="宋体" w:hAnsi="宋体" w:eastAsia="宋体" w:cs="宋体"/>
      <w:color w:val="000000"/>
      <w:sz w:val="21"/>
      <w:szCs w:val="21"/>
      <w:u w:val="none"/>
      <w:vertAlign w:val="subscript"/>
    </w:rPr>
  </w:style>
  <w:style w:type="character" w:customStyle="1" w:styleId="44">
    <w:name w:val="font31"/>
    <w:qFormat/>
    <w:uiPriority w:val="99"/>
    <w:rPr>
      <w:rFonts w:ascii="Calibri" w:hAnsi="Calibri" w:cs="Calibri"/>
      <w:color w:val="FF0000"/>
      <w:sz w:val="21"/>
      <w:szCs w:val="21"/>
      <w:u w:val="none"/>
    </w:rPr>
  </w:style>
  <w:style w:type="character" w:customStyle="1" w:styleId="45">
    <w:name w:val="font81"/>
    <w:qFormat/>
    <w:uiPriority w:val="99"/>
    <w:rPr>
      <w:rFonts w:ascii="宋体" w:hAnsi="宋体" w:eastAsia="宋体" w:cs="宋体"/>
      <w:color w:val="FF0000"/>
      <w:sz w:val="21"/>
      <w:szCs w:val="21"/>
      <w:u w:val="none"/>
    </w:rPr>
  </w:style>
  <w:style w:type="character" w:customStyle="1" w:styleId="46">
    <w:name w:val="font71"/>
    <w:qFormat/>
    <w:uiPriority w:val="99"/>
    <w:rPr>
      <w:rFonts w:ascii="宋体" w:hAnsi="宋体" w:eastAsia="宋体" w:cs="宋体"/>
      <w:color w:val="FF0000"/>
      <w:sz w:val="21"/>
      <w:szCs w:val="21"/>
      <w:u w:val="none"/>
      <w:vertAlign w:val="superscript"/>
    </w:rPr>
  </w:style>
  <w:style w:type="paragraph" w:customStyle="1" w:styleId="47">
    <w:name w:val="章标题"/>
    <w:next w:val="48"/>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48">
    <w:name w:val="段"/>
    <w:qFormat/>
    <w:uiPriority w:val="99"/>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49">
    <w:name w:val="字母编号列项（一级）"/>
    <w:qFormat/>
    <w:uiPriority w:val="99"/>
    <w:pPr>
      <w:numPr>
        <w:ilvl w:val="0"/>
        <w:numId w:val="2"/>
      </w:numPr>
      <w:jc w:val="both"/>
    </w:pPr>
    <w:rPr>
      <w:rFonts w:ascii="宋体" w:hAnsi="Times New Roman" w:eastAsia="宋体" w:cs="Times New Roman"/>
      <w:sz w:val="21"/>
      <w:lang w:val="en-US" w:eastAsia="zh-CN" w:bidi="ar-SA"/>
    </w:rPr>
  </w:style>
  <w:style w:type="paragraph" w:customStyle="1" w:styleId="50">
    <w:name w:val="一级条标题"/>
    <w:next w:val="48"/>
    <w:qFormat/>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51">
    <w:name w:val="二级条标题"/>
    <w:basedOn w:val="50"/>
    <w:next w:val="48"/>
    <w:qFormat/>
    <w:uiPriority w:val="99"/>
    <w:pPr>
      <w:numPr>
        <w:ilvl w:val="2"/>
      </w:numPr>
      <w:spacing w:before="50" w:after="50"/>
      <w:outlineLvl w:val="3"/>
    </w:pPr>
  </w:style>
  <w:style w:type="paragraph" w:customStyle="1" w:styleId="52">
    <w:name w:val="目次、标准名称标题"/>
    <w:basedOn w:val="1"/>
    <w:next w:val="48"/>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标准书眉_奇数页"/>
    <w:next w:val="1"/>
    <w:qFormat/>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4">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55">
    <w:name w:val="TOC 标题2"/>
    <w:basedOn w:val="2"/>
    <w:next w:val="1"/>
    <w:semiHidden/>
    <w:qFormat/>
    <w:uiPriority w:val="99"/>
    <w:pPr>
      <w:keepNext/>
      <w:keepLines/>
      <w:widowControl w:val="0"/>
      <w:spacing w:before="340" w:beforeAutospacing="0" w:after="330" w:afterAutospacing="0" w:line="578" w:lineRule="auto"/>
      <w:jc w:val="both"/>
      <w:outlineLvl w:val="9"/>
    </w:pPr>
    <w:rPr>
      <w:rFonts w:ascii="Calibri" w:hAnsi="Calibri"/>
      <w:kern w:val="44"/>
      <w:sz w:val="44"/>
      <w:szCs w:val="44"/>
    </w:rPr>
  </w:style>
  <w:style w:type="character" w:customStyle="1" w:styleId="56">
    <w:name w:val="未处理的提及1"/>
    <w:semiHidden/>
    <w:qFormat/>
    <w:uiPriority w:val="99"/>
    <w:rPr>
      <w:rFonts w:cs="Times New Roman"/>
      <w:color w:val="605E5C"/>
      <w:shd w:val="clear" w:color="auto" w:fill="E1DFDD"/>
    </w:rPr>
  </w:style>
  <w:style w:type="paragraph" w:customStyle="1" w:styleId="57">
    <w:name w:val="修订1"/>
    <w:hidden/>
    <w:semiHidden/>
    <w:qFormat/>
    <w:uiPriority w:val="99"/>
    <w:rPr>
      <w:rFonts w:ascii="Calibri" w:hAnsi="Calibri" w:eastAsia="宋体" w:cs="Times New Roman"/>
      <w:kern w:val="2"/>
      <w:sz w:val="21"/>
      <w:szCs w:val="22"/>
      <w:lang w:val="en-US" w:eastAsia="zh-CN" w:bidi="ar-SA"/>
    </w:rPr>
  </w:style>
  <w:style w:type="paragraph" w:customStyle="1" w:styleId="58">
    <w:name w:val="修订2"/>
    <w:hidden/>
    <w:semiHidden/>
    <w:qFormat/>
    <w:uiPriority w:val="99"/>
    <w:rPr>
      <w:rFonts w:ascii="Calibri" w:hAnsi="Calibri" w:eastAsia="宋体" w:cs="Times New Roman"/>
      <w:kern w:val="2"/>
      <w:sz w:val="21"/>
      <w:szCs w:val="22"/>
      <w:lang w:val="en-US" w:eastAsia="zh-CN" w:bidi="ar-SA"/>
    </w:rPr>
  </w:style>
  <w:style w:type="paragraph" w:customStyle="1" w:styleId="59">
    <w:name w:val="修订3"/>
    <w:hidden/>
    <w:semiHidden/>
    <w:qFormat/>
    <w:uiPriority w:val="99"/>
    <w:rPr>
      <w:rFonts w:ascii="Calibri" w:hAnsi="Calibri" w:eastAsia="宋体" w:cs="Times New Roman"/>
      <w:kern w:val="2"/>
      <w:sz w:val="21"/>
      <w:szCs w:val="22"/>
      <w:lang w:val="en-US" w:eastAsia="zh-CN" w:bidi="ar-SA"/>
    </w:rPr>
  </w:style>
  <w:style w:type="paragraph" w:customStyle="1" w:styleId="60">
    <w:name w:val="标准文件_三级无标题"/>
    <w:basedOn w:val="1"/>
    <w:qFormat/>
    <w:uiPriority w:val="0"/>
    <w:pPr>
      <w:widowControl/>
      <w:numPr>
        <w:ilvl w:val="4"/>
        <w:numId w:val="2"/>
      </w:numPr>
      <w:tabs>
        <w:tab w:val="left" w:pos="839"/>
      </w:tabs>
    </w:pPr>
    <w:rPr>
      <w:rFonts w:ascii="宋体" w:hAnsi="Times New Roman"/>
      <w:kern w:val="0"/>
      <w:szCs w:val="20"/>
    </w:rPr>
  </w:style>
  <w:style w:type="character" w:customStyle="1" w:styleId="61">
    <w:name w:val="批注文字 字符"/>
    <w:link w:val="3"/>
    <w:qFormat/>
    <w:uiPriority w:val="99"/>
    <w:rPr>
      <w:rFonts w:ascii="Calibri" w:hAnsi="Calibri"/>
      <w:kern w:val="2"/>
      <w:sz w:val="21"/>
      <w:szCs w:val="22"/>
    </w:rPr>
  </w:style>
  <w:style w:type="character" w:customStyle="1" w:styleId="62">
    <w:name w:val="批注主题 字符"/>
    <w:link w:val="13"/>
    <w:semiHidden/>
    <w:qFormat/>
    <w:uiPriority w:val="99"/>
    <w:rPr>
      <w:rFonts w:ascii="Calibri" w:hAnsi="Calibri"/>
      <w:b/>
      <w:bCs/>
      <w:kern w:val="2"/>
      <w:sz w:val="21"/>
      <w:szCs w:val="22"/>
    </w:rPr>
  </w:style>
  <w:style w:type="paragraph" w:customStyle="1" w:styleId="63">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777</Words>
  <Characters>4432</Characters>
  <Lines>36</Lines>
  <Paragraphs>10</Paragraphs>
  <TotalTime>777</TotalTime>
  <ScaleCrop>false</ScaleCrop>
  <LinksUpToDate>false</LinksUpToDate>
  <CharactersWithSpaces>5199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2022-05-10T10:26:00Z</dcterms:created>
  <dc:creator>dwh</dc:creator>
  <cp:lastModifiedBy>林若虚</cp:lastModifiedBy>
  <cp:lastPrinted>2021-06-17T05:51:00Z</cp:lastPrinted>
  <dcterms:modified xsi:type="dcterms:W3CDTF">2022-07-12T08:08:29Z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