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olor w:val="000000"/>
          <w:sz w:val="28"/>
          <w:szCs w:val="28"/>
        </w:rPr>
      </w:pPr>
      <w:r>
        <w:rPr>
          <w:color w:val="000000"/>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1859915</wp:posOffset>
                </wp:positionV>
                <wp:extent cx="6111875" cy="0"/>
                <wp:effectExtent l="5715" t="12065" r="6985" b="6985"/>
                <wp:wrapNone/>
                <wp:docPr id="46"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6111875" cy="0"/>
                        </a:xfrm>
                        <a:prstGeom prst="straightConnector1">
                          <a:avLst/>
                        </a:prstGeom>
                        <a:noFill/>
                        <a:ln w="9525">
                          <a:solidFill>
                            <a:srgbClr val="000000"/>
                          </a:solidFill>
                          <a:round/>
                        </a:ln>
                      </wps:spPr>
                      <wps:bodyPr/>
                    </wps:wsp>
                  </a:graphicData>
                </a:graphic>
              </wp:anchor>
            </w:drawing>
          </mc:Choice>
          <mc:Fallback>
            <w:pict>
              <v:shape id="直接连接符 65" o:spid="_x0000_s1026" o:spt="32" type="#_x0000_t32" style="position:absolute;left:0pt;margin-left:-21.3pt;margin-top:146.45pt;height:0pt;width:481.25pt;z-index:251658240;mso-width-relative:page;mso-height-relative:page;" filled="f" stroked="t" coordsize="21600,21600" o:gfxdata="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Dq171wAAAAsBAAAPAAAAAAAAAAEAIAAA&#10;ACIAAABkcnMvZG93bnJldi54bWxQSwECFAAUAAAACACHTuJAfMm59tQBAABsAwAADgAAAAAAAAAB&#10;ACAAAAAmAQAAZHJzL2Uyb0RvYy54bWxQSwUGAAAAAAYABgBZAQAAbAUAAAAA&#10;">
                <v:fill on="f" focussize="0,0"/>
                <v:stroke color="#000000" joinstyle="round"/>
                <v:imagedata o:title=""/>
                <o:lock v:ext="edit" aspectratio="f"/>
              </v:shape>
            </w:pict>
          </mc:Fallback>
        </mc:AlternateContent>
      </w:r>
      <w:r>
        <w:rPr>
          <w:rFonts w:ascii="Times New Roman" w:hAnsi="Times New Roman"/>
          <w:color w:val="000000"/>
          <w:sz w:val="28"/>
          <w:szCs w:val="28"/>
        </w:rPr>
        <w:t xml:space="preserve"> </w:t>
      </w:r>
    </w:p>
    <w:p>
      <w:pPr>
        <w:rPr>
          <w:rFonts w:ascii="Times New Roman" w:hAnsi="Times New Roman"/>
          <w:color w:val="000000"/>
          <w:sz w:val="28"/>
          <w:szCs w:val="28"/>
        </w:rPr>
      </w:pPr>
      <w:r>
        <w:rPr>
          <w:color w:val="000000"/>
        </w:rPr>
        <mc:AlternateContent>
          <mc:Choice Requires="wps">
            <w:drawing>
              <wp:anchor distT="0" distB="0" distL="114300" distR="114300" simplePos="0" relativeHeight="251660288" behindDoc="0" locked="1" layoutInCell="0" allowOverlap="1">
                <wp:simplePos x="0" y="0"/>
                <wp:positionH relativeFrom="margin">
                  <wp:posOffset>-269240</wp:posOffset>
                </wp:positionH>
                <wp:positionV relativeFrom="margin">
                  <wp:posOffset>506730</wp:posOffset>
                </wp:positionV>
                <wp:extent cx="6101715" cy="933450"/>
                <wp:effectExtent l="0" t="1905" r="0" b="0"/>
                <wp:wrapNone/>
                <wp:docPr id="45" name="fmFrame2"/>
                <wp:cNvGraphicFramePr/>
                <a:graphic xmlns:a="http://schemas.openxmlformats.org/drawingml/2006/main">
                  <a:graphicData uri="http://schemas.microsoft.com/office/word/2010/wordprocessingShape">
                    <wps:wsp>
                      <wps:cNvSpPr txBox="1">
                        <a:spLocks noChangeArrowheads="1"/>
                      </wps:cNvSpPr>
                      <wps:spPr bwMode="auto">
                        <a:xfrm>
                          <a:off x="0" y="0"/>
                          <a:ext cx="6101715" cy="933450"/>
                        </a:xfrm>
                        <a:prstGeom prst="rect">
                          <a:avLst/>
                        </a:prstGeom>
                        <a:solidFill>
                          <a:srgbClr val="FFFFFF"/>
                        </a:solidFill>
                        <a:ln>
                          <a:noFill/>
                        </a:ln>
                      </wps:spPr>
                      <wps:txbx>
                        <w:txbxContent>
                          <w:p>
                            <w:pPr>
                              <w:pStyle w:val="24"/>
                              <w:jc w:val="center"/>
                              <w:rPr>
                                <w:rFonts w:hAnsi="宋体" w:cs="宋体"/>
                                <w:sz w:val="72"/>
                                <w:szCs w:val="72"/>
                              </w:rPr>
                            </w:pPr>
                            <w:r>
                              <w:rPr>
                                <w:rFonts w:hint="eastAsia" w:hAnsi="宋体" w:cs="宋体"/>
                                <w:b w:val="0"/>
                                <w:bCs w:val="0"/>
                                <w:sz w:val="72"/>
                                <w:szCs w:val="72"/>
                              </w:rPr>
                              <w:t>团</w:t>
                            </w:r>
                            <w:r>
                              <w:rPr>
                                <w:rFonts w:hAnsi="宋体" w:cs="宋体"/>
                                <w:b w:val="0"/>
                                <w:bCs w:val="0"/>
                                <w:sz w:val="72"/>
                                <w:szCs w:val="72"/>
                              </w:rPr>
                              <w:t xml:space="preserve"> </w:t>
                            </w:r>
                            <w:r>
                              <w:rPr>
                                <w:rFonts w:hint="eastAsia" w:hAnsi="宋体" w:cs="宋体"/>
                                <w:b w:val="0"/>
                                <w:bCs w:val="0"/>
                                <w:sz w:val="72"/>
                                <w:szCs w:val="72"/>
                              </w:rPr>
                              <w:t>体</w:t>
                            </w:r>
                            <w:r>
                              <w:rPr>
                                <w:rFonts w:hAnsi="宋体" w:cs="宋体"/>
                                <w:b w:val="0"/>
                                <w:bCs w:val="0"/>
                                <w:sz w:val="72"/>
                                <w:szCs w:val="72"/>
                              </w:rPr>
                              <w:t xml:space="preserve"> </w:t>
                            </w:r>
                            <w:r>
                              <w:rPr>
                                <w:rFonts w:hint="eastAsia" w:hAnsi="宋体" w:cs="宋体"/>
                                <w:b w:val="0"/>
                                <w:bCs w:val="0"/>
                                <w:sz w:val="72"/>
                                <w:szCs w:val="72"/>
                              </w:rPr>
                              <w:t>标</w:t>
                            </w:r>
                            <w:r>
                              <w:rPr>
                                <w:rFonts w:hAnsi="宋体" w:cs="宋体"/>
                                <w:b w:val="0"/>
                                <w:bCs w:val="0"/>
                                <w:sz w:val="72"/>
                                <w:szCs w:val="72"/>
                              </w:rPr>
                              <w:t xml:space="preserve"> </w:t>
                            </w:r>
                            <w:r>
                              <w:rPr>
                                <w:rFonts w:hint="eastAsia" w:hAnsi="宋体" w:cs="宋体"/>
                                <w:b w:val="0"/>
                                <w:bCs w:val="0"/>
                                <w:sz w:val="72"/>
                                <w:szCs w:val="72"/>
                              </w:rPr>
                              <w:t>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1.2pt;margin-top:39.9pt;height:73.5pt;width:480.45pt;mso-position-horizontal-relative:margin;mso-position-vertical-relative:margin;z-index:251660288;mso-width-relative:page;mso-height-relative:page;" fillcolor="#FFFFFF" filled="t" stroked="f" coordsize="21600,21600" o:allowincell="f" o:gfxdata="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UOSI9oAAAAKAQAADwAAAAAAAAABACAAAAAiAAAAZHJzL2Rvd25yZXYueG1s&#10;UEsBAhQAFAAAAAgAh07iQKY1tRX2AQAA3gMAAA4AAAAAAAAAAQAgAAAAKQEAAGRycy9lMm9Eb2Mu&#10;eG1sUEsFBgAAAAAGAAYAWQEAAJEFAAAAAA==&#10;">
                <v:fill on="t" focussize="0,0"/>
                <v:stroke on="f"/>
                <v:imagedata o:title=""/>
                <o:lock v:ext="edit" aspectratio="f"/>
                <v:textbox inset="0mm,0mm,0mm,0mm">
                  <w:txbxContent>
                    <w:p>
                      <w:pPr>
                        <w:pStyle w:val="24"/>
                        <w:jc w:val="center"/>
                        <w:rPr>
                          <w:rFonts w:hAnsi="宋体" w:cs="宋体"/>
                          <w:sz w:val="72"/>
                          <w:szCs w:val="72"/>
                        </w:rPr>
                      </w:pPr>
                      <w:r>
                        <w:rPr>
                          <w:rFonts w:hint="eastAsia" w:hAnsi="宋体" w:cs="宋体"/>
                          <w:b w:val="0"/>
                          <w:bCs w:val="0"/>
                          <w:sz w:val="72"/>
                          <w:szCs w:val="72"/>
                        </w:rPr>
                        <w:t>团</w:t>
                      </w:r>
                      <w:r>
                        <w:rPr>
                          <w:rFonts w:hAnsi="宋体" w:cs="宋体"/>
                          <w:b w:val="0"/>
                          <w:bCs w:val="0"/>
                          <w:sz w:val="72"/>
                          <w:szCs w:val="72"/>
                        </w:rPr>
                        <w:t xml:space="preserve"> </w:t>
                      </w:r>
                      <w:r>
                        <w:rPr>
                          <w:rFonts w:hint="eastAsia" w:hAnsi="宋体" w:cs="宋体"/>
                          <w:b w:val="0"/>
                          <w:bCs w:val="0"/>
                          <w:sz w:val="72"/>
                          <w:szCs w:val="72"/>
                        </w:rPr>
                        <w:t>体</w:t>
                      </w:r>
                      <w:r>
                        <w:rPr>
                          <w:rFonts w:hAnsi="宋体" w:cs="宋体"/>
                          <w:b w:val="0"/>
                          <w:bCs w:val="0"/>
                          <w:sz w:val="72"/>
                          <w:szCs w:val="72"/>
                        </w:rPr>
                        <w:t xml:space="preserve"> </w:t>
                      </w:r>
                      <w:r>
                        <w:rPr>
                          <w:rFonts w:hint="eastAsia" w:hAnsi="宋体" w:cs="宋体"/>
                          <w:b w:val="0"/>
                          <w:bCs w:val="0"/>
                          <w:sz w:val="72"/>
                          <w:szCs w:val="72"/>
                        </w:rPr>
                        <w:t>标</w:t>
                      </w:r>
                      <w:r>
                        <w:rPr>
                          <w:rFonts w:hAnsi="宋体" w:cs="宋体"/>
                          <w:b w:val="0"/>
                          <w:bCs w:val="0"/>
                          <w:sz w:val="72"/>
                          <w:szCs w:val="72"/>
                        </w:rPr>
                        <w:t xml:space="preserve"> </w:t>
                      </w:r>
                      <w:r>
                        <w:rPr>
                          <w:rFonts w:hint="eastAsia" w:hAnsi="宋体" w:cs="宋体"/>
                          <w:b w:val="0"/>
                          <w:bCs w:val="0"/>
                          <w:sz w:val="72"/>
                          <w:szCs w:val="72"/>
                        </w:rPr>
                        <w:t>准</w:t>
                      </w:r>
                    </w:p>
                  </w:txbxContent>
                </v:textbox>
                <w10:anchorlock/>
              </v:shape>
            </w:pict>
          </mc:Fallback>
        </mc:AlternateContent>
      </w:r>
    </w:p>
    <w:p>
      <w:pPr>
        <w:rPr>
          <w:rFonts w:ascii="Times New Roman" w:hAnsi="Times New Roman"/>
          <w:color w:val="000000"/>
          <w:sz w:val="28"/>
          <w:szCs w:val="28"/>
        </w:rPr>
      </w:pPr>
      <w:r>
        <w:rPr>
          <w:color w:val="000000"/>
        </w:rPr>
        <mc:AlternateContent>
          <mc:Choice Requires="wps">
            <w:drawing>
              <wp:anchor distT="0" distB="0" distL="114300" distR="114300" simplePos="0" relativeHeight="251650048" behindDoc="0" locked="1" layoutInCell="0" allowOverlap="1">
                <wp:simplePos x="0" y="0"/>
                <wp:positionH relativeFrom="margin">
                  <wp:posOffset>-56515</wp:posOffset>
                </wp:positionH>
                <wp:positionV relativeFrom="margin">
                  <wp:posOffset>-50165</wp:posOffset>
                </wp:positionV>
                <wp:extent cx="1807845" cy="542925"/>
                <wp:effectExtent l="635" t="0" r="1270" b="2540"/>
                <wp:wrapNone/>
                <wp:docPr id="44" name="fmFrame1"/>
                <wp:cNvGraphicFramePr/>
                <a:graphic xmlns:a="http://schemas.openxmlformats.org/drawingml/2006/main">
                  <a:graphicData uri="http://schemas.microsoft.com/office/word/2010/wordprocessingShape">
                    <wps:wsp>
                      <wps:cNvSpPr txBox="1">
                        <a:spLocks noChangeArrowheads="1"/>
                      </wps:cNvSpPr>
                      <wps:spPr bwMode="auto">
                        <a:xfrm>
                          <a:off x="0" y="0"/>
                          <a:ext cx="1807845" cy="542925"/>
                        </a:xfrm>
                        <a:prstGeom prst="rect">
                          <a:avLst/>
                        </a:prstGeom>
                        <a:solidFill>
                          <a:srgbClr val="FFFFFF"/>
                        </a:solidFill>
                        <a:ln>
                          <a:noFill/>
                        </a:ln>
                      </wps:spPr>
                      <wps:txbx>
                        <w:txbxContent>
                          <w:p>
                            <w:pPr>
                              <w:pStyle w:val="25"/>
                              <w:snapToGrid w:val="0"/>
                              <w:rPr>
                                <w:rFonts w:ascii="宋体" w:hAnsi="宋体" w:eastAsia="宋体"/>
                                <w:bCs/>
                                <w:color w:val="000000"/>
                              </w:rPr>
                            </w:pPr>
                            <w:r>
                              <w:rPr>
                                <w:rFonts w:ascii="宋体" w:hAnsi="宋体" w:eastAsia="宋体"/>
                                <w:bCs/>
                                <w:color w:val="000000"/>
                              </w:rPr>
                              <w:t>ICS 77.120.01</w:t>
                            </w:r>
                          </w:p>
                          <w:p>
                            <w:pPr>
                              <w:pStyle w:val="25"/>
                              <w:snapToGrid w:val="0"/>
                              <w:rPr>
                                <w:rFonts w:ascii="宋体" w:hAnsi="宋体" w:eastAsia="宋体"/>
                                <w:bCs/>
                                <w:color w:val="000000"/>
                              </w:rPr>
                            </w:pPr>
                            <w:r>
                              <w:rPr>
                                <w:rFonts w:ascii="宋体" w:hAnsi="宋体" w:eastAsia="宋体"/>
                                <w:bCs/>
                                <w:color w:val="000000"/>
                              </w:rPr>
                              <w:t>CCS H01</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4.45pt;margin-top:-3.95pt;height:42.75pt;width:142.35pt;mso-position-horizontal-relative:margin;mso-position-vertical-relative:margin;z-index:251650048;mso-width-relative:page;mso-height-relative:page;" fillcolor="#FFFFFF" filled="t" stroked="f" coordsize="21600,21600" o:allowincell="f" o:gfxdata="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saXIzXAAAACAEAAA8AAAAAAAAAAQAgAAAAIgAAAGRycy9kb3ducmV2LnhtbFBLAQIU&#10;ABQAAAAIAIdO4kD1MxP79AEAAN4DAAAOAAAAAAAAAAEAIAAAACYBAABkcnMvZTJvRG9jLnhtbFBL&#10;BQYAAAAABgAGAFkBAACMBQAAAAA=&#10;">
                <v:fill on="t" focussize="0,0"/>
                <v:stroke on="f"/>
                <v:imagedata o:title=""/>
                <o:lock v:ext="edit" aspectratio="f"/>
                <v:textbox inset="0mm,0mm,0mm,0mm">
                  <w:txbxContent>
                    <w:p>
                      <w:pPr>
                        <w:pStyle w:val="25"/>
                        <w:snapToGrid w:val="0"/>
                        <w:rPr>
                          <w:rFonts w:ascii="宋体" w:hAnsi="宋体" w:eastAsia="宋体"/>
                          <w:bCs/>
                          <w:color w:val="000000"/>
                        </w:rPr>
                      </w:pPr>
                      <w:r>
                        <w:rPr>
                          <w:rFonts w:ascii="宋体" w:hAnsi="宋体" w:eastAsia="宋体"/>
                          <w:bCs/>
                          <w:color w:val="000000"/>
                        </w:rPr>
                        <w:t>ICS 77.120.01</w:t>
                      </w:r>
                    </w:p>
                    <w:p>
                      <w:pPr>
                        <w:pStyle w:val="25"/>
                        <w:snapToGrid w:val="0"/>
                        <w:rPr>
                          <w:rFonts w:ascii="宋体" w:hAnsi="宋体" w:eastAsia="宋体"/>
                          <w:bCs/>
                          <w:color w:val="000000"/>
                        </w:rPr>
                      </w:pPr>
                      <w:r>
                        <w:rPr>
                          <w:rFonts w:ascii="宋体" w:hAnsi="宋体" w:eastAsia="宋体"/>
                          <w:bCs/>
                          <w:color w:val="000000"/>
                        </w:rPr>
                        <w:t>CCS H01</w:t>
                      </w:r>
                    </w:p>
                  </w:txbxContent>
                </v:textbox>
                <w10:anchorlock/>
              </v:shape>
            </w:pict>
          </mc:Fallback>
        </mc:AlternateContent>
      </w:r>
    </w:p>
    <w:p>
      <w:pPr>
        <w:rPr>
          <w:rFonts w:ascii="Times New Roman" w:hAnsi="Times New Roman"/>
          <w:color w:val="000000"/>
          <w:sz w:val="28"/>
          <w:szCs w:val="28"/>
        </w:rPr>
      </w:pPr>
    </w:p>
    <w:p>
      <w:pPr>
        <w:rPr>
          <w:rFonts w:ascii="Times New Roman" w:hAnsi="Times New Roman"/>
          <w:color w:val="000000"/>
          <w:sz w:val="28"/>
          <w:szCs w:val="28"/>
        </w:rPr>
      </w:pPr>
    </w:p>
    <w:p>
      <w:pPr>
        <w:rPr>
          <w:rFonts w:ascii="Times New Roman" w:hAnsi="Times New Roman"/>
          <w:color w:val="000000"/>
          <w:sz w:val="28"/>
          <w:szCs w:val="28"/>
        </w:rPr>
      </w:pPr>
      <w:r>
        <w:rPr>
          <w:color w:val="000000"/>
        </w:rPr>
        <mc:AlternateContent>
          <mc:Choice Requires="wps">
            <w:drawing>
              <wp:anchor distT="0" distB="0" distL="114300" distR="114300" simplePos="0" relativeHeight="251651072" behindDoc="0" locked="1" layoutInCell="0" allowOverlap="1">
                <wp:simplePos x="0" y="0"/>
                <wp:positionH relativeFrom="margin">
                  <wp:posOffset>-278765</wp:posOffset>
                </wp:positionH>
                <wp:positionV relativeFrom="margin">
                  <wp:posOffset>1315720</wp:posOffset>
                </wp:positionV>
                <wp:extent cx="6084570" cy="297180"/>
                <wp:effectExtent l="0" t="1270" r="4445" b="0"/>
                <wp:wrapNone/>
                <wp:docPr id="43" name="fmFrame3"/>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wps:spPr>
                      <wps:txbx>
                        <w:txbxContent>
                          <w:p>
                            <w:pPr>
                              <w:pStyle w:val="26"/>
                              <w:spacing w:before="0"/>
                            </w:pPr>
                            <w:r>
                              <w:t>T/CNIA XXXX-2021</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1.95pt;margin-top:103.6pt;height:23.4pt;width:479.1pt;mso-position-horizontal-relative:margin;mso-position-vertical-relative:margin;z-index:251651072;mso-width-relative:page;mso-height-relative:page;" fillcolor="#FFFFFF" filled="t" stroked="f" coordsize="21600,21600" o:allowincell="f" o:gfxdata="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4nm2wAAAAsBAAAPAAAAAAAAAAEAIAAAACIAAABkcnMvZG93bnJldi54&#10;bWxQSwECFAAUAAAACACHTuJAQGjyyfcBAADeAwAADgAAAAAAAAABACAAAAAqAQAAZHJzL2Uyb0Rv&#10;Yy54bWxQSwUGAAAAAAYABgBZAQAAkwUAAAAA&#10;">
                <v:fill on="t" focussize="0,0"/>
                <v:stroke on="f"/>
                <v:imagedata o:title=""/>
                <o:lock v:ext="edit" aspectratio="f"/>
                <v:textbox inset="0mm,0mm,0mm,0mm">
                  <w:txbxContent>
                    <w:p>
                      <w:pPr>
                        <w:pStyle w:val="26"/>
                        <w:spacing w:before="0"/>
                      </w:pPr>
                      <w:r>
                        <w:t>T/CNIA XXXX-2021</w:t>
                      </w:r>
                    </w:p>
                  </w:txbxContent>
                </v:textbox>
                <w10:anchorlock/>
              </v:shape>
            </w:pict>
          </mc:Fallback>
        </mc:AlternateContent>
      </w:r>
    </w:p>
    <w:p>
      <w:pPr>
        <w:rPr>
          <w:rFonts w:ascii="Times New Roman" w:hAnsi="Times New Roman"/>
          <w:color w:val="000000"/>
          <w:sz w:val="28"/>
          <w:szCs w:val="28"/>
        </w:rPr>
      </w:pPr>
      <w:r>
        <w:rPr>
          <w:color w:val="000000"/>
        </w:rPr>
        <mc:AlternateContent>
          <mc:Choice Requires="wps">
            <w:drawing>
              <wp:anchor distT="0" distB="0" distL="114300" distR="114300" simplePos="0" relativeHeight="251652096" behindDoc="0" locked="0" layoutInCell="1" allowOverlap="1">
                <wp:simplePos x="0" y="0"/>
                <wp:positionH relativeFrom="column">
                  <wp:posOffset>-393065</wp:posOffset>
                </wp:positionH>
                <wp:positionV relativeFrom="paragraph">
                  <wp:posOffset>247015</wp:posOffset>
                </wp:positionV>
                <wp:extent cx="6121400" cy="0"/>
                <wp:effectExtent l="6985" t="14605" r="15240" b="13970"/>
                <wp:wrapNone/>
                <wp:docPr id="42" name="Line 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6" o:spid="_x0000_s1026" o:spt="20" style="position:absolute;left:0pt;margin-left:-30.95pt;margin-top:19.45pt;height:0pt;width:482pt;z-index:251652096;mso-width-relative:page;mso-height-relative:page;" filled="f" stroked="t" coordsize="21600,21600" o:gfxdata="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udAtb1wAA&#10;AAkBAAAPAAAAAAAAAAEAIAAAACIAAABkcnMvZG93bnJldi54bWxQSwECFAAUAAAACACHTuJAlAcz&#10;4K0BAABTAwAADgAAAAAAAAABACAAAAAmAQAAZHJzL2Uyb0RvYy54bWxQSwUGAAAAAAYABgBZAQAA&#10;RQUAAAAA&#10;">
                <v:fill on="f" focussize="0,0"/>
                <v:stroke weight="1pt" color="#FFFFFF" joinstyle="round"/>
                <v:imagedata o:title=""/>
                <o:lock v:ext="edit" aspectratio="f"/>
              </v:line>
            </w:pict>
          </mc:Fallback>
        </mc:AlternateContent>
      </w:r>
    </w:p>
    <w:p>
      <w:pPr>
        <w:rPr>
          <w:rFonts w:ascii="Times New Roman" w:hAnsi="Times New Roman"/>
          <w:color w:val="000000"/>
          <w:sz w:val="28"/>
          <w:szCs w:val="28"/>
        </w:rPr>
      </w:pPr>
    </w:p>
    <w:p>
      <w:pPr>
        <w:rPr>
          <w:rFonts w:ascii="Times New Roman" w:hAnsi="Times New Roman"/>
          <w:color w:val="000000"/>
          <w:sz w:val="28"/>
          <w:szCs w:val="28"/>
        </w:rPr>
      </w:pPr>
    </w:p>
    <w:p>
      <w:pPr>
        <w:rPr>
          <w:rFonts w:ascii="Times New Roman" w:hAnsi="Times New Roman"/>
          <w:color w:val="000000"/>
          <w:sz w:val="28"/>
          <w:szCs w:val="28"/>
        </w:rPr>
      </w:pPr>
      <w:r>
        <w:rPr>
          <w:color w:val="000000"/>
        </w:rPr>
        <mc:AlternateContent>
          <mc:Choice Requires="wps">
            <w:drawing>
              <wp:anchor distT="0" distB="0" distL="114300" distR="114300" simplePos="0" relativeHeight="251653120" behindDoc="0" locked="1" layoutInCell="0" allowOverlap="1">
                <wp:simplePos x="0" y="0"/>
                <wp:positionH relativeFrom="margin">
                  <wp:posOffset>-323850</wp:posOffset>
                </wp:positionH>
                <wp:positionV relativeFrom="margin">
                  <wp:posOffset>2222500</wp:posOffset>
                </wp:positionV>
                <wp:extent cx="5969000" cy="4036695"/>
                <wp:effectExtent l="0" t="3175" r="3175" b="0"/>
                <wp:wrapNone/>
                <wp:docPr id="41"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036695"/>
                        </a:xfrm>
                        <a:prstGeom prst="rect">
                          <a:avLst/>
                        </a:prstGeom>
                        <a:solidFill>
                          <a:srgbClr val="FFFFFF"/>
                        </a:solidFill>
                        <a:ln>
                          <a:noFill/>
                        </a:ln>
                      </wps:spPr>
                      <wps:txbx>
                        <w:txbxContent>
                          <w:p>
                            <w:pPr>
                              <w:pStyle w:val="27"/>
                            </w:pPr>
                          </w:p>
                          <w:p>
                            <w:pPr>
                              <w:pStyle w:val="27"/>
                            </w:pPr>
                          </w:p>
                          <w:p>
                            <w:pPr>
                              <w:jc w:val="center"/>
                              <w:rPr>
                                <w:rFonts w:ascii="黑体" w:hAnsi="黑体" w:eastAsia="黑体" w:cs="黑体"/>
                                <w:kern w:val="0"/>
                                <w:sz w:val="52"/>
                                <w:szCs w:val="52"/>
                              </w:rPr>
                            </w:pPr>
                            <w:r>
                              <w:rPr>
                                <w:rFonts w:hint="eastAsia" w:ascii="黑体" w:hAnsi="黑体" w:eastAsia="黑体" w:cs="黑体"/>
                                <w:bCs/>
                                <w:kern w:val="0"/>
                                <w:sz w:val="52"/>
                                <w:szCs w:val="52"/>
                              </w:rPr>
                              <w:t>多金属矿区钨尾矿综合利用技术规范</w:t>
                            </w:r>
                          </w:p>
                          <w:p>
                            <w:pPr>
                              <w:jc w:val="center"/>
                              <w:rPr>
                                <w:b/>
                                <w:bCs/>
                                <w:kern w:val="0"/>
                                <w:sz w:val="44"/>
                              </w:rPr>
                            </w:pPr>
                          </w:p>
                          <w:p>
                            <w:pPr>
                              <w:jc w:val="center"/>
                              <w:rPr>
                                <w:rFonts w:ascii="黑体" w:hAnsi="黑体" w:eastAsia="黑体" w:cs="黑体"/>
                                <w:bCs/>
                                <w:sz w:val="28"/>
                                <w:szCs w:val="28"/>
                              </w:rPr>
                            </w:pPr>
                            <w:r>
                              <w:rPr>
                                <w:rFonts w:ascii="黑体" w:hAnsi="黑体" w:eastAsia="黑体" w:cs="黑体"/>
                                <w:bCs/>
                                <w:sz w:val="28"/>
                                <w:szCs w:val="28"/>
                              </w:rPr>
                              <w:t>Technical specification for separation and recovery of tungsten tailing in polymetallic mining areas</w:t>
                            </w:r>
                          </w:p>
                          <w:p>
                            <w:pPr>
                              <w:jc w:val="center"/>
                              <w:rPr>
                                <w:b/>
                                <w:sz w:val="30"/>
                                <w:szCs w:val="30"/>
                              </w:rPr>
                            </w:pPr>
                          </w:p>
                          <w:p>
                            <w:pPr>
                              <w:pStyle w:val="30"/>
                              <w:rPr>
                                <w:b/>
                                <w:sz w:val="30"/>
                                <w:szCs w:val="30"/>
                              </w:rPr>
                            </w:pPr>
                            <w:r>
                              <w:rPr>
                                <w:rFonts w:hint="eastAsia"/>
                                <w:b/>
                                <w:sz w:val="30"/>
                                <w:szCs w:val="30"/>
                              </w:rPr>
                              <w:t>（</w:t>
                            </w:r>
                            <w:r>
                              <w:rPr>
                                <w:rFonts w:hint="eastAsia"/>
                                <w:b/>
                                <w:sz w:val="30"/>
                                <w:szCs w:val="30"/>
                                <w:lang w:eastAsia="zh-CN"/>
                              </w:rPr>
                              <w:t>预审</w:t>
                            </w:r>
                            <w:r>
                              <w:rPr>
                                <w:rFonts w:hint="eastAsia"/>
                                <w:b/>
                                <w:sz w:val="30"/>
                                <w:szCs w:val="30"/>
                              </w:rPr>
                              <w:t>稿）</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5.5pt;margin-top:175pt;height:317.85pt;width:470pt;mso-position-horizontal-relative:margin;mso-position-vertical-relative:margin;z-index:251653120;mso-width-relative:page;mso-height-relative:page;" fillcolor="#FFFFFF" filled="t" stroked="f" coordsize="21600,21600" o:allowincell="f" o:gfxdata="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8j1WfaAAAACwEAAA8AAAAAAAAAAQAgAAAAIgAAAGRycy9kb3ducmV2Lnht&#10;bFBLAQIUABQAAAAIAIdO4kDXspp+9wEAAN8DAAAOAAAAAAAAAAEAIAAAACkBAABkcnMvZTJvRG9j&#10;LnhtbFBLBQYAAAAABgAGAFkBAACSBQAAAAA=&#10;">
                <v:fill on="t" focussize="0,0"/>
                <v:stroke on="f"/>
                <v:imagedata o:title=""/>
                <o:lock v:ext="edit" aspectratio="f"/>
                <v:textbox inset="0mm,0mm,0mm,0mm">
                  <w:txbxContent>
                    <w:p>
                      <w:pPr>
                        <w:pStyle w:val="27"/>
                      </w:pPr>
                    </w:p>
                    <w:p>
                      <w:pPr>
                        <w:pStyle w:val="27"/>
                      </w:pPr>
                    </w:p>
                    <w:p>
                      <w:pPr>
                        <w:jc w:val="center"/>
                        <w:rPr>
                          <w:rFonts w:ascii="黑体" w:hAnsi="黑体" w:eastAsia="黑体" w:cs="黑体"/>
                          <w:kern w:val="0"/>
                          <w:sz w:val="52"/>
                          <w:szCs w:val="52"/>
                        </w:rPr>
                      </w:pPr>
                      <w:r>
                        <w:rPr>
                          <w:rFonts w:hint="eastAsia" w:ascii="黑体" w:hAnsi="黑体" w:eastAsia="黑体" w:cs="黑体"/>
                          <w:bCs/>
                          <w:kern w:val="0"/>
                          <w:sz w:val="52"/>
                          <w:szCs w:val="52"/>
                        </w:rPr>
                        <w:t>多金属矿区钨尾矿综合利用技术规范</w:t>
                      </w:r>
                    </w:p>
                    <w:p>
                      <w:pPr>
                        <w:jc w:val="center"/>
                        <w:rPr>
                          <w:b/>
                          <w:bCs/>
                          <w:kern w:val="0"/>
                          <w:sz w:val="44"/>
                        </w:rPr>
                      </w:pPr>
                    </w:p>
                    <w:p>
                      <w:pPr>
                        <w:jc w:val="center"/>
                        <w:rPr>
                          <w:rFonts w:ascii="黑体" w:hAnsi="黑体" w:eastAsia="黑体" w:cs="黑体"/>
                          <w:bCs/>
                          <w:sz w:val="28"/>
                          <w:szCs w:val="28"/>
                        </w:rPr>
                      </w:pPr>
                      <w:r>
                        <w:rPr>
                          <w:rFonts w:ascii="黑体" w:hAnsi="黑体" w:eastAsia="黑体" w:cs="黑体"/>
                          <w:bCs/>
                          <w:sz w:val="28"/>
                          <w:szCs w:val="28"/>
                        </w:rPr>
                        <w:t>Technical specification for separation and recovery of tungsten tailing in polymetallic mining areas</w:t>
                      </w:r>
                    </w:p>
                    <w:p>
                      <w:pPr>
                        <w:jc w:val="center"/>
                        <w:rPr>
                          <w:b/>
                          <w:sz w:val="30"/>
                          <w:szCs w:val="30"/>
                        </w:rPr>
                      </w:pPr>
                    </w:p>
                    <w:p>
                      <w:pPr>
                        <w:pStyle w:val="30"/>
                        <w:rPr>
                          <w:b/>
                          <w:sz w:val="30"/>
                          <w:szCs w:val="30"/>
                        </w:rPr>
                      </w:pPr>
                      <w:r>
                        <w:rPr>
                          <w:rFonts w:hint="eastAsia"/>
                          <w:b/>
                          <w:sz w:val="30"/>
                          <w:szCs w:val="30"/>
                        </w:rPr>
                        <w:t>（</w:t>
                      </w:r>
                      <w:r>
                        <w:rPr>
                          <w:rFonts w:hint="eastAsia"/>
                          <w:b/>
                          <w:sz w:val="30"/>
                          <w:szCs w:val="30"/>
                          <w:lang w:eastAsia="zh-CN"/>
                        </w:rPr>
                        <w:t>预审</w:t>
                      </w:r>
                      <w:r>
                        <w:rPr>
                          <w:rFonts w:hint="eastAsia"/>
                          <w:b/>
                          <w:sz w:val="30"/>
                          <w:szCs w:val="30"/>
                        </w:rPr>
                        <w:t>稿）</w:t>
                      </w:r>
                    </w:p>
                  </w:txbxContent>
                </v:textbox>
                <w10:anchorlock/>
              </v:shape>
            </w:pict>
          </mc:Fallback>
        </mc:AlternateContent>
      </w:r>
    </w:p>
    <w:p>
      <w:pPr>
        <w:rPr>
          <w:rFonts w:ascii="Times New Roman" w:hAnsi="Times New Roman"/>
          <w:color w:val="000000"/>
          <w:sz w:val="28"/>
          <w:szCs w:val="28"/>
        </w:rPr>
      </w:pPr>
    </w:p>
    <w:p>
      <w:pPr>
        <w:rPr>
          <w:rFonts w:ascii="Times New Roman" w:hAnsi="Times New Roman"/>
          <w:color w:val="000000"/>
          <w:sz w:val="28"/>
          <w:szCs w:val="28"/>
        </w:rPr>
      </w:pPr>
    </w:p>
    <w:p>
      <w:pPr>
        <w:rPr>
          <w:rFonts w:ascii="Times New Roman" w:hAnsi="Times New Roman"/>
          <w:color w:val="000000"/>
          <w:sz w:val="28"/>
          <w:szCs w:val="28"/>
        </w:rPr>
      </w:pPr>
    </w:p>
    <w:p>
      <w:pPr>
        <w:rPr>
          <w:rFonts w:ascii="Times New Roman" w:hAnsi="Times New Roman"/>
          <w:color w:val="000000"/>
          <w:sz w:val="28"/>
          <w:szCs w:val="28"/>
        </w:rPr>
      </w:pPr>
    </w:p>
    <w:p>
      <w:pPr>
        <w:rPr>
          <w:rFonts w:ascii="Times New Roman" w:hAnsi="Times New Roman"/>
          <w:color w:val="000000"/>
          <w:sz w:val="28"/>
          <w:szCs w:val="28"/>
        </w:rPr>
      </w:pPr>
      <w:r>
        <w:rPr>
          <w:color w:val="000000"/>
        </w:rPr>
        <mc:AlternateContent>
          <mc:Choice Requires="wps">
            <w:drawing>
              <wp:anchor distT="0" distB="0" distL="114300" distR="114300" simplePos="0" relativeHeight="251654144" behindDoc="0" locked="1" layoutInCell="1" allowOverlap="1">
                <wp:simplePos x="0" y="0"/>
                <wp:positionH relativeFrom="margin">
                  <wp:posOffset>3836035</wp:posOffset>
                </wp:positionH>
                <wp:positionV relativeFrom="margin">
                  <wp:posOffset>7323455</wp:posOffset>
                </wp:positionV>
                <wp:extent cx="2019300" cy="312420"/>
                <wp:effectExtent l="0" t="0" r="2540" b="3175"/>
                <wp:wrapNone/>
                <wp:docPr id="40"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2"/>
                            </w:pPr>
                            <w:r>
                              <w:t>2021-xx-xx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2.05pt;margin-top:576.65pt;height:24.6pt;width:159pt;mso-position-horizontal-relative:margin;mso-position-vertical-relative:margin;z-index:251654144;mso-width-relative:page;mso-height-relative:page;" fillcolor="#FFFFFF" filled="t" stroked="f" coordsize="21600,21600" o:gfxdata="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D8N7dkAAAANAQAADwAAAAAAAAABACAAAAAiAAAAZHJzL2Rvd25yZXYueG1sUEsB&#10;AhQAFAAAAAgAh07iQE70tYv0AQAA3gMAAA4AAAAAAAAAAQAgAAAAKAEAAGRycy9lMm9Eb2MueG1s&#10;UEsFBgAAAAAGAAYAWQEAAI4FAAAAAA==&#10;">
                <v:fill on="t" focussize="0,0"/>
                <v:stroke on="f"/>
                <v:imagedata o:title=""/>
                <o:lock v:ext="edit" aspectratio="f"/>
                <v:textbox inset="0mm,0mm,0mm,0mm">
                  <w:txbxContent>
                    <w:p>
                      <w:pPr>
                        <w:pStyle w:val="32"/>
                      </w:pPr>
                      <w:r>
                        <w:t>2021-xx-xx</w:t>
                      </w: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251655168" behindDoc="0" locked="1" layoutInCell="1" allowOverlap="1">
                <wp:simplePos x="0" y="0"/>
                <wp:positionH relativeFrom="margin">
                  <wp:posOffset>-278765</wp:posOffset>
                </wp:positionH>
                <wp:positionV relativeFrom="margin">
                  <wp:posOffset>7350125</wp:posOffset>
                </wp:positionV>
                <wp:extent cx="2019300" cy="312420"/>
                <wp:effectExtent l="0" t="0" r="2540" b="0"/>
                <wp:wrapNone/>
                <wp:docPr id="39"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1"/>
                            </w:pPr>
                            <w:r>
                              <w:t>2021-xx-xx</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21.95pt;margin-top:578.75pt;height:24.6pt;width:159pt;mso-position-horizontal-relative:margin;mso-position-vertical-relative:margin;z-index:251655168;mso-width-relative:page;mso-height-relative:page;" fillcolor="#FFFFFF" filled="t" stroked="f" coordsize="21600,21600" o:gfxdata="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punHdwAAAANAQAADwAAAAAAAAABACAAAAAiAAAAZHJzL2Rvd25yZXYueG1s&#10;UEsBAhQAFAAAAAgAh07iQGbnSl30AQAA3gMAAA4AAAAAAAAAAQAgAAAAKwEAAGRycy9lMm9Eb2Mu&#10;eG1sUEsFBgAAAAAGAAYAWQEAAJEFAAAAAA==&#10;">
                <v:fill on="t" focussize="0,0"/>
                <v:stroke on="f"/>
                <v:imagedata o:title=""/>
                <o:lock v:ext="edit" aspectratio="f"/>
                <v:textbox inset="0mm,0mm,0mm,0mm">
                  <w:txbxContent>
                    <w:p>
                      <w:pPr>
                        <w:pStyle w:val="31"/>
                      </w:pPr>
                      <w:r>
                        <w:t>2021-xx-xx</w:t>
                      </w:r>
                      <w:r>
                        <w:rPr>
                          <w:rFonts w:hint="eastAsia"/>
                        </w:rPr>
                        <w:t>发布</w:t>
                      </w:r>
                    </w:p>
                  </w:txbxContent>
                </v:textbox>
                <w10:anchorlock/>
              </v:shape>
            </w:pict>
          </mc:Fallback>
        </mc:AlternateContent>
      </w:r>
    </w:p>
    <w:p>
      <w:pPr>
        <w:rPr>
          <w:rFonts w:ascii="Times New Roman" w:hAnsi="Times New Roman"/>
          <w:color w:val="000000"/>
          <w:sz w:val="28"/>
          <w:szCs w:val="28"/>
        </w:rPr>
      </w:pPr>
      <w:r>
        <w:rPr>
          <w:color w:val="000000"/>
        </w:rPr>
        <mc:AlternateContent>
          <mc:Choice Requires="wps">
            <w:drawing>
              <wp:anchor distT="0" distB="0" distL="114300" distR="114300" simplePos="0" relativeHeight="251656192" behindDoc="0" locked="0" layoutInCell="1" allowOverlap="1">
                <wp:simplePos x="0" y="0"/>
                <wp:positionH relativeFrom="column">
                  <wp:posOffset>-278765</wp:posOffset>
                </wp:positionH>
                <wp:positionV relativeFrom="paragraph">
                  <wp:posOffset>217805</wp:posOffset>
                </wp:positionV>
                <wp:extent cx="6121400" cy="0"/>
                <wp:effectExtent l="6985" t="8255" r="15240" b="10795"/>
                <wp:wrapNone/>
                <wp:docPr id="38"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10" o:spid="_x0000_s1026" o:spt="20" style="position:absolute;left:0pt;margin-left:-21.95pt;margin-top:17.15pt;height:0pt;width:482pt;z-index:251656192;mso-width-relative:page;mso-height-relative:page;" filled="f" stroked="t" coordsize="21600,21600" o:gfxdata="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ieR2DY&#10;AAAACQEAAA8AAAAAAAAAAQAgAAAAIgAAAGRycy9kb3ducmV2LnhtbFBLAQIUABQAAAAIAIdO4kCU&#10;+dqSrgEAAFQDAAAOAAAAAAAAAAEAIAAAACcBAABkcnMvZTJvRG9jLnhtbFBLBQYAAAAABgAGAFkB&#10;AABHBQAAAAA=&#10;">
                <v:fill on="f" focussize="0,0"/>
                <v:stroke weight="1pt" color="#FFFFFF" joinstyle="round"/>
                <v:imagedata o:title=""/>
                <o:lock v:ext="edit" aspectratio="f"/>
              </v:line>
            </w:pict>
          </mc:Fallback>
        </mc:AlternateContent>
      </w:r>
    </w:p>
    <w:p>
      <w:pPr>
        <w:pStyle w:val="37"/>
        <w:jc w:val="center"/>
        <w:rPr>
          <w:rFonts w:ascii="Times New Roman" w:hAnsi="Times New Roman"/>
          <w:color w:val="000000"/>
        </w:rPr>
        <w:sectPr>
          <w:pgSz w:w="11906" w:h="16838"/>
          <w:pgMar w:top="1440" w:right="1800" w:bottom="1440" w:left="1800" w:header="851" w:footer="992" w:gutter="0"/>
          <w:cols w:space="425" w:num="1"/>
          <w:docGrid w:type="lines" w:linePitch="312" w:charSpace="0"/>
        </w:sectPr>
      </w:pPr>
      <w:r>
        <w:rPr>
          <w:color w:val="000000"/>
        </w:rPr>
        <mc:AlternateContent>
          <mc:Choice Requires="wps">
            <w:drawing>
              <wp:anchor distT="0" distB="0" distL="114300" distR="114300" simplePos="0" relativeHeight="251659264" behindDoc="0" locked="0" layoutInCell="1" allowOverlap="1">
                <wp:simplePos x="0" y="0"/>
                <wp:positionH relativeFrom="column">
                  <wp:posOffset>4330065</wp:posOffset>
                </wp:positionH>
                <wp:positionV relativeFrom="paragraph">
                  <wp:posOffset>1967230</wp:posOffset>
                </wp:positionV>
                <wp:extent cx="781050" cy="390525"/>
                <wp:effectExtent l="0" t="1270" r="3810" b="0"/>
                <wp:wrapNone/>
                <wp:docPr id="3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wps:spPr>
                      <wps:txbx>
                        <w:txbxContent>
                          <w:p>
                            <w:pPr>
                              <w:rPr>
                                <w:rFonts w:ascii="黑体" w:hAnsi="黑体" w:eastAsia="黑体"/>
                                <w:spacing w:val="20"/>
                                <w:w w:val="135"/>
                                <w:kern w:val="0"/>
                                <w:sz w:val="28"/>
                                <w:szCs w:val="20"/>
                              </w:rPr>
                            </w:pPr>
                            <w:r>
                              <w:rPr>
                                <w:rFonts w:hint="eastAsia" w:ascii="黑体" w:hAnsi="黑体" w:eastAsia="黑体"/>
                                <w:spacing w:val="20"/>
                                <w:w w:val="135"/>
                                <w:szCs w:val="20"/>
                              </w:rPr>
                              <w:t>发布</w:t>
                            </w:r>
                          </w:p>
                        </w:txbxContent>
                      </wps:txbx>
                      <wps:bodyPr rot="0" vert="horz" wrap="square" lIns="91440" tIns="45720" rIns="91440" bIns="45720" anchor="t" anchorCtr="0" upright="1">
                        <a:noAutofit/>
                      </wps:bodyPr>
                    </wps:wsp>
                  </a:graphicData>
                </a:graphic>
              </wp:anchor>
            </w:drawing>
          </mc:Choice>
          <mc:Fallback>
            <w:pict>
              <v:shape id="文本框 67" o:spid="_x0000_s1026" o:spt="202" type="#_x0000_t202" style="position:absolute;left:0pt;margin-left:340.95pt;margin-top:154.9pt;height:30.75pt;width:61.5pt;z-index:251659264;mso-width-relative:page;mso-height-relative:page;" filled="f" stroked="f" coordsize="21600,21600" o:gfxdata="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qvY7zXAAAACwEAAA8AAAAAAAAAAQAgAAAAIgAAAGRycy9kb3ducmV2&#10;LnhtbFBLAQIUABQAAAAIAIdO4kBBcccY/QEAAMgDAAAOAAAAAAAAAAEAIAAAACYBAABkcnMvZTJv&#10;RG9jLnhtbFBLBQYAAAAABgAGAFkBAACVBQAAAAA=&#10;">
                <v:fill on="f" focussize="0,0"/>
                <v:stroke on="f"/>
                <v:imagedata o:title=""/>
                <o:lock v:ext="edit" aspectratio="f"/>
                <v:textbox>
                  <w:txbxContent>
                    <w:p>
                      <w:pPr>
                        <w:rPr>
                          <w:rFonts w:ascii="黑体" w:hAnsi="黑体" w:eastAsia="黑体"/>
                          <w:spacing w:val="20"/>
                          <w:w w:val="135"/>
                          <w:kern w:val="0"/>
                          <w:sz w:val="28"/>
                          <w:szCs w:val="20"/>
                        </w:rPr>
                      </w:pPr>
                      <w:r>
                        <w:rPr>
                          <w:rFonts w:hint="eastAsia" w:ascii="黑体" w:hAnsi="黑体" w:eastAsia="黑体"/>
                          <w:spacing w:val="20"/>
                          <w:w w:val="135"/>
                          <w:szCs w:val="20"/>
                        </w:rPr>
                        <w:t>发布</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-323850</wp:posOffset>
                </wp:positionH>
                <wp:positionV relativeFrom="paragraph">
                  <wp:posOffset>1508760</wp:posOffset>
                </wp:positionV>
                <wp:extent cx="6200775" cy="0"/>
                <wp:effectExtent l="9525" t="9525" r="9525" b="9525"/>
                <wp:wrapNone/>
                <wp:docPr id="36" name="自选图形 11"/>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 id="自选图形 11" o:spid="_x0000_s1026" o:spt="32" type="#_x0000_t32" style="position:absolute;left:0pt;margin-left:-25.5pt;margin-top:118.8pt;height:0pt;width:488.25pt;z-index:251661312;mso-width-relative:page;mso-height-relative:page;" filled="f" stroked="t" coordsize="21600,21600" o:gfxdata="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70foPYAAAACwEAAA8AAAAAAAAAAQAgAAAA&#10;IgAAAGRycy9kb3ducmV2LnhtbFBLAQIUABQAAAAIAIdO4kB5gDkf0gEAAGkDAAAOAAAAAAAAAAEA&#10;IAAAACcBAABkcnMvZTJvRG9jLnhtbFBLBQYAAAAABgAGAFkBAABr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657216" behindDoc="0" locked="1" layoutInCell="1" allowOverlap="1">
                <wp:simplePos x="0" y="0"/>
                <wp:positionH relativeFrom="margin">
                  <wp:posOffset>956945</wp:posOffset>
                </wp:positionH>
                <wp:positionV relativeFrom="margin">
                  <wp:posOffset>8100060</wp:posOffset>
                </wp:positionV>
                <wp:extent cx="3936365" cy="786130"/>
                <wp:effectExtent l="4445" t="3810" r="2540" b="635"/>
                <wp:wrapNone/>
                <wp:docPr id="35" name="fmFrame7"/>
                <wp:cNvGraphicFramePr/>
                <a:graphic xmlns:a="http://schemas.openxmlformats.org/drawingml/2006/main">
                  <a:graphicData uri="http://schemas.microsoft.com/office/word/2010/wordprocessingShape">
                    <wps:wsp>
                      <wps:cNvSpPr txBox="1">
                        <a:spLocks noChangeArrowheads="1"/>
                      </wps:cNvSpPr>
                      <wps:spPr bwMode="auto">
                        <a:xfrm>
                          <a:off x="0" y="0"/>
                          <a:ext cx="3936365" cy="786130"/>
                        </a:xfrm>
                        <a:prstGeom prst="rect">
                          <a:avLst/>
                        </a:prstGeom>
                        <a:solidFill>
                          <a:srgbClr val="FFFFFF"/>
                        </a:solidFill>
                        <a:ln>
                          <a:noFill/>
                        </a:ln>
                      </wps:spPr>
                      <wps:txbx>
                        <w:txbxContent>
                          <w:p>
                            <w:pPr>
                              <w:pStyle w:val="34"/>
                              <w:jc w:val="both"/>
                              <w:rPr>
                                <w:spacing w:val="0"/>
                                <w:szCs w:val="36"/>
                              </w:rPr>
                            </w:pPr>
                            <w:r>
                              <w:rPr>
                                <w:rFonts w:hint="eastAsia"/>
                                <w:spacing w:val="0"/>
                                <w:szCs w:val="36"/>
                              </w:rPr>
                              <w:t>中国有色金属工业协会</w:t>
                            </w:r>
                            <w:r>
                              <w:rPr>
                                <w:spacing w:val="0"/>
                                <w:szCs w:val="36"/>
                              </w:rPr>
                              <w:t xml:space="preserve"> </w:t>
                            </w:r>
                          </w:p>
                          <w:p>
                            <w:pPr>
                              <w:pStyle w:val="34"/>
                              <w:jc w:val="both"/>
                              <w:rPr>
                                <w:szCs w:val="36"/>
                              </w:rPr>
                            </w:pPr>
                            <w:r>
                              <w:rPr>
                                <w:rFonts w:hint="eastAsia"/>
                                <w:spacing w:val="0"/>
                                <w:w w:val="130"/>
                                <w:szCs w:val="36"/>
                              </w:rPr>
                              <w:t>中国有色金属学会</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5.35pt;margin-top:637.8pt;height:61.9pt;width:309.95pt;mso-position-horizontal-relative:margin;mso-position-vertical-relative:margin;z-index:251657216;mso-width-relative:page;mso-height-relative:page;" fillcolor="#FFFFFF" filled="t" stroked="f" coordsize="21600,21600" o:gfxdata="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e/zUPaAAAADQEAAA8AAAAAAAAAAQAgAAAAIgAAAGRycy9kb3ducmV2Lnht&#10;bFBLAQIUABQAAAAIAIdO4kAHBObP9wEAAN4DAAAOAAAAAAAAAAEAIAAAACkBAABkcnMvZTJvRG9j&#10;LnhtbFBLBQYAAAAABgAGAFkBAACSBQAAAAA=&#10;">
                <v:fill on="t" focussize="0,0"/>
                <v:stroke on="f"/>
                <v:imagedata o:title=""/>
                <o:lock v:ext="edit" aspectratio="f"/>
                <v:textbox inset="0mm,0mm,0mm,0mm">
                  <w:txbxContent>
                    <w:p>
                      <w:pPr>
                        <w:pStyle w:val="34"/>
                        <w:jc w:val="both"/>
                        <w:rPr>
                          <w:spacing w:val="0"/>
                          <w:szCs w:val="36"/>
                        </w:rPr>
                      </w:pPr>
                      <w:r>
                        <w:rPr>
                          <w:rFonts w:hint="eastAsia"/>
                          <w:spacing w:val="0"/>
                          <w:szCs w:val="36"/>
                        </w:rPr>
                        <w:t>中国有色金属工业协会</w:t>
                      </w:r>
                      <w:r>
                        <w:rPr>
                          <w:spacing w:val="0"/>
                          <w:szCs w:val="36"/>
                        </w:rPr>
                        <w:t xml:space="preserve"> </w:t>
                      </w:r>
                    </w:p>
                    <w:p>
                      <w:pPr>
                        <w:pStyle w:val="34"/>
                        <w:jc w:val="both"/>
                        <w:rPr>
                          <w:szCs w:val="36"/>
                        </w:rPr>
                      </w:pPr>
                      <w:r>
                        <w:rPr>
                          <w:rFonts w:hint="eastAsia"/>
                          <w:spacing w:val="0"/>
                          <w:w w:val="130"/>
                          <w:szCs w:val="36"/>
                        </w:rPr>
                        <w:t>中国有色金属学会</w:t>
                      </w:r>
                    </w:p>
                  </w:txbxContent>
                </v:textbox>
                <w10:anchorlock/>
              </v:shape>
            </w:pict>
          </mc:Fallback>
        </mc:AlternateContent>
      </w:r>
    </w:p>
    <w:p>
      <w:pPr>
        <w:pStyle w:val="37"/>
        <w:jc w:val="center"/>
        <w:rPr>
          <w:rFonts w:ascii="Times New Roman" w:hAnsi="Times New Roman"/>
          <w:color w:val="000000"/>
          <w:sz w:val="30"/>
          <w:szCs w:val="30"/>
        </w:rPr>
      </w:pPr>
      <w:r>
        <w:rPr>
          <w:rFonts w:hint="eastAsia" w:ascii="Times New Roman"/>
          <w:color w:val="000000"/>
          <w:sz w:val="30"/>
          <w:szCs w:val="30"/>
          <w:lang w:val="zh-CN"/>
        </w:rPr>
        <w:t>目次</w:t>
      </w:r>
    </w:p>
    <w:p>
      <w:pPr>
        <w:pStyle w:val="9"/>
        <w:tabs>
          <w:tab w:val="right" w:leader="dot" w:pos="8296"/>
        </w:tabs>
        <w:rPr>
          <w:color w:val="000000"/>
        </w:rPr>
      </w:pPr>
      <w:r>
        <w:rPr>
          <w:rFonts w:ascii="Times New Roman" w:hAnsi="Times New Roman"/>
          <w:color w:val="000000"/>
          <w:szCs w:val="21"/>
        </w:rPr>
        <w:fldChar w:fldCharType="begin"/>
      </w:r>
      <w:r>
        <w:rPr>
          <w:rFonts w:ascii="Times New Roman" w:hAnsi="Times New Roman"/>
          <w:color w:val="000000"/>
          <w:szCs w:val="21"/>
        </w:rPr>
        <w:instrText xml:space="preserve"> TOC \o "1-2" \h \z \u </w:instrText>
      </w:r>
      <w:r>
        <w:rPr>
          <w:rFonts w:ascii="Times New Roman" w:hAnsi="Times New Roman"/>
          <w:color w:val="000000"/>
          <w:szCs w:val="21"/>
        </w:rPr>
        <w:fldChar w:fldCharType="separate"/>
      </w:r>
      <w:r>
        <w:fldChar w:fldCharType="begin"/>
      </w:r>
      <w:r>
        <w:instrText xml:space="preserve"> HYPERLINK \l "_Toc92310664" </w:instrText>
      </w:r>
      <w:r>
        <w:fldChar w:fldCharType="separate"/>
      </w:r>
      <w:r>
        <w:rPr>
          <w:rStyle w:val="17"/>
          <w:rFonts w:hint="eastAsia" w:ascii="Times New Roman"/>
          <w:b/>
          <w:color w:val="000000"/>
        </w:rPr>
        <w:t>前言</w:t>
      </w:r>
      <w:r>
        <w:rPr>
          <w:color w:val="000000"/>
        </w:rPr>
        <w:tab/>
      </w:r>
      <w:r>
        <w:rPr>
          <w:color w:val="000000"/>
        </w:rPr>
        <w:fldChar w:fldCharType="begin"/>
      </w:r>
      <w:r>
        <w:rPr>
          <w:color w:val="000000"/>
        </w:rPr>
        <w:instrText xml:space="preserve"> PAGEREF _Toc92310664 \h </w:instrText>
      </w:r>
      <w:r>
        <w:rPr>
          <w:color w:val="000000"/>
        </w:rPr>
        <w:fldChar w:fldCharType="separate"/>
      </w:r>
      <w:r>
        <w:rPr>
          <w:color w:val="000000"/>
        </w:rPr>
        <w:t>I</w:t>
      </w:r>
      <w:r>
        <w:rPr>
          <w:color w:val="000000"/>
        </w:rPr>
        <w:fldChar w:fldCharType="end"/>
      </w:r>
      <w:r>
        <w:rPr>
          <w:color w:val="000000"/>
        </w:rPr>
        <w:fldChar w:fldCharType="end"/>
      </w:r>
    </w:p>
    <w:p>
      <w:pPr>
        <w:pStyle w:val="11"/>
        <w:tabs>
          <w:tab w:val="right" w:leader="dot" w:pos="8296"/>
        </w:tabs>
        <w:rPr>
          <w:color w:val="000000"/>
        </w:rPr>
      </w:pPr>
      <w:r>
        <w:fldChar w:fldCharType="begin"/>
      </w:r>
      <w:r>
        <w:instrText xml:space="preserve"> HYPERLINK \l "_Toc92310665" </w:instrText>
      </w:r>
      <w:r>
        <w:fldChar w:fldCharType="separate"/>
      </w:r>
      <w:r>
        <w:rPr>
          <w:rStyle w:val="17"/>
          <w:color w:val="000000"/>
        </w:rPr>
        <w:t>1</w:t>
      </w:r>
      <w:r>
        <w:rPr>
          <w:rStyle w:val="17"/>
          <w:rFonts w:ascii="Times New Roman"/>
          <w:color w:val="000000"/>
        </w:rPr>
        <w:t xml:space="preserve"> </w:t>
      </w:r>
      <w:r>
        <w:rPr>
          <w:rStyle w:val="17"/>
          <w:rFonts w:hint="eastAsia" w:ascii="Times New Roman"/>
          <w:color w:val="000000"/>
        </w:rPr>
        <w:t>范围</w:t>
      </w:r>
      <w:r>
        <w:rPr>
          <w:color w:val="000000"/>
        </w:rPr>
        <w:tab/>
      </w:r>
      <w:r>
        <w:rPr>
          <w:color w:val="000000"/>
        </w:rPr>
        <w:fldChar w:fldCharType="begin"/>
      </w:r>
      <w:r>
        <w:rPr>
          <w:color w:val="000000"/>
        </w:rPr>
        <w:instrText xml:space="preserve"> PAGEREF _Toc92310665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296"/>
        </w:tabs>
        <w:rPr>
          <w:color w:val="000000"/>
        </w:rPr>
      </w:pPr>
      <w:r>
        <w:fldChar w:fldCharType="begin"/>
      </w:r>
      <w:r>
        <w:instrText xml:space="preserve"> HYPERLINK \l "_Toc92310666" </w:instrText>
      </w:r>
      <w:r>
        <w:fldChar w:fldCharType="separate"/>
      </w:r>
      <w:r>
        <w:rPr>
          <w:rStyle w:val="17"/>
          <w:color w:val="000000"/>
        </w:rPr>
        <w:t>2</w:t>
      </w:r>
      <w:r>
        <w:rPr>
          <w:rStyle w:val="17"/>
          <w:rFonts w:ascii="Times New Roman"/>
          <w:color w:val="000000"/>
        </w:rPr>
        <w:t xml:space="preserve"> </w:t>
      </w:r>
      <w:r>
        <w:rPr>
          <w:rStyle w:val="17"/>
          <w:rFonts w:hint="eastAsia" w:ascii="Times New Roman"/>
          <w:color w:val="000000"/>
        </w:rPr>
        <w:t>规范性引用文件</w:t>
      </w:r>
      <w:r>
        <w:rPr>
          <w:color w:val="000000"/>
        </w:rPr>
        <w:tab/>
      </w:r>
      <w:r>
        <w:rPr>
          <w:color w:val="000000"/>
        </w:rPr>
        <w:fldChar w:fldCharType="begin"/>
      </w:r>
      <w:r>
        <w:rPr>
          <w:color w:val="000000"/>
        </w:rPr>
        <w:instrText xml:space="preserve"> PAGEREF _Toc92310666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296"/>
        </w:tabs>
        <w:rPr>
          <w:color w:val="000000"/>
        </w:rPr>
      </w:pPr>
      <w:r>
        <w:fldChar w:fldCharType="begin"/>
      </w:r>
      <w:r>
        <w:instrText xml:space="preserve"> HYPERLINK \l "_Toc92310667" </w:instrText>
      </w:r>
      <w:r>
        <w:fldChar w:fldCharType="separate"/>
      </w:r>
      <w:r>
        <w:rPr>
          <w:rStyle w:val="17"/>
          <w:color w:val="000000"/>
        </w:rPr>
        <w:t>3</w:t>
      </w:r>
      <w:r>
        <w:rPr>
          <w:rStyle w:val="17"/>
          <w:rFonts w:ascii="Times New Roman"/>
          <w:color w:val="000000"/>
        </w:rPr>
        <w:t xml:space="preserve"> </w:t>
      </w:r>
      <w:r>
        <w:rPr>
          <w:rStyle w:val="17"/>
          <w:rFonts w:hint="eastAsia" w:ascii="Times New Roman"/>
          <w:color w:val="000000"/>
        </w:rPr>
        <w:t>术语和定义</w:t>
      </w:r>
      <w:r>
        <w:rPr>
          <w:color w:val="000000"/>
        </w:rPr>
        <w:tab/>
      </w:r>
      <w:r>
        <w:rPr>
          <w:color w:val="000000"/>
        </w:rPr>
        <w:fldChar w:fldCharType="begin"/>
      </w:r>
      <w:r>
        <w:rPr>
          <w:color w:val="000000"/>
        </w:rPr>
        <w:instrText xml:space="preserve"> PAGEREF _Toc92310667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296"/>
        </w:tabs>
        <w:rPr>
          <w:color w:val="000000"/>
        </w:rPr>
      </w:pPr>
      <w:r>
        <w:fldChar w:fldCharType="begin"/>
      </w:r>
      <w:r>
        <w:instrText xml:space="preserve"> HYPERLINK \l "_Toc92310668" </w:instrText>
      </w:r>
      <w:r>
        <w:fldChar w:fldCharType="separate"/>
      </w:r>
      <w:r>
        <w:rPr>
          <w:rStyle w:val="17"/>
          <w:color w:val="000000"/>
        </w:rPr>
        <w:t>4</w:t>
      </w:r>
      <w:r>
        <w:rPr>
          <w:rStyle w:val="17"/>
          <w:rFonts w:ascii="Times New Roman"/>
          <w:color w:val="000000"/>
        </w:rPr>
        <w:t xml:space="preserve"> </w:t>
      </w:r>
      <w:r>
        <w:rPr>
          <w:rStyle w:val="17"/>
          <w:rFonts w:hint="eastAsia" w:ascii="Times New Roman"/>
          <w:color w:val="000000"/>
        </w:rPr>
        <w:t>总体要求</w:t>
      </w:r>
      <w:r>
        <w:rPr>
          <w:color w:val="000000"/>
        </w:rPr>
        <w:tab/>
      </w:r>
      <w:r>
        <w:rPr>
          <w:color w:val="000000"/>
        </w:rPr>
        <w:fldChar w:fldCharType="begin"/>
      </w:r>
      <w:r>
        <w:rPr>
          <w:color w:val="000000"/>
        </w:rPr>
        <w:instrText xml:space="preserve"> PAGEREF _Toc92310668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296"/>
        </w:tabs>
        <w:rPr>
          <w:color w:val="000000"/>
        </w:rPr>
      </w:pPr>
      <w:r>
        <w:fldChar w:fldCharType="begin"/>
      </w:r>
      <w:r>
        <w:instrText xml:space="preserve"> HYPERLINK \l "_Toc92310669" </w:instrText>
      </w:r>
      <w:r>
        <w:fldChar w:fldCharType="separate"/>
      </w:r>
      <w:r>
        <w:rPr>
          <w:rStyle w:val="17"/>
          <w:color w:val="000000"/>
        </w:rPr>
        <w:t xml:space="preserve">5 </w:t>
      </w:r>
      <w:r>
        <w:rPr>
          <w:rStyle w:val="17"/>
          <w:rFonts w:hint="eastAsia"/>
          <w:color w:val="000000"/>
        </w:rPr>
        <w:t>工艺设计</w:t>
      </w:r>
      <w:r>
        <w:rPr>
          <w:color w:val="000000"/>
        </w:rPr>
        <w:tab/>
      </w:r>
      <w:r>
        <w:rPr>
          <w:color w:val="000000"/>
        </w:rPr>
        <w:fldChar w:fldCharType="begin"/>
      </w:r>
      <w:r>
        <w:rPr>
          <w:color w:val="000000"/>
        </w:rPr>
        <w:instrText xml:space="preserve"> PAGEREF _Toc92310669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296"/>
        </w:tabs>
        <w:rPr>
          <w:color w:val="000000"/>
        </w:rPr>
      </w:pPr>
      <w:r>
        <w:fldChar w:fldCharType="begin"/>
      </w:r>
      <w:r>
        <w:instrText xml:space="preserve"> HYPERLINK \l "_Toc92310670" </w:instrText>
      </w:r>
      <w:r>
        <w:fldChar w:fldCharType="separate"/>
      </w:r>
      <w:r>
        <w:rPr>
          <w:rStyle w:val="17"/>
          <w:color w:val="000000"/>
        </w:rPr>
        <w:t>6</w:t>
      </w:r>
      <w:r>
        <w:rPr>
          <w:rStyle w:val="17"/>
          <w:rFonts w:ascii="Times New Roman"/>
          <w:color w:val="000000"/>
        </w:rPr>
        <w:t xml:space="preserve"> </w:t>
      </w:r>
      <w:r>
        <w:rPr>
          <w:rStyle w:val="17"/>
          <w:rFonts w:hint="eastAsia" w:ascii="Times New Roman"/>
          <w:color w:val="000000"/>
        </w:rPr>
        <w:t>主要工艺设备和材料</w:t>
      </w:r>
      <w:r>
        <w:rPr>
          <w:color w:val="000000"/>
        </w:rPr>
        <w:tab/>
      </w:r>
      <w:r>
        <w:rPr>
          <w:color w:val="000000"/>
        </w:rPr>
        <w:fldChar w:fldCharType="begin"/>
      </w:r>
      <w:r>
        <w:rPr>
          <w:color w:val="000000"/>
        </w:rPr>
        <w:instrText xml:space="preserve"> PAGEREF _Toc92310670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296"/>
        </w:tabs>
        <w:rPr>
          <w:color w:val="000000"/>
        </w:rPr>
      </w:pPr>
      <w:r>
        <w:fldChar w:fldCharType="begin"/>
      </w:r>
      <w:r>
        <w:instrText xml:space="preserve"> HYPERLINK \l "_Toc92310671" </w:instrText>
      </w:r>
      <w:r>
        <w:fldChar w:fldCharType="separate"/>
      </w:r>
      <w:r>
        <w:rPr>
          <w:rStyle w:val="17"/>
          <w:color w:val="000000"/>
        </w:rPr>
        <w:t>7</w:t>
      </w:r>
      <w:r>
        <w:rPr>
          <w:rStyle w:val="17"/>
          <w:rFonts w:ascii="Times New Roman"/>
          <w:color w:val="000000"/>
        </w:rPr>
        <w:t xml:space="preserve"> </w:t>
      </w:r>
      <w:r>
        <w:rPr>
          <w:rStyle w:val="17"/>
          <w:rFonts w:hint="eastAsia" w:ascii="Times New Roman"/>
          <w:color w:val="000000"/>
        </w:rPr>
        <w:t>检测与过程控制</w:t>
      </w:r>
      <w:r>
        <w:rPr>
          <w:color w:val="000000"/>
        </w:rPr>
        <w:tab/>
      </w:r>
      <w:r>
        <w:rPr>
          <w:color w:val="000000"/>
        </w:rPr>
        <w:fldChar w:fldCharType="begin"/>
      </w:r>
      <w:r>
        <w:rPr>
          <w:color w:val="000000"/>
        </w:rPr>
        <w:instrText xml:space="preserve"> PAGEREF _Toc92310671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296"/>
        </w:tabs>
        <w:rPr>
          <w:color w:val="000000"/>
        </w:rPr>
      </w:pPr>
      <w:r>
        <w:fldChar w:fldCharType="begin"/>
      </w:r>
      <w:r>
        <w:instrText xml:space="preserve"> HYPERLINK \l "_Toc92310672" </w:instrText>
      </w:r>
      <w:r>
        <w:fldChar w:fldCharType="separate"/>
      </w:r>
      <w:r>
        <w:rPr>
          <w:rStyle w:val="17"/>
          <w:color w:val="000000"/>
        </w:rPr>
        <w:t xml:space="preserve">8 </w:t>
      </w:r>
      <w:r>
        <w:rPr>
          <w:rStyle w:val="17"/>
          <w:rFonts w:hint="eastAsia"/>
          <w:color w:val="000000"/>
        </w:rPr>
        <w:t>运行与维护</w:t>
      </w:r>
      <w:r>
        <w:rPr>
          <w:color w:val="000000"/>
        </w:rPr>
        <w:tab/>
      </w:r>
      <w:r>
        <w:rPr>
          <w:color w:val="000000"/>
        </w:rPr>
        <w:fldChar w:fldCharType="begin"/>
      </w:r>
      <w:r>
        <w:rPr>
          <w:color w:val="000000"/>
        </w:rPr>
        <w:instrText xml:space="preserve"> PAGEREF _Toc92310672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306"/>
        </w:tabs>
        <w:ind w:left="0" w:leftChars="0"/>
        <w:rPr>
          <w:rFonts w:ascii="Times New Roman" w:hAnsi="Times New Roman"/>
          <w:color w:val="000000"/>
        </w:rPr>
      </w:pPr>
      <w:r>
        <w:rPr>
          <w:rFonts w:ascii="Times New Roman" w:hAnsi="Times New Roman"/>
          <w:color w:val="000000"/>
          <w:szCs w:val="21"/>
        </w:rPr>
        <w:fldChar w:fldCharType="end"/>
      </w:r>
    </w:p>
    <w:p>
      <w:pPr>
        <w:widowControl/>
        <w:jc w:val="left"/>
        <w:rPr>
          <w:rFonts w:ascii="Times New Roman" w:hAnsi="Times New Roman"/>
          <w:color w:val="000000"/>
          <w:sz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widowControl/>
        <w:jc w:val="left"/>
        <w:rPr>
          <w:rFonts w:ascii="Times New Roman" w:hAnsi="Times New Roman"/>
          <w:color w:val="000000"/>
          <w:sz w:val="28"/>
        </w:rPr>
      </w:pPr>
    </w:p>
    <w:p>
      <w:pPr>
        <w:jc w:val="center"/>
        <w:outlineLvl w:val="0"/>
        <w:rPr>
          <w:rFonts w:ascii="Times New Roman" w:hAnsi="Times New Roman"/>
          <w:b/>
          <w:color w:val="000000"/>
          <w:sz w:val="28"/>
        </w:rPr>
      </w:pPr>
      <w:bookmarkStart w:id="0" w:name="_Toc92310664"/>
      <w:r>
        <w:rPr>
          <w:rFonts w:hint="eastAsia" w:ascii="Times New Roman"/>
          <w:b/>
          <w:color w:val="000000"/>
          <w:sz w:val="28"/>
        </w:rPr>
        <w:t>前言</w:t>
      </w:r>
      <w:bookmarkEnd w:id="0"/>
    </w:p>
    <w:p>
      <w:pPr>
        <w:ind w:firstLine="2730" w:firstLineChars="1300"/>
        <w:rPr>
          <w:rFonts w:ascii="Times New Roman" w:hAnsi="Times New Roman" w:eastAsia="黑体"/>
          <w:color w:val="000000"/>
        </w:rPr>
      </w:pPr>
    </w:p>
    <w:p>
      <w:pPr>
        <w:ind w:firstLine="420" w:firstLineChars="200"/>
        <w:rPr>
          <w:rFonts w:ascii="Times New Roman" w:hAnsi="Times New Roman"/>
          <w:color w:val="000000"/>
          <w:kern w:val="0"/>
          <w:szCs w:val="21"/>
        </w:rPr>
      </w:pPr>
      <w:r>
        <w:rPr>
          <w:rFonts w:hint="eastAsia" w:ascii="Times New Roman" w:hAnsi="宋体"/>
          <w:color w:val="000000"/>
          <w:kern w:val="0"/>
          <w:szCs w:val="21"/>
        </w:rPr>
        <w:t>本文件按照</w:t>
      </w:r>
      <w:r>
        <w:rPr>
          <w:rFonts w:ascii="Times New Roman" w:hAnsi="Times New Roman"/>
          <w:color w:val="000000"/>
          <w:kern w:val="0"/>
          <w:szCs w:val="21"/>
        </w:rPr>
        <w:t>GB/T1.1-2020</w:t>
      </w:r>
      <w:r>
        <w:rPr>
          <w:rFonts w:hint="eastAsia" w:ascii="Times New Roman" w:hAnsi="宋体"/>
          <w:color w:val="000000"/>
          <w:kern w:val="0"/>
          <w:szCs w:val="21"/>
        </w:rPr>
        <w:t>《标准化工作导则</w:t>
      </w:r>
      <w:r>
        <w:rPr>
          <w:rFonts w:ascii="Times New Roman" w:hAnsi="宋体"/>
          <w:color w:val="000000"/>
          <w:kern w:val="0"/>
          <w:szCs w:val="21"/>
        </w:rPr>
        <w:t xml:space="preserve"> </w:t>
      </w:r>
      <w:r>
        <w:rPr>
          <w:rFonts w:hint="eastAsia" w:ascii="Times New Roman" w:hAnsi="宋体"/>
          <w:color w:val="000000"/>
          <w:kern w:val="0"/>
          <w:szCs w:val="21"/>
        </w:rPr>
        <w:t>第</w:t>
      </w:r>
      <w:r>
        <w:rPr>
          <w:rFonts w:ascii="Times New Roman" w:hAnsi="宋体"/>
          <w:color w:val="000000"/>
          <w:kern w:val="0"/>
          <w:szCs w:val="21"/>
        </w:rPr>
        <w:t>1</w:t>
      </w:r>
      <w:r>
        <w:rPr>
          <w:rFonts w:hint="eastAsia" w:ascii="Times New Roman" w:hAnsi="宋体"/>
          <w:color w:val="000000"/>
          <w:kern w:val="0"/>
          <w:szCs w:val="21"/>
        </w:rPr>
        <w:t>部分：标准化文件的结构和起草规则》的规定起草。</w:t>
      </w:r>
    </w:p>
    <w:p>
      <w:pPr>
        <w:ind w:firstLine="420" w:firstLineChars="200"/>
        <w:rPr>
          <w:rFonts w:ascii="Times New Roman" w:hAnsi="Times New Roman"/>
          <w:color w:val="000000"/>
          <w:kern w:val="0"/>
          <w:szCs w:val="21"/>
        </w:rPr>
      </w:pPr>
      <w:r>
        <w:rPr>
          <w:rFonts w:hint="eastAsia" w:ascii="Times New Roman"/>
          <w:color w:val="000000"/>
        </w:rPr>
        <w:t>请注意本文件的某些内容可能涉及专利。本文件的发布机构不承担识别专利的责任。</w:t>
      </w:r>
    </w:p>
    <w:p>
      <w:pPr>
        <w:ind w:firstLine="420" w:firstLineChars="200"/>
        <w:rPr>
          <w:rFonts w:ascii="Times New Roman" w:hAnsi="Times New Roman"/>
          <w:color w:val="000000"/>
          <w:szCs w:val="21"/>
        </w:rPr>
      </w:pPr>
      <w:r>
        <w:rPr>
          <w:rFonts w:hint="eastAsia" w:ascii="Times New Roman" w:hAnsi="宋体"/>
          <w:color w:val="000000"/>
          <w:szCs w:val="21"/>
        </w:rPr>
        <w:t>本文件由工业和信息化部节能与综合利用司提出。</w:t>
      </w:r>
    </w:p>
    <w:p>
      <w:pPr>
        <w:ind w:firstLine="420" w:firstLineChars="200"/>
        <w:rPr>
          <w:rFonts w:ascii="Times New Roman" w:hAnsi="Times New Roman"/>
          <w:color w:val="000000"/>
          <w:szCs w:val="21"/>
        </w:rPr>
      </w:pPr>
      <w:r>
        <w:rPr>
          <w:rFonts w:hint="eastAsia" w:ascii="Times New Roman" w:hAnsi="宋体"/>
          <w:color w:val="000000"/>
          <w:szCs w:val="21"/>
        </w:rPr>
        <w:t>本文件由全国有色金属标准化技术委员会</w:t>
      </w:r>
      <w:r>
        <w:rPr>
          <w:rFonts w:ascii="Times New Roman" w:hAnsi="Times New Roman"/>
          <w:color w:val="000000"/>
          <w:szCs w:val="21"/>
        </w:rPr>
        <w:t>(SAC/TC243)</w:t>
      </w:r>
      <w:r>
        <w:rPr>
          <w:rFonts w:hint="eastAsia" w:ascii="Times New Roman" w:hAnsi="宋体"/>
          <w:color w:val="000000"/>
          <w:szCs w:val="21"/>
        </w:rPr>
        <w:t>归口。</w:t>
      </w:r>
    </w:p>
    <w:p>
      <w:pPr>
        <w:ind w:firstLine="420" w:firstLineChars="200"/>
        <w:rPr>
          <w:rFonts w:ascii="Times New Roman" w:hAnsi="Times New Roman"/>
          <w:color w:val="000000"/>
        </w:rPr>
      </w:pPr>
      <w:r>
        <w:rPr>
          <w:rFonts w:hint="eastAsia" w:ascii="Times New Roman" w:hAnsi="宋体"/>
          <w:color w:val="000000"/>
          <w:szCs w:val="21"/>
        </w:rPr>
        <w:t>本文件</w:t>
      </w:r>
      <w:r>
        <w:rPr>
          <w:rFonts w:hint="eastAsia" w:ascii="Times New Roman" w:hAnsi="宋体"/>
          <w:color w:val="000000"/>
        </w:rPr>
        <w:t>起草</w:t>
      </w:r>
      <w:r>
        <w:rPr>
          <w:rFonts w:hint="eastAsia" w:ascii="Times New Roman" w:hAnsi="宋体"/>
          <w:color w:val="000000"/>
          <w:szCs w:val="21"/>
        </w:rPr>
        <w:t>单位：清华大学、湖南柿竹园有色金属有限责任公司、中南大学、广东省科学院资源综合利用研究所、</w:t>
      </w:r>
      <w:bookmarkStart w:id="1" w:name="_Hlk66089186"/>
      <w:r>
        <w:rPr>
          <w:rFonts w:hint="eastAsia" w:ascii="Times New Roman" w:hAnsi="宋体"/>
          <w:color w:val="000000"/>
          <w:szCs w:val="21"/>
        </w:rPr>
        <w:t>中冶长天国际工程有限责任公司</w:t>
      </w:r>
      <w:bookmarkEnd w:id="1"/>
      <w:r>
        <w:rPr>
          <w:rFonts w:hint="eastAsia" w:ascii="Times New Roman" w:hAnsi="宋体"/>
          <w:color w:val="000000"/>
          <w:szCs w:val="21"/>
        </w:rPr>
        <w:t>、清华苏州环境创新研究院。</w:t>
      </w:r>
    </w:p>
    <w:p>
      <w:pPr>
        <w:ind w:firstLine="420" w:firstLineChars="200"/>
        <w:rPr>
          <w:rFonts w:ascii="Times New Roman" w:hAnsi="Times New Roman"/>
          <w:color w:val="000000"/>
        </w:rPr>
      </w:pPr>
      <w:r>
        <w:rPr>
          <w:rFonts w:hint="eastAsia" w:ascii="Times New Roman"/>
          <w:color w:val="000000"/>
        </w:rPr>
        <w:t>本文件主要起草人：</w:t>
      </w:r>
      <w:r>
        <w:rPr>
          <w:rFonts w:ascii="Times New Roman" w:hAnsi="Times New Roman"/>
          <w:color w:val="000000"/>
        </w:rPr>
        <w:t xml:space="preserve"> </w:t>
      </w:r>
    </w:p>
    <w:p>
      <w:pPr>
        <w:widowControl/>
        <w:jc w:val="left"/>
        <w:rPr>
          <w:rFonts w:ascii="Times New Roman" w:hAnsi="Times New Roman"/>
          <w:color w:val="000000"/>
          <w:sz w:val="28"/>
          <w:szCs w:val="28"/>
        </w:rPr>
      </w:pPr>
    </w:p>
    <w:p>
      <w:pPr>
        <w:widowControl/>
        <w:jc w:val="left"/>
        <w:rPr>
          <w:rFonts w:ascii="Times New Roman" w:hAnsi="Times New Roman"/>
          <w:color w:val="000000"/>
          <w:sz w:val="28"/>
          <w:szCs w:val="28"/>
        </w:rPr>
      </w:pPr>
    </w:p>
    <w:p>
      <w:pPr>
        <w:widowControl/>
        <w:jc w:val="center"/>
        <w:rPr>
          <w:rFonts w:ascii="Times New Roman" w:hAnsi="Times New Roman"/>
          <w:color w:val="000000"/>
          <w:sz w:val="24"/>
          <w:szCs w:val="28"/>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color w:val="000000"/>
          <w:sz w:val="24"/>
          <w:szCs w:val="28"/>
        </w:rPr>
        <w:br w:type="page"/>
      </w:r>
    </w:p>
    <w:p>
      <w:pPr>
        <w:widowControl/>
        <w:jc w:val="center"/>
        <w:rPr>
          <w:rFonts w:ascii="Times New Roman" w:hAnsi="Times New Roman"/>
          <w:color w:val="000000"/>
          <w:sz w:val="22"/>
          <w:szCs w:val="24"/>
        </w:rPr>
      </w:pPr>
      <w:r>
        <w:rPr>
          <w:rFonts w:hint="eastAsia" w:ascii="黑体" w:hAnsi="黑体" w:eastAsia="黑体" w:cs="黑体"/>
          <w:color w:val="000000"/>
          <w:sz w:val="32"/>
          <w:szCs w:val="32"/>
        </w:rPr>
        <w:t>多金属矿区钨尾矿综合利用技术规范</w:t>
      </w:r>
    </w:p>
    <w:p>
      <w:pPr>
        <w:pStyle w:val="46"/>
        <w:numPr>
          <w:ilvl w:val="0"/>
          <w:numId w:val="3"/>
        </w:numPr>
        <w:spacing w:before="312" w:after="312"/>
        <w:rPr>
          <w:rFonts w:ascii="Times New Roman"/>
          <w:color w:val="000000"/>
          <w:szCs w:val="22"/>
        </w:rPr>
      </w:pPr>
      <w:bookmarkStart w:id="2" w:name="_Toc92310665"/>
      <w:r>
        <w:rPr>
          <w:rFonts w:hint="eastAsia" w:ascii="Times New Roman"/>
          <w:color w:val="000000"/>
          <w:szCs w:val="22"/>
        </w:rPr>
        <w:t>范围</w:t>
      </w:r>
      <w:bookmarkEnd w:id="2"/>
    </w:p>
    <w:p>
      <w:pPr>
        <w:ind w:firstLine="420" w:firstLineChars="200"/>
        <w:jc w:val="left"/>
        <w:rPr>
          <w:rFonts w:ascii="Times New Roman"/>
          <w:color w:val="000000"/>
          <w:szCs w:val="21"/>
        </w:rPr>
      </w:pPr>
      <w:r>
        <w:rPr>
          <w:rFonts w:hint="eastAsia" w:ascii="Times New Roman"/>
          <w:color w:val="000000"/>
          <w:szCs w:val="21"/>
        </w:rPr>
        <w:t>本</w:t>
      </w:r>
      <w:r>
        <w:rPr>
          <w:rFonts w:hint="eastAsia" w:ascii="Times New Roman"/>
          <w:color w:val="000000"/>
          <w:szCs w:val="21"/>
          <w:lang w:eastAsia="zh-CN"/>
        </w:rPr>
        <w:t>文件</w:t>
      </w:r>
      <w:r>
        <w:rPr>
          <w:rFonts w:hint="eastAsia" w:ascii="Times New Roman"/>
          <w:color w:val="000000"/>
          <w:szCs w:val="21"/>
        </w:rPr>
        <w:t>规定了多金属矿区钨尾矿综合利用技术的总体要求、工艺设计、主要工艺设备和材料、检测与过程控制、运行与维护的要求。</w:t>
      </w:r>
    </w:p>
    <w:p>
      <w:pPr>
        <w:ind w:firstLine="420" w:firstLineChars="200"/>
        <w:jc w:val="left"/>
        <w:rPr>
          <w:rFonts w:ascii="Times New Roman" w:hAnsi="Times New Roman"/>
          <w:color w:val="000000"/>
          <w:szCs w:val="21"/>
        </w:rPr>
      </w:pPr>
      <w:r>
        <w:rPr>
          <w:rFonts w:hint="eastAsia" w:ascii="Times New Roman"/>
          <w:color w:val="000000"/>
          <w:szCs w:val="21"/>
        </w:rPr>
        <w:t>本</w:t>
      </w:r>
      <w:r>
        <w:rPr>
          <w:rFonts w:hint="eastAsia" w:ascii="Times New Roman"/>
          <w:color w:val="000000"/>
          <w:szCs w:val="21"/>
          <w:lang w:eastAsia="zh-CN"/>
        </w:rPr>
        <w:t>文件</w:t>
      </w:r>
      <w:r>
        <w:rPr>
          <w:rFonts w:hint="eastAsia" w:ascii="Times New Roman"/>
          <w:color w:val="000000"/>
          <w:szCs w:val="21"/>
        </w:rPr>
        <w:t>适用于钨多金属矿选矿过程产生的钨尾矿的萤石回收、尾矿建材化、尾矿充填工艺技术。</w:t>
      </w:r>
    </w:p>
    <w:p>
      <w:pPr>
        <w:pStyle w:val="46"/>
        <w:numPr>
          <w:ilvl w:val="0"/>
          <w:numId w:val="3"/>
        </w:numPr>
        <w:spacing w:before="312" w:after="312"/>
        <w:rPr>
          <w:rFonts w:ascii="Times New Roman"/>
          <w:color w:val="000000"/>
          <w:szCs w:val="22"/>
        </w:rPr>
      </w:pPr>
      <w:bookmarkStart w:id="3" w:name="_Toc92310666"/>
      <w:r>
        <w:rPr>
          <w:rFonts w:hint="eastAsia" w:ascii="Times New Roman"/>
          <w:color w:val="000000"/>
          <w:szCs w:val="22"/>
        </w:rPr>
        <w:t>规范性引用文件</w:t>
      </w:r>
      <w:bookmarkEnd w:id="3"/>
    </w:p>
    <w:p>
      <w:pPr>
        <w:ind w:firstLine="420" w:firstLineChars="200"/>
        <w:jc w:val="left"/>
        <w:rPr>
          <w:rFonts w:ascii="Times New Roman" w:hAnsi="Times New Roman"/>
          <w:color w:val="000000"/>
          <w:szCs w:val="21"/>
        </w:rPr>
      </w:pPr>
      <w:r>
        <w:rPr>
          <w:rFonts w:hint="eastAsia" w:ascii="Times New Roman"/>
          <w:color w:val="000000"/>
          <w:szCs w:val="21"/>
        </w:rPr>
        <w:t>下列文件中的内容通过文中的规范性引用文件引用而构成本文件必不可少的条款。其中，注日期的引用文件，仅注日期对应的版本适用于本文件；不注日期的引用文件，其最新版本（包括所有的修改单）适用于本文件。</w:t>
      </w:r>
    </w:p>
    <w:p>
      <w:pPr>
        <w:ind w:firstLine="420" w:firstLineChars="200"/>
        <w:jc w:val="left"/>
        <w:rPr>
          <w:rFonts w:ascii="Times New Roman" w:hAnsi="Times New Roman"/>
          <w:color w:val="000000"/>
        </w:rPr>
      </w:pPr>
      <w:r>
        <w:rPr>
          <w:rFonts w:hint="eastAsia" w:ascii="Times New Roman" w:hAnsi="Times New Roman"/>
          <w:color w:val="000000"/>
        </w:rPr>
        <w:t>GB/T 203 用于水泥中的粒化高炉矿渣</w:t>
      </w:r>
    </w:p>
    <w:p>
      <w:pPr>
        <w:ind w:firstLine="420" w:firstLineChars="200"/>
        <w:rPr>
          <w:color w:val="000000"/>
          <w:kern w:val="0"/>
          <w:szCs w:val="21"/>
          <w:lang w:bidi="ar"/>
        </w:rPr>
      </w:pPr>
      <w:r>
        <w:rPr>
          <w:rFonts w:hint="eastAsia"/>
          <w:color w:val="000000"/>
          <w:kern w:val="0"/>
          <w:szCs w:val="21"/>
          <w:lang w:bidi="ar"/>
        </w:rPr>
        <w:t>GB/T 1596 用于水泥和混凝土中的粉煤灰</w:t>
      </w:r>
    </w:p>
    <w:p>
      <w:pPr>
        <w:ind w:firstLine="420" w:firstLineChars="200"/>
        <w:jc w:val="left"/>
        <w:rPr>
          <w:rFonts w:ascii="Times New Roman" w:hAnsi="Times New Roman"/>
          <w:color w:val="000000"/>
        </w:rPr>
      </w:pPr>
      <w:r>
        <w:rPr>
          <w:rFonts w:ascii="Times New Roman" w:hAnsi="Times New Roman"/>
          <w:color w:val="000000"/>
        </w:rPr>
        <w:t xml:space="preserve">GB 3096 </w:t>
      </w:r>
      <w:r>
        <w:rPr>
          <w:rFonts w:hint="eastAsia" w:ascii="Times New Roman" w:hAnsi="Times New Roman"/>
          <w:color w:val="000000"/>
        </w:rPr>
        <w:t>声环境质量标准</w:t>
      </w:r>
    </w:p>
    <w:p>
      <w:pPr>
        <w:ind w:firstLine="420" w:firstLineChars="200"/>
        <w:jc w:val="left"/>
        <w:rPr>
          <w:rFonts w:ascii="Times New Roman" w:hAnsi="Times New Roman"/>
          <w:color w:val="000000"/>
        </w:rPr>
      </w:pPr>
      <w:r>
        <w:rPr>
          <w:rFonts w:ascii="Times New Roman" w:hAnsi="Times New Roman"/>
          <w:color w:val="000000"/>
        </w:rPr>
        <w:t xml:space="preserve">GB 5085.3 </w:t>
      </w:r>
      <w:r>
        <w:rPr>
          <w:rFonts w:hint="eastAsia" w:ascii="Times New Roman" w:hAnsi="Times New Roman"/>
          <w:color w:val="000000"/>
        </w:rPr>
        <w:t>危险废物鉴别标准</w:t>
      </w:r>
      <w:r>
        <w:rPr>
          <w:rFonts w:ascii="Times New Roman" w:hAnsi="Times New Roman"/>
          <w:color w:val="000000"/>
        </w:rPr>
        <w:t xml:space="preserve"> </w:t>
      </w:r>
      <w:r>
        <w:rPr>
          <w:rFonts w:hint="eastAsia" w:ascii="Times New Roman" w:hAnsi="Times New Roman"/>
          <w:color w:val="000000"/>
        </w:rPr>
        <w:t>浸出毒性鉴别</w:t>
      </w:r>
    </w:p>
    <w:p>
      <w:pPr>
        <w:ind w:firstLine="420" w:firstLineChars="200"/>
        <w:jc w:val="left"/>
        <w:rPr>
          <w:rFonts w:ascii="Times New Roman" w:hAnsi="Times New Roman"/>
          <w:color w:val="000000"/>
        </w:rPr>
      </w:pPr>
      <w:r>
        <w:rPr>
          <w:rFonts w:hint="eastAsia" w:ascii="Times New Roman" w:hAnsi="Times New Roman"/>
          <w:color w:val="000000"/>
        </w:rPr>
        <w:t>G</w:t>
      </w:r>
      <w:r>
        <w:rPr>
          <w:rFonts w:ascii="Times New Roman" w:hAnsi="Times New Roman"/>
          <w:color w:val="000000"/>
        </w:rPr>
        <w:t xml:space="preserve">B 6566 </w:t>
      </w:r>
      <w:r>
        <w:rPr>
          <w:rFonts w:hint="eastAsia" w:ascii="Times New Roman" w:hAnsi="Times New Roman"/>
          <w:color w:val="000000"/>
        </w:rPr>
        <w:t>建筑材料放射性核素限量</w:t>
      </w:r>
    </w:p>
    <w:p>
      <w:pPr>
        <w:ind w:firstLine="420" w:firstLineChars="200"/>
        <w:jc w:val="left"/>
        <w:rPr>
          <w:rFonts w:ascii="Times New Roman" w:hAnsi="Times New Roman"/>
          <w:color w:val="000000"/>
        </w:rPr>
      </w:pPr>
      <w:r>
        <w:rPr>
          <w:rFonts w:ascii="Times New Roman" w:hAnsi="Times New Roman"/>
          <w:color w:val="000000"/>
        </w:rPr>
        <w:t xml:space="preserve">GB 8978 </w:t>
      </w:r>
      <w:r>
        <w:rPr>
          <w:rFonts w:hint="eastAsia" w:ascii="Times New Roman" w:hAnsi="Times New Roman"/>
          <w:color w:val="000000"/>
        </w:rPr>
        <w:t>污水综合排放标准</w:t>
      </w:r>
    </w:p>
    <w:p>
      <w:pPr>
        <w:ind w:firstLine="420" w:firstLineChars="200"/>
        <w:jc w:val="left"/>
        <w:rPr>
          <w:rFonts w:ascii="Times New Roman" w:hAnsi="Times New Roman"/>
          <w:color w:val="000000"/>
        </w:rPr>
      </w:pPr>
      <w:r>
        <w:rPr>
          <w:rFonts w:ascii="Times New Roman" w:hAnsi="Times New Roman"/>
          <w:color w:val="000000"/>
        </w:rPr>
        <w:t xml:space="preserve">GB 12348 </w:t>
      </w:r>
      <w:r>
        <w:rPr>
          <w:rFonts w:hint="eastAsia" w:ascii="Times New Roman" w:hAnsi="Times New Roman"/>
          <w:color w:val="000000"/>
        </w:rPr>
        <w:t>工业企业厂界环境噪声排放标准</w:t>
      </w:r>
    </w:p>
    <w:p>
      <w:pPr>
        <w:ind w:firstLine="420" w:firstLineChars="200"/>
        <w:jc w:val="left"/>
        <w:rPr>
          <w:rFonts w:ascii="Times New Roman" w:hAnsi="Times New Roman"/>
          <w:color w:val="000000"/>
        </w:rPr>
      </w:pPr>
      <w:r>
        <w:rPr>
          <w:rFonts w:ascii="Times New Roman" w:hAnsi="Times New Roman"/>
          <w:color w:val="000000"/>
        </w:rPr>
        <w:t xml:space="preserve">GB/T 14848 </w:t>
      </w:r>
      <w:r>
        <w:rPr>
          <w:rFonts w:hint="eastAsia" w:ascii="Times New Roman" w:hAnsi="Times New Roman"/>
          <w:color w:val="000000"/>
        </w:rPr>
        <w:t>地下水质量标准</w:t>
      </w:r>
    </w:p>
    <w:p>
      <w:pPr>
        <w:ind w:firstLine="420" w:firstLineChars="200"/>
        <w:jc w:val="left"/>
        <w:rPr>
          <w:rFonts w:ascii="Times New Roman" w:hAnsi="Times New Roman"/>
          <w:color w:val="000000"/>
        </w:rPr>
      </w:pPr>
      <w:r>
        <w:rPr>
          <w:rFonts w:hint="eastAsia" w:ascii="Times New Roman" w:hAnsi="Times New Roman"/>
          <w:color w:val="000000"/>
        </w:rPr>
        <w:t>G</w:t>
      </w:r>
      <w:r>
        <w:rPr>
          <w:rFonts w:ascii="Times New Roman" w:hAnsi="Times New Roman"/>
          <w:color w:val="000000"/>
        </w:rPr>
        <w:t xml:space="preserve">B 18599 </w:t>
      </w:r>
      <w:r>
        <w:rPr>
          <w:rFonts w:hint="eastAsia" w:ascii="Times New Roman" w:hAnsi="Times New Roman"/>
          <w:color w:val="000000"/>
        </w:rPr>
        <w:t>一般工业固体废物贮存和填埋污染控制标准</w:t>
      </w:r>
    </w:p>
    <w:p>
      <w:pPr>
        <w:ind w:firstLine="420" w:firstLineChars="200"/>
        <w:rPr>
          <w:color w:val="000000"/>
          <w:kern w:val="0"/>
          <w:szCs w:val="21"/>
          <w:lang w:bidi="ar"/>
        </w:rPr>
      </w:pPr>
      <w:r>
        <w:rPr>
          <w:rFonts w:hint="eastAsia"/>
          <w:color w:val="000000"/>
          <w:kern w:val="0"/>
          <w:szCs w:val="21"/>
          <w:lang w:bidi="ar"/>
        </w:rPr>
        <w:t>GB/T 21371 用于水泥中的工业副产石膏</w:t>
      </w:r>
    </w:p>
    <w:p>
      <w:pPr>
        <w:ind w:firstLine="420" w:firstLineChars="200"/>
        <w:rPr>
          <w:color w:val="000000"/>
          <w:kern w:val="0"/>
          <w:szCs w:val="21"/>
          <w:lang w:bidi="ar"/>
        </w:rPr>
      </w:pPr>
      <w:r>
        <w:rPr>
          <w:rFonts w:hint="eastAsia"/>
          <w:color w:val="000000"/>
          <w:kern w:val="0"/>
          <w:szCs w:val="21"/>
          <w:lang w:bidi="ar"/>
        </w:rPr>
        <w:t>G</w:t>
      </w:r>
      <w:r>
        <w:rPr>
          <w:color w:val="000000"/>
          <w:kern w:val="0"/>
          <w:szCs w:val="21"/>
          <w:lang w:bidi="ar"/>
        </w:rPr>
        <w:t xml:space="preserve">B 25520 </w:t>
      </w:r>
      <w:r>
        <w:rPr>
          <w:rFonts w:hint="eastAsia"/>
          <w:color w:val="000000"/>
          <w:kern w:val="0"/>
          <w:szCs w:val="21"/>
          <w:lang w:bidi="ar"/>
        </w:rPr>
        <w:t>矿物粉磨和超微粉碎设备 安全要求</w:t>
      </w:r>
    </w:p>
    <w:p>
      <w:pPr>
        <w:ind w:firstLine="420" w:firstLineChars="200"/>
        <w:jc w:val="left"/>
        <w:rPr>
          <w:rFonts w:ascii="Times New Roman" w:hAnsi="Times New Roman"/>
          <w:color w:val="000000"/>
        </w:rPr>
      </w:pPr>
      <w:r>
        <w:rPr>
          <w:rFonts w:hint="eastAsia" w:ascii="Times New Roman"/>
          <w:color w:val="000000"/>
          <w:szCs w:val="21"/>
        </w:rPr>
        <w:t>G</w:t>
      </w:r>
      <w:r>
        <w:rPr>
          <w:rFonts w:ascii="Times New Roman"/>
          <w:color w:val="000000"/>
          <w:szCs w:val="21"/>
        </w:rPr>
        <w:t xml:space="preserve">B/T 34911 </w:t>
      </w:r>
      <w:r>
        <w:rPr>
          <w:rFonts w:hint="eastAsia" w:ascii="Times New Roman"/>
          <w:color w:val="000000"/>
          <w:szCs w:val="21"/>
        </w:rPr>
        <w:t>工业固体废物综合利用术语</w:t>
      </w:r>
    </w:p>
    <w:p>
      <w:pPr>
        <w:ind w:firstLine="420" w:firstLineChars="200"/>
        <w:jc w:val="left"/>
        <w:rPr>
          <w:rFonts w:ascii="Times New Roman" w:hAnsi="Times New Roman"/>
          <w:color w:val="000000"/>
        </w:rPr>
      </w:pPr>
      <w:r>
        <w:rPr>
          <w:rFonts w:ascii="Times New Roman" w:hAnsi="Times New Roman"/>
          <w:color w:val="000000"/>
        </w:rPr>
        <w:t xml:space="preserve">GB/T 39489 </w:t>
      </w:r>
      <w:r>
        <w:rPr>
          <w:rFonts w:hint="eastAsia" w:ascii="Times New Roman" w:hAnsi="Times New Roman"/>
          <w:color w:val="000000"/>
        </w:rPr>
        <w:t>全尾砂膏体充填技术规范</w:t>
      </w:r>
    </w:p>
    <w:p>
      <w:pPr>
        <w:ind w:firstLine="420" w:firstLineChars="200"/>
        <w:jc w:val="left"/>
        <w:rPr>
          <w:rFonts w:ascii="Times New Roman" w:hAnsi="Times New Roman"/>
          <w:color w:val="000000"/>
        </w:rPr>
      </w:pPr>
      <w:r>
        <w:rPr>
          <w:rFonts w:ascii="Times New Roman" w:hAnsi="Times New Roman"/>
          <w:color w:val="000000"/>
        </w:rPr>
        <w:t xml:space="preserve">GB 39496 </w:t>
      </w:r>
      <w:r>
        <w:rPr>
          <w:rFonts w:hint="eastAsia" w:ascii="Times New Roman" w:hAnsi="Times New Roman"/>
          <w:color w:val="000000"/>
        </w:rPr>
        <w:t>尾矿库安全规程</w:t>
      </w:r>
    </w:p>
    <w:p>
      <w:pPr>
        <w:ind w:firstLine="420" w:firstLineChars="200"/>
        <w:jc w:val="left"/>
        <w:rPr>
          <w:rFonts w:ascii="Times New Roman" w:hAnsi="Times New Roman"/>
          <w:color w:val="000000"/>
        </w:rPr>
      </w:pPr>
      <w:r>
        <w:rPr>
          <w:rFonts w:ascii="Times New Roman" w:hAnsi="Times New Roman"/>
          <w:color w:val="000000"/>
        </w:rPr>
        <w:t xml:space="preserve">GB 50016 </w:t>
      </w:r>
      <w:r>
        <w:rPr>
          <w:rFonts w:hint="eastAsia" w:ascii="Times New Roman" w:hAnsi="Times New Roman"/>
          <w:color w:val="000000"/>
        </w:rPr>
        <w:t>建筑设计防火规范</w:t>
      </w:r>
    </w:p>
    <w:p>
      <w:pPr>
        <w:ind w:firstLine="420" w:firstLineChars="200"/>
        <w:jc w:val="left"/>
        <w:rPr>
          <w:rFonts w:ascii="Times New Roman" w:hAnsi="Times New Roman"/>
          <w:color w:val="000000"/>
        </w:rPr>
      </w:pPr>
      <w:r>
        <w:rPr>
          <w:rFonts w:ascii="Times New Roman" w:hAnsi="Times New Roman"/>
          <w:color w:val="000000"/>
        </w:rPr>
        <w:t xml:space="preserve">HJ/T 20 </w:t>
      </w:r>
      <w:r>
        <w:rPr>
          <w:rFonts w:hint="eastAsia" w:ascii="Times New Roman" w:hAnsi="Times New Roman"/>
          <w:color w:val="000000"/>
        </w:rPr>
        <w:t>工业固体废物采样制样技术规范</w:t>
      </w:r>
    </w:p>
    <w:p>
      <w:pPr>
        <w:ind w:firstLine="420" w:firstLineChars="200"/>
        <w:jc w:val="left"/>
        <w:rPr>
          <w:color w:val="000000"/>
        </w:rPr>
      </w:pPr>
      <w:r>
        <w:rPr>
          <w:rFonts w:hint="eastAsia"/>
          <w:color w:val="000000"/>
        </w:rPr>
        <w:t>J</w:t>
      </w:r>
      <w:r>
        <w:rPr>
          <w:color w:val="000000"/>
        </w:rPr>
        <w:t xml:space="preserve">G/T 573 </w:t>
      </w:r>
      <w:r>
        <w:rPr>
          <w:rFonts w:hint="eastAsia"/>
          <w:color w:val="000000"/>
        </w:rPr>
        <w:t>混凝土和砂浆用再生微粉</w:t>
      </w:r>
    </w:p>
    <w:p>
      <w:pPr>
        <w:ind w:firstLine="420" w:firstLineChars="200"/>
        <w:jc w:val="left"/>
        <w:rPr>
          <w:rFonts w:ascii="Times New Roman" w:hAnsi="Times New Roman"/>
          <w:color w:val="000000"/>
        </w:rPr>
      </w:pPr>
      <w:r>
        <w:rPr>
          <w:rFonts w:hint="eastAsia" w:ascii="Times New Roman" w:hAnsi="Times New Roman"/>
          <w:color w:val="000000"/>
        </w:rPr>
        <w:t>J</w:t>
      </w:r>
      <w:r>
        <w:rPr>
          <w:rFonts w:ascii="Times New Roman" w:hAnsi="Times New Roman"/>
          <w:color w:val="000000"/>
        </w:rPr>
        <w:t xml:space="preserve">T/T 819 </w:t>
      </w:r>
      <w:r>
        <w:rPr>
          <w:rFonts w:hint="eastAsia" w:ascii="Times New Roman" w:hAnsi="Times New Roman"/>
          <w:color w:val="000000"/>
        </w:rPr>
        <w:t>水泥混凝土用机制砂</w:t>
      </w:r>
    </w:p>
    <w:p>
      <w:pPr>
        <w:ind w:firstLine="420" w:firstLineChars="200"/>
        <w:jc w:val="left"/>
        <w:rPr>
          <w:rFonts w:ascii="Times New Roman" w:hAnsi="Times New Roman"/>
          <w:color w:val="000000"/>
        </w:rPr>
      </w:pPr>
      <w:r>
        <w:rPr>
          <w:rFonts w:hint="eastAsia" w:ascii="Times New Roman" w:hAnsi="Times New Roman"/>
          <w:color w:val="000000"/>
        </w:rPr>
        <w:t>J</w:t>
      </w:r>
      <w:r>
        <w:rPr>
          <w:rFonts w:ascii="Times New Roman" w:hAnsi="Times New Roman"/>
          <w:color w:val="000000"/>
        </w:rPr>
        <w:t xml:space="preserve">C/T 2299 </w:t>
      </w:r>
      <w:r>
        <w:rPr>
          <w:rFonts w:hint="eastAsia" w:ascii="Times New Roman" w:hAnsi="Times New Roman"/>
          <w:color w:val="000000"/>
        </w:rPr>
        <w:t>机制砂石生产技术规程</w:t>
      </w:r>
    </w:p>
    <w:p>
      <w:pPr>
        <w:ind w:firstLine="420" w:firstLineChars="200"/>
        <w:jc w:val="left"/>
        <w:rPr>
          <w:rFonts w:ascii="Times New Roman" w:hAnsi="Times New Roman"/>
          <w:color w:val="000000"/>
        </w:rPr>
      </w:pPr>
      <w:r>
        <w:rPr>
          <w:rFonts w:ascii="Times New Roman" w:hAnsi="Times New Roman"/>
          <w:color w:val="000000"/>
        </w:rPr>
        <w:t xml:space="preserve">T/CECS 689 </w:t>
      </w:r>
      <w:r>
        <w:rPr>
          <w:rFonts w:hint="eastAsia" w:ascii="Times New Roman" w:hAnsi="Times New Roman"/>
          <w:color w:val="000000"/>
        </w:rPr>
        <w:t>固废基胶凝材料应用技术规程</w:t>
      </w:r>
    </w:p>
    <w:p>
      <w:pPr>
        <w:pStyle w:val="46"/>
        <w:numPr>
          <w:ilvl w:val="0"/>
          <w:numId w:val="3"/>
        </w:numPr>
        <w:spacing w:before="312" w:after="312"/>
        <w:rPr>
          <w:rFonts w:ascii="Times New Roman"/>
          <w:color w:val="000000"/>
          <w:szCs w:val="22"/>
        </w:rPr>
      </w:pPr>
      <w:bookmarkStart w:id="4" w:name="_Toc92310667"/>
      <w:r>
        <w:rPr>
          <w:rFonts w:hint="eastAsia" w:ascii="Times New Roman"/>
          <w:color w:val="000000"/>
          <w:szCs w:val="22"/>
        </w:rPr>
        <w:t>术语和定义</w:t>
      </w:r>
      <w:bookmarkEnd w:id="4"/>
    </w:p>
    <w:p>
      <w:pPr>
        <w:ind w:firstLine="420" w:firstLineChars="200"/>
        <w:jc w:val="left"/>
        <w:rPr>
          <w:rFonts w:ascii="Times New Roman" w:hAnsi="Times New Roman"/>
          <w:color w:val="000000"/>
          <w:szCs w:val="21"/>
        </w:rPr>
      </w:pPr>
      <w:bookmarkStart w:id="5" w:name="_Toc51664032"/>
      <w:bookmarkStart w:id="6" w:name="_Toc51663865"/>
      <w:r>
        <w:rPr>
          <w:rFonts w:hint="eastAsia" w:ascii="Times New Roman"/>
          <w:color w:val="000000"/>
          <w:szCs w:val="21"/>
        </w:rPr>
        <w:t>下列术语和定义适用于本文件。</w:t>
      </w:r>
    </w:p>
    <w:bookmarkEnd w:id="5"/>
    <w:bookmarkEnd w:id="6"/>
    <w:p>
      <w:pPr>
        <w:pStyle w:val="49"/>
        <w:spacing w:before="156" w:after="156"/>
        <w:outlineLvl w:val="9"/>
        <w:rPr>
          <w:color w:val="000000"/>
        </w:rPr>
      </w:pPr>
      <w:bookmarkStart w:id="7" w:name="_Toc7035"/>
    </w:p>
    <w:bookmarkEnd w:id="7"/>
    <w:p>
      <w:pPr>
        <w:spacing w:before="156" w:beforeLines="50" w:after="156" w:afterLines="50"/>
        <w:ind w:firstLine="420" w:firstLineChars="200"/>
        <w:rPr>
          <w:rFonts w:hAnsi="黑体" w:cs="黑体"/>
          <w:color w:val="000000"/>
        </w:rPr>
      </w:pPr>
      <w:r>
        <w:rPr>
          <w:rFonts w:hint="eastAsia" w:ascii="黑体" w:hAnsi="黑体" w:eastAsia="黑体" w:cs="黑体"/>
          <w:color w:val="000000"/>
        </w:rPr>
        <w:t>钨尾矿</w:t>
      </w:r>
      <w:r>
        <w:rPr>
          <w:rFonts w:ascii="黑体" w:hAnsi="黑体" w:eastAsia="黑体" w:cs="黑体"/>
          <w:color w:val="000000"/>
        </w:rPr>
        <w:t xml:space="preserve"> tungsten tailings</w:t>
      </w:r>
    </w:p>
    <w:p>
      <w:pPr>
        <w:ind w:firstLine="420" w:firstLineChars="200"/>
        <w:jc w:val="left"/>
        <w:rPr>
          <w:rFonts w:ascii="Times New Roman"/>
          <w:color w:val="000000"/>
          <w:szCs w:val="21"/>
        </w:rPr>
      </w:pPr>
      <w:r>
        <w:rPr>
          <w:rFonts w:hint="eastAsia" w:ascii="Times New Roman"/>
          <w:color w:val="000000"/>
          <w:szCs w:val="21"/>
        </w:rPr>
        <w:t>钨尾矿产生于钨多金属矿的选矿过程。钨多金属矿经破碎-磨矿-分选流程获取含较高钨品位产品后排放的尾矿，主要成分包括萤石、石榴子石、云母、方解石等，有些含有钼、铋等少量多金属矿物，做进一步分选处理难度较大。</w:t>
      </w:r>
    </w:p>
    <w:p>
      <w:pPr>
        <w:pStyle w:val="49"/>
        <w:spacing w:before="156" w:after="156"/>
        <w:outlineLvl w:val="9"/>
        <w:rPr>
          <w:color w:val="000000"/>
        </w:rPr>
      </w:pPr>
    </w:p>
    <w:p>
      <w:pPr>
        <w:spacing w:before="156" w:beforeLines="50" w:after="156" w:afterLines="50"/>
        <w:ind w:firstLine="420" w:firstLineChars="200"/>
        <w:rPr>
          <w:rFonts w:hAnsi="黑体" w:cs="黑体"/>
          <w:color w:val="000000"/>
        </w:rPr>
      </w:pPr>
      <w:r>
        <w:rPr>
          <w:rFonts w:hint="eastAsia" w:ascii="黑体" w:hAnsi="黑体" w:eastAsia="黑体" w:cs="黑体"/>
          <w:color w:val="000000"/>
          <w:szCs w:val="20"/>
        </w:rPr>
        <w:t>钨尾矿综合利用</w:t>
      </w:r>
      <w:r>
        <w:rPr>
          <w:rFonts w:ascii="黑体" w:hAnsi="黑体" w:eastAsia="黑体" w:cs="黑体"/>
          <w:color w:val="000000"/>
          <w:szCs w:val="20"/>
        </w:rPr>
        <w:t xml:space="preserve"> </w:t>
      </w:r>
      <w:r>
        <w:rPr>
          <w:rFonts w:hint="eastAsia" w:ascii="黑体" w:hAnsi="黑体" w:eastAsia="黑体" w:cs="黑体"/>
          <w:color w:val="000000"/>
          <w:szCs w:val="20"/>
        </w:rPr>
        <w:t>c</w:t>
      </w:r>
      <w:r>
        <w:rPr>
          <w:rFonts w:ascii="黑体" w:hAnsi="黑体" w:eastAsia="黑体" w:cs="黑体"/>
          <w:color w:val="000000"/>
          <w:szCs w:val="20"/>
        </w:rPr>
        <w:t>omprehensive utilization of tungsten tailings</w:t>
      </w:r>
    </w:p>
    <w:p>
      <w:pPr>
        <w:spacing w:before="156" w:beforeLines="50" w:after="156" w:afterLines="50"/>
        <w:ind w:firstLine="420" w:firstLineChars="200"/>
        <w:rPr>
          <w:rFonts w:ascii="Times New Roman"/>
          <w:color w:val="000000"/>
          <w:szCs w:val="21"/>
        </w:rPr>
      </w:pPr>
      <w:r>
        <w:rPr>
          <w:rFonts w:hint="eastAsia" w:ascii="Times New Roman"/>
          <w:color w:val="000000"/>
          <w:szCs w:val="21"/>
        </w:rPr>
        <w:t>钨尾矿综合利用指经过一定的处理或加工，使其中所含的有用物质提取出来，亟需在工业生产过程中发挥作用，或使钨尾矿改变形态成为新的能源或资源的过程，具体包括萤石回收、建材化及充填。[参考G</w:t>
      </w:r>
      <w:r>
        <w:rPr>
          <w:rFonts w:ascii="Times New Roman"/>
          <w:color w:val="000000"/>
          <w:szCs w:val="21"/>
        </w:rPr>
        <w:t>B/T 34911]</w:t>
      </w:r>
      <w:r>
        <w:rPr>
          <w:rFonts w:hint="eastAsia" w:ascii="Times New Roman"/>
          <w:color w:val="000000"/>
          <w:szCs w:val="21"/>
        </w:rPr>
        <w:t>。</w:t>
      </w:r>
    </w:p>
    <w:p>
      <w:pPr>
        <w:spacing w:before="156" w:beforeLines="50" w:after="156" w:afterLines="50"/>
        <w:ind w:firstLine="420" w:firstLineChars="200"/>
        <w:rPr>
          <w:rFonts w:ascii="黑体"/>
          <w:color w:val="000000"/>
          <w:szCs w:val="20"/>
          <w:highlight w:val="yellow"/>
        </w:rPr>
      </w:pPr>
      <w:r>
        <w:rPr>
          <w:rFonts w:hint="eastAsia" w:ascii="Times New Roman"/>
          <w:color w:val="000000"/>
          <w:szCs w:val="21"/>
        </w:rPr>
        <w:t>萤石回收是钨尾矿经过物理化学方法回收萤石产品的过程；建材化是通过一定的技术手段在建材产品生产中最大程度地利用钨尾矿；膏体充填是在外力或自重力作用下，将膏体充填料浆输送到井下进行采空区充填的过程。</w:t>
      </w:r>
    </w:p>
    <w:p>
      <w:pPr>
        <w:pStyle w:val="46"/>
        <w:numPr>
          <w:ilvl w:val="0"/>
          <w:numId w:val="3"/>
        </w:numPr>
        <w:spacing w:before="312" w:after="312"/>
        <w:rPr>
          <w:rFonts w:ascii="Times New Roman"/>
          <w:color w:val="000000"/>
          <w:szCs w:val="22"/>
        </w:rPr>
      </w:pPr>
      <w:bookmarkStart w:id="8" w:name="_Toc92310668"/>
      <w:r>
        <w:rPr>
          <w:rFonts w:hint="eastAsia" w:ascii="Times New Roman"/>
          <w:color w:val="000000"/>
          <w:szCs w:val="22"/>
        </w:rPr>
        <w:t>总体要求</w:t>
      </w:r>
      <w:bookmarkEnd w:id="8"/>
    </w:p>
    <w:p>
      <w:pPr>
        <w:pStyle w:val="49"/>
        <w:spacing w:before="156" w:after="156"/>
        <w:outlineLvl w:val="9"/>
        <w:rPr>
          <w:color w:val="000000"/>
        </w:rPr>
      </w:pPr>
      <w:r>
        <w:rPr>
          <w:rFonts w:hint="eastAsia"/>
          <w:color w:val="000000"/>
        </w:rPr>
        <w:t>一般规定</w:t>
      </w:r>
    </w:p>
    <w:p>
      <w:pPr>
        <w:pStyle w:val="50"/>
        <w:spacing w:beforeLines="0" w:afterLines="0"/>
        <w:rPr>
          <w:rFonts w:ascii="Times New Roman" w:eastAsia="宋体"/>
          <w:color w:val="000000"/>
          <w:kern w:val="2"/>
        </w:rPr>
      </w:pPr>
      <w:r>
        <w:rPr>
          <w:rFonts w:hint="eastAsia" w:ascii="Times New Roman" w:hAnsi="宋体" w:eastAsia="宋体"/>
          <w:color w:val="000000"/>
          <w:kern w:val="2"/>
        </w:rPr>
        <w:t>多金属矿区钨尾矿综合利用技术的设计应符合国家现行的法律、法规、标准、规范的有关规定。</w:t>
      </w:r>
    </w:p>
    <w:p>
      <w:pPr>
        <w:pStyle w:val="50"/>
        <w:spacing w:beforeLines="0" w:afterLines="0"/>
        <w:rPr>
          <w:rFonts w:ascii="Times New Roman" w:eastAsia="宋体"/>
          <w:color w:val="000000"/>
          <w:kern w:val="2"/>
        </w:rPr>
      </w:pPr>
      <w:r>
        <w:rPr>
          <w:rFonts w:hint="eastAsia" w:ascii="Times New Roman" w:hAnsi="宋体" w:eastAsia="宋体"/>
          <w:color w:val="000000"/>
          <w:kern w:val="2"/>
        </w:rPr>
        <w:t>多金属矿区钨尾矿产生企业应推行清洁生产，减少钨尾矿固废的产生量。</w:t>
      </w:r>
    </w:p>
    <w:p>
      <w:pPr>
        <w:pStyle w:val="50"/>
        <w:spacing w:beforeLines="0" w:afterLines="0"/>
        <w:rPr>
          <w:rFonts w:ascii="Times New Roman" w:eastAsia="宋体"/>
          <w:color w:val="000000"/>
          <w:kern w:val="2"/>
        </w:rPr>
      </w:pPr>
      <w:r>
        <w:rPr>
          <w:rFonts w:hint="eastAsia" w:ascii="Times New Roman" w:hAnsi="宋体" w:eastAsia="宋体"/>
          <w:color w:val="000000"/>
          <w:kern w:val="2"/>
        </w:rPr>
        <w:t>多金属矿区钨尾矿综合利用技术应以市场需求为导向，结合企业生产条件、工艺特点，兼顾成本和效益等多方面综合因素，采用效率高、安全可靠、绿色环保的工艺。</w:t>
      </w:r>
    </w:p>
    <w:p>
      <w:pPr>
        <w:pStyle w:val="50"/>
        <w:spacing w:beforeLines="0" w:afterLines="0"/>
        <w:rPr>
          <w:rFonts w:ascii="Times New Roman" w:eastAsia="宋体"/>
          <w:color w:val="000000"/>
          <w:kern w:val="2"/>
        </w:rPr>
      </w:pPr>
      <w:r>
        <w:rPr>
          <w:rFonts w:hint="eastAsia" w:ascii="Times New Roman" w:hAnsi="宋体" w:eastAsia="宋体"/>
          <w:color w:val="000000"/>
          <w:kern w:val="2"/>
        </w:rPr>
        <w:t>多金属矿区钨尾矿经分离回收之后的尾矿应进行安全堆存、采矿充填等合理处置，同时应满足</w:t>
      </w:r>
      <w:r>
        <w:rPr>
          <w:rFonts w:ascii="Times New Roman" w:hAnsi="宋体" w:eastAsia="宋体"/>
          <w:color w:val="000000"/>
          <w:kern w:val="2"/>
        </w:rPr>
        <w:t>GB 18599</w:t>
      </w:r>
      <w:r>
        <w:rPr>
          <w:rFonts w:hint="eastAsia" w:ascii="Times New Roman" w:hAnsi="宋体" w:eastAsia="宋体"/>
          <w:color w:val="000000"/>
          <w:kern w:val="2"/>
        </w:rPr>
        <w:t>、</w:t>
      </w:r>
      <w:r>
        <w:rPr>
          <w:rFonts w:ascii="Times New Roman" w:hAnsi="宋体" w:eastAsia="宋体"/>
          <w:color w:val="000000"/>
          <w:kern w:val="2"/>
        </w:rPr>
        <w:t>GB 39496</w:t>
      </w:r>
      <w:r>
        <w:rPr>
          <w:rFonts w:hint="eastAsia" w:ascii="Times New Roman" w:hAnsi="宋体" w:eastAsia="宋体"/>
          <w:color w:val="000000"/>
          <w:kern w:val="2"/>
        </w:rPr>
        <w:t>中的有关规定。</w:t>
      </w:r>
    </w:p>
    <w:p>
      <w:pPr>
        <w:pStyle w:val="49"/>
        <w:spacing w:before="156" w:after="156"/>
        <w:outlineLvl w:val="9"/>
        <w:rPr>
          <w:color w:val="000000"/>
        </w:rPr>
      </w:pPr>
      <w:r>
        <w:rPr>
          <w:rFonts w:hint="eastAsia"/>
          <w:color w:val="000000"/>
        </w:rPr>
        <w:t>工艺构成</w:t>
      </w:r>
    </w:p>
    <w:p>
      <w:pPr>
        <w:ind w:firstLine="420" w:firstLineChars="200"/>
        <w:jc w:val="left"/>
        <w:rPr>
          <w:rFonts w:ascii="Times New Roman" w:hAnsi="宋体"/>
          <w:color w:val="000000"/>
          <w:szCs w:val="21"/>
        </w:rPr>
      </w:pPr>
      <w:r>
        <w:rPr>
          <w:rFonts w:hint="eastAsia" w:ascii="Times New Roman" w:hAnsi="宋体"/>
          <w:color w:val="000000"/>
          <w:szCs w:val="21"/>
        </w:rPr>
        <w:t>主体工艺包括钨尾矿中萤石回收工艺、建材化工艺、充填工艺。</w:t>
      </w:r>
    </w:p>
    <w:p>
      <w:pPr>
        <w:pStyle w:val="46"/>
        <w:numPr>
          <w:ilvl w:val="0"/>
          <w:numId w:val="3"/>
        </w:numPr>
        <w:spacing w:before="312" w:after="312"/>
        <w:rPr>
          <w:color w:val="000000"/>
          <w:szCs w:val="21"/>
        </w:rPr>
      </w:pPr>
      <w:bookmarkStart w:id="9" w:name="_Toc92310669"/>
      <w:r>
        <w:rPr>
          <w:rFonts w:hint="eastAsia"/>
          <w:color w:val="000000"/>
          <w:szCs w:val="21"/>
        </w:rPr>
        <w:t>工艺设计</w:t>
      </w:r>
      <w:bookmarkEnd w:id="9"/>
    </w:p>
    <w:p>
      <w:pPr>
        <w:pStyle w:val="49"/>
        <w:spacing w:before="156" w:after="156"/>
        <w:outlineLvl w:val="9"/>
        <w:rPr>
          <w:color w:val="000000"/>
        </w:rPr>
      </w:pPr>
      <w:bookmarkStart w:id="10" w:name="_Hlk90026514"/>
      <w:r>
        <w:rPr>
          <w:rFonts w:hint="eastAsia"/>
          <w:color w:val="000000"/>
        </w:rPr>
        <w:t>一般规定</w:t>
      </w:r>
    </w:p>
    <w:p>
      <w:pPr>
        <w:pStyle w:val="50"/>
        <w:spacing w:beforeLines="0" w:afterLines="0"/>
        <w:rPr>
          <w:color w:val="000000"/>
        </w:rPr>
      </w:pPr>
      <w:r>
        <w:rPr>
          <w:rFonts w:hint="eastAsia" w:ascii="Times New Roman" w:hAnsi="宋体" w:eastAsia="宋体"/>
          <w:color w:val="000000"/>
          <w:kern w:val="2"/>
        </w:rPr>
        <w:t>统计多金属矿区钨尾矿的综合利用应优先处理工艺段实时产生的钨尾矿，其次考虑尾矿库中积存的钨尾矿。</w:t>
      </w:r>
    </w:p>
    <w:bookmarkEnd w:id="10"/>
    <w:p>
      <w:pPr>
        <w:pStyle w:val="50"/>
        <w:spacing w:beforeLines="0" w:afterLines="0"/>
        <w:rPr>
          <w:rFonts w:ascii="Times New Roman" w:eastAsia="宋体"/>
          <w:color w:val="000000"/>
          <w:kern w:val="2"/>
        </w:rPr>
      </w:pPr>
      <w:r>
        <w:rPr>
          <w:rFonts w:hint="eastAsia" w:ascii="Times New Roman" w:hAnsi="宋体" w:eastAsia="宋体"/>
          <w:color w:val="000000"/>
          <w:kern w:val="2"/>
        </w:rPr>
        <w:t>多金属矿区钨尾矿综合利用工艺设计前应对钨尾矿的微观形貌、物相组成、金属元素主要赋存形态、含量、浸出毒性等相关性质进行采样分析，并以检测结果作为钨尾矿综合利用工艺技术选择的重要依据，遵循“分类分级、按需处理、因地制宜”的原则，在资源化利用的目标下，选择成熟稳定、低（无）二次污染、经济合理的工艺技术路线。</w:t>
      </w:r>
    </w:p>
    <w:p>
      <w:pPr>
        <w:pStyle w:val="50"/>
        <w:spacing w:beforeLines="0" w:afterLines="0"/>
        <w:rPr>
          <w:rFonts w:ascii="Times New Roman" w:eastAsia="宋体"/>
          <w:color w:val="000000"/>
          <w:kern w:val="2"/>
        </w:rPr>
      </w:pPr>
      <w:r>
        <w:rPr>
          <w:rFonts w:hint="eastAsia" w:ascii="Times New Roman" w:hAnsi="宋体" w:eastAsia="宋体"/>
          <w:color w:val="000000"/>
          <w:kern w:val="2"/>
        </w:rPr>
        <w:t>多金属矿区钨尾矿综合利用技术工艺设计应符合以下原则：</w:t>
      </w:r>
    </w:p>
    <w:p>
      <w:pPr>
        <w:pStyle w:val="48"/>
        <w:rPr>
          <w:color w:val="000000"/>
        </w:rPr>
      </w:pPr>
      <w:r>
        <w:rPr>
          <w:rFonts w:hint="eastAsia"/>
          <w:color w:val="000000"/>
        </w:rPr>
        <w:t>工艺系统应具有收集、临时贮存、分质分离、过程监控和应急处理的功能；</w:t>
      </w:r>
    </w:p>
    <w:p>
      <w:pPr>
        <w:pStyle w:val="48"/>
        <w:rPr>
          <w:color w:val="000000"/>
        </w:rPr>
      </w:pPr>
      <w:r>
        <w:rPr>
          <w:rFonts w:hint="eastAsia"/>
          <w:color w:val="000000"/>
        </w:rPr>
        <w:t>应考虑处理过程中可能产生的废水、废气的处理，防止二次污染；</w:t>
      </w:r>
    </w:p>
    <w:p>
      <w:pPr>
        <w:pStyle w:val="48"/>
        <w:rPr>
          <w:color w:val="000000"/>
        </w:rPr>
      </w:pPr>
      <w:r>
        <w:rPr>
          <w:rFonts w:hint="eastAsia"/>
          <w:color w:val="000000"/>
        </w:rPr>
        <w:t>工艺系统的设计应选用能耗低、噪声低的设备设施。</w:t>
      </w:r>
    </w:p>
    <w:p>
      <w:pPr>
        <w:pStyle w:val="49"/>
        <w:spacing w:before="156" w:after="156"/>
        <w:outlineLvl w:val="9"/>
        <w:rPr>
          <w:color w:val="000000"/>
        </w:rPr>
      </w:pPr>
      <w:r>
        <w:rPr>
          <w:rFonts w:hint="eastAsia"/>
          <w:color w:val="000000"/>
        </w:rPr>
        <w:t>工艺选择</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多金属矿区钨尾矿综合利用工艺选择应依次根据尾矿中萤石含量、浸出毒性、放射性等相关性质，综合经济效益分析，合理选用处置工艺，多金属矿区钨尾矿综合利用工艺选择如图</w:t>
      </w:r>
      <w:r>
        <w:rPr>
          <w:rFonts w:ascii="Times New Roman" w:hAnsi="宋体" w:eastAsia="宋体"/>
          <w:color w:val="000000"/>
          <w:kern w:val="2"/>
        </w:rPr>
        <w:t>1</w:t>
      </w:r>
      <w:r>
        <w:rPr>
          <w:rFonts w:hint="eastAsia" w:ascii="Times New Roman" w:hAnsi="宋体" w:eastAsia="宋体"/>
          <w:color w:val="000000"/>
          <w:kern w:val="2"/>
        </w:rPr>
        <w:t>。</w:t>
      </w:r>
    </w:p>
    <w:p>
      <w:pPr>
        <w:pStyle w:val="47"/>
        <w:ind w:firstLine="0" w:firstLineChars="0"/>
        <w:jc w:val="center"/>
      </w:pPr>
      <w:r>
        <w:drawing>
          <wp:inline distT="0" distB="0" distL="0" distR="0">
            <wp:extent cx="3560445" cy="25336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78625" cy="2546577"/>
                    </a:xfrm>
                    <a:prstGeom prst="rect">
                      <a:avLst/>
                    </a:prstGeom>
                    <a:noFill/>
                  </pic:spPr>
                </pic:pic>
              </a:graphicData>
            </a:graphic>
          </wp:inline>
        </w:drawing>
      </w:r>
    </w:p>
    <w:p>
      <w:pPr>
        <w:pStyle w:val="47"/>
        <w:spacing w:before="156" w:after="156"/>
        <w:ind w:firstLine="0" w:firstLineChars="0"/>
        <w:jc w:val="center"/>
        <w:rPr>
          <w:rFonts w:ascii="Times New Roman"/>
        </w:rPr>
      </w:pPr>
      <w:r>
        <w:rPr>
          <w:rFonts w:hint="eastAsia" w:ascii="Times New Roman"/>
        </w:rPr>
        <w:t>图1 钨尾矿综合利用工艺选择</w:t>
      </w:r>
    </w:p>
    <w:p>
      <w:pPr>
        <w:pStyle w:val="50"/>
        <w:spacing w:beforeLines="0" w:afterLines="0"/>
        <w:jc w:val="both"/>
        <w:rPr>
          <w:rFonts w:ascii="Times New Roman" w:hAnsi="宋体" w:eastAsia="宋体"/>
          <w:color w:val="000000"/>
          <w:kern w:val="2"/>
        </w:rPr>
      </w:pPr>
      <w:r>
        <w:rPr>
          <w:rFonts w:hint="eastAsia" w:ascii="Times New Roman" w:hAnsi="宋体" w:eastAsia="宋体"/>
          <w:color w:val="000000"/>
          <w:kern w:val="2"/>
        </w:rPr>
        <w:t>钨尾矿中萤石含量高于</w:t>
      </w:r>
      <w:r>
        <w:rPr>
          <w:rFonts w:ascii="Times New Roman" w:hAnsi="宋体" w:eastAsia="宋体"/>
          <w:color w:val="000000"/>
          <w:kern w:val="2"/>
        </w:rPr>
        <w:t>10%</w:t>
      </w:r>
      <w:r>
        <w:rPr>
          <w:rFonts w:hint="eastAsia" w:ascii="Times New Roman" w:hAnsi="宋体" w:eastAsia="宋体"/>
          <w:color w:val="000000"/>
          <w:kern w:val="2"/>
        </w:rPr>
        <w:t>宜采用萤石回收工艺；萤石含量低于</w:t>
      </w:r>
      <w:r>
        <w:rPr>
          <w:rFonts w:ascii="Times New Roman" w:hAnsi="宋体" w:eastAsia="宋体"/>
          <w:color w:val="000000"/>
          <w:kern w:val="2"/>
        </w:rPr>
        <w:t>10%</w:t>
      </w:r>
      <w:r>
        <w:rPr>
          <w:rFonts w:hint="eastAsia" w:ascii="Times New Roman" w:hAnsi="宋体" w:eastAsia="宋体"/>
          <w:color w:val="000000"/>
          <w:kern w:val="2"/>
        </w:rPr>
        <w:t>，应按G</w:t>
      </w:r>
      <w:r>
        <w:rPr>
          <w:rFonts w:ascii="Times New Roman" w:hAnsi="宋体" w:eastAsia="宋体"/>
          <w:color w:val="000000"/>
          <w:kern w:val="2"/>
        </w:rPr>
        <w:t>B6566</w:t>
      </w:r>
      <w:r>
        <w:rPr>
          <w:rFonts w:hint="eastAsia" w:ascii="Times New Roman" w:hAnsi="宋体" w:eastAsia="宋体"/>
          <w:color w:val="000000"/>
          <w:kern w:val="2"/>
        </w:rPr>
        <w:t>进行放射性核素检测，按</w:t>
      </w:r>
      <w:r>
        <w:rPr>
          <w:rFonts w:ascii="Times New Roman" w:hAnsi="宋体" w:eastAsia="宋体"/>
          <w:color w:val="000000"/>
          <w:kern w:val="2"/>
        </w:rPr>
        <w:t>GB 5085.3</w:t>
      </w:r>
      <w:r>
        <w:rPr>
          <w:rFonts w:hint="eastAsia" w:ascii="Times New Roman" w:hAnsi="宋体" w:eastAsia="宋体"/>
          <w:color w:val="000000"/>
          <w:kern w:val="2"/>
        </w:rPr>
        <w:t>进行浸出毒性鉴别，放射性核素及浸出毒性均满足标准要求，宜采用尾矿建材化工艺；不满足G</w:t>
      </w:r>
      <w:r>
        <w:rPr>
          <w:rFonts w:ascii="Times New Roman" w:hAnsi="宋体" w:eastAsia="宋体"/>
          <w:color w:val="000000"/>
          <w:kern w:val="2"/>
        </w:rPr>
        <w:t>B6566</w:t>
      </w:r>
      <w:r>
        <w:rPr>
          <w:rFonts w:hint="eastAsia" w:ascii="Times New Roman" w:hAnsi="宋体" w:eastAsia="宋体"/>
          <w:color w:val="000000"/>
          <w:kern w:val="2"/>
        </w:rPr>
        <w:t>或</w:t>
      </w:r>
      <w:r>
        <w:rPr>
          <w:rFonts w:ascii="Times New Roman" w:hAnsi="宋体" w:eastAsia="宋体"/>
          <w:color w:val="000000"/>
          <w:kern w:val="2"/>
        </w:rPr>
        <w:t>GB5085.3</w:t>
      </w:r>
      <w:r>
        <w:rPr>
          <w:rFonts w:hint="eastAsia" w:ascii="Times New Roman" w:hAnsi="宋体" w:eastAsia="宋体"/>
          <w:color w:val="000000"/>
          <w:kern w:val="2"/>
        </w:rPr>
        <w:t>，宜采用尾矿充填工艺。</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采用</w:t>
      </w:r>
      <w:r>
        <w:rPr>
          <w:rFonts w:ascii="Times New Roman" w:hAnsi="宋体" w:eastAsia="宋体"/>
          <w:color w:val="000000"/>
          <w:kern w:val="2"/>
        </w:rPr>
        <w:t>5.2.1</w:t>
      </w:r>
      <w:r>
        <w:rPr>
          <w:rFonts w:hint="eastAsia" w:ascii="Times New Roman" w:hAnsi="宋体" w:eastAsia="宋体"/>
          <w:color w:val="000000"/>
          <w:kern w:val="2"/>
        </w:rPr>
        <w:t>推荐工艺无法处理的尾矿暂存于尾矿库，尾矿库应满足</w:t>
      </w:r>
      <w:r>
        <w:rPr>
          <w:rFonts w:ascii="Times New Roman" w:hAnsi="宋体" w:eastAsia="宋体"/>
          <w:color w:val="000000"/>
          <w:kern w:val="2"/>
        </w:rPr>
        <w:t>GB 39496</w:t>
      </w:r>
      <w:r>
        <w:rPr>
          <w:rFonts w:hint="eastAsia" w:ascii="Times New Roman" w:hAnsi="宋体" w:eastAsia="宋体"/>
          <w:color w:val="000000"/>
          <w:kern w:val="2"/>
        </w:rPr>
        <w:t>中的相关规定。</w:t>
      </w:r>
    </w:p>
    <w:p>
      <w:pPr>
        <w:pStyle w:val="49"/>
        <w:spacing w:before="156" w:after="156"/>
        <w:outlineLvl w:val="9"/>
        <w:rPr>
          <w:color w:val="000000"/>
        </w:rPr>
      </w:pPr>
      <w:r>
        <w:rPr>
          <w:rFonts w:hint="eastAsia"/>
          <w:color w:val="000000"/>
        </w:rPr>
        <w:t>工艺要求</w:t>
      </w:r>
    </w:p>
    <w:p>
      <w:pPr>
        <w:pStyle w:val="50"/>
        <w:spacing w:before="156" w:after="156"/>
        <w:rPr>
          <w:color w:val="000000"/>
        </w:rPr>
      </w:pPr>
      <w:r>
        <w:rPr>
          <w:rFonts w:hint="eastAsia"/>
          <w:color w:val="000000"/>
        </w:rPr>
        <w:t>萤石回收工艺</w:t>
      </w:r>
    </w:p>
    <w:p>
      <w:pPr>
        <w:spacing w:before="156" w:beforeLines="50" w:after="156" w:afterLines="50"/>
        <w:jc w:val="left"/>
        <w:rPr>
          <w:rFonts w:ascii="黑体" w:hAnsi="黑体" w:eastAsia="黑体" w:cs="黑体"/>
          <w:color w:val="000000"/>
          <w:szCs w:val="21"/>
        </w:rPr>
      </w:pPr>
      <w:r>
        <w:rPr>
          <w:rFonts w:ascii="黑体" w:hAnsi="黑体" w:eastAsia="黑体" w:cs="黑体"/>
          <w:color w:val="000000"/>
          <w:szCs w:val="21"/>
        </w:rPr>
        <w:t xml:space="preserve">5.3.1.1 </w:t>
      </w:r>
      <w:r>
        <w:rPr>
          <w:rFonts w:hint="eastAsia" w:ascii="黑体" w:hAnsi="黑体" w:eastAsia="黑体" w:cs="黑体"/>
          <w:color w:val="000000"/>
          <w:szCs w:val="21"/>
        </w:rPr>
        <w:t>工艺说明</w:t>
      </w:r>
    </w:p>
    <w:p>
      <w:pPr>
        <w:ind w:firstLine="420" w:firstLineChars="200"/>
        <w:jc w:val="left"/>
        <w:rPr>
          <w:rFonts w:ascii="Times New Roman"/>
          <w:color w:val="000000"/>
          <w:szCs w:val="21"/>
        </w:rPr>
      </w:pPr>
      <w:r>
        <w:rPr>
          <w:rFonts w:hint="eastAsia" w:ascii="Times New Roman"/>
          <w:color w:val="000000"/>
          <w:szCs w:val="21"/>
        </w:rPr>
        <w:t>多金属矿区钨尾矿萤石回收工艺由预处理作业、加药作业、粗选作业、高品位精选作业、低品位精选作业和扫选作业等组成，基本工艺流程见图</w:t>
      </w:r>
      <w:r>
        <w:rPr>
          <w:rFonts w:ascii="Times New Roman"/>
          <w:color w:val="000000"/>
          <w:szCs w:val="21"/>
        </w:rPr>
        <w:t>2</w:t>
      </w:r>
      <w:r>
        <w:rPr>
          <w:rFonts w:hint="eastAsia" w:ascii="Times New Roman"/>
          <w:color w:val="000000"/>
          <w:szCs w:val="21"/>
        </w:rPr>
        <w:t>。其中，预处理作业主要为浓缩、擦洗、磨矿作业及其配套功能设备设施等；加药作业为所用萤石浮选药剂的添加、配置、输送、计量、储存及相关配套设备设施等；粗选作业为萤石粗选作业系统，主要为调浆所需的加药搅拌系统、浮选设备及相关配套设备设施等；扫选作业为萤石扫选作业系统，主要为调浆所需的加药搅拌系统、浮选设备及相关配套设备设施等；高品位精选作业为高品位萤石精选系统，主要为浮选设备及相关配套设备设施等；低品位精选作业为低品位萤石精选系统，主要为浮选设备及相关配套设备设施等。</w:t>
      </w:r>
    </w:p>
    <w:p>
      <w:pPr>
        <w:jc w:val="center"/>
        <w:rPr>
          <w:rFonts w:ascii="Times New Roman"/>
          <w:color w:val="000000"/>
          <w:szCs w:val="21"/>
        </w:rPr>
      </w:pPr>
    </w:p>
    <w:p>
      <w:pPr>
        <w:jc w:val="center"/>
        <w:rPr>
          <w:rFonts w:ascii="Times New Roman"/>
          <w:color w:val="000000"/>
          <w:szCs w:val="21"/>
        </w:rPr>
      </w:pPr>
      <w:r>
        <w:rPr>
          <w:rFonts w:ascii="Times New Roman"/>
          <w:color w:val="000000"/>
          <w:szCs w:val="21"/>
        </w:rPr>
        <w:drawing>
          <wp:inline distT="0" distB="0" distL="0" distR="0">
            <wp:extent cx="4963160" cy="249364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77246" cy="2500905"/>
                    </a:xfrm>
                    <a:prstGeom prst="rect">
                      <a:avLst/>
                    </a:prstGeom>
                    <a:noFill/>
                  </pic:spPr>
                </pic:pic>
              </a:graphicData>
            </a:graphic>
          </wp:inline>
        </w:drawing>
      </w:r>
    </w:p>
    <w:p>
      <w:pPr>
        <w:jc w:val="center"/>
        <w:rPr>
          <w:rFonts w:ascii="Times New Roman"/>
          <w:color w:val="000000"/>
          <w:szCs w:val="21"/>
        </w:rPr>
      </w:pPr>
      <w:r>
        <w:rPr>
          <w:rFonts w:hint="eastAsia" w:ascii="Times New Roman"/>
          <w:color w:val="000000"/>
          <w:szCs w:val="21"/>
        </w:rPr>
        <w:t>图</w:t>
      </w:r>
      <w:r>
        <w:rPr>
          <w:rFonts w:ascii="Times New Roman"/>
          <w:color w:val="000000"/>
          <w:szCs w:val="21"/>
        </w:rPr>
        <w:t xml:space="preserve">2 </w:t>
      </w:r>
      <w:r>
        <w:rPr>
          <w:rFonts w:hint="eastAsia" w:ascii="Times New Roman"/>
          <w:color w:val="000000"/>
          <w:szCs w:val="21"/>
        </w:rPr>
        <w:t>多金属矿区钨尾矿萤石回收工艺流程(虚线为可选作业单元</w:t>
      </w:r>
      <w:r>
        <w:rPr>
          <w:rFonts w:ascii="Times New Roman"/>
          <w:color w:val="000000"/>
          <w:szCs w:val="21"/>
        </w:rPr>
        <w:t>)</w:t>
      </w:r>
    </w:p>
    <w:p>
      <w:pPr>
        <w:spacing w:before="156" w:beforeLines="50" w:after="156" w:afterLines="50"/>
        <w:jc w:val="left"/>
        <w:rPr>
          <w:rFonts w:ascii="黑体" w:hAnsi="黑体" w:eastAsia="黑体" w:cs="黑体"/>
          <w:color w:val="000000"/>
          <w:szCs w:val="21"/>
        </w:rPr>
      </w:pPr>
      <w:r>
        <w:rPr>
          <w:rFonts w:ascii="黑体" w:hAnsi="黑体" w:eastAsia="黑体" w:cs="黑体"/>
          <w:color w:val="000000"/>
          <w:szCs w:val="21"/>
        </w:rPr>
        <w:t xml:space="preserve">5.3.1.2 </w:t>
      </w:r>
      <w:r>
        <w:rPr>
          <w:rFonts w:hint="eastAsia" w:ascii="黑体" w:hAnsi="黑体" w:eastAsia="黑体" w:cs="黑体"/>
          <w:color w:val="000000"/>
          <w:szCs w:val="21"/>
        </w:rPr>
        <w:t>技术要求</w:t>
      </w:r>
    </w:p>
    <w:p>
      <w:pPr>
        <w:spacing w:before="156" w:beforeLines="50" w:after="156" w:afterLines="50"/>
        <w:ind w:firstLine="420" w:firstLineChars="200"/>
        <w:jc w:val="left"/>
        <w:rPr>
          <w:rFonts w:ascii="宋体" w:cs="宋体"/>
          <w:color w:val="000000"/>
          <w:szCs w:val="21"/>
        </w:rPr>
      </w:pPr>
      <w:r>
        <w:rPr>
          <w:rFonts w:hint="eastAsia" w:ascii="宋体" w:hAnsi="宋体" w:cs="宋体"/>
          <w:color w:val="000000"/>
          <w:szCs w:val="21"/>
        </w:rPr>
        <w:t>萤石回收工艺包括预处理作业、加药作业、粗选作业、扫选作业、高品位精选作业、低品位精选作业。</w:t>
      </w:r>
    </w:p>
    <w:p>
      <w:pPr>
        <w:pStyle w:val="48"/>
        <w:numPr>
          <w:ilvl w:val="0"/>
          <w:numId w:val="4"/>
        </w:numPr>
        <w:rPr>
          <w:color w:val="000000"/>
        </w:rPr>
      </w:pPr>
      <w:r>
        <w:rPr>
          <w:rFonts w:hint="eastAsia"/>
          <w:color w:val="000000"/>
        </w:rPr>
        <w:t>预处理作业</w:t>
      </w:r>
    </w:p>
    <w:p>
      <w:pPr>
        <w:pStyle w:val="48"/>
        <w:numPr>
          <w:ilvl w:val="0"/>
          <w:numId w:val="0"/>
        </w:numPr>
        <w:ind w:left="839"/>
        <w:rPr>
          <w:color w:val="000000"/>
        </w:rPr>
      </w:pPr>
      <w:r>
        <w:rPr>
          <w:color w:val="000000"/>
        </w:rPr>
        <w:t>1</w:t>
      </w:r>
      <w:r>
        <w:rPr>
          <w:rFonts w:hint="eastAsia"/>
          <w:color w:val="000000"/>
        </w:rPr>
        <w:t>）预处理单元由浓缩、擦洗和磨矿组成；</w:t>
      </w:r>
    </w:p>
    <w:p>
      <w:pPr>
        <w:pStyle w:val="48"/>
        <w:numPr>
          <w:ilvl w:val="0"/>
          <w:numId w:val="0"/>
        </w:numPr>
        <w:ind w:left="839"/>
        <w:rPr>
          <w:color w:val="000000"/>
        </w:rPr>
      </w:pPr>
      <w:r>
        <w:rPr>
          <w:color w:val="000000"/>
        </w:rPr>
        <w:t>2</w:t>
      </w:r>
      <w:r>
        <w:rPr>
          <w:rFonts w:hint="eastAsia"/>
          <w:color w:val="000000"/>
        </w:rPr>
        <w:t>）浓缩机宜选择高效浓密机，宜配套倾斜板、完整的自控设施，浓缩后钨尾矿浓度宜达到</w:t>
      </w:r>
      <w:r>
        <w:rPr>
          <w:color w:val="000000"/>
        </w:rPr>
        <w:t>30-50%</w:t>
      </w:r>
      <w:r>
        <w:rPr>
          <w:rFonts w:hint="eastAsia"/>
          <w:color w:val="000000"/>
        </w:rPr>
        <w:t>；</w:t>
      </w:r>
    </w:p>
    <w:p>
      <w:pPr>
        <w:pStyle w:val="48"/>
        <w:numPr>
          <w:ilvl w:val="0"/>
          <w:numId w:val="0"/>
        </w:numPr>
        <w:ind w:left="839"/>
        <w:rPr>
          <w:color w:val="000000"/>
        </w:rPr>
      </w:pPr>
      <w:r>
        <w:rPr>
          <w:color w:val="000000"/>
        </w:rPr>
        <w:t>3</w:t>
      </w:r>
      <w:r>
        <w:rPr>
          <w:rFonts w:hint="eastAsia"/>
          <w:color w:val="000000"/>
        </w:rPr>
        <w:t>）磨矿机宜选择球磨机、棒磨机或砾磨机，如湿式溢流型球磨机，矿物粒径宜为</w:t>
      </w:r>
      <w:r>
        <w:rPr>
          <w:color w:val="000000"/>
        </w:rPr>
        <w:t>-200</w:t>
      </w:r>
      <w:r>
        <w:rPr>
          <w:rFonts w:hint="eastAsia"/>
          <w:color w:val="000000"/>
        </w:rPr>
        <w:t>目占</w:t>
      </w:r>
      <w:r>
        <w:rPr>
          <w:color w:val="000000"/>
        </w:rPr>
        <w:t>70%</w:t>
      </w:r>
      <w:r>
        <w:rPr>
          <w:rFonts w:hint="eastAsia"/>
          <w:color w:val="000000"/>
        </w:rPr>
        <w:t>以上。</w:t>
      </w:r>
    </w:p>
    <w:p>
      <w:pPr>
        <w:pStyle w:val="48"/>
        <w:numPr>
          <w:ilvl w:val="0"/>
          <w:numId w:val="4"/>
        </w:numPr>
        <w:rPr>
          <w:color w:val="000000"/>
        </w:rPr>
      </w:pPr>
      <w:r>
        <w:rPr>
          <w:rFonts w:hint="eastAsia"/>
          <w:color w:val="000000"/>
        </w:rPr>
        <w:t>加药作业</w:t>
      </w:r>
    </w:p>
    <w:p>
      <w:pPr>
        <w:pStyle w:val="48"/>
        <w:numPr>
          <w:ilvl w:val="0"/>
          <w:numId w:val="0"/>
        </w:numPr>
        <w:ind w:left="839"/>
        <w:rPr>
          <w:color w:val="000000"/>
        </w:rPr>
      </w:pPr>
      <w:r>
        <w:rPr>
          <w:color w:val="000000"/>
        </w:rPr>
        <w:t>1</w:t>
      </w:r>
      <w:r>
        <w:rPr>
          <w:rFonts w:hint="eastAsia"/>
          <w:color w:val="000000"/>
        </w:rPr>
        <w:t>）加药单元由药剂储罐、计量设备和药剂传输设备等组成；</w:t>
      </w:r>
    </w:p>
    <w:p>
      <w:pPr>
        <w:pStyle w:val="48"/>
        <w:numPr>
          <w:ilvl w:val="0"/>
          <w:numId w:val="0"/>
        </w:numPr>
        <w:ind w:left="839"/>
        <w:rPr>
          <w:color w:val="000000"/>
        </w:rPr>
      </w:pPr>
      <w:r>
        <w:rPr>
          <w:color w:val="000000"/>
        </w:rPr>
        <w:t>2</w:t>
      </w:r>
      <w:r>
        <w:rPr>
          <w:rFonts w:hint="eastAsia"/>
          <w:color w:val="000000"/>
        </w:rPr>
        <w:t>）固体捕收剂储罐底部应配备反冲气设施，防止物料堵塞；</w:t>
      </w:r>
    </w:p>
    <w:p>
      <w:pPr>
        <w:pStyle w:val="48"/>
        <w:numPr>
          <w:ilvl w:val="0"/>
          <w:numId w:val="0"/>
        </w:numPr>
        <w:ind w:left="839"/>
        <w:rPr>
          <w:color w:val="000000"/>
        </w:rPr>
      </w:pPr>
      <w:r>
        <w:rPr>
          <w:color w:val="000000"/>
        </w:rPr>
        <w:t>3</w:t>
      </w:r>
      <w:r>
        <w:rPr>
          <w:rFonts w:hint="eastAsia"/>
          <w:color w:val="000000"/>
        </w:rPr>
        <w:t>）液体药剂储罐和存放区设计符合</w:t>
      </w:r>
      <w:r>
        <w:rPr>
          <w:color w:val="000000"/>
        </w:rPr>
        <w:t>GB 50016</w:t>
      </w:r>
      <w:r>
        <w:rPr>
          <w:rFonts w:hint="eastAsia"/>
          <w:color w:val="000000"/>
        </w:rPr>
        <w:t>有关规定；</w:t>
      </w:r>
    </w:p>
    <w:p>
      <w:pPr>
        <w:pStyle w:val="48"/>
        <w:numPr>
          <w:ilvl w:val="0"/>
          <w:numId w:val="0"/>
        </w:numPr>
        <w:ind w:left="839"/>
        <w:rPr>
          <w:color w:val="000000"/>
        </w:rPr>
      </w:pPr>
      <w:r>
        <w:rPr>
          <w:color w:val="000000"/>
        </w:rPr>
        <w:t>4</w:t>
      </w:r>
      <w:r>
        <w:rPr>
          <w:rFonts w:hint="eastAsia"/>
          <w:color w:val="000000"/>
        </w:rPr>
        <w:t>）计量设备料仓外壁应安置振动电机，辅助加料卸料；</w:t>
      </w:r>
    </w:p>
    <w:p>
      <w:pPr>
        <w:pStyle w:val="48"/>
        <w:numPr>
          <w:ilvl w:val="0"/>
          <w:numId w:val="0"/>
        </w:numPr>
        <w:ind w:left="839"/>
        <w:rPr>
          <w:color w:val="000000"/>
        </w:rPr>
      </w:pPr>
      <w:r>
        <w:rPr>
          <w:color w:val="000000"/>
        </w:rPr>
        <w:t>5</w:t>
      </w:r>
      <w:r>
        <w:rPr>
          <w:rFonts w:hint="eastAsia"/>
          <w:color w:val="000000"/>
        </w:rPr>
        <w:t>）浮选药剂包括捕收剂、起泡剂、调整剂；</w:t>
      </w:r>
    </w:p>
    <w:p>
      <w:pPr>
        <w:pStyle w:val="48"/>
        <w:numPr>
          <w:ilvl w:val="0"/>
          <w:numId w:val="0"/>
        </w:numPr>
        <w:ind w:left="839"/>
        <w:rPr>
          <w:color w:val="000000"/>
        </w:rPr>
      </w:pPr>
      <w:r>
        <w:rPr>
          <w:color w:val="000000"/>
        </w:rPr>
        <w:t>6</w:t>
      </w:r>
      <w:r>
        <w:rPr>
          <w:rFonts w:hint="eastAsia"/>
          <w:color w:val="000000"/>
        </w:rPr>
        <w:t>）药剂种类和数量须经过矿石浮选试验确定，具体可依据实际生产需求进行调整；</w:t>
      </w:r>
    </w:p>
    <w:p>
      <w:pPr>
        <w:pStyle w:val="48"/>
        <w:numPr>
          <w:ilvl w:val="0"/>
          <w:numId w:val="0"/>
        </w:numPr>
        <w:ind w:left="839"/>
        <w:rPr>
          <w:color w:val="000000"/>
        </w:rPr>
      </w:pPr>
      <w:r>
        <w:rPr>
          <w:color w:val="000000"/>
        </w:rPr>
        <w:t>7</w:t>
      </w:r>
      <w:r>
        <w:rPr>
          <w:rFonts w:hint="eastAsia"/>
          <w:color w:val="000000"/>
        </w:rPr>
        <w:t>）加药点、加药方式根据药剂性质、相互作用及生产需要选择。</w:t>
      </w:r>
    </w:p>
    <w:p>
      <w:pPr>
        <w:pStyle w:val="48"/>
        <w:numPr>
          <w:ilvl w:val="0"/>
          <w:numId w:val="4"/>
        </w:numPr>
        <w:rPr>
          <w:color w:val="000000"/>
        </w:rPr>
      </w:pPr>
      <w:r>
        <w:rPr>
          <w:rFonts w:hint="eastAsia"/>
          <w:color w:val="000000"/>
        </w:rPr>
        <w:t>粗选作业</w:t>
      </w:r>
    </w:p>
    <w:p>
      <w:pPr>
        <w:pStyle w:val="48"/>
        <w:numPr>
          <w:ilvl w:val="255"/>
          <w:numId w:val="0"/>
        </w:numPr>
        <w:rPr>
          <w:color w:val="000000"/>
        </w:rPr>
      </w:pPr>
      <w:r>
        <w:rPr>
          <w:color w:val="000000"/>
        </w:rPr>
        <w:t xml:space="preserve">        1</w:t>
      </w:r>
      <w:r>
        <w:rPr>
          <w:rFonts w:hint="eastAsia"/>
          <w:color w:val="000000"/>
        </w:rPr>
        <w:t>）粗选单元宜采用强化浮选工艺；</w:t>
      </w:r>
    </w:p>
    <w:p>
      <w:pPr>
        <w:pStyle w:val="48"/>
        <w:numPr>
          <w:ilvl w:val="0"/>
          <w:numId w:val="0"/>
        </w:numPr>
        <w:ind w:left="839"/>
        <w:rPr>
          <w:color w:val="000000"/>
        </w:rPr>
      </w:pPr>
      <w:r>
        <w:rPr>
          <w:color w:val="000000"/>
        </w:rPr>
        <w:t>2</w:t>
      </w:r>
      <w:r>
        <w:rPr>
          <w:rFonts w:hint="eastAsia"/>
          <w:color w:val="000000"/>
        </w:rPr>
        <w:t>）粗选单元由搅拌设备、浮选设备和自动控制设备等组成；</w:t>
      </w:r>
    </w:p>
    <w:p>
      <w:pPr>
        <w:pStyle w:val="48"/>
        <w:numPr>
          <w:ilvl w:val="0"/>
          <w:numId w:val="0"/>
        </w:numPr>
        <w:ind w:left="839"/>
        <w:rPr>
          <w:color w:val="000000"/>
        </w:rPr>
      </w:pPr>
      <w:r>
        <w:rPr>
          <w:color w:val="000000"/>
        </w:rPr>
        <w:t>3</w:t>
      </w:r>
      <w:r>
        <w:rPr>
          <w:rFonts w:hint="eastAsia"/>
          <w:color w:val="000000"/>
        </w:rPr>
        <w:t>）粗选为</w:t>
      </w:r>
      <w:r>
        <w:rPr>
          <w:color w:val="000000"/>
        </w:rPr>
        <w:t>1</w:t>
      </w:r>
      <w:r>
        <w:rPr>
          <w:rFonts w:hint="eastAsia"/>
          <w:color w:val="000000"/>
        </w:rPr>
        <w:t>级浮选，浮选设备可选用机械搅拌式浮选机、充气式浮选机和浮选柱等，具体参数按实际生产需求设置。</w:t>
      </w:r>
    </w:p>
    <w:p>
      <w:pPr>
        <w:pStyle w:val="48"/>
        <w:numPr>
          <w:ilvl w:val="0"/>
          <w:numId w:val="4"/>
        </w:numPr>
        <w:rPr>
          <w:color w:val="000000"/>
        </w:rPr>
      </w:pPr>
      <w:r>
        <w:rPr>
          <w:rFonts w:hint="eastAsia"/>
          <w:color w:val="000000"/>
        </w:rPr>
        <w:t>高品位精选作业</w:t>
      </w:r>
    </w:p>
    <w:p>
      <w:pPr>
        <w:pStyle w:val="48"/>
        <w:numPr>
          <w:ilvl w:val="0"/>
          <w:numId w:val="0"/>
        </w:numPr>
        <w:ind w:left="839"/>
        <w:rPr>
          <w:color w:val="000000"/>
        </w:rPr>
      </w:pPr>
      <w:r>
        <w:rPr>
          <w:color w:val="000000"/>
        </w:rPr>
        <w:t>1</w:t>
      </w:r>
      <w:r>
        <w:rPr>
          <w:rFonts w:hint="eastAsia"/>
          <w:color w:val="000000"/>
        </w:rPr>
        <w:t>）高品位精选单元宜采用强化浮选工艺；</w:t>
      </w:r>
    </w:p>
    <w:p>
      <w:pPr>
        <w:pStyle w:val="48"/>
        <w:numPr>
          <w:ilvl w:val="0"/>
          <w:numId w:val="0"/>
        </w:numPr>
        <w:ind w:left="839"/>
        <w:rPr>
          <w:color w:val="000000"/>
        </w:rPr>
      </w:pPr>
      <w:r>
        <w:rPr>
          <w:color w:val="000000"/>
        </w:rPr>
        <w:t>2</w:t>
      </w:r>
      <w:r>
        <w:rPr>
          <w:rFonts w:hint="eastAsia"/>
          <w:color w:val="000000"/>
        </w:rPr>
        <w:t>）高品位精选单元由浮选设备、搅拌设备、分级设备等组成；</w:t>
      </w:r>
    </w:p>
    <w:p>
      <w:pPr>
        <w:pStyle w:val="48"/>
        <w:numPr>
          <w:ilvl w:val="0"/>
          <w:numId w:val="0"/>
        </w:numPr>
        <w:ind w:left="839"/>
        <w:rPr>
          <w:color w:val="000000"/>
        </w:rPr>
      </w:pPr>
      <w:r>
        <w:rPr>
          <w:color w:val="000000"/>
        </w:rPr>
        <w:t>3</w:t>
      </w:r>
      <w:r>
        <w:rPr>
          <w:rFonts w:hint="eastAsia"/>
          <w:color w:val="000000"/>
        </w:rPr>
        <w:t>）高品位精选单元作业次数须经过浮选试验研究确定，宜</w:t>
      </w:r>
      <w:r>
        <w:rPr>
          <w:color w:val="000000"/>
        </w:rPr>
        <w:t>4-8</w:t>
      </w:r>
      <w:r>
        <w:rPr>
          <w:rFonts w:hint="eastAsia"/>
          <w:color w:val="000000"/>
        </w:rPr>
        <w:t>级精选，浮选设备可选用机械搅拌式浮选机、充气式浮选机和浮选柱等，具体参数按实际生产需求设置。</w:t>
      </w:r>
    </w:p>
    <w:p>
      <w:pPr>
        <w:pStyle w:val="48"/>
        <w:numPr>
          <w:ilvl w:val="0"/>
          <w:numId w:val="0"/>
        </w:numPr>
        <w:ind w:left="839"/>
        <w:rPr>
          <w:color w:val="000000"/>
        </w:rPr>
      </w:pPr>
      <w:r>
        <w:rPr>
          <w:rFonts w:hint="eastAsia"/>
          <w:color w:val="000000"/>
        </w:rPr>
        <w:t>4）高品位萤石精矿品位为9</w:t>
      </w:r>
      <w:r>
        <w:rPr>
          <w:color w:val="000000"/>
        </w:rPr>
        <w:t>0.7-95.7</w:t>
      </w:r>
      <w:r>
        <w:rPr>
          <w:rFonts w:hint="eastAsia"/>
          <w:color w:val="000000"/>
        </w:rPr>
        <w:t>，杂质要求碳酸钙＜5</w:t>
      </w:r>
      <w:r>
        <w:rPr>
          <w:color w:val="000000"/>
        </w:rPr>
        <w:t>%</w:t>
      </w:r>
      <w:r>
        <w:rPr>
          <w:rFonts w:hint="eastAsia"/>
          <w:color w:val="000000"/>
        </w:rPr>
        <w:t>、硫＜0</w:t>
      </w:r>
      <w:r>
        <w:rPr>
          <w:color w:val="000000"/>
        </w:rPr>
        <w:t>.1%</w:t>
      </w:r>
      <w:r>
        <w:rPr>
          <w:rFonts w:hint="eastAsia"/>
          <w:color w:val="000000"/>
        </w:rPr>
        <w:t>、磷＜0</w:t>
      </w:r>
      <w:r>
        <w:rPr>
          <w:color w:val="000000"/>
        </w:rPr>
        <w:t>.1%</w:t>
      </w:r>
      <w:r>
        <w:rPr>
          <w:rFonts w:hint="eastAsia"/>
          <w:color w:val="000000"/>
        </w:rPr>
        <w:t>。</w:t>
      </w:r>
    </w:p>
    <w:p>
      <w:pPr>
        <w:pStyle w:val="48"/>
        <w:rPr>
          <w:color w:val="000000"/>
        </w:rPr>
      </w:pPr>
      <w:r>
        <w:rPr>
          <w:rFonts w:hint="eastAsia"/>
          <w:color w:val="000000"/>
        </w:rPr>
        <w:t>扫选作业</w:t>
      </w:r>
    </w:p>
    <w:p>
      <w:pPr>
        <w:pStyle w:val="48"/>
        <w:numPr>
          <w:ilvl w:val="0"/>
          <w:numId w:val="0"/>
        </w:numPr>
        <w:ind w:left="839"/>
        <w:rPr>
          <w:color w:val="000000"/>
        </w:rPr>
      </w:pPr>
      <w:r>
        <w:rPr>
          <w:color w:val="000000"/>
        </w:rPr>
        <w:t>1</w:t>
      </w:r>
      <w:r>
        <w:rPr>
          <w:rFonts w:hint="eastAsia"/>
          <w:color w:val="000000"/>
        </w:rPr>
        <w:t>）扫选单元宜采用强化浮选工艺；</w:t>
      </w:r>
    </w:p>
    <w:p>
      <w:pPr>
        <w:pStyle w:val="48"/>
        <w:numPr>
          <w:ilvl w:val="0"/>
          <w:numId w:val="0"/>
        </w:numPr>
        <w:ind w:left="839"/>
        <w:rPr>
          <w:color w:val="000000"/>
        </w:rPr>
      </w:pPr>
      <w:r>
        <w:rPr>
          <w:color w:val="000000"/>
        </w:rPr>
        <w:t>2</w:t>
      </w:r>
      <w:r>
        <w:rPr>
          <w:rFonts w:hint="eastAsia"/>
          <w:color w:val="000000"/>
        </w:rPr>
        <w:t>）扫选单元由浮选设备、搅拌设备、分级设备等组成；</w:t>
      </w:r>
    </w:p>
    <w:p>
      <w:pPr>
        <w:pStyle w:val="48"/>
        <w:numPr>
          <w:ilvl w:val="0"/>
          <w:numId w:val="0"/>
        </w:numPr>
        <w:ind w:left="839"/>
        <w:rPr>
          <w:color w:val="000000"/>
        </w:rPr>
      </w:pPr>
      <w:r>
        <w:rPr>
          <w:color w:val="000000"/>
        </w:rPr>
        <w:t>3</w:t>
      </w:r>
      <w:r>
        <w:rPr>
          <w:rFonts w:hint="eastAsia"/>
          <w:color w:val="000000"/>
        </w:rPr>
        <w:t>）扫选单元作业次数须经过浮选试验研究确定，宜</w:t>
      </w:r>
      <w:r>
        <w:rPr>
          <w:color w:val="000000"/>
        </w:rPr>
        <w:t>1-3</w:t>
      </w:r>
      <w:r>
        <w:rPr>
          <w:rFonts w:hint="eastAsia"/>
          <w:color w:val="000000"/>
        </w:rPr>
        <w:t>级扫选，浮选设备可选用机械搅拌式浮选机、充气式浮选机和浮选柱等，具体参数按实际生产需求设置。</w:t>
      </w:r>
    </w:p>
    <w:p>
      <w:pPr>
        <w:pStyle w:val="48"/>
        <w:rPr>
          <w:color w:val="000000"/>
        </w:rPr>
      </w:pPr>
      <w:r>
        <w:rPr>
          <w:rFonts w:hint="eastAsia"/>
          <w:color w:val="000000"/>
        </w:rPr>
        <w:t>低品位精选作业</w:t>
      </w:r>
    </w:p>
    <w:p>
      <w:pPr>
        <w:pStyle w:val="48"/>
        <w:numPr>
          <w:ilvl w:val="0"/>
          <w:numId w:val="0"/>
        </w:numPr>
        <w:ind w:left="839"/>
        <w:rPr>
          <w:color w:val="000000"/>
        </w:rPr>
      </w:pPr>
      <w:r>
        <w:rPr>
          <w:color w:val="000000"/>
        </w:rPr>
        <w:t>1</w:t>
      </w:r>
      <w:r>
        <w:rPr>
          <w:rFonts w:hint="eastAsia"/>
          <w:color w:val="000000"/>
        </w:rPr>
        <w:t>）低品位精选单元宜采用强化浮选工艺；</w:t>
      </w:r>
    </w:p>
    <w:p>
      <w:pPr>
        <w:pStyle w:val="48"/>
        <w:numPr>
          <w:ilvl w:val="0"/>
          <w:numId w:val="0"/>
        </w:numPr>
        <w:ind w:left="839"/>
        <w:rPr>
          <w:color w:val="000000"/>
        </w:rPr>
      </w:pPr>
      <w:r>
        <w:rPr>
          <w:color w:val="000000"/>
        </w:rPr>
        <w:t>2</w:t>
      </w:r>
      <w:r>
        <w:rPr>
          <w:rFonts w:hint="eastAsia"/>
          <w:color w:val="000000"/>
        </w:rPr>
        <w:t>）低品位精选单元由浮选设备、搅拌设备、分级设备等组成；</w:t>
      </w:r>
    </w:p>
    <w:p>
      <w:pPr>
        <w:pStyle w:val="48"/>
        <w:numPr>
          <w:ilvl w:val="0"/>
          <w:numId w:val="0"/>
        </w:numPr>
        <w:ind w:left="839"/>
        <w:rPr>
          <w:color w:val="000000"/>
        </w:rPr>
      </w:pPr>
      <w:r>
        <w:rPr>
          <w:color w:val="000000"/>
        </w:rPr>
        <w:t>3</w:t>
      </w:r>
      <w:r>
        <w:rPr>
          <w:rFonts w:hint="eastAsia"/>
          <w:color w:val="000000"/>
        </w:rPr>
        <w:t>）低品位精选单元作业次数须经过浮选试验研究确定，宜</w:t>
      </w:r>
      <w:r>
        <w:rPr>
          <w:color w:val="000000"/>
        </w:rPr>
        <w:t>3-5</w:t>
      </w:r>
      <w:r>
        <w:rPr>
          <w:rFonts w:hint="eastAsia"/>
          <w:color w:val="000000"/>
        </w:rPr>
        <w:t>级精选，浮选设备可选用机械搅拌式浮选机、充气式浮选机和浮选柱等，具体参数按实际生产需求设置。</w:t>
      </w:r>
    </w:p>
    <w:p>
      <w:pPr>
        <w:pStyle w:val="48"/>
        <w:numPr>
          <w:ilvl w:val="0"/>
          <w:numId w:val="0"/>
        </w:numPr>
        <w:ind w:left="839"/>
        <w:rPr>
          <w:rFonts w:ascii="Times New Roman"/>
          <w:color w:val="000000"/>
          <w:szCs w:val="21"/>
        </w:rPr>
      </w:pPr>
      <w:r>
        <w:rPr>
          <w:rFonts w:hint="eastAsia"/>
          <w:color w:val="000000"/>
        </w:rPr>
        <w:t>4）低品位萤石精矿品位为8</w:t>
      </w:r>
      <w:r>
        <w:rPr>
          <w:color w:val="000000"/>
        </w:rPr>
        <w:t>0.7</w:t>
      </w:r>
      <w:r>
        <w:rPr>
          <w:rFonts w:hint="eastAsia"/>
          <w:color w:val="000000"/>
        </w:rPr>
        <w:t>，杂质要求碳酸钙＜5</w:t>
      </w:r>
      <w:r>
        <w:rPr>
          <w:color w:val="000000"/>
        </w:rPr>
        <w:t>%</w:t>
      </w:r>
      <w:r>
        <w:rPr>
          <w:rFonts w:hint="eastAsia"/>
          <w:color w:val="000000"/>
        </w:rPr>
        <w:t>、硫＜0</w:t>
      </w:r>
      <w:r>
        <w:rPr>
          <w:color w:val="000000"/>
        </w:rPr>
        <w:t>.1%</w:t>
      </w:r>
      <w:r>
        <w:rPr>
          <w:rFonts w:hint="eastAsia"/>
          <w:color w:val="000000"/>
        </w:rPr>
        <w:t>、磷＜0</w:t>
      </w:r>
      <w:r>
        <w:rPr>
          <w:color w:val="000000"/>
        </w:rPr>
        <w:t>.1%</w:t>
      </w:r>
      <w:r>
        <w:rPr>
          <w:rFonts w:hint="eastAsia"/>
          <w:color w:val="000000"/>
        </w:rPr>
        <w:t>。</w:t>
      </w:r>
    </w:p>
    <w:p>
      <w:pPr>
        <w:pStyle w:val="50"/>
        <w:spacing w:before="156" w:after="156"/>
        <w:rPr>
          <w:color w:val="000000"/>
        </w:rPr>
      </w:pPr>
      <w:r>
        <w:rPr>
          <w:rFonts w:hint="eastAsia"/>
          <w:color w:val="000000"/>
        </w:rPr>
        <w:t>尾矿建材化工艺</w:t>
      </w:r>
    </w:p>
    <w:p>
      <w:pPr>
        <w:spacing w:before="156" w:beforeLines="50" w:after="156" w:afterLines="50"/>
        <w:jc w:val="left"/>
        <w:rPr>
          <w:rFonts w:ascii="黑体" w:hAnsi="黑体" w:eastAsia="黑体" w:cs="黑体"/>
          <w:color w:val="000000"/>
          <w:szCs w:val="21"/>
        </w:rPr>
      </w:pPr>
      <w:r>
        <w:rPr>
          <w:rFonts w:ascii="黑体" w:hAnsi="黑体" w:eastAsia="黑体" w:cs="黑体"/>
          <w:color w:val="000000"/>
          <w:szCs w:val="21"/>
        </w:rPr>
        <w:t xml:space="preserve">5.3.2.1 </w:t>
      </w:r>
      <w:r>
        <w:rPr>
          <w:rFonts w:hint="eastAsia" w:ascii="黑体" w:hAnsi="黑体" w:eastAsia="黑体" w:cs="黑体"/>
          <w:color w:val="000000"/>
          <w:szCs w:val="21"/>
        </w:rPr>
        <w:t>工艺说明</w:t>
      </w:r>
    </w:p>
    <w:p>
      <w:pPr>
        <w:ind w:firstLine="420" w:firstLineChars="200"/>
        <w:jc w:val="left"/>
        <w:rPr>
          <w:rFonts w:ascii="Times New Roman"/>
          <w:color w:val="000000"/>
          <w:szCs w:val="21"/>
        </w:rPr>
      </w:pPr>
      <w:r>
        <w:rPr>
          <w:rFonts w:hint="eastAsia" w:ascii="Times New Roman"/>
          <w:color w:val="000000"/>
          <w:szCs w:val="21"/>
        </w:rPr>
        <w:t>多金属矿区钨尾矿建材化工艺由分级-筛分作业、球磨-搅拌作业、浓缩-干燥作业等组成，基本工艺流程见图</w:t>
      </w:r>
      <w:r>
        <w:rPr>
          <w:rFonts w:ascii="Times New Roman"/>
          <w:color w:val="000000"/>
          <w:szCs w:val="21"/>
        </w:rPr>
        <w:t>3</w:t>
      </w:r>
      <w:r>
        <w:rPr>
          <w:rFonts w:hint="eastAsia" w:ascii="Times New Roman"/>
          <w:color w:val="000000"/>
          <w:szCs w:val="21"/>
        </w:rPr>
        <w:t>。</w:t>
      </w:r>
    </w:p>
    <w:p>
      <w:pPr>
        <w:jc w:val="center"/>
        <w:rPr>
          <w:rFonts w:ascii="Times New Roman"/>
          <w:color w:val="000000"/>
          <w:szCs w:val="21"/>
        </w:rPr>
      </w:pPr>
      <w:r>
        <w:rPr>
          <w:rFonts w:ascii="Times New Roman"/>
          <w:color w:val="000000"/>
          <w:szCs w:val="21"/>
        </w:rPr>
        <w:drawing>
          <wp:inline distT="0" distB="0" distL="0" distR="0">
            <wp:extent cx="5291455" cy="125920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51814" cy="1273838"/>
                    </a:xfrm>
                    <a:prstGeom prst="rect">
                      <a:avLst/>
                    </a:prstGeom>
                    <a:noFill/>
                  </pic:spPr>
                </pic:pic>
              </a:graphicData>
            </a:graphic>
          </wp:inline>
        </w:drawing>
      </w:r>
    </w:p>
    <w:p>
      <w:pPr>
        <w:jc w:val="center"/>
        <w:rPr>
          <w:rFonts w:ascii="Times New Roman" w:hAnsi="Times New Roman" w:eastAsia="黑体"/>
          <w:b/>
          <w:color w:val="000000"/>
          <w:szCs w:val="21"/>
        </w:rPr>
      </w:pPr>
      <w:r>
        <w:rPr>
          <w:rFonts w:hint="eastAsia" w:ascii="Times New Roman" w:hAnsi="Times New Roman" w:eastAsia="黑体"/>
          <w:b/>
          <w:color w:val="000000"/>
          <w:szCs w:val="21"/>
        </w:rPr>
        <w:t>图</w:t>
      </w:r>
      <w:r>
        <w:rPr>
          <w:rFonts w:ascii="Times New Roman" w:hAnsi="Times New Roman" w:eastAsia="黑体"/>
          <w:b/>
          <w:color w:val="000000"/>
          <w:szCs w:val="21"/>
        </w:rPr>
        <w:t xml:space="preserve">3  </w:t>
      </w:r>
      <w:r>
        <w:rPr>
          <w:rFonts w:hint="eastAsia" w:ascii="Times New Roman" w:hAnsi="Times New Roman" w:eastAsia="黑体"/>
          <w:b/>
          <w:color w:val="000000"/>
          <w:szCs w:val="21"/>
        </w:rPr>
        <w:t>多金属矿区钨尾矿建材化工艺流程</w:t>
      </w:r>
    </w:p>
    <w:p>
      <w:pPr>
        <w:spacing w:before="156" w:beforeLines="50" w:after="156" w:afterLines="50"/>
        <w:jc w:val="left"/>
        <w:rPr>
          <w:rFonts w:ascii="黑体" w:hAnsi="黑体" w:eastAsia="黑体" w:cs="黑体"/>
          <w:color w:val="000000"/>
          <w:szCs w:val="21"/>
        </w:rPr>
      </w:pPr>
      <w:r>
        <w:rPr>
          <w:rFonts w:ascii="黑体" w:hAnsi="黑体" w:eastAsia="黑体" w:cs="黑体"/>
          <w:color w:val="000000"/>
          <w:szCs w:val="21"/>
        </w:rPr>
        <w:t xml:space="preserve">5.3.2.2 </w:t>
      </w:r>
      <w:r>
        <w:rPr>
          <w:rFonts w:hint="eastAsia" w:ascii="黑体" w:hAnsi="黑体" w:eastAsia="黑体" w:cs="黑体"/>
          <w:color w:val="000000"/>
          <w:szCs w:val="21"/>
        </w:rPr>
        <w:t>技术要求</w:t>
      </w:r>
    </w:p>
    <w:p>
      <w:pPr>
        <w:pStyle w:val="48"/>
        <w:numPr>
          <w:ilvl w:val="0"/>
          <w:numId w:val="5"/>
        </w:numPr>
        <w:rPr>
          <w:color w:val="000000"/>
        </w:rPr>
      </w:pPr>
      <w:r>
        <w:rPr>
          <w:rFonts w:hint="eastAsia"/>
          <w:color w:val="000000"/>
        </w:rPr>
        <w:t>分级-筛分作业</w:t>
      </w:r>
    </w:p>
    <w:p>
      <w:pPr>
        <w:pStyle w:val="48"/>
        <w:numPr>
          <w:ilvl w:val="0"/>
          <w:numId w:val="0"/>
        </w:numPr>
        <w:ind w:left="839"/>
        <w:rPr>
          <w:color w:val="000000"/>
        </w:rPr>
      </w:pPr>
      <w:r>
        <w:rPr>
          <w:color w:val="000000"/>
        </w:rPr>
        <w:t>1</w:t>
      </w:r>
      <w:r>
        <w:rPr>
          <w:rFonts w:hint="eastAsia"/>
          <w:color w:val="000000"/>
        </w:rPr>
        <w:t>）分级筛分单元由离心分级器、筛分设施组成；</w:t>
      </w:r>
    </w:p>
    <w:p>
      <w:pPr>
        <w:pStyle w:val="48"/>
        <w:numPr>
          <w:ilvl w:val="0"/>
          <w:numId w:val="0"/>
        </w:numPr>
        <w:ind w:left="839"/>
        <w:rPr>
          <w:color w:val="000000"/>
        </w:rPr>
      </w:pPr>
      <w:r>
        <w:rPr>
          <w:color w:val="000000"/>
        </w:rPr>
        <w:t>2</w:t>
      </w:r>
      <w:r>
        <w:rPr>
          <w:rFonts w:hint="eastAsia"/>
          <w:color w:val="000000"/>
        </w:rPr>
        <w:t>）离心分级器宜选用旋流分级器，筛分设施宜选用高频振动筛；</w:t>
      </w:r>
    </w:p>
    <w:p>
      <w:pPr>
        <w:pStyle w:val="48"/>
        <w:numPr>
          <w:ilvl w:val="0"/>
          <w:numId w:val="0"/>
        </w:numPr>
        <w:ind w:left="839"/>
        <w:rPr>
          <w:color w:val="000000"/>
        </w:rPr>
      </w:pPr>
      <w:r>
        <w:rPr>
          <w:color w:val="000000"/>
        </w:rPr>
        <w:t>3</w:t>
      </w:r>
      <w:r>
        <w:rPr>
          <w:rFonts w:hint="eastAsia"/>
          <w:color w:val="000000"/>
        </w:rPr>
        <w:t>）旋流分级器底流浓度宜＞</w:t>
      </w:r>
      <w:r>
        <w:rPr>
          <w:color w:val="000000"/>
        </w:rPr>
        <w:t>70%</w:t>
      </w:r>
      <w:r>
        <w:rPr>
          <w:rFonts w:hint="eastAsia"/>
          <w:color w:val="000000"/>
        </w:rPr>
        <w:t>；</w:t>
      </w:r>
    </w:p>
    <w:p>
      <w:pPr>
        <w:pStyle w:val="48"/>
        <w:numPr>
          <w:ilvl w:val="0"/>
          <w:numId w:val="0"/>
        </w:numPr>
        <w:ind w:left="839"/>
        <w:rPr>
          <w:color w:val="000000"/>
        </w:rPr>
      </w:pPr>
      <w:r>
        <w:rPr>
          <w:rFonts w:hint="eastAsia"/>
          <w:color w:val="000000"/>
        </w:rPr>
        <w:t>4）机制砂的生产应符合J</w:t>
      </w:r>
      <w:r>
        <w:rPr>
          <w:color w:val="000000"/>
        </w:rPr>
        <w:t>C/T 2299</w:t>
      </w:r>
      <w:r>
        <w:rPr>
          <w:rFonts w:hint="eastAsia"/>
          <w:color w:val="000000"/>
        </w:rPr>
        <w:t>有关规定；机制砂粒径宜0</w:t>
      </w:r>
      <w:r>
        <w:rPr>
          <w:color w:val="000000"/>
        </w:rPr>
        <w:t>.15-4.75</w:t>
      </w:r>
      <w:r>
        <w:rPr>
          <w:rFonts w:hint="eastAsia"/>
          <w:color w:val="000000"/>
        </w:rPr>
        <w:t>mm，级配应根据尾矿粒径按需选择，制成的机制砂应符合J</w:t>
      </w:r>
      <w:r>
        <w:rPr>
          <w:color w:val="000000"/>
        </w:rPr>
        <w:t>T/T819</w:t>
      </w:r>
      <w:r>
        <w:rPr>
          <w:rFonts w:hint="eastAsia"/>
          <w:color w:val="000000"/>
        </w:rPr>
        <w:t>有关规定。</w:t>
      </w:r>
    </w:p>
    <w:p>
      <w:pPr>
        <w:pStyle w:val="48"/>
        <w:rPr>
          <w:color w:val="000000"/>
        </w:rPr>
      </w:pPr>
      <w:r>
        <w:rPr>
          <w:rFonts w:hint="eastAsia"/>
          <w:color w:val="000000"/>
        </w:rPr>
        <w:t>球磨-搅拌作业</w:t>
      </w:r>
    </w:p>
    <w:p>
      <w:pPr>
        <w:pStyle w:val="48"/>
        <w:numPr>
          <w:ilvl w:val="0"/>
          <w:numId w:val="0"/>
        </w:numPr>
        <w:ind w:left="839"/>
        <w:rPr>
          <w:color w:val="000000"/>
        </w:rPr>
      </w:pPr>
      <w:r>
        <w:rPr>
          <w:color w:val="000000"/>
        </w:rPr>
        <w:t>1</w:t>
      </w:r>
      <w:r>
        <w:rPr>
          <w:rFonts w:hint="eastAsia"/>
          <w:color w:val="000000"/>
        </w:rPr>
        <w:t>）球磨搅拌单元由球磨设备、搅拌设施、物料输送设施、计量加药设施组成；</w:t>
      </w:r>
    </w:p>
    <w:p>
      <w:pPr>
        <w:pStyle w:val="48"/>
        <w:numPr>
          <w:ilvl w:val="0"/>
          <w:numId w:val="0"/>
        </w:numPr>
        <w:ind w:left="839"/>
        <w:rPr>
          <w:color w:val="000000"/>
        </w:rPr>
      </w:pPr>
      <w:r>
        <w:rPr>
          <w:color w:val="000000"/>
        </w:rPr>
        <w:t>2</w:t>
      </w:r>
      <w:r>
        <w:rPr>
          <w:rFonts w:hint="eastAsia"/>
          <w:color w:val="000000"/>
        </w:rPr>
        <w:t>）球磨设备宜选用球磨机，球磨出料粒度宜根据生产需求确定；</w:t>
      </w:r>
    </w:p>
    <w:p>
      <w:pPr>
        <w:pStyle w:val="48"/>
        <w:numPr>
          <w:ilvl w:val="0"/>
          <w:numId w:val="0"/>
        </w:numPr>
        <w:ind w:left="839"/>
        <w:rPr>
          <w:color w:val="000000"/>
        </w:rPr>
      </w:pPr>
      <w:r>
        <w:rPr>
          <w:color w:val="000000"/>
        </w:rPr>
        <w:t>3</w:t>
      </w:r>
      <w:r>
        <w:rPr>
          <w:rFonts w:hint="eastAsia"/>
          <w:color w:val="000000"/>
        </w:rPr>
        <w:t>）搅拌设施宜选用搅拌站；</w:t>
      </w:r>
    </w:p>
    <w:p>
      <w:pPr>
        <w:pStyle w:val="48"/>
        <w:numPr>
          <w:ilvl w:val="0"/>
          <w:numId w:val="0"/>
        </w:numPr>
        <w:ind w:left="839"/>
        <w:rPr>
          <w:color w:val="000000"/>
        </w:rPr>
      </w:pPr>
      <w:r>
        <w:rPr>
          <w:color w:val="000000"/>
        </w:rPr>
        <w:t>4</w:t>
      </w:r>
      <w:r>
        <w:rPr>
          <w:rFonts w:hint="eastAsia"/>
          <w:color w:val="000000"/>
        </w:rPr>
        <w:t>）搅拌站各物料配比须经过试验研究确定，掺合料宜选石膏、粉煤灰、粒化高炉矿渣等，选用的石膏应符合GB/T 21371的有关规定，粉煤灰应符合GB/T 1596的有关规定，高炉矿渣应符合GB/T 203的有关规定；</w:t>
      </w:r>
    </w:p>
    <w:p>
      <w:pPr>
        <w:pStyle w:val="48"/>
        <w:numPr>
          <w:ilvl w:val="0"/>
          <w:numId w:val="0"/>
        </w:numPr>
        <w:ind w:left="839"/>
        <w:rPr>
          <w:color w:val="000000"/>
        </w:rPr>
      </w:pPr>
      <w:r>
        <w:rPr>
          <w:color w:val="000000"/>
        </w:rPr>
        <w:t>5</w:t>
      </w:r>
      <w:r>
        <w:rPr>
          <w:rFonts w:hint="eastAsia"/>
          <w:color w:val="000000"/>
        </w:rPr>
        <w:t>）胶凝材料应符合</w:t>
      </w:r>
      <w:r>
        <w:rPr>
          <w:color w:val="000000"/>
        </w:rPr>
        <w:t xml:space="preserve"> T/CECS 689</w:t>
      </w:r>
      <w:r>
        <w:rPr>
          <w:rFonts w:hint="eastAsia"/>
          <w:color w:val="000000"/>
        </w:rPr>
        <w:t>有关规定。</w:t>
      </w:r>
    </w:p>
    <w:p>
      <w:pPr>
        <w:pStyle w:val="48"/>
        <w:rPr>
          <w:color w:val="000000"/>
        </w:rPr>
      </w:pPr>
      <w:r>
        <w:rPr>
          <w:rFonts w:hint="eastAsia"/>
          <w:color w:val="000000"/>
        </w:rPr>
        <w:t>浓缩-干燥作业</w:t>
      </w:r>
    </w:p>
    <w:p>
      <w:pPr>
        <w:pStyle w:val="48"/>
        <w:numPr>
          <w:ilvl w:val="0"/>
          <w:numId w:val="0"/>
        </w:numPr>
        <w:ind w:left="839"/>
        <w:rPr>
          <w:color w:val="000000"/>
        </w:rPr>
      </w:pPr>
      <w:r>
        <w:rPr>
          <w:color w:val="000000"/>
        </w:rPr>
        <w:t>1</w:t>
      </w:r>
      <w:r>
        <w:rPr>
          <w:rFonts w:hint="eastAsia"/>
          <w:color w:val="000000"/>
        </w:rPr>
        <w:t>）浓缩干燥单元由浓缩脱水设施、烘干干燥设施、物料输送设施、高温烟气发生设施、计量加药设施组成；</w:t>
      </w:r>
    </w:p>
    <w:p>
      <w:pPr>
        <w:pStyle w:val="48"/>
        <w:numPr>
          <w:ilvl w:val="0"/>
          <w:numId w:val="0"/>
        </w:numPr>
        <w:ind w:left="839"/>
        <w:rPr>
          <w:color w:val="000000"/>
        </w:rPr>
      </w:pPr>
      <w:r>
        <w:rPr>
          <w:color w:val="000000"/>
        </w:rPr>
        <w:t>2</w:t>
      </w:r>
      <w:r>
        <w:rPr>
          <w:rFonts w:hint="eastAsia"/>
          <w:color w:val="000000"/>
        </w:rPr>
        <w:t>）浓缩脱水设施宜选板框压滤机；</w:t>
      </w:r>
    </w:p>
    <w:p>
      <w:pPr>
        <w:pStyle w:val="48"/>
        <w:numPr>
          <w:ilvl w:val="0"/>
          <w:numId w:val="0"/>
        </w:numPr>
        <w:ind w:left="839"/>
        <w:rPr>
          <w:color w:val="000000"/>
        </w:rPr>
      </w:pPr>
      <w:r>
        <w:rPr>
          <w:color w:val="000000"/>
        </w:rPr>
        <w:t>3</w:t>
      </w:r>
      <w:r>
        <w:rPr>
          <w:rFonts w:hint="eastAsia"/>
          <w:color w:val="000000"/>
        </w:rPr>
        <w:t>）浓缩脱水含水率宜＜</w:t>
      </w:r>
      <w:r>
        <w:rPr>
          <w:color w:val="000000"/>
        </w:rPr>
        <w:t>17%</w:t>
      </w:r>
      <w:r>
        <w:rPr>
          <w:rFonts w:hint="eastAsia"/>
          <w:color w:val="000000"/>
        </w:rPr>
        <w:t>；</w:t>
      </w:r>
    </w:p>
    <w:p>
      <w:pPr>
        <w:pStyle w:val="48"/>
        <w:numPr>
          <w:ilvl w:val="0"/>
          <w:numId w:val="0"/>
        </w:numPr>
        <w:ind w:left="839"/>
        <w:rPr>
          <w:color w:val="000000"/>
        </w:rPr>
      </w:pPr>
      <w:r>
        <w:rPr>
          <w:color w:val="000000"/>
        </w:rPr>
        <w:t>4</w:t>
      </w:r>
      <w:r>
        <w:rPr>
          <w:rFonts w:hint="eastAsia"/>
          <w:color w:val="000000"/>
        </w:rPr>
        <w:t>）烘干烟气温度宜＞</w:t>
      </w:r>
      <w:r>
        <w:rPr>
          <w:color w:val="000000"/>
        </w:rPr>
        <w:t>500</w:t>
      </w:r>
      <w:r>
        <w:rPr>
          <w:rFonts w:hint="eastAsia"/>
          <w:color w:val="000000"/>
        </w:rPr>
        <w:t>℃；</w:t>
      </w:r>
    </w:p>
    <w:p>
      <w:pPr>
        <w:pStyle w:val="48"/>
        <w:numPr>
          <w:ilvl w:val="0"/>
          <w:numId w:val="0"/>
        </w:numPr>
        <w:ind w:left="839"/>
        <w:rPr>
          <w:color w:val="000000"/>
        </w:rPr>
      </w:pPr>
      <w:r>
        <w:rPr>
          <w:color w:val="000000"/>
        </w:rPr>
        <w:t>5</w:t>
      </w:r>
      <w:r>
        <w:rPr>
          <w:rFonts w:hint="eastAsia"/>
          <w:color w:val="000000"/>
        </w:rPr>
        <w:t>）外加剂用于提高微粉活性指数，其种类及添加量经过试验研究确定；</w:t>
      </w:r>
    </w:p>
    <w:p>
      <w:pPr>
        <w:pStyle w:val="48"/>
        <w:numPr>
          <w:ilvl w:val="0"/>
          <w:numId w:val="0"/>
        </w:numPr>
        <w:ind w:left="839"/>
        <w:rPr>
          <w:color w:val="000000"/>
        </w:rPr>
      </w:pPr>
      <w:r>
        <w:rPr>
          <w:rFonts w:hint="eastAsia"/>
          <w:color w:val="000000"/>
        </w:rPr>
        <w:t>6）微粉粒径小于7</w:t>
      </w:r>
      <w:r>
        <w:rPr>
          <w:color w:val="000000"/>
        </w:rPr>
        <w:t>5</w:t>
      </w:r>
      <w:r>
        <w:rPr>
          <w:rFonts w:hint="eastAsia"/>
          <w:color w:val="000000"/>
        </w:rPr>
        <w:t>um，微粉细度、需水量比、活性指数、亚甲蓝M</w:t>
      </w:r>
      <w:r>
        <w:rPr>
          <w:color w:val="000000"/>
        </w:rPr>
        <w:t>B</w:t>
      </w:r>
      <w:r>
        <w:rPr>
          <w:rFonts w:hint="eastAsia"/>
          <w:color w:val="000000"/>
        </w:rPr>
        <w:t>值、安定性等指标应符合J</w:t>
      </w:r>
      <w:r>
        <w:rPr>
          <w:color w:val="000000"/>
        </w:rPr>
        <w:t>G/T 573</w:t>
      </w:r>
      <w:r>
        <w:rPr>
          <w:rFonts w:hint="eastAsia"/>
          <w:color w:val="000000"/>
        </w:rPr>
        <w:t>有关规定。</w:t>
      </w:r>
    </w:p>
    <w:p>
      <w:pPr>
        <w:pStyle w:val="50"/>
        <w:spacing w:before="156" w:after="156"/>
        <w:rPr>
          <w:color w:val="000000"/>
        </w:rPr>
      </w:pPr>
      <w:r>
        <w:rPr>
          <w:rFonts w:hint="eastAsia"/>
          <w:color w:val="000000"/>
        </w:rPr>
        <w:t>尾矿充填工艺</w:t>
      </w:r>
    </w:p>
    <w:p>
      <w:pPr>
        <w:spacing w:line="360" w:lineRule="auto"/>
        <w:ind w:firstLine="420" w:firstLineChars="200"/>
        <w:jc w:val="left"/>
        <w:rPr>
          <w:rFonts w:ascii="Times New Roman"/>
          <w:color w:val="000000"/>
          <w:szCs w:val="21"/>
        </w:rPr>
      </w:pPr>
      <w:r>
        <w:rPr>
          <w:rFonts w:hint="eastAsia" w:ascii="Times New Roman"/>
          <w:color w:val="000000"/>
          <w:szCs w:val="21"/>
        </w:rPr>
        <w:t>尾矿充填工艺应符合</w:t>
      </w:r>
      <w:r>
        <w:rPr>
          <w:rFonts w:ascii="Times New Roman"/>
          <w:color w:val="000000"/>
          <w:szCs w:val="21"/>
        </w:rPr>
        <w:t>GB/T 39489</w:t>
      </w:r>
      <w:r>
        <w:rPr>
          <w:rFonts w:hint="eastAsia" w:ascii="Times New Roman"/>
          <w:color w:val="000000"/>
          <w:szCs w:val="21"/>
        </w:rPr>
        <w:t>。</w:t>
      </w:r>
    </w:p>
    <w:p>
      <w:pPr>
        <w:pStyle w:val="50"/>
        <w:spacing w:before="156" w:after="156"/>
        <w:rPr>
          <w:rFonts w:ascii="Times New Roman"/>
          <w:color w:val="000000"/>
          <w:kern w:val="2"/>
        </w:rPr>
      </w:pPr>
      <w:r>
        <w:rPr>
          <w:rFonts w:hint="eastAsia" w:ascii="Times New Roman" w:hAnsi="黑体"/>
          <w:color w:val="000000"/>
          <w:kern w:val="2"/>
        </w:rPr>
        <w:t>贮存与转运</w:t>
      </w:r>
    </w:p>
    <w:p>
      <w:pPr>
        <w:spacing w:before="50" w:after="50"/>
        <w:jc w:val="left"/>
        <w:rPr>
          <w:rFonts w:ascii="黑体" w:hAnsi="黑体" w:eastAsia="黑体" w:cs="黑体"/>
          <w:color w:val="000000"/>
          <w:szCs w:val="21"/>
        </w:rPr>
      </w:pPr>
      <w:r>
        <w:rPr>
          <w:rFonts w:ascii="黑体" w:hAnsi="黑体" w:eastAsia="黑体" w:cs="黑体"/>
          <w:color w:val="000000"/>
          <w:szCs w:val="21"/>
        </w:rPr>
        <w:t xml:space="preserve">5.3.4.1 </w:t>
      </w:r>
      <w:r>
        <w:rPr>
          <w:rFonts w:hint="eastAsia" w:ascii="Times New Roman"/>
          <w:color w:val="000000"/>
          <w:szCs w:val="21"/>
        </w:rPr>
        <w:t>贮存场地设计应符合</w:t>
      </w:r>
      <w:r>
        <w:rPr>
          <w:rFonts w:ascii="Times New Roman"/>
          <w:color w:val="000000"/>
          <w:szCs w:val="21"/>
        </w:rPr>
        <w:t>GB 18599</w:t>
      </w:r>
      <w:r>
        <w:rPr>
          <w:rFonts w:hint="eastAsia" w:ascii="Times New Roman"/>
          <w:color w:val="000000"/>
          <w:szCs w:val="21"/>
        </w:rPr>
        <w:t>有关规定。</w:t>
      </w:r>
    </w:p>
    <w:p>
      <w:pPr>
        <w:spacing w:before="50" w:after="50"/>
        <w:jc w:val="left"/>
        <w:rPr>
          <w:rFonts w:ascii="黑体" w:hAnsi="黑体" w:eastAsia="黑体" w:cs="黑体"/>
          <w:color w:val="000000"/>
          <w:szCs w:val="21"/>
        </w:rPr>
      </w:pPr>
      <w:r>
        <w:rPr>
          <w:rFonts w:ascii="黑体" w:hAnsi="黑体" w:eastAsia="黑体" w:cs="黑体"/>
          <w:color w:val="000000"/>
          <w:szCs w:val="21"/>
        </w:rPr>
        <w:t xml:space="preserve">5.3.4.2 </w:t>
      </w:r>
      <w:r>
        <w:rPr>
          <w:rFonts w:hint="eastAsia" w:ascii="Times New Roman"/>
          <w:color w:val="000000"/>
          <w:szCs w:val="21"/>
        </w:rPr>
        <w:t>多金属矿区钨尾矿回收后贮存与转运应符合</w:t>
      </w:r>
      <w:r>
        <w:rPr>
          <w:rFonts w:ascii="Times New Roman"/>
          <w:color w:val="000000"/>
          <w:szCs w:val="21"/>
        </w:rPr>
        <w:t>HJ 18599</w:t>
      </w:r>
      <w:r>
        <w:rPr>
          <w:rFonts w:hint="eastAsia" w:ascii="Times New Roman"/>
          <w:color w:val="000000"/>
          <w:szCs w:val="21"/>
        </w:rPr>
        <w:t>有关规定。</w:t>
      </w:r>
    </w:p>
    <w:p>
      <w:pPr>
        <w:pStyle w:val="49"/>
        <w:spacing w:before="156" w:after="156"/>
        <w:outlineLvl w:val="9"/>
        <w:rPr>
          <w:color w:val="000000"/>
        </w:rPr>
      </w:pPr>
      <w:r>
        <w:rPr>
          <w:rFonts w:hint="eastAsia"/>
          <w:color w:val="000000"/>
        </w:rPr>
        <w:t>二次污染控制</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输送多金属矿区钨尾矿的设备应采用密封型输送机，运输车驶入驶出处理场地时应进行冲洗，防止多金属矿区钨尾矿散落污染场地及外部环境。因装卸、设备故障、检修等原因造成洒落的固废应及时清扫和回收。</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固体粉料药剂的输送设备、投加设备、强效搅拌机连接处应密封处理，避免药剂泄漏，造成粉尘污染。</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多金属矿区钨尾矿综合利用过程中产生的废水应全收集、全处理，处理达到地方、行业和国家相关标准要求后，方可回用或排放，防止对地下水及土壤等造成二次污染。</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运输设备、振动电机、搅拌设备须配备降噪设施，控制噪声符合</w:t>
      </w:r>
      <w:r>
        <w:rPr>
          <w:rFonts w:ascii="Times New Roman" w:hAnsi="宋体" w:eastAsia="宋体"/>
          <w:color w:val="000000"/>
          <w:kern w:val="2"/>
        </w:rPr>
        <w:t>GB 3096</w:t>
      </w:r>
      <w:r>
        <w:rPr>
          <w:rFonts w:hint="eastAsia" w:ascii="Times New Roman" w:hAnsi="宋体" w:eastAsia="宋体"/>
          <w:color w:val="000000"/>
          <w:kern w:val="2"/>
        </w:rPr>
        <w:t>和</w:t>
      </w:r>
      <w:r>
        <w:rPr>
          <w:rFonts w:ascii="Times New Roman" w:hAnsi="宋体" w:eastAsia="宋体"/>
          <w:color w:val="000000"/>
          <w:kern w:val="2"/>
        </w:rPr>
        <w:t>GB 12348</w:t>
      </w:r>
      <w:r>
        <w:rPr>
          <w:rFonts w:hint="eastAsia" w:ascii="Times New Roman" w:hAnsi="宋体" w:eastAsia="宋体"/>
          <w:color w:val="000000"/>
          <w:kern w:val="2"/>
        </w:rPr>
        <w:t>有关规定。</w:t>
      </w:r>
    </w:p>
    <w:p>
      <w:pPr>
        <w:pStyle w:val="46"/>
        <w:numPr>
          <w:ilvl w:val="0"/>
          <w:numId w:val="3"/>
        </w:numPr>
        <w:spacing w:before="312" w:after="312"/>
        <w:rPr>
          <w:rFonts w:ascii="Times New Roman"/>
          <w:color w:val="000000"/>
          <w:szCs w:val="22"/>
        </w:rPr>
      </w:pPr>
      <w:bookmarkStart w:id="11" w:name="_Toc92310670"/>
      <w:r>
        <w:rPr>
          <w:rFonts w:hint="eastAsia" w:ascii="Times New Roman"/>
          <w:color w:val="000000"/>
          <w:szCs w:val="22"/>
        </w:rPr>
        <w:t>主要工艺设备和材料</w:t>
      </w:r>
      <w:bookmarkEnd w:id="11"/>
    </w:p>
    <w:p>
      <w:pPr>
        <w:pStyle w:val="49"/>
        <w:spacing w:before="156" w:after="156"/>
        <w:outlineLvl w:val="9"/>
        <w:rPr>
          <w:color w:val="000000"/>
        </w:rPr>
      </w:pPr>
      <w:r>
        <w:rPr>
          <w:rFonts w:hint="eastAsia"/>
          <w:color w:val="000000"/>
        </w:rPr>
        <w:t>一般规定</w:t>
      </w:r>
    </w:p>
    <w:p>
      <w:pPr>
        <w:ind w:firstLine="420" w:firstLineChars="200"/>
        <w:jc w:val="left"/>
        <w:rPr>
          <w:rFonts w:ascii="Times New Roman"/>
          <w:color w:val="000000"/>
          <w:szCs w:val="21"/>
        </w:rPr>
      </w:pPr>
      <w:r>
        <w:rPr>
          <w:rFonts w:hint="eastAsia" w:ascii="Times New Roman"/>
          <w:color w:val="000000"/>
          <w:szCs w:val="21"/>
        </w:rPr>
        <w:t>多金属矿区钨尾矿综合利用工艺的关键设备和材质应进行严格控制。选用质量可靠、运行稳定、高效节能、绿色环保，以及便于运行维护与管理的产品。</w:t>
      </w:r>
    </w:p>
    <w:p>
      <w:pPr>
        <w:pStyle w:val="49"/>
        <w:spacing w:before="156" w:after="156"/>
        <w:outlineLvl w:val="9"/>
        <w:rPr>
          <w:color w:val="000000"/>
        </w:rPr>
      </w:pPr>
      <w:r>
        <w:rPr>
          <w:rFonts w:hint="eastAsia"/>
          <w:color w:val="000000"/>
        </w:rPr>
        <w:t>设备选择</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收集容器应选用密封、防渗、防漏、相容容器，包括包装袋、包装桶、包装箱等。</w:t>
      </w:r>
    </w:p>
    <w:p>
      <w:pPr>
        <w:pStyle w:val="50"/>
        <w:spacing w:beforeLines="0" w:afterLines="0"/>
        <w:rPr>
          <w:rFonts w:ascii="Times New Roman" w:hAnsi="宋体" w:eastAsia="宋体"/>
          <w:color w:val="000000"/>
          <w:kern w:val="2"/>
        </w:rPr>
      </w:pPr>
      <w:bookmarkStart w:id="12" w:name="_Hlk90026445"/>
      <w:r>
        <w:rPr>
          <w:rFonts w:hint="eastAsia" w:ascii="Times New Roman" w:hAnsi="宋体" w:eastAsia="宋体"/>
          <w:color w:val="000000"/>
          <w:kern w:val="2"/>
        </w:rPr>
        <w:t>输送设备宜选用带式输送设备。</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搅拌设备宜选用强效搅拌机、强力捏合机、双轴搅拌机、无重力搅拌器、犁刀式混合机。</w:t>
      </w:r>
    </w:p>
    <w:p>
      <w:pPr>
        <w:pStyle w:val="50"/>
        <w:spacing w:beforeLines="0" w:afterLines="0"/>
      </w:pPr>
      <w:r>
        <w:rPr>
          <w:rFonts w:hint="eastAsia" w:ascii="Times New Roman" w:hAnsi="宋体" w:eastAsia="宋体"/>
          <w:color w:val="000000"/>
          <w:kern w:val="2"/>
        </w:rPr>
        <w:t>粉磨设备安全要求应符合G</w:t>
      </w:r>
      <w:r>
        <w:rPr>
          <w:rFonts w:ascii="Times New Roman" w:hAnsi="宋体" w:eastAsia="宋体"/>
          <w:color w:val="000000"/>
          <w:kern w:val="2"/>
        </w:rPr>
        <w:t>B 25520</w:t>
      </w:r>
      <w:r>
        <w:rPr>
          <w:rFonts w:hint="eastAsia" w:ascii="Times New Roman" w:hAnsi="宋体" w:eastAsia="宋体"/>
          <w:color w:val="000000"/>
          <w:kern w:val="2"/>
        </w:rPr>
        <w:t>有关规定。</w:t>
      </w:r>
    </w:p>
    <w:p>
      <w:pPr>
        <w:pStyle w:val="49"/>
        <w:spacing w:before="156" w:after="156"/>
        <w:outlineLvl w:val="9"/>
        <w:rPr>
          <w:color w:val="000000"/>
        </w:rPr>
      </w:pPr>
      <w:r>
        <w:rPr>
          <w:rFonts w:hint="eastAsia"/>
          <w:color w:val="000000"/>
        </w:rPr>
        <w:t>材料选择</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材料的选择应满足多金属矿区钨尾矿分离回收工艺的特点和技术要求，同时保证系统可靠性和经济性。</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带式输送设备的输送带材质宜选用橡胶、硅胶、聚氯乙烯、聚氨酯等材质。</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搅拌设备主体容器及其构件应采用</w:t>
      </w:r>
      <w:r>
        <w:rPr>
          <w:rFonts w:ascii="Times New Roman" w:hAnsi="宋体" w:eastAsia="宋体"/>
          <w:color w:val="000000"/>
          <w:kern w:val="2"/>
        </w:rPr>
        <w:t>SUS304</w:t>
      </w:r>
      <w:r>
        <w:rPr>
          <w:rFonts w:hint="eastAsia" w:ascii="Times New Roman" w:hAnsi="宋体" w:eastAsia="宋体"/>
          <w:color w:val="000000"/>
          <w:kern w:val="2"/>
        </w:rPr>
        <w:t>不锈钢、合金钢等材质。</w:t>
      </w:r>
    </w:p>
    <w:bookmarkEnd w:id="12"/>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药剂储罐应宜选择</w:t>
      </w:r>
      <w:r>
        <w:rPr>
          <w:rFonts w:ascii="Times New Roman" w:hAnsi="宋体" w:eastAsia="宋体"/>
          <w:color w:val="000000"/>
          <w:kern w:val="2"/>
        </w:rPr>
        <w:t>PVC</w:t>
      </w:r>
      <w:r>
        <w:rPr>
          <w:rFonts w:hint="eastAsia" w:ascii="Times New Roman" w:hAnsi="宋体" w:eastAsia="宋体"/>
          <w:color w:val="000000"/>
          <w:kern w:val="2"/>
        </w:rPr>
        <w:t>材质。</w:t>
      </w:r>
    </w:p>
    <w:p>
      <w:pPr>
        <w:pStyle w:val="46"/>
        <w:numPr>
          <w:ilvl w:val="0"/>
          <w:numId w:val="3"/>
        </w:numPr>
        <w:spacing w:before="312" w:after="312"/>
        <w:rPr>
          <w:rFonts w:ascii="Times New Roman"/>
          <w:color w:val="000000"/>
          <w:szCs w:val="22"/>
        </w:rPr>
      </w:pPr>
      <w:bookmarkStart w:id="13" w:name="_Toc92310671"/>
      <w:r>
        <w:rPr>
          <w:rFonts w:hint="eastAsia" w:ascii="Times New Roman"/>
          <w:color w:val="000000"/>
          <w:szCs w:val="22"/>
        </w:rPr>
        <w:t>检测与过程控制</w:t>
      </w:r>
      <w:bookmarkEnd w:id="13"/>
    </w:p>
    <w:p>
      <w:pPr>
        <w:pStyle w:val="49"/>
        <w:spacing w:beforeLines="0" w:afterLines="0"/>
        <w:outlineLvl w:val="9"/>
        <w:rPr>
          <w:rFonts w:ascii="宋体" w:hAnsi="宋体" w:eastAsia="宋体" w:cs="宋体"/>
          <w:color w:val="000000"/>
        </w:rPr>
      </w:pPr>
      <w:r>
        <w:rPr>
          <w:rFonts w:hint="eastAsia" w:ascii="宋体" w:hAnsi="宋体" w:eastAsia="宋体" w:cs="宋体"/>
          <w:color w:val="000000"/>
        </w:rPr>
        <w:t>多金属矿区钨尾矿综合利用工艺宜设置化验室，并配备相应的检测仪器和设备。</w:t>
      </w:r>
    </w:p>
    <w:p>
      <w:pPr>
        <w:pStyle w:val="49"/>
        <w:spacing w:beforeLines="0" w:afterLines="0"/>
        <w:outlineLvl w:val="9"/>
        <w:rPr>
          <w:rFonts w:ascii="宋体" w:hAnsi="宋体" w:eastAsia="宋体" w:cs="宋体"/>
          <w:color w:val="000000"/>
        </w:rPr>
      </w:pPr>
      <w:r>
        <w:rPr>
          <w:rFonts w:hint="eastAsia" w:ascii="宋体" w:hAnsi="宋体" w:eastAsia="宋体" w:cs="宋体"/>
          <w:color w:val="000000"/>
        </w:rPr>
        <w:t>多金属矿区钨尾矿的采样、制样按</w:t>
      </w:r>
      <w:r>
        <w:rPr>
          <w:rFonts w:ascii="宋体" w:hAnsi="宋体" w:eastAsia="宋体" w:cs="宋体"/>
          <w:color w:val="000000"/>
        </w:rPr>
        <w:t>HJ/T 20</w:t>
      </w:r>
      <w:r>
        <w:rPr>
          <w:rFonts w:hint="eastAsia" w:ascii="宋体" w:hAnsi="宋体" w:eastAsia="宋体" w:cs="宋体"/>
          <w:color w:val="000000"/>
        </w:rPr>
        <w:t>规定的方法执行；采样份数原则上按</w:t>
      </w:r>
      <w:r>
        <w:rPr>
          <w:rFonts w:ascii="宋体" w:hAnsi="宋体" w:eastAsia="宋体" w:cs="宋体"/>
          <w:color w:val="000000"/>
        </w:rPr>
        <w:t>HJ/T 20</w:t>
      </w:r>
      <w:r>
        <w:rPr>
          <w:rFonts w:hint="eastAsia" w:ascii="宋体" w:hAnsi="宋体" w:eastAsia="宋体" w:cs="宋体"/>
          <w:color w:val="000000"/>
        </w:rPr>
        <w:t>规定方法执行，也可根据具体工程特点，在生产设备稳定运行前提下，适当减少采样份数，合理制定采样频次。应确保采集的样品具有该生产时段代表性，不影响工艺效果。</w:t>
      </w:r>
    </w:p>
    <w:p>
      <w:pPr>
        <w:pStyle w:val="49"/>
        <w:spacing w:beforeLines="0" w:afterLines="0"/>
        <w:outlineLvl w:val="9"/>
        <w:rPr>
          <w:rFonts w:ascii="宋体" w:hAnsi="宋体" w:eastAsia="宋体" w:cs="宋体"/>
          <w:color w:val="000000"/>
        </w:rPr>
      </w:pPr>
      <w:r>
        <w:rPr>
          <w:rFonts w:hint="eastAsia" w:ascii="宋体" w:hAnsi="宋体" w:eastAsia="宋体" w:cs="宋体"/>
          <w:color w:val="000000"/>
        </w:rPr>
        <w:t>多金属矿区钨尾矿综合利用在实施前应检测：检测内容包括钨尾矿中金属元素的主要赋存形态、含量、浸出毒性和含水率等相关性质，检测值作为钨尾矿萤石回收和建材化工艺及其参数的设置依据。钨、锡及其他重金属浸出毒性和含水率检测应按</w:t>
      </w:r>
      <w:r>
        <w:rPr>
          <w:rFonts w:ascii="宋体" w:hAnsi="宋体" w:eastAsia="宋体" w:cs="宋体"/>
          <w:color w:val="000000"/>
        </w:rPr>
        <w:t>GB 5085.3</w:t>
      </w:r>
      <w:r>
        <w:rPr>
          <w:rFonts w:hint="eastAsia" w:ascii="宋体" w:hAnsi="宋体" w:eastAsia="宋体" w:cs="宋体"/>
          <w:color w:val="000000"/>
        </w:rPr>
        <w:t>规定方法执行。</w:t>
      </w:r>
    </w:p>
    <w:p>
      <w:pPr>
        <w:pStyle w:val="49"/>
        <w:spacing w:beforeLines="0" w:afterLines="0"/>
        <w:outlineLvl w:val="9"/>
        <w:rPr>
          <w:rFonts w:ascii="宋体" w:hAnsi="宋体" w:eastAsia="宋体" w:cs="宋体"/>
          <w:color w:val="000000"/>
        </w:rPr>
      </w:pPr>
      <w:r>
        <w:rPr>
          <w:rFonts w:hint="eastAsia" w:ascii="宋体" w:hAnsi="宋体" w:eastAsia="宋体" w:cs="宋体"/>
          <w:color w:val="000000"/>
        </w:rPr>
        <w:t>多金属矿区钨尾矿综合利用在实施后应检测：对产品的浸出毒性等相关性质进行检测，检测值作为工艺参数调整依据；对细度、水胶比等性能指标进行检测，并比对</w:t>
      </w:r>
      <w:r>
        <w:rPr>
          <w:rFonts w:ascii="宋体" w:hAnsi="宋体" w:eastAsia="宋体" w:cs="宋体"/>
          <w:color w:val="000000"/>
        </w:rPr>
        <w:t>T/CECS 689</w:t>
      </w:r>
      <w:r>
        <w:rPr>
          <w:rFonts w:hint="eastAsia" w:ascii="宋体" w:hAnsi="宋体" w:eastAsia="宋体" w:cs="宋体"/>
          <w:color w:val="000000"/>
        </w:rPr>
        <w:t>《固废基胶凝材料应用技术规程》相关标准；对机制砂配料生产的机制砂应按J</w:t>
      </w:r>
      <w:r>
        <w:rPr>
          <w:rFonts w:ascii="宋体" w:hAnsi="宋体" w:eastAsia="宋体" w:cs="宋体"/>
          <w:color w:val="000000"/>
        </w:rPr>
        <w:t>T/T819</w:t>
      </w:r>
      <w:r>
        <w:rPr>
          <w:rFonts w:hint="eastAsia" w:ascii="宋体" w:hAnsi="宋体" w:eastAsia="宋体" w:cs="宋体"/>
          <w:color w:val="000000"/>
        </w:rPr>
        <w:t>规定要求执行。</w:t>
      </w:r>
    </w:p>
    <w:p>
      <w:pPr>
        <w:pStyle w:val="49"/>
        <w:spacing w:beforeLines="0" w:afterLines="0"/>
        <w:outlineLvl w:val="9"/>
        <w:rPr>
          <w:rFonts w:ascii="宋体" w:hAnsi="宋体" w:eastAsia="宋体" w:cs="宋体"/>
          <w:color w:val="000000"/>
        </w:rPr>
      </w:pPr>
      <w:r>
        <w:rPr>
          <w:rFonts w:hint="eastAsia" w:ascii="宋体" w:hAnsi="宋体" w:eastAsia="宋体" w:cs="宋体"/>
          <w:color w:val="000000"/>
        </w:rPr>
        <w:t>多金属矿区钨尾矿综合利用实施场所污染监测：应定期对主体设备场所地下水</w:t>
      </w:r>
      <w:r>
        <w:rPr>
          <w:rFonts w:ascii="宋体" w:hAnsi="宋体" w:eastAsia="宋体" w:cs="宋体"/>
          <w:color w:val="000000"/>
        </w:rPr>
        <w:t>pH</w:t>
      </w:r>
      <w:r>
        <w:rPr>
          <w:rFonts w:hint="eastAsia" w:ascii="宋体" w:hAnsi="宋体" w:eastAsia="宋体" w:cs="宋体"/>
          <w:color w:val="000000"/>
        </w:rPr>
        <w:t>、总硬度、</w:t>
      </w:r>
      <w:r>
        <w:rPr>
          <w:rFonts w:ascii="宋体" w:hAnsi="宋体" w:eastAsia="宋体" w:cs="宋体"/>
          <w:color w:val="000000"/>
        </w:rPr>
        <w:t>COD</w:t>
      </w:r>
      <w:r>
        <w:rPr>
          <w:rFonts w:hint="eastAsia" w:ascii="宋体" w:hAnsi="宋体" w:eastAsia="宋体" w:cs="宋体"/>
          <w:color w:val="000000"/>
        </w:rPr>
        <w:t>、磷、砷、铬（六价）、镉、铅、锌、铜、硫酸盐、氯化物、氟化物等相关污染因子进行检测，其限值按照</w:t>
      </w:r>
      <w:r>
        <w:rPr>
          <w:rFonts w:ascii="宋体" w:hAnsi="宋体" w:eastAsia="宋体" w:cs="宋体"/>
          <w:color w:val="000000"/>
        </w:rPr>
        <w:t>GB/T 14848</w:t>
      </w:r>
      <w:r>
        <w:rPr>
          <w:rFonts w:hint="eastAsia" w:ascii="宋体" w:hAnsi="宋体" w:eastAsia="宋体" w:cs="宋体"/>
          <w:color w:val="000000"/>
        </w:rPr>
        <w:t>有关规定执行，磷的限值按照</w:t>
      </w:r>
      <w:r>
        <w:rPr>
          <w:rFonts w:ascii="宋体" w:hAnsi="宋体" w:eastAsia="宋体" w:cs="宋体"/>
          <w:color w:val="000000"/>
        </w:rPr>
        <w:t>GB 8978</w:t>
      </w:r>
      <w:r>
        <w:rPr>
          <w:rFonts w:hint="eastAsia" w:ascii="宋体" w:hAnsi="宋体" w:eastAsia="宋体" w:cs="宋体"/>
          <w:color w:val="000000"/>
        </w:rPr>
        <w:t>有关规定执行。</w:t>
      </w:r>
    </w:p>
    <w:p>
      <w:pPr>
        <w:pStyle w:val="49"/>
        <w:spacing w:beforeLines="0" w:afterLines="0"/>
        <w:outlineLvl w:val="9"/>
        <w:rPr>
          <w:rFonts w:ascii="宋体" w:hAnsi="宋体" w:eastAsia="宋体" w:cs="宋体"/>
          <w:color w:val="000000"/>
        </w:rPr>
      </w:pPr>
      <w:r>
        <w:rPr>
          <w:rFonts w:hint="eastAsia" w:ascii="宋体" w:hAnsi="宋体" w:eastAsia="宋体" w:cs="宋体"/>
          <w:color w:val="000000"/>
        </w:rPr>
        <w:t>应在钨尾矿萤石回收单元、建材化单元等主要生产工序设置生产控制、运行管理所需的检测仪器仪表，实时在线显示运行工况，包括原料给料量、药剂投加量、给水量、酸碱度等参数。</w:t>
      </w:r>
    </w:p>
    <w:p>
      <w:pPr>
        <w:pStyle w:val="49"/>
        <w:spacing w:beforeLines="0" w:afterLines="0"/>
        <w:outlineLvl w:val="9"/>
        <w:rPr>
          <w:rFonts w:ascii="宋体" w:hAnsi="宋体" w:eastAsia="宋体" w:cs="宋体"/>
          <w:color w:val="000000"/>
        </w:rPr>
      </w:pPr>
      <w:r>
        <w:rPr>
          <w:rFonts w:hint="eastAsia" w:ascii="宋体" w:hAnsi="宋体" w:eastAsia="宋体" w:cs="宋体"/>
          <w:color w:val="000000"/>
        </w:rPr>
        <w:t>应设置生产线电力消耗和原料消耗的计量和控制设施，提高能源利用水平。</w:t>
      </w:r>
    </w:p>
    <w:p>
      <w:pPr>
        <w:pStyle w:val="46"/>
        <w:spacing w:before="312" w:after="312"/>
        <w:rPr>
          <w:color w:val="000000"/>
        </w:rPr>
      </w:pPr>
      <w:bookmarkStart w:id="14" w:name="_Toc92310672"/>
      <w:r>
        <w:rPr>
          <w:rFonts w:hint="eastAsia"/>
          <w:color w:val="000000"/>
        </w:rPr>
        <w:t>运行与维护</w:t>
      </w:r>
      <w:bookmarkEnd w:id="14"/>
    </w:p>
    <w:p>
      <w:pPr>
        <w:pStyle w:val="49"/>
        <w:spacing w:before="156" w:after="156"/>
        <w:rPr>
          <w:color w:val="000000"/>
        </w:rPr>
      </w:pPr>
      <w:bookmarkStart w:id="15" w:name="_Toc90029537"/>
      <w:r>
        <w:rPr>
          <w:rFonts w:hint="eastAsia"/>
          <w:color w:val="000000"/>
        </w:rPr>
        <w:t>一般规定</w:t>
      </w:r>
      <w:bookmarkEnd w:id="15"/>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多金属矿区钨尾矿综合利用工艺的运行、维护和安全管理应符合国家现行标准和规范的有关规定。</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企业应建立健全规章制度、岗位操作规程和质量管理等文件。</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企业应建立钨尾矿处理情况台账，内容包括每批尾矿的来源、数量、种类、处理方式、处理时间、处理量、检测结果、最终去向等。</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企业应建立药剂购买、贮存、使用情况台账，内容包括药剂名称、品牌、购买时间及数量、每日投加数量、剩余库存数量。</w:t>
      </w:r>
    </w:p>
    <w:p>
      <w:pPr>
        <w:pStyle w:val="49"/>
        <w:spacing w:before="156" w:after="156"/>
        <w:rPr>
          <w:color w:val="000000"/>
        </w:rPr>
      </w:pPr>
      <w:bookmarkStart w:id="16" w:name="_Toc90029538"/>
      <w:r>
        <w:rPr>
          <w:rFonts w:hint="eastAsia"/>
          <w:color w:val="000000"/>
        </w:rPr>
        <w:t>人员与运行管理</w:t>
      </w:r>
      <w:bookmarkEnd w:id="16"/>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在处理工程启用前，企业应对管理和运行人员进行培训，做到培训考核合格后上岗，并定期对运行人员进行培训及考核。培训内容包括：</w:t>
      </w:r>
    </w:p>
    <w:p>
      <w:pPr>
        <w:pStyle w:val="48"/>
        <w:numPr>
          <w:ilvl w:val="0"/>
          <w:numId w:val="6"/>
        </w:numPr>
        <w:rPr>
          <w:color w:val="000000"/>
        </w:rPr>
      </w:pPr>
      <w:r>
        <w:rPr>
          <w:rFonts w:hint="eastAsia"/>
          <w:color w:val="000000"/>
        </w:rPr>
        <w:t>法律法规；</w:t>
      </w:r>
    </w:p>
    <w:p>
      <w:pPr>
        <w:pStyle w:val="48"/>
        <w:numPr>
          <w:ilvl w:val="0"/>
          <w:numId w:val="6"/>
        </w:numPr>
        <w:rPr>
          <w:color w:val="000000"/>
        </w:rPr>
      </w:pPr>
      <w:r>
        <w:rPr>
          <w:rFonts w:hint="eastAsia"/>
          <w:color w:val="000000"/>
        </w:rPr>
        <w:t>基本原理和工艺流程和岗位操作规程；</w:t>
      </w:r>
    </w:p>
    <w:p>
      <w:pPr>
        <w:pStyle w:val="48"/>
        <w:numPr>
          <w:ilvl w:val="0"/>
          <w:numId w:val="6"/>
        </w:numPr>
        <w:rPr>
          <w:color w:val="000000"/>
        </w:rPr>
      </w:pPr>
      <w:r>
        <w:rPr>
          <w:rFonts w:hint="eastAsia"/>
          <w:color w:val="000000"/>
        </w:rPr>
        <w:t>正常运行情况下设备的控制、报警和指示系统的状态和检查，保持设备良好运行的条件；</w:t>
      </w:r>
    </w:p>
    <w:p>
      <w:pPr>
        <w:pStyle w:val="48"/>
        <w:numPr>
          <w:ilvl w:val="0"/>
          <w:numId w:val="6"/>
        </w:numPr>
        <w:rPr>
          <w:color w:val="000000"/>
        </w:rPr>
      </w:pPr>
      <w:r>
        <w:rPr>
          <w:rFonts w:hint="eastAsia"/>
          <w:color w:val="000000"/>
        </w:rPr>
        <w:t>设备日常和定期维护，运行故障的发现、检查和排除；</w:t>
      </w:r>
    </w:p>
    <w:p>
      <w:pPr>
        <w:pStyle w:val="48"/>
        <w:numPr>
          <w:ilvl w:val="0"/>
          <w:numId w:val="6"/>
        </w:numPr>
        <w:rPr>
          <w:color w:val="000000"/>
        </w:rPr>
      </w:pPr>
      <w:r>
        <w:rPr>
          <w:rFonts w:hint="eastAsia"/>
          <w:color w:val="000000"/>
        </w:rPr>
        <w:t>事故和紧急状态下人工操作和事故排除方法；</w:t>
      </w:r>
    </w:p>
    <w:p>
      <w:pPr>
        <w:pStyle w:val="48"/>
        <w:numPr>
          <w:ilvl w:val="0"/>
          <w:numId w:val="6"/>
        </w:numPr>
        <w:rPr>
          <w:color w:val="000000"/>
        </w:rPr>
      </w:pPr>
      <w:r>
        <w:rPr>
          <w:rFonts w:hint="eastAsia"/>
          <w:color w:val="000000"/>
        </w:rPr>
        <w:t>安全隐患和安全防护措施。</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运行人员应严格按照操作规程作业，如实填写运行状况、设施维护记录，并妥善保存。</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运行人员应遵守企业规定的巡视制度和交接班制度。</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实验及检测人员应具备基础实验能力，掌握</w:t>
      </w:r>
      <w:r>
        <w:rPr>
          <w:rFonts w:ascii="Times New Roman" w:hAnsi="宋体" w:eastAsia="宋体"/>
          <w:color w:val="000000"/>
          <w:kern w:val="2"/>
        </w:rPr>
        <w:t>HJ/T 20</w:t>
      </w:r>
      <w:r>
        <w:rPr>
          <w:rFonts w:hint="eastAsia" w:ascii="Times New Roman" w:hAnsi="宋体" w:eastAsia="宋体"/>
          <w:color w:val="000000"/>
          <w:kern w:val="2"/>
        </w:rPr>
        <w:t>规定的采样、制样方法，掌握</w:t>
      </w:r>
      <w:r>
        <w:rPr>
          <w:rFonts w:ascii="Times New Roman" w:hAnsi="宋体" w:eastAsia="宋体"/>
          <w:color w:val="000000"/>
          <w:kern w:val="2"/>
        </w:rPr>
        <w:t>GB 5085.3</w:t>
      </w:r>
      <w:r>
        <w:rPr>
          <w:rFonts w:hint="eastAsia" w:ascii="Times New Roman" w:hAnsi="宋体" w:eastAsia="宋体"/>
          <w:color w:val="000000"/>
          <w:kern w:val="2"/>
        </w:rPr>
        <w:t>规定的相关分析方法，熟练操作常规检测设备。</w:t>
      </w:r>
    </w:p>
    <w:p>
      <w:pPr>
        <w:pStyle w:val="49"/>
        <w:spacing w:before="156" w:after="156"/>
        <w:rPr>
          <w:color w:val="000000"/>
        </w:rPr>
      </w:pPr>
      <w:bookmarkStart w:id="17" w:name="_Toc90029539"/>
      <w:r>
        <w:rPr>
          <w:rFonts w:hint="eastAsia"/>
          <w:color w:val="000000"/>
        </w:rPr>
        <w:t>维护</w:t>
      </w:r>
      <w:bookmarkEnd w:id="17"/>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应制定设备维护计划。</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维护人员应根据计划定期检查、维护和更换必要的部件和材料。</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维护人员应做好相关记录。</w:t>
      </w:r>
    </w:p>
    <w:p>
      <w:pPr>
        <w:pStyle w:val="49"/>
        <w:spacing w:before="156" w:after="156"/>
        <w:rPr>
          <w:color w:val="000000"/>
        </w:rPr>
      </w:pPr>
      <w:bookmarkStart w:id="18" w:name="_Toc90029540"/>
      <w:r>
        <w:rPr>
          <w:rFonts w:hint="eastAsia"/>
          <w:color w:val="000000"/>
        </w:rPr>
        <w:t>应急措施</w:t>
      </w:r>
      <w:bookmarkEnd w:id="18"/>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多金属矿区钨尾矿综合利用工艺的运营管理部门应编制应急预案，包括生产事故应急预案、环保事故应急预案。生产事故应急预案包括通用工程停电应急、设备故障应急、火灾、人员受伤等。环保事故应急预案包括液体或固体粉料药剂泄漏。</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应急预案应包括应急预警、应急响应、应急指挥、应急处理等方面的内容。企业应制定相应的应急处理措施，并配套相应的人力、设备、通讯等应急处理的必备条件。</w:t>
      </w:r>
    </w:p>
    <w:p>
      <w:pPr>
        <w:pStyle w:val="50"/>
        <w:spacing w:beforeLines="0" w:afterLines="0"/>
        <w:rPr>
          <w:rFonts w:ascii="Times New Roman" w:hAnsi="宋体" w:eastAsia="宋体"/>
          <w:color w:val="000000"/>
          <w:kern w:val="2"/>
        </w:rPr>
      </w:pPr>
      <w:r>
        <w:rPr>
          <w:rFonts w:hint="eastAsia" w:ascii="Times New Roman" w:hAnsi="宋体" w:eastAsia="宋体"/>
          <w:color w:val="000000"/>
          <w:kern w:val="2"/>
        </w:rPr>
        <w:t>处理设施发生异常情况或重大事故时，应启用应急处理措施，并按应急预案中的规定向有关主管部门报告。</w:t>
      </w:r>
    </w:p>
    <w:p>
      <w:pPr>
        <w:jc w:val="center"/>
        <w:outlineLvl w:val="0"/>
        <w:rPr>
          <w:rFonts w:ascii="Times New Roman" w:hAnsi="Times New Roman" w:eastAsia="黑体"/>
          <w:color w:val="000000"/>
          <w:kern w:val="0"/>
          <w:szCs w:val="21"/>
        </w:rPr>
      </w:pPr>
    </w:p>
    <w:p>
      <w:pPr>
        <w:jc w:val="center"/>
        <w:outlineLvl w:val="0"/>
        <w:rPr>
          <w:rFonts w:ascii="Times New Roman" w:hAnsi="Times New Roman" w:eastAsia="黑体"/>
          <w:color w:val="000000"/>
          <w:kern w:val="0"/>
          <w:szCs w:val="21"/>
        </w:rPr>
      </w:pPr>
    </w:p>
    <w:p>
      <w:pPr>
        <w:jc w:val="center"/>
        <w:outlineLvl w:val="0"/>
        <w:rPr>
          <w:rFonts w:ascii="Times New Roman" w:hAnsi="Times New Roman" w:eastAsia="黑体"/>
          <w:color w:val="000000"/>
          <w:kern w:val="0"/>
          <w:szCs w:val="21"/>
        </w:rPr>
      </w:pPr>
    </w:p>
    <w:p>
      <w:pPr>
        <w:jc w:val="center"/>
        <w:outlineLvl w:val="0"/>
        <w:rPr>
          <w:rFonts w:ascii="Times New Roman" w:hAnsi="Times New Roman" w:eastAsia="黑体"/>
          <w:color w:val="000000"/>
          <w:kern w:val="0"/>
          <w:szCs w:val="21"/>
        </w:rPr>
      </w:pPr>
    </w:p>
    <w:p>
      <w:pPr>
        <w:jc w:val="center"/>
        <w:outlineLvl w:val="0"/>
        <w:rPr>
          <w:rFonts w:ascii="Times New Roman" w:hAnsi="Times New Roman" w:eastAsia="黑体"/>
          <w:color w:val="000000"/>
          <w:kern w:val="0"/>
          <w:szCs w:val="21"/>
        </w:rPr>
      </w:pPr>
    </w:p>
    <w:p>
      <w:pPr>
        <w:jc w:val="center"/>
        <w:outlineLvl w:val="0"/>
        <w:rPr>
          <w:rFonts w:hint="default" w:ascii="Times New Roman" w:hAnsi="Times New Roman" w:eastAsia="黑体"/>
          <w:color w:val="000000"/>
          <w:kern w:val="0"/>
          <w:szCs w:val="21"/>
          <w:lang w:val="en-US" w:eastAsia="zh-CN"/>
        </w:rPr>
      </w:pPr>
      <w:r>
        <w:rPr>
          <w:rFonts w:hint="eastAsia" w:ascii="Times New Roman" w:hAnsi="Times New Roman" w:eastAsia="黑体"/>
          <w:color w:val="000000"/>
          <w:kern w:val="0"/>
          <w:szCs w:val="21"/>
          <w:lang w:val="en-US" w:eastAsia="zh-CN"/>
        </w:rPr>
        <w:t>_________________________________</w:t>
      </w:r>
      <w:bookmarkStart w:id="19" w:name="_GoBack"/>
      <w:bookmarkEnd w:id="19"/>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38100" cy="131445"/>
              <wp:effectExtent l="0" t="0" r="254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wps:spPr>
                    <wps:txbx>
                      <w:txbxContent>
                        <w:p>
                          <w:pPr>
                            <w:pStyle w:val="7"/>
                          </w:pPr>
                          <w:r>
                            <w:fldChar w:fldCharType="begin"/>
                          </w:r>
                          <w:r>
                            <w:instrText xml:space="preserve"> PAGE  \* MERGEFORMAT </w:instrText>
                          </w:r>
                          <w:r>
                            <w:fldChar w:fldCharType="separate"/>
                          </w:r>
                          <w:r>
                            <w:t>II</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3pt;mso-position-horizontal:right;mso-position-horizontal-relative:margin;mso-wrap-style:none;z-index:251658240;mso-width-relative:page;mso-height-relative:page;" filled="f" stroked="f" coordsize="21600,21600" o:gfxdata="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1i/cjzwAAAAIBAAAPAAAAAAAAAAEAIAAA&#10;ACIAAABkcnMvZG93bnJldi54bWxQSwECFAAUAAAACACHTuJAQJi7UtwBAACyAwAADgAAAAAAAAAB&#10;ACAAAAAeAQAAZHJzL2Uyb0RvYy54bWxQSwUGAAAAAAYABgBZAQAAb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57785" cy="131445"/>
              <wp:effectExtent l="0" t="0" r="254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7"/>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4.55pt;mso-position-horizontal:outside;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i91E0AAAAAIBAAAPAAAAAAAAAAEA&#10;IAAAACIAAABkcnMvZG93bnJldi54bWxQSwECFAAUAAAACACHTuJAALLMwN4BAACyAwAADgAAAAAA&#10;AAABACAAAAAfAQAAZHJzL2Uyb0RvYy54bWxQSwUGAAAAAAYABgBZAQAAb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T/CNIA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46"/>
      <w:suff w:val="nothing"/>
      <w:lvlText w:val="%1　"/>
      <w:lvlJc w:val="left"/>
      <w:rPr>
        <w:rFonts w:hint="eastAsia" w:ascii="黑体" w:hAnsi="Times New Roman" w:eastAsia="黑体" w:cs="Times New Roman"/>
        <w:b w:val="0"/>
        <w:i w:val="0"/>
        <w:sz w:val="21"/>
        <w:szCs w:val="21"/>
      </w:rPr>
    </w:lvl>
    <w:lvl w:ilvl="1" w:tentative="0">
      <w:start w:val="1"/>
      <w:numFmt w:val="decimal"/>
      <w:pStyle w:val="49"/>
      <w:suff w:val="nothing"/>
      <w:lvlText w:val="%1.%2　"/>
      <w:lvlJc w:val="left"/>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44C50F90"/>
    <w:multiLevelType w:val="multilevel"/>
    <w:tmpl w:val="44C50F90"/>
    <w:lvl w:ilvl="0" w:tentative="0">
      <w:start w:val="1"/>
      <w:numFmt w:val="lowerLetter"/>
      <w:pStyle w:val="48"/>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characterSpacingControl w:val="doNotCompress"/>
  <w:noLineBreaksAfter w:lang="zh-CN" w:val="$([{£¥·‘“〈《「『【〔〖〝﹙﹛﹝＄（．［｛￡￥"/>
  <w:noLineBreaksBefore w:lang="zh-CN" w:val="!%),.:;&gt;?]}¢¨°·ˇˉ―‖’”…‰′″›℃∶、。〃〉》」』】〕〗〞︶︺︾﹀﹄﹚﹜﹞！＂％＇），．：；？］｀｜｝～￠"/>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56"/>
    <w:rsid w:val="0000107C"/>
    <w:rsid w:val="000042EC"/>
    <w:rsid w:val="0001093C"/>
    <w:rsid w:val="00010E46"/>
    <w:rsid w:val="000119CA"/>
    <w:rsid w:val="00012C4E"/>
    <w:rsid w:val="000206DE"/>
    <w:rsid w:val="000220B6"/>
    <w:rsid w:val="00025231"/>
    <w:rsid w:val="00032471"/>
    <w:rsid w:val="00035924"/>
    <w:rsid w:val="000413A2"/>
    <w:rsid w:val="00041729"/>
    <w:rsid w:val="00047704"/>
    <w:rsid w:val="000509EB"/>
    <w:rsid w:val="00051833"/>
    <w:rsid w:val="0006366C"/>
    <w:rsid w:val="00064671"/>
    <w:rsid w:val="00065803"/>
    <w:rsid w:val="000666A7"/>
    <w:rsid w:val="00067AEC"/>
    <w:rsid w:val="00071C03"/>
    <w:rsid w:val="000726F7"/>
    <w:rsid w:val="00074530"/>
    <w:rsid w:val="00075C57"/>
    <w:rsid w:val="000771B9"/>
    <w:rsid w:val="00080AAE"/>
    <w:rsid w:val="00081946"/>
    <w:rsid w:val="000863CA"/>
    <w:rsid w:val="00090EDE"/>
    <w:rsid w:val="000920ED"/>
    <w:rsid w:val="0009253E"/>
    <w:rsid w:val="00093124"/>
    <w:rsid w:val="00093385"/>
    <w:rsid w:val="000958AC"/>
    <w:rsid w:val="00096A6D"/>
    <w:rsid w:val="000A1276"/>
    <w:rsid w:val="000A13C9"/>
    <w:rsid w:val="000A2227"/>
    <w:rsid w:val="000A2A92"/>
    <w:rsid w:val="000A4BAB"/>
    <w:rsid w:val="000B18C1"/>
    <w:rsid w:val="000C279E"/>
    <w:rsid w:val="000C38AD"/>
    <w:rsid w:val="000C4AB5"/>
    <w:rsid w:val="000C553A"/>
    <w:rsid w:val="000C79FE"/>
    <w:rsid w:val="000D02F9"/>
    <w:rsid w:val="000D2053"/>
    <w:rsid w:val="000D3213"/>
    <w:rsid w:val="000D50CD"/>
    <w:rsid w:val="000D63AB"/>
    <w:rsid w:val="000D7E3A"/>
    <w:rsid w:val="000E2016"/>
    <w:rsid w:val="000E24F9"/>
    <w:rsid w:val="000E2E8D"/>
    <w:rsid w:val="000E4835"/>
    <w:rsid w:val="000F0D26"/>
    <w:rsid w:val="000F0F68"/>
    <w:rsid w:val="000F145D"/>
    <w:rsid w:val="000F4B0F"/>
    <w:rsid w:val="000F5F06"/>
    <w:rsid w:val="000F6624"/>
    <w:rsid w:val="000F7603"/>
    <w:rsid w:val="001005E9"/>
    <w:rsid w:val="00102369"/>
    <w:rsid w:val="001029A4"/>
    <w:rsid w:val="00114327"/>
    <w:rsid w:val="001158B8"/>
    <w:rsid w:val="001252FD"/>
    <w:rsid w:val="00125F2A"/>
    <w:rsid w:val="0012601F"/>
    <w:rsid w:val="0013069E"/>
    <w:rsid w:val="00130C98"/>
    <w:rsid w:val="001321F0"/>
    <w:rsid w:val="00137123"/>
    <w:rsid w:val="00140A73"/>
    <w:rsid w:val="0014537E"/>
    <w:rsid w:val="00151ECB"/>
    <w:rsid w:val="0015400C"/>
    <w:rsid w:val="001554D8"/>
    <w:rsid w:val="00156405"/>
    <w:rsid w:val="00156609"/>
    <w:rsid w:val="00156D69"/>
    <w:rsid w:val="0016323F"/>
    <w:rsid w:val="001636FC"/>
    <w:rsid w:val="001672E8"/>
    <w:rsid w:val="00170710"/>
    <w:rsid w:val="00170A99"/>
    <w:rsid w:val="0017146A"/>
    <w:rsid w:val="00176977"/>
    <w:rsid w:val="00180C9D"/>
    <w:rsid w:val="001822A2"/>
    <w:rsid w:val="001829BC"/>
    <w:rsid w:val="00186FD2"/>
    <w:rsid w:val="0019001B"/>
    <w:rsid w:val="001928CA"/>
    <w:rsid w:val="00192AF1"/>
    <w:rsid w:val="00193FBD"/>
    <w:rsid w:val="00194593"/>
    <w:rsid w:val="0019584D"/>
    <w:rsid w:val="00196A3C"/>
    <w:rsid w:val="00197A81"/>
    <w:rsid w:val="001A0388"/>
    <w:rsid w:val="001A17E3"/>
    <w:rsid w:val="001A2AF1"/>
    <w:rsid w:val="001B2016"/>
    <w:rsid w:val="001B6AED"/>
    <w:rsid w:val="001B7AD9"/>
    <w:rsid w:val="001C349D"/>
    <w:rsid w:val="001D03F9"/>
    <w:rsid w:val="001E0F4F"/>
    <w:rsid w:val="001E29EF"/>
    <w:rsid w:val="001E2A67"/>
    <w:rsid w:val="001E7F01"/>
    <w:rsid w:val="001F1B08"/>
    <w:rsid w:val="001F1EA3"/>
    <w:rsid w:val="001F1F5E"/>
    <w:rsid w:val="001F7852"/>
    <w:rsid w:val="00202698"/>
    <w:rsid w:val="00204E11"/>
    <w:rsid w:val="002057D6"/>
    <w:rsid w:val="00205D1B"/>
    <w:rsid w:val="0020638D"/>
    <w:rsid w:val="00211606"/>
    <w:rsid w:val="002138C0"/>
    <w:rsid w:val="002138F0"/>
    <w:rsid w:val="00216147"/>
    <w:rsid w:val="00216A6D"/>
    <w:rsid w:val="002207E7"/>
    <w:rsid w:val="00221E50"/>
    <w:rsid w:val="00222114"/>
    <w:rsid w:val="0022324D"/>
    <w:rsid w:val="00225FBF"/>
    <w:rsid w:val="00227067"/>
    <w:rsid w:val="00231EF3"/>
    <w:rsid w:val="00233031"/>
    <w:rsid w:val="00245461"/>
    <w:rsid w:val="0025045E"/>
    <w:rsid w:val="002515CE"/>
    <w:rsid w:val="00263342"/>
    <w:rsid w:val="00264C48"/>
    <w:rsid w:val="00266EDF"/>
    <w:rsid w:val="002671A8"/>
    <w:rsid w:val="00270A1A"/>
    <w:rsid w:val="00276EDE"/>
    <w:rsid w:val="0028463D"/>
    <w:rsid w:val="00286215"/>
    <w:rsid w:val="00290654"/>
    <w:rsid w:val="0029195E"/>
    <w:rsid w:val="002921A5"/>
    <w:rsid w:val="002967B5"/>
    <w:rsid w:val="00296C31"/>
    <w:rsid w:val="00297BA0"/>
    <w:rsid w:val="002A0DED"/>
    <w:rsid w:val="002A2229"/>
    <w:rsid w:val="002A2DBC"/>
    <w:rsid w:val="002A3DAF"/>
    <w:rsid w:val="002A4EEA"/>
    <w:rsid w:val="002A6F61"/>
    <w:rsid w:val="002B10BC"/>
    <w:rsid w:val="002C025D"/>
    <w:rsid w:val="002C0BC9"/>
    <w:rsid w:val="002C1CA8"/>
    <w:rsid w:val="002C24EA"/>
    <w:rsid w:val="002C2AF5"/>
    <w:rsid w:val="002C5D83"/>
    <w:rsid w:val="002C7DE0"/>
    <w:rsid w:val="002D0C53"/>
    <w:rsid w:val="002D12DC"/>
    <w:rsid w:val="002D18F0"/>
    <w:rsid w:val="002D2EE0"/>
    <w:rsid w:val="002D5384"/>
    <w:rsid w:val="002D6F27"/>
    <w:rsid w:val="002D7A03"/>
    <w:rsid w:val="002E2DA8"/>
    <w:rsid w:val="002E38BD"/>
    <w:rsid w:val="002E4571"/>
    <w:rsid w:val="002E4BCC"/>
    <w:rsid w:val="002E55B4"/>
    <w:rsid w:val="002E6820"/>
    <w:rsid w:val="002E7360"/>
    <w:rsid w:val="002F060F"/>
    <w:rsid w:val="002F0DCC"/>
    <w:rsid w:val="002F2447"/>
    <w:rsid w:val="002F34F4"/>
    <w:rsid w:val="002F390A"/>
    <w:rsid w:val="002F3B65"/>
    <w:rsid w:val="002F425B"/>
    <w:rsid w:val="00302E98"/>
    <w:rsid w:val="0030336D"/>
    <w:rsid w:val="003066AB"/>
    <w:rsid w:val="00307703"/>
    <w:rsid w:val="00307C81"/>
    <w:rsid w:val="003104FE"/>
    <w:rsid w:val="00310790"/>
    <w:rsid w:val="0031085F"/>
    <w:rsid w:val="00311158"/>
    <w:rsid w:val="00311A11"/>
    <w:rsid w:val="00314A72"/>
    <w:rsid w:val="0032153E"/>
    <w:rsid w:val="0032444B"/>
    <w:rsid w:val="003259F2"/>
    <w:rsid w:val="00325D28"/>
    <w:rsid w:val="0033160B"/>
    <w:rsid w:val="00333B26"/>
    <w:rsid w:val="00333CF4"/>
    <w:rsid w:val="00333E31"/>
    <w:rsid w:val="00334C5D"/>
    <w:rsid w:val="0034145F"/>
    <w:rsid w:val="00345B90"/>
    <w:rsid w:val="00347471"/>
    <w:rsid w:val="00351F82"/>
    <w:rsid w:val="00361FDC"/>
    <w:rsid w:val="00363C70"/>
    <w:rsid w:val="00367B30"/>
    <w:rsid w:val="003739C3"/>
    <w:rsid w:val="00377485"/>
    <w:rsid w:val="00384441"/>
    <w:rsid w:val="00384EDF"/>
    <w:rsid w:val="00385885"/>
    <w:rsid w:val="00390F93"/>
    <w:rsid w:val="00390FE6"/>
    <w:rsid w:val="003912AC"/>
    <w:rsid w:val="003A417B"/>
    <w:rsid w:val="003A428D"/>
    <w:rsid w:val="003A7AF4"/>
    <w:rsid w:val="003B08ED"/>
    <w:rsid w:val="003B4EE3"/>
    <w:rsid w:val="003C2F99"/>
    <w:rsid w:val="003C5336"/>
    <w:rsid w:val="003C6DAA"/>
    <w:rsid w:val="003C6FF1"/>
    <w:rsid w:val="003D10F3"/>
    <w:rsid w:val="003D2CE5"/>
    <w:rsid w:val="003D3942"/>
    <w:rsid w:val="003D3A81"/>
    <w:rsid w:val="003D4570"/>
    <w:rsid w:val="003D49D7"/>
    <w:rsid w:val="003E3395"/>
    <w:rsid w:val="003E3EA9"/>
    <w:rsid w:val="003E6788"/>
    <w:rsid w:val="003E7352"/>
    <w:rsid w:val="003F13D9"/>
    <w:rsid w:val="003F34C5"/>
    <w:rsid w:val="003F3500"/>
    <w:rsid w:val="003F3A22"/>
    <w:rsid w:val="003F47A7"/>
    <w:rsid w:val="004018D5"/>
    <w:rsid w:val="004018F2"/>
    <w:rsid w:val="00410104"/>
    <w:rsid w:val="00410972"/>
    <w:rsid w:val="004163FE"/>
    <w:rsid w:val="00420C0D"/>
    <w:rsid w:val="00432FE0"/>
    <w:rsid w:val="00434900"/>
    <w:rsid w:val="00434E8E"/>
    <w:rsid w:val="00435BB3"/>
    <w:rsid w:val="00436B30"/>
    <w:rsid w:val="004377F8"/>
    <w:rsid w:val="00440F47"/>
    <w:rsid w:val="0045173C"/>
    <w:rsid w:val="00453B18"/>
    <w:rsid w:val="004548CF"/>
    <w:rsid w:val="004579E8"/>
    <w:rsid w:val="00461B64"/>
    <w:rsid w:val="004621D9"/>
    <w:rsid w:val="00466076"/>
    <w:rsid w:val="00466A11"/>
    <w:rsid w:val="0047015A"/>
    <w:rsid w:val="00471930"/>
    <w:rsid w:val="00472E80"/>
    <w:rsid w:val="004735EF"/>
    <w:rsid w:val="00474A24"/>
    <w:rsid w:val="004754F7"/>
    <w:rsid w:val="00475D2B"/>
    <w:rsid w:val="00480D18"/>
    <w:rsid w:val="00491650"/>
    <w:rsid w:val="00494738"/>
    <w:rsid w:val="004953C6"/>
    <w:rsid w:val="00495FE9"/>
    <w:rsid w:val="004B0805"/>
    <w:rsid w:val="004B2AC0"/>
    <w:rsid w:val="004B3E3A"/>
    <w:rsid w:val="004B4160"/>
    <w:rsid w:val="004B417D"/>
    <w:rsid w:val="004B5025"/>
    <w:rsid w:val="004C0F56"/>
    <w:rsid w:val="004C19A5"/>
    <w:rsid w:val="004C2632"/>
    <w:rsid w:val="004C5CBF"/>
    <w:rsid w:val="004C6B76"/>
    <w:rsid w:val="004D34C6"/>
    <w:rsid w:val="004F03A8"/>
    <w:rsid w:val="004F1D3F"/>
    <w:rsid w:val="004F49E7"/>
    <w:rsid w:val="004F733A"/>
    <w:rsid w:val="0050047C"/>
    <w:rsid w:val="00500FC0"/>
    <w:rsid w:val="0050373D"/>
    <w:rsid w:val="005042F8"/>
    <w:rsid w:val="00506D55"/>
    <w:rsid w:val="00510978"/>
    <w:rsid w:val="005114D3"/>
    <w:rsid w:val="00517253"/>
    <w:rsid w:val="00525B57"/>
    <w:rsid w:val="00525D95"/>
    <w:rsid w:val="00527049"/>
    <w:rsid w:val="00527CCE"/>
    <w:rsid w:val="005314E7"/>
    <w:rsid w:val="00542802"/>
    <w:rsid w:val="005442E2"/>
    <w:rsid w:val="0054671F"/>
    <w:rsid w:val="00552ECC"/>
    <w:rsid w:val="005575B7"/>
    <w:rsid w:val="005603B0"/>
    <w:rsid w:val="00560785"/>
    <w:rsid w:val="005636D3"/>
    <w:rsid w:val="00565AD3"/>
    <w:rsid w:val="00566324"/>
    <w:rsid w:val="00571576"/>
    <w:rsid w:val="00572471"/>
    <w:rsid w:val="00572592"/>
    <w:rsid w:val="00574059"/>
    <w:rsid w:val="0058549C"/>
    <w:rsid w:val="00585DB6"/>
    <w:rsid w:val="00590B37"/>
    <w:rsid w:val="00592564"/>
    <w:rsid w:val="005B0054"/>
    <w:rsid w:val="005B0F0E"/>
    <w:rsid w:val="005B11C5"/>
    <w:rsid w:val="005B17E5"/>
    <w:rsid w:val="005B1D64"/>
    <w:rsid w:val="005B6D96"/>
    <w:rsid w:val="005C640D"/>
    <w:rsid w:val="005D4863"/>
    <w:rsid w:val="005D6E2E"/>
    <w:rsid w:val="005D7CE4"/>
    <w:rsid w:val="005E4B1B"/>
    <w:rsid w:val="005E5143"/>
    <w:rsid w:val="005F795E"/>
    <w:rsid w:val="00606F6C"/>
    <w:rsid w:val="00607F97"/>
    <w:rsid w:val="00612A6B"/>
    <w:rsid w:val="006134AD"/>
    <w:rsid w:val="0061454E"/>
    <w:rsid w:val="00614D99"/>
    <w:rsid w:val="0062110A"/>
    <w:rsid w:val="006243F7"/>
    <w:rsid w:val="006244F9"/>
    <w:rsid w:val="00631BB2"/>
    <w:rsid w:val="00633E44"/>
    <w:rsid w:val="00633E4E"/>
    <w:rsid w:val="00637163"/>
    <w:rsid w:val="006374EA"/>
    <w:rsid w:val="00640CA4"/>
    <w:rsid w:val="0064562D"/>
    <w:rsid w:val="006507A6"/>
    <w:rsid w:val="00650D07"/>
    <w:rsid w:val="0065225C"/>
    <w:rsid w:val="00652F06"/>
    <w:rsid w:val="006538D0"/>
    <w:rsid w:val="00653DB4"/>
    <w:rsid w:val="006568D0"/>
    <w:rsid w:val="006622FD"/>
    <w:rsid w:val="006625BD"/>
    <w:rsid w:val="00671446"/>
    <w:rsid w:val="00671925"/>
    <w:rsid w:val="006728FB"/>
    <w:rsid w:val="00696060"/>
    <w:rsid w:val="006A107C"/>
    <w:rsid w:val="006A1419"/>
    <w:rsid w:val="006A1E9A"/>
    <w:rsid w:val="006A4D0C"/>
    <w:rsid w:val="006A6DE9"/>
    <w:rsid w:val="006A7145"/>
    <w:rsid w:val="006B010D"/>
    <w:rsid w:val="006B3C0F"/>
    <w:rsid w:val="006B474A"/>
    <w:rsid w:val="006C1C34"/>
    <w:rsid w:val="006C3D5C"/>
    <w:rsid w:val="006C7CC4"/>
    <w:rsid w:val="006D14F3"/>
    <w:rsid w:val="006D2E3A"/>
    <w:rsid w:val="006D3A31"/>
    <w:rsid w:val="006E4E2E"/>
    <w:rsid w:val="006F1ACC"/>
    <w:rsid w:val="006F25AF"/>
    <w:rsid w:val="006F26BC"/>
    <w:rsid w:val="006F5E27"/>
    <w:rsid w:val="007012D7"/>
    <w:rsid w:val="007045A9"/>
    <w:rsid w:val="00704AF5"/>
    <w:rsid w:val="00706A54"/>
    <w:rsid w:val="0071435F"/>
    <w:rsid w:val="00714649"/>
    <w:rsid w:val="007175AA"/>
    <w:rsid w:val="00727B57"/>
    <w:rsid w:val="00730472"/>
    <w:rsid w:val="007316DD"/>
    <w:rsid w:val="007318DC"/>
    <w:rsid w:val="00736570"/>
    <w:rsid w:val="00736611"/>
    <w:rsid w:val="00750128"/>
    <w:rsid w:val="007522FE"/>
    <w:rsid w:val="007551F6"/>
    <w:rsid w:val="00756F3B"/>
    <w:rsid w:val="00760748"/>
    <w:rsid w:val="00760AC1"/>
    <w:rsid w:val="00763456"/>
    <w:rsid w:val="00765E2E"/>
    <w:rsid w:val="007667E4"/>
    <w:rsid w:val="00767AA3"/>
    <w:rsid w:val="00772ECA"/>
    <w:rsid w:val="007760CE"/>
    <w:rsid w:val="00782DF0"/>
    <w:rsid w:val="00783353"/>
    <w:rsid w:val="00785F9C"/>
    <w:rsid w:val="00787C78"/>
    <w:rsid w:val="00791DE6"/>
    <w:rsid w:val="0079342A"/>
    <w:rsid w:val="0079559D"/>
    <w:rsid w:val="00796345"/>
    <w:rsid w:val="00796D17"/>
    <w:rsid w:val="007A27A8"/>
    <w:rsid w:val="007B2373"/>
    <w:rsid w:val="007B43B7"/>
    <w:rsid w:val="007B556B"/>
    <w:rsid w:val="007B695E"/>
    <w:rsid w:val="007B6B45"/>
    <w:rsid w:val="007B747A"/>
    <w:rsid w:val="007C0462"/>
    <w:rsid w:val="007C12C6"/>
    <w:rsid w:val="007C6E58"/>
    <w:rsid w:val="007D17D3"/>
    <w:rsid w:val="007D55E2"/>
    <w:rsid w:val="007D6E5C"/>
    <w:rsid w:val="007D7BAA"/>
    <w:rsid w:val="007E1E4E"/>
    <w:rsid w:val="007E3127"/>
    <w:rsid w:val="007E5119"/>
    <w:rsid w:val="007E5AE6"/>
    <w:rsid w:val="007F07CE"/>
    <w:rsid w:val="007F145D"/>
    <w:rsid w:val="007F1E56"/>
    <w:rsid w:val="007F21A6"/>
    <w:rsid w:val="007F3F8A"/>
    <w:rsid w:val="007F5530"/>
    <w:rsid w:val="007F5DB3"/>
    <w:rsid w:val="007F7622"/>
    <w:rsid w:val="007F7BD5"/>
    <w:rsid w:val="008008CC"/>
    <w:rsid w:val="00802D85"/>
    <w:rsid w:val="0080507A"/>
    <w:rsid w:val="008056A0"/>
    <w:rsid w:val="00814608"/>
    <w:rsid w:val="00816278"/>
    <w:rsid w:val="00827DAA"/>
    <w:rsid w:val="00831D35"/>
    <w:rsid w:val="00831ED1"/>
    <w:rsid w:val="008329BE"/>
    <w:rsid w:val="00834A78"/>
    <w:rsid w:val="00834A80"/>
    <w:rsid w:val="008350A2"/>
    <w:rsid w:val="00836057"/>
    <w:rsid w:val="0083718F"/>
    <w:rsid w:val="00837ADB"/>
    <w:rsid w:val="008409F6"/>
    <w:rsid w:val="0084100F"/>
    <w:rsid w:val="008411E7"/>
    <w:rsid w:val="00845118"/>
    <w:rsid w:val="00845FA8"/>
    <w:rsid w:val="008473D3"/>
    <w:rsid w:val="00850EDF"/>
    <w:rsid w:val="008522EF"/>
    <w:rsid w:val="00854633"/>
    <w:rsid w:val="00854840"/>
    <w:rsid w:val="00860446"/>
    <w:rsid w:val="00860CE0"/>
    <w:rsid w:val="0086185D"/>
    <w:rsid w:val="00861A56"/>
    <w:rsid w:val="00862FD7"/>
    <w:rsid w:val="008657FD"/>
    <w:rsid w:val="008675D0"/>
    <w:rsid w:val="00870B09"/>
    <w:rsid w:val="008726FA"/>
    <w:rsid w:val="00874750"/>
    <w:rsid w:val="008850E4"/>
    <w:rsid w:val="008900B7"/>
    <w:rsid w:val="00890FD2"/>
    <w:rsid w:val="0089155F"/>
    <w:rsid w:val="00892147"/>
    <w:rsid w:val="00894C7C"/>
    <w:rsid w:val="008A41B0"/>
    <w:rsid w:val="008B1EA6"/>
    <w:rsid w:val="008B4313"/>
    <w:rsid w:val="008B47B4"/>
    <w:rsid w:val="008B586B"/>
    <w:rsid w:val="008B7277"/>
    <w:rsid w:val="008C0891"/>
    <w:rsid w:val="008C0EA6"/>
    <w:rsid w:val="008C324A"/>
    <w:rsid w:val="008C3B5B"/>
    <w:rsid w:val="008D2A02"/>
    <w:rsid w:val="008D3C5E"/>
    <w:rsid w:val="008D61AF"/>
    <w:rsid w:val="008D79FA"/>
    <w:rsid w:val="008E10A9"/>
    <w:rsid w:val="008E12C8"/>
    <w:rsid w:val="008E6687"/>
    <w:rsid w:val="008F1151"/>
    <w:rsid w:val="008F141B"/>
    <w:rsid w:val="008F2B41"/>
    <w:rsid w:val="008F4CF0"/>
    <w:rsid w:val="008F5E02"/>
    <w:rsid w:val="008F7535"/>
    <w:rsid w:val="009062D4"/>
    <w:rsid w:val="00912168"/>
    <w:rsid w:val="00912E6C"/>
    <w:rsid w:val="009148A8"/>
    <w:rsid w:val="00920E6C"/>
    <w:rsid w:val="00922856"/>
    <w:rsid w:val="00935470"/>
    <w:rsid w:val="00937FBA"/>
    <w:rsid w:val="009429BC"/>
    <w:rsid w:val="00943AFF"/>
    <w:rsid w:val="00953527"/>
    <w:rsid w:val="00953A13"/>
    <w:rsid w:val="00954744"/>
    <w:rsid w:val="00955D21"/>
    <w:rsid w:val="00962496"/>
    <w:rsid w:val="00963AEC"/>
    <w:rsid w:val="009673E9"/>
    <w:rsid w:val="009872AA"/>
    <w:rsid w:val="00987BF7"/>
    <w:rsid w:val="00993535"/>
    <w:rsid w:val="009946CD"/>
    <w:rsid w:val="00996639"/>
    <w:rsid w:val="009A1020"/>
    <w:rsid w:val="009A599E"/>
    <w:rsid w:val="009A722B"/>
    <w:rsid w:val="009A7A13"/>
    <w:rsid w:val="009B2F6F"/>
    <w:rsid w:val="009C4AE4"/>
    <w:rsid w:val="009C4C0A"/>
    <w:rsid w:val="009C70C6"/>
    <w:rsid w:val="009D3038"/>
    <w:rsid w:val="009D40B3"/>
    <w:rsid w:val="009D6696"/>
    <w:rsid w:val="009D7198"/>
    <w:rsid w:val="009D776C"/>
    <w:rsid w:val="009E3344"/>
    <w:rsid w:val="009E3F2E"/>
    <w:rsid w:val="009E4ACB"/>
    <w:rsid w:val="009E6261"/>
    <w:rsid w:val="009F06BA"/>
    <w:rsid w:val="009F3B73"/>
    <w:rsid w:val="009F7C21"/>
    <w:rsid w:val="00A01D6E"/>
    <w:rsid w:val="00A02DCA"/>
    <w:rsid w:val="00A03961"/>
    <w:rsid w:val="00A03DF4"/>
    <w:rsid w:val="00A0474A"/>
    <w:rsid w:val="00A10BFD"/>
    <w:rsid w:val="00A14E54"/>
    <w:rsid w:val="00A17E8E"/>
    <w:rsid w:val="00A211DA"/>
    <w:rsid w:val="00A318C7"/>
    <w:rsid w:val="00A40C0F"/>
    <w:rsid w:val="00A414E1"/>
    <w:rsid w:val="00A42FA4"/>
    <w:rsid w:val="00A47D43"/>
    <w:rsid w:val="00A50BFA"/>
    <w:rsid w:val="00A539D6"/>
    <w:rsid w:val="00A62199"/>
    <w:rsid w:val="00A638D7"/>
    <w:rsid w:val="00A703A7"/>
    <w:rsid w:val="00A73743"/>
    <w:rsid w:val="00A75637"/>
    <w:rsid w:val="00A82A9E"/>
    <w:rsid w:val="00A831C9"/>
    <w:rsid w:val="00A832D3"/>
    <w:rsid w:val="00A86250"/>
    <w:rsid w:val="00A9454B"/>
    <w:rsid w:val="00AA031D"/>
    <w:rsid w:val="00AA1962"/>
    <w:rsid w:val="00AA3865"/>
    <w:rsid w:val="00AA5723"/>
    <w:rsid w:val="00AA572B"/>
    <w:rsid w:val="00AA6166"/>
    <w:rsid w:val="00AB1155"/>
    <w:rsid w:val="00AB1DB3"/>
    <w:rsid w:val="00AB3F14"/>
    <w:rsid w:val="00AB4BC7"/>
    <w:rsid w:val="00AB61C0"/>
    <w:rsid w:val="00AB74C7"/>
    <w:rsid w:val="00AB7B49"/>
    <w:rsid w:val="00AC3F65"/>
    <w:rsid w:val="00AD0F5E"/>
    <w:rsid w:val="00AD1737"/>
    <w:rsid w:val="00AD326D"/>
    <w:rsid w:val="00AD7B40"/>
    <w:rsid w:val="00AE089C"/>
    <w:rsid w:val="00AE2137"/>
    <w:rsid w:val="00AE25AE"/>
    <w:rsid w:val="00AE628E"/>
    <w:rsid w:val="00AF6867"/>
    <w:rsid w:val="00B02134"/>
    <w:rsid w:val="00B0284E"/>
    <w:rsid w:val="00B12F4C"/>
    <w:rsid w:val="00B16078"/>
    <w:rsid w:val="00B176D3"/>
    <w:rsid w:val="00B22E73"/>
    <w:rsid w:val="00B277CA"/>
    <w:rsid w:val="00B33D90"/>
    <w:rsid w:val="00B35F61"/>
    <w:rsid w:val="00B407A0"/>
    <w:rsid w:val="00B424E9"/>
    <w:rsid w:val="00B42E64"/>
    <w:rsid w:val="00B43E9F"/>
    <w:rsid w:val="00B44659"/>
    <w:rsid w:val="00B45BCE"/>
    <w:rsid w:val="00B51E0F"/>
    <w:rsid w:val="00B653A1"/>
    <w:rsid w:val="00B67B6B"/>
    <w:rsid w:val="00B67D6A"/>
    <w:rsid w:val="00B725E7"/>
    <w:rsid w:val="00B72E1B"/>
    <w:rsid w:val="00B8075C"/>
    <w:rsid w:val="00B8394B"/>
    <w:rsid w:val="00B86F0F"/>
    <w:rsid w:val="00B87D03"/>
    <w:rsid w:val="00B90608"/>
    <w:rsid w:val="00B910F4"/>
    <w:rsid w:val="00B91854"/>
    <w:rsid w:val="00B933B5"/>
    <w:rsid w:val="00B943F4"/>
    <w:rsid w:val="00BA254C"/>
    <w:rsid w:val="00BA59F8"/>
    <w:rsid w:val="00BB047D"/>
    <w:rsid w:val="00BB11FF"/>
    <w:rsid w:val="00BB74E3"/>
    <w:rsid w:val="00BB7FA9"/>
    <w:rsid w:val="00BC2ABD"/>
    <w:rsid w:val="00BC5932"/>
    <w:rsid w:val="00BC64CA"/>
    <w:rsid w:val="00BD2126"/>
    <w:rsid w:val="00BD2EA0"/>
    <w:rsid w:val="00BD60E9"/>
    <w:rsid w:val="00BD6274"/>
    <w:rsid w:val="00BD6CC1"/>
    <w:rsid w:val="00BE279C"/>
    <w:rsid w:val="00BE2FDD"/>
    <w:rsid w:val="00BE3771"/>
    <w:rsid w:val="00BE499C"/>
    <w:rsid w:val="00BE544C"/>
    <w:rsid w:val="00BE5ED8"/>
    <w:rsid w:val="00BE6DF8"/>
    <w:rsid w:val="00BF0FC5"/>
    <w:rsid w:val="00C00646"/>
    <w:rsid w:val="00C00A54"/>
    <w:rsid w:val="00C023DA"/>
    <w:rsid w:val="00C07FC4"/>
    <w:rsid w:val="00C10D7F"/>
    <w:rsid w:val="00C127AD"/>
    <w:rsid w:val="00C1395A"/>
    <w:rsid w:val="00C13E9C"/>
    <w:rsid w:val="00C15121"/>
    <w:rsid w:val="00C16521"/>
    <w:rsid w:val="00C16653"/>
    <w:rsid w:val="00C17F1C"/>
    <w:rsid w:val="00C21305"/>
    <w:rsid w:val="00C21C92"/>
    <w:rsid w:val="00C23530"/>
    <w:rsid w:val="00C235C3"/>
    <w:rsid w:val="00C2718D"/>
    <w:rsid w:val="00C274F5"/>
    <w:rsid w:val="00C30933"/>
    <w:rsid w:val="00C32ED7"/>
    <w:rsid w:val="00C4165D"/>
    <w:rsid w:val="00C4395A"/>
    <w:rsid w:val="00C4554E"/>
    <w:rsid w:val="00C4557B"/>
    <w:rsid w:val="00C47BD4"/>
    <w:rsid w:val="00C50C83"/>
    <w:rsid w:val="00C52DDA"/>
    <w:rsid w:val="00C53A32"/>
    <w:rsid w:val="00C54783"/>
    <w:rsid w:val="00C56B94"/>
    <w:rsid w:val="00C61405"/>
    <w:rsid w:val="00C66D31"/>
    <w:rsid w:val="00C678C2"/>
    <w:rsid w:val="00C67EB4"/>
    <w:rsid w:val="00C71ECF"/>
    <w:rsid w:val="00C7785C"/>
    <w:rsid w:val="00C801FF"/>
    <w:rsid w:val="00C8476D"/>
    <w:rsid w:val="00C85FEA"/>
    <w:rsid w:val="00C87004"/>
    <w:rsid w:val="00C9121B"/>
    <w:rsid w:val="00C92371"/>
    <w:rsid w:val="00C92893"/>
    <w:rsid w:val="00C93ECB"/>
    <w:rsid w:val="00C9528C"/>
    <w:rsid w:val="00C974F3"/>
    <w:rsid w:val="00CA50D6"/>
    <w:rsid w:val="00CA5C11"/>
    <w:rsid w:val="00CA6775"/>
    <w:rsid w:val="00CA6B92"/>
    <w:rsid w:val="00CB258F"/>
    <w:rsid w:val="00CC22B6"/>
    <w:rsid w:val="00CC2D60"/>
    <w:rsid w:val="00CD0F69"/>
    <w:rsid w:val="00CD1E23"/>
    <w:rsid w:val="00CD36C5"/>
    <w:rsid w:val="00CD3A28"/>
    <w:rsid w:val="00CD47F6"/>
    <w:rsid w:val="00CD6E8E"/>
    <w:rsid w:val="00CE0F16"/>
    <w:rsid w:val="00CE1E7C"/>
    <w:rsid w:val="00CE29C1"/>
    <w:rsid w:val="00CE2BB8"/>
    <w:rsid w:val="00CE45F0"/>
    <w:rsid w:val="00CE79F4"/>
    <w:rsid w:val="00CF24C5"/>
    <w:rsid w:val="00CF2711"/>
    <w:rsid w:val="00CF2824"/>
    <w:rsid w:val="00CF622C"/>
    <w:rsid w:val="00CF6F70"/>
    <w:rsid w:val="00D00824"/>
    <w:rsid w:val="00D01872"/>
    <w:rsid w:val="00D01AA4"/>
    <w:rsid w:val="00D056CC"/>
    <w:rsid w:val="00D11982"/>
    <w:rsid w:val="00D13103"/>
    <w:rsid w:val="00D13E54"/>
    <w:rsid w:val="00D15F23"/>
    <w:rsid w:val="00D16BAC"/>
    <w:rsid w:val="00D219E5"/>
    <w:rsid w:val="00D21B3B"/>
    <w:rsid w:val="00D221DF"/>
    <w:rsid w:val="00D23808"/>
    <w:rsid w:val="00D25071"/>
    <w:rsid w:val="00D255B3"/>
    <w:rsid w:val="00D26BB7"/>
    <w:rsid w:val="00D27EF7"/>
    <w:rsid w:val="00D3477B"/>
    <w:rsid w:val="00D34F60"/>
    <w:rsid w:val="00D361BB"/>
    <w:rsid w:val="00D370D4"/>
    <w:rsid w:val="00D37FEA"/>
    <w:rsid w:val="00D41678"/>
    <w:rsid w:val="00D433E5"/>
    <w:rsid w:val="00D52A4B"/>
    <w:rsid w:val="00D53B6D"/>
    <w:rsid w:val="00D568E2"/>
    <w:rsid w:val="00D56A12"/>
    <w:rsid w:val="00D56D81"/>
    <w:rsid w:val="00D624C9"/>
    <w:rsid w:val="00D62521"/>
    <w:rsid w:val="00D708BD"/>
    <w:rsid w:val="00D732AA"/>
    <w:rsid w:val="00D73961"/>
    <w:rsid w:val="00D82580"/>
    <w:rsid w:val="00D8260B"/>
    <w:rsid w:val="00D85561"/>
    <w:rsid w:val="00D92C38"/>
    <w:rsid w:val="00D92D95"/>
    <w:rsid w:val="00D96FF8"/>
    <w:rsid w:val="00DA24E4"/>
    <w:rsid w:val="00DB5947"/>
    <w:rsid w:val="00DB5DFA"/>
    <w:rsid w:val="00DB728C"/>
    <w:rsid w:val="00DC209A"/>
    <w:rsid w:val="00DC32D0"/>
    <w:rsid w:val="00DC37C4"/>
    <w:rsid w:val="00DC3B50"/>
    <w:rsid w:val="00DD1092"/>
    <w:rsid w:val="00DD1382"/>
    <w:rsid w:val="00DD2AD8"/>
    <w:rsid w:val="00DD4592"/>
    <w:rsid w:val="00DD4C29"/>
    <w:rsid w:val="00DD690B"/>
    <w:rsid w:val="00DE1D5F"/>
    <w:rsid w:val="00DF003E"/>
    <w:rsid w:val="00DF4FAD"/>
    <w:rsid w:val="00E05FA2"/>
    <w:rsid w:val="00E106EC"/>
    <w:rsid w:val="00E13BAB"/>
    <w:rsid w:val="00E16780"/>
    <w:rsid w:val="00E21C56"/>
    <w:rsid w:val="00E23772"/>
    <w:rsid w:val="00E250F9"/>
    <w:rsid w:val="00E25977"/>
    <w:rsid w:val="00E265C2"/>
    <w:rsid w:val="00E32C7B"/>
    <w:rsid w:val="00E338DC"/>
    <w:rsid w:val="00E35727"/>
    <w:rsid w:val="00E40D10"/>
    <w:rsid w:val="00E4523A"/>
    <w:rsid w:val="00E47FD7"/>
    <w:rsid w:val="00E50826"/>
    <w:rsid w:val="00E61A10"/>
    <w:rsid w:val="00E632C5"/>
    <w:rsid w:val="00E64A40"/>
    <w:rsid w:val="00E64D64"/>
    <w:rsid w:val="00E67394"/>
    <w:rsid w:val="00E71B03"/>
    <w:rsid w:val="00E7286D"/>
    <w:rsid w:val="00E75455"/>
    <w:rsid w:val="00E76C8A"/>
    <w:rsid w:val="00E85841"/>
    <w:rsid w:val="00E86202"/>
    <w:rsid w:val="00E917CB"/>
    <w:rsid w:val="00E951DF"/>
    <w:rsid w:val="00E96DB4"/>
    <w:rsid w:val="00EA2E00"/>
    <w:rsid w:val="00EB7FDC"/>
    <w:rsid w:val="00EC285C"/>
    <w:rsid w:val="00ED190B"/>
    <w:rsid w:val="00ED1B7A"/>
    <w:rsid w:val="00ED2165"/>
    <w:rsid w:val="00ED22C2"/>
    <w:rsid w:val="00ED3908"/>
    <w:rsid w:val="00ED55C1"/>
    <w:rsid w:val="00EE2A10"/>
    <w:rsid w:val="00EE5937"/>
    <w:rsid w:val="00EE6711"/>
    <w:rsid w:val="00EE6DE1"/>
    <w:rsid w:val="00EE7DFD"/>
    <w:rsid w:val="00EF3A85"/>
    <w:rsid w:val="00EF471A"/>
    <w:rsid w:val="00EF6A0C"/>
    <w:rsid w:val="00EF7B37"/>
    <w:rsid w:val="00EF7F16"/>
    <w:rsid w:val="00F005BD"/>
    <w:rsid w:val="00F042A9"/>
    <w:rsid w:val="00F04443"/>
    <w:rsid w:val="00F06E9E"/>
    <w:rsid w:val="00F079D4"/>
    <w:rsid w:val="00F07A11"/>
    <w:rsid w:val="00F109FF"/>
    <w:rsid w:val="00F130EE"/>
    <w:rsid w:val="00F152BB"/>
    <w:rsid w:val="00F15337"/>
    <w:rsid w:val="00F16321"/>
    <w:rsid w:val="00F16D6D"/>
    <w:rsid w:val="00F175FA"/>
    <w:rsid w:val="00F22D5F"/>
    <w:rsid w:val="00F26253"/>
    <w:rsid w:val="00F27752"/>
    <w:rsid w:val="00F30A7F"/>
    <w:rsid w:val="00F34800"/>
    <w:rsid w:val="00F41D13"/>
    <w:rsid w:val="00F43900"/>
    <w:rsid w:val="00F45FED"/>
    <w:rsid w:val="00F46DCD"/>
    <w:rsid w:val="00F47EF1"/>
    <w:rsid w:val="00F509FA"/>
    <w:rsid w:val="00F514AE"/>
    <w:rsid w:val="00F56429"/>
    <w:rsid w:val="00F6283D"/>
    <w:rsid w:val="00F72A9D"/>
    <w:rsid w:val="00F75608"/>
    <w:rsid w:val="00F82110"/>
    <w:rsid w:val="00F8526E"/>
    <w:rsid w:val="00F87322"/>
    <w:rsid w:val="00F90A75"/>
    <w:rsid w:val="00F94D20"/>
    <w:rsid w:val="00F96039"/>
    <w:rsid w:val="00F97953"/>
    <w:rsid w:val="00FA2974"/>
    <w:rsid w:val="00FA6C8B"/>
    <w:rsid w:val="00FB110B"/>
    <w:rsid w:val="00FB250A"/>
    <w:rsid w:val="00FB3AA4"/>
    <w:rsid w:val="00FB4601"/>
    <w:rsid w:val="00FB6960"/>
    <w:rsid w:val="00FB6E2C"/>
    <w:rsid w:val="00FC09AB"/>
    <w:rsid w:val="00FC0A39"/>
    <w:rsid w:val="00FC27F9"/>
    <w:rsid w:val="00FC34C7"/>
    <w:rsid w:val="00FC3FDD"/>
    <w:rsid w:val="00FC7490"/>
    <w:rsid w:val="00FD2C65"/>
    <w:rsid w:val="00FE3114"/>
    <w:rsid w:val="013E4D25"/>
    <w:rsid w:val="01C02560"/>
    <w:rsid w:val="02D35C8D"/>
    <w:rsid w:val="033671A5"/>
    <w:rsid w:val="03682027"/>
    <w:rsid w:val="03D30324"/>
    <w:rsid w:val="0402706C"/>
    <w:rsid w:val="04E12F03"/>
    <w:rsid w:val="051E264A"/>
    <w:rsid w:val="0523687D"/>
    <w:rsid w:val="056C65E9"/>
    <w:rsid w:val="059F5E21"/>
    <w:rsid w:val="05C10ED3"/>
    <w:rsid w:val="067257F9"/>
    <w:rsid w:val="06BC5913"/>
    <w:rsid w:val="06DF2ED2"/>
    <w:rsid w:val="076749CD"/>
    <w:rsid w:val="07800D06"/>
    <w:rsid w:val="078609C8"/>
    <w:rsid w:val="07D23A11"/>
    <w:rsid w:val="07FF09A5"/>
    <w:rsid w:val="081B037E"/>
    <w:rsid w:val="0A2847BA"/>
    <w:rsid w:val="0B5F6A89"/>
    <w:rsid w:val="0C036FC4"/>
    <w:rsid w:val="0D0E7423"/>
    <w:rsid w:val="0ED53707"/>
    <w:rsid w:val="0F3A63E1"/>
    <w:rsid w:val="0FF317E3"/>
    <w:rsid w:val="103C6913"/>
    <w:rsid w:val="10DF169D"/>
    <w:rsid w:val="112369B6"/>
    <w:rsid w:val="116A74EC"/>
    <w:rsid w:val="11A21A03"/>
    <w:rsid w:val="126C5597"/>
    <w:rsid w:val="127A67EE"/>
    <w:rsid w:val="12F469AC"/>
    <w:rsid w:val="135F76D3"/>
    <w:rsid w:val="145D7497"/>
    <w:rsid w:val="147D41BB"/>
    <w:rsid w:val="1513048A"/>
    <w:rsid w:val="155D1A81"/>
    <w:rsid w:val="15681C75"/>
    <w:rsid w:val="159D5101"/>
    <w:rsid w:val="15F53DEE"/>
    <w:rsid w:val="15FE5D29"/>
    <w:rsid w:val="16146046"/>
    <w:rsid w:val="1624240B"/>
    <w:rsid w:val="1626704F"/>
    <w:rsid w:val="16C72C34"/>
    <w:rsid w:val="17A20554"/>
    <w:rsid w:val="17E94101"/>
    <w:rsid w:val="180B43FD"/>
    <w:rsid w:val="185A02E1"/>
    <w:rsid w:val="19351668"/>
    <w:rsid w:val="19481B43"/>
    <w:rsid w:val="19635942"/>
    <w:rsid w:val="1A0E4FF7"/>
    <w:rsid w:val="1A3629F0"/>
    <w:rsid w:val="1AAC6032"/>
    <w:rsid w:val="1AB22CEF"/>
    <w:rsid w:val="1AC560F0"/>
    <w:rsid w:val="1B070E58"/>
    <w:rsid w:val="1B126D99"/>
    <w:rsid w:val="1B7B4EA8"/>
    <w:rsid w:val="1B8E4158"/>
    <w:rsid w:val="1BC05558"/>
    <w:rsid w:val="1BC77FCA"/>
    <w:rsid w:val="1BF76FE4"/>
    <w:rsid w:val="1C006D14"/>
    <w:rsid w:val="1C3663D1"/>
    <w:rsid w:val="1C586AF2"/>
    <w:rsid w:val="1CC71FC5"/>
    <w:rsid w:val="1D1637C4"/>
    <w:rsid w:val="1DBE228D"/>
    <w:rsid w:val="1DF86B95"/>
    <w:rsid w:val="1F7168E0"/>
    <w:rsid w:val="1F8D347C"/>
    <w:rsid w:val="1FE4039D"/>
    <w:rsid w:val="2056489E"/>
    <w:rsid w:val="21514B8A"/>
    <w:rsid w:val="218D23FD"/>
    <w:rsid w:val="21CE4D50"/>
    <w:rsid w:val="2224716D"/>
    <w:rsid w:val="22B30A80"/>
    <w:rsid w:val="22D32397"/>
    <w:rsid w:val="22EA5FDE"/>
    <w:rsid w:val="236C6AA4"/>
    <w:rsid w:val="23840E42"/>
    <w:rsid w:val="23A118CC"/>
    <w:rsid w:val="23EE7EA4"/>
    <w:rsid w:val="2435567E"/>
    <w:rsid w:val="24970CA3"/>
    <w:rsid w:val="24CA728A"/>
    <w:rsid w:val="24E00528"/>
    <w:rsid w:val="2503404C"/>
    <w:rsid w:val="25CB7DF3"/>
    <w:rsid w:val="261249CF"/>
    <w:rsid w:val="261C2E6A"/>
    <w:rsid w:val="26236516"/>
    <w:rsid w:val="263C39B1"/>
    <w:rsid w:val="26C67C17"/>
    <w:rsid w:val="26DC0362"/>
    <w:rsid w:val="271F0F56"/>
    <w:rsid w:val="274F66F1"/>
    <w:rsid w:val="27554A59"/>
    <w:rsid w:val="2786361A"/>
    <w:rsid w:val="28834ACA"/>
    <w:rsid w:val="292C55AA"/>
    <w:rsid w:val="2A7E3E39"/>
    <w:rsid w:val="2B003D21"/>
    <w:rsid w:val="2BDE7796"/>
    <w:rsid w:val="2CE7680A"/>
    <w:rsid w:val="2CFA5752"/>
    <w:rsid w:val="2E525602"/>
    <w:rsid w:val="2E604994"/>
    <w:rsid w:val="2E837924"/>
    <w:rsid w:val="2EB83ACD"/>
    <w:rsid w:val="2F086E28"/>
    <w:rsid w:val="2F21089A"/>
    <w:rsid w:val="2F492B87"/>
    <w:rsid w:val="2FE73B4C"/>
    <w:rsid w:val="300B717E"/>
    <w:rsid w:val="307A61B9"/>
    <w:rsid w:val="31280C69"/>
    <w:rsid w:val="31F058EE"/>
    <w:rsid w:val="321D10BE"/>
    <w:rsid w:val="327D2F88"/>
    <w:rsid w:val="34373DF9"/>
    <w:rsid w:val="3458256A"/>
    <w:rsid w:val="34D22BE0"/>
    <w:rsid w:val="34F32C04"/>
    <w:rsid w:val="350203E2"/>
    <w:rsid w:val="356B7E0E"/>
    <w:rsid w:val="35F1161D"/>
    <w:rsid w:val="367B3939"/>
    <w:rsid w:val="36905F9C"/>
    <w:rsid w:val="36C81E60"/>
    <w:rsid w:val="36DD3B7E"/>
    <w:rsid w:val="37131E3D"/>
    <w:rsid w:val="372E745C"/>
    <w:rsid w:val="374F6955"/>
    <w:rsid w:val="37EF5723"/>
    <w:rsid w:val="38126148"/>
    <w:rsid w:val="381E1FFF"/>
    <w:rsid w:val="381E27E0"/>
    <w:rsid w:val="38401A95"/>
    <w:rsid w:val="38652E1B"/>
    <w:rsid w:val="3876678D"/>
    <w:rsid w:val="38B47012"/>
    <w:rsid w:val="38D42188"/>
    <w:rsid w:val="3A9C1D79"/>
    <w:rsid w:val="3B15500C"/>
    <w:rsid w:val="3B56089F"/>
    <w:rsid w:val="3C3243C2"/>
    <w:rsid w:val="3C376EF2"/>
    <w:rsid w:val="3C4E2EDB"/>
    <w:rsid w:val="3D0726DD"/>
    <w:rsid w:val="3D67476B"/>
    <w:rsid w:val="3D943C5D"/>
    <w:rsid w:val="3DB215B1"/>
    <w:rsid w:val="3E573AF8"/>
    <w:rsid w:val="3ECC1FA8"/>
    <w:rsid w:val="3FF06FB4"/>
    <w:rsid w:val="409E6FD1"/>
    <w:rsid w:val="40A5480A"/>
    <w:rsid w:val="40EF04B2"/>
    <w:rsid w:val="41EA2586"/>
    <w:rsid w:val="41F22391"/>
    <w:rsid w:val="42715AA7"/>
    <w:rsid w:val="4281188E"/>
    <w:rsid w:val="42981934"/>
    <w:rsid w:val="42B91FEE"/>
    <w:rsid w:val="43080553"/>
    <w:rsid w:val="439D18D1"/>
    <w:rsid w:val="43E62140"/>
    <w:rsid w:val="44072A4E"/>
    <w:rsid w:val="442B0594"/>
    <w:rsid w:val="44801049"/>
    <w:rsid w:val="44F12A75"/>
    <w:rsid w:val="45AA2980"/>
    <w:rsid w:val="45B943BF"/>
    <w:rsid w:val="48116372"/>
    <w:rsid w:val="48D35E09"/>
    <w:rsid w:val="498821FD"/>
    <w:rsid w:val="49951F6E"/>
    <w:rsid w:val="49E123A5"/>
    <w:rsid w:val="4A683680"/>
    <w:rsid w:val="4AF54F02"/>
    <w:rsid w:val="4B171154"/>
    <w:rsid w:val="4B332067"/>
    <w:rsid w:val="4B3915E1"/>
    <w:rsid w:val="4B524FB9"/>
    <w:rsid w:val="4B6D7F05"/>
    <w:rsid w:val="4C3C360A"/>
    <w:rsid w:val="4CF36173"/>
    <w:rsid w:val="4CF83E60"/>
    <w:rsid w:val="4D1A7026"/>
    <w:rsid w:val="4D4273DD"/>
    <w:rsid w:val="4D8707A3"/>
    <w:rsid w:val="4DFC3AFA"/>
    <w:rsid w:val="4E0B5C29"/>
    <w:rsid w:val="4E391545"/>
    <w:rsid w:val="4EF32F9F"/>
    <w:rsid w:val="4F2C2377"/>
    <w:rsid w:val="4F340993"/>
    <w:rsid w:val="4F720573"/>
    <w:rsid w:val="4F7C0938"/>
    <w:rsid w:val="4F8E1BE5"/>
    <w:rsid w:val="50AE5AD4"/>
    <w:rsid w:val="50EC1295"/>
    <w:rsid w:val="511561A5"/>
    <w:rsid w:val="52426F1A"/>
    <w:rsid w:val="52717E66"/>
    <w:rsid w:val="53704E14"/>
    <w:rsid w:val="543644CE"/>
    <w:rsid w:val="545D4A39"/>
    <w:rsid w:val="57DB60B9"/>
    <w:rsid w:val="580E6262"/>
    <w:rsid w:val="582D0E3B"/>
    <w:rsid w:val="58943DB5"/>
    <w:rsid w:val="59005960"/>
    <w:rsid w:val="590B4449"/>
    <w:rsid w:val="59FD2E64"/>
    <w:rsid w:val="5A47286B"/>
    <w:rsid w:val="5AA10CD6"/>
    <w:rsid w:val="5B0071C3"/>
    <w:rsid w:val="5BB7038F"/>
    <w:rsid w:val="5BBC2EAD"/>
    <w:rsid w:val="5C5F3B74"/>
    <w:rsid w:val="5CDA5B17"/>
    <w:rsid w:val="5CDD7B5D"/>
    <w:rsid w:val="5D602A3B"/>
    <w:rsid w:val="5E0553D1"/>
    <w:rsid w:val="5E1724BE"/>
    <w:rsid w:val="5E717FC6"/>
    <w:rsid w:val="5E9E3FB8"/>
    <w:rsid w:val="5EBA0019"/>
    <w:rsid w:val="5EDA3FFA"/>
    <w:rsid w:val="5EE40559"/>
    <w:rsid w:val="5FDD481E"/>
    <w:rsid w:val="600B7288"/>
    <w:rsid w:val="6056677B"/>
    <w:rsid w:val="60920F66"/>
    <w:rsid w:val="611D7B87"/>
    <w:rsid w:val="61606782"/>
    <w:rsid w:val="61864091"/>
    <w:rsid w:val="61883F50"/>
    <w:rsid w:val="61970A0B"/>
    <w:rsid w:val="61C03B7A"/>
    <w:rsid w:val="628E7657"/>
    <w:rsid w:val="632078CE"/>
    <w:rsid w:val="63264B2B"/>
    <w:rsid w:val="639A4F6B"/>
    <w:rsid w:val="63F739D8"/>
    <w:rsid w:val="63FA1F03"/>
    <w:rsid w:val="656059D7"/>
    <w:rsid w:val="65ED7C2D"/>
    <w:rsid w:val="66094174"/>
    <w:rsid w:val="662676F0"/>
    <w:rsid w:val="66F4588D"/>
    <w:rsid w:val="674C494A"/>
    <w:rsid w:val="67E64CF9"/>
    <w:rsid w:val="68574698"/>
    <w:rsid w:val="68BB2649"/>
    <w:rsid w:val="68D13621"/>
    <w:rsid w:val="68DD446D"/>
    <w:rsid w:val="697B48F9"/>
    <w:rsid w:val="697C2DB9"/>
    <w:rsid w:val="69DB3837"/>
    <w:rsid w:val="6A12329E"/>
    <w:rsid w:val="6AA82399"/>
    <w:rsid w:val="6AB33E93"/>
    <w:rsid w:val="6AB71837"/>
    <w:rsid w:val="6B0F0722"/>
    <w:rsid w:val="6B184813"/>
    <w:rsid w:val="6B3E63EE"/>
    <w:rsid w:val="6B595535"/>
    <w:rsid w:val="6B884C7B"/>
    <w:rsid w:val="6D112724"/>
    <w:rsid w:val="6F1D66A0"/>
    <w:rsid w:val="71820C58"/>
    <w:rsid w:val="71A22296"/>
    <w:rsid w:val="71BB2484"/>
    <w:rsid w:val="722A0411"/>
    <w:rsid w:val="724F4116"/>
    <w:rsid w:val="72830550"/>
    <w:rsid w:val="72AE2A90"/>
    <w:rsid w:val="739C712B"/>
    <w:rsid w:val="74533CA5"/>
    <w:rsid w:val="74ED4BED"/>
    <w:rsid w:val="75462A3D"/>
    <w:rsid w:val="754A3F82"/>
    <w:rsid w:val="755333E5"/>
    <w:rsid w:val="756F710C"/>
    <w:rsid w:val="760F0302"/>
    <w:rsid w:val="76965005"/>
    <w:rsid w:val="76CD08C3"/>
    <w:rsid w:val="76D71732"/>
    <w:rsid w:val="774501CD"/>
    <w:rsid w:val="77F33FD7"/>
    <w:rsid w:val="78803352"/>
    <w:rsid w:val="78B90872"/>
    <w:rsid w:val="794C5F3D"/>
    <w:rsid w:val="79671ADF"/>
    <w:rsid w:val="79B76D7A"/>
    <w:rsid w:val="7AFF0F52"/>
    <w:rsid w:val="7B277250"/>
    <w:rsid w:val="7B8C762B"/>
    <w:rsid w:val="7BB5595E"/>
    <w:rsid w:val="7BE0350F"/>
    <w:rsid w:val="7BE61393"/>
    <w:rsid w:val="7C3A5C3E"/>
    <w:rsid w:val="7D32501B"/>
    <w:rsid w:val="7D546AE8"/>
    <w:rsid w:val="7E085205"/>
    <w:rsid w:val="7E1B6085"/>
    <w:rsid w:val="7E1C2625"/>
    <w:rsid w:val="7E3E44D7"/>
    <w:rsid w:val="7E7C798A"/>
    <w:rsid w:val="7E7F21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ocked="1"/>
    <w:lsdException w:unhideWhenUsed="0" w:uiPriority="99" w:semiHidden="0" w:name="toc 2" w:locked="1"/>
    <w:lsdException w:qFormat="1" w:unhideWhenUsed="0" w:uiPriority="99" w:semiHidden="0" w:name="toc 3" w:locked="1"/>
    <w:lsdException w:unhideWhenUsed="0" w:uiPriority="0" w:semiHidden="0" w:name="toc 4" w:locked="1"/>
    <w:lsdException w:unhideWhenUsed="0" w:uiPriority="9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b/>
      <w:bCs/>
      <w:kern w:val="36"/>
      <w:sz w:val="48"/>
      <w:szCs w:val="4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58"/>
    <w:semiHidden/>
    <w:unhideWhenUsed/>
    <w:uiPriority w:val="99"/>
    <w:pPr>
      <w:jc w:val="left"/>
    </w:pPr>
  </w:style>
  <w:style w:type="paragraph" w:styleId="4">
    <w:name w:val="toc 5"/>
    <w:basedOn w:val="1"/>
    <w:next w:val="1"/>
    <w:locked/>
    <w:uiPriority w:val="99"/>
    <w:pPr>
      <w:ind w:left="1680" w:leftChars="800"/>
    </w:pPr>
  </w:style>
  <w:style w:type="paragraph" w:styleId="5">
    <w:name w:val="toc 3"/>
    <w:basedOn w:val="1"/>
    <w:next w:val="1"/>
    <w:qFormat/>
    <w:locked/>
    <w:uiPriority w:val="99"/>
    <w:pPr>
      <w:ind w:left="840" w:leftChars="400"/>
    </w:pPr>
  </w:style>
  <w:style w:type="paragraph" w:styleId="6">
    <w:name w:val="Balloon Text"/>
    <w:basedOn w:val="1"/>
    <w:link w:val="20"/>
    <w:semiHidden/>
    <w:uiPriority w:val="99"/>
    <w:rPr>
      <w:rFonts w:ascii="Times New Roman" w:hAnsi="Times New Roman"/>
      <w:kern w:val="0"/>
      <w:sz w:val="18"/>
      <w:szCs w:val="18"/>
    </w:rPr>
  </w:style>
  <w:style w:type="paragraph" w:styleId="7">
    <w:name w:val="footer"/>
    <w:basedOn w:val="1"/>
    <w:link w:val="21"/>
    <w:semiHidden/>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link w:val="22"/>
    <w:semiHidden/>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9">
    <w:name w:val="toc 1"/>
    <w:basedOn w:val="1"/>
    <w:next w:val="1"/>
    <w:locked/>
    <w:uiPriority w:val="99"/>
  </w:style>
  <w:style w:type="paragraph" w:styleId="10">
    <w:name w:val="Body Text Indent 3"/>
    <w:basedOn w:val="1"/>
    <w:link w:val="23"/>
    <w:uiPriority w:val="99"/>
    <w:pPr>
      <w:tabs>
        <w:tab w:val="left" w:pos="900"/>
      </w:tabs>
      <w:ind w:right="288" w:rightChars="137" w:firstLine="900"/>
      <w:jc w:val="center"/>
    </w:pPr>
    <w:rPr>
      <w:rFonts w:ascii="Times New Roman" w:hAnsi="Times New Roman"/>
      <w:b/>
      <w:bCs/>
      <w:kern w:val="0"/>
      <w:sz w:val="24"/>
      <w:szCs w:val="24"/>
    </w:rPr>
  </w:style>
  <w:style w:type="paragraph" w:styleId="11">
    <w:name w:val="toc 2"/>
    <w:basedOn w:val="1"/>
    <w:next w:val="1"/>
    <w:locked/>
    <w:uiPriority w:val="99"/>
    <w:pPr>
      <w:ind w:left="420" w:leftChars="200"/>
    </w:pPr>
  </w:style>
  <w:style w:type="paragraph" w:styleId="12">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3"/>
    <w:next w:val="3"/>
    <w:link w:val="59"/>
    <w:semiHidden/>
    <w:unhideWhenUsed/>
    <w:uiPriority w:val="99"/>
    <w:rPr>
      <w:b/>
      <w:bCs/>
    </w:r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uiPriority w:val="99"/>
    <w:rPr>
      <w:rFonts w:cs="Times New Roman"/>
      <w:color w:val="0000FF"/>
      <w:u w:val="single"/>
    </w:rPr>
  </w:style>
  <w:style w:type="character" w:styleId="18">
    <w:name w:val="annotation reference"/>
    <w:basedOn w:val="16"/>
    <w:semiHidden/>
    <w:unhideWhenUsed/>
    <w:uiPriority w:val="99"/>
    <w:rPr>
      <w:sz w:val="21"/>
      <w:szCs w:val="21"/>
    </w:rPr>
  </w:style>
  <w:style w:type="character" w:customStyle="1" w:styleId="19">
    <w:name w:val="标题 1 字符"/>
    <w:link w:val="2"/>
    <w:locked/>
    <w:uiPriority w:val="99"/>
    <w:rPr>
      <w:rFonts w:ascii="宋体" w:hAnsi="宋体" w:eastAsia="宋体" w:cs="Times New Roman"/>
      <w:b/>
      <w:kern w:val="36"/>
      <w:sz w:val="48"/>
    </w:rPr>
  </w:style>
  <w:style w:type="character" w:customStyle="1" w:styleId="20">
    <w:name w:val="批注框文本 字符"/>
    <w:link w:val="6"/>
    <w:semiHidden/>
    <w:locked/>
    <w:uiPriority w:val="99"/>
    <w:rPr>
      <w:rFonts w:cs="Times New Roman"/>
      <w:sz w:val="18"/>
    </w:rPr>
  </w:style>
  <w:style w:type="character" w:customStyle="1" w:styleId="21">
    <w:name w:val="页脚 字符"/>
    <w:link w:val="7"/>
    <w:semiHidden/>
    <w:locked/>
    <w:uiPriority w:val="99"/>
    <w:rPr>
      <w:rFonts w:cs="Times New Roman"/>
      <w:sz w:val="18"/>
    </w:rPr>
  </w:style>
  <w:style w:type="character" w:customStyle="1" w:styleId="22">
    <w:name w:val="页眉 字符"/>
    <w:link w:val="8"/>
    <w:semiHidden/>
    <w:locked/>
    <w:uiPriority w:val="99"/>
    <w:rPr>
      <w:rFonts w:cs="Times New Roman"/>
      <w:sz w:val="18"/>
    </w:rPr>
  </w:style>
  <w:style w:type="character" w:customStyle="1" w:styleId="23">
    <w:name w:val="正文文本缩进 3 字符"/>
    <w:link w:val="10"/>
    <w:locked/>
    <w:uiPriority w:val="99"/>
    <w:rPr>
      <w:rFonts w:ascii="Times New Roman" w:hAnsi="Times New Roman" w:eastAsia="宋体" w:cs="Times New Roman"/>
      <w:b/>
      <w:sz w:val="24"/>
    </w:rPr>
  </w:style>
  <w:style w:type="paragraph" w:customStyle="1" w:styleId="24">
    <w:name w:val="标准称谓"/>
    <w:next w:val="1"/>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25">
    <w:name w:val="文献分类号"/>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6">
    <w:name w:val="封面标准号1"/>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
    <w:name w:val="封面标准文稿编辑信息"/>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
    <w:name w:val="封面标准文稿类别"/>
    <w:uiPriority w:val="99"/>
    <w:pPr>
      <w:spacing w:before="440" w:line="400" w:lineRule="exact"/>
      <w:jc w:val="center"/>
    </w:pPr>
    <w:rPr>
      <w:rFonts w:ascii="宋体" w:hAnsi="Times New Roman" w:eastAsia="宋体" w:cs="Times New Roman"/>
      <w:sz w:val="24"/>
      <w:lang w:val="en-US" w:eastAsia="zh-CN" w:bidi="ar-SA"/>
    </w:rPr>
  </w:style>
  <w:style w:type="paragraph" w:customStyle="1" w:styleId="30">
    <w:name w:val="封面一致性程度标识"/>
    <w:uiPriority w:val="99"/>
    <w:pPr>
      <w:spacing w:before="440" w:line="400" w:lineRule="exact"/>
      <w:jc w:val="center"/>
    </w:pPr>
    <w:rPr>
      <w:rFonts w:ascii="宋体" w:hAnsi="Times New Roman" w:eastAsia="宋体" w:cs="Times New Roman"/>
      <w:sz w:val="28"/>
      <w:lang w:val="en-US" w:eastAsia="zh-CN" w:bidi="ar-SA"/>
    </w:rPr>
  </w:style>
  <w:style w:type="paragraph" w:customStyle="1" w:styleId="31">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2">
    <w:name w:val="实施日期"/>
    <w:basedOn w:val="31"/>
    <w:qFormat/>
    <w:uiPriority w:val="99"/>
    <w:pPr>
      <w:framePr w:hSpace="0" w:xAlign="right"/>
      <w:jc w:val="right"/>
    </w:pPr>
  </w:style>
  <w:style w:type="character" w:customStyle="1" w:styleId="33">
    <w:name w:val="发布"/>
    <w:uiPriority w:val="99"/>
    <w:rPr>
      <w:rFonts w:ascii="黑体" w:eastAsia="黑体"/>
      <w:spacing w:val="22"/>
      <w:w w:val="100"/>
      <w:position w:val="3"/>
      <w:sz w:val="28"/>
    </w:rPr>
  </w:style>
  <w:style w:type="paragraph" w:customStyle="1" w:styleId="34">
    <w:name w:val="发布部门"/>
    <w:next w:val="1"/>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styleId="35">
    <w:name w:val="Placeholder Text"/>
    <w:semiHidden/>
    <w:uiPriority w:val="99"/>
    <w:rPr>
      <w:rFonts w:cs="Times New Roman"/>
      <w:color w:val="808080"/>
    </w:rPr>
  </w:style>
  <w:style w:type="paragraph" w:styleId="36">
    <w:name w:val="List Paragraph"/>
    <w:basedOn w:val="1"/>
    <w:qFormat/>
    <w:uiPriority w:val="99"/>
    <w:pPr>
      <w:ind w:firstLine="420" w:firstLineChars="200"/>
    </w:pPr>
  </w:style>
  <w:style w:type="paragraph" w:customStyle="1" w:styleId="37">
    <w:name w:val="TOC 标题1"/>
    <w:basedOn w:val="2"/>
    <w:next w:val="1"/>
    <w:semiHidden/>
    <w:uiPriority w:val="99"/>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38">
    <w:name w:val="标准标志"/>
    <w:next w:val="1"/>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character" w:customStyle="1" w:styleId="39">
    <w:name w:val="font61"/>
    <w:uiPriority w:val="99"/>
    <w:rPr>
      <w:rFonts w:ascii="宋体" w:hAnsi="宋体" w:eastAsia="宋体" w:cs="宋体"/>
      <w:color w:val="000000"/>
      <w:sz w:val="21"/>
      <w:szCs w:val="21"/>
      <w:u w:val="none"/>
      <w:vertAlign w:val="superscript"/>
    </w:rPr>
  </w:style>
  <w:style w:type="character" w:customStyle="1" w:styleId="40">
    <w:name w:val="font51"/>
    <w:uiPriority w:val="99"/>
    <w:rPr>
      <w:rFonts w:ascii="Calibri" w:hAnsi="Calibri" w:cs="Calibri"/>
      <w:color w:val="000000"/>
      <w:sz w:val="21"/>
      <w:szCs w:val="21"/>
      <w:u w:val="none"/>
    </w:rPr>
  </w:style>
  <w:style w:type="character" w:customStyle="1" w:styleId="41">
    <w:name w:val="font21"/>
    <w:uiPriority w:val="99"/>
    <w:rPr>
      <w:rFonts w:ascii="宋体" w:hAnsi="宋体" w:eastAsia="宋体" w:cs="宋体"/>
      <w:color w:val="000000"/>
      <w:sz w:val="21"/>
      <w:szCs w:val="21"/>
      <w:u w:val="none"/>
    </w:rPr>
  </w:style>
  <w:style w:type="character" w:customStyle="1" w:styleId="42">
    <w:name w:val="font01"/>
    <w:uiPriority w:val="99"/>
    <w:rPr>
      <w:rFonts w:ascii="宋体" w:hAnsi="宋体" w:eastAsia="宋体" w:cs="宋体"/>
      <w:color w:val="000000"/>
      <w:sz w:val="21"/>
      <w:szCs w:val="21"/>
      <w:u w:val="none"/>
      <w:vertAlign w:val="subscript"/>
    </w:rPr>
  </w:style>
  <w:style w:type="character" w:customStyle="1" w:styleId="43">
    <w:name w:val="font31"/>
    <w:uiPriority w:val="99"/>
    <w:rPr>
      <w:rFonts w:ascii="Calibri" w:hAnsi="Calibri" w:cs="Calibri"/>
      <w:color w:val="FF0000"/>
      <w:sz w:val="21"/>
      <w:szCs w:val="21"/>
      <w:u w:val="none"/>
    </w:rPr>
  </w:style>
  <w:style w:type="character" w:customStyle="1" w:styleId="44">
    <w:name w:val="font81"/>
    <w:uiPriority w:val="99"/>
    <w:rPr>
      <w:rFonts w:ascii="宋体" w:hAnsi="宋体" w:eastAsia="宋体" w:cs="宋体"/>
      <w:color w:val="FF0000"/>
      <w:sz w:val="21"/>
      <w:szCs w:val="21"/>
      <w:u w:val="none"/>
    </w:rPr>
  </w:style>
  <w:style w:type="character" w:customStyle="1" w:styleId="45">
    <w:name w:val="font71"/>
    <w:uiPriority w:val="99"/>
    <w:rPr>
      <w:rFonts w:ascii="宋体" w:hAnsi="宋体" w:eastAsia="宋体" w:cs="宋体"/>
      <w:color w:val="FF0000"/>
      <w:sz w:val="21"/>
      <w:szCs w:val="21"/>
      <w:u w:val="none"/>
      <w:vertAlign w:val="superscript"/>
    </w:rPr>
  </w:style>
  <w:style w:type="paragraph" w:customStyle="1" w:styleId="46">
    <w:name w:val="章标题"/>
    <w:next w:val="47"/>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段"/>
    <w:qFormat/>
    <w:uiPriority w:val="99"/>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8">
    <w:name w:val="字母编号列项（一级）"/>
    <w:qFormat/>
    <w:uiPriority w:val="99"/>
    <w:pPr>
      <w:numPr>
        <w:ilvl w:val="0"/>
        <w:numId w:val="2"/>
      </w:numPr>
      <w:jc w:val="both"/>
    </w:pPr>
    <w:rPr>
      <w:rFonts w:ascii="宋体" w:hAnsi="Times New Roman" w:eastAsia="宋体" w:cs="Times New Roman"/>
      <w:sz w:val="21"/>
      <w:lang w:val="en-US" w:eastAsia="zh-CN" w:bidi="ar-SA"/>
    </w:rPr>
  </w:style>
  <w:style w:type="paragraph" w:customStyle="1" w:styleId="49">
    <w:name w:val="一级条标题"/>
    <w:next w:val="47"/>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0">
    <w:name w:val="二级条标题"/>
    <w:basedOn w:val="49"/>
    <w:next w:val="47"/>
    <w:qFormat/>
    <w:uiPriority w:val="99"/>
    <w:pPr>
      <w:numPr>
        <w:ilvl w:val="2"/>
      </w:numPr>
      <w:spacing w:before="50" w:after="50"/>
      <w:outlineLvl w:val="3"/>
    </w:pPr>
  </w:style>
  <w:style w:type="paragraph" w:customStyle="1" w:styleId="51">
    <w:name w:val="目次、标准名称标题"/>
    <w:basedOn w:val="1"/>
    <w:next w:val="47"/>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54">
    <w:name w:val="TOC 标题2"/>
    <w:basedOn w:val="2"/>
    <w:next w:val="1"/>
    <w:semiHidden/>
    <w:qFormat/>
    <w:uiPriority w:val="99"/>
    <w:pPr>
      <w:keepNext/>
      <w:keepLines/>
      <w:widowControl w:val="0"/>
      <w:spacing w:before="340" w:beforeAutospacing="0" w:after="330" w:afterAutospacing="0" w:line="578" w:lineRule="auto"/>
      <w:jc w:val="both"/>
      <w:outlineLvl w:val="9"/>
    </w:pPr>
    <w:rPr>
      <w:rFonts w:ascii="Calibri" w:hAnsi="Calibri"/>
      <w:kern w:val="44"/>
      <w:sz w:val="44"/>
      <w:szCs w:val="44"/>
    </w:rPr>
  </w:style>
  <w:style w:type="character" w:customStyle="1" w:styleId="55">
    <w:name w:val="未处理的提及1"/>
    <w:semiHidden/>
    <w:qFormat/>
    <w:uiPriority w:val="99"/>
    <w:rPr>
      <w:rFonts w:cs="Times New Roman"/>
      <w:color w:val="605E5C"/>
      <w:shd w:val="clear" w:color="auto" w:fill="E1DFDD"/>
    </w:rPr>
  </w:style>
  <w:style w:type="paragraph" w:customStyle="1" w:styleId="56">
    <w:name w:val="修订1"/>
    <w:hidden/>
    <w:semiHidden/>
    <w:qFormat/>
    <w:uiPriority w:val="99"/>
    <w:rPr>
      <w:rFonts w:ascii="Calibri" w:hAnsi="Calibri" w:eastAsia="宋体" w:cs="Times New Roman"/>
      <w:kern w:val="2"/>
      <w:sz w:val="21"/>
      <w:szCs w:val="22"/>
      <w:lang w:val="en-US" w:eastAsia="zh-CN" w:bidi="ar-SA"/>
    </w:rPr>
  </w:style>
  <w:style w:type="paragraph" w:customStyle="1" w:styleId="57">
    <w:name w:val="Revision"/>
    <w:hidden/>
    <w:semiHidden/>
    <w:qFormat/>
    <w:uiPriority w:val="99"/>
    <w:rPr>
      <w:rFonts w:ascii="Calibri" w:hAnsi="Calibri" w:eastAsia="宋体" w:cs="Times New Roman"/>
      <w:kern w:val="2"/>
      <w:sz w:val="21"/>
      <w:szCs w:val="22"/>
      <w:lang w:val="en-US" w:eastAsia="zh-CN" w:bidi="ar-SA"/>
    </w:rPr>
  </w:style>
  <w:style w:type="character" w:customStyle="1" w:styleId="58">
    <w:name w:val="批注文字 字符"/>
    <w:basedOn w:val="16"/>
    <w:link w:val="3"/>
    <w:semiHidden/>
    <w:uiPriority w:val="99"/>
    <w:rPr>
      <w:rFonts w:ascii="Calibri" w:hAnsi="Calibri"/>
      <w:kern w:val="2"/>
      <w:sz w:val="21"/>
      <w:szCs w:val="22"/>
    </w:rPr>
  </w:style>
  <w:style w:type="character" w:customStyle="1" w:styleId="59">
    <w:name w:val="批注主题 字符"/>
    <w:basedOn w:val="58"/>
    <w:link w:val="13"/>
    <w:semiHidden/>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1056</Words>
  <Characters>6024</Characters>
  <Lines>50</Lines>
  <Paragraphs>14</Paragraphs>
  <TotalTime>3416</TotalTime>
  <ScaleCrop>false</ScaleCrop>
  <LinksUpToDate>false</LinksUpToDate>
  <CharactersWithSpaces>7066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2018-03-21T05:21:00Z</dcterms:created>
  <dc:creator>dwh</dc:creator>
  <cp:lastModifiedBy>林若虚</cp:lastModifiedBy>
  <cp:lastPrinted>2021-06-17T05:51:00Z</cp:lastPrinted>
  <dcterms:modified xsi:type="dcterms:W3CDTF">2022-07-12T07:54:02Z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