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宋体" w:hAnsi="宋体" w:cs="宋体"/>
          <w:b/>
          <w:bCs/>
        </w:rPr>
      </w:pPr>
      <w:r>
        <w:rPr>
          <w:rFonts w:hint="eastAsia" w:ascii="宋体" w:hAnsi="宋体" w:cs="宋体"/>
          <w:b/>
          <w:bCs/>
        </w:rPr>
        <w:t>ICS 71.100.10</w:t>
      </w:r>
    </w:p>
    <w:p>
      <w:pPr>
        <w:spacing w:line="240" w:lineRule="exact"/>
        <w:rPr>
          <w:rFonts w:ascii="宋体" w:hAnsi="宋体" w:cs="宋体"/>
          <w:b/>
          <w:bCs/>
        </w:rPr>
      </w:pPr>
    </w:p>
    <w:p>
      <w:pPr>
        <w:spacing w:line="240" w:lineRule="exact"/>
        <w:rPr>
          <w:rFonts w:ascii="宋体" w:hAnsi="宋体" w:cs="宋体"/>
          <w:b/>
          <w:bCs/>
        </w:rPr>
      </w:pPr>
      <w:r>
        <w:rPr>
          <w:rFonts w:hint="eastAsia" w:ascii="宋体" w:hAnsi="宋体" w:cs="宋体"/>
          <w:b/>
          <w:bCs/>
        </w:rPr>
        <w:t>CCS H30</w:t>
      </w:r>
    </w:p>
    <w:p>
      <w:pPr>
        <w:pStyle w:val="46"/>
        <w:framePr w:w="0" w:hRule="auto" w:wrap="auto" w:vAnchor="margin" w:hAnchor="text" w:xAlign="left" w:yAlign="inline"/>
        <w:rPr>
          <w:sz w:val="110"/>
          <w:szCs w:val="110"/>
        </w:rPr>
      </w:pPr>
      <w:r>
        <w:rPr>
          <w:sz w:val="110"/>
          <w:szCs w:val="110"/>
        </w:rPr>
        <w:t>YS</w:t>
      </w:r>
    </w:p>
    <w:p>
      <w:pPr>
        <w:pStyle w:val="47"/>
      </w:pPr>
      <w:r>
        <w:rPr>
          <w:rFonts w:hint="eastAsia"/>
        </w:rPr>
        <w:t>中华人民共和国有色金属行业标准</w:t>
      </w:r>
    </w:p>
    <w:p>
      <w:pPr>
        <w:adjustRightInd w:val="0"/>
        <w:snapToGrid w:val="0"/>
        <w:spacing w:beforeLines="50"/>
        <w:jc w:val="right"/>
        <w:rPr>
          <w:rFonts w:ascii="黑体" w:eastAsia="黑体"/>
          <w:sz w:val="28"/>
          <w:lang w:val="en-GB"/>
        </w:rPr>
      </w:pPr>
      <w:r>
        <w:rPr>
          <w:rFonts w:hint="eastAsia" w:ascii="黑体" w:eastAsia="黑体"/>
          <w:sz w:val="28"/>
        </w:rPr>
        <w:t xml:space="preserve">          YS/</w:t>
      </w:r>
      <w:r>
        <w:rPr>
          <w:rFonts w:ascii="黑体" w:eastAsia="黑体"/>
          <w:sz w:val="28"/>
        </w:rPr>
        <w:t>T</w:t>
      </w:r>
      <w:r>
        <w:rPr>
          <w:rFonts w:hint="eastAsia" w:ascii="黑体" w:eastAsia="黑体"/>
          <w:sz w:val="28"/>
        </w:rPr>
        <w:t xml:space="preserve"> 581.19</w:t>
      </w:r>
      <w:r>
        <w:rPr>
          <w:rFonts w:hint="eastAsia" w:ascii="黑体" w:eastAsia="黑体"/>
          <w:sz w:val="28"/>
          <w:lang w:val="en-GB"/>
        </w:rPr>
        <w:t>—20</w:t>
      </w:r>
      <w:r>
        <w:rPr>
          <w:rFonts w:hint="eastAsia" w:ascii="黑体" w:eastAsia="黑体"/>
          <w:sz w:val="28"/>
        </w:rPr>
        <w:t>2</w:t>
      </w:r>
      <w:r>
        <w:rPr>
          <w:rFonts w:hint="eastAsia" w:ascii="黑体" w:eastAsia="黑体"/>
          <w:sz w:val="28"/>
          <w:lang w:val="en-GB"/>
        </w:rPr>
        <w:t>X</w:t>
      </w:r>
    </w:p>
    <w:p>
      <w:pPr>
        <w:wordWrap w:val="0"/>
        <w:adjustRightInd w:val="0"/>
        <w:snapToGrid w:val="0"/>
        <w:spacing w:afterLines="50"/>
        <w:ind w:right="735"/>
      </w:pPr>
      <w:r>
        <w:pict>
          <v:line id="Line 2" o:spid="_x0000_s1026" o:spt="20" style="position:absolute;left:0pt;margin-left:-1.65pt;margin-top:3.65pt;height:0pt;width:479.75pt;z-index:251659264;mso-width-relative:page;mso-height-relative:page;" coordsize="21600,21600" o:gfxdata="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k+ntzWAAAABgEAAA8AAAAAAAAA&#10;AQAgAAAAIgAAAGRycy9kb3ducmV2LnhtbFBLAQIUABQAAAAIAIdO4kCQEyYF2gEAANoDAAAOAAAA&#10;AAAAAAEAIAAAACUBAABkcnMvZTJvRG9jLnhtbFBLBQYAAAAABgAGAFkBAABxBQAAAAA=&#10;">
            <v:path arrowok="t"/>
            <v:fill focussize="0,0"/>
            <v:stroke weight="1pt"/>
            <v:imagedata o:title=""/>
            <o:lock v:ext="edit"/>
          </v:line>
        </w:pict>
      </w:r>
    </w:p>
    <w:p>
      <w:pPr>
        <w:pStyle w:val="40"/>
        <w:framePr w:w="0" w:hRule="auto" w:wrap="auto" w:vAnchor="margin" w:hAnchor="text" w:xAlign="left" w:yAlign="inline"/>
        <w:rPr>
          <w:szCs w:val="22"/>
        </w:rPr>
      </w:pPr>
    </w:p>
    <w:p>
      <w:pPr>
        <w:pStyle w:val="40"/>
        <w:framePr w:w="0" w:hRule="auto" w:wrap="auto" w:vAnchor="margin" w:hAnchor="text" w:xAlign="left" w:yAlign="inline"/>
        <w:rPr>
          <w:szCs w:val="22"/>
        </w:rPr>
      </w:pPr>
    </w:p>
    <w:p>
      <w:pPr>
        <w:pStyle w:val="40"/>
        <w:framePr w:w="0" w:hRule="auto" w:wrap="auto" w:vAnchor="margin" w:hAnchor="text" w:xAlign="left" w:yAlign="inline"/>
        <w:spacing w:line="800" w:lineRule="exact"/>
        <w:rPr>
          <w:szCs w:val="22"/>
        </w:rPr>
      </w:pPr>
      <w:r>
        <w:rPr>
          <w:rFonts w:hint="eastAsia"/>
          <w:szCs w:val="22"/>
        </w:rPr>
        <w:t>氟化铝化学分析方法和物理性能测定方法 第19部分：元素含量的测定</w:t>
      </w:r>
    </w:p>
    <w:p>
      <w:pPr>
        <w:pStyle w:val="40"/>
        <w:framePr w:w="0" w:hRule="auto" w:wrap="auto" w:vAnchor="margin" w:hAnchor="text" w:xAlign="left" w:yAlign="inline"/>
        <w:spacing w:line="800" w:lineRule="exact"/>
        <w:rPr>
          <w:szCs w:val="22"/>
        </w:rPr>
      </w:pPr>
      <w:r>
        <w:rPr>
          <w:rFonts w:hint="eastAsia"/>
          <w:szCs w:val="22"/>
        </w:rPr>
        <w:t xml:space="preserve"> 电感耦合等离子体发射光谱法</w:t>
      </w:r>
    </w:p>
    <w:p>
      <w:pPr>
        <w:pStyle w:val="40"/>
        <w:framePr w:w="0" w:hRule="auto" w:wrap="auto" w:vAnchor="margin" w:hAnchor="text" w:xAlign="left" w:yAlign="inline"/>
        <w:spacing w:line="800" w:lineRule="exact"/>
        <w:rPr>
          <w:szCs w:val="22"/>
        </w:rPr>
      </w:pPr>
    </w:p>
    <w:p>
      <w:pPr>
        <w:pStyle w:val="33"/>
        <w:spacing w:before="0" w:line="240" w:lineRule="auto"/>
        <w:rPr>
          <w:rFonts w:eastAsia="黑体"/>
          <w:szCs w:val="28"/>
        </w:rPr>
      </w:pPr>
      <w:r>
        <w:rPr>
          <w:rFonts w:eastAsia="黑体"/>
          <w:szCs w:val="28"/>
        </w:rPr>
        <w:t xml:space="preserve">Determination of chemical contents and physical properties of aluminium floride  </w:t>
      </w:r>
    </w:p>
    <w:p>
      <w:pPr>
        <w:pStyle w:val="33"/>
        <w:spacing w:before="0" w:line="240" w:lineRule="auto"/>
        <w:rPr>
          <w:rFonts w:eastAsia="黑体"/>
          <w:szCs w:val="28"/>
        </w:rPr>
      </w:pPr>
      <w:r>
        <w:rPr>
          <w:rFonts w:eastAsia="黑体"/>
          <w:szCs w:val="28"/>
        </w:rPr>
        <w:t>—Part 19：Determination of elements  content</w:t>
      </w:r>
    </w:p>
    <w:p>
      <w:pPr>
        <w:pStyle w:val="33"/>
        <w:spacing w:before="0" w:line="240" w:lineRule="auto"/>
        <w:rPr>
          <w:rFonts w:ascii="黑体" w:eastAsia="黑体"/>
          <w:szCs w:val="28"/>
        </w:rPr>
      </w:pPr>
      <w:r>
        <w:rPr>
          <w:rFonts w:eastAsia="黑体"/>
          <w:szCs w:val="28"/>
        </w:rPr>
        <w:t>—Inductively coupled plasma atomic emission spectrometry method</w:t>
      </w:r>
    </w:p>
    <w:p>
      <w:pPr>
        <w:pStyle w:val="31"/>
        <w:rPr>
          <w:sz w:val="28"/>
          <w:szCs w:val="28"/>
        </w:rPr>
      </w:pPr>
    </w:p>
    <w:p>
      <w:pPr>
        <w:pStyle w:val="31"/>
        <w:rPr>
          <w:sz w:val="28"/>
          <w:szCs w:val="28"/>
        </w:rPr>
      </w:pPr>
      <w:r>
        <w:rPr>
          <w:rFonts w:hint="eastAsia"/>
          <w:sz w:val="28"/>
          <w:szCs w:val="28"/>
        </w:rPr>
        <w:t>（送审稿）</w:t>
      </w:r>
    </w:p>
    <w:p>
      <w:pPr>
        <w:rPr>
          <w:lang w:val="en-GB"/>
        </w:rPr>
      </w:pPr>
    </w:p>
    <w:p>
      <w:pPr>
        <w:rPr>
          <w:lang w:val="en-GB"/>
        </w:rPr>
      </w:pPr>
    </w:p>
    <w:p>
      <w:pPr>
        <w:spacing w:line="300" w:lineRule="exact"/>
        <w:rPr>
          <w:w w:val="150"/>
          <w:sz w:val="36"/>
        </w:rPr>
      </w:pPr>
      <w:r>
        <w:rPr>
          <w:rFonts w:ascii="黑体" w:eastAsia="黑体"/>
          <w:sz w:val="28"/>
        </w:rPr>
        <w:pict>
          <v:shape id="文本框 12" o:spid="_x0000_s1032" o:spt="202" type="#_x0000_t202" style="position:absolute;left:0pt;margin-left:333.3pt;margin-top:665.05pt;height:24.6pt;width:144.75pt;mso-position-horizontal-relative:margin;mso-position-vertical-relative:margin;z-index:251663360;mso-width-relative:page;mso-height-relative:page;" stroked="f" coordsize="21600,21600" o:gfxdata="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noUc9kAAAANAQAADwAAAAAAAAABACAAAAAi&#10;AAAAZHJzL2Rvd25yZXYueG1sUEsBAhQAFAAAAAgAh07iQGm6Dg7QAQAAnAMAAA4AAAAAAAAAAQAg&#10;AAAAKAEAAGRycy9lMm9Eb2MueG1sUEsFBgAAAAAGAAYAWQEAAGoFAAAAAA==&#10;">
            <v:path/>
            <v:fill focussize="0,0"/>
            <v:stroke on="f" joinstyle="miter"/>
            <v:imagedata o:title=""/>
            <o:lock v:ext="edit"/>
            <v:textbox inset="0mm,0mm,0mm,0mm">
              <w:txbxContent>
                <w:p>
                  <w:pPr>
                    <w:pStyle w:val="50"/>
                  </w:pPr>
                  <w:r>
                    <w:t>20</w:t>
                  </w:r>
                  <w:r>
                    <w:rPr>
                      <w:rFonts w:hint="eastAsia"/>
                    </w:rPr>
                    <w:t>2×-××-××实施</w:t>
                  </w:r>
                </w:p>
              </w:txbxContent>
            </v:textbox>
            <w10:anchorlock/>
          </v:shape>
        </w:pict>
      </w:r>
      <w:r>
        <w:rPr>
          <w:rFonts w:ascii="黑体" w:eastAsia="黑体"/>
          <w:sz w:val="28"/>
        </w:rPr>
        <w:pict>
          <v:shape id="fmFrame5" o:spid="_x0000_s1031" o:spt="202" type="#_x0000_t202" style="position:absolute;left:0pt;margin-left:8.1pt;margin-top:661.5pt;height:24.6pt;width:159pt;mso-position-horizontal-relative:margin;mso-position-vertical-relative:margin;z-index:251662336;mso-width-relative:page;mso-height-relative:page;" stroked="f" coordsize="21600,21600" o:gfxdata="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1gRvXXAAAADAEAAA8AAAAAAAAAAQAgAAAAIgAAAGRycy9kb3ducmV2LnhtbFBL&#10;AQIUABQAAAAIAIdO4kBEZK8jvgEAAJgDAAAOAAAAAAAAAAEAIAAAACYBAABkcnMvZTJvRG9jLnht&#10;bFBLBQYAAAAABgAGAFkBAABWBQAAAAA=&#10;">
            <v:path/>
            <v:fill focussize="0,0"/>
            <v:stroke on="f" joinstyle="miter"/>
            <v:imagedata o:title=""/>
            <o:lock v:ext="edit"/>
            <v:textbox inset="0mm,0mm,0mm,0mm">
              <w:txbxContent>
                <w:p>
                  <w:pPr>
                    <w:pStyle w:val="50"/>
                  </w:pPr>
                  <w:r>
                    <w:t>20</w:t>
                  </w:r>
                  <w:r>
                    <w:rPr>
                      <w:rFonts w:hint="eastAsia"/>
                    </w:rPr>
                    <w:t>2×-××-××发布</w:t>
                  </w:r>
                </w:p>
              </w:txbxContent>
            </v:textbox>
            <w10:anchorlock/>
          </v:shape>
        </w:pict>
      </w:r>
    </w:p>
    <w:p>
      <w:pPr>
        <w:spacing w:line="300" w:lineRule="exact"/>
        <w:rPr>
          <w:w w:val="150"/>
          <w:sz w:val="36"/>
        </w:rPr>
      </w:pPr>
    </w:p>
    <w:p>
      <w:pPr>
        <w:spacing w:line="300" w:lineRule="exact"/>
        <w:rPr>
          <w:rFonts w:eastAsia="MS Mincho"/>
          <w:sz w:val="52"/>
        </w:rPr>
        <w:sectPr>
          <w:headerReference r:id="rId5" w:type="first"/>
          <w:footerReference r:id="rId8" w:type="first"/>
          <w:headerReference r:id="rId3" w:type="default"/>
          <w:footerReference r:id="rId6" w:type="default"/>
          <w:headerReference r:id="rId4" w:type="even"/>
          <w:footerReference r:id="rId7" w:type="even"/>
          <w:pgSz w:w="11907" w:h="16840"/>
          <w:pgMar w:top="567" w:right="851" w:bottom="1134" w:left="1418" w:header="0" w:footer="397" w:gutter="0"/>
          <w:pgNumType w:start="0"/>
          <w:cols w:space="720" w:num="1"/>
          <w:titlePg/>
          <w:docGrid w:type="lines" w:linePitch="579" w:charSpace="0"/>
        </w:sectPr>
      </w:pPr>
      <w:r>
        <w:rPr>
          <w:rFonts w:eastAsia="黑体"/>
          <w:w w:val="150"/>
          <w:sz w:val="36"/>
        </w:rPr>
        <w:pict>
          <v:line id="直线 3" o:spid="_x0000_s1030" o:spt="20" style="position:absolute;left:0pt;flip:y;margin-left:2.15pt;margin-top:59.95pt;height:0pt;width:479.75pt;z-index:251660288;mso-width-relative:page;mso-height-relative:page;" coordsize="21600,21600" o:gfxdata="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Fg1&#10;itQAAAAJAQAADwAAAAAAAAABACAAAAAiAAAAZHJzL2Rvd25yZXYueG1sUEsBAhQAFAAAAAgAh07i&#10;QN6RLPvtAQAA5QMAAA4AAAAAAAAAAQAgAAAAIwEAAGRycy9lMm9Eb2MueG1sUEsFBgAAAAAGAAYA&#10;WQEAAIIFAAAAAA==&#10;">
            <v:path arrowok="t"/>
            <v:fill focussize="0,0"/>
            <v:stroke/>
            <v:imagedata o:title=""/>
            <o:lock v:ext="edit"/>
          </v:line>
        </w:pict>
      </w:r>
      <w:r>
        <w:rPr>
          <w:rFonts w:eastAsia="黑体"/>
          <w:sz w:val="36"/>
        </w:rPr>
        <w:pict>
          <v:shape id="fmFrame7" o:spid="_x0000_s1029" o:spt="202" type="#_x0000_t202" style="position:absolute;left:0pt;margin-left:0pt;margin-top:707.4pt;height:28.6pt;width:481.9pt;mso-position-horizontal-relative:margin;mso-position-vertical-relative:margin;z-index:251661312;mso-width-relative:page;mso-height-relative:page;" stroked="f" coordsize="21600,21600" o:gfxdata="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OZVj2AAAAAoBAAAPAAAAAAAAAAEAIAAAACIAAABkcnMvZG93bnJldi54bWxQ&#10;SwECFAAUAAAACACHTuJA7gv8Br4BAACYAwAADgAAAAAAAAABACAAAAAnAQAAZHJzL2Uyb0RvYy54&#10;bWxQSwUGAAAAAAYABgBZAQAAVwUAAAAA&#10;">
            <v:path/>
            <v:fill focussize="0,0"/>
            <v:stroke on="f" joinstyle="miter"/>
            <v:imagedata o:title=""/>
            <o:lock v:ext="edit"/>
            <v:textbox inset="0mm,0mm,0mm,0mm">
              <w:txbxContent>
                <w:p>
                  <w:pPr>
                    <w:pStyle w:val="49"/>
                  </w:pPr>
                  <w:r>
                    <w:rPr>
                      <w:rFonts w:hint="eastAsia"/>
                    </w:rPr>
                    <w:t>中华人民共和国工业和信息化部</w:t>
                  </w:r>
                  <w:r>
                    <w:rPr>
                      <w:rStyle w:val="48"/>
                      <w:rFonts w:hint="eastAsia"/>
                    </w:rPr>
                    <w:t xml:space="preserve"> 发布</w:t>
                  </w:r>
                </w:p>
              </w:txbxContent>
            </v:textbox>
            <w10:anchorlock/>
          </v:shape>
        </w:pict>
      </w:r>
    </w:p>
    <w:p>
      <w:pPr>
        <w:spacing w:beforeLines="100" w:afterLines="100"/>
        <w:ind w:left="420" w:leftChars="200"/>
        <w:jc w:val="center"/>
        <w:rPr>
          <w:rFonts w:ascii="黑体" w:eastAsia="黑体"/>
          <w:sz w:val="32"/>
          <w:szCs w:val="32"/>
        </w:rPr>
      </w:pPr>
      <w:r>
        <w:rPr>
          <w:rFonts w:hint="eastAsia" w:ascii="黑体" w:eastAsia="黑体"/>
          <w:sz w:val="32"/>
          <w:szCs w:val="32"/>
        </w:rPr>
        <w:t>前  言</w:t>
      </w:r>
    </w:p>
    <w:p>
      <w:pPr>
        <w:adjustRightInd w:val="0"/>
        <w:ind w:firstLine="420" w:firstLineChars="200"/>
        <w:rPr>
          <w:rFonts w:ascii="宋体" w:hAnsi="宋体"/>
          <w:color w:val="000000" w:themeColor="text1"/>
          <w:szCs w:val="21"/>
        </w:rPr>
      </w:pPr>
      <w:r>
        <w:rPr>
          <w:rFonts w:hint="eastAsia" w:ascii="宋体" w:hAnsi="宋体"/>
          <w:szCs w:val="21"/>
        </w:rPr>
        <w:t>本文件按照GB/T 1.1-2020《标准化工作导则 第1部分：标准化文件的结构和起草规则》</w:t>
      </w:r>
      <w:r>
        <w:rPr>
          <w:rFonts w:hint="eastAsia" w:ascii="宋体" w:hAnsi="宋体"/>
          <w:color w:val="000000" w:themeColor="text1"/>
          <w:szCs w:val="21"/>
        </w:rPr>
        <w:t>的规定起草。</w:t>
      </w:r>
    </w:p>
    <w:p>
      <w:pPr>
        <w:ind w:left="420" w:leftChars="200"/>
        <w:rPr>
          <w:rFonts w:ascii="黑体" w:eastAsia="黑体"/>
          <w:color w:val="000000" w:themeColor="text1"/>
          <w:sz w:val="24"/>
        </w:rPr>
      </w:pPr>
      <w:r>
        <w:rPr>
          <w:rFonts w:hint="eastAsia" w:ascii="宋体" w:hAnsi="宋体"/>
          <w:color w:val="000000" w:themeColor="text1"/>
          <w:szCs w:val="21"/>
        </w:rPr>
        <w:t>本文件是YS/T 581的第19部分。YS/T 581已经发布了以下部分：</w:t>
      </w:r>
    </w:p>
    <w:p>
      <w:pPr>
        <w:ind w:left="420" w:leftChars="200"/>
        <w:rPr>
          <w:rFonts w:ascii="宋体" w:hAnsi="宋体"/>
          <w:color w:val="000000" w:themeColor="text1"/>
        </w:rPr>
      </w:pPr>
      <w:r>
        <w:rPr>
          <w:rFonts w:hint="eastAsia" w:ascii="宋体" w:hAnsi="宋体"/>
          <w:color w:val="000000" w:themeColor="text1"/>
        </w:rPr>
        <w:t>——第1部分</w:t>
      </w:r>
      <w:r>
        <w:rPr>
          <w:rFonts w:hint="eastAsia" w:ascii="宋体" w:hAnsi="宋体"/>
          <w:color w:val="000000" w:themeColor="text1"/>
          <w:lang w:eastAsia="zh-CN"/>
        </w:rPr>
        <w:t>：</w:t>
      </w:r>
      <w:r>
        <w:rPr>
          <w:rFonts w:hint="eastAsia" w:ascii="宋体" w:hAnsi="宋体"/>
          <w:color w:val="000000" w:themeColor="text1"/>
        </w:rPr>
        <w:t>重量法测定湿存水含量</w:t>
      </w:r>
    </w:p>
    <w:p>
      <w:pPr>
        <w:ind w:left="420" w:leftChars="200"/>
        <w:rPr>
          <w:rFonts w:ascii="宋体" w:hAnsi="宋体"/>
          <w:color w:val="000000" w:themeColor="text1"/>
        </w:rPr>
      </w:pPr>
      <w:r>
        <w:rPr>
          <w:rFonts w:hint="eastAsia" w:ascii="宋体" w:hAnsi="宋体"/>
          <w:color w:val="000000" w:themeColor="text1"/>
        </w:rPr>
        <w:t>——第2部分</w:t>
      </w:r>
      <w:r>
        <w:rPr>
          <w:rFonts w:hint="eastAsia" w:ascii="宋体" w:hAnsi="宋体"/>
          <w:color w:val="000000" w:themeColor="text1"/>
          <w:lang w:eastAsia="zh-CN"/>
        </w:rPr>
        <w:t>：</w:t>
      </w:r>
      <w:r>
        <w:rPr>
          <w:rFonts w:hint="eastAsia" w:ascii="宋体" w:hAnsi="宋体"/>
          <w:color w:val="000000" w:themeColor="text1"/>
        </w:rPr>
        <w:t>烧减量的测定</w:t>
      </w:r>
    </w:p>
    <w:p>
      <w:pPr>
        <w:ind w:left="420" w:leftChars="200"/>
        <w:rPr>
          <w:rFonts w:ascii="宋体" w:hAnsi="宋体"/>
          <w:color w:val="000000" w:themeColor="text1"/>
        </w:rPr>
      </w:pPr>
      <w:r>
        <w:rPr>
          <w:rFonts w:hint="eastAsia" w:ascii="宋体" w:hAnsi="宋体"/>
          <w:color w:val="000000" w:themeColor="text1"/>
        </w:rPr>
        <w:t>——第3部分</w:t>
      </w:r>
      <w:r>
        <w:rPr>
          <w:rFonts w:hint="eastAsia" w:ascii="宋体" w:hAnsi="宋体"/>
          <w:color w:val="000000" w:themeColor="text1"/>
          <w:lang w:eastAsia="zh-CN"/>
        </w:rPr>
        <w:t>：</w:t>
      </w:r>
      <w:r>
        <w:rPr>
          <w:rFonts w:hint="eastAsia" w:ascii="宋体" w:hAnsi="宋体"/>
          <w:color w:val="000000" w:themeColor="text1"/>
        </w:rPr>
        <w:t>氟含量的测定</w:t>
      </w:r>
    </w:p>
    <w:p>
      <w:pPr>
        <w:ind w:left="420" w:leftChars="200"/>
        <w:rPr>
          <w:rFonts w:ascii="宋体" w:hAnsi="宋体"/>
          <w:color w:val="000000" w:themeColor="text1"/>
        </w:rPr>
      </w:pPr>
      <w:r>
        <w:rPr>
          <w:rFonts w:hint="eastAsia" w:ascii="宋体" w:hAnsi="宋体"/>
          <w:color w:val="000000" w:themeColor="text1"/>
        </w:rPr>
        <w:t>——第4部分</w:t>
      </w:r>
      <w:r>
        <w:rPr>
          <w:rFonts w:hint="eastAsia" w:ascii="宋体" w:hAnsi="宋体"/>
          <w:color w:val="000000" w:themeColor="text1"/>
          <w:lang w:eastAsia="zh-CN"/>
        </w:rPr>
        <w:t>：</w:t>
      </w:r>
      <w:r>
        <w:rPr>
          <w:rFonts w:hint="eastAsia" w:ascii="宋体" w:hAnsi="宋体"/>
          <w:color w:val="000000" w:themeColor="text1"/>
        </w:rPr>
        <w:t>EDTA容量法测定铝含量</w:t>
      </w:r>
    </w:p>
    <w:p>
      <w:pPr>
        <w:ind w:left="420" w:leftChars="200"/>
        <w:rPr>
          <w:rFonts w:ascii="宋体" w:hAnsi="宋体"/>
          <w:color w:val="000000" w:themeColor="text1"/>
        </w:rPr>
      </w:pPr>
      <w:r>
        <w:rPr>
          <w:rFonts w:hint="eastAsia" w:ascii="宋体" w:hAnsi="宋体"/>
          <w:color w:val="000000" w:themeColor="text1"/>
        </w:rPr>
        <w:t>——第5部分</w:t>
      </w:r>
      <w:r>
        <w:rPr>
          <w:rFonts w:hint="eastAsia" w:ascii="宋体" w:hAnsi="宋体"/>
          <w:color w:val="000000" w:themeColor="text1"/>
          <w:lang w:eastAsia="zh-CN"/>
        </w:rPr>
        <w:t>：</w:t>
      </w:r>
      <w:r>
        <w:rPr>
          <w:rFonts w:hint="eastAsia" w:ascii="宋体" w:hAnsi="宋体"/>
          <w:color w:val="000000" w:themeColor="text1"/>
        </w:rPr>
        <w:t>火焰原子吸收光谱法测定钠含量</w:t>
      </w:r>
    </w:p>
    <w:p>
      <w:pPr>
        <w:ind w:left="420" w:leftChars="200"/>
        <w:rPr>
          <w:rFonts w:ascii="宋体" w:hAnsi="宋体"/>
          <w:color w:val="000000" w:themeColor="text1"/>
        </w:rPr>
      </w:pPr>
      <w:r>
        <w:rPr>
          <w:rFonts w:hint="eastAsia" w:ascii="宋体" w:hAnsi="宋体"/>
          <w:color w:val="000000" w:themeColor="text1"/>
        </w:rPr>
        <w:t>——第6部分</w:t>
      </w:r>
      <w:r>
        <w:rPr>
          <w:rFonts w:hint="eastAsia" w:ascii="宋体" w:hAnsi="宋体"/>
          <w:color w:val="000000" w:themeColor="text1"/>
          <w:lang w:eastAsia="zh-CN"/>
        </w:rPr>
        <w:t>：</w:t>
      </w:r>
      <w:r>
        <w:rPr>
          <w:rFonts w:hint="eastAsia" w:ascii="宋体" w:hAnsi="宋体"/>
          <w:color w:val="000000" w:themeColor="text1"/>
        </w:rPr>
        <w:t>钼蓝分光光度法测定二氧化硅含量</w:t>
      </w:r>
    </w:p>
    <w:p>
      <w:pPr>
        <w:ind w:left="420" w:leftChars="200"/>
        <w:rPr>
          <w:rFonts w:ascii="宋体" w:hAnsi="宋体"/>
          <w:color w:val="000000" w:themeColor="text1"/>
        </w:rPr>
      </w:pPr>
      <w:r>
        <w:rPr>
          <w:rFonts w:hint="eastAsia" w:ascii="宋体" w:hAnsi="宋体"/>
          <w:color w:val="000000" w:themeColor="text1"/>
        </w:rPr>
        <w:t>——第7部分</w:t>
      </w:r>
      <w:r>
        <w:rPr>
          <w:rFonts w:hint="eastAsia" w:ascii="宋体" w:hAnsi="宋体"/>
          <w:color w:val="000000" w:themeColor="text1"/>
          <w:lang w:eastAsia="zh-CN"/>
        </w:rPr>
        <w:t>：</w:t>
      </w:r>
      <w:r>
        <w:rPr>
          <w:rFonts w:hint="eastAsia" w:ascii="宋体" w:hAnsi="宋体"/>
          <w:color w:val="000000" w:themeColor="text1"/>
        </w:rPr>
        <w:t>邻二氮杂菲分光光度法测定三氧化二铁含量</w:t>
      </w:r>
    </w:p>
    <w:p>
      <w:pPr>
        <w:ind w:left="420" w:leftChars="200"/>
        <w:rPr>
          <w:rFonts w:ascii="宋体" w:hAnsi="宋体"/>
          <w:color w:val="000000" w:themeColor="text1"/>
        </w:rPr>
      </w:pPr>
      <w:r>
        <w:rPr>
          <w:rFonts w:hint="eastAsia" w:ascii="宋体" w:hAnsi="宋体"/>
          <w:color w:val="000000" w:themeColor="text1"/>
        </w:rPr>
        <w:t>——第8部分</w:t>
      </w:r>
      <w:r>
        <w:rPr>
          <w:rFonts w:hint="eastAsia" w:ascii="宋体" w:hAnsi="宋体"/>
          <w:color w:val="000000" w:themeColor="text1"/>
          <w:lang w:eastAsia="zh-CN"/>
        </w:rPr>
        <w:t>：</w:t>
      </w:r>
      <w:r>
        <w:rPr>
          <w:rFonts w:hint="eastAsia" w:ascii="宋体" w:hAnsi="宋体"/>
          <w:color w:val="000000" w:themeColor="text1"/>
        </w:rPr>
        <w:t>硫酸钡重量法测定硫酸根含量</w:t>
      </w:r>
    </w:p>
    <w:p>
      <w:pPr>
        <w:ind w:left="420" w:leftChars="200"/>
        <w:rPr>
          <w:rFonts w:ascii="宋体" w:hAnsi="宋体"/>
          <w:color w:val="000000" w:themeColor="text1"/>
        </w:rPr>
      </w:pPr>
      <w:r>
        <w:rPr>
          <w:rFonts w:hint="eastAsia" w:ascii="宋体" w:hAnsi="宋体"/>
          <w:color w:val="000000" w:themeColor="text1"/>
        </w:rPr>
        <w:t>——第9部分</w:t>
      </w:r>
      <w:r>
        <w:rPr>
          <w:rFonts w:hint="eastAsia" w:ascii="宋体" w:hAnsi="宋体"/>
          <w:color w:val="000000" w:themeColor="text1"/>
          <w:lang w:eastAsia="zh-CN"/>
        </w:rPr>
        <w:t>：</w:t>
      </w:r>
      <w:r>
        <w:rPr>
          <w:rFonts w:hint="eastAsia" w:ascii="宋体" w:hAnsi="宋体"/>
          <w:color w:val="000000" w:themeColor="text1"/>
        </w:rPr>
        <w:t>钼蓝分光光度法测定五氧化二磷含量</w:t>
      </w:r>
    </w:p>
    <w:p>
      <w:pPr>
        <w:ind w:left="420" w:leftChars="200"/>
        <w:rPr>
          <w:rFonts w:ascii="宋体" w:hAnsi="宋体"/>
          <w:color w:val="000000" w:themeColor="text1"/>
        </w:rPr>
      </w:pPr>
      <w:r>
        <w:rPr>
          <w:rFonts w:hint="eastAsia" w:ascii="宋体" w:hAnsi="宋体"/>
          <w:color w:val="000000" w:themeColor="text1"/>
        </w:rPr>
        <w:t>——第10部分</w:t>
      </w:r>
      <w:r>
        <w:rPr>
          <w:rFonts w:hint="eastAsia" w:ascii="宋体" w:hAnsi="宋体"/>
          <w:color w:val="000000" w:themeColor="text1"/>
          <w:lang w:eastAsia="zh-CN"/>
        </w:rPr>
        <w:t>：</w:t>
      </w:r>
      <w:r>
        <w:rPr>
          <w:rFonts w:hint="eastAsia" w:ascii="宋体" w:hAnsi="宋体"/>
          <w:color w:val="000000" w:themeColor="text1"/>
        </w:rPr>
        <w:t>X射线荧光光谱分析法测定硫含量</w:t>
      </w:r>
    </w:p>
    <w:p>
      <w:pPr>
        <w:ind w:left="420" w:leftChars="200"/>
        <w:rPr>
          <w:rFonts w:ascii="宋体" w:hAnsi="宋体"/>
          <w:color w:val="000000" w:themeColor="text1"/>
        </w:rPr>
      </w:pPr>
      <w:r>
        <w:rPr>
          <w:rFonts w:hint="eastAsia" w:ascii="宋体" w:hAnsi="宋体"/>
          <w:color w:val="000000" w:themeColor="text1"/>
        </w:rPr>
        <w:t>——第11部分</w:t>
      </w:r>
      <w:r>
        <w:rPr>
          <w:rFonts w:hint="eastAsia" w:ascii="宋体" w:hAnsi="宋体"/>
          <w:color w:val="000000" w:themeColor="text1"/>
          <w:lang w:eastAsia="zh-CN"/>
        </w:rPr>
        <w:t>：</w:t>
      </w:r>
      <w:r>
        <w:rPr>
          <w:rFonts w:hint="eastAsia" w:ascii="宋体" w:hAnsi="宋体"/>
          <w:color w:val="000000" w:themeColor="text1"/>
        </w:rPr>
        <w:t>试样的制备和贮存</w:t>
      </w:r>
    </w:p>
    <w:p>
      <w:pPr>
        <w:ind w:left="420" w:leftChars="200"/>
        <w:rPr>
          <w:rFonts w:ascii="宋体" w:hAnsi="宋体"/>
          <w:color w:val="000000" w:themeColor="text1"/>
        </w:rPr>
      </w:pPr>
      <w:r>
        <w:rPr>
          <w:rFonts w:hint="eastAsia" w:ascii="宋体" w:hAnsi="宋体"/>
          <w:color w:val="000000" w:themeColor="text1"/>
        </w:rPr>
        <w:t>——第12部分</w:t>
      </w:r>
      <w:r>
        <w:rPr>
          <w:rFonts w:hint="eastAsia" w:ascii="宋体" w:hAnsi="宋体"/>
          <w:color w:val="000000" w:themeColor="text1"/>
          <w:lang w:eastAsia="zh-CN"/>
        </w:rPr>
        <w:t>：</w:t>
      </w:r>
      <w:r>
        <w:rPr>
          <w:rFonts w:hint="eastAsia" w:ascii="宋体" w:hAnsi="宋体"/>
          <w:color w:val="000000" w:themeColor="text1"/>
        </w:rPr>
        <w:t>粒度分布的测定  筛分法</w:t>
      </w:r>
    </w:p>
    <w:p>
      <w:pPr>
        <w:ind w:left="420" w:leftChars="200"/>
        <w:rPr>
          <w:rFonts w:ascii="宋体" w:hAnsi="宋体"/>
          <w:color w:val="000000" w:themeColor="text1"/>
        </w:rPr>
      </w:pPr>
      <w:r>
        <w:rPr>
          <w:rFonts w:hint="eastAsia" w:ascii="宋体" w:hAnsi="宋体"/>
          <w:color w:val="000000" w:themeColor="text1"/>
        </w:rPr>
        <w:t>——第13部分</w:t>
      </w:r>
      <w:r>
        <w:rPr>
          <w:rFonts w:hint="eastAsia" w:ascii="宋体" w:hAnsi="宋体"/>
          <w:color w:val="000000" w:themeColor="text1"/>
          <w:lang w:eastAsia="zh-CN"/>
        </w:rPr>
        <w:t>：</w:t>
      </w:r>
      <w:r>
        <w:rPr>
          <w:rFonts w:hint="eastAsia" w:ascii="宋体" w:hAnsi="宋体"/>
          <w:color w:val="000000" w:themeColor="text1"/>
        </w:rPr>
        <w:t>安息角的测定</w:t>
      </w:r>
    </w:p>
    <w:p>
      <w:pPr>
        <w:ind w:left="420" w:leftChars="200"/>
        <w:rPr>
          <w:rFonts w:ascii="宋体" w:hAnsi="宋体"/>
          <w:color w:val="000000" w:themeColor="text1"/>
        </w:rPr>
      </w:pPr>
      <w:r>
        <w:rPr>
          <w:rFonts w:hint="eastAsia" w:ascii="宋体" w:hAnsi="宋体"/>
          <w:color w:val="000000" w:themeColor="text1"/>
        </w:rPr>
        <w:t>——第14部分</w:t>
      </w:r>
      <w:r>
        <w:rPr>
          <w:rFonts w:hint="eastAsia" w:ascii="宋体" w:hAnsi="宋体"/>
          <w:color w:val="000000" w:themeColor="text1"/>
          <w:lang w:eastAsia="zh-CN"/>
        </w:rPr>
        <w:t>：</w:t>
      </w:r>
      <w:r>
        <w:rPr>
          <w:rFonts w:hint="eastAsia" w:ascii="宋体" w:hAnsi="宋体"/>
          <w:color w:val="000000" w:themeColor="text1"/>
        </w:rPr>
        <w:t>松装密度的测定</w:t>
      </w:r>
    </w:p>
    <w:p>
      <w:pPr>
        <w:ind w:left="420" w:leftChars="200"/>
        <w:rPr>
          <w:rFonts w:ascii="宋体" w:hAnsi="宋体"/>
          <w:color w:val="000000" w:themeColor="text1"/>
        </w:rPr>
      </w:pPr>
      <w:r>
        <w:rPr>
          <w:rFonts w:hint="eastAsia" w:ascii="宋体" w:hAnsi="宋体"/>
          <w:color w:val="000000" w:themeColor="text1"/>
        </w:rPr>
        <w:t>——第15部分</w:t>
      </w:r>
      <w:r>
        <w:rPr>
          <w:rFonts w:hint="eastAsia" w:ascii="宋体" w:hAnsi="宋体"/>
          <w:color w:val="000000" w:themeColor="text1"/>
          <w:lang w:eastAsia="zh-CN"/>
        </w:rPr>
        <w:t>：</w:t>
      </w:r>
      <w:r>
        <w:rPr>
          <w:rFonts w:hint="eastAsia" w:ascii="宋体" w:hAnsi="宋体"/>
          <w:color w:val="000000" w:themeColor="text1"/>
        </w:rPr>
        <w:t>游离氧化铝含量的测定</w:t>
      </w:r>
    </w:p>
    <w:p>
      <w:pPr>
        <w:ind w:left="420" w:leftChars="200"/>
        <w:rPr>
          <w:rFonts w:ascii="宋体" w:hAnsi="宋体"/>
          <w:color w:val="000000" w:themeColor="text1"/>
        </w:rPr>
      </w:pPr>
      <w:r>
        <w:rPr>
          <w:rFonts w:hint="eastAsia" w:ascii="宋体" w:hAnsi="宋体"/>
          <w:color w:val="000000" w:themeColor="text1"/>
        </w:rPr>
        <w:t>——第16部分</w:t>
      </w:r>
      <w:r>
        <w:rPr>
          <w:rFonts w:hint="eastAsia" w:ascii="宋体" w:hAnsi="宋体"/>
          <w:color w:val="000000" w:themeColor="text1"/>
          <w:lang w:eastAsia="zh-CN"/>
        </w:rPr>
        <w:t>：</w:t>
      </w:r>
      <w:r>
        <w:rPr>
          <w:rFonts w:hint="eastAsia" w:ascii="宋体" w:hAnsi="宋体"/>
          <w:color w:val="000000" w:themeColor="text1"/>
        </w:rPr>
        <w:t>X射线荧光光谱分析法测定元素含量</w:t>
      </w:r>
    </w:p>
    <w:p>
      <w:pPr>
        <w:ind w:left="420" w:leftChars="200"/>
        <w:rPr>
          <w:rFonts w:ascii="宋体" w:hAnsi="宋体"/>
          <w:color w:val="000000" w:themeColor="text1"/>
        </w:rPr>
      </w:pPr>
      <w:r>
        <w:rPr>
          <w:rFonts w:hint="eastAsia" w:ascii="宋体" w:hAnsi="宋体"/>
          <w:color w:val="000000" w:themeColor="text1"/>
        </w:rPr>
        <w:t>——第17部分</w:t>
      </w:r>
      <w:r>
        <w:rPr>
          <w:rFonts w:hint="eastAsia" w:ascii="宋体" w:hAnsi="宋体"/>
          <w:color w:val="000000" w:themeColor="text1"/>
          <w:lang w:eastAsia="zh-CN"/>
        </w:rPr>
        <w:t>：</w:t>
      </w:r>
      <w:r>
        <w:rPr>
          <w:rFonts w:hint="eastAsia" w:ascii="宋体" w:hAnsi="宋体"/>
          <w:color w:val="000000" w:themeColor="text1"/>
        </w:rPr>
        <w:t>流动性的测定</w:t>
      </w:r>
    </w:p>
    <w:p>
      <w:pPr>
        <w:ind w:right="183" w:rightChars="87"/>
        <w:rPr>
          <w:rFonts w:ascii="宋体" w:hAnsi="宋体"/>
          <w:color w:val="000000" w:themeColor="text1"/>
        </w:rPr>
      </w:pPr>
      <w:r>
        <w:rPr>
          <w:rFonts w:hint="eastAsia" w:ascii="宋体" w:hAnsi="宋体"/>
          <w:color w:val="000000" w:themeColor="text1"/>
        </w:rPr>
        <w:t xml:space="preserve">    ——第18部分</w:t>
      </w:r>
      <w:r>
        <w:rPr>
          <w:rFonts w:hint="eastAsia" w:ascii="宋体" w:hAnsi="宋体"/>
          <w:color w:val="000000" w:themeColor="text1"/>
          <w:lang w:eastAsia="zh-CN"/>
        </w:rPr>
        <w:t>：</w:t>
      </w:r>
      <w:r>
        <w:rPr>
          <w:rFonts w:hint="eastAsia" w:ascii="宋体" w:hAnsi="宋体"/>
          <w:color w:val="000000" w:themeColor="text1"/>
        </w:rPr>
        <w:t>AlF</w:t>
      </w:r>
      <w:r>
        <w:rPr>
          <w:rFonts w:hint="eastAsia" w:ascii="宋体" w:hAnsi="宋体"/>
          <w:color w:val="000000" w:themeColor="text1"/>
          <w:szCs w:val="21"/>
          <w:vertAlign w:val="subscript"/>
        </w:rPr>
        <w:t>3</w:t>
      </w:r>
      <w:r>
        <w:rPr>
          <w:rFonts w:hint="eastAsia" w:ascii="宋体" w:hAnsi="宋体"/>
          <w:color w:val="000000" w:themeColor="text1"/>
        </w:rPr>
        <w:t>含量的计算方法</w:t>
      </w:r>
    </w:p>
    <w:p>
      <w:pPr>
        <w:ind w:firstLine="420" w:firstLineChars="200"/>
        <w:rPr>
          <w:rFonts w:ascii="宋体" w:hAnsi="宋体"/>
          <w:color w:val="000000" w:themeColor="text1"/>
          <w:kern w:val="0"/>
        </w:rPr>
      </w:pPr>
      <w:r>
        <w:rPr>
          <w:rFonts w:hint="eastAsia" w:ascii="宋体" w:hAnsi="宋体"/>
          <w:color w:val="000000" w:themeColor="text1"/>
          <w:kern w:val="0"/>
        </w:rPr>
        <w:t>请注意本文件的某些内容可能涉及专利。本文件的发布机构不承担识别专利的责任。</w:t>
      </w:r>
    </w:p>
    <w:p>
      <w:pPr>
        <w:widowControl/>
        <w:numPr>
          <w:ilvl w:val="0"/>
          <w:numId w:val="1"/>
        </w:numPr>
        <w:autoSpaceDE w:val="0"/>
        <w:autoSpaceDN w:val="0"/>
        <w:adjustRightInd w:val="0"/>
        <w:snapToGrid w:val="0"/>
        <w:ind w:firstLine="420" w:firstLineChars="200"/>
        <w:jc w:val="left"/>
        <w:rPr>
          <w:rFonts w:ascii="宋体" w:hAnsi="宋体"/>
          <w:color w:val="000000" w:themeColor="text1"/>
          <w:spacing w:val="-2"/>
          <w:szCs w:val="21"/>
        </w:rPr>
      </w:pPr>
      <w:r>
        <w:rPr>
          <w:rFonts w:hint="eastAsia" w:ascii="宋体" w:hAnsi="宋体"/>
          <w:color w:val="000000" w:themeColor="text1"/>
          <w:szCs w:val="21"/>
        </w:rPr>
        <w:t>本文件</w:t>
      </w:r>
      <w:r>
        <w:rPr>
          <w:rFonts w:hint="eastAsia" w:ascii="宋体" w:hAnsi="宋体"/>
          <w:color w:val="000000" w:themeColor="text1"/>
          <w:spacing w:val="-2"/>
          <w:szCs w:val="21"/>
        </w:rPr>
        <w:t>由全国有色金属标准化技术委员会（SAC/TC243）提出并归口。</w:t>
      </w:r>
    </w:p>
    <w:p>
      <w:pPr>
        <w:widowControl/>
        <w:ind w:firstLine="420" w:firstLineChars="200"/>
        <w:jc w:val="left"/>
        <w:rPr>
          <w:rFonts w:ascii="宋体" w:hAnsi="宋体"/>
          <w:color w:val="000000" w:themeColor="text1"/>
        </w:rPr>
      </w:pPr>
      <w:r>
        <w:rPr>
          <w:rFonts w:hint="eastAsia" w:ascii="宋体" w:hAnsi="宋体"/>
          <w:color w:val="000000" w:themeColor="text1"/>
          <w:szCs w:val="21"/>
        </w:rPr>
        <w:t>本文件</w:t>
      </w:r>
      <w:r>
        <w:rPr>
          <w:rFonts w:hint="eastAsia" w:ascii="宋体" w:hAnsi="宋体"/>
          <w:color w:val="000000" w:themeColor="text1"/>
          <w:spacing w:val="-2"/>
          <w:szCs w:val="21"/>
        </w:rPr>
        <w:t>起草单位：</w:t>
      </w:r>
      <w:r>
        <w:rPr>
          <w:rFonts w:hint="eastAsia"/>
          <w:color w:val="000000" w:themeColor="text1"/>
        </w:rPr>
        <w:t>中铝郑州有色金属研究院有限公司、</w:t>
      </w:r>
      <w:r>
        <w:rPr>
          <w:rFonts w:hint="eastAsia" w:ascii="宋体" w:hAnsi="宋体"/>
          <w:color w:val="000000" w:themeColor="text1"/>
        </w:rPr>
        <w:t>多氟多新材料股份有限公司、内蒙古霍煤鸿骏铝电有限责任公司、中铝材料应用</w:t>
      </w:r>
      <w:r>
        <w:rPr>
          <w:rFonts w:ascii="宋体" w:hAnsi="宋体"/>
          <w:color w:val="000000" w:themeColor="text1"/>
        </w:rPr>
        <w:t>研究院有限公司</w:t>
      </w:r>
      <w:r>
        <w:rPr>
          <w:rFonts w:hint="eastAsia" w:ascii="宋体" w:hAnsi="宋体"/>
          <w:color w:val="000000" w:themeColor="text1"/>
        </w:rPr>
        <w:t>、贵州分析测试研究院、新疆众和股份有限公司、广东省科学院工业分析检测中心。</w:t>
      </w:r>
    </w:p>
    <w:p>
      <w:pPr>
        <w:ind w:left="420" w:leftChars="200"/>
        <w:rPr>
          <w:rFonts w:ascii="宋体" w:hAnsi="宋体"/>
          <w:color w:val="000000" w:themeColor="text1"/>
        </w:rPr>
      </w:pPr>
      <w:r>
        <w:rPr>
          <w:rFonts w:hint="eastAsia" w:ascii="宋体" w:hAnsi="宋体"/>
          <w:color w:val="000000" w:themeColor="text1"/>
        </w:rPr>
        <w:t>本文件主要起草人：XXX、XXX。</w:t>
      </w:r>
    </w:p>
    <w:p>
      <w:pPr>
        <w:ind w:left="420" w:leftChars="200"/>
        <w:rPr>
          <w:rFonts w:ascii="宋体" w:hAnsi="宋体"/>
          <w:color w:val="000000" w:themeColor="text1"/>
        </w:rPr>
      </w:pPr>
      <w:r>
        <w:rPr>
          <w:rFonts w:hint="eastAsia" w:ascii="宋体" w:hAnsi="宋体"/>
          <w:color w:val="000000" w:themeColor="text1"/>
        </w:rPr>
        <w:t>本部分是首次起草。</w:t>
      </w:r>
    </w:p>
    <w:p>
      <w:pPr>
        <w:ind w:left="420" w:leftChars="200"/>
        <w:rPr>
          <w:rFonts w:ascii="宋体" w:hAnsi="宋体"/>
          <w:color w:val="000000" w:themeColor="text1"/>
        </w:rPr>
      </w:pPr>
    </w:p>
    <w:p>
      <w:pPr>
        <w:ind w:left="420" w:leftChars="200" w:firstLine="420" w:firstLineChars="200"/>
        <w:rPr>
          <w:rFonts w:ascii="宋体" w:hAnsi="宋体"/>
          <w:color w:val="000000" w:themeColor="text1"/>
        </w:rPr>
      </w:pPr>
    </w:p>
    <w:p>
      <w:pPr>
        <w:ind w:left="420" w:leftChars="200" w:firstLine="420" w:firstLineChars="200"/>
        <w:rPr>
          <w:rFonts w:ascii="宋体" w:hAnsi="宋体"/>
          <w:color w:val="FF0000"/>
        </w:rPr>
      </w:pPr>
    </w:p>
    <w:p>
      <w:pPr>
        <w:ind w:left="420" w:leftChars="200" w:firstLine="420" w:firstLineChars="200"/>
        <w:rPr>
          <w:rFonts w:ascii="宋体" w:hAnsi="宋体"/>
          <w:color w:val="FF0000"/>
        </w:rPr>
      </w:pPr>
    </w:p>
    <w:p>
      <w:pPr>
        <w:ind w:left="420" w:leftChars="200" w:firstLine="420" w:firstLineChars="200"/>
        <w:rPr>
          <w:rFonts w:ascii="宋体" w:hAnsi="宋体"/>
          <w:color w:val="FF0000"/>
        </w:rPr>
      </w:pPr>
    </w:p>
    <w:p>
      <w:pPr>
        <w:ind w:left="420" w:leftChars="200" w:firstLine="420" w:firstLineChars="200"/>
        <w:rPr>
          <w:rFonts w:ascii="宋体" w:hAnsi="宋体"/>
          <w:color w:val="FF0000"/>
        </w:rPr>
      </w:pPr>
    </w:p>
    <w:p>
      <w:pPr>
        <w:ind w:left="420" w:leftChars="200" w:firstLine="420" w:firstLineChars="200"/>
        <w:rPr>
          <w:rFonts w:ascii="宋体" w:hAnsi="宋体"/>
          <w:color w:val="FF0000"/>
        </w:rPr>
      </w:pPr>
    </w:p>
    <w:p>
      <w:pPr>
        <w:ind w:left="420" w:leftChars="200" w:firstLine="420" w:firstLineChars="200"/>
        <w:rPr>
          <w:rFonts w:ascii="宋体" w:hAnsi="宋体"/>
          <w:color w:val="FF0000"/>
        </w:rPr>
      </w:pPr>
    </w:p>
    <w:p>
      <w:pPr>
        <w:ind w:left="420" w:leftChars="200" w:firstLine="420" w:firstLineChars="200"/>
        <w:rPr>
          <w:rFonts w:ascii="宋体" w:hAnsi="宋体"/>
          <w:color w:val="FF0000"/>
        </w:rPr>
      </w:pPr>
    </w:p>
    <w:p>
      <w:pPr>
        <w:ind w:left="420" w:leftChars="200" w:firstLine="420" w:firstLineChars="200"/>
        <w:rPr>
          <w:rFonts w:ascii="宋体" w:hAnsi="宋体"/>
          <w:color w:val="FF0000"/>
        </w:rPr>
      </w:pPr>
    </w:p>
    <w:p>
      <w:pPr>
        <w:ind w:left="420" w:leftChars="200" w:firstLine="420" w:firstLineChars="200"/>
        <w:rPr>
          <w:rFonts w:ascii="宋体" w:hAnsi="宋体"/>
          <w:color w:val="FF0000"/>
        </w:rPr>
      </w:pPr>
    </w:p>
    <w:p>
      <w:pPr>
        <w:tabs>
          <w:tab w:val="left" w:pos="5910"/>
        </w:tabs>
        <w:spacing w:beforeLines="100" w:afterLines="100"/>
        <w:jc w:val="center"/>
        <w:rPr>
          <w:rFonts w:ascii="黑体" w:hAnsi="黑体" w:eastAsia="黑体"/>
          <w:sz w:val="32"/>
          <w:szCs w:val="32"/>
        </w:rPr>
      </w:pPr>
      <w:r>
        <w:rPr>
          <w:rFonts w:hint="eastAsia" w:ascii="黑体" w:hAnsi="黑体" w:eastAsia="黑体"/>
          <w:sz w:val="32"/>
          <w:szCs w:val="32"/>
        </w:rPr>
        <w:t>引    言</w:t>
      </w:r>
    </w:p>
    <w:p>
      <w:pPr>
        <w:adjustRightInd w:val="0"/>
        <w:snapToGrid w:val="0"/>
        <w:spacing w:beforeLines="50"/>
        <w:rPr>
          <w:rFonts w:ascii="宋体" w:hAnsi="宋体"/>
          <w:szCs w:val="21"/>
        </w:rPr>
      </w:pPr>
      <w:r>
        <w:rPr>
          <w:rFonts w:hint="eastAsia" w:ascii="宋体" w:hAnsi="宋体"/>
          <w:szCs w:val="21"/>
        </w:rPr>
        <w:t xml:space="preserve">    YS/</w:t>
      </w:r>
      <w:r>
        <w:rPr>
          <w:rFonts w:ascii="宋体" w:hAnsi="宋体"/>
          <w:szCs w:val="21"/>
        </w:rPr>
        <w:t>T</w:t>
      </w:r>
      <w:r>
        <w:rPr>
          <w:rFonts w:hint="eastAsia" w:ascii="宋体" w:hAnsi="宋体"/>
          <w:szCs w:val="21"/>
        </w:rPr>
        <w:t xml:space="preserve"> 581.19—202X《</w:t>
      </w:r>
      <w:r>
        <w:rPr>
          <w:rFonts w:hint="eastAsia" w:ascii="宋体" w:hAnsi="宋体"/>
        </w:rPr>
        <w:t>氟化铝化学分析方法和物理性能测定方法第19部分 元素含量的测定 电感耦合等离子体发射光谱法</w:t>
      </w:r>
      <w:r>
        <w:rPr>
          <w:rFonts w:hint="eastAsia" w:ascii="宋体" w:hAnsi="宋体"/>
          <w:szCs w:val="21"/>
        </w:rPr>
        <w:t>》是氟化铝化学分析方法的系列标准之一，该系列标准共有19部分，在氟化铝生产过程中、实验室间分析比对及生产设备和工艺的改进等多领域应用广泛。</w:t>
      </w:r>
    </w:p>
    <w:p>
      <w:pPr>
        <w:ind w:firstLine="420" w:firstLineChars="200"/>
        <w:rPr>
          <w:rFonts w:ascii="宋体" w:hAnsi="宋体"/>
          <w:szCs w:val="21"/>
        </w:rPr>
      </w:pPr>
      <w:r>
        <w:rPr>
          <w:rFonts w:hint="eastAsia" w:ascii="宋体" w:hAnsi="宋体"/>
          <w:szCs w:val="21"/>
        </w:rPr>
        <w:t>YS/</w:t>
      </w:r>
      <w:r>
        <w:rPr>
          <w:rFonts w:ascii="宋体" w:hAnsi="宋体"/>
          <w:szCs w:val="21"/>
        </w:rPr>
        <w:t>T</w:t>
      </w:r>
      <w:r>
        <w:rPr>
          <w:rFonts w:hint="eastAsia" w:ascii="宋体" w:hAnsi="宋体"/>
          <w:szCs w:val="21"/>
        </w:rPr>
        <w:t xml:space="preserve"> 581.19—202X《</w:t>
      </w:r>
      <w:r>
        <w:rPr>
          <w:rFonts w:hint="eastAsia" w:ascii="宋体" w:hAnsi="宋体"/>
        </w:rPr>
        <w:t>氟化铝化学分析方法和物理性能测定方法第19部分 元素含量的测定 电感耦合等离子体发射光谱法</w:t>
      </w:r>
      <w:r>
        <w:rPr>
          <w:rFonts w:hint="eastAsia" w:ascii="宋体" w:hAnsi="宋体"/>
          <w:szCs w:val="21"/>
        </w:rPr>
        <w:t>》是有色行业氟化铝生产过程中质量控制的重要标准，也是有色行业分析检测的基础标准之一。该标准基于先进成熟的光谱检测技术，查阅国际标准和国外先进国家或组织发布的标准均没有相同内容和规范。</w:t>
      </w:r>
    </w:p>
    <w:p>
      <w:pPr>
        <w:ind w:firstLine="420" w:firstLineChars="200"/>
        <w:rPr>
          <w:rFonts w:ascii="宋体" w:hAnsi="宋体"/>
          <w:szCs w:val="21"/>
        </w:rPr>
      </w:pPr>
      <w:r>
        <w:rPr>
          <w:rFonts w:hint="eastAsia" w:ascii="宋体" w:hAnsi="宋体" w:cs="宋体"/>
          <w:szCs w:val="21"/>
        </w:rPr>
        <w:t>本</w:t>
      </w:r>
      <w:r>
        <w:rPr>
          <w:rFonts w:hint="eastAsia" w:ascii="宋体" w:hAnsi="宋体"/>
          <w:szCs w:val="21"/>
        </w:rPr>
        <w:t>文件条款详细，有助于分析检测领域相关人员参照执行，为</w:t>
      </w:r>
      <w:r>
        <w:rPr>
          <w:rFonts w:hint="eastAsia" w:ascii="宋体" w:hAnsi="宋体"/>
          <w:color w:val="000000"/>
          <w:szCs w:val="21"/>
        </w:rPr>
        <w:t>企业分析</w:t>
      </w:r>
      <w:r>
        <w:rPr>
          <w:rFonts w:hint="eastAsia" w:ascii="宋体" w:hAnsi="宋体"/>
          <w:szCs w:val="21"/>
        </w:rPr>
        <w:t>氟化铝中的元素含量</w:t>
      </w:r>
      <w:r>
        <w:rPr>
          <w:rFonts w:hint="eastAsia" w:ascii="宋体" w:hAnsi="宋体"/>
          <w:color w:val="000000"/>
          <w:szCs w:val="21"/>
        </w:rPr>
        <w:t>提供重要依据。</w:t>
      </w:r>
    </w:p>
    <w:p>
      <w:pPr>
        <w:jc w:val="center"/>
        <w:rPr>
          <w:rFonts w:ascii="黑体" w:hAnsi="宋体" w:eastAsia="黑体"/>
          <w:sz w:val="32"/>
          <w:szCs w:val="32"/>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jc w:val="center"/>
        <w:rPr>
          <w:rFonts w:ascii="黑体" w:eastAsia="黑体"/>
          <w:bCs/>
          <w:sz w:val="28"/>
          <w:szCs w:val="28"/>
        </w:rPr>
      </w:pPr>
    </w:p>
    <w:p>
      <w:pPr>
        <w:spacing w:line="500" w:lineRule="exact"/>
        <w:rPr>
          <w:rFonts w:ascii="黑体" w:eastAsia="黑体"/>
          <w:bCs/>
          <w:sz w:val="28"/>
          <w:szCs w:val="28"/>
        </w:rPr>
      </w:pPr>
    </w:p>
    <w:p>
      <w:pPr>
        <w:spacing w:line="500" w:lineRule="exact"/>
        <w:jc w:val="center"/>
        <w:rPr>
          <w:rFonts w:ascii="黑体" w:eastAsia="黑体"/>
          <w:bCs/>
          <w:sz w:val="32"/>
          <w:szCs w:val="32"/>
        </w:rPr>
      </w:pPr>
      <w:r>
        <w:rPr>
          <w:rFonts w:hint="eastAsia" w:ascii="黑体" w:eastAsia="黑体"/>
          <w:bCs/>
          <w:sz w:val="32"/>
          <w:szCs w:val="32"/>
        </w:rPr>
        <w:t xml:space="preserve">氟化铝化学分析方法和物理性能测定方法 </w:t>
      </w:r>
    </w:p>
    <w:p>
      <w:pPr>
        <w:spacing w:line="500" w:lineRule="exact"/>
        <w:jc w:val="center"/>
        <w:rPr>
          <w:rFonts w:ascii="黑体" w:eastAsia="黑体"/>
          <w:bCs/>
          <w:sz w:val="32"/>
          <w:szCs w:val="32"/>
        </w:rPr>
      </w:pPr>
      <w:r>
        <w:rPr>
          <w:rFonts w:hint="eastAsia" w:ascii="黑体" w:eastAsia="黑体"/>
          <w:bCs/>
          <w:sz w:val="32"/>
          <w:szCs w:val="32"/>
        </w:rPr>
        <w:t xml:space="preserve">第19部分：元素含量的测定 </w:t>
      </w:r>
    </w:p>
    <w:p>
      <w:pPr>
        <w:spacing w:afterLines="100" w:line="500" w:lineRule="exact"/>
        <w:jc w:val="center"/>
        <w:rPr>
          <w:rStyle w:val="51"/>
          <w:rFonts w:ascii="黑体" w:hAnsi="宋体" w:eastAsia="黑体"/>
          <w:color w:val="000000"/>
          <w:sz w:val="32"/>
          <w:szCs w:val="32"/>
        </w:rPr>
      </w:pPr>
      <w:r>
        <w:rPr>
          <w:rFonts w:hint="eastAsia" w:ascii="黑体" w:eastAsia="黑体"/>
          <w:bCs/>
          <w:sz w:val="32"/>
          <w:szCs w:val="32"/>
        </w:rPr>
        <w:t>电感耦合等离子体发射光谱法</w:t>
      </w:r>
    </w:p>
    <w:p>
      <w:pPr>
        <w:spacing w:beforeLines="50" w:afterLines="50"/>
        <w:ind w:firstLine="420" w:firstLineChars="200"/>
        <w:jc w:val="left"/>
        <w:outlineLvl w:val="0"/>
        <w:rPr>
          <w:rFonts w:ascii="黑体" w:eastAsia="黑体"/>
          <w:sz w:val="32"/>
          <w:szCs w:val="32"/>
        </w:rPr>
      </w:pPr>
      <w:r>
        <w:rPr>
          <w:rFonts w:hint="eastAsia" w:ascii="黑体" w:hAnsi="黑体" w:eastAsia="黑体" w:cs="黑体"/>
          <w:szCs w:val="21"/>
        </w:rPr>
        <w:t>警示—使用本文件的人员应有正规实验室工作的实践经验。本文件并未指出所有可能的安全问题。使用者有责任采取适当的安全和健康措施，并保证符合国家有关法规规定的条件。</w:t>
      </w:r>
    </w:p>
    <w:p>
      <w:pPr>
        <w:pStyle w:val="39"/>
        <w:numPr>
          <w:ilvl w:val="0"/>
          <w:numId w:val="0"/>
        </w:numPr>
        <w:spacing w:beforeLines="100" w:afterLines="100"/>
        <w:rPr>
          <w:rFonts w:hAnsi="黑体" w:cs="黑体"/>
        </w:rPr>
      </w:pPr>
      <w:r>
        <w:rPr>
          <w:rFonts w:hAnsi="黑体" w:cs="黑体"/>
        </w:rPr>
        <w:t>1  范围</w:t>
      </w:r>
    </w:p>
    <w:p>
      <w:pPr>
        <w:ind w:firstLine="420" w:firstLineChars="200"/>
        <w:rPr>
          <w:rFonts w:ascii="宋体" w:hAnsi="宋体"/>
          <w:szCs w:val="21"/>
        </w:rPr>
      </w:pPr>
      <w:r>
        <w:rPr>
          <w:rFonts w:hint="eastAsia" w:ascii="宋体" w:hAnsi="宋体"/>
          <w:szCs w:val="21"/>
        </w:rPr>
        <w:t>本文件规定了氟化铝中Al、Na、Fe、P、Ca、Li、Zn含量的测定方法。</w:t>
      </w:r>
    </w:p>
    <w:p>
      <w:pPr>
        <w:ind w:firstLine="420" w:firstLineChars="200"/>
        <w:rPr>
          <w:rFonts w:ascii="宋体" w:hAnsi="宋体"/>
          <w:szCs w:val="21"/>
        </w:rPr>
      </w:pPr>
      <w:r>
        <w:rPr>
          <w:rFonts w:hint="eastAsia" w:ascii="宋体" w:hAnsi="宋体"/>
          <w:szCs w:val="21"/>
        </w:rPr>
        <w:t xml:space="preserve">本文件适用于氟化铝中Al、Na、Fe、P、Ca、Li、Zn含量的测定。测定范围见表1： </w:t>
      </w:r>
    </w:p>
    <w:p>
      <w:pPr>
        <w:pStyle w:val="8"/>
        <w:jc w:val="center"/>
        <w:rPr>
          <w:rFonts w:ascii="黑体" w:eastAsia="黑体"/>
        </w:rPr>
      </w:pPr>
      <w:r>
        <w:rPr>
          <w:rFonts w:hint="eastAsia" w:ascii="黑体" w:eastAsia="黑体"/>
        </w:rPr>
        <w:t>表1</w:t>
      </w:r>
    </w:p>
    <w:tbl>
      <w:tblPr>
        <w:tblStyle w:val="15"/>
        <w:tblW w:w="4998"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280"/>
        <w:gridCol w:w="2880"/>
        <w:gridCol w:w="1280"/>
        <w:gridCol w:w="307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bottom w:val="single" w:color="auto" w:sz="12" w:space="0"/>
            </w:tcBorders>
            <w:vAlign w:val="center"/>
          </w:tcPr>
          <w:p>
            <w:pPr>
              <w:jc w:val="center"/>
              <w:rPr>
                <w:rFonts w:ascii="宋体" w:hAnsi="宋体"/>
                <w:sz w:val="18"/>
                <w:szCs w:val="18"/>
              </w:rPr>
            </w:pPr>
            <w:r>
              <w:rPr>
                <w:rFonts w:hint="eastAsia" w:ascii="宋体" w:hAnsi="宋体"/>
                <w:sz w:val="18"/>
                <w:szCs w:val="18"/>
              </w:rPr>
              <w:t>元素</w:t>
            </w:r>
          </w:p>
        </w:tc>
        <w:tc>
          <w:tcPr>
            <w:tcW w:w="1690" w:type="pct"/>
            <w:tcBorders>
              <w:bottom w:val="single" w:color="auto" w:sz="12" w:space="0"/>
            </w:tcBorders>
            <w:vAlign w:val="center"/>
          </w:tcPr>
          <w:p>
            <w:pPr>
              <w:jc w:val="center"/>
              <w:rPr>
                <w:rFonts w:ascii="宋体" w:hAnsi="宋体"/>
                <w:sz w:val="18"/>
                <w:szCs w:val="18"/>
              </w:rPr>
            </w:pPr>
            <w:r>
              <w:rPr>
                <w:rFonts w:hint="eastAsia" w:ascii="宋体" w:hAnsi="宋体"/>
                <w:sz w:val="18"/>
                <w:szCs w:val="18"/>
              </w:rPr>
              <w:t>范围/%</w:t>
            </w:r>
          </w:p>
        </w:tc>
        <w:tc>
          <w:tcPr>
            <w:tcW w:w="751" w:type="pct"/>
            <w:tcBorders>
              <w:bottom w:val="single" w:color="auto" w:sz="12" w:space="0"/>
            </w:tcBorders>
            <w:vAlign w:val="center"/>
          </w:tcPr>
          <w:p>
            <w:pPr>
              <w:jc w:val="center"/>
              <w:rPr>
                <w:rFonts w:ascii="宋体" w:hAnsi="宋体"/>
                <w:sz w:val="18"/>
                <w:szCs w:val="18"/>
              </w:rPr>
            </w:pPr>
            <w:r>
              <w:rPr>
                <w:rFonts w:hint="eastAsia" w:ascii="宋体" w:hAnsi="宋体"/>
                <w:sz w:val="18"/>
                <w:szCs w:val="18"/>
              </w:rPr>
              <w:t>元素</w:t>
            </w:r>
          </w:p>
        </w:tc>
        <w:tc>
          <w:tcPr>
            <w:tcW w:w="1807" w:type="pct"/>
            <w:tcBorders>
              <w:bottom w:val="single" w:color="auto" w:sz="12" w:space="0"/>
            </w:tcBorders>
            <w:vAlign w:val="center"/>
          </w:tcPr>
          <w:p>
            <w:pPr>
              <w:jc w:val="center"/>
              <w:rPr>
                <w:rFonts w:ascii="宋体" w:hAnsi="宋体"/>
                <w:sz w:val="18"/>
                <w:szCs w:val="18"/>
              </w:rPr>
            </w:pPr>
            <w:r>
              <w:rPr>
                <w:rFonts w:hint="eastAsia" w:ascii="宋体" w:hAnsi="宋体"/>
                <w:sz w:val="18"/>
                <w:szCs w:val="18"/>
              </w:rPr>
              <w:t>范围/</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top w:val="single" w:color="auto" w:sz="12" w:space="0"/>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Al</w:t>
            </w:r>
          </w:p>
        </w:tc>
        <w:tc>
          <w:tcPr>
            <w:tcW w:w="1690" w:type="pct"/>
            <w:tcBorders>
              <w:top w:val="single" w:color="auto" w:sz="12" w:space="0"/>
              <w:tl2br w:val="nil"/>
              <w:tr2bl w:val="nil"/>
            </w:tcBorders>
            <w:vAlign w:val="center"/>
          </w:tcPr>
          <w:p>
            <w:pPr>
              <w:jc w:val="center"/>
              <w:rPr>
                <w:rFonts w:ascii="宋体" w:hAnsi="宋体"/>
                <w:sz w:val="18"/>
                <w:szCs w:val="18"/>
              </w:rPr>
            </w:pPr>
            <w:r>
              <w:rPr>
                <w:rFonts w:hint="eastAsia" w:ascii="宋体" w:hAnsi="宋体"/>
                <w:sz w:val="18"/>
                <w:szCs w:val="18"/>
              </w:rPr>
              <w:t>30.0～35.0</w:t>
            </w:r>
          </w:p>
        </w:tc>
        <w:tc>
          <w:tcPr>
            <w:tcW w:w="751" w:type="pct"/>
            <w:tcBorders>
              <w:top w:val="single" w:color="auto" w:sz="12" w:space="0"/>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P</w:t>
            </w:r>
          </w:p>
        </w:tc>
        <w:tc>
          <w:tcPr>
            <w:tcW w:w="1807" w:type="pct"/>
            <w:tcBorders>
              <w:top w:val="single" w:color="auto" w:sz="12" w:space="0"/>
              <w:tl2br w:val="nil"/>
              <w:tr2bl w:val="nil"/>
            </w:tcBorders>
            <w:vAlign w:val="center"/>
          </w:tcPr>
          <w:p>
            <w:pPr>
              <w:jc w:val="center"/>
              <w:rPr>
                <w:rFonts w:ascii="宋体" w:hAnsi="宋体"/>
                <w:sz w:val="18"/>
                <w:szCs w:val="18"/>
              </w:rPr>
            </w:pPr>
            <w:r>
              <w:rPr>
                <w:rFonts w:hint="eastAsia" w:ascii="宋体" w:hAnsi="宋体"/>
                <w:color w:val="000000"/>
                <w:sz w:val="18"/>
                <w:szCs w:val="18"/>
              </w:rPr>
              <w:t>0.001</w:t>
            </w:r>
            <w:r>
              <w:rPr>
                <w:rFonts w:hint="eastAsia" w:ascii="宋体" w:hAnsi="宋体"/>
                <w:sz w:val="18"/>
                <w:szCs w:val="18"/>
              </w:rPr>
              <w:t>～0.060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Na</w:t>
            </w:r>
          </w:p>
        </w:tc>
        <w:tc>
          <w:tcPr>
            <w:tcW w:w="1690" w:type="pct"/>
            <w:tcBorders>
              <w:tl2br w:val="nil"/>
              <w:tr2bl w:val="nil"/>
            </w:tcBorders>
            <w:vAlign w:val="center"/>
          </w:tcPr>
          <w:p>
            <w:pPr>
              <w:jc w:val="center"/>
              <w:rPr>
                <w:rFonts w:ascii="宋体" w:hAnsi="宋体"/>
                <w:sz w:val="18"/>
                <w:szCs w:val="18"/>
              </w:rPr>
            </w:pPr>
            <w:r>
              <w:rPr>
                <w:rFonts w:hint="eastAsia" w:ascii="宋体" w:hAnsi="宋体"/>
                <w:sz w:val="18"/>
                <w:szCs w:val="18"/>
              </w:rPr>
              <w:t>0.02～0.60</w:t>
            </w:r>
          </w:p>
        </w:tc>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 xml:space="preserve">Ca </w:t>
            </w:r>
          </w:p>
        </w:tc>
        <w:tc>
          <w:tcPr>
            <w:tcW w:w="1807" w:type="pct"/>
            <w:tcBorders>
              <w:tl2br w:val="nil"/>
              <w:tr2bl w:val="nil"/>
            </w:tcBorders>
            <w:vAlign w:val="center"/>
          </w:tcPr>
          <w:p>
            <w:pPr>
              <w:jc w:val="center"/>
              <w:rPr>
                <w:rFonts w:ascii="宋体" w:hAnsi="宋体"/>
                <w:sz w:val="18"/>
                <w:szCs w:val="18"/>
              </w:rPr>
            </w:pPr>
            <w:r>
              <w:rPr>
                <w:rFonts w:hint="eastAsia" w:ascii="宋体" w:hAnsi="宋体"/>
                <w:sz w:val="18"/>
                <w:szCs w:val="18"/>
              </w:rPr>
              <w:t>0.005～0.050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 xml:space="preserve">Fe </w:t>
            </w:r>
          </w:p>
        </w:tc>
        <w:tc>
          <w:tcPr>
            <w:tcW w:w="1690" w:type="pct"/>
            <w:tcBorders>
              <w:tl2br w:val="nil"/>
              <w:tr2bl w:val="nil"/>
            </w:tcBorders>
            <w:vAlign w:val="center"/>
          </w:tcPr>
          <w:p>
            <w:pPr>
              <w:jc w:val="center"/>
              <w:rPr>
                <w:rFonts w:ascii="宋体" w:hAnsi="宋体"/>
                <w:sz w:val="18"/>
                <w:szCs w:val="18"/>
              </w:rPr>
            </w:pPr>
            <w:r>
              <w:rPr>
                <w:rFonts w:hint="eastAsia" w:ascii="宋体" w:hAnsi="宋体"/>
                <w:sz w:val="18"/>
                <w:szCs w:val="18"/>
              </w:rPr>
              <w:t>0.005～0.10</w:t>
            </w:r>
          </w:p>
        </w:tc>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Li</w:t>
            </w:r>
          </w:p>
        </w:tc>
        <w:tc>
          <w:tcPr>
            <w:tcW w:w="1807" w:type="pct"/>
            <w:tcBorders>
              <w:tl2br w:val="nil"/>
              <w:tr2bl w:val="nil"/>
            </w:tcBorders>
            <w:vAlign w:val="center"/>
          </w:tcPr>
          <w:p>
            <w:pPr>
              <w:jc w:val="center"/>
              <w:rPr>
                <w:rFonts w:ascii="宋体" w:hAnsi="宋体"/>
                <w:sz w:val="18"/>
                <w:szCs w:val="18"/>
              </w:rPr>
            </w:pPr>
            <w:r>
              <w:rPr>
                <w:rFonts w:hint="eastAsia" w:ascii="宋体" w:hAnsi="宋体"/>
                <w:sz w:val="18"/>
                <w:szCs w:val="18"/>
              </w:rPr>
              <w:t xml:space="preserve"> 0.001～0.050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Zn</w:t>
            </w:r>
          </w:p>
        </w:tc>
        <w:tc>
          <w:tcPr>
            <w:tcW w:w="1690" w:type="pct"/>
            <w:tcBorders>
              <w:tl2br w:val="nil"/>
              <w:tr2bl w:val="nil"/>
            </w:tcBorders>
            <w:vAlign w:val="center"/>
          </w:tcPr>
          <w:p>
            <w:pPr>
              <w:jc w:val="center"/>
              <w:rPr>
                <w:rFonts w:ascii="宋体" w:hAnsi="宋体"/>
                <w:sz w:val="18"/>
                <w:szCs w:val="18"/>
              </w:rPr>
            </w:pPr>
            <w:r>
              <w:rPr>
                <w:rFonts w:hint="eastAsia" w:ascii="宋体" w:hAnsi="宋体"/>
                <w:sz w:val="18"/>
                <w:szCs w:val="18"/>
              </w:rPr>
              <w:t>0.001～0.010</w:t>
            </w:r>
          </w:p>
        </w:tc>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w:t>
            </w:r>
          </w:p>
        </w:tc>
        <w:tc>
          <w:tcPr>
            <w:tcW w:w="1807" w:type="pct"/>
            <w:tcBorders>
              <w:tl2br w:val="nil"/>
              <w:tr2bl w:val="nil"/>
            </w:tcBorders>
            <w:vAlign w:val="center"/>
          </w:tcPr>
          <w:p>
            <w:pPr>
              <w:jc w:val="center"/>
              <w:rPr>
                <w:rFonts w:ascii="宋体" w:hAnsi="宋体"/>
                <w:sz w:val="18"/>
                <w:szCs w:val="18"/>
              </w:rPr>
            </w:pPr>
            <w:r>
              <w:rPr>
                <w:rFonts w:hint="eastAsia" w:ascii="宋体" w:hAnsi="宋体"/>
                <w:sz w:val="18"/>
                <w:szCs w:val="18"/>
              </w:rPr>
              <w:t>—</w:t>
            </w:r>
          </w:p>
        </w:tc>
      </w:tr>
    </w:tbl>
    <w:p>
      <w:pPr>
        <w:spacing w:beforeLines="100" w:afterLines="100"/>
        <w:jc w:val="left"/>
        <w:rPr>
          <w:rFonts w:ascii="黑体" w:eastAsia="黑体"/>
          <w:szCs w:val="21"/>
        </w:rPr>
      </w:pPr>
      <w:r>
        <w:rPr>
          <w:rFonts w:hint="eastAsia" w:ascii="黑体" w:eastAsia="黑体"/>
          <w:szCs w:val="21"/>
        </w:rPr>
        <w:t>2  规范性引用文件</w:t>
      </w:r>
    </w:p>
    <w:p>
      <w:pPr>
        <w:pStyle w:val="24"/>
        <w:ind w:firstLine="420"/>
        <w:rPr>
          <w:rFonts w:hAnsi="宋体" w:cs="宋体"/>
          <w:szCs w:val="21"/>
        </w:rPr>
      </w:pPr>
      <w:r>
        <w:rPr>
          <w:rFonts w:hint="eastAsia" w:hAnsi="宋体" w:cs="宋体"/>
          <w:szCs w:val="21"/>
        </w:rPr>
        <w:t>下列文件的内容通过文中的规范性引用而构成本文件必不可少的条款。其中，注日期的引用文件，仅该日期对应的版本适用于本文件；不注日期的引用文件，其最新版本（包括所有的修改单）适用于本文件。</w:t>
      </w:r>
    </w:p>
    <w:p>
      <w:pPr>
        <w:pStyle w:val="24"/>
        <w:ind w:firstLine="420"/>
        <w:rPr>
          <w:rFonts w:hAnsi="宋体" w:cs="宋体"/>
          <w:szCs w:val="21"/>
        </w:rPr>
      </w:pPr>
      <w:r>
        <w:rPr>
          <w:rFonts w:hint="eastAsia" w:hAnsi="宋体" w:cs="宋体"/>
          <w:szCs w:val="21"/>
        </w:rPr>
        <w:t>GB/T 6682 分析实验室用水规格和实验方法。</w:t>
      </w:r>
    </w:p>
    <w:p>
      <w:pPr>
        <w:pStyle w:val="24"/>
        <w:ind w:firstLine="420"/>
        <w:rPr>
          <w:rFonts w:hAnsi="宋体" w:cs="宋体"/>
          <w:szCs w:val="21"/>
        </w:rPr>
      </w:pPr>
      <w:r>
        <w:rPr>
          <w:rFonts w:hint="eastAsia" w:hAnsi="宋体" w:cs="宋体"/>
          <w:szCs w:val="21"/>
        </w:rPr>
        <w:t>GB/T 8170 数值修约规则与极限数值的表示和判定。</w:t>
      </w:r>
    </w:p>
    <w:p>
      <w:pPr>
        <w:spacing w:beforeLines="100" w:afterLines="100"/>
        <w:jc w:val="left"/>
        <w:rPr>
          <w:rFonts w:ascii="黑体" w:hAnsi="黑体" w:eastAsia="黑体" w:cs="黑体"/>
          <w:szCs w:val="21"/>
        </w:rPr>
      </w:pPr>
      <w:r>
        <w:rPr>
          <w:rFonts w:hint="eastAsia" w:ascii="黑体" w:hAnsi="黑体" w:eastAsia="黑体" w:cs="黑体"/>
          <w:szCs w:val="21"/>
        </w:rPr>
        <w:t>3  术语和定义</w:t>
      </w:r>
    </w:p>
    <w:p>
      <w:pPr>
        <w:ind w:firstLine="420" w:firstLineChars="200"/>
        <w:rPr>
          <w:rFonts w:ascii="黑体" w:hAnsi="宋体" w:eastAsia="黑体"/>
          <w:szCs w:val="21"/>
        </w:rPr>
      </w:pPr>
      <w:r>
        <w:rPr>
          <w:rFonts w:hint="eastAsia" w:ascii="宋体" w:hAnsi="宋体" w:cs="宋体"/>
          <w:color w:val="000000"/>
        </w:rPr>
        <w:t>本文件没有需要界定的术语和定义。</w:t>
      </w:r>
    </w:p>
    <w:p>
      <w:pPr>
        <w:pStyle w:val="8"/>
        <w:spacing w:beforeLines="100" w:afterLines="100"/>
        <w:rPr>
          <w:rFonts w:ascii="黑体" w:eastAsia="黑体"/>
        </w:rPr>
      </w:pPr>
      <w:r>
        <w:rPr>
          <w:rFonts w:hint="eastAsia" w:ascii="黑体" w:eastAsia="黑体"/>
        </w:rPr>
        <w:t>4  原理</w:t>
      </w:r>
    </w:p>
    <w:p>
      <w:pPr>
        <w:ind w:firstLine="420" w:firstLineChars="200"/>
        <w:rPr>
          <w:rFonts w:ascii="宋体" w:hAnsi="宋体"/>
          <w:szCs w:val="21"/>
        </w:rPr>
      </w:pPr>
      <w:r>
        <w:rPr>
          <w:rFonts w:hint="eastAsia" w:ascii="宋体" w:hAnsi="宋体"/>
          <w:szCs w:val="21"/>
        </w:rPr>
        <w:t>试样用焦硫酸钾熔融至除尽氟，用盐酸浸取熔融物，试液引入电感耦合等离子体发射光谱仪，以氩等离子体光源激发，测定试样中元素含量，以基体匹配法校正基体对测定的影响。</w:t>
      </w:r>
    </w:p>
    <w:p>
      <w:pPr>
        <w:pStyle w:val="8"/>
        <w:spacing w:beforeLines="100" w:afterLines="100"/>
        <w:rPr>
          <w:rFonts w:hAnsi="宋体"/>
          <w:color w:val="FF0000"/>
        </w:rPr>
      </w:pPr>
      <w:r>
        <w:rPr>
          <w:rFonts w:hint="eastAsia" w:ascii="黑体" w:eastAsia="黑体"/>
        </w:rPr>
        <w:t>5  试剂</w:t>
      </w:r>
    </w:p>
    <w:p>
      <w:pPr>
        <w:ind w:firstLine="420" w:firstLineChars="200"/>
        <w:rPr>
          <w:rFonts w:ascii="宋体" w:hAnsi="宋体"/>
          <w:color w:val="000000" w:themeColor="text1"/>
          <w:szCs w:val="21"/>
        </w:rPr>
      </w:pPr>
      <w:bookmarkStart w:id="0" w:name="OLE_LINK42"/>
      <w:bookmarkStart w:id="1" w:name="OLE_LINK40"/>
      <w:r>
        <w:rPr>
          <w:rFonts w:hint="eastAsia" w:ascii="宋体" w:hAnsi="宋体"/>
          <w:color w:val="000000" w:themeColor="text1"/>
        </w:rPr>
        <w:t>除非另有说明，</w:t>
      </w:r>
      <w:r>
        <w:rPr>
          <w:rFonts w:ascii="宋体" w:hAnsi="宋体"/>
          <w:color w:val="000000" w:themeColor="text1"/>
          <w:szCs w:val="21"/>
        </w:rPr>
        <w:t>在分析中仅使用确认为</w:t>
      </w:r>
      <w:r>
        <w:rPr>
          <w:rFonts w:hint="eastAsia" w:ascii="宋体" w:hAnsi="宋体"/>
          <w:color w:val="000000" w:themeColor="text1"/>
          <w:szCs w:val="21"/>
        </w:rPr>
        <w:t>分析</w:t>
      </w:r>
      <w:r>
        <w:rPr>
          <w:rFonts w:ascii="宋体" w:hAnsi="宋体"/>
          <w:color w:val="000000" w:themeColor="text1"/>
          <w:szCs w:val="21"/>
        </w:rPr>
        <w:t>纯的试剂和</w:t>
      </w:r>
      <w:r>
        <w:rPr>
          <w:rFonts w:hint="eastAsia" w:ascii="宋体" w:hAnsi="宋体"/>
          <w:color w:val="000000" w:themeColor="text1"/>
          <w:szCs w:val="21"/>
        </w:rPr>
        <w:t>符合G</w:t>
      </w:r>
      <w:r>
        <w:rPr>
          <w:rFonts w:ascii="宋体" w:hAnsi="宋体"/>
          <w:color w:val="000000" w:themeColor="text1"/>
          <w:szCs w:val="21"/>
        </w:rPr>
        <w:t>B/T 6682</w:t>
      </w:r>
      <w:r>
        <w:rPr>
          <w:rFonts w:hint="eastAsia" w:ascii="宋体" w:hAnsi="宋体"/>
          <w:color w:val="000000" w:themeColor="text1"/>
          <w:szCs w:val="21"/>
        </w:rPr>
        <w:t>规定的三级水。</w:t>
      </w:r>
      <w:bookmarkEnd w:id="0"/>
      <w:bookmarkEnd w:id="1"/>
    </w:p>
    <w:p>
      <w:pPr>
        <w:rPr>
          <w:rFonts w:ascii="宋体" w:hAnsi="宋体"/>
          <w:color w:val="000000" w:themeColor="text1"/>
          <w:szCs w:val="21"/>
        </w:rPr>
      </w:pPr>
      <w:r>
        <w:rPr>
          <w:rFonts w:hint="eastAsia" w:ascii="黑体" w:hAnsi="宋体" w:eastAsia="黑体"/>
          <w:color w:val="000000" w:themeColor="text1"/>
          <w:szCs w:val="21"/>
        </w:rPr>
        <w:t>5.1</w:t>
      </w:r>
      <w:r>
        <w:rPr>
          <w:rFonts w:hint="eastAsia" w:ascii="宋体" w:hAnsi="宋体"/>
          <w:color w:val="000000" w:themeColor="text1"/>
          <w:szCs w:val="21"/>
        </w:rPr>
        <w:t xml:space="preserve">  焦硫酸钾（优级纯）。</w:t>
      </w:r>
    </w:p>
    <w:p>
      <w:pPr>
        <w:rPr>
          <w:rFonts w:ascii="宋体" w:hAnsi="宋体"/>
          <w:color w:val="000000" w:themeColor="text1"/>
          <w:szCs w:val="21"/>
        </w:rPr>
      </w:pPr>
      <w:r>
        <w:rPr>
          <w:rFonts w:hint="eastAsia" w:ascii="黑体" w:hAnsi="宋体" w:eastAsia="黑体"/>
          <w:color w:val="000000" w:themeColor="text1"/>
          <w:szCs w:val="21"/>
        </w:rPr>
        <w:t>5.2</w:t>
      </w:r>
      <w:r>
        <w:rPr>
          <w:rFonts w:hint="eastAsia" w:ascii="宋体" w:hAnsi="宋体"/>
          <w:color w:val="000000" w:themeColor="text1"/>
          <w:szCs w:val="21"/>
        </w:rPr>
        <w:t xml:space="preserve">  铝（</w:t>
      </w:r>
      <w:r>
        <w:rPr>
          <w:rFonts w:hint="eastAsia" w:hAnsi="宋体"/>
          <w:color w:val="000000" w:themeColor="text1"/>
          <w:szCs w:val="21"/>
        </w:rPr>
        <w:t>ω</w:t>
      </w:r>
      <w:r>
        <w:rPr>
          <w:rFonts w:hint="eastAsia" w:asciiTheme="minorEastAsia" w:hAnsiTheme="minorEastAsia" w:eastAsiaTheme="minorEastAsia"/>
          <w:color w:val="000000" w:themeColor="text1"/>
          <w:szCs w:val="21"/>
          <w:vertAlign w:val="subscript"/>
        </w:rPr>
        <w:t>Al</w:t>
      </w:r>
      <w:r>
        <w:rPr>
          <w:rFonts w:hint="eastAsia" w:asciiTheme="minorEastAsia" w:hAnsiTheme="minorEastAsia" w:eastAsiaTheme="minorEastAsia"/>
          <w:color w:val="000000" w:themeColor="text1"/>
          <w:szCs w:val="21"/>
        </w:rPr>
        <w:t>≥99.99 %</w:t>
      </w:r>
      <w:r>
        <w:rPr>
          <w:rFonts w:hint="eastAsia" w:ascii="宋体" w:hAnsi="宋体"/>
          <w:color w:val="000000" w:themeColor="text1"/>
          <w:szCs w:val="21"/>
        </w:rPr>
        <w:t>）。</w:t>
      </w:r>
    </w:p>
    <w:p>
      <w:pPr>
        <w:rPr>
          <w:rFonts w:ascii="宋体" w:hAnsi="宋体"/>
          <w:color w:val="000000" w:themeColor="text1"/>
          <w:szCs w:val="21"/>
        </w:rPr>
      </w:pPr>
      <w:r>
        <w:rPr>
          <w:rFonts w:hint="eastAsia" w:ascii="黑体" w:hAnsi="宋体" w:eastAsia="黑体"/>
          <w:color w:val="000000" w:themeColor="text1"/>
          <w:szCs w:val="21"/>
        </w:rPr>
        <w:t>5.3</w:t>
      </w:r>
      <w:r>
        <w:rPr>
          <w:rFonts w:hint="eastAsia" w:ascii="宋体" w:hAnsi="宋体"/>
          <w:color w:val="000000" w:themeColor="text1"/>
          <w:szCs w:val="21"/>
        </w:rPr>
        <w:t xml:space="preserve">  盐酸（1+1）。</w:t>
      </w:r>
    </w:p>
    <w:p>
      <w:pPr>
        <w:rPr>
          <w:rFonts w:ascii="宋体" w:hAnsi="宋体"/>
          <w:color w:val="000000" w:themeColor="text1"/>
          <w:szCs w:val="21"/>
        </w:rPr>
      </w:pPr>
      <w:r>
        <w:rPr>
          <w:rFonts w:hint="eastAsia" w:ascii="黑体" w:hAnsi="宋体" w:eastAsia="黑体"/>
          <w:color w:val="000000" w:themeColor="text1"/>
          <w:szCs w:val="21"/>
        </w:rPr>
        <w:t>5.4</w:t>
      </w:r>
      <w:r>
        <w:rPr>
          <w:rFonts w:hint="eastAsia" w:ascii="宋体" w:hAnsi="宋体"/>
          <w:color w:val="000000" w:themeColor="text1"/>
          <w:szCs w:val="21"/>
        </w:rPr>
        <w:t xml:space="preserve">  铝基体溶液（10 mg/mL）:称取10.00g铝（5.2）置于1000mL烧杯中，盖上表皿，分次加入总量为350mL盐酸（5.3），缓慢加热至完全溶解，加入数滴过氧化氢（ρ约1.10 g/mL），加热至溶解完全后取下，冷却，将溶液移入1000mL容量瓶中，用水稀释至刻度，摇匀。</w:t>
      </w:r>
    </w:p>
    <w:p>
      <w:pPr>
        <w:rPr>
          <w:rFonts w:ascii="宋体" w:hAnsi="宋体"/>
          <w:color w:val="000000" w:themeColor="text1"/>
          <w:szCs w:val="21"/>
        </w:rPr>
      </w:pPr>
      <w:r>
        <w:rPr>
          <w:rFonts w:hint="eastAsia" w:ascii="黑体" w:hAnsi="宋体" w:eastAsia="黑体"/>
          <w:color w:val="000000" w:themeColor="text1"/>
          <w:szCs w:val="21"/>
        </w:rPr>
        <w:t>5.5</w:t>
      </w:r>
      <w:r>
        <w:rPr>
          <w:rFonts w:hint="eastAsia" w:ascii="宋体" w:hAnsi="宋体"/>
          <w:color w:val="000000" w:themeColor="text1"/>
          <w:szCs w:val="21"/>
        </w:rPr>
        <w:t xml:space="preserve">  焦硫酸钾基体溶液Ⅰ:称取2.5g焦硫酸钾（5.1）置于300mL烧杯中，盖上表皿，加入80mL水，缓慢加热至完全溶解，取下，冷却，将溶液移入200mL容量瓶中，用水稀释至刻度摇匀。</w:t>
      </w:r>
    </w:p>
    <w:p>
      <w:pPr>
        <w:rPr>
          <w:rFonts w:ascii="宋体" w:hAnsi="宋体"/>
          <w:color w:val="000000" w:themeColor="text1"/>
          <w:szCs w:val="21"/>
        </w:rPr>
      </w:pPr>
      <w:r>
        <w:rPr>
          <w:rFonts w:hint="eastAsia" w:ascii="黑体" w:hAnsi="宋体" w:eastAsia="黑体"/>
          <w:color w:val="000000" w:themeColor="text1"/>
          <w:szCs w:val="21"/>
        </w:rPr>
        <w:t>5.6</w:t>
      </w:r>
      <w:r>
        <w:rPr>
          <w:rFonts w:hint="eastAsia" w:ascii="宋体" w:hAnsi="宋体"/>
          <w:color w:val="000000" w:themeColor="text1"/>
          <w:szCs w:val="21"/>
        </w:rPr>
        <w:t xml:space="preserve">  焦硫酸钾基体溶液Ⅱ:分别称取1.25g焦硫酸钾（5.1）若干份置于300mL烧杯中，盖上表皿，加入50mL水，缓慢加热至完全溶解，取下，冷却，将溶液分别移入一组100mL容量瓶中，待用。</w:t>
      </w:r>
    </w:p>
    <w:p>
      <w:pPr>
        <w:rPr>
          <w:rFonts w:ascii="宋体" w:hAnsi="宋体"/>
          <w:color w:val="000000" w:themeColor="text1"/>
          <w:szCs w:val="21"/>
        </w:rPr>
      </w:pPr>
      <w:r>
        <w:rPr>
          <w:rFonts w:hint="eastAsia" w:ascii="黑体" w:hAnsi="宋体" w:eastAsia="黑体"/>
          <w:color w:val="000000" w:themeColor="text1"/>
          <w:szCs w:val="21"/>
        </w:rPr>
        <w:t>5.7</w:t>
      </w:r>
      <w:r>
        <w:rPr>
          <w:rFonts w:hint="eastAsia" w:ascii="宋体" w:hAnsi="宋体"/>
          <w:color w:val="000000" w:themeColor="text1"/>
          <w:szCs w:val="21"/>
        </w:rPr>
        <w:t xml:space="preserve">  各分析元素标准贮存溶液：优先使用有证国家标准溶液配制；或参见附录A。</w:t>
      </w:r>
    </w:p>
    <w:p>
      <w:pPr>
        <w:rPr>
          <w:rFonts w:ascii="宋体" w:hAnsi="宋体"/>
          <w:color w:val="000000" w:themeColor="text1"/>
          <w:szCs w:val="21"/>
        </w:rPr>
      </w:pPr>
      <w:r>
        <w:rPr>
          <w:rFonts w:hint="eastAsia" w:ascii="黑体" w:hAnsi="宋体" w:eastAsia="黑体"/>
          <w:color w:val="000000" w:themeColor="text1"/>
          <w:szCs w:val="21"/>
        </w:rPr>
        <w:t>5.8</w:t>
      </w:r>
      <w:r>
        <w:rPr>
          <w:rFonts w:hint="eastAsia" w:ascii="宋体" w:hAnsi="宋体"/>
          <w:color w:val="000000" w:themeColor="text1"/>
          <w:szCs w:val="21"/>
        </w:rPr>
        <w:t xml:space="preserve">  标准溶液</w:t>
      </w:r>
    </w:p>
    <w:p>
      <w:pPr>
        <w:rPr>
          <w:rFonts w:ascii="宋体" w:hAnsi="宋体"/>
          <w:color w:val="000000" w:themeColor="text1"/>
          <w:szCs w:val="21"/>
        </w:rPr>
      </w:pPr>
      <w:r>
        <w:rPr>
          <w:rFonts w:hint="eastAsia" w:ascii="黑体" w:hAnsi="宋体" w:eastAsia="黑体"/>
          <w:color w:val="000000" w:themeColor="text1"/>
        </w:rPr>
        <w:t xml:space="preserve">5.8.1 </w:t>
      </w:r>
      <w:r>
        <w:rPr>
          <w:rFonts w:hint="eastAsia" w:ascii="宋体" w:hAnsi="宋体"/>
          <w:color w:val="000000" w:themeColor="text1"/>
          <w:szCs w:val="21"/>
        </w:rPr>
        <w:t>多元素标准溶液的配制原则：互有化学干扰、产生沉淀及互有光谱干扰的元素应分组配制。</w:t>
      </w:r>
    </w:p>
    <w:p>
      <w:pPr>
        <w:rPr>
          <w:rFonts w:ascii="宋体" w:hAnsi="宋体"/>
          <w:color w:val="000000" w:themeColor="text1"/>
          <w:szCs w:val="21"/>
        </w:rPr>
      </w:pPr>
      <w:r>
        <w:rPr>
          <w:rFonts w:hint="eastAsia" w:ascii="黑体" w:hAnsi="宋体" w:eastAsia="黑体"/>
          <w:color w:val="000000" w:themeColor="text1"/>
        </w:rPr>
        <w:t>5.8.2</w:t>
      </w:r>
      <w:r>
        <w:rPr>
          <w:rFonts w:hint="eastAsia" w:ascii="宋体" w:hAnsi="宋体"/>
          <w:color w:val="000000" w:themeColor="text1"/>
          <w:szCs w:val="21"/>
        </w:rPr>
        <w:t xml:space="preserve"> 将标准贮存溶液（5.7）稀释为100 μg/mL，并与标准贮存溶液保持一致的酸度（用时稀释）。</w:t>
      </w:r>
    </w:p>
    <w:p>
      <w:pPr>
        <w:pStyle w:val="8"/>
        <w:spacing w:beforeLines="100" w:afterLines="100"/>
        <w:rPr>
          <w:rFonts w:ascii="黑体" w:eastAsia="黑体"/>
          <w:color w:val="000000" w:themeColor="text1"/>
        </w:rPr>
      </w:pPr>
      <w:r>
        <w:rPr>
          <w:rFonts w:hint="eastAsia" w:ascii="黑体" w:eastAsia="黑体"/>
          <w:color w:val="000000" w:themeColor="text1"/>
        </w:rPr>
        <w:t>6  仪器和设备</w:t>
      </w:r>
    </w:p>
    <w:p>
      <w:pPr>
        <w:rPr>
          <w:rFonts w:ascii="宋体" w:hAnsi="宋体"/>
          <w:color w:val="000000" w:themeColor="text1"/>
          <w:szCs w:val="21"/>
        </w:rPr>
      </w:pPr>
      <w:r>
        <w:rPr>
          <w:rFonts w:hint="eastAsia" w:ascii="黑体" w:hAnsi="宋体" w:eastAsia="黑体"/>
          <w:color w:val="000000" w:themeColor="text1"/>
          <w:szCs w:val="21"/>
        </w:rPr>
        <w:t>6.1</w:t>
      </w:r>
      <w:r>
        <w:rPr>
          <w:rFonts w:hint="eastAsia" w:ascii="宋体" w:hAnsi="宋体"/>
          <w:color w:val="000000" w:themeColor="text1"/>
          <w:szCs w:val="21"/>
        </w:rPr>
        <w:t xml:space="preserve">  电感耦合等离子体原子发射光谱仪。</w:t>
      </w:r>
    </w:p>
    <w:p>
      <w:pPr>
        <w:rPr>
          <w:rFonts w:ascii="宋体" w:hAnsi="宋体"/>
          <w:color w:val="000000" w:themeColor="text1"/>
          <w:szCs w:val="21"/>
        </w:rPr>
      </w:pPr>
      <w:r>
        <w:rPr>
          <w:rFonts w:hint="eastAsia" w:ascii="黑体" w:hAnsi="宋体" w:eastAsia="黑体"/>
          <w:color w:val="000000" w:themeColor="text1"/>
          <w:szCs w:val="21"/>
        </w:rPr>
        <w:t>6.2</w:t>
      </w:r>
      <w:r>
        <w:rPr>
          <w:rFonts w:hint="eastAsia" w:ascii="宋体" w:hAnsi="宋体"/>
          <w:color w:val="000000" w:themeColor="text1"/>
          <w:szCs w:val="21"/>
        </w:rPr>
        <w:t xml:space="preserve">  铂皿：100mL。</w:t>
      </w:r>
    </w:p>
    <w:p>
      <w:pPr>
        <w:rPr>
          <w:rFonts w:ascii="宋体" w:hAnsi="宋体"/>
          <w:color w:val="000000" w:themeColor="text1"/>
          <w:szCs w:val="21"/>
        </w:rPr>
      </w:pPr>
      <w:r>
        <w:rPr>
          <w:rFonts w:hint="eastAsia" w:ascii="黑体" w:hAnsi="宋体" w:eastAsia="黑体"/>
          <w:color w:val="000000" w:themeColor="text1"/>
          <w:szCs w:val="21"/>
        </w:rPr>
        <w:t>6.3</w:t>
      </w:r>
      <w:r>
        <w:rPr>
          <w:rFonts w:hint="eastAsia" w:ascii="宋体" w:hAnsi="宋体"/>
          <w:color w:val="000000" w:themeColor="text1"/>
          <w:szCs w:val="21"/>
        </w:rPr>
        <w:t xml:space="preserve">  烘箱：</w:t>
      </w:r>
      <w:r>
        <w:rPr>
          <w:rFonts w:hint="eastAsia"/>
          <w:color w:val="000000" w:themeColor="text1"/>
          <w:szCs w:val="21"/>
        </w:rPr>
        <w:t>烘箱：</w:t>
      </w:r>
      <w:r>
        <w:rPr>
          <w:rFonts w:hint="eastAsia" w:ascii="宋体" w:hAnsi="宋体"/>
          <w:color w:val="000000" w:themeColor="text1"/>
        </w:rPr>
        <w:t>可控温度110 ℃±5 ℃。</w:t>
      </w:r>
    </w:p>
    <w:p>
      <w:pPr>
        <w:rPr>
          <w:rFonts w:ascii="宋体" w:hAnsi="宋体"/>
          <w:color w:val="000000" w:themeColor="text1"/>
          <w:szCs w:val="21"/>
        </w:rPr>
      </w:pPr>
      <w:r>
        <w:rPr>
          <w:rFonts w:hint="eastAsia" w:ascii="黑体" w:hAnsi="宋体" w:eastAsia="黑体"/>
          <w:color w:val="000000" w:themeColor="text1"/>
          <w:szCs w:val="21"/>
        </w:rPr>
        <w:t>6.4</w:t>
      </w:r>
      <w:r>
        <w:rPr>
          <w:rFonts w:hint="eastAsia" w:ascii="宋体" w:hAnsi="宋体"/>
          <w:color w:val="000000" w:themeColor="text1"/>
          <w:szCs w:val="21"/>
        </w:rPr>
        <w:t xml:space="preserve">  干燥器：用硅胶做干燥剂。</w:t>
      </w:r>
    </w:p>
    <w:p>
      <w:pPr>
        <w:rPr>
          <w:rFonts w:ascii="宋体" w:hAnsi="宋体"/>
          <w:color w:val="000000" w:themeColor="text1"/>
          <w:szCs w:val="21"/>
        </w:rPr>
      </w:pPr>
      <w:r>
        <w:rPr>
          <w:rFonts w:hint="eastAsia" w:ascii="黑体" w:hAnsi="宋体" w:eastAsia="黑体"/>
          <w:color w:val="000000" w:themeColor="text1"/>
          <w:szCs w:val="21"/>
        </w:rPr>
        <w:t>6.5</w:t>
      </w:r>
      <w:r>
        <w:rPr>
          <w:rFonts w:hint="eastAsia" w:ascii="宋体" w:hAnsi="宋体"/>
          <w:color w:val="000000" w:themeColor="text1"/>
          <w:szCs w:val="21"/>
        </w:rPr>
        <w:t xml:space="preserve">  高温炉：</w:t>
      </w:r>
      <w:r>
        <w:rPr>
          <w:rFonts w:hint="eastAsia" w:ascii="宋体" w:hAnsi="宋体"/>
          <w:color w:val="000000" w:themeColor="text1"/>
        </w:rPr>
        <w:t>可控制温度在750 ℃±10 ℃</w:t>
      </w:r>
      <w:r>
        <w:rPr>
          <w:rFonts w:hint="eastAsia" w:ascii="宋体" w:hAnsi="宋体"/>
          <w:color w:val="000000" w:themeColor="text1"/>
          <w:szCs w:val="21"/>
        </w:rPr>
        <w:t>。</w:t>
      </w:r>
    </w:p>
    <w:p>
      <w:pPr>
        <w:pStyle w:val="8"/>
        <w:spacing w:beforeLines="100" w:afterLines="100"/>
        <w:rPr>
          <w:rFonts w:ascii="黑体" w:eastAsia="黑体"/>
          <w:color w:val="000000" w:themeColor="text1"/>
        </w:rPr>
      </w:pPr>
      <w:r>
        <w:rPr>
          <w:rFonts w:hint="eastAsia" w:ascii="黑体" w:eastAsia="黑体"/>
          <w:color w:val="000000" w:themeColor="text1"/>
        </w:rPr>
        <w:t>7  试样</w:t>
      </w:r>
    </w:p>
    <w:p>
      <w:pPr>
        <w:ind w:firstLine="420" w:firstLineChars="200"/>
        <w:rPr>
          <w:rFonts w:ascii="黑体" w:eastAsia="黑体"/>
        </w:rPr>
      </w:pPr>
      <w:r>
        <w:rPr>
          <w:rFonts w:hint="eastAsia" w:ascii="宋体" w:hAnsi="宋体"/>
          <w:color w:val="000000" w:themeColor="text1"/>
          <w:szCs w:val="21"/>
        </w:rPr>
        <w:t>样品研磨通过74 μm标准筛</w:t>
      </w:r>
      <w:r>
        <w:rPr>
          <w:rFonts w:hint="eastAsia" w:ascii="宋体" w:hAnsi="宋体"/>
          <w:szCs w:val="21"/>
        </w:rPr>
        <w:t>，置于烘箱（6.3）中于110±5℃干燥2h，取出，置于干燥器（6.4）中，冷却至室温，备用。</w:t>
      </w:r>
    </w:p>
    <w:p>
      <w:pPr>
        <w:pStyle w:val="8"/>
        <w:spacing w:beforeLines="100" w:afterLines="100"/>
        <w:rPr>
          <w:rFonts w:ascii="黑体" w:eastAsia="黑体"/>
        </w:rPr>
      </w:pPr>
      <w:r>
        <w:rPr>
          <w:rFonts w:hint="eastAsia" w:ascii="黑体" w:eastAsia="黑体"/>
        </w:rPr>
        <w:t>8试验步骤</w:t>
      </w:r>
    </w:p>
    <w:p>
      <w:pPr>
        <w:pStyle w:val="8"/>
        <w:spacing w:afterLines="50"/>
        <w:ind w:left="433" w:leftChars="6" w:hanging="420" w:hangingChars="200"/>
        <w:rPr>
          <w:rFonts w:ascii="黑体" w:hAnsi="宋体" w:eastAsia="黑体"/>
        </w:rPr>
      </w:pPr>
      <w:r>
        <w:rPr>
          <w:rFonts w:hint="eastAsia" w:ascii="黑体" w:eastAsia="黑体"/>
        </w:rPr>
        <w:t>8.1</w:t>
      </w:r>
      <w:r>
        <w:rPr>
          <w:rFonts w:hint="eastAsia" w:ascii="黑体" w:hAnsi="宋体" w:eastAsia="黑体"/>
        </w:rPr>
        <w:t>试料</w:t>
      </w:r>
    </w:p>
    <w:p>
      <w:pPr>
        <w:ind w:firstLine="420" w:firstLineChars="200"/>
        <w:rPr>
          <w:rFonts w:ascii="宋体" w:hAnsi="宋体"/>
          <w:szCs w:val="21"/>
        </w:rPr>
      </w:pPr>
      <w:r>
        <w:rPr>
          <w:rFonts w:hint="eastAsia" w:ascii="宋体" w:hAnsi="宋体"/>
          <w:szCs w:val="21"/>
        </w:rPr>
        <w:t>称取0.20g试样（7），精确至0.0001g。</w:t>
      </w:r>
    </w:p>
    <w:p>
      <w:pPr>
        <w:spacing w:beforeLines="50" w:afterLines="50"/>
        <w:rPr>
          <w:rFonts w:ascii="黑体" w:eastAsia="黑体"/>
          <w:color w:val="000000" w:themeColor="text1"/>
          <w:szCs w:val="21"/>
        </w:rPr>
      </w:pPr>
      <w:r>
        <w:rPr>
          <w:rFonts w:hint="eastAsia" w:ascii="黑体" w:eastAsia="黑体"/>
          <w:color w:val="000000" w:themeColor="text1"/>
          <w:szCs w:val="21"/>
        </w:rPr>
        <w:t xml:space="preserve">8.2 </w:t>
      </w:r>
      <w:r>
        <w:rPr>
          <w:rFonts w:hint="eastAsia" w:ascii="黑体" w:hAnsi="黑体" w:eastAsia="黑体" w:cs="黑体"/>
          <w:color w:val="000000" w:themeColor="text1"/>
          <w:szCs w:val="21"/>
        </w:rPr>
        <w:t>平行试验</w:t>
      </w:r>
    </w:p>
    <w:p>
      <w:pPr>
        <w:ind w:firstLine="420" w:firstLineChars="200"/>
        <w:rPr>
          <w:rFonts w:ascii="宋体" w:hAnsi="宋体"/>
          <w:color w:val="000000" w:themeColor="text1"/>
          <w:szCs w:val="21"/>
        </w:rPr>
      </w:pPr>
      <w:r>
        <w:rPr>
          <w:rFonts w:hint="eastAsia" w:ascii="宋体" w:hAnsi="宋体"/>
          <w:color w:val="000000" w:themeColor="text1"/>
          <w:szCs w:val="21"/>
        </w:rPr>
        <w:t xml:space="preserve">独立地进行两次测定，取其平均值。 </w:t>
      </w:r>
    </w:p>
    <w:p>
      <w:pPr>
        <w:spacing w:beforeLines="50" w:afterLines="50"/>
        <w:rPr>
          <w:rFonts w:ascii="黑体" w:eastAsia="黑体"/>
        </w:rPr>
      </w:pPr>
      <w:r>
        <w:rPr>
          <w:rFonts w:hint="eastAsia" w:ascii="黑体" w:eastAsia="黑体"/>
        </w:rPr>
        <w:t>8</w:t>
      </w:r>
      <w:r>
        <w:rPr>
          <w:rFonts w:ascii="黑体" w:eastAsia="黑体"/>
        </w:rPr>
        <w:t>.</w:t>
      </w:r>
      <w:r>
        <w:rPr>
          <w:rFonts w:hint="eastAsia" w:ascii="黑体" w:eastAsia="黑体"/>
        </w:rPr>
        <w:t>3  空白试验</w:t>
      </w:r>
    </w:p>
    <w:p>
      <w:pPr>
        <w:ind w:firstLine="420" w:firstLineChars="200"/>
        <w:rPr>
          <w:rFonts w:ascii="宋体" w:hAnsi="宋体"/>
          <w:szCs w:val="21"/>
        </w:rPr>
      </w:pPr>
      <w:r>
        <w:rPr>
          <w:rFonts w:hint="eastAsia" w:ascii="宋体" w:hAnsi="宋体"/>
          <w:szCs w:val="21"/>
        </w:rPr>
        <w:t>随同试料（8</w:t>
      </w:r>
      <w:r>
        <w:rPr>
          <w:rFonts w:ascii="宋体" w:hAnsi="宋体"/>
          <w:szCs w:val="21"/>
        </w:rPr>
        <w:t>.1</w:t>
      </w:r>
      <w:r>
        <w:rPr>
          <w:rFonts w:hint="eastAsia" w:ascii="宋体" w:hAnsi="宋体"/>
          <w:szCs w:val="21"/>
        </w:rPr>
        <w:t>）做空白试验。</w:t>
      </w:r>
    </w:p>
    <w:p>
      <w:pPr>
        <w:spacing w:beforeLines="50" w:afterLines="50"/>
        <w:rPr>
          <w:rFonts w:ascii="黑体" w:eastAsia="黑体"/>
        </w:rPr>
      </w:pPr>
      <w:r>
        <w:rPr>
          <w:rFonts w:hint="eastAsia" w:ascii="黑体" w:eastAsia="黑体"/>
        </w:rPr>
        <w:t>8</w:t>
      </w:r>
      <w:r>
        <w:rPr>
          <w:rFonts w:ascii="黑体" w:eastAsia="黑体"/>
        </w:rPr>
        <w:t>.</w:t>
      </w:r>
      <w:r>
        <w:rPr>
          <w:rFonts w:hint="eastAsia" w:ascii="黑体" w:eastAsia="黑体"/>
        </w:rPr>
        <w:t>4</w:t>
      </w:r>
      <w:r>
        <w:rPr>
          <w:rFonts w:hint="eastAsia" w:ascii="黑体" w:eastAsia="黑体"/>
          <w:color w:val="000000"/>
          <w:szCs w:val="21"/>
        </w:rPr>
        <w:t>分析试液的制备</w:t>
      </w:r>
    </w:p>
    <w:p>
      <w:pPr>
        <w:rPr>
          <w:rFonts w:ascii="黑体" w:eastAsia="黑体"/>
        </w:rPr>
      </w:pPr>
      <w:r>
        <w:rPr>
          <w:rFonts w:hint="eastAsia" w:ascii="黑体" w:eastAsia="黑体"/>
        </w:rPr>
        <w:t>8.4.1</w:t>
      </w:r>
      <w:r>
        <w:rPr>
          <w:rFonts w:hint="eastAsia" w:ascii="宋体" w:hAnsi="宋体"/>
          <w:szCs w:val="21"/>
        </w:rPr>
        <w:t>将试料（8.1）置于铂皿中，加入2.5g焦硫酸钾（5.1），置于高温炉（6.5）中，从室温升至750℃后熔融30min，取出铂皿，加入30mL水</w:t>
      </w:r>
      <w:r>
        <w:rPr>
          <w:rFonts w:hint="eastAsia" w:ascii="宋体" w:hAnsi="宋体"/>
          <w:color w:val="000000" w:themeColor="text1"/>
          <w:szCs w:val="21"/>
        </w:rPr>
        <w:t>和5mL</w:t>
      </w:r>
      <w:r>
        <w:rPr>
          <w:rFonts w:hint="eastAsia" w:ascii="宋体" w:hAnsi="宋体"/>
          <w:szCs w:val="21"/>
        </w:rPr>
        <w:t>盐酸（5.3），低温加热至熔块溶解完全，取下稍冷将溶液移入200mL容量瓶中，用水稀释至刻度，混匀。</w:t>
      </w:r>
    </w:p>
    <w:p>
      <w:pPr>
        <w:rPr>
          <w:rFonts w:ascii="宋体" w:hAnsi="宋体"/>
          <w:szCs w:val="21"/>
        </w:rPr>
      </w:pPr>
      <w:r>
        <w:rPr>
          <w:rFonts w:hint="eastAsia" w:ascii="黑体" w:eastAsia="黑体"/>
        </w:rPr>
        <w:t>8.4.2</w:t>
      </w:r>
      <w:r>
        <w:rPr>
          <w:rFonts w:hint="eastAsia" w:ascii="宋体" w:hAnsi="宋体"/>
          <w:szCs w:val="21"/>
        </w:rPr>
        <w:t xml:space="preserve">  根据试料中各元素的含量，按表2移取相应体积的分析试液（8.4.1）于容量瓶中，加入10mL盐酸（5.3），用水稀释至刻度，混匀。</w:t>
      </w:r>
    </w:p>
    <w:p>
      <w:pPr>
        <w:pStyle w:val="8"/>
        <w:spacing w:beforeLines="50"/>
        <w:jc w:val="center"/>
        <w:rPr>
          <w:rFonts w:ascii="黑体" w:eastAsia="黑体"/>
        </w:rPr>
      </w:pPr>
      <w:r>
        <w:rPr>
          <w:rFonts w:hint="eastAsia" w:ascii="黑体" w:eastAsia="黑体"/>
        </w:rPr>
        <w:t>表2</w:t>
      </w:r>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839"/>
        <w:gridCol w:w="2840"/>
        <w:gridCol w:w="284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66" w:type="pct"/>
            <w:tcBorders>
              <w:top w:val="single" w:color="auto" w:sz="12" w:space="0"/>
              <w:bottom w:val="single" w:color="auto" w:sz="12" w:space="0"/>
            </w:tcBorders>
          </w:tcPr>
          <w:p>
            <w:pPr>
              <w:jc w:val="center"/>
              <w:rPr>
                <w:rFonts w:ascii="宋体" w:hAnsi="宋体"/>
                <w:sz w:val="18"/>
                <w:szCs w:val="18"/>
              </w:rPr>
            </w:pPr>
            <w:r>
              <w:rPr>
                <w:rFonts w:hint="eastAsia" w:ascii="宋体" w:hAnsi="宋体"/>
                <w:sz w:val="18"/>
                <w:szCs w:val="18"/>
              </w:rPr>
              <w:t>质量分数/%</w:t>
            </w:r>
          </w:p>
        </w:tc>
        <w:tc>
          <w:tcPr>
            <w:tcW w:w="1666" w:type="pct"/>
            <w:tcBorders>
              <w:top w:val="single" w:color="auto" w:sz="12" w:space="0"/>
              <w:bottom w:val="single" w:color="auto" w:sz="12" w:space="0"/>
            </w:tcBorders>
          </w:tcPr>
          <w:p>
            <w:pPr>
              <w:jc w:val="center"/>
              <w:rPr>
                <w:rFonts w:ascii="宋体" w:hAnsi="宋体"/>
                <w:sz w:val="18"/>
                <w:szCs w:val="18"/>
              </w:rPr>
            </w:pPr>
            <w:r>
              <w:rPr>
                <w:rFonts w:hint="eastAsia" w:ascii="宋体" w:hAnsi="宋体"/>
                <w:sz w:val="18"/>
                <w:szCs w:val="18"/>
              </w:rPr>
              <w:t>分取试液体积/mL</w:t>
            </w:r>
          </w:p>
        </w:tc>
        <w:tc>
          <w:tcPr>
            <w:tcW w:w="1666" w:type="pct"/>
            <w:tcBorders>
              <w:top w:val="single" w:color="auto" w:sz="12" w:space="0"/>
              <w:bottom w:val="single" w:color="auto" w:sz="12" w:space="0"/>
            </w:tcBorders>
          </w:tcPr>
          <w:p>
            <w:pPr>
              <w:jc w:val="center"/>
              <w:rPr>
                <w:rFonts w:ascii="宋体" w:hAnsi="宋体"/>
                <w:szCs w:val="21"/>
              </w:rPr>
            </w:pPr>
            <w:r>
              <w:rPr>
                <w:rFonts w:hint="eastAsia" w:ascii="宋体" w:hAnsi="宋体"/>
                <w:szCs w:val="21"/>
              </w:rPr>
              <w:t>最终体积/mL</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66" w:type="pct"/>
            <w:tcBorders>
              <w:top w:val="single" w:color="auto" w:sz="12" w:space="0"/>
            </w:tcBorders>
          </w:tcPr>
          <w:p>
            <w:pPr>
              <w:jc w:val="center"/>
              <w:rPr>
                <w:rFonts w:ascii="宋体" w:hAnsi="宋体"/>
                <w:sz w:val="18"/>
                <w:szCs w:val="18"/>
              </w:rPr>
            </w:pPr>
            <w:r>
              <w:rPr>
                <w:rFonts w:hint="eastAsia" w:ascii="宋体" w:hAnsi="宋体"/>
                <w:sz w:val="18"/>
                <w:szCs w:val="18"/>
              </w:rPr>
              <w:t>0.0010%～0.6%</w:t>
            </w:r>
          </w:p>
        </w:tc>
        <w:tc>
          <w:tcPr>
            <w:tcW w:w="1666" w:type="pct"/>
            <w:tcBorders>
              <w:top w:val="single" w:color="auto" w:sz="12" w:space="0"/>
            </w:tcBorders>
          </w:tcPr>
          <w:p>
            <w:pPr>
              <w:jc w:val="center"/>
              <w:rPr>
                <w:rFonts w:ascii="宋体" w:hAnsi="宋体"/>
                <w:sz w:val="18"/>
                <w:szCs w:val="18"/>
              </w:rPr>
            </w:pPr>
            <w:r>
              <w:rPr>
                <w:rFonts w:hint="eastAsia" w:ascii="宋体" w:hAnsi="宋体"/>
                <w:sz w:val="18"/>
                <w:szCs w:val="18"/>
              </w:rPr>
              <w:t>0</w:t>
            </w:r>
          </w:p>
        </w:tc>
        <w:tc>
          <w:tcPr>
            <w:tcW w:w="1666" w:type="pct"/>
            <w:tcBorders>
              <w:top w:val="single" w:color="auto" w:sz="12" w:space="0"/>
            </w:tcBorders>
          </w:tcPr>
          <w:p>
            <w:pPr>
              <w:jc w:val="center"/>
              <w:rPr>
                <w:rFonts w:ascii="宋体" w:hAnsi="宋体"/>
                <w:szCs w:val="21"/>
              </w:rPr>
            </w:pPr>
            <w:r>
              <w:rPr>
                <w:rFonts w:hint="eastAsia" w:ascii="宋体" w:hAnsi="宋体"/>
                <w:szCs w:val="21"/>
              </w:rPr>
              <w:t>200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66" w:type="pct"/>
          </w:tcPr>
          <w:p>
            <w:pPr>
              <w:jc w:val="center"/>
              <w:rPr>
                <w:rFonts w:ascii="宋体" w:hAnsi="宋体"/>
                <w:sz w:val="18"/>
                <w:szCs w:val="18"/>
              </w:rPr>
            </w:pPr>
            <w:r>
              <w:rPr>
                <w:rFonts w:hint="eastAsia" w:ascii="宋体" w:hAnsi="宋体"/>
                <w:sz w:val="18"/>
                <w:szCs w:val="18"/>
              </w:rPr>
              <w:t>30.0%～35.0%</w:t>
            </w:r>
          </w:p>
        </w:tc>
        <w:tc>
          <w:tcPr>
            <w:tcW w:w="1666" w:type="pct"/>
          </w:tcPr>
          <w:p>
            <w:pPr>
              <w:jc w:val="center"/>
              <w:rPr>
                <w:rFonts w:ascii="宋体" w:hAnsi="宋体"/>
                <w:sz w:val="18"/>
                <w:szCs w:val="18"/>
              </w:rPr>
            </w:pPr>
            <w:r>
              <w:rPr>
                <w:rFonts w:hint="eastAsia" w:ascii="宋体" w:hAnsi="宋体"/>
                <w:sz w:val="18"/>
                <w:szCs w:val="18"/>
              </w:rPr>
              <w:t>5.00</w:t>
            </w:r>
          </w:p>
        </w:tc>
        <w:tc>
          <w:tcPr>
            <w:tcW w:w="1666" w:type="pct"/>
          </w:tcPr>
          <w:p>
            <w:pPr>
              <w:jc w:val="center"/>
              <w:rPr>
                <w:rFonts w:ascii="宋体" w:hAnsi="宋体"/>
                <w:szCs w:val="21"/>
              </w:rPr>
            </w:pPr>
            <w:r>
              <w:rPr>
                <w:rFonts w:hint="eastAsia" w:ascii="宋体" w:hAnsi="宋体"/>
                <w:szCs w:val="21"/>
              </w:rPr>
              <w:t>100</w:t>
            </w:r>
          </w:p>
        </w:tc>
      </w:tr>
    </w:tbl>
    <w:p>
      <w:pPr>
        <w:spacing w:beforeLines="50" w:afterLines="50"/>
        <w:rPr>
          <w:rFonts w:ascii="黑体" w:hAnsi="宋体" w:eastAsia="黑体"/>
          <w:color w:val="000000"/>
          <w:szCs w:val="21"/>
        </w:rPr>
      </w:pPr>
      <w:r>
        <w:rPr>
          <w:rFonts w:hint="eastAsia" w:ascii="黑体" w:hAnsi="宋体" w:eastAsia="黑体"/>
          <w:color w:val="000000"/>
          <w:szCs w:val="21"/>
        </w:rPr>
        <w:t>8.5 系列标准溶液的配制</w:t>
      </w:r>
    </w:p>
    <w:p>
      <w:pPr>
        <w:rPr>
          <w:rFonts w:ascii="宋体" w:hAnsi="宋体"/>
          <w:color w:val="000000" w:themeColor="text1"/>
          <w:szCs w:val="21"/>
        </w:rPr>
      </w:pPr>
      <w:r>
        <w:rPr>
          <w:rFonts w:hint="eastAsia" w:ascii="黑体" w:hAnsi="宋体" w:eastAsia="黑体"/>
          <w:color w:val="000000" w:themeColor="text1"/>
          <w:szCs w:val="21"/>
        </w:rPr>
        <w:t>8.5.1</w:t>
      </w:r>
      <w:r>
        <w:rPr>
          <w:rFonts w:hint="eastAsia" w:ascii="宋体" w:hAnsi="宋体"/>
          <w:color w:val="000000" w:themeColor="text1"/>
          <w:szCs w:val="21"/>
        </w:rPr>
        <w:t xml:space="preserve">  测铝元素时：移取5</w:t>
      </w:r>
      <w:r>
        <w:rPr>
          <w:rFonts w:ascii="宋体" w:hAnsi="宋体"/>
          <w:color w:val="000000" w:themeColor="text1"/>
          <w:szCs w:val="21"/>
        </w:rPr>
        <w:t>.0m</w:t>
      </w:r>
      <w:r>
        <w:rPr>
          <w:rFonts w:hint="eastAsia" w:ascii="宋体" w:hAnsi="宋体"/>
          <w:color w:val="000000" w:themeColor="text1"/>
          <w:szCs w:val="21"/>
        </w:rPr>
        <w:t>L焦硫酸钾基体溶液（5.5）于一系列100 mL容量瓶中，分别加入0.00</w:t>
      </w:r>
      <w:r>
        <w:rPr>
          <w:rFonts w:ascii="宋体" w:hAnsi="宋体"/>
          <w:color w:val="000000" w:themeColor="text1"/>
          <w:szCs w:val="21"/>
        </w:rPr>
        <w:t xml:space="preserve"> m</w:t>
      </w:r>
      <w:r>
        <w:rPr>
          <w:rFonts w:hint="eastAsia" w:ascii="宋体" w:hAnsi="宋体"/>
          <w:color w:val="000000" w:themeColor="text1"/>
          <w:szCs w:val="21"/>
        </w:rPr>
        <w:t>L、5.0</w:t>
      </w:r>
      <w:r>
        <w:rPr>
          <w:rFonts w:ascii="宋体" w:hAnsi="宋体"/>
          <w:color w:val="000000" w:themeColor="text1"/>
          <w:szCs w:val="21"/>
        </w:rPr>
        <w:t>0 m</w:t>
      </w:r>
      <w:r>
        <w:rPr>
          <w:rFonts w:hint="eastAsia" w:ascii="宋体" w:hAnsi="宋体"/>
          <w:color w:val="000000" w:themeColor="text1"/>
          <w:szCs w:val="21"/>
        </w:rPr>
        <w:t>L、10.0</w:t>
      </w:r>
      <w:r>
        <w:rPr>
          <w:rFonts w:ascii="宋体" w:hAnsi="宋体"/>
          <w:color w:val="000000" w:themeColor="text1"/>
          <w:szCs w:val="21"/>
        </w:rPr>
        <w:t>0 m</w:t>
      </w:r>
      <w:r>
        <w:rPr>
          <w:rFonts w:hint="eastAsia" w:ascii="宋体" w:hAnsi="宋体"/>
          <w:color w:val="000000" w:themeColor="text1"/>
          <w:szCs w:val="21"/>
        </w:rPr>
        <w:t>L、20.0</w:t>
      </w:r>
      <w:r>
        <w:rPr>
          <w:rFonts w:ascii="宋体" w:hAnsi="宋体"/>
          <w:color w:val="000000" w:themeColor="text1"/>
          <w:szCs w:val="21"/>
        </w:rPr>
        <w:t>0m</w:t>
      </w:r>
      <w:r>
        <w:rPr>
          <w:rFonts w:hint="eastAsia" w:ascii="宋体" w:hAnsi="宋体"/>
          <w:color w:val="000000" w:themeColor="text1"/>
          <w:szCs w:val="21"/>
        </w:rPr>
        <w:t xml:space="preserve">L的待测元素标准贮存溶液（5.7）或标准溶液（5.8），加入10 </w:t>
      </w:r>
      <w:r>
        <w:rPr>
          <w:rFonts w:ascii="宋体" w:hAnsi="宋体"/>
          <w:color w:val="000000" w:themeColor="text1"/>
          <w:szCs w:val="21"/>
        </w:rPr>
        <w:t>m</w:t>
      </w:r>
      <w:r>
        <w:rPr>
          <w:rFonts w:hint="eastAsia" w:ascii="宋体" w:hAnsi="宋体"/>
          <w:color w:val="000000" w:themeColor="text1"/>
          <w:szCs w:val="21"/>
        </w:rPr>
        <w:t>L盐酸（5.3）,用水稀释至刻度，混匀。</w:t>
      </w:r>
    </w:p>
    <w:p>
      <w:pPr>
        <w:rPr>
          <w:rFonts w:ascii="宋体" w:hAnsi="宋体"/>
          <w:color w:val="000000" w:themeColor="text1"/>
          <w:szCs w:val="21"/>
        </w:rPr>
      </w:pPr>
      <w:r>
        <w:rPr>
          <w:rFonts w:hint="eastAsia" w:ascii="黑体" w:hAnsi="宋体" w:eastAsia="黑体"/>
          <w:color w:val="000000" w:themeColor="text1"/>
          <w:szCs w:val="21"/>
        </w:rPr>
        <w:t>8.5.2</w:t>
      </w:r>
      <w:r>
        <w:rPr>
          <w:rFonts w:hint="eastAsia" w:ascii="宋体" w:hAnsi="宋体"/>
          <w:color w:val="000000" w:themeColor="text1"/>
          <w:szCs w:val="21"/>
        </w:rPr>
        <w:t xml:space="preserve">  测其他元素时：分别将待测元素标准贮存溶液（5.7）或标准溶液（5.8）0.00 </w:t>
      </w:r>
      <w:r>
        <w:rPr>
          <w:rFonts w:ascii="宋体" w:hAnsi="宋体"/>
          <w:color w:val="000000" w:themeColor="text1"/>
          <w:szCs w:val="21"/>
        </w:rPr>
        <w:t>m</w:t>
      </w:r>
      <w:r>
        <w:rPr>
          <w:rFonts w:hint="eastAsia" w:ascii="宋体" w:hAnsi="宋体"/>
          <w:color w:val="000000" w:themeColor="text1"/>
          <w:szCs w:val="21"/>
        </w:rPr>
        <w:t xml:space="preserve">L、0.10 </w:t>
      </w:r>
      <w:r>
        <w:rPr>
          <w:rFonts w:ascii="宋体" w:hAnsi="宋体"/>
          <w:color w:val="000000" w:themeColor="text1"/>
          <w:szCs w:val="21"/>
        </w:rPr>
        <w:t>m</w:t>
      </w:r>
      <w:r>
        <w:rPr>
          <w:rFonts w:hint="eastAsia" w:ascii="宋体" w:hAnsi="宋体"/>
          <w:color w:val="000000" w:themeColor="text1"/>
          <w:szCs w:val="21"/>
        </w:rPr>
        <w:t xml:space="preserve">L、0.50 </w:t>
      </w:r>
      <w:r>
        <w:rPr>
          <w:rFonts w:ascii="宋体" w:hAnsi="宋体"/>
          <w:color w:val="000000" w:themeColor="text1"/>
          <w:szCs w:val="21"/>
        </w:rPr>
        <w:t>m</w:t>
      </w:r>
      <w:r>
        <w:rPr>
          <w:rFonts w:hint="eastAsia" w:ascii="宋体" w:hAnsi="宋体"/>
          <w:color w:val="000000" w:themeColor="text1"/>
          <w:szCs w:val="21"/>
        </w:rPr>
        <w:t xml:space="preserve">L、1.00 </w:t>
      </w:r>
      <w:r>
        <w:rPr>
          <w:rFonts w:ascii="宋体" w:hAnsi="宋体"/>
          <w:color w:val="000000" w:themeColor="text1"/>
          <w:szCs w:val="21"/>
        </w:rPr>
        <w:t>m</w:t>
      </w:r>
      <w:r>
        <w:rPr>
          <w:rFonts w:hint="eastAsia" w:ascii="宋体" w:hAnsi="宋体"/>
          <w:color w:val="000000" w:themeColor="text1"/>
          <w:szCs w:val="21"/>
        </w:rPr>
        <w:t xml:space="preserve">L、5.00 </w:t>
      </w:r>
      <w:r>
        <w:rPr>
          <w:rFonts w:ascii="宋体" w:hAnsi="宋体"/>
          <w:color w:val="000000" w:themeColor="text1"/>
          <w:szCs w:val="21"/>
        </w:rPr>
        <w:t>m</w:t>
      </w:r>
      <w:r>
        <w:rPr>
          <w:rFonts w:hint="eastAsia" w:ascii="宋体" w:hAnsi="宋体"/>
          <w:color w:val="000000" w:themeColor="text1"/>
          <w:szCs w:val="21"/>
        </w:rPr>
        <w:t xml:space="preserve">L 、10.00 </w:t>
      </w:r>
      <w:r>
        <w:rPr>
          <w:rFonts w:ascii="宋体" w:hAnsi="宋体"/>
          <w:color w:val="000000" w:themeColor="text1"/>
          <w:szCs w:val="21"/>
        </w:rPr>
        <w:t>m</w:t>
      </w:r>
      <w:r>
        <w:rPr>
          <w:rFonts w:hint="eastAsia" w:ascii="宋体" w:hAnsi="宋体"/>
          <w:color w:val="000000" w:themeColor="text1"/>
          <w:szCs w:val="21"/>
        </w:rPr>
        <w:t xml:space="preserve">L和3.2 </w:t>
      </w:r>
      <w:r>
        <w:rPr>
          <w:rFonts w:ascii="宋体" w:hAnsi="宋体"/>
          <w:color w:val="000000" w:themeColor="text1"/>
          <w:szCs w:val="21"/>
        </w:rPr>
        <w:t>m</w:t>
      </w:r>
      <w:r>
        <w:rPr>
          <w:rFonts w:hint="eastAsia" w:ascii="宋体" w:hAnsi="宋体"/>
          <w:color w:val="000000" w:themeColor="text1"/>
          <w:szCs w:val="21"/>
        </w:rPr>
        <w:t xml:space="preserve">L 铝基体溶液（5.4）加入焦硫酸钾基体溶液Ⅱ（5.6）中，加入10 </w:t>
      </w:r>
      <w:r>
        <w:rPr>
          <w:rFonts w:ascii="宋体" w:hAnsi="宋体"/>
          <w:color w:val="000000" w:themeColor="text1"/>
          <w:szCs w:val="21"/>
        </w:rPr>
        <w:t>m</w:t>
      </w:r>
      <w:r>
        <w:rPr>
          <w:rFonts w:hint="eastAsia" w:ascii="宋体" w:hAnsi="宋体"/>
          <w:color w:val="000000" w:themeColor="text1"/>
          <w:szCs w:val="21"/>
        </w:rPr>
        <w:t>L盐酸（5.3）,用水稀释至刻度，混匀。</w:t>
      </w:r>
    </w:p>
    <w:p>
      <w:pPr>
        <w:spacing w:beforeLines="50" w:afterLines="50"/>
        <w:rPr>
          <w:rFonts w:ascii="黑体" w:hAnsi="宋体" w:eastAsia="黑体"/>
          <w:color w:val="000000" w:themeColor="text1"/>
          <w:szCs w:val="21"/>
        </w:rPr>
      </w:pPr>
      <w:r>
        <w:rPr>
          <w:rFonts w:hint="eastAsia" w:ascii="黑体" w:hAnsi="宋体" w:eastAsia="黑体"/>
          <w:color w:val="000000" w:themeColor="text1"/>
          <w:szCs w:val="21"/>
        </w:rPr>
        <w:t>8.6  测定</w:t>
      </w:r>
    </w:p>
    <w:p>
      <w:pPr>
        <w:rPr>
          <w:rFonts w:ascii="宋体" w:hAnsi="宋体"/>
          <w:color w:val="000000" w:themeColor="text1"/>
          <w:szCs w:val="21"/>
        </w:rPr>
      </w:pPr>
      <w:r>
        <w:rPr>
          <w:rFonts w:hint="eastAsia" w:ascii="黑体" w:hAnsi="宋体" w:eastAsia="黑体"/>
          <w:color w:val="000000" w:themeColor="text1"/>
          <w:szCs w:val="21"/>
        </w:rPr>
        <w:t xml:space="preserve">8.6.1 </w:t>
      </w:r>
      <w:r>
        <w:rPr>
          <w:rFonts w:hint="eastAsia" w:ascii="宋体" w:hAnsi="宋体"/>
          <w:color w:val="000000" w:themeColor="text1"/>
          <w:szCs w:val="21"/>
        </w:rPr>
        <w:t>推荐的各元素分析线见表3。</w:t>
      </w:r>
    </w:p>
    <w:p>
      <w:pPr>
        <w:rPr>
          <w:rFonts w:ascii="黑体" w:hAnsi="宋体" w:eastAsia="黑体"/>
          <w:color w:val="000000" w:themeColor="text1"/>
          <w:szCs w:val="21"/>
        </w:rPr>
      </w:pPr>
      <w:r>
        <w:rPr>
          <w:rFonts w:hint="eastAsia" w:ascii="黑体" w:hAnsi="宋体" w:eastAsia="黑体"/>
          <w:color w:val="000000" w:themeColor="text1"/>
          <w:szCs w:val="21"/>
        </w:rPr>
        <w:t xml:space="preserve">8.6.2 </w:t>
      </w:r>
      <w:r>
        <w:rPr>
          <w:rFonts w:hint="eastAsia" w:ascii="宋体" w:hAnsi="宋体"/>
          <w:color w:val="000000" w:themeColor="text1"/>
          <w:szCs w:val="21"/>
        </w:rPr>
        <w:t>分析条件</w:t>
      </w:r>
    </w:p>
    <w:p>
      <w:pPr>
        <w:ind w:firstLine="420" w:firstLineChars="200"/>
        <w:rPr>
          <w:rFonts w:ascii="黑体" w:eastAsia="黑体"/>
        </w:rPr>
      </w:pPr>
      <w:r>
        <w:rPr>
          <w:rFonts w:hint="eastAsia" w:ascii="宋体" w:hAnsi="宋体"/>
          <w:color w:val="000000" w:themeColor="text1"/>
          <w:szCs w:val="21"/>
        </w:rPr>
        <w:t>将系列标准溶液（8.5）引入电感耦合等离子体原子发射光谱仪中，输入仪器最佳测定条件，在各元素选定的波长处，测定系列标准溶液中各元素的强度，当工作曲线的线性相关系数≥0.999 5时，即可进行分析试液（8.4）的测定。</w:t>
      </w:r>
    </w:p>
    <w:p>
      <w:pPr>
        <w:pStyle w:val="8"/>
        <w:jc w:val="center"/>
        <w:rPr>
          <w:rFonts w:ascii="黑体" w:eastAsia="黑体"/>
        </w:rPr>
      </w:pPr>
      <w:r>
        <w:rPr>
          <w:rFonts w:hint="eastAsia" w:ascii="黑体" w:eastAsia="黑体"/>
        </w:rPr>
        <w:t>表3</w:t>
      </w:r>
    </w:p>
    <w:tbl>
      <w:tblPr>
        <w:tblStyle w:val="15"/>
        <w:tblW w:w="4998"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280"/>
        <w:gridCol w:w="2880"/>
        <w:gridCol w:w="1280"/>
        <w:gridCol w:w="307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bottom w:val="single" w:color="auto" w:sz="12" w:space="0"/>
            </w:tcBorders>
            <w:vAlign w:val="center"/>
          </w:tcPr>
          <w:p>
            <w:pPr>
              <w:jc w:val="center"/>
              <w:rPr>
                <w:rFonts w:ascii="宋体" w:hAnsi="宋体"/>
                <w:sz w:val="18"/>
                <w:szCs w:val="18"/>
              </w:rPr>
            </w:pPr>
            <w:r>
              <w:rPr>
                <w:rFonts w:hint="eastAsia" w:ascii="宋体" w:hAnsi="宋体"/>
                <w:sz w:val="18"/>
                <w:szCs w:val="18"/>
              </w:rPr>
              <w:t>元素</w:t>
            </w:r>
          </w:p>
        </w:tc>
        <w:tc>
          <w:tcPr>
            <w:tcW w:w="1690" w:type="pct"/>
            <w:tcBorders>
              <w:bottom w:val="single" w:color="auto" w:sz="12" w:space="0"/>
            </w:tcBorders>
            <w:vAlign w:val="center"/>
          </w:tcPr>
          <w:p>
            <w:pPr>
              <w:jc w:val="center"/>
              <w:rPr>
                <w:rFonts w:ascii="宋体" w:hAnsi="宋体"/>
                <w:sz w:val="18"/>
                <w:szCs w:val="18"/>
              </w:rPr>
            </w:pPr>
            <w:r>
              <w:rPr>
                <w:rFonts w:hint="eastAsia" w:ascii="宋体" w:hAnsi="宋体"/>
                <w:sz w:val="18"/>
                <w:szCs w:val="18"/>
              </w:rPr>
              <w:t>分析线/nm</w:t>
            </w:r>
          </w:p>
        </w:tc>
        <w:tc>
          <w:tcPr>
            <w:tcW w:w="751" w:type="pct"/>
            <w:tcBorders>
              <w:bottom w:val="single" w:color="auto" w:sz="12" w:space="0"/>
            </w:tcBorders>
            <w:vAlign w:val="center"/>
          </w:tcPr>
          <w:p>
            <w:pPr>
              <w:jc w:val="center"/>
              <w:rPr>
                <w:rFonts w:ascii="宋体" w:hAnsi="宋体"/>
                <w:sz w:val="18"/>
                <w:szCs w:val="18"/>
              </w:rPr>
            </w:pPr>
            <w:r>
              <w:rPr>
                <w:rFonts w:hint="eastAsia" w:ascii="宋体" w:hAnsi="宋体"/>
                <w:sz w:val="18"/>
                <w:szCs w:val="18"/>
              </w:rPr>
              <w:t>元素</w:t>
            </w:r>
          </w:p>
        </w:tc>
        <w:tc>
          <w:tcPr>
            <w:tcW w:w="1807" w:type="pct"/>
            <w:tcBorders>
              <w:bottom w:val="single" w:color="auto" w:sz="12" w:space="0"/>
            </w:tcBorders>
          </w:tcPr>
          <w:p>
            <w:pPr>
              <w:jc w:val="center"/>
              <w:rPr>
                <w:rFonts w:ascii="宋体" w:hAnsi="宋体"/>
                <w:sz w:val="18"/>
                <w:szCs w:val="18"/>
              </w:rPr>
            </w:pPr>
            <w:r>
              <w:rPr>
                <w:rFonts w:hint="eastAsia" w:ascii="宋体" w:hAnsi="宋体"/>
                <w:sz w:val="18"/>
                <w:szCs w:val="18"/>
              </w:rPr>
              <w:t>分析线/nm</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top w:val="single" w:color="auto" w:sz="12" w:space="0"/>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Al</w:t>
            </w:r>
          </w:p>
        </w:tc>
        <w:tc>
          <w:tcPr>
            <w:tcW w:w="1690" w:type="pct"/>
            <w:tcBorders>
              <w:top w:val="single" w:color="auto" w:sz="12" w:space="0"/>
              <w:tl2br w:val="nil"/>
              <w:tr2bl w:val="nil"/>
            </w:tcBorders>
            <w:vAlign w:val="center"/>
          </w:tcPr>
          <w:p>
            <w:pPr>
              <w:jc w:val="center"/>
              <w:rPr>
                <w:rFonts w:ascii="宋体" w:hAnsi="宋体"/>
                <w:sz w:val="18"/>
                <w:szCs w:val="18"/>
              </w:rPr>
            </w:pPr>
            <w:r>
              <w:rPr>
                <w:rFonts w:hint="eastAsia" w:ascii="宋体" w:hAnsi="宋体"/>
                <w:sz w:val="18"/>
                <w:szCs w:val="18"/>
              </w:rPr>
              <w:t>396.152</w:t>
            </w:r>
          </w:p>
        </w:tc>
        <w:tc>
          <w:tcPr>
            <w:tcW w:w="751" w:type="pct"/>
            <w:tcBorders>
              <w:top w:val="single" w:color="auto" w:sz="12" w:space="0"/>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P</w:t>
            </w:r>
          </w:p>
        </w:tc>
        <w:tc>
          <w:tcPr>
            <w:tcW w:w="1807" w:type="pct"/>
            <w:tcBorders>
              <w:top w:val="single" w:color="auto" w:sz="12" w:space="0"/>
              <w:tl2br w:val="nil"/>
              <w:tr2bl w:val="nil"/>
            </w:tcBorders>
          </w:tcPr>
          <w:p>
            <w:pPr>
              <w:jc w:val="center"/>
              <w:rPr>
                <w:rFonts w:ascii="宋体" w:hAnsi="宋体"/>
                <w:sz w:val="18"/>
                <w:szCs w:val="18"/>
              </w:rPr>
            </w:pPr>
            <w:r>
              <w:rPr>
                <w:rFonts w:hint="eastAsia" w:ascii="宋体" w:hAnsi="宋体"/>
                <w:color w:val="000000"/>
                <w:sz w:val="18"/>
                <w:szCs w:val="18"/>
              </w:rPr>
              <w:t>178.287</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Na</w:t>
            </w:r>
          </w:p>
        </w:tc>
        <w:tc>
          <w:tcPr>
            <w:tcW w:w="1690" w:type="pct"/>
            <w:tcBorders>
              <w:tl2br w:val="nil"/>
              <w:tr2bl w:val="nil"/>
            </w:tcBorders>
            <w:vAlign w:val="center"/>
          </w:tcPr>
          <w:p>
            <w:pPr>
              <w:jc w:val="center"/>
              <w:rPr>
                <w:rFonts w:ascii="宋体" w:hAnsi="宋体"/>
                <w:sz w:val="18"/>
                <w:szCs w:val="18"/>
              </w:rPr>
            </w:pPr>
            <w:r>
              <w:rPr>
                <w:rFonts w:hint="eastAsia" w:ascii="宋体" w:hAnsi="宋体"/>
                <w:sz w:val="18"/>
                <w:szCs w:val="18"/>
              </w:rPr>
              <w:t>588.995</w:t>
            </w:r>
          </w:p>
        </w:tc>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 xml:space="preserve">Ca </w:t>
            </w:r>
          </w:p>
        </w:tc>
        <w:tc>
          <w:tcPr>
            <w:tcW w:w="1807" w:type="pct"/>
            <w:tcBorders>
              <w:tl2br w:val="nil"/>
              <w:tr2bl w:val="nil"/>
            </w:tcBorders>
            <w:vAlign w:val="center"/>
          </w:tcPr>
          <w:p>
            <w:pPr>
              <w:jc w:val="center"/>
              <w:rPr>
                <w:rFonts w:ascii="宋体" w:hAnsi="宋体"/>
                <w:sz w:val="18"/>
                <w:szCs w:val="18"/>
              </w:rPr>
            </w:pPr>
            <w:r>
              <w:rPr>
                <w:rFonts w:hint="eastAsia" w:ascii="宋体" w:hAnsi="宋体"/>
                <w:sz w:val="18"/>
                <w:szCs w:val="18"/>
              </w:rPr>
              <w:t>393.366</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 xml:space="preserve">Fe </w:t>
            </w:r>
          </w:p>
        </w:tc>
        <w:tc>
          <w:tcPr>
            <w:tcW w:w="1690" w:type="pct"/>
            <w:tcBorders>
              <w:tl2br w:val="nil"/>
              <w:tr2bl w:val="nil"/>
            </w:tcBorders>
            <w:vAlign w:val="center"/>
          </w:tcPr>
          <w:p>
            <w:pPr>
              <w:jc w:val="center"/>
              <w:rPr>
                <w:rFonts w:ascii="宋体" w:hAnsi="宋体"/>
                <w:sz w:val="18"/>
                <w:szCs w:val="18"/>
              </w:rPr>
            </w:pPr>
            <w:r>
              <w:rPr>
                <w:rFonts w:hint="eastAsia" w:ascii="宋体" w:hAnsi="宋体"/>
                <w:sz w:val="18"/>
                <w:szCs w:val="18"/>
              </w:rPr>
              <w:t>259.940</w:t>
            </w:r>
          </w:p>
        </w:tc>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Li</w:t>
            </w:r>
          </w:p>
        </w:tc>
        <w:tc>
          <w:tcPr>
            <w:tcW w:w="1807" w:type="pct"/>
            <w:tcBorders>
              <w:tl2br w:val="nil"/>
              <w:tr2bl w:val="nil"/>
            </w:tcBorders>
            <w:vAlign w:val="center"/>
          </w:tcPr>
          <w:p>
            <w:pPr>
              <w:jc w:val="center"/>
              <w:rPr>
                <w:rFonts w:ascii="宋体" w:hAnsi="宋体"/>
                <w:sz w:val="18"/>
                <w:szCs w:val="18"/>
              </w:rPr>
            </w:pPr>
            <w:r>
              <w:rPr>
                <w:rFonts w:hint="eastAsia" w:ascii="宋体" w:hAnsi="宋体"/>
                <w:sz w:val="18"/>
                <w:szCs w:val="18"/>
              </w:rPr>
              <w:t xml:space="preserve"> 670.784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Zn</w:t>
            </w:r>
          </w:p>
        </w:tc>
        <w:tc>
          <w:tcPr>
            <w:tcW w:w="1690" w:type="pct"/>
            <w:tcBorders>
              <w:tl2br w:val="nil"/>
              <w:tr2bl w:val="nil"/>
            </w:tcBorders>
            <w:vAlign w:val="center"/>
          </w:tcPr>
          <w:p>
            <w:pPr>
              <w:jc w:val="center"/>
              <w:rPr>
                <w:rFonts w:ascii="宋体" w:hAnsi="宋体"/>
                <w:sz w:val="18"/>
                <w:szCs w:val="18"/>
              </w:rPr>
            </w:pPr>
            <w:r>
              <w:rPr>
                <w:rFonts w:hint="eastAsia" w:ascii="宋体" w:hAnsi="宋体"/>
                <w:sz w:val="18"/>
                <w:szCs w:val="18"/>
              </w:rPr>
              <w:t>213.856</w:t>
            </w:r>
          </w:p>
        </w:tc>
        <w:tc>
          <w:tcPr>
            <w:tcW w:w="751" w:type="pct"/>
            <w:tcBorders>
              <w:tl2br w:val="nil"/>
              <w:tr2bl w:val="nil"/>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w:t>
            </w:r>
          </w:p>
        </w:tc>
        <w:tc>
          <w:tcPr>
            <w:tcW w:w="1807" w:type="pct"/>
            <w:tcBorders>
              <w:tl2br w:val="nil"/>
              <w:tr2bl w:val="nil"/>
            </w:tcBorders>
            <w:vAlign w:val="center"/>
          </w:tcPr>
          <w:p>
            <w:pPr>
              <w:jc w:val="center"/>
              <w:rPr>
                <w:rFonts w:ascii="宋体" w:hAnsi="宋体"/>
                <w:sz w:val="18"/>
                <w:szCs w:val="18"/>
              </w:rPr>
            </w:pPr>
            <w:r>
              <w:rPr>
                <w:rFonts w:hint="eastAsia" w:ascii="宋体" w:hAnsi="宋体"/>
                <w:sz w:val="18"/>
                <w:szCs w:val="18"/>
              </w:rPr>
              <w:t>—</w:t>
            </w:r>
          </w:p>
        </w:tc>
      </w:tr>
    </w:tbl>
    <w:p>
      <w:pPr>
        <w:spacing w:beforeLines="100" w:afterLines="100"/>
        <w:rPr>
          <w:rFonts w:ascii="黑体" w:eastAsia="黑体"/>
        </w:rPr>
      </w:pPr>
      <w:r>
        <w:rPr>
          <w:rFonts w:hint="eastAsia" w:ascii="黑体" w:eastAsia="黑体"/>
        </w:rPr>
        <w:t>9试验数据处理</w:t>
      </w:r>
    </w:p>
    <w:p>
      <w:pPr>
        <w:ind w:firstLine="420" w:firstLineChars="200"/>
        <w:rPr>
          <w:rFonts w:ascii="宋体" w:hAnsi="宋体"/>
          <w:color w:val="FF0000"/>
        </w:rPr>
      </w:pPr>
      <w:r>
        <w:rPr>
          <w:rFonts w:hint="eastAsia" w:ascii="宋体" w:hAnsi="宋体"/>
          <w:color w:val="000000" w:themeColor="text1"/>
        </w:rPr>
        <w:t>氟化铝中</w:t>
      </w:r>
      <w:r>
        <w:rPr>
          <w:rFonts w:hint="eastAsia"/>
          <w:color w:val="000000" w:themeColor="text1"/>
          <w:szCs w:val="21"/>
        </w:rPr>
        <w:t>各待测元素的质量分数以</w:t>
      </w:r>
      <w:r>
        <w:rPr>
          <w:rFonts w:hint="eastAsia" w:hAnsi="宋体"/>
          <w:i/>
          <w:color w:val="000000" w:themeColor="text1"/>
        </w:rPr>
        <w:t>ω</w:t>
      </w:r>
      <w:r>
        <w:rPr>
          <w:rFonts w:hint="eastAsia" w:hAnsi="宋体"/>
          <w:i/>
          <w:color w:val="000000" w:themeColor="text1"/>
          <w:vertAlign w:val="subscript"/>
        </w:rPr>
        <w:t>X</w:t>
      </w:r>
      <w:r>
        <w:rPr>
          <w:rFonts w:hint="eastAsia"/>
          <w:color w:val="000000" w:themeColor="text1"/>
        </w:rPr>
        <w:t>计，</w:t>
      </w:r>
      <w:r>
        <w:rPr>
          <w:rFonts w:hint="eastAsia" w:ascii="宋体" w:hAnsi="宋体"/>
          <w:color w:val="000000" w:themeColor="text1"/>
        </w:rPr>
        <w:t>按公式（1）计算：</w:t>
      </w:r>
    </w:p>
    <w:p>
      <w:pPr>
        <w:ind w:left="1575" w:hanging="1575" w:hangingChars="750"/>
        <w:jc w:val="center"/>
        <w:rPr>
          <w:rFonts w:ascii="宋体" w:hAnsi="宋体"/>
          <w:color w:val="FF0000"/>
          <w:szCs w:val="21"/>
        </w:rPr>
      </w:pPr>
      <w:r>
        <w:rPr>
          <w:rFonts w:ascii="宋体" w:hAnsi="宋体"/>
          <w:color w:val="000000" w:themeColor="text1"/>
          <w:position w:val="-30"/>
        </w:rPr>
        <w:object>
          <v:shape id="_x0000_i1025" o:spt="75" type="#_x0000_t75" style="height:36pt;width:168.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宋体" w:hAnsi="宋体"/>
          <w:color w:val="000000" w:themeColor="text1"/>
          <w:szCs w:val="21"/>
        </w:rPr>
        <w:t>…………………………（1）</w:t>
      </w:r>
    </w:p>
    <w:p>
      <w:pPr>
        <w:ind w:firstLine="420" w:firstLineChars="200"/>
        <w:rPr>
          <w:rFonts w:ascii="宋体" w:hAnsi="宋体"/>
          <w:color w:val="000000" w:themeColor="text1"/>
        </w:rPr>
      </w:pPr>
      <w:r>
        <w:rPr>
          <w:rFonts w:hint="eastAsia" w:ascii="宋体" w:hAnsi="宋体"/>
          <w:color w:val="000000" w:themeColor="text1"/>
        </w:rPr>
        <w:t>式中：</w:t>
      </w:r>
    </w:p>
    <w:p>
      <w:pPr>
        <w:ind w:firstLine="420" w:firstLineChars="200"/>
        <w:rPr>
          <w:rFonts w:ascii="宋体" w:hAnsi="宋体"/>
          <w:color w:val="000000" w:themeColor="text1"/>
        </w:rPr>
      </w:pPr>
      <w:r>
        <w:rPr>
          <w:rFonts w:hint="eastAsia" w:ascii="宋体" w:hAnsi="宋体"/>
          <w:i/>
          <w:color w:val="000000" w:themeColor="text1"/>
        </w:rPr>
        <w:t>C</w:t>
      </w:r>
      <w:r>
        <w:rPr>
          <w:rFonts w:hint="eastAsia" w:ascii="宋体" w:hAnsi="宋体"/>
          <w:color w:val="000000" w:themeColor="text1"/>
        </w:rPr>
        <w:t>—</w:t>
      </w:r>
      <w:r>
        <w:rPr>
          <w:rFonts w:hint="eastAsia" w:ascii="宋体" w:hAnsi="宋体"/>
          <w:color w:val="000000" w:themeColor="text1"/>
          <w:szCs w:val="21"/>
        </w:rPr>
        <w:t>自工作曲线上查得被测元素的质量浓度，单位为微克每毫升（</w:t>
      </w:r>
      <w:r>
        <w:rPr>
          <w:rFonts w:ascii="宋体" w:hAnsi="宋体"/>
          <w:color w:val="000000" w:themeColor="text1"/>
          <w:szCs w:val="21"/>
        </w:rPr>
        <w:t>μg</w:t>
      </w:r>
      <w:r>
        <w:rPr>
          <w:rFonts w:hint="eastAsia" w:ascii="宋体" w:hAnsi="宋体"/>
          <w:color w:val="000000" w:themeColor="text1"/>
          <w:szCs w:val="21"/>
        </w:rPr>
        <w:t>/mL）；</w:t>
      </w:r>
    </w:p>
    <w:p>
      <w:pPr>
        <w:ind w:firstLine="420" w:firstLineChars="200"/>
        <w:rPr>
          <w:rFonts w:ascii="宋体" w:hAnsi="宋体"/>
          <w:color w:val="000000" w:themeColor="text1"/>
        </w:rPr>
      </w:pPr>
      <w:r>
        <w:rPr>
          <w:rFonts w:hint="eastAsia" w:ascii="宋体" w:hAnsi="宋体"/>
          <w:i/>
          <w:color w:val="000000" w:themeColor="text1"/>
        </w:rPr>
        <w:t>C</w:t>
      </w:r>
      <w:r>
        <w:rPr>
          <w:rFonts w:hint="eastAsia" w:ascii="宋体" w:hAnsi="宋体"/>
          <w:i/>
          <w:color w:val="000000" w:themeColor="text1"/>
          <w:vertAlign w:val="subscript"/>
        </w:rPr>
        <w:t>0</w:t>
      </w:r>
      <w:r>
        <w:rPr>
          <w:rFonts w:hint="eastAsia" w:ascii="宋体" w:hAnsi="宋体"/>
          <w:color w:val="000000" w:themeColor="text1"/>
        </w:rPr>
        <w:t>—自工作曲线上</w:t>
      </w:r>
      <w:r>
        <w:rPr>
          <w:rFonts w:hint="eastAsia" w:ascii="宋体" w:hAnsi="宋体"/>
          <w:color w:val="000000" w:themeColor="text1"/>
          <w:szCs w:val="21"/>
        </w:rPr>
        <w:t>查得空白试验溶液中被测元素的质量浓度，单位为微克每毫升（</w:t>
      </w:r>
      <w:r>
        <w:rPr>
          <w:rFonts w:ascii="宋体" w:hAnsi="宋体"/>
          <w:color w:val="000000" w:themeColor="text1"/>
          <w:szCs w:val="21"/>
        </w:rPr>
        <w:t>μg</w:t>
      </w:r>
      <w:r>
        <w:rPr>
          <w:rFonts w:hint="eastAsia" w:ascii="宋体" w:hAnsi="宋体"/>
          <w:color w:val="000000" w:themeColor="text1"/>
          <w:szCs w:val="21"/>
        </w:rPr>
        <w:t>/mL）</w:t>
      </w:r>
      <w:r>
        <w:rPr>
          <w:rFonts w:hint="eastAsia" w:ascii="宋体" w:hAnsi="宋体"/>
          <w:color w:val="000000" w:themeColor="text1"/>
        </w:rPr>
        <w:t>；</w:t>
      </w:r>
    </w:p>
    <w:p>
      <w:pPr>
        <w:ind w:firstLine="420" w:firstLineChars="200"/>
        <w:rPr>
          <w:rFonts w:ascii="宋体" w:hAnsi="宋体"/>
          <w:color w:val="000000" w:themeColor="text1"/>
        </w:rPr>
      </w:pPr>
      <w:r>
        <w:rPr>
          <w:rFonts w:hint="eastAsia" w:ascii="宋体" w:hAnsi="宋体"/>
          <w:i/>
          <w:color w:val="000000" w:themeColor="text1"/>
        </w:rPr>
        <w:t>V</w:t>
      </w:r>
      <w:r>
        <w:rPr>
          <w:rFonts w:hint="eastAsia" w:ascii="宋体" w:hAnsi="宋体"/>
          <w:color w:val="000000" w:themeColor="text1"/>
        </w:rPr>
        <w:t>—测定试液的体积，</w:t>
      </w:r>
      <w:r>
        <w:rPr>
          <w:rFonts w:hint="eastAsia" w:ascii="宋体" w:hAnsi="宋体"/>
          <w:color w:val="000000" w:themeColor="text1"/>
          <w:szCs w:val="21"/>
        </w:rPr>
        <w:t>单位为毫升（</w:t>
      </w:r>
      <w:r>
        <w:rPr>
          <w:rFonts w:ascii="宋体" w:hAnsi="宋体"/>
          <w:color w:val="000000" w:themeColor="text1"/>
          <w:szCs w:val="21"/>
        </w:rPr>
        <w:t>mL</w:t>
      </w:r>
      <w:r>
        <w:rPr>
          <w:rFonts w:hint="eastAsia" w:ascii="宋体" w:hAnsi="宋体"/>
          <w:color w:val="000000" w:themeColor="text1"/>
          <w:szCs w:val="21"/>
        </w:rPr>
        <w:t>）</w:t>
      </w:r>
      <w:r>
        <w:rPr>
          <w:rFonts w:hint="eastAsia" w:ascii="宋体" w:hAnsi="宋体"/>
          <w:color w:val="000000" w:themeColor="text1"/>
        </w:rPr>
        <w:t>；</w:t>
      </w:r>
    </w:p>
    <w:p>
      <w:pPr>
        <w:ind w:firstLine="420" w:firstLineChars="200"/>
        <w:rPr>
          <w:rFonts w:ascii="宋体" w:hAnsi="宋体"/>
          <w:color w:val="000000" w:themeColor="text1"/>
        </w:rPr>
      </w:pPr>
      <w:r>
        <w:rPr>
          <w:rFonts w:hint="eastAsia" w:ascii="宋体" w:hAnsi="宋体"/>
          <w:i/>
          <w:color w:val="000000" w:themeColor="text1"/>
        </w:rPr>
        <w:t>m</w:t>
      </w:r>
      <w:r>
        <w:rPr>
          <w:rFonts w:hint="eastAsia" w:ascii="宋体" w:hAnsi="宋体"/>
          <w:i/>
          <w:color w:val="000000" w:themeColor="text1"/>
          <w:vertAlign w:val="subscript"/>
        </w:rPr>
        <w:t>0</w:t>
      </w:r>
      <w:r>
        <w:rPr>
          <w:rFonts w:hint="eastAsia" w:ascii="宋体" w:hAnsi="宋体"/>
          <w:color w:val="000000" w:themeColor="text1"/>
        </w:rPr>
        <w:t>—试料的质量，</w:t>
      </w:r>
      <w:r>
        <w:rPr>
          <w:rFonts w:hint="eastAsia" w:ascii="宋体" w:hAnsi="宋体"/>
          <w:color w:val="000000" w:themeColor="text1"/>
          <w:szCs w:val="21"/>
        </w:rPr>
        <w:t>单位为克（g）</w:t>
      </w:r>
      <w:r>
        <w:rPr>
          <w:rFonts w:hint="eastAsia" w:ascii="宋体" w:hAnsi="宋体"/>
          <w:color w:val="000000" w:themeColor="text1"/>
        </w:rPr>
        <w:t>；</w:t>
      </w:r>
    </w:p>
    <w:p>
      <w:pPr>
        <w:ind w:firstLine="420" w:firstLineChars="200"/>
        <w:rPr>
          <w:rFonts w:ascii="宋体" w:hAnsi="宋体"/>
          <w:color w:val="000000" w:themeColor="text1"/>
        </w:rPr>
      </w:pPr>
      <w:r>
        <w:rPr>
          <w:rFonts w:hint="eastAsia" w:ascii="宋体" w:hAnsi="宋体"/>
          <w:i/>
          <w:color w:val="000000" w:themeColor="text1"/>
        </w:rPr>
        <w:t>R</w:t>
      </w:r>
      <w:r>
        <w:rPr>
          <w:rFonts w:hint="eastAsia" w:ascii="宋体" w:hAnsi="宋体"/>
          <w:color w:val="000000" w:themeColor="text1"/>
        </w:rPr>
        <w:t>—稀释系数。</w:t>
      </w:r>
    </w:p>
    <w:p>
      <w:pPr>
        <w:pStyle w:val="24"/>
        <w:ind w:firstLine="420"/>
        <w:rPr>
          <w:rFonts w:hAnsi="宋体"/>
          <w:color w:val="FF0000"/>
        </w:rPr>
      </w:pPr>
      <w:r>
        <w:rPr>
          <w:rFonts w:hint="eastAsia" w:hAnsi="宋体"/>
          <w:color w:val="000000" w:themeColor="text1"/>
        </w:rPr>
        <w:t>分析结果表</w:t>
      </w:r>
      <w:bookmarkStart w:id="2" w:name="_GoBack"/>
      <w:bookmarkEnd w:id="2"/>
      <w:r>
        <w:rPr>
          <w:rFonts w:hint="eastAsia" w:hAnsi="宋体"/>
          <w:color w:val="000000" w:themeColor="text1"/>
        </w:rPr>
        <w:t>示到小数点后二</w:t>
      </w:r>
      <w:r>
        <w:rPr>
          <w:rFonts w:hint="eastAsia" w:hAnsi="宋体"/>
        </w:rPr>
        <w:t>位有效数字。</w:t>
      </w:r>
      <w:r>
        <w:rPr>
          <w:rFonts w:hAnsi="宋体"/>
          <w:color w:val="000000"/>
          <w:szCs w:val="21"/>
        </w:rPr>
        <w:t>数值修约</w:t>
      </w:r>
      <w:r>
        <w:rPr>
          <w:rFonts w:hint="eastAsia" w:hAnsi="宋体"/>
          <w:color w:val="000000"/>
          <w:szCs w:val="21"/>
        </w:rPr>
        <w:t>按照</w:t>
      </w:r>
      <w:r>
        <w:rPr>
          <w:rFonts w:hAnsi="宋体"/>
          <w:color w:val="000000"/>
          <w:szCs w:val="21"/>
        </w:rPr>
        <w:t>GB/T 8170</w:t>
      </w:r>
      <w:r>
        <w:rPr>
          <w:rFonts w:hint="eastAsia" w:hAnsi="宋体"/>
          <w:color w:val="000000"/>
          <w:szCs w:val="21"/>
        </w:rPr>
        <w:t>的规定执行</w:t>
      </w:r>
      <w:r>
        <w:rPr>
          <w:rFonts w:hAnsi="宋体"/>
          <w:szCs w:val="21"/>
        </w:rPr>
        <w:t>。</w:t>
      </w:r>
    </w:p>
    <w:p>
      <w:pPr>
        <w:spacing w:beforeLines="100" w:afterLines="100"/>
        <w:rPr>
          <w:rFonts w:ascii="宋体" w:hAnsi="宋体"/>
        </w:rPr>
      </w:pPr>
      <w:r>
        <w:rPr>
          <w:rFonts w:hint="eastAsia" w:ascii="黑体" w:eastAsia="黑体"/>
        </w:rPr>
        <w:t>10  精密度</w:t>
      </w:r>
    </w:p>
    <w:p>
      <w:pPr>
        <w:pStyle w:val="8"/>
        <w:spacing w:afterLines="50"/>
        <w:rPr>
          <w:rFonts w:ascii="黑体" w:eastAsia="黑体"/>
        </w:rPr>
      </w:pPr>
      <w:r>
        <w:rPr>
          <w:rFonts w:hint="eastAsia" w:ascii="黑体" w:hAnsi="宋体" w:eastAsia="黑体" w:cs="Times New Roman"/>
        </w:rPr>
        <w:t>10</w:t>
      </w:r>
      <w:r>
        <w:rPr>
          <w:rFonts w:ascii="黑体" w:hAnsi="宋体" w:eastAsia="黑体" w:cs="Times New Roman"/>
        </w:rPr>
        <w:t>.</w:t>
      </w:r>
      <w:r>
        <w:rPr>
          <w:rFonts w:ascii="黑体" w:hAnsi="Times New Roman" w:eastAsia="黑体" w:cs="Times New Roman"/>
        </w:rPr>
        <w:t>1</w:t>
      </w:r>
      <w:r>
        <w:rPr>
          <w:rFonts w:hint="eastAsia" w:ascii="黑体" w:eastAsia="黑体"/>
        </w:rPr>
        <w:t xml:space="preserve">  重复性</w:t>
      </w:r>
    </w:p>
    <w:p>
      <w:pPr>
        <w:ind w:firstLine="420" w:firstLineChars="200"/>
        <w:rPr>
          <w:rFonts w:ascii="宋体" w:hAnsi="宋体"/>
          <w:szCs w:val="21"/>
        </w:rPr>
      </w:pPr>
      <w:r>
        <w:rPr>
          <w:rFonts w:hint="eastAsia" w:ascii="宋体" w:hAnsi="宋体"/>
          <w:szCs w:val="21"/>
        </w:rPr>
        <w:t>在重复性条件下获得的两次独立测试结果的测定值，在以下给出的平均值范围内，这两个测试结果的绝对差值不超过重复性限</w:t>
      </w:r>
      <w:r>
        <w:rPr>
          <w:rFonts w:ascii="宋体" w:hAnsi="宋体"/>
          <w:szCs w:val="21"/>
        </w:rPr>
        <w:t>（</w:t>
      </w:r>
      <w:r>
        <w:rPr>
          <w:rFonts w:ascii="宋体" w:hAnsi="宋体"/>
          <w:i/>
          <w:iCs/>
          <w:szCs w:val="21"/>
        </w:rPr>
        <w:t>r</w:t>
      </w:r>
      <w:r>
        <w:rPr>
          <w:rFonts w:ascii="宋体" w:hAnsi="宋体"/>
          <w:szCs w:val="21"/>
        </w:rPr>
        <w:t>）</w:t>
      </w:r>
      <w:r>
        <w:rPr>
          <w:rFonts w:hint="eastAsia" w:ascii="宋体" w:hAnsi="宋体"/>
          <w:szCs w:val="21"/>
        </w:rPr>
        <w:t>，超过重复性限</w:t>
      </w:r>
      <w:r>
        <w:rPr>
          <w:rFonts w:ascii="宋体" w:hAnsi="宋体"/>
          <w:szCs w:val="21"/>
        </w:rPr>
        <w:t>（</w:t>
      </w:r>
      <w:r>
        <w:rPr>
          <w:rFonts w:ascii="宋体" w:hAnsi="宋体"/>
          <w:i/>
          <w:iCs/>
          <w:szCs w:val="21"/>
        </w:rPr>
        <w:t>r</w:t>
      </w:r>
      <w:r>
        <w:rPr>
          <w:rFonts w:ascii="宋体" w:hAnsi="宋体"/>
          <w:szCs w:val="21"/>
        </w:rPr>
        <w:t>）</w:t>
      </w:r>
      <w:r>
        <w:rPr>
          <w:rFonts w:hint="eastAsia" w:ascii="宋体" w:hAnsi="宋体"/>
          <w:szCs w:val="21"/>
        </w:rPr>
        <w:t>的情况不超过</w:t>
      </w:r>
      <w:r>
        <w:rPr>
          <w:rFonts w:ascii="宋体" w:hAnsi="宋体"/>
          <w:szCs w:val="21"/>
        </w:rPr>
        <w:t>5%</w:t>
      </w:r>
      <w:r>
        <w:rPr>
          <w:rFonts w:hint="eastAsia" w:ascii="宋体" w:hAnsi="宋体"/>
          <w:szCs w:val="21"/>
        </w:rPr>
        <w:t>。重复性限</w:t>
      </w:r>
      <w:r>
        <w:rPr>
          <w:rFonts w:ascii="宋体" w:hAnsi="宋体"/>
          <w:szCs w:val="21"/>
        </w:rPr>
        <w:t>（</w:t>
      </w:r>
      <w:r>
        <w:rPr>
          <w:rFonts w:ascii="宋体" w:hAnsi="宋体"/>
          <w:i/>
          <w:iCs/>
          <w:szCs w:val="21"/>
        </w:rPr>
        <w:t>r</w:t>
      </w:r>
      <w:r>
        <w:rPr>
          <w:rFonts w:ascii="宋体" w:hAnsi="宋体"/>
          <w:szCs w:val="21"/>
        </w:rPr>
        <w:t>）</w:t>
      </w:r>
      <w:r>
        <w:rPr>
          <w:rFonts w:hint="eastAsia" w:ascii="宋体" w:hAnsi="宋体"/>
          <w:szCs w:val="21"/>
        </w:rPr>
        <w:t>按表4数据采用线性内插法或外延法求得。</w:t>
      </w:r>
    </w:p>
    <w:p>
      <w:pPr>
        <w:pStyle w:val="8"/>
        <w:jc w:val="center"/>
        <w:rPr>
          <w:rFonts w:ascii="黑体" w:eastAsia="黑体"/>
        </w:rPr>
      </w:pPr>
      <w:r>
        <w:rPr>
          <w:rFonts w:hint="eastAsia" w:ascii="黑体" w:eastAsia="黑体"/>
        </w:rPr>
        <w:t>表4</w:t>
      </w:r>
    </w:p>
    <w:tbl>
      <w:tblPr>
        <w:tblStyle w:val="15"/>
        <w:tblW w:w="499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01"/>
        <w:gridCol w:w="2921"/>
        <w:gridCol w:w="32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jc w:val="center"/>
        </w:trPr>
        <w:tc>
          <w:tcPr>
            <w:tcW w:w="1350" w:type="pct"/>
            <w:tcBorders>
              <w:top w:val="single" w:color="000000" w:sz="12" w:space="0"/>
              <w:left w:val="single" w:color="000000" w:sz="12" w:space="0"/>
              <w:bottom w:val="single" w:color="000000" w:sz="12" w:space="0"/>
            </w:tcBorders>
            <w:vAlign w:val="center"/>
          </w:tcPr>
          <w:p>
            <w:pPr>
              <w:spacing w:line="400" w:lineRule="exact"/>
              <w:jc w:val="center"/>
              <w:rPr>
                <w:rFonts w:ascii="宋体" w:hAnsi="宋体" w:cs="宋体"/>
                <w:sz w:val="18"/>
                <w:szCs w:val="18"/>
              </w:rPr>
            </w:pPr>
            <w:r>
              <w:rPr>
                <w:rFonts w:hint="eastAsia" w:ascii="宋体" w:hAnsi="宋体" w:cs="宋体"/>
                <w:sz w:val="18"/>
                <w:szCs w:val="18"/>
              </w:rPr>
              <w:t>元素</w:t>
            </w:r>
          </w:p>
        </w:tc>
        <w:tc>
          <w:tcPr>
            <w:tcW w:w="1714" w:type="pct"/>
            <w:tcBorders>
              <w:top w:val="single" w:color="000000" w:sz="12" w:space="0"/>
              <w:bottom w:val="single" w:color="000000" w:sz="12" w:space="0"/>
            </w:tcBorders>
            <w:vAlign w:val="center"/>
          </w:tcPr>
          <w:p>
            <w:pPr>
              <w:spacing w:line="400" w:lineRule="exact"/>
              <w:jc w:val="center"/>
              <w:rPr>
                <w:rFonts w:ascii="宋体" w:hAnsi="宋体"/>
                <w:sz w:val="18"/>
                <w:szCs w:val="18"/>
              </w:rPr>
            </w:pPr>
            <w:r>
              <w:rPr>
                <w:rFonts w:hint="eastAsia" w:ascii="宋体" w:hAnsi="宋体" w:cs="宋体"/>
                <w:sz w:val="18"/>
                <w:szCs w:val="18"/>
              </w:rPr>
              <w:t>含量/%</w:t>
            </w:r>
          </w:p>
        </w:tc>
        <w:tc>
          <w:tcPr>
            <w:tcW w:w="1935" w:type="pct"/>
            <w:tcBorders>
              <w:top w:val="single" w:color="000000" w:sz="12" w:space="0"/>
              <w:bottom w:val="single" w:color="000000" w:sz="12" w:space="0"/>
              <w:right w:val="single" w:color="000000" w:sz="12" w:space="0"/>
            </w:tcBorders>
            <w:vAlign w:val="center"/>
          </w:tcPr>
          <w:p>
            <w:pPr>
              <w:spacing w:line="400" w:lineRule="exact"/>
              <w:jc w:val="center"/>
              <w:rPr>
                <w:rFonts w:ascii="宋体" w:hAnsi="宋体"/>
                <w:sz w:val="18"/>
                <w:szCs w:val="18"/>
              </w:rPr>
            </w:pPr>
            <w:r>
              <w:rPr>
                <w:rFonts w:hint="eastAsia" w:ascii="宋体" w:hAnsi="宋体"/>
                <w:i/>
                <w:sz w:val="18"/>
                <w:szCs w:val="18"/>
              </w:rPr>
              <w:t>r</w:t>
            </w:r>
            <w:r>
              <w:rPr>
                <w:rFonts w:hint="eastAsia" w:ascii="宋体" w:hAnsi="宋体"/>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Al</w:t>
            </w:r>
          </w:p>
        </w:tc>
        <w:tc>
          <w:tcPr>
            <w:tcW w:w="1714" w:type="pct"/>
            <w:vAlign w:val="center"/>
          </w:tcPr>
          <w:p>
            <w:pPr>
              <w:jc w:val="center"/>
              <w:rPr>
                <w:rFonts w:ascii="宋体" w:hAnsi="宋体"/>
                <w:sz w:val="18"/>
                <w:szCs w:val="18"/>
              </w:rPr>
            </w:pPr>
            <w:r>
              <w:rPr>
                <w:rFonts w:hint="eastAsia" w:ascii="宋体" w:hAnsi="宋体"/>
                <w:sz w:val="18"/>
                <w:szCs w:val="18"/>
              </w:rPr>
              <w:t>30.55</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32.17</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34.79</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Na</w:t>
            </w:r>
          </w:p>
        </w:tc>
        <w:tc>
          <w:tcPr>
            <w:tcW w:w="1714" w:type="pct"/>
            <w:vAlign w:val="center"/>
          </w:tcPr>
          <w:p>
            <w:pPr>
              <w:jc w:val="center"/>
              <w:rPr>
                <w:rFonts w:ascii="宋体" w:hAnsi="宋体"/>
                <w:sz w:val="18"/>
                <w:szCs w:val="18"/>
              </w:rPr>
            </w:pPr>
            <w:r>
              <w:rPr>
                <w:rFonts w:hint="eastAsia" w:ascii="宋体" w:hAnsi="宋体"/>
                <w:sz w:val="18"/>
                <w:szCs w:val="18"/>
              </w:rPr>
              <w:t>0.029</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0.14</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0.57</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sz w:val="18"/>
                <w:szCs w:val="18"/>
              </w:rPr>
            </w:pPr>
            <w:r>
              <w:rPr>
                <w:rFonts w:ascii="宋体" w:hAnsi="宋体"/>
                <w:sz w:val="18"/>
                <w:szCs w:val="18"/>
              </w:rPr>
              <w:t>Fe</w:t>
            </w:r>
          </w:p>
        </w:tc>
        <w:tc>
          <w:tcPr>
            <w:tcW w:w="1714" w:type="pct"/>
            <w:vAlign w:val="center"/>
          </w:tcPr>
          <w:p>
            <w:pPr>
              <w:jc w:val="center"/>
              <w:rPr>
                <w:rFonts w:ascii="宋体" w:hAnsi="宋体"/>
                <w:sz w:val="18"/>
                <w:szCs w:val="18"/>
              </w:rPr>
            </w:pPr>
            <w:r>
              <w:rPr>
                <w:rFonts w:hint="eastAsia" w:ascii="宋体" w:hAnsi="宋体"/>
                <w:sz w:val="18"/>
                <w:szCs w:val="18"/>
              </w:rPr>
              <w:t>0.0048</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0.022</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0.075</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Zn</w:t>
            </w:r>
          </w:p>
        </w:tc>
        <w:tc>
          <w:tcPr>
            <w:tcW w:w="1714" w:type="pct"/>
            <w:vAlign w:val="center"/>
          </w:tcPr>
          <w:p>
            <w:pPr>
              <w:jc w:val="center"/>
              <w:rPr>
                <w:rFonts w:ascii="宋体" w:hAnsi="宋体"/>
                <w:sz w:val="18"/>
                <w:szCs w:val="18"/>
              </w:rPr>
            </w:pPr>
            <w:r>
              <w:rPr>
                <w:rFonts w:hint="eastAsia" w:ascii="宋体" w:hAnsi="宋体"/>
                <w:sz w:val="18"/>
                <w:szCs w:val="18"/>
              </w:rPr>
              <w:t>0.0019</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0.0073</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P</w:t>
            </w:r>
          </w:p>
        </w:tc>
        <w:tc>
          <w:tcPr>
            <w:tcW w:w="1714" w:type="pct"/>
            <w:vAlign w:val="center"/>
          </w:tcPr>
          <w:p>
            <w:pPr>
              <w:jc w:val="center"/>
              <w:rPr>
                <w:rFonts w:ascii="宋体" w:hAnsi="宋体"/>
                <w:sz w:val="18"/>
                <w:szCs w:val="18"/>
              </w:rPr>
            </w:pPr>
            <w:r>
              <w:rPr>
                <w:rFonts w:hint="eastAsia" w:ascii="宋体" w:hAnsi="宋体"/>
                <w:sz w:val="18"/>
                <w:szCs w:val="18"/>
              </w:rPr>
              <w:t>0.0011</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0.010</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0.058</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Ca</w:t>
            </w:r>
          </w:p>
        </w:tc>
        <w:tc>
          <w:tcPr>
            <w:tcW w:w="1714" w:type="pct"/>
            <w:vAlign w:val="center"/>
          </w:tcPr>
          <w:p>
            <w:pPr>
              <w:jc w:val="center"/>
              <w:rPr>
                <w:rFonts w:ascii="宋体" w:hAnsi="宋体"/>
                <w:sz w:val="18"/>
                <w:szCs w:val="18"/>
              </w:rPr>
            </w:pPr>
            <w:r>
              <w:rPr>
                <w:rFonts w:hint="eastAsia" w:ascii="宋体" w:hAnsi="宋体"/>
                <w:sz w:val="18"/>
                <w:szCs w:val="18"/>
              </w:rPr>
              <w:t>0.0082</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sz w:val="18"/>
                <w:szCs w:val="18"/>
              </w:rPr>
            </w:pPr>
          </w:p>
        </w:tc>
        <w:tc>
          <w:tcPr>
            <w:tcW w:w="1714" w:type="pct"/>
            <w:vAlign w:val="center"/>
          </w:tcPr>
          <w:p>
            <w:pPr>
              <w:jc w:val="center"/>
              <w:rPr>
                <w:rFonts w:ascii="宋体" w:hAnsi="宋体"/>
                <w:sz w:val="18"/>
                <w:szCs w:val="18"/>
              </w:rPr>
            </w:pPr>
            <w:r>
              <w:rPr>
                <w:rFonts w:hint="eastAsia" w:ascii="宋体" w:hAnsi="宋体"/>
                <w:sz w:val="18"/>
                <w:szCs w:val="18"/>
              </w:rPr>
              <w:t>0.047</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sz w:val="18"/>
                <w:szCs w:val="18"/>
              </w:rPr>
            </w:pPr>
            <w:r>
              <w:rPr>
                <w:rFonts w:hint="eastAsia" w:ascii="宋体" w:hAnsi="宋体"/>
                <w:sz w:val="18"/>
                <w:szCs w:val="18"/>
              </w:rPr>
              <w:t>Li</w:t>
            </w:r>
          </w:p>
        </w:tc>
        <w:tc>
          <w:tcPr>
            <w:tcW w:w="1714" w:type="pct"/>
            <w:vAlign w:val="center"/>
          </w:tcPr>
          <w:p>
            <w:pPr>
              <w:jc w:val="center"/>
              <w:rPr>
                <w:rFonts w:ascii="宋体" w:hAnsi="宋体"/>
                <w:sz w:val="18"/>
                <w:szCs w:val="18"/>
              </w:rPr>
            </w:pPr>
            <w:r>
              <w:rPr>
                <w:rFonts w:hint="eastAsia" w:ascii="宋体" w:hAnsi="宋体"/>
                <w:sz w:val="18"/>
                <w:szCs w:val="18"/>
              </w:rPr>
              <w:t>0.0073</w:t>
            </w:r>
          </w:p>
        </w:tc>
        <w:tc>
          <w:tcPr>
            <w:tcW w:w="1935" w:type="pct"/>
            <w:tcBorders>
              <w:right w:val="single" w:color="000000" w:sz="12" w:space="0"/>
            </w:tcBorders>
          </w:tcPr>
          <w:p>
            <w:pPr>
              <w:jc w:val="center"/>
              <w:rPr>
                <w:rFonts w:ascii="宋体" w:hAnsi="宋体"/>
                <w:sz w:val="18"/>
                <w:szCs w:val="18"/>
              </w:rPr>
            </w:pPr>
            <w:r>
              <w:rPr>
                <w:rFonts w:hint="eastAsia" w:ascii="宋体" w:hAnsi="宋体"/>
                <w:sz w:val="18"/>
                <w:szCs w:val="18"/>
              </w:rPr>
              <w:t>0.0008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bottom w:val="single" w:color="000000" w:sz="12" w:space="0"/>
            </w:tcBorders>
            <w:vAlign w:val="center"/>
          </w:tcPr>
          <w:p>
            <w:pPr>
              <w:spacing w:line="400" w:lineRule="exact"/>
              <w:jc w:val="center"/>
              <w:rPr>
                <w:rFonts w:ascii="宋体" w:hAnsi="宋体"/>
                <w:sz w:val="18"/>
                <w:szCs w:val="18"/>
              </w:rPr>
            </w:pPr>
          </w:p>
        </w:tc>
        <w:tc>
          <w:tcPr>
            <w:tcW w:w="1714" w:type="pct"/>
            <w:tcBorders>
              <w:bottom w:val="single" w:color="000000" w:sz="12" w:space="0"/>
            </w:tcBorders>
            <w:vAlign w:val="center"/>
          </w:tcPr>
          <w:p>
            <w:pPr>
              <w:jc w:val="center"/>
              <w:rPr>
                <w:rFonts w:ascii="宋体" w:hAnsi="宋体"/>
                <w:sz w:val="18"/>
                <w:szCs w:val="18"/>
              </w:rPr>
            </w:pPr>
            <w:r>
              <w:rPr>
                <w:rFonts w:hint="eastAsia" w:ascii="宋体" w:hAnsi="宋体"/>
                <w:sz w:val="18"/>
                <w:szCs w:val="18"/>
              </w:rPr>
              <w:t>0.023</w:t>
            </w:r>
          </w:p>
        </w:tc>
        <w:tc>
          <w:tcPr>
            <w:tcW w:w="1935" w:type="pct"/>
            <w:tcBorders>
              <w:bottom w:val="single" w:color="000000" w:sz="12" w:space="0"/>
              <w:right w:val="single" w:color="000000" w:sz="12" w:space="0"/>
            </w:tcBorders>
          </w:tcPr>
          <w:p>
            <w:pPr>
              <w:jc w:val="center"/>
              <w:rPr>
                <w:rFonts w:ascii="宋体" w:hAnsi="宋体"/>
                <w:sz w:val="18"/>
                <w:szCs w:val="18"/>
              </w:rPr>
            </w:pPr>
            <w:r>
              <w:rPr>
                <w:rFonts w:hint="eastAsia" w:ascii="宋体" w:hAnsi="宋体"/>
                <w:sz w:val="18"/>
                <w:szCs w:val="18"/>
              </w:rPr>
              <w:t>0.002</w:t>
            </w:r>
          </w:p>
        </w:tc>
      </w:tr>
    </w:tbl>
    <w:p>
      <w:pPr>
        <w:pStyle w:val="8"/>
        <w:spacing w:beforeLines="50"/>
        <w:rPr>
          <w:rFonts w:ascii="黑体" w:hAnsi="Times New Roman" w:eastAsia="黑体" w:cs="Times New Roman"/>
        </w:rPr>
      </w:pPr>
      <w:r>
        <w:rPr>
          <w:rFonts w:hint="eastAsia" w:ascii="黑体" w:hAnsi="Times New Roman" w:eastAsia="黑体" w:cs="Times New Roman"/>
        </w:rPr>
        <w:t>10</w:t>
      </w:r>
      <w:r>
        <w:rPr>
          <w:rFonts w:ascii="黑体" w:hAnsi="Times New Roman" w:eastAsia="黑体" w:cs="Times New Roman"/>
        </w:rPr>
        <w:t>.2</w:t>
      </w:r>
      <w:r>
        <w:rPr>
          <w:rFonts w:hint="eastAsia" w:ascii="黑体" w:hAnsi="Times New Roman" w:eastAsia="黑体" w:cs="Times New Roman"/>
        </w:rPr>
        <w:t xml:space="preserve"> 允许差</w:t>
      </w:r>
    </w:p>
    <w:p>
      <w:pPr>
        <w:pStyle w:val="8"/>
        <w:spacing w:beforeLines="50"/>
        <w:ind w:firstLine="420" w:firstLineChars="200"/>
        <w:rPr>
          <w:rFonts w:asciiTheme="minorEastAsia" w:hAnsiTheme="minorEastAsia" w:eastAsiaTheme="minorEastAsia"/>
          <w:color w:val="FF0000"/>
        </w:rPr>
      </w:pPr>
      <w:r>
        <w:rPr>
          <w:rFonts w:hint="eastAsia" w:cs="Times New Roman" w:asciiTheme="minorEastAsia" w:hAnsiTheme="minorEastAsia" w:eastAsiaTheme="minorEastAsia"/>
        </w:rPr>
        <w:t>实验室间分析结果的差值不大于表5所列允许差。</w:t>
      </w:r>
    </w:p>
    <w:p>
      <w:pPr>
        <w:jc w:val="center"/>
        <w:rPr>
          <w:rFonts w:ascii="黑体" w:hAnsi="宋体" w:eastAsia="黑体"/>
          <w:szCs w:val="18"/>
        </w:rPr>
      </w:pPr>
      <w:r>
        <w:rPr>
          <w:rFonts w:hint="eastAsia" w:ascii="黑体" w:hAnsi="宋体" w:eastAsia="黑体"/>
          <w:szCs w:val="18"/>
        </w:rPr>
        <w:t>表5</w:t>
      </w:r>
    </w:p>
    <w:tbl>
      <w:tblPr>
        <w:tblStyle w:val="15"/>
        <w:tblW w:w="499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01"/>
        <w:gridCol w:w="2921"/>
        <w:gridCol w:w="32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jc w:val="center"/>
        </w:trPr>
        <w:tc>
          <w:tcPr>
            <w:tcW w:w="1350" w:type="pct"/>
            <w:tcBorders>
              <w:top w:val="single" w:color="000000" w:sz="12" w:space="0"/>
              <w:left w:val="single" w:color="000000" w:sz="12" w:space="0"/>
              <w:bottom w:val="single" w:color="000000" w:sz="12" w:space="0"/>
            </w:tcBorders>
            <w:vAlign w:val="center"/>
          </w:tcPr>
          <w:p>
            <w:pPr>
              <w:spacing w:line="40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元素</w:t>
            </w:r>
          </w:p>
        </w:tc>
        <w:tc>
          <w:tcPr>
            <w:tcW w:w="1714" w:type="pct"/>
            <w:tcBorders>
              <w:top w:val="single" w:color="000000" w:sz="12" w:space="0"/>
              <w:bottom w:val="single" w:color="000000" w:sz="12" w:space="0"/>
            </w:tcBorders>
            <w:vAlign w:val="center"/>
          </w:tcPr>
          <w:p>
            <w:pPr>
              <w:spacing w:line="400" w:lineRule="exact"/>
              <w:jc w:val="center"/>
              <w:rPr>
                <w:rFonts w:ascii="宋体" w:hAnsi="宋体"/>
                <w:color w:val="000000" w:themeColor="text1"/>
                <w:sz w:val="18"/>
                <w:szCs w:val="18"/>
              </w:rPr>
            </w:pPr>
            <w:r>
              <w:rPr>
                <w:rFonts w:hint="eastAsia" w:ascii="宋体" w:hAnsi="宋体" w:cs="宋体"/>
                <w:color w:val="000000" w:themeColor="text1"/>
                <w:sz w:val="18"/>
                <w:szCs w:val="18"/>
              </w:rPr>
              <w:t>含量/</w:t>
            </w:r>
            <w:r>
              <w:rPr>
                <w:rFonts w:ascii="宋体" w:hAnsi="宋体" w:cs="宋体"/>
                <w:color w:val="000000" w:themeColor="text1"/>
                <w:sz w:val="18"/>
                <w:szCs w:val="18"/>
              </w:rPr>
              <w:t>%</w:t>
            </w:r>
          </w:p>
        </w:tc>
        <w:tc>
          <w:tcPr>
            <w:tcW w:w="1935" w:type="pct"/>
            <w:tcBorders>
              <w:top w:val="single" w:color="000000" w:sz="12" w:space="0"/>
              <w:bottom w:val="single" w:color="000000" w:sz="12" w:space="0"/>
              <w:right w:val="single" w:color="000000" w:sz="12" w:space="0"/>
            </w:tcBorders>
            <w:vAlign w:val="center"/>
          </w:tcPr>
          <w:p>
            <w:pPr>
              <w:spacing w:line="400" w:lineRule="exact"/>
              <w:jc w:val="center"/>
              <w:rPr>
                <w:rFonts w:ascii="宋体" w:hAnsi="宋体"/>
                <w:color w:val="000000" w:themeColor="text1"/>
                <w:sz w:val="18"/>
                <w:szCs w:val="18"/>
              </w:rPr>
            </w:pPr>
            <w:r>
              <w:rPr>
                <w:rFonts w:hint="eastAsia" w:ascii="宋体" w:hAnsi="宋体"/>
                <w:color w:val="000000" w:themeColor="text1"/>
                <w:sz w:val="18"/>
                <w:szCs w:val="18"/>
              </w:rPr>
              <w:t>允许差/%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r>
              <w:rPr>
                <w:rFonts w:hint="eastAsia" w:ascii="宋体" w:hAnsi="宋体"/>
                <w:color w:val="000000" w:themeColor="text1"/>
                <w:sz w:val="18"/>
                <w:szCs w:val="18"/>
              </w:rPr>
              <w:t>Al</w:t>
            </w: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≥30.0～32.0</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≥32.0～34.0</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≥34.01～35.0</w:t>
            </w: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r>
              <w:rPr>
                <w:rFonts w:hint="eastAsia" w:ascii="宋体" w:hAnsi="宋体"/>
                <w:color w:val="000000" w:themeColor="text1"/>
                <w:sz w:val="18"/>
                <w:szCs w:val="18"/>
              </w:rPr>
              <w:t>Na</w:t>
            </w: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≥0.02～0.10</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≥0.11～0.30</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≥0.31～0.60</w:t>
            </w: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r>
              <w:rPr>
                <w:rFonts w:ascii="宋体" w:hAnsi="宋体"/>
                <w:color w:val="000000" w:themeColor="text1"/>
                <w:sz w:val="18"/>
                <w:szCs w:val="18"/>
              </w:rPr>
              <w:t>Fe</w:t>
            </w: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≥0.0050～0.010</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≥0.011～0.050</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≥0.051～0.10</w:t>
            </w: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r>
              <w:rPr>
                <w:rFonts w:hint="eastAsia" w:ascii="宋体" w:hAnsi="宋体"/>
                <w:color w:val="000000" w:themeColor="text1"/>
                <w:sz w:val="18"/>
                <w:szCs w:val="18"/>
              </w:rPr>
              <w:t>Zn</w:t>
            </w: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≥0.0010～0.0050</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≥0.0051～0.010</w:t>
            </w: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r>
              <w:rPr>
                <w:rFonts w:hint="eastAsia" w:ascii="宋体" w:hAnsi="宋体"/>
                <w:color w:val="000000" w:themeColor="text1"/>
                <w:sz w:val="18"/>
                <w:szCs w:val="18"/>
              </w:rPr>
              <w:t>P</w:t>
            </w: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≥0.0010～0.0050</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≥0.0051～0.015</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≥0.016～0.060</w:t>
            </w: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r>
              <w:rPr>
                <w:rFonts w:hint="eastAsia" w:ascii="宋体" w:hAnsi="宋体"/>
                <w:color w:val="000000" w:themeColor="text1"/>
                <w:sz w:val="18"/>
                <w:szCs w:val="18"/>
              </w:rPr>
              <w:t>Ca</w:t>
            </w: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≥0.005～0.01</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≥0.011～0.05</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restart"/>
            <w:tcBorders>
              <w:left w:val="single" w:color="000000" w:sz="12" w:space="0"/>
            </w:tcBorders>
            <w:vAlign w:val="center"/>
          </w:tcPr>
          <w:p>
            <w:pPr>
              <w:tabs>
                <w:tab w:val="left" w:pos="1528"/>
                <w:tab w:val="center" w:pos="1742"/>
              </w:tabs>
              <w:jc w:val="center"/>
              <w:rPr>
                <w:rFonts w:ascii="宋体" w:hAnsi="宋体"/>
                <w:color w:val="000000" w:themeColor="text1"/>
                <w:sz w:val="18"/>
                <w:szCs w:val="18"/>
              </w:rPr>
            </w:pPr>
            <w:r>
              <w:rPr>
                <w:rFonts w:hint="eastAsia" w:ascii="宋体" w:hAnsi="宋体"/>
                <w:color w:val="000000" w:themeColor="text1"/>
                <w:sz w:val="18"/>
                <w:szCs w:val="18"/>
              </w:rPr>
              <w:t>Li</w:t>
            </w:r>
          </w:p>
        </w:tc>
        <w:tc>
          <w:tcPr>
            <w:tcW w:w="1714" w:type="pc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≥0.0010～0.01</w:t>
            </w:r>
          </w:p>
          <w:p>
            <w:pPr>
              <w:jc w:val="center"/>
              <w:rPr>
                <w:rFonts w:ascii="宋体" w:hAnsi="宋体"/>
                <w:color w:val="000000" w:themeColor="text1"/>
                <w:sz w:val="18"/>
                <w:szCs w:val="18"/>
              </w:rPr>
            </w:pPr>
          </w:p>
        </w:tc>
        <w:tc>
          <w:tcPr>
            <w:tcW w:w="1935" w:type="pct"/>
            <w:tcBorders>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350" w:type="pct"/>
            <w:vMerge w:val="continue"/>
            <w:tcBorders>
              <w:left w:val="single" w:color="000000" w:sz="12" w:space="0"/>
              <w:bottom w:val="single" w:color="000000" w:sz="12" w:space="0"/>
            </w:tcBorders>
            <w:vAlign w:val="center"/>
          </w:tcPr>
          <w:p>
            <w:pPr>
              <w:spacing w:line="400" w:lineRule="exact"/>
              <w:jc w:val="center"/>
              <w:rPr>
                <w:rFonts w:ascii="宋体" w:hAnsi="宋体"/>
                <w:color w:val="000000" w:themeColor="text1"/>
                <w:sz w:val="18"/>
                <w:szCs w:val="18"/>
              </w:rPr>
            </w:pPr>
          </w:p>
        </w:tc>
        <w:tc>
          <w:tcPr>
            <w:tcW w:w="1714" w:type="pct"/>
            <w:tcBorders>
              <w:bottom w:val="single" w:color="000000" w:sz="12" w:space="0"/>
            </w:tcBorders>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≥0.011～0.05</w:t>
            </w:r>
          </w:p>
          <w:p>
            <w:pPr>
              <w:jc w:val="center"/>
              <w:rPr>
                <w:rFonts w:ascii="宋体" w:hAnsi="宋体"/>
                <w:color w:val="000000" w:themeColor="text1"/>
                <w:sz w:val="18"/>
                <w:szCs w:val="18"/>
              </w:rPr>
            </w:pPr>
          </w:p>
        </w:tc>
        <w:tc>
          <w:tcPr>
            <w:tcW w:w="1935" w:type="pct"/>
            <w:tcBorders>
              <w:bottom w:val="single" w:color="000000" w:sz="12" w:space="0"/>
              <w:right w:val="single" w:color="000000" w:sz="12" w:space="0"/>
            </w:tcBorders>
          </w:tcPr>
          <w:p>
            <w:pPr>
              <w:jc w:val="center"/>
              <w:rPr>
                <w:rFonts w:ascii="宋体" w:hAnsi="宋体"/>
                <w:color w:val="000000" w:themeColor="text1"/>
                <w:sz w:val="18"/>
                <w:szCs w:val="18"/>
              </w:rPr>
            </w:pPr>
            <w:r>
              <w:rPr>
                <w:rFonts w:hint="eastAsia" w:ascii="宋体" w:hAnsi="宋体"/>
                <w:color w:val="000000" w:themeColor="text1"/>
                <w:sz w:val="18"/>
                <w:szCs w:val="18"/>
              </w:rPr>
              <w:t>0.004</w:t>
            </w:r>
          </w:p>
        </w:tc>
      </w:tr>
    </w:tbl>
    <w:p>
      <w:pPr>
        <w:pStyle w:val="39"/>
        <w:numPr>
          <w:ilvl w:val="0"/>
          <w:numId w:val="0"/>
        </w:numPr>
        <w:spacing w:beforeLines="100" w:afterLines="100"/>
        <w:rPr>
          <w:rFonts w:hAnsi="黑体" w:cs="黑体"/>
        </w:rPr>
      </w:pPr>
      <w:r>
        <w:rPr>
          <w:rFonts w:hint="eastAsia"/>
          <w:color w:val="000000" w:themeColor="text1"/>
        </w:rPr>
        <w:t>11</w:t>
      </w:r>
      <w:r>
        <w:rPr>
          <w:rFonts w:hint="eastAsia" w:hAnsi="黑体" w:cs="黑体"/>
          <w:color w:val="000000" w:themeColor="text1"/>
        </w:rPr>
        <w:t xml:space="preserve"> 试验报告</w:t>
      </w:r>
    </w:p>
    <w:p>
      <w:pPr>
        <w:rPr>
          <w:rFonts w:ascii="宋体" w:hAnsi="宋体"/>
          <w:color w:val="000000" w:themeColor="text1"/>
          <w:szCs w:val="21"/>
        </w:rPr>
      </w:pPr>
      <w:r>
        <w:rPr>
          <w:rFonts w:hint="eastAsia" w:ascii="宋体" w:hAnsi="宋体"/>
          <w:color w:val="000000" w:themeColor="text1"/>
          <w:szCs w:val="21"/>
        </w:rPr>
        <w:t>试验报告应包括下列内容：</w:t>
      </w:r>
    </w:p>
    <w:p>
      <w:pPr>
        <w:rPr>
          <w:rFonts w:ascii="宋体" w:hAnsi="宋体"/>
          <w:color w:val="000000" w:themeColor="text1"/>
          <w:szCs w:val="21"/>
        </w:rPr>
      </w:pPr>
      <w:r>
        <w:rPr>
          <w:rFonts w:hint="eastAsia" w:ascii="宋体" w:hAnsi="宋体"/>
          <w:color w:val="000000" w:themeColor="text1"/>
          <w:szCs w:val="21"/>
        </w:rPr>
        <w:t>——试样；</w:t>
      </w:r>
    </w:p>
    <w:p>
      <w:pPr>
        <w:rPr>
          <w:rFonts w:ascii="宋体" w:hAnsi="宋体"/>
          <w:color w:val="000000" w:themeColor="text1"/>
          <w:szCs w:val="21"/>
        </w:rPr>
      </w:pPr>
      <w:r>
        <w:rPr>
          <w:rFonts w:hint="eastAsia" w:ascii="宋体" w:hAnsi="宋体"/>
          <w:color w:val="000000" w:themeColor="text1"/>
          <w:szCs w:val="21"/>
        </w:rPr>
        <w:t>——使用的标准；</w:t>
      </w:r>
    </w:p>
    <w:p>
      <w:pPr>
        <w:rPr>
          <w:rFonts w:ascii="宋体" w:hAnsi="宋体"/>
          <w:color w:val="000000" w:themeColor="text1"/>
          <w:szCs w:val="21"/>
        </w:rPr>
      </w:pPr>
      <w:r>
        <w:rPr>
          <w:rFonts w:hint="eastAsia" w:ascii="宋体" w:hAnsi="宋体"/>
          <w:color w:val="000000" w:themeColor="text1"/>
          <w:szCs w:val="21"/>
        </w:rPr>
        <w:t>——使用的方法；</w:t>
      </w:r>
    </w:p>
    <w:p>
      <w:pPr>
        <w:rPr>
          <w:rFonts w:ascii="宋体" w:hAnsi="宋体"/>
          <w:color w:val="000000" w:themeColor="text1"/>
          <w:szCs w:val="21"/>
        </w:rPr>
      </w:pPr>
      <w:r>
        <w:rPr>
          <w:rFonts w:hint="eastAsia" w:ascii="宋体" w:hAnsi="宋体"/>
          <w:color w:val="000000" w:themeColor="text1"/>
          <w:szCs w:val="21"/>
        </w:rPr>
        <w:t>——分析结果及其表示</w:t>
      </w:r>
    </w:p>
    <w:p>
      <w:pPr>
        <w:rPr>
          <w:rFonts w:ascii="宋体" w:hAnsi="宋体"/>
          <w:color w:val="000000" w:themeColor="text1"/>
          <w:szCs w:val="21"/>
        </w:rPr>
      </w:pPr>
      <w:r>
        <w:rPr>
          <w:rFonts w:hint="eastAsia" w:ascii="宋体" w:hAnsi="宋体"/>
          <w:color w:val="000000" w:themeColor="text1"/>
          <w:szCs w:val="21"/>
        </w:rPr>
        <w:t>——与基本分析步骤的差异；</w:t>
      </w:r>
    </w:p>
    <w:p>
      <w:pPr>
        <w:rPr>
          <w:rFonts w:ascii="宋体" w:hAnsi="宋体"/>
          <w:color w:val="000000" w:themeColor="text1"/>
          <w:szCs w:val="21"/>
        </w:rPr>
      </w:pPr>
      <w:r>
        <w:rPr>
          <w:rFonts w:hint="eastAsia" w:ascii="宋体" w:hAnsi="宋体"/>
          <w:color w:val="000000" w:themeColor="text1"/>
          <w:szCs w:val="21"/>
        </w:rPr>
        <w:t>——测定中观察到的异常现象；</w:t>
      </w:r>
    </w:p>
    <w:p>
      <w:pPr>
        <w:rPr>
          <w:rFonts w:ascii="宋体" w:hAnsi="宋体"/>
          <w:color w:val="000000" w:themeColor="text1"/>
          <w:szCs w:val="21"/>
        </w:rPr>
      </w:pPr>
      <w:r>
        <w:rPr>
          <w:rFonts w:hint="eastAsia" w:ascii="宋体" w:hAnsi="宋体"/>
          <w:color w:val="000000" w:themeColor="text1"/>
          <w:szCs w:val="21"/>
        </w:rPr>
        <w:t>——试验日期。</w:t>
      </w:r>
    </w:p>
    <w:p>
      <w:pPr>
        <w:rPr>
          <w:rFonts w:ascii="宋体" w:hAnsi="宋体"/>
          <w:color w:val="000000" w:themeColor="text1"/>
          <w:szCs w:val="21"/>
        </w:rPr>
      </w:pPr>
    </w:p>
    <w:p>
      <w:pPr>
        <w:spacing w:line="360" w:lineRule="auto"/>
        <w:rPr>
          <w:rFonts w:ascii="宋体" w:hAnsi="宋体"/>
          <w:color w:val="FF0000"/>
          <w:szCs w:val="21"/>
        </w:rPr>
      </w:pPr>
    </w:p>
    <w:p>
      <w:pPr>
        <w:spacing w:line="360" w:lineRule="auto"/>
        <w:rPr>
          <w:rFonts w:ascii="宋体" w:hAnsi="宋体"/>
          <w:color w:val="FF0000"/>
          <w:szCs w:val="21"/>
        </w:rPr>
      </w:pPr>
    </w:p>
    <w:p>
      <w:pPr>
        <w:spacing w:line="360" w:lineRule="auto"/>
        <w:rPr>
          <w:rFonts w:ascii="宋体" w:hAnsi="宋体"/>
          <w:color w:val="FF0000"/>
          <w:szCs w:val="21"/>
        </w:rPr>
      </w:pPr>
    </w:p>
    <w:p>
      <w:pPr>
        <w:spacing w:line="360" w:lineRule="auto"/>
        <w:rPr>
          <w:rFonts w:ascii="宋体" w:hAnsi="宋体"/>
          <w:color w:val="FF0000"/>
          <w:szCs w:val="21"/>
        </w:rPr>
      </w:pPr>
    </w:p>
    <w:p>
      <w:pPr>
        <w:spacing w:line="360" w:lineRule="auto"/>
        <w:rPr>
          <w:rFonts w:ascii="宋体" w:hAnsi="宋体"/>
          <w:color w:val="FF0000"/>
          <w:szCs w:val="21"/>
        </w:rPr>
      </w:pPr>
    </w:p>
    <w:p>
      <w:pPr>
        <w:spacing w:line="360" w:lineRule="auto"/>
        <w:rPr>
          <w:rFonts w:ascii="宋体" w:hAnsi="宋体"/>
          <w:color w:val="FF0000"/>
          <w:szCs w:val="21"/>
        </w:rPr>
      </w:pPr>
    </w:p>
    <w:p>
      <w:pPr>
        <w:widowControl/>
        <w:jc w:val="center"/>
        <w:rPr>
          <w:rFonts w:ascii="黑体" w:eastAsia="黑体"/>
          <w:szCs w:val="21"/>
        </w:rPr>
      </w:pPr>
    </w:p>
    <w:p>
      <w:pPr>
        <w:widowControl/>
        <w:jc w:val="center"/>
        <w:rPr>
          <w:rFonts w:ascii="黑体" w:eastAsia="黑体"/>
          <w:szCs w:val="21"/>
        </w:rPr>
      </w:pPr>
    </w:p>
    <w:p>
      <w:pPr>
        <w:widowControl/>
        <w:jc w:val="center"/>
        <w:rPr>
          <w:rFonts w:ascii="黑体" w:eastAsia="黑体"/>
          <w:szCs w:val="21"/>
        </w:rPr>
      </w:pPr>
    </w:p>
    <w:p>
      <w:pPr>
        <w:widowControl/>
        <w:jc w:val="center"/>
        <w:rPr>
          <w:rFonts w:ascii="黑体" w:eastAsia="黑体"/>
          <w:szCs w:val="21"/>
        </w:rPr>
      </w:pPr>
    </w:p>
    <w:p>
      <w:pPr>
        <w:widowControl/>
        <w:jc w:val="center"/>
        <w:rPr>
          <w:rFonts w:ascii="黑体" w:eastAsia="黑体"/>
          <w:szCs w:val="21"/>
        </w:rPr>
      </w:pPr>
    </w:p>
    <w:p>
      <w:pPr>
        <w:widowControl/>
        <w:jc w:val="center"/>
        <w:rPr>
          <w:rFonts w:ascii="黑体" w:eastAsia="黑体"/>
          <w:szCs w:val="21"/>
        </w:rPr>
      </w:pPr>
    </w:p>
    <w:p>
      <w:pPr>
        <w:widowControl/>
        <w:jc w:val="center"/>
        <w:rPr>
          <w:rFonts w:ascii="黑体" w:eastAsia="黑体"/>
          <w:szCs w:val="21"/>
        </w:rPr>
      </w:pPr>
    </w:p>
    <w:p>
      <w:pPr>
        <w:widowControl/>
        <w:jc w:val="center"/>
        <w:rPr>
          <w:rFonts w:ascii="黑体" w:eastAsia="黑体"/>
          <w:szCs w:val="21"/>
        </w:rPr>
      </w:pPr>
    </w:p>
    <w:p>
      <w:pPr>
        <w:widowControl/>
        <w:jc w:val="center"/>
        <w:rPr>
          <w:rFonts w:ascii="黑体" w:eastAsia="黑体"/>
          <w:szCs w:val="21"/>
        </w:rPr>
      </w:pPr>
    </w:p>
    <w:p>
      <w:pPr>
        <w:widowControl/>
        <w:jc w:val="center"/>
        <w:rPr>
          <w:rFonts w:ascii="黑体" w:eastAsia="黑体"/>
          <w:szCs w:val="21"/>
        </w:rPr>
      </w:pPr>
      <w:r>
        <w:rPr>
          <w:rFonts w:hint="eastAsia" w:ascii="黑体" w:eastAsia="黑体"/>
          <w:szCs w:val="21"/>
        </w:rPr>
        <w:t>附录A</w:t>
      </w:r>
    </w:p>
    <w:p>
      <w:pPr>
        <w:widowControl/>
        <w:jc w:val="center"/>
        <w:rPr>
          <w:rFonts w:ascii="黑体" w:eastAsia="黑体"/>
          <w:b/>
          <w:bCs/>
          <w:szCs w:val="21"/>
        </w:rPr>
      </w:pPr>
      <w:r>
        <w:rPr>
          <w:rFonts w:hint="eastAsia" w:ascii="黑体" w:eastAsia="黑体"/>
          <w:szCs w:val="21"/>
        </w:rPr>
        <w:t>（资料性附录）</w:t>
      </w:r>
    </w:p>
    <w:p>
      <w:pPr>
        <w:widowControl/>
        <w:spacing w:afterLines="100"/>
        <w:jc w:val="center"/>
        <w:rPr>
          <w:rFonts w:ascii="黑体" w:eastAsia="黑体"/>
          <w:bCs/>
          <w:szCs w:val="21"/>
        </w:rPr>
      </w:pPr>
      <w:r>
        <w:rPr>
          <w:rFonts w:hint="eastAsia" w:ascii="黑体" w:eastAsia="黑体"/>
          <w:bCs/>
          <w:szCs w:val="21"/>
        </w:rPr>
        <w:t>标准贮存溶液的制备</w:t>
      </w:r>
    </w:p>
    <w:p>
      <w:pPr>
        <w:widowControl/>
        <w:rPr>
          <w:rFonts w:ascii="宋体" w:hAnsi="宋体" w:cs="宋体"/>
          <w:bCs/>
          <w:color w:val="000000" w:themeColor="text1"/>
          <w:szCs w:val="30"/>
        </w:rPr>
      </w:pPr>
      <w:r>
        <w:rPr>
          <w:rFonts w:hint="eastAsia" w:ascii="黑体" w:hAnsi="黑体" w:eastAsia="黑体" w:cs="黑体"/>
          <w:bCs/>
          <w:color w:val="000000" w:themeColor="text1"/>
          <w:szCs w:val="30"/>
        </w:rPr>
        <w:t>A.1</w:t>
      </w:r>
      <w:r>
        <w:rPr>
          <w:rFonts w:hint="eastAsia" w:ascii="宋体" w:hAnsi="宋体" w:cs="宋体"/>
          <w:bCs/>
          <w:color w:val="000000" w:themeColor="text1"/>
          <w:szCs w:val="30"/>
        </w:rPr>
        <w:t xml:space="preserve">铝标准贮存溶液 （1 </w:t>
      </w:r>
      <w:r>
        <w:rPr>
          <w:rFonts w:hint="eastAsia" w:ascii="宋体" w:hAnsi="宋体" w:cs="宋体"/>
          <w:color w:val="000000" w:themeColor="text1"/>
          <w:szCs w:val="21"/>
        </w:rPr>
        <w:t>mg/mL</w:t>
      </w:r>
      <w:r>
        <w:rPr>
          <w:rFonts w:hint="eastAsia" w:ascii="宋体" w:hAnsi="宋体" w:cs="宋体"/>
          <w:bCs/>
          <w:color w:val="000000" w:themeColor="text1"/>
          <w:szCs w:val="30"/>
        </w:rPr>
        <w:t>）：</w:t>
      </w:r>
    </w:p>
    <w:p>
      <w:pPr>
        <w:widowControl/>
        <w:ind w:firstLine="420"/>
        <w:rPr>
          <w:rFonts w:ascii="宋体" w:hAnsi="宋体" w:cs="宋体"/>
          <w:color w:val="000000" w:themeColor="text1"/>
          <w:szCs w:val="21"/>
        </w:rPr>
      </w:pPr>
      <w:r>
        <w:rPr>
          <w:rFonts w:hint="eastAsia" w:ascii="宋体" w:hAnsi="宋体" w:cs="宋体"/>
          <w:color w:val="000000" w:themeColor="text1"/>
          <w:szCs w:val="21"/>
        </w:rPr>
        <w:t>准确称取1.000 g金属铝（</w:t>
      </w:r>
      <w:r>
        <w:rPr>
          <w:rFonts w:hint="eastAsia" w:ascii="宋体" w:hAnsi="宋体"/>
          <w:color w:val="000000" w:themeColor="text1"/>
          <w:szCs w:val="21"/>
        </w:rPr>
        <w:sym w:font="Symbol" w:char="F077"/>
      </w:r>
      <w:r>
        <w:rPr>
          <w:rFonts w:hint="eastAsia" w:ascii="宋体" w:hAnsi="宋体"/>
          <w:color w:val="000000" w:themeColor="text1"/>
          <w:szCs w:val="21"/>
          <w:vertAlign w:val="subscript"/>
        </w:rPr>
        <w:t>Al</w:t>
      </w:r>
      <w:r>
        <w:rPr>
          <w:rFonts w:hint="eastAsia" w:ascii="宋体" w:hAnsi="宋体" w:cs="宋体"/>
          <w:color w:val="000000" w:themeColor="text1"/>
          <w:szCs w:val="21"/>
        </w:rPr>
        <w:t>≥99.99 %）于烧杯中，加入30 mL盐酸（1+1），缓慢加热至完全溶解，冷却后移入1000 mL容量瓶中，用水稀释至刻度，混匀。（贮存于聚乙烯瓶中）。</w:t>
      </w:r>
    </w:p>
    <w:p>
      <w:pPr>
        <w:widowControl/>
        <w:rPr>
          <w:rFonts w:ascii="宋体" w:hAnsi="宋体" w:cs="宋体"/>
          <w:bCs/>
          <w:color w:val="000000" w:themeColor="text1"/>
          <w:szCs w:val="30"/>
        </w:rPr>
      </w:pPr>
      <w:r>
        <w:rPr>
          <w:rFonts w:hint="eastAsia" w:ascii="黑体" w:hAnsi="黑体" w:eastAsia="黑体" w:cs="黑体"/>
          <w:bCs/>
          <w:color w:val="000000" w:themeColor="text1"/>
          <w:szCs w:val="30"/>
        </w:rPr>
        <w:t>A.2</w:t>
      </w:r>
      <w:r>
        <w:rPr>
          <w:rFonts w:hint="eastAsia" w:ascii="宋体" w:hAnsi="宋体" w:cs="宋体"/>
          <w:bCs/>
          <w:color w:val="000000" w:themeColor="text1"/>
          <w:szCs w:val="30"/>
        </w:rPr>
        <w:t xml:space="preserve">钠标准贮存溶液 （1 </w:t>
      </w:r>
      <w:r>
        <w:rPr>
          <w:rFonts w:hint="eastAsia" w:ascii="宋体" w:hAnsi="宋体" w:cs="宋体"/>
          <w:color w:val="000000" w:themeColor="text1"/>
          <w:szCs w:val="21"/>
        </w:rPr>
        <w:t>mg/mL</w:t>
      </w:r>
      <w:r>
        <w:rPr>
          <w:rFonts w:hint="eastAsia" w:ascii="宋体" w:hAnsi="宋体" w:cs="宋体"/>
          <w:bCs/>
          <w:color w:val="000000" w:themeColor="text1"/>
          <w:szCs w:val="30"/>
        </w:rPr>
        <w:t>）：</w:t>
      </w:r>
    </w:p>
    <w:p>
      <w:pPr>
        <w:widowControl/>
        <w:ind w:firstLine="420"/>
        <w:rPr>
          <w:rFonts w:ascii="宋体" w:hAnsi="宋体" w:cs="宋体"/>
          <w:bCs/>
          <w:color w:val="000000" w:themeColor="text1"/>
          <w:szCs w:val="30"/>
        </w:rPr>
      </w:pPr>
      <w:r>
        <w:rPr>
          <w:rFonts w:hint="eastAsia" w:ascii="宋体" w:hAnsi="宋体" w:cs="宋体"/>
          <w:color w:val="000000" w:themeColor="text1"/>
          <w:szCs w:val="21"/>
        </w:rPr>
        <w:t>准确</w:t>
      </w:r>
      <w:r>
        <w:rPr>
          <w:rFonts w:hint="eastAsia" w:ascii="宋体" w:hAnsi="宋体" w:cs="宋体"/>
          <w:bCs/>
          <w:color w:val="000000" w:themeColor="text1"/>
          <w:szCs w:val="30"/>
        </w:rPr>
        <w:t>称取2.5400 g于500 ℃～600 ℃灼烧至恒重的氯化钠（优级纯），溶于水，移入1000 mL容量瓶中，用水稀释至刻度，混匀。</w:t>
      </w:r>
      <w:r>
        <w:rPr>
          <w:rFonts w:hint="eastAsia" w:ascii="宋体" w:hAnsi="宋体" w:cs="宋体"/>
          <w:color w:val="000000" w:themeColor="text1"/>
          <w:szCs w:val="21"/>
        </w:rPr>
        <w:t>（贮存于聚乙烯瓶中）。</w:t>
      </w:r>
    </w:p>
    <w:p>
      <w:pPr>
        <w:widowControl/>
        <w:rPr>
          <w:rFonts w:ascii="宋体" w:hAnsi="宋体" w:cs="宋体"/>
          <w:color w:val="000000" w:themeColor="text1"/>
          <w:szCs w:val="21"/>
        </w:rPr>
      </w:pPr>
      <w:r>
        <w:rPr>
          <w:rFonts w:hint="eastAsia" w:ascii="黑体" w:hAnsi="黑体" w:eastAsia="黑体" w:cs="黑体"/>
          <w:bCs/>
          <w:color w:val="000000" w:themeColor="text1"/>
          <w:szCs w:val="30"/>
        </w:rPr>
        <w:t>A.3</w:t>
      </w:r>
      <w:r>
        <w:rPr>
          <w:rFonts w:hint="eastAsia" w:ascii="宋体" w:hAnsi="宋体" w:cs="宋体"/>
          <w:color w:val="000000" w:themeColor="text1"/>
          <w:szCs w:val="21"/>
        </w:rPr>
        <w:t>铁标准贮存溶液（1mg/mL）：</w:t>
      </w:r>
    </w:p>
    <w:p>
      <w:pPr>
        <w:widowControl/>
        <w:ind w:firstLine="420" w:firstLineChars="200"/>
        <w:rPr>
          <w:rFonts w:ascii="宋体" w:hAnsi="宋体" w:cs="宋体"/>
          <w:color w:val="000000" w:themeColor="text1"/>
          <w:szCs w:val="21"/>
        </w:rPr>
      </w:pPr>
      <w:r>
        <w:rPr>
          <w:rFonts w:hint="eastAsia" w:ascii="宋体" w:hAnsi="宋体" w:cs="宋体"/>
          <w:color w:val="000000" w:themeColor="text1"/>
          <w:szCs w:val="21"/>
        </w:rPr>
        <w:t>准确称取1.0000 g高纯铁（</w:t>
      </w:r>
      <w:r>
        <w:rPr>
          <w:rFonts w:hint="eastAsia" w:ascii="宋体" w:hAnsi="宋体"/>
          <w:color w:val="000000" w:themeColor="text1"/>
          <w:szCs w:val="21"/>
        </w:rPr>
        <w:sym w:font="Symbol" w:char="F077"/>
      </w:r>
      <w:r>
        <w:rPr>
          <w:rFonts w:hint="eastAsia" w:ascii="宋体" w:hAnsi="宋体"/>
          <w:color w:val="000000" w:themeColor="text1"/>
          <w:szCs w:val="21"/>
          <w:vertAlign w:val="subscript"/>
        </w:rPr>
        <w:t>Fe</w:t>
      </w:r>
      <w:r>
        <w:rPr>
          <w:rFonts w:hint="eastAsia" w:ascii="宋体" w:hAnsi="宋体" w:cs="宋体"/>
          <w:color w:val="000000" w:themeColor="text1"/>
          <w:szCs w:val="21"/>
        </w:rPr>
        <w:t>≥99.99 %）置于400 mL烧杯中，盖上表皿，加入40 mL盐酸（1+1），缓慢加热至完全溶解，冷却，将溶液移入1000 mL容量瓶中，以水稀释至刻度，混匀。</w:t>
      </w:r>
    </w:p>
    <w:p>
      <w:pPr>
        <w:widowControl/>
        <w:shd w:val="clear" w:color="auto" w:fill="FFFFFF"/>
        <w:rPr>
          <w:rFonts w:ascii="宋体" w:hAnsi="宋体" w:cs="宋体"/>
          <w:color w:val="000000" w:themeColor="text1"/>
          <w:szCs w:val="21"/>
        </w:rPr>
      </w:pPr>
      <w:r>
        <w:rPr>
          <w:rFonts w:hint="eastAsia" w:ascii="黑体" w:hAnsi="黑体" w:eastAsia="黑体" w:cs="黑体"/>
          <w:bCs/>
          <w:color w:val="000000" w:themeColor="text1"/>
          <w:szCs w:val="30"/>
        </w:rPr>
        <w:t>A.4</w:t>
      </w:r>
      <w:r>
        <w:rPr>
          <w:rFonts w:hint="eastAsia" w:ascii="宋体" w:hAnsi="宋体" w:cs="宋体"/>
          <w:color w:val="000000" w:themeColor="text1"/>
          <w:szCs w:val="21"/>
        </w:rPr>
        <w:t xml:space="preserve"> 磷标准贮存溶液(1 mg/mL):</w:t>
      </w:r>
    </w:p>
    <w:p>
      <w:pPr>
        <w:widowControl/>
        <w:shd w:val="clear" w:color="auto" w:fill="FFFFFF"/>
        <w:ind w:firstLine="420" w:firstLineChars="200"/>
        <w:rPr>
          <w:rFonts w:ascii="宋体" w:hAnsi="宋体" w:cs="宋体"/>
          <w:color w:val="000000" w:themeColor="text1"/>
          <w:szCs w:val="21"/>
        </w:rPr>
      </w:pPr>
      <w:r>
        <w:rPr>
          <w:rFonts w:hint="eastAsia" w:ascii="宋体" w:hAnsi="宋体" w:cs="宋体"/>
          <w:color w:val="000000" w:themeColor="text1"/>
          <w:szCs w:val="21"/>
        </w:rPr>
        <w:t>准确称取4.3940 g于105±2 ℃下干燥至恒重的磷酸二氢钾（优级纯），溶于水，移入1000 mL容量瓶中,用水稀释至刻度，混匀。</w:t>
      </w:r>
    </w:p>
    <w:p>
      <w:pPr>
        <w:widowControl/>
        <w:rPr>
          <w:rFonts w:ascii="宋体" w:hAnsi="宋体" w:cs="宋体"/>
          <w:color w:val="000000" w:themeColor="text1"/>
          <w:szCs w:val="21"/>
        </w:rPr>
      </w:pPr>
      <w:r>
        <w:rPr>
          <w:rFonts w:hint="eastAsia" w:ascii="黑体" w:hAnsi="黑体" w:eastAsia="黑体" w:cs="黑体"/>
          <w:bCs/>
          <w:color w:val="000000" w:themeColor="text1"/>
          <w:szCs w:val="30"/>
        </w:rPr>
        <w:t>A.5</w:t>
      </w:r>
      <w:r>
        <w:rPr>
          <w:rFonts w:hint="eastAsia" w:ascii="宋体" w:hAnsi="宋体" w:cs="宋体"/>
          <w:color w:val="000000" w:themeColor="text1"/>
          <w:szCs w:val="21"/>
        </w:rPr>
        <w:t>钙标准贮存溶液（1 mg/mL）：</w:t>
      </w:r>
    </w:p>
    <w:p>
      <w:pPr>
        <w:widowControl/>
        <w:ind w:firstLine="420" w:firstLineChars="200"/>
        <w:rPr>
          <w:rFonts w:ascii="宋体" w:hAnsi="宋体" w:cs="宋体"/>
          <w:color w:val="000000" w:themeColor="text1"/>
          <w:szCs w:val="21"/>
        </w:rPr>
      </w:pPr>
      <w:r>
        <w:rPr>
          <w:rFonts w:hint="eastAsia" w:ascii="宋体" w:hAnsi="宋体" w:cs="宋体"/>
          <w:color w:val="000000" w:themeColor="text1"/>
          <w:szCs w:val="21"/>
        </w:rPr>
        <w:t>准确称取2.4971 g碳酸钙（基准试剂）置于400 mL烧杯中，加入20 mL水，滴加盐（1+1）至完全溶解并过量20 mL，煮沸数分钟，冷却，将溶液移入1000 mL容量瓶中，以水稀释至刻度，混匀。</w:t>
      </w:r>
    </w:p>
    <w:p>
      <w:pPr>
        <w:widowControl/>
        <w:rPr>
          <w:rFonts w:ascii="宋体" w:hAnsi="宋体" w:cs="宋体"/>
          <w:color w:val="000000" w:themeColor="text1"/>
          <w:szCs w:val="21"/>
        </w:rPr>
      </w:pPr>
      <w:r>
        <w:rPr>
          <w:rFonts w:hint="eastAsia" w:ascii="黑体" w:hAnsi="黑体" w:eastAsia="黑体" w:cs="黑体"/>
          <w:bCs/>
          <w:color w:val="000000" w:themeColor="text1"/>
          <w:szCs w:val="30"/>
        </w:rPr>
        <w:t>A.6</w:t>
      </w:r>
      <w:r>
        <w:rPr>
          <w:rFonts w:hint="eastAsia" w:ascii="宋体" w:hAnsi="宋体" w:cs="宋体"/>
          <w:color w:val="000000" w:themeColor="text1"/>
          <w:szCs w:val="21"/>
        </w:rPr>
        <w:t>锂标准贮存溶液（1 mg/mL）：</w:t>
      </w:r>
    </w:p>
    <w:p>
      <w:pPr>
        <w:widowControl/>
        <w:ind w:firstLine="420" w:firstLineChars="200"/>
        <w:rPr>
          <w:rFonts w:ascii="宋体" w:hAnsi="宋体" w:cs="宋体"/>
          <w:color w:val="000000" w:themeColor="text1"/>
          <w:szCs w:val="21"/>
        </w:rPr>
      </w:pPr>
      <w:r>
        <w:rPr>
          <w:rFonts w:hint="eastAsia" w:ascii="宋体" w:hAnsi="宋体" w:cs="宋体"/>
          <w:color w:val="000000" w:themeColor="text1"/>
          <w:szCs w:val="21"/>
        </w:rPr>
        <w:t>准确称取5.3228 g碳酸锂（光谱纯）置于500 mL烧杯中，盖上表皿，缓慢加入125 mL硝酸（1+9），加热至溶解完全，煮沸数分钟，冷却至室温。将溶液移入1000 mL容量瓶中，用水稀释至刻度，混匀。</w:t>
      </w:r>
    </w:p>
    <w:p>
      <w:pPr>
        <w:widowControl/>
        <w:rPr>
          <w:rFonts w:ascii="宋体" w:hAnsi="宋体" w:cs="宋体"/>
          <w:color w:val="000000" w:themeColor="text1"/>
          <w:szCs w:val="21"/>
        </w:rPr>
      </w:pPr>
      <w:r>
        <w:rPr>
          <w:rFonts w:hint="eastAsia" w:ascii="黑体" w:hAnsi="黑体" w:eastAsia="黑体" w:cs="黑体"/>
          <w:color w:val="000000" w:themeColor="text1"/>
          <w:szCs w:val="21"/>
        </w:rPr>
        <w:t>A.7</w:t>
      </w:r>
      <w:r>
        <w:rPr>
          <w:rFonts w:hint="eastAsia" w:ascii="宋体" w:hAnsi="宋体" w:cs="宋体"/>
          <w:color w:val="000000" w:themeColor="text1"/>
          <w:szCs w:val="21"/>
        </w:rPr>
        <w:t xml:space="preserve"> 锌标准贮存溶液（1 mg/mL）：</w:t>
      </w:r>
    </w:p>
    <w:p>
      <w:pPr>
        <w:widowControl/>
        <w:ind w:firstLine="420" w:firstLineChars="200"/>
        <w:rPr>
          <w:rFonts w:ascii="宋体" w:hAnsi="宋体" w:cs="宋体"/>
          <w:color w:val="000000" w:themeColor="text1"/>
          <w:szCs w:val="21"/>
        </w:rPr>
      </w:pPr>
      <w:r>
        <w:rPr>
          <w:rFonts w:hint="eastAsia" w:ascii="宋体" w:hAnsi="宋体" w:cs="宋体"/>
          <w:color w:val="000000" w:themeColor="text1"/>
          <w:szCs w:val="21"/>
        </w:rPr>
        <w:t>准确称取1.0000 g金属锌（</w:t>
      </w:r>
      <w:r>
        <w:rPr>
          <w:rFonts w:hint="eastAsia" w:ascii="宋体" w:hAnsi="宋体"/>
          <w:color w:val="000000" w:themeColor="text1"/>
          <w:szCs w:val="21"/>
        </w:rPr>
        <w:sym w:font="Symbol" w:char="F077"/>
      </w:r>
      <w:r>
        <w:rPr>
          <w:rFonts w:hint="eastAsia" w:ascii="宋体" w:hAnsi="宋体"/>
          <w:color w:val="000000" w:themeColor="text1"/>
          <w:szCs w:val="21"/>
          <w:vertAlign w:val="subscript"/>
        </w:rPr>
        <w:t>Zn</w:t>
      </w:r>
      <w:r>
        <w:rPr>
          <w:rFonts w:hint="eastAsia" w:ascii="宋体" w:hAnsi="宋体" w:cs="宋体"/>
          <w:color w:val="000000" w:themeColor="text1"/>
          <w:szCs w:val="21"/>
        </w:rPr>
        <w:t>≥99.99 %）置于400 mL烧杯中，盖上表皿，加入40 mL盐酸（1+1）缓慢加热至完全溶解，冷却，将溶液移入1000 mL容量瓶中，用水稀释至刻度，混匀。</w:t>
      </w:r>
    </w:p>
    <w:p>
      <w:pPr>
        <w:rPr>
          <w:rFonts w:ascii="黑体" w:eastAsia="黑体"/>
          <w:color w:val="000000" w:themeColor="text1"/>
          <w:sz w:val="24"/>
        </w:rPr>
      </w:pPr>
      <w:r>
        <w:rPr>
          <w:color w:val="000000" w:themeColor="text1"/>
          <w:sz w:val="20"/>
        </w:rPr>
        <w:pict>
          <v:line id="直线 2" o:spid="_x0000_s1027" o:spt="20" style="position:absolute;left:0pt;margin-left:128.4pt;margin-top:99.15pt;height:0pt;width:141.75pt;z-index:251664384;mso-width-relative:page;mso-height-relative:page;" coordsize="21600,21600" o:gfxdata="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FhHNcA&#10;AAALAQAADwAAAAAAAAABACAAAAAiAAAAZHJzL2Rvd25yZXYueG1sUEsBAhQAFAAAAAgAh07iQOvG&#10;ItvnAQAA3AMAAA4AAAAAAAAAAQAgAAAAJgEAAGRycy9lMm9Eb2MueG1sUEsFBgAAAAAGAAYAWQEA&#10;AH8FAAAAAA==&#10;">
            <v:path arrowok="t"/>
            <v:fill focussize="0,0"/>
            <v:stroke weight="1.5pt"/>
            <v:imagedata o:title=""/>
            <o:lock v:ext="edit"/>
          </v:lin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8</w: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pStyle w:val="4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5C734F"/>
    <w:multiLevelType w:val="multilevel"/>
    <w:tmpl w:val="465C734F"/>
    <w:lvl w:ilvl="0" w:tentative="0">
      <w:start w:val="3"/>
      <w:numFmt w:val="decimal"/>
      <w:pStyle w:val="42"/>
      <w:lvlText w:val="%1"/>
      <w:lvlJc w:val="left"/>
      <w:pPr>
        <w:ind w:left="360" w:hanging="360"/>
      </w:pPr>
      <w:rPr>
        <w:rFonts w:hint="default"/>
      </w:rPr>
    </w:lvl>
    <w:lvl w:ilvl="1" w:tentative="0">
      <w:start w:val="1"/>
      <w:numFmt w:val="lowerLetter"/>
      <w:pStyle w:val="3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pStyle w:val="3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0MmIzMzRmOTdmOWU1Y2M1NWQ0OTYwYTVjOTZlYWYifQ=="/>
  </w:docVars>
  <w:rsids>
    <w:rsidRoot w:val="006632A1"/>
    <w:rsid w:val="0000326A"/>
    <w:rsid w:val="000044F1"/>
    <w:rsid w:val="000058EF"/>
    <w:rsid w:val="00006681"/>
    <w:rsid w:val="000075A0"/>
    <w:rsid w:val="000078E1"/>
    <w:rsid w:val="00012704"/>
    <w:rsid w:val="00016F0A"/>
    <w:rsid w:val="00020E67"/>
    <w:rsid w:val="00027D7E"/>
    <w:rsid w:val="000302AB"/>
    <w:rsid w:val="000326FD"/>
    <w:rsid w:val="000355B1"/>
    <w:rsid w:val="00052B85"/>
    <w:rsid w:val="00062879"/>
    <w:rsid w:val="00066CE2"/>
    <w:rsid w:val="00067124"/>
    <w:rsid w:val="00067273"/>
    <w:rsid w:val="00070437"/>
    <w:rsid w:val="0007130E"/>
    <w:rsid w:val="00071D92"/>
    <w:rsid w:val="00073451"/>
    <w:rsid w:val="000814FE"/>
    <w:rsid w:val="00081777"/>
    <w:rsid w:val="00083045"/>
    <w:rsid w:val="000878BC"/>
    <w:rsid w:val="000A0C79"/>
    <w:rsid w:val="000A2176"/>
    <w:rsid w:val="000B040A"/>
    <w:rsid w:val="000B2424"/>
    <w:rsid w:val="000B3A40"/>
    <w:rsid w:val="000C158C"/>
    <w:rsid w:val="000C31F7"/>
    <w:rsid w:val="000F22F8"/>
    <w:rsid w:val="000F32F9"/>
    <w:rsid w:val="000F547E"/>
    <w:rsid w:val="0010523B"/>
    <w:rsid w:val="00106505"/>
    <w:rsid w:val="00106AA9"/>
    <w:rsid w:val="0011210A"/>
    <w:rsid w:val="00122C3A"/>
    <w:rsid w:val="00124189"/>
    <w:rsid w:val="00130388"/>
    <w:rsid w:val="00151EEF"/>
    <w:rsid w:val="00153101"/>
    <w:rsid w:val="00162DA6"/>
    <w:rsid w:val="001671EB"/>
    <w:rsid w:val="00187620"/>
    <w:rsid w:val="001950AA"/>
    <w:rsid w:val="001B03E5"/>
    <w:rsid w:val="001B10CD"/>
    <w:rsid w:val="001B1E6C"/>
    <w:rsid w:val="001B22C4"/>
    <w:rsid w:val="001B5819"/>
    <w:rsid w:val="001C3731"/>
    <w:rsid w:val="001C63D1"/>
    <w:rsid w:val="001D3115"/>
    <w:rsid w:val="001D42FB"/>
    <w:rsid w:val="001D4DD1"/>
    <w:rsid w:val="001D6040"/>
    <w:rsid w:val="001D608F"/>
    <w:rsid w:val="001E4782"/>
    <w:rsid w:val="001F15DC"/>
    <w:rsid w:val="001F7F5A"/>
    <w:rsid w:val="002049FB"/>
    <w:rsid w:val="00211958"/>
    <w:rsid w:val="0023110B"/>
    <w:rsid w:val="002349D6"/>
    <w:rsid w:val="0024371E"/>
    <w:rsid w:val="002515CA"/>
    <w:rsid w:val="002569E7"/>
    <w:rsid w:val="00265EA6"/>
    <w:rsid w:val="00266E58"/>
    <w:rsid w:val="00274008"/>
    <w:rsid w:val="00275BD7"/>
    <w:rsid w:val="00277400"/>
    <w:rsid w:val="002833C9"/>
    <w:rsid w:val="0028649B"/>
    <w:rsid w:val="00287068"/>
    <w:rsid w:val="00294314"/>
    <w:rsid w:val="002A6E2E"/>
    <w:rsid w:val="002B2D21"/>
    <w:rsid w:val="002B57B2"/>
    <w:rsid w:val="002D69A0"/>
    <w:rsid w:val="002E0606"/>
    <w:rsid w:val="002E7B80"/>
    <w:rsid w:val="002F07FC"/>
    <w:rsid w:val="002F1545"/>
    <w:rsid w:val="0030416D"/>
    <w:rsid w:val="003044F6"/>
    <w:rsid w:val="003058EF"/>
    <w:rsid w:val="00305B3D"/>
    <w:rsid w:val="003132C3"/>
    <w:rsid w:val="00317D6C"/>
    <w:rsid w:val="00320BBC"/>
    <w:rsid w:val="00333C63"/>
    <w:rsid w:val="00333D95"/>
    <w:rsid w:val="00333ECB"/>
    <w:rsid w:val="00340533"/>
    <w:rsid w:val="00342A79"/>
    <w:rsid w:val="003457DD"/>
    <w:rsid w:val="003479AD"/>
    <w:rsid w:val="003546E0"/>
    <w:rsid w:val="0036611B"/>
    <w:rsid w:val="0038309A"/>
    <w:rsid w:val="00385D86"/>
    <w:rsid w:val="00390CE1"/>
    <w:rsid w:val="003948B2"/>
    <w:rsid w:val="003B15BB"/>
    <w:rsid w:val="003C2459"/>
    <w:rsid w:val="003C2E94"/>
    <w:rsid w:val="003C35EF"/>
    <w:rsid w:val="003D0636"/>
    <w:rsid w:val="003D641C"/>
    <w:rsid w:val="003F5B7A"/>
    <w:rsid w:val="004003C2"/>
    <w:rsid w:val="00414842"/>
    <w:rsid w:val="00415265"/>
    <w:rsid w:val="00422CE9"/>
    <w:rsid w:val="00425613"/>
    <w:rsid w:val="00432E91"/>
    <w:rsid w:val="00437BA4"/>
    <w:rsid w:val="00440618"/>
    <w:rsid w:val="00440D8F"/>
    <w:rsid w:val="00441407"/>
    <w:rsid w:val="00445928"/>
    <w:rsid w:val="00450DFE"/>
    <w:rsid w:val="00464BE4"/>
    <w:rsid w:val="004702B7"/>
    <w:rsid w:val="00476D2B"/>
    <w:rsid w:val="00480F09"/>
    <w:rsid w:val="00481EDA"/>
    <w:rsid w:val="004873EA"/>
    <w:rsid w:val="00495A8E"/>
    <w:rsid w:val="004A6352"/>
    <w:rsid w:val="004C1DE1"/>
    <w:rsid w:val="004C382B"/>
    <w:rsid w:val="004C3DD5"/>
    <w:rsid w:val="004D205C"/>
    <w:rsid w:val="004D33DB"/>
    <w:rsid w:val="004D648E"/>
    <w:rsid w:val="00506EB2"/>
    <w:rsid w:val="00510ACD"/>
    <w:rsid w:val="0051163C"/>
    <w:rsid w:val="00523966"/>
    <w:rsid w:val="00532685"/>
    <w:rsid w:val="00540E86"/>
    <w:rsid w:val="005410FB"/>
    <w:rsid w:val="005546FA"/>
    <w:rsid w:val="00557F0A"/>
    <w:rsid w:val="005647BA"/>
    <w:rsid w:val="00574E2B"/>
    <w:rsid w:val="00596B11"/>
    <w:rsid w:val="005B1D4B"/>
    <w:rsid w:val="005B5A3D"/>
    <w:rsid w:val="005B6C40"/>
    <w:rsid w:val="005B6EFF"/>
    <w:rsid w:val="005C1774"/>
    <w:rsid w:val="005C2051"/>
    <w:rsid w:val="005C3051"/>
    <w:rsid w:val="005E3366"/>
    <w:rsid w:val="005E7BD9"/>
    <w:rsid w:val="0060429A"/>
    <w:rsid w:val="00605186"/>
    <w:rsid w:val="0061600E"/>
    <w:rsid w:val="006216C4"/>
    <w:rsid w:val="006262A1"/>
    <w:rsid w:val="00634ADC"/>
    <w:rsid w:val="00635E82"/>
    <w:rsid w:val="006529CE"/>
    <w:rsid w:val="00655F4F"/>
    <w:rsid w:val="00662E7F"/>
    <w:rsid w:val="006632A1"/>
    <w:rsid w:val="006708B7"/>
    <w:rsid w:val="00673862"/>
    <w:rsid w:val="00685C38"/>
    <w:rsid w:val="00686F84"/>
    <w:rsid w:val="006A5DD2"/>
    <w:rsid w:val="006B022A"/>
    <w:rsid w:val="006B045A"/>
    <w:rsid w:val="006B0AAC"/>
    <w:rsid w:val="006C1C54"/>
    <w:rsid w:val="006C2236"/>
    <w:rsid w:val="006C62FB"/>
    <w:rsid w:val="006C78AB"/>
    <w:rsid w:val="006D3C7A"/>
    <w:rsid w:val="006F0002"/>
    <w:rsid w:val="006F5935"/>
    <w:rsid w:val="006F5B64"/>
    <w:rsid w:val="00703F29"/>
    <w:rsid w:val="007062DB"/>
    <w:rsid w:val="00713AC5"/>
    <w:rsid w:val="00714C1A"/>
    <w:rsid w:val="00716B9E"/>
    <w:rsid w:val="00716D52"/>
    <w:rsid w:val="00722404"/>
    <w:rsid w:val="00724936"/>
    <w:rsid w:val="0072539D"/>
    <w:rsid w:val="007268CE"/>
    <w:rsid w:val="007301EA"/>
    <w:rsid w:val="007351E2"/>
    <w:rsid w:val="00740434"/>
    <w:rsid w:val="00742C68"/>
    <w:rsid w:val="007475BF"/>
    <w:rsid w:val="00762E68"/>
    <w:rsid w:val="0076356A"/>
    <w:rsid w:val="00772DE4"/>
    <w:rsid w:val="007740AC"/>
    <w:rsid w:val="00776DBA"/>
    <w:rsid w:val="00782047"/>
    <w:rsid w:val="00787E1C"/>
    <w:rsid w:val="00792351"/>
    <w:rsid w:val="00793F7D"/>
    <w:rsid w:val="007A0875"/>
    <w:rsid w:val="007A1858"/>
    <w:rsid w:val="007C6892"/>
    <w:rsid w:val="007F53E6"/>
    <w:rsid w:val="007F6565"/>
    <w:rsid w:val="00803C45"/>
    <w:rsid w:val="00806BE4"/>
    <w:rsid w:val="00806EF9"/>
    <w:rsid w:val="008150E8"/>
    <w:rsid w:val="0082143D"/>
    <w:rsid w:val="00834033"/>
    <w:rsid w:val="00837F53"/>
    <w:rsid w:val="00845379"/>
    <w:rsid w:val="00856278"/>
    <w:rsid w:val="0087212E"/>
    <w:rsid w:val="008911E3"/>
    <w:rsid w:val="00891C42"/>
    <w:rsid w:val="008B5984"/>
    <w:rsid w:val="008B70D0"/>
    <w:rsid w:val="008C5FF7"/>
    <w:rsid w:val="008D0068"/>
    <w:rsid w:val="008D64A1"/>
    <w:rsid w:val="008D75F5"/>
    <w:rsid w:val="008E28C9"/>
    <w:rsid w:val="008E5ABA"/>
    <w:rsid w:val="008F1129"/>
    <w:rsid w:val="008F5F52"/>
    <w:rsid w:val="008F6A86"/>
    <w:rsid w:val="00903E92"/>
    <w:rsid w:val="009045D1"/>
    <w:rsid w:val="0091252D"/>
    <w:rsid w:val="009156A7"/>
    <w:rsid w:val="00920A31"/>
    <w:rsid w:val="00923231"/>
    <w:rsid w:val="009255D7"/>
    <w:rsid w:val="00926F58"/>
    <w:rsid w:val="009309B1"/>
    <w:rsid w:val="00933440"/>
    <w:rsid w:val="00934A17"/>
    <w:rsid w:val="0093592B"/>
    <w:rsid w:val="009370E5"/>
    <w:rsid w:val="0094305A"/>
    <w:rsid w:val="00956E64"/>
    <w:rsid w:val="00966CA2"/>
    <w:rsid w:val="009701A0"/>
    <w:rsid w:val="0097055A"/>
    <w:rsid w:val="009821BA"/>
    <w:rsid w:val="00982EA7"/>
    <w:rsid w:val="00985A6F"/>
    <w:rsid w:val="0098614E"/>
    <w:rsid w:val="009871E5"/>
    <w:rsid w:val="00996424"/>
    <w:rsid w:val="00996A69"/>
    <w:rsid w:val="009A4A89"/>
    <w:rsid w:val="009A556A"/>
    <w:rsid w:val="009B4C6E"/>
    <w:rsid w:val="009B6959"/>
    <w:rsid w:val="009D17CE"/>
    <w:rsid w:val="009D41FD"/>
    <w:rsid w:val="009D7AF1"/>
    <w:rsid w:val="009E4144"/>
    <w:rsid w:val="009E6C9C"/>
    <w:rsid w:val="009F707E"/>
    <w:rsid w:val="00A0371B"/>
    <w:rsid w:val="00A03F2B"/>
    <w:rsid w:val="00A147CD"/>
    <w:rsid w:val="00A21CF4"/>
    <w:rsid w:val="00A21F96"/>
    <w:rsid w:val="00A2337F"/>
    <w:rsid w:val="00A2411D"/>
    <w:rsid w:val="00A446FE"/>
    <w:rsid w:val="00A52DB8"/>
    <w:rsid w:val="00A53353"/>
    <w:rsid w:val="00A546A1"/>
    <w:rsid w:val="00A5476A"/>
    <w:rsid w:val="00A60869"/>
    <w:rsid w:val="00A61CB4"/>
    <w:rsid w:val="00A61E52"/>
    <w:rsid w:val="00A73FE1"/>
    <w:rsid w:val="00A7608C"/>
    <w:rsid w:val="00A831E8"/>
    <w:rsid w:val="00A9532D"/>
    <w:rsid w:val="00A97B8A"/>
    <w:rsid w:val="00A97C2F"/>
    <w:rsid w:val="00AA7DF0"/>
    <w:rsid w:val="00AB7DAA"/>
    <w:rsid w:val="00AC6825"/>
    <w:rsid w:val="00AC7065"/>
    <w:rsid w:val="00AE2FB3"/>
    <w:rsid w:val="00AE376A"/>
    <w:rsid w:val="00AE4F05"/>
    <w:rsid w:val="00AE5320"/>
    <w:rsid w:val="00AF3F33"/>
    <w:rsid w:val="00B00E33"/>
    <w:rsid w:val="00B02F26"/>
    <w:rsid w:val="00B10604"/>
    <w:rsid w:val="00B10E07"/>
    <w:rsid w:val="00B3168E"/>
    <w:rsid w:val="00B3204F"/>
    <w:rsid w:val="00B35395"/>
    <w:rsid w:val="00B4298D"/>
    <w:rsid w:val="00B42B1B"/>
    <w:rsid w:val="00B42BDB"/>
    <w:rsid w:val="00B4646A"/>
    <w:rsid w:val="00B470A8"/>
    <w:rsid w:val="00B50171"/>
    <w:rsid w:val="00B52577"/>
    <w:rsid w:val="00B54675"/>
    <w:rsid w:val="00B55214"/>
    <w:rsid w:val="00B5552F"/>
    <w:rsid w:val="00B57018"/>
    <w:rsid w:val="00B7019B"/>
    <w:rsid w:val="00B73E47"/>
    <w:rsid w:val="00B8303E"/>
    <w:rsid w:val="00B84842"/>
    <w:rsid w:val="00B852B6"/>
    <w:rsid w:val="00B871C6"/>
    <w:rsid w:val="00B87EC1"/>
    <w:rsid w:val="00B90033"/>
    <w:rsid w:val="00B9733A"/>
    <w:rsid w:val="00B97A5F"/>
    <w:rsid w:val="00BA1EC3"/>
    <w:rsid w:val="00BA6FDD"/>
    <w:rsid w:val="00BC244B"/>
    <w:rsid w:val="00BC54EF"/>
    <w:rsid w:val="00BC59C7"/>
    <w:rsid w:val="00BD1762"/>
    <w:rsid w:val="00BD3544"/>
    <w:rsid w:val="00BF0169"/>
    <w:rsid w:val="00C00FF2"/>
    <w:rsid w:val="00C05380"/>
    <w:rsid w:val="00C121F1"/>
    <w:rsid w:val="00C12994"/>
    <w:rsid w:val="00C12E08"/>
    <w:rsid w:val="00C13B18"/>
    <w:rsid w:val="00C21C1A"/>
    <w:rsid w:val="00C31DDA"/>
    <w:rsid w:val="00C3457F"/>
    <w:rsid w:val="00C3520A"/>
    <w:rsid w:val="00C4040E"/>
    <w:rsid w:val="00C473B0"/>
    <w:rsid w:val="00C47C0A"/>
    <w:rsid w:val="00C5050B"/>
    <w:rsid w:val="00C64AF3"/>
    <w:rsid w:val="00C67831"/>
    <w:rsid w:val="00C80ED2"/>
    <w:rsid w:val="00C81B5B"/>
    <w:rsid w:val="00C905EA"/>
    <w:rsid w:val="00C91E82"/>
    <w:rsid w:val="00C948D6"/>
    <w:rsid w:val="00C9623B"/>
    <w:rsid w:val="00CB1953"/>
    <w:rsid w:val="00CB6AA9"/>
    <w:rsid w:val="00CD55A1"/>
    <w:rsid w:val="00CE1E55"/>
    <w:rsid w:val="00CF4FD9"/>
    <w:rsid w:val="00CF694D"/>
    <w:rsid w:val="00CF729B"/>
    <w:rsid w:val="00D00BD4"/>
    <w:rsid w:val="00D00F34"/>
    <w:rsid w:val="00D14520"/>
    <w:rsid w:val="00D24A71"/>
    <w:rsid w:val="00D4431A"/>
    <w:rsid w:val="00D46DEA"/>
    <w:rsid w:val="00D5397C"/>
    <w:rsid w:val="00D53F40"/>
    <w:rsid w:val="00D564BD"/>
    <w:rsid w:val="00D61CC7"/>
    <w:rsid w:val="00D64799"/>
    <w:rsid w:val="00D70D8C"/>
    <w:rsid w:val="00D73124"/>
    <w:rsid w:val="00D829CA"/>
    <w:rsid w:val="00DA766A"/>
    <w:rsid w:val="00DB3A51"/>
    <w:rsid w:val="00DD040B"/>
    <w:rsid w:val="00DD0F8D"/>
    <w:rsid w:val="00DD2365"/>
    <w:rsid w:val="00DD2C6A"/>
    <w:rsid w:val="00DE60C2"/>
    <w:rsid w:val="00E05816"/>
    <w:rsid w:val="00E20F96"/>
    <w:rsid w:val="00E2411A"/>
    <w:rsid w:val="00E27558"/>
    <w:rsid w:val="00E30516"/>
    <w:rsid w:val="00E336CE"/>
    <w:rsid w:val="00E375C6"/>
    <w:rsid w:val="00E435FE"/>
    <w:rsid w:val="00E45008"/>
    <w:rsid w:val="00E527C1"/>
    <w:rsid w:val="00E60632"/>
    <w:rsid w:val="00E6695B"/>
    <w:rsid w:val="00E70AFA"/>
    <w:rsid w:val="00E81ED5"/>
    <w:rsid w:val="00E84D9D"/>
    <w:rsid w:val="00E856AF"/>
    <w:rsid w:val="00E87676"/>
    <w:rsid w:val="00E9063B"/>
    <w:rsid w:val="00E94566"/>
    <w:rsid w:val="00E970B9"/>
    <w:rsid w:val="00EA0B16"/>
    <w:rsid w:val="00EA1B92"/>
    <w:rsid w:val="00EA4B39"/>
    <w:rsid w:val="00EB4B09"/>
    <w:rsid w:val="00EB60B4"/>
    <w:rsid w:val="00EC0532"/>
    <w:rsid w:val="00EC59AD"/>
    <w:rsid w:val="00EE01AE"/>
    <w:rsid w:val="00EE1B92"/>
    <w:rsid w:val="00EE4C56"/>
    <w:rsid w:val="00EE64C4"/>
    <w:rsid w:val="00EE7C2C"/>
    <w:rsid w:val="00EF245B"/>
    <w:rsid w:val="00EF71EA"/>
    <w:rsid w:val="00F0630C"/>
    <w:rsid w:val="00F1173C"/>
    <w:rsid w:val="00F11C72"/>
    <w:rsid w:val="00F14CA6"/>
    <w:rsid w:val="00F22417"/>
    <w:rsid w:val="00F2704E"/>
    <w:rsid w:val="00F80169"/>
    <w:rsid w:val="00F905F4"/>
    <w:rsid w:val="00F93287"/>
    <w:rsid w:val="00FA0CBA"/>
    <w:rsid w:val="00FA17BC"/>
    <w:rsid w:val="00FA6317"/>
    <w:rsid w:val="00FB5FEE"/>
    <w:rsid w:val="00FC4C7B"/>
    <w:rsid w:val="00FC7737"/>
    <w:rsid w:val="00FE10A3"/>
    <w:rsid w:val="00FF5AC3"/>
    <w:rsid w:val="0B6B4031"/>
    <w:rsid w:val="106573E1"/>
    <w:rsid w:val="14BD684F"/>
    <w:rsid w:val="1A4C1BFD"/>
    <w:rsid w:val="1C305BB6"/>
    <w:rsid w:val="2A1831C5"/>
    <w:rsid w:val="2A580331"/>
    <w:rsid w:val="2C112F8C"/>
    <w:rsid w:val="2FF455BE"/>
    <w:rsid w:val="3E9F00B1"/>
    <w:rsid w:val="3F3C48E3"/>
    <w:rsid w:val="3F5967EB"/>
    <w:rsid w:val="434A5BE5"/>
    <w:rsid w:val="57B35B98"/>
    <w:rsid w:val="59082A65"/>
    <w:rsid w:val="611A5E9B"/>
    <w:rsid w:val="635C0DF7"/>
    <w:rsid w:val="63804006"/>
    <w:rsid w:val="66026A8A"/>
    <w:rsid w:val="66A354B0"/>
    <w:rsid w:val="6F9C5456"/>
    <w:rsid w:val="724B12F0"/>
    <w:rsid w:val="7B9019DB"/>
    <w:rsid w:val="7E1661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unhideWhenUsed="0" w:uiPriority="0"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spacing w:beforeLines="50" w:line="240" w:lineRule="exact"/>
      <w:jc w:val="center"/>
      <w:outlineLvl w:val="0"/>
    </w:pPr>
    <w:rPr>
      <w:rFonts w:ascii="黑体"/>
      <w:sz w:val="28"/>
      <w:lang w:val="en-GB"/>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adjustRightInd w:val="0"/>
      <w:spacing w:line="360" w:lineRule="atLeast"/>
      <w:ind w:firstLine="420"/>
      <w:jc w:val="left"/>
      <w:textAlignment w:val="baseline"/>
    </w:pPr>
    <w:rPr>
      <w:kern w:val="0"/>
      <w:sz w:val="24"/>
      <w:szCs w:val="20"/>
    </w:rPr>
  </w:style>
  <w:style w:type="paragraph" w:styleId="4">
    <w:name w:val="Body Text"/>
    <w:basedOn w:val="1"/>
    <w:link w:val="19"/>
    <w:uiPriority w:val="0"/>
    <w:pPr>
      <w:spacing w:line="0" w:lineRule="atLeast"/>
    </w:pPr>
    <w:rPr>
      <w:rFonts w:eastAsia="黑体"/>
      <w:spacing w:val="100"/>
      <w:w w:val="200"/>
      <w:sz w:val="52"/>
      <w:szCs w:val="20"/>
    </w:rPr>
  </w:style>
  <w:style w:type="paragraph" w:styleId="5">
    <w:name w:val="Body Text Indent"/>
    <w:basedOn w:val="1"/>
    <w:link w:val="27"/>
    <w:uiPriority w:val="0"/>
    <w:pPr>
      <w:spacing w:after="120"/>
      <w:ind w:left="420" w:leftChars="200"/>
    </w:pPr>
    <w:rPr>
      <w:rFonts w:ascii="Calibri" w:hAnsi="Calibri"/>
    </w:rPr>
  </w:style>
  <w:style w:type="paragraph" w:styleId="6">
    <w:name w:val="toc 5"/>
    <w:basedOn w:val="7"/>
    <w:next w:val="1"/>
    <w:semiHidden/>
    <w:uiPriority w:val="0"/>
    <w:pPr>
      <w:widowControl/>
      <w:ind w:left="0" w:leftChars="0"/>
    </w:pPr>
    <w:rPr>
      <w:rFonts w:ascii="宋体"/>
      <w:kern w:val="0"/>
      <w:szCs w:val="20"/>
    </w:rPr>
  </w:style>
  <w:style w:type="paragraph" w:styleId="7">
    <w:name w:val="toc 4"/>
    <w:basedOn w:val="1"/>
    <w:next w:val="1"/>
    <w:unhideWhenUsed/>
    <w:qFormat/>
    <w:uiPriority w:val="39"/>
    <w:pPr>
      <w:ind w:left="1260" w:leftChars="600"/>
    </w:pPr>
  </w:style>
  <w:style w:type="paragraph" w:styleId="8">
    <w:name w:val="Plain Text"/>
    <w:basedOn w:val="1"/>
    <w:link w:val="28"/>
    <w:uiPriority w:val="0"/>
    <w:rPr>
      <w:rFonts w:ascii="宋体" w:hAnsi="Courier New" w:cs="Courier New"/>
      <w:szCs w:val="21"/>
    </w:rPr>
  </w:style>
  <w:style w:type="paragraph" w:styleId="9">
    <w:name w:val="Date"/>
    <w:basedOn w:val="1"/>
    <w:next w:val="1"/>
    <w:link w:val="26"/>
    <w:unhideWhenUsed/>
    <w:qFormat/>
    <w:uiPriority w:val="0"/>
    <w:pPr>
      <w:ind w:left="100" w:leftChars="2500"/>
    </w:pPr>
  </w:style>
  <w:style w:type="paragraph" w:styleId="10">
    <w:name w:val="Balloon Text"/>
    <w:basedOn w:val="1"/>
    <w:link w:val="56"/>
    <w:semiHidden/>
    <w:unhideWhenUsed/>
    <w:uiPriority w:val="99"/>
    <w:rPr>
      <w:sz w:val="18"/>
      <w:szCs w:val="18"/>
    </w:rPr>
  </w:style>
  <w:style w:type="paragraph" w:styleId="11">
    <w:name w:val="footer"/>
    <w:basedOn w:val="1"/>
    <w:link w:val="30"/>
    <w:qFormat/>
    <w:uiPriority w:val="0"/>
    <w:pPr>
      <w:tabs>
        <w:tab w:val="center" w:pos="4153"/>
        <w:tab w:val="right" w:pos="8306"/>
      </w:tabs>
      <w:snapToGrid w:val="0"/>
      <w:jc w:val="left"/>
    </w:pPr>
    <w:rPr>
      <w:sz w:val="18"/>
      <w:szCs w:val="20"/>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First Indent"/>
    <w:basedOn w:val="4"/>
    <w:link w:val="25"/>
    <w:uiPriority w:val="0"/>
    <w:pPr>
      <w:spacing w:after="120" w:line="240" w:lineRule="auto"/>
      <w:ind w:firstLine="420" w:firstLineChars="100"/>
    </w:pPr>
    <w:rPr>
      <w:rFonts w:ascii="Calibri" w:hAnsi="Calibri" w:eastAsia="宋体"/>
      <w:spacing w:val="0"/>
      <w:w w:val="100"/>
      <w:sz w:val="21"/>
      <w:szCs w:val="24"/>
    </w:rPr>
  </w:style>
  <w:style w:type="table" w:styleId="16">
    <w:name w:val="Table Grid"/>
    <w:basedOn w:val="1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iPriority w:val="0"/>
  </w:style>
  <w:style w:type="character" w:customStyle="1" w:styleId="19">
    <w:name w:val="正文文本 Char"/>
    <w:link w:val="4"/>
    <w:qFormat/>
    <w:uiPriority w:val="0"/>
    <w:rPr>
      <w:rFonts w:ascii="Times New Roman" w:hAnsi="Times New Roman" w:eastAsia="黑体" w:cs="Times New Roman"/>
      <w:spacing w:val="100"/>
      <w:w w:val="200"/>
      <w:sz w:val="52"/>
      <w:szCs w:val="20"/>
    </w:rPr>
  </w:style>
  <w:style w:type="character" w:customStyle="1" w:styleId="20">
    <w:name w:val="标题 1 Char"/>
    <w:link w:val="2"/>
    <w:uiPriority w:val="0"/>
    <w:rPr>
      <w:rFonts w:ascii="黑体" w:hAnsi="Times New Roman" w:eastAsia="宋体" w:cs="Times New Roman"/>
      <w:sz w:val="28"/>
      <w:szCs w:val="24"/>
      <w:lang w:val="en-GB"/>
    </w:rPr>
  </w:style>
  <w:style w:type="character" w:customStyle="1" w:styleId="21">
    <w:name w:val="正文首行缩进 Char1"/>
    <w:semiHidden/>
    <w:qFormat/>
    <w:uiPriority w:val="99"/>
    <w:rPr>
      <w:rFonts w:ascii="Times New Roman" w:hAnsi="Times New Roman" w:eastAsia="宋体" w:cs="Times New Roman"/>
      <w:spacing w:val="100"/>
      <w:w w:val="200"/>
      <w:sz w:val="52"/>
      <w:szCs w:val="24"/>
    </w:rPr>
  </w:style>
  <w:style w:type="character" w:customStyle="1" w:styleId="22">
    <w:name w:val="正文文本缩进 Char1"/>
    <w:semiHidden/>
    <w:uiPriority w:val="99"/>
    <w:rPr>
      <w:rFonts w:ascii="Times New Roman" w:hAnsi="Times New Roman" w:eastAsia="宋体" w:cs="Times New Roman"/>
      <w:szCs w:val="24"/>
    </w:rPr>
  </w:style>
  <w:style w:type="character" w:customStyle="1" w:styleId="23">
    <w:name w:val="段 Char"/>
    <w:link w:val="24"/>
    <w:uiPriority w:val="0"/>
    <w:rPr>
      <w:rFonts w:ascii="宋体"/>
      <w:kern w:val="2"/>
      <w:sz w:val="21"/>
      <w:szCs w:val="22"/>
      <w:lang w:val="en-US" w:eastAsia="zh-CN" w:bidi="ar-SA"/>
    </w:rPr>
  </w:style>
  <w:style w:type="paragraph" w:customStyle="1" w:styleId="24">
    <w:name w:val="段"/>
    <w:link w:val="23"/>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25">
    <w:name w:val="正文首行缩进 Char"/>
    <w:link w:val="14"/>
    <w:uiPriority w:val="0"/>
    <w:rPr>
      <w:rFonts w:ascii="Times New Roman" w:hAnsi="Times New Roman" w:eastAsia="黑体" w:cs="Times New Roman"/>
      <w:spacing w:val="100"/>
      <w:w w:val="200"/>
      <w:sz w:val="52"/>
      <w:szCs w:val="24"/>
    </w:rPr>
  </w:style>
  <w:style w:type="character" w:customStyle="1" w:styleId="26">
    <w:name w:val="日期 Char"/>
    <w:link w:val="9"/>
    <w:uiPriority w:val="0"/>
    <w:rPr>
      <w:rFonts w:ascii="Times New Roman" w:hAnsi="Times New Roman"/>
      <w:kern w:val="2"/>
      <w:sz w:val="21"/>
      <w:szCs w:val="24"/>
    </w:rPr>
  </w:style>
  <w:style w:type="character" w:customStyle="1" w:styleId="27">
    <w:name w:val="正文文本缩进 Char"/>
    <w:link w:val="5"/>
    <w:uiPriority w:val="0"/>
    <w:rPr>
      <w:szCs w:val="24"/>
    </w:rPr>
  </w:style>
  <w:style w:type="character" w:customStyle="1" w:styleId="28">
    <w:name w:val="纯文本 Char"/>
    <w:link w:val="8"/>
    <w:qFormat/>
    <w:uiPriority w:val="0"/>
    <w:rPr>
      <w:rFonts w:ascii="宋体" w:hAnsi="Courier New" w:cs="Courier New"/>
      <w:kern w:val="2"/>
      <w:sz w:val="21"/>
      <w:szCs w:val="21"/>
    </w:rPr>
  </w:style>
  <w:style w:type="character" w:customStyle="1" w:styleId="29">
    <w:name w:val="页眉 Char"/>
    <w:link w:val="12"/>
    <w:semiHidden/>
    <w:uiPriority w:val="99"/>
    <w:rPr>
      <w:rFonts w:ascii="Times New Roman" w:hAnsi="Times New Roman"/>
      <w:kern w:val="2"/>
      <w:sz w:val="18"/>
      <w:szCs w:val="18"/>
    </w:rPr>
  </w:style>
  <w:style w:type="character" w:customStyle="1" w:styleId="30">
    <w:name w:val="页脚 Char"/>
    <w:link w:val="11"/>
    <w:uiPriority w:val="0"/>
    <w:rPr>
      <w:rFonts w:ascii="Times New Roman" w:hAnsi="Times New Roman" w:eastAsia="宋体" w:cs="Times New Roman"/>
      <w:sz w:val="18"/>
      <w:szCs w:val="20"/>
    </w:rPr>
  </w:style>
  <w:style w:type="paragraph" w:customStyle="1" w:styleId="31">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32">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3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4">
    <w:name w:val="标准书眉_偶数页"/>
    <w:basedOn w:val="35"/>
    <w:next w:val="1"/>
    <w:uiPriority w:val="0"/>
    <w:pPr>
      <w:tabs>
        <w:tab w:val="center" w:pos="4154"/>
        <w:tab w:val="right" w:pos="8306"/>
      </w:tabs>
      <w:jc w:val="left"/>
    </w:pPr>
  </w:style>
  <w:style w:type="paragraph" w:customStyle="1" w:styleId="35">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
    <w:name w:val="示例"/>
    <w:next w:val="24"/>
    <w:uiPriority w:val="0"/>
    <w:pPr>
      <w:numPr>
        <w:ilvl w:val="0"/>
        <w:numId w:val="1"/>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37">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3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9">
    <w:name w:val="章标题"/>
    <w:next w:val="24"/>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4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1">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42">
    <w:name w:val="前言、引言标题"/>
    <w:next w:val="1"/>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目次、标准名称标题"/>
    <w:basedOn w:val="42"/>
    <w:next w:val="24"/>
    <w:qFormat/>
    <w:uiPriority w:val="0"/>
    <w:pPr>
      <w:numPr>
        <w:numId w:val="0"/>
      </w:numPr>
      <w:spacing w:line="460" w:lineRule="exact"/>
    </w:pPr>
  </w:style>
  <w:style w:type="paragraph" w:customStyle="1" w:styleId="44">
    <w:name w:val="一级条标题"/>
    <w:basedOn w:val="39"/>
    <w:next w:val="24"/>
    <w:uiPriority w:val="0"/>
    <w:pPr>
      <w:numPr>
        <w:ilvl w:val="2"/>
        <w:numId w:val="3"/>
      </w:numPr>
      <w:spacing w:beforeLines="0" w:afterLines="0"/>
      <w:outlineLvl w:val="2"/>
    </w:pPr>
  </w:style>
  <w:style w:type="paragraph" w:customStyle="1" w:styleId="4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46">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7">
    <w:name w:val="其他标准称谓"/>
    <w:uiPriority w:val="0"/>
    <w:pPr>
      <w:spacing w:line="0" w:lineRule="atLeast"/>
      <w:jc w:val="distribute"/>
    </w:pPr>
    <w:rPr>
      <w:rFonts w:ascii="黑体" w:hAnsi="宋体" w:eastAsia="黑体" w:cs="Times New Roman"/>
      <w:sz w:val="52"/>
      <w:lang w:val="en-US" w:eastAsia="zh-CN" w:bidi="ar-SA"/>
    </w:rPr>
  </w:style>
  <w:style w:type="character" w:customStyle="1" w:styleId="48">
    <w:name w:val="发布"/>
    <w:uiPriority w:val="0"/>
    <w:rPr>
      <w:rFonts w:ascii="黑体" w:eastAsia="黑体"/>
      <w:spacing w:val="22"/>
      <w:w w:val="100"/>
      <w:position w:val="3"/>
      <w:sz w:val="28"/>
    </w:rPr>
  </w:style>
  <w:style w:type="paragraph" w:customStyle="1" w:styleId="49">
    <w:name w:val="其他发布部门"/>
    <w:basedOn w:val="1"/>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51">
    <w:name w:val="apple-style-span"/>
    <w:basedOn w:val="17"/>
    <w:uiPriority w:val="0"/>
  </w:style>
  <w:style w:type="paragraph" w:customStyle="1" w:styleId="52">
    <w:name w:val="四级条标题"/>
    <w:basedOn w:val="53"/>
    <w:next w:val="24"/>
    <w:uiPriority w:val="0"/>
    <w:pPr>
      <w:outlineLvl w:val="5"/>
    </w:pPr>
  </w:style>
  <w:style w:type="paragraph" w:customStyle="1" w:styleId="53">
    <w:name w:val="三级条标题"/>
    <w:basedOn w:val="54"/>
    <w:next w:val="24"/>
    <w:qFormat/>
    <w:uiPriority w:val="0"/>
    <w:pPr>
      <w:outlineLvl w:val="4"/>
    </w:pPr>
  </w:style>
  <w:style w:type="paragraph" w:customStyle="1" w:styleId="54">
    <w:name w:val="二级条标题"/>
    <w:basedOn w:val="44"/>
    <w:next w:val="24"/>
    <w:qFormat/>
    <w:uiPriority w:val="0"/>
    <w:pPr>
      <w:numPr>
        <w:ilvl w:val="0"/>
        <w:numId w:val="0"/>
      </w:numPr>
      <w:tabs>
        <w:tab w:val="clear" w:pos="1260"/>
      </w:tabs>
      <w:outlineLvl w:val="3"/>
    </w:pPr>
  </w:style>
  <w:style w:type="paragraph" w:customStyle="1" w:styleId="55">
    <w:name w:val="五级条标题"/>
    <w:basedOn w:val="52"/>
    <w:next w:val="24"/>
    <w:uiPriority w:val="0"/>
    <w:pPr>
      <w:outlineLvl w:val="6"/>
    </w:pPr>
  </w:style>
  <w:style w:type="character" w:customStyle="1" w:styleId="56">
    <w:name w:val="批注框文本 Char"/>
    <w:link w:val="10"/>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Info spid="_x0000_s103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rilm.com.cn</Company>
  <Pages>9</Pages>
  <Words>3781</Words>
  <Characters>5063</Characters>
  <Lines>40</Lines>
  <Paragraphs>11</Paragraphs>
  <TotalTime>3</TotalTime>
  <ScaleCrop>false</ScaleCrop>
  <LinksUpToDate>false</LinksUpToDate>
  <CharactersWithSpaces>5305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2022-07-04T00:27:00Z</dcterms:created>
  <dc:creator>内网信息</dc:creator>
  <cp:lastModifiedBy>李志刚</cp:lastModifiedBy>
  <cp:lastPrinted>2018-01-04T00:59:00Z</cp:lastPrinted>
  <dcterms:modified xsi:type="dcterms:W3CDTF">2022-07-05T07:22:34Z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D3DDA89CB67C430CB12F37E4A8A331B4</vt:lpwstr>
  </property>
</Properties>
</file>