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jc w:val="left"/>
      </w:pPr>
      <w:bookmarkStart w:id="0" w:name="SectionMark0"/>
      <w: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11" name="图片 31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5408" behindDoc="0" locked="1" layoutInCell="1" allowOverlap="1">
                <wp:simplePos x="0" y="0"/>
                <wp:positionH relativeFrom="margin">
                  <wp:posOffset>3978910</wp:posOffset>
                </wp:positionH>
                <wp:positionV relativeFrom="margin">
                  <wp:posOffset>8395970</wp:posOffset>
                </wp:positionV>
                <wp:extent cx="2005330" cy="299720"/>
                <wp:effectExtent l="0" t="4445" r="0" b="635"/>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2005330" cy="299720"/>
                        </a:xfrm>
                        <a:prstGeom prst="rect">
                          <a:avLst/>
                        </a:prstGeom>
                        <a:noFill/>
                        <a:ln>
                          <a:noFill/>
                        </a:ln>
                      </wps:spPr>
                      <wps:txbx>
                        <w:txbxContent>
                          <w:p>
                            <w:pPr>
                              <w:pStyle w:val="136"/>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3.3pt;margin-top:661.1pt;height:23.6pt;width:157.9pt;mso-position-horizontal-relative:margin;mso-position-vertical-relative:margin;z-index:251665408;mso-width-relative:page;mso-height-relative:page;" filled="f" stroked="f" coordsize="21600,21600" o:gfxdata="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7J5toAAAANAQAADwAAAAAAAAAB&#10;ACAAAAAiAAAAZHJzL2Rvd25yZXYueG1sUEsBAhQAFAAAAAgAh07iQM56qKcOAgAACQQAAA4AAAAA&#10;AAAAAQAgAAAAKQEAAGRycy9lMm9Eb2MueG1sUEsFBgAAAAAGAAYAWQEAAKkFAAAAAA==&#10;">
                <v:fill on="f" focussize="0,0"/>
                <v:stroke on="f"/>
                <v:imagedata o:title=""/>
                <o:lock v:ext="edit" aspectratio="f"/>
                <v:textbox inset="0mm,0mm,0mm,0mm">
                  <w:txbxContent>
                    <w:p>
                      <w:pPr>
                        <w:pStyle w:val="136"/>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43180</wp:posOffset>
                </wp:positionH>
                <wp:positionV relativeFrom="margin">
                  <wp:posOffset>8383270</wp:posOffset>
                </wp:positionV>
                <wp:extent cx="2019300" cy="312420"/>
                <wp:effectExtent l="0" t="1270" r="4445" b="635"/>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noFill/>
                        <a:ln>
                          <a:noFill/>
                        </a:ln>
                      </wps:spPr>
                      <wps:txbx>
                        <w:txbxContent>
                          <w:p>
                            <w:pPr>
                              <w:pStyle w:val="117"/>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pt;margin-top:660.1pt;height:24.6pt;width:159pt;mso-position-horizontal-relative:margin;mso-position-vertical-relative:margin;z-index:251664384;mso-width-relative:page;mso-height-relative:page;" filled="f" stroked="f" coordsize="21600,21600" o:gfxdata="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rUI2AAAAAsBAAAPAAAAAAAAAAEA&#10;IAAAACIAAABkcnMvZG93bnJldi54bWxQSwECFAAUAAAACACHTuJA0Ee7fw8CAAAJBAAADgAAAAAA&#10;AAABACAAAAAnAQAAZHJzL2Uyb0RvYy54bWxQSwUGAAAAAAYABgBZAQAAqAUAAAAA&#10;">
                <v:fill on="f" focussize="0,0"/>
                <v:stroke on="f"/>
                <v:imagedata o:title=""/>
                <o:lock v:ext="edit" aspectratio="f"/>
                <v:textbox inset="0mm,0mm,0mm,0mm">
                  <w:txbxContent>
                    <w:p>
                      <w:pPr>
                        <w:pStyle w:val="117"/>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3810</wp:posOffset>
                </wp:positionH>
                <wp:positionV relativeFrom="margin">
                  <wp:posOffset>3228975</wp:posOffset>
                </wp:positionV>
                <wp:extent cx="6057900" cy="4678680"/>
                <wp:effectExtent l="0" t="0" r="0" b="762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6057900" cy="4678680"/>
                        </a:xfrm>
                        <a:prstGeom prst="rect">
                          <a:avLst/>
                        </a:prstGeom>
                        <a:noFill/>
                        <a:ln>
                          <a:noFill/>
                        </a:ln>
                      </wps:spPr>
                      <wps:txbx>
                        <w:txbxContent>
                          <w:p>
                            <w:pPr>
                              <w:pStyle w:val="2"/>
                              <w:ind w:firstLine="0" w:firstLineChars="0"/>
                              <w:jc w:val="center"/>
                              <w:rPr>
                                <w:rFonts w:ascii="黑体" w:eastAsia="黑体"/>
                                <w:bCs/>
                                <w:kern w:val="2"/>
                                <w:sz w:val="52"/>
                                <w:szCs w:val="52"/>
                              </w:rPr>
                            </w:pPr>
                            <w:bookmarkStart w:id="7" w:name="OLE_LINK6"/>
                            <w:bookmarkStart w:id="8" w:name="OLE_LINK2"/>
                            <w:bookmarkStart w:id="9" w:name="OLE_LINK127"/>
                            <w:bookmarkStart w:id="10" w:name="OLE_LINK1"/>
                            <w:r>
                              <w:rPr>
                                <w:rFonts w:hint="eastAsia" w:ascii="黑体" w:eastAsia="黑体"/>
                                <w:bCs/>
                                <w:kern w:val="2"/>
                                <w:sz w:val="52"/>
                                <w:szCs w:val="52"/>
                              </w:rPr>
                              <w:t>镍合金化学分析方法 第4部分:铬含量测定 硫酸亚铁铵电位滴定法</w:t>
                            </w:r>
                            <w:bookmarkEnd w:id="7"/>
                          </w:p>
                          <w:bookmarkEnd w:id="8"/>
                          <w:bookmarkEnd w:id="9"/>
                          <w:bookmarkEnd w:id="10"/>
                          <w:p>
                            <w:pPr>
                              <w:pStyle w:val="90"/>
                              <w:spacing w:line="200" w:lineRule="exact"/>
                              <w:rPr>
                                <w:rFonts w:ascii="Times New Roman" w:hAnsi="Times New Roman" w:cs="Times New Roman"/>
                              </w:rPr>
                            </w:pPr>
                            <w:r>
                              <w:rPr>
                                <w:rFonts w:ascii="Times New Roman" w:hAnsi="Times New Roman" w:cs="Times New Roman"/>
                              </w:rPr>
                              <w:t xml:space="preserve">Methods for chemical analysis of nickel alloys - Part 4: Determination of chromium content - Potentiometric </w:t>
                            </w:r>
                            <w:r>
                              <w:rPr>
                                <w:rFonts w:ascii="Times New Roman" w:hAnsi="Times New Roman" w:cs="Times New Roman"/>
                                <w:highlight w:val="yellow"/>
                              </w:rPr>
                              <w:t>titration of ammonium ferrous sulfate</w:t>
                            </w:r>
                          </w:p>
                          <w:p>
                            <w:pPr>
                              <w:pStyle w:val="90"/>
                              <w:spacing w:line="200" w:lineRule="exac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ISO 7529:2017, Nickel alloys - Determination of chromium content - Potentiometric titration method with ammonium iron sulfate,IDT）</w:t>
                            </w:r>
                          </w:p>
                          <w:p>
                            <w:pPr>
                              <w:pStyle w:val="90"/>
                              <w:spacing w:line="200" w:lineRule="exact"/>
                              <w:ind w:firstLine="700" w:firstLineChars="25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b/>
                                <w:sz w:val="28"/>
                                <w:szCs w:val="28"/>
                              </w:rPr>
                              <w:t xml:space="preserve"> (预审稿)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pt;margin-top:254.25pt;height:368.4pt;width:477pt;mso-position-horizontal-relative:margin;mso-position-vertical-relative:margin;z-index:251663360;mso-width-relative:page;mso-height-relative:page;" filled="f" stroked="f" coordsize="21600,21600" o:gfxdata="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5cyHYAAAACQEAAA8AAAAAAAAA&#10;AQAgAAAAIgAAAGRycy9kb3ducmV2LnhtbFBLAQIUABQAAAAIAIdO4kD/qkPpEQIAAAoEAAAOAAAA&#10;AAAAAAEAIAAAACcBAABkcnMvZTJvRG9jLnhtbFBLBQYAAAAABgAGAFkBAACqBQAAAAA=&#10;">
                <v:fill on="f" focussize="0,0"/>
                <v:stroke on="f"/>
                <v:imagedata o:title=""/>
                <o:lock v:ext="edit" aspectratio="f"/>
                <v:textbox inset="0mm,0mm,0mm,0mm">
                  <w:txbxContent>
                    <w:p>
                      <w:pPr>
                        <w:pStyle w:val="2"/>
                        <w:ind w:firstLine="0" w:firstLineChars="0"/>
                        <w:jc w:val="center"/>
                        <w:rPr>
                          <w:rFonts w:ascii="黑体" w:eastAsia="黑体"/>
                          <w:bCs/>
                          <w:kern w:val="2"/>
                          <w:sz w:val="52"/>
                          <w:szCs w:val="52"/>
                        </w:rPr>
                      </w:pPr>
                      <w:bookmarkStart w:id="7" w:name="OLE_LINK6"/>
                      <w:bookmarkStart w:id="8" w:name="OLE_LINK2"/>
                      <w:bookmarkStart w:id="9" w:name="OLE_LINK127"/>
                      <w:bookmarkStart w:id="10" w:name="OLE_LINK1"/>
                      <w:r>
                        <w:rPr>
                          <w:rFonts w:hint="eastAsia" w:ascii="黑体" w:eastAsia="黑体"/>
                          <w:bCs/>
                          <w:kern w:val="2"/>
                          <w:sz w:val="52"/>
                          <w:szCs w:val="52"/>
                        </w:rPr>
                        <w:t>镍合金化学分析方法 第4部分:铬含量测定 硫酸亚铁铵电位滴定法</w:t>
                      </w:r>
                      <w:bookmarkEnd w:id="7"/>
                    </w:p>
                    <w:bookmarkEnd w:id="8"/>
                    <w:bookmarkEnd w:id="9"/>
                    <w:bookmarkEnd w:id="10"/>
                    <w:p>
                      <w:pPr>
                        <w:pStyle w:val="90"/>
                        <w:spacing w:line="200" w:lineRule="exact"/>
                        <w:rPr>
                          <w:rFonts w:ascii="Times New Roman" w:hAnsi="Times New Roman" w:cs="Times New Roman"/>
                        </w:rPr>
                      </w:pPr>
                      <w:r>
                        <w:rPr>
                          <w:rFonts w:ascii="Times New Roman" w:hAnsi="Times New Roman" w:cs="Times New Roman"/>
                        </w:rPr>
                        <w:t xml:space="preserve">Methods for chemical analysis of nickel alloys - Part 4: Determination of chromium content - Potentiometric </w:t>
                      </w:r>
                      <w:r>
                        <w:rPr>
                          <w:rFonts w:ascii="Times New Roman" w:hAnsi="Times New Roman" w:cs="Times New Roman"/>
                          <w:highlight w:val="yellow"/>
                        </w:rPr>
                        <w:t>titration of ammonium ferrous sulfate</w:t>
                      </w:r>
                    </w:p>
                    <w:p>
                      <w:pPr>
                        <w:pStyle w:val="90"/>
                        <w:spacing w:line="200" w:lineRule="exac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ISO 7529:2017, Nickel alloys - Determination of chromium content - Potentiometric titration method with ammonium iron sulfate,IDT）</w:t>
                      </w:r>
                    </w:p>
                    <w:p>
                      <w:pPr>
                        <w:pStyle w:val="90"/>
                        <w:spacing w:line="200" w:lineRule="exact"/>
                        <w:ind w:firstLine="700" w:firstLineChars="25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b/>
                          <w:sz w:val="28"/>
                          <w:szCs w:val="28"/>
                        </w:rPr>
                        <w:t xml:space="preserve"> (预审稿)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1071245</wp:posOffset>
                </wp:positionV>
                <wp:extent cx="5984240" cy="454660"/>
                <wp:effectExtent l="0" t="4445"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5984240" cy="454660"/>
                        </a:xfrm>
                        <a:prstGeom prst="rect">
                          <a:avLst/>
                        </a:prstGeom>
                        <a:noFill/>
                        <a:ln>
                          <a:noFill/>
                        </a:ln>
                      </wps:spPr>
                      <wps:txbx>
                        <w:txbxContent>
                          <w:p>
                            <w:pPr>
                              <w:pStyle w:val="11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84.35pt;height:35.8pt;width:471.2pt;mso-position-horizontal-relative:margin;mso-position-vertical-relative:margin;z-index:251662336;mso-width-relative:page;mso-height-relative:page;" filled="f" stroked="f" coordsize="21600,21600" o:gfxdata="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gLz2tgAAAAIAQAADwAAAAAAAAAB&#10;ACAAAAAiAAAAZHJzL2Rvd25yZXYueG1sUEsBAhQAFAAAAAgAh07iQNswjOoQAgAACQQAAA4AAAAA&#10;AAAAAQAgAAAAJwEAAGRycy9lMm9Eb2MueG1sUEsFBgAAAAAGAAYAWQEAAKkFAAAAAA==&#10;">
                <v:fill on="f" focussize="0,0"/>
                <v:stroke on="f"/>
                <v:imagedata o:title=""/>
                <o:lock v:ext="edit" aspectratio="f"/>
                <v:textbox inset="0mm,0mm,0mm,0mm">
                  <w:txbxContent>
                    <w:p>
                      <w:pPr>
                        <w:pStyle w:val="11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0</wp:posOffset>
                </wp:positionV>
                <wp:extent cx="1024255" cy="438785"/>
                <wp:effectExtent l="0" t="0" r="4445"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1024255" cy="438785"/>
                        </a:xfrm>
                        <a:prstGeom prst="rect">
                          <a:avLst/>
                        </a:prstGeom>
                        <a:noFill/>
                        <a:ln>
                          <a:noFill/>
                        </a:ln>
                      </wps:spPr>
                      <wps:txbx>
                        <w:txbxContent>
                          <w:p>
                            <w:pPr>
                              <w:pStyle w:val="96"/>
                              <w:spacing w:line="240" w:lineRule="atLeast"/>
                              <w:rPr>
                                <w:rFonts w:ascii="黑体"/>
                              </w:rPr>
                            </w:pPr>
                            <w:r>
                              <w:rPr>
                                <w:rFonts w:ascii="黑体"/>
                              </w:rPr>
                              <w:t xml:space="preserve">ICS 77.120.60 </w:t>
                            </w:r>
                          </w:p>
                          <w:p>
                            <w:pPr>
                              <w:pStyle w:val="96"/>
                              <w:spacing w:line="240" w:lineRule="atLeast"/>
                              <w:rPr>
                                <w:rFonts w:ascii="黑体"/>
                              </w:rPr>
                            </w:pPr>
                            <w:r>
                              <w:rPr>
                                <w:rFonts w:ascii="黑体"/>
                              </w:rPr>
                              <w:t>H 13</w:t>
                            </w:r>
                          </w:p>
                          <w:p>
                            <w:pPr>
                              <w:pStyle w:val="9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34.55pt;width:80.65pt;mso-position-horizontal-relative:margin;mso-position-vertical-relative:margin;z-index:251661312;mso-width-relative:page;mso-height-relative:page;" filled="f" stroked="f" coordsize="21600,21600" o:gfxdata="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YFWs1AAAAAQBAAAPAAAAAAAAAAEAIAAA&#10;ACIAAABkcnMvZG93bnJldi54bWxQSwECFAAUAAAACACHTuJAxQ+GthACAAAJBAAADgAAAAAAAAAB&#10;ACAAAAAjAQAAZHJzL2Uyb0RvYy54bWxQSwUGAAAAAAYABgBZAQAApQUAAAAA&#10;">
                <v:fill on="f" focussize="0,0"/>
                <v:stroke on="f"/>
                <v:imagedata o:title=""/>
                <o:lock v:ext="edit" aspectratio="f"/>
                <v:textbox inset="0mm,0mm,0mm,0mm">
                  <w:txbxContent>
                    <w:p>
                      <w:pPr>
                        <w:pStyle w:val="96"/>
                        <w:spacing w:line="240" w:lineRule="atLeast"/>
                        <w:rPr>
                          <w:rFonts w:ascii="黑体"/>
                        </w:rPr>
                      </w:pPr>
                      <w:r>
                        <w:rPr>
                          <w:rFonts w:ascii="黑体"/>
                        </w:rPr>
                        <w:t xml:space="preserve">ICS 77.120.60 </w:t>
                      </w:r>
                    </w:p>
                    <w:p>
                      <w:pPr>
                        <w:pStyle w:val="96"/>
                        <w:spacing w:line="240" w:lineRule="atLeast"/>
                        <w:rPr>
                          <w:rFonts w:ascii="黑体"/>
                        </w:rPr>
                      </w:pPr>
                      <w:r>
                        <w:rPr>
                          <w:rFonts w:ascii="黑体"/>
                        </w:rPr>
                        <w:t>H 13</w:t>
                      </w:r>
                    </w:p>
                    <w:p>
                      <w:pPr>
                        <w:pStyle w:val="96"/>
                      </w:pPr>
                    </w:p>
                  </w:txbxContent>
                </v:textbox>
                <w10:anchorlock/>
              </v:shape>
            </w:pict>
          </mc:Fallback>
        </mc:AlternateContent>
      </w:r>
    </w:p>
    <w:p>
      <w:pPr>
        <w:pStyle w:val="130"/>
      </w:pPr>
    </w:p>
    <w:p/>
    <w:p/>
    <w:p/>
    <w:p/>
    <w:p/>
    <w:p/>
    <w:p>
      <w:pPr>
        <w:ind w:left="2814" w:leftChars="1340" w:firstLine="0" w:firstLineChars="0"/>
        <w:jc w:val="right"/>
        <w:rPr>
          <w:rFonts w:hint="eastAsia" w:ascii="黑体" w:hAnsi="新宋体" w:eastAsia="黑体"/>
          <w:bCs/>
          <w:sz w:val="28"/>
        </w:rPr>
      </w:pPr>
      <w:r>
        <w:rPr>
          <w:rFonts w:ascii="黑体" w:hAnsi="新宋体" w:eastAsia="黑体"/>
          <w:bCs/>
          <w:sz w:val="28"/>
        </w:rPr>
        <w:t xml:space="preserve">GB/T </w:t>
      </w:r>
      <w:r>
        <w:rPr>
          <w:rFonts w:hint="eastAsia" w:ascii="黑体" w:hAnsi="新宋体" w:eastAsia="黑体"/>
          <w:bCs/>
          <w:sz w:val="28"/>
        </w:rPr>
        <w:t>XXXX.4</w:t>
      </w:r>
      <w:r>
        <w:rPr>
          <w:rFonts w:ascii="黑体" w:hAnsi="新宋体" w:eastAsia="黑体"/>
          <w:bCs/>
          <w:sz w:val="28"/>
        </w:rPr>
        <w:t>-20</w:t>
      </w:r>
      <w:r>
        <w:rPr>
          <w:rFonts w:hint="eastAsia" w:ascii="黑体" w:hAnsi="新宋体" w:eastAsia="黑体"/>
          <w:bCs/>
          <w:sz w:val="28"/>
        </w:rPr>
        <w:t>2</w:t>
      </w:r>
      <w:r>
        <w:rPr>
          <w:rFonts w:ascii="黑体" w:hAnsi="新宋体" w:eastAsia="黑体"/>
          <w:bCs/>
          <w:sz w:val="28"/>
        </w:rPr>
        <w:t>X</w:t>
      </w:r>
      <w:r>
        <w:rPr>
          <w:rFonts w:hint="eastAsia" w:ascii="黑体" w:hAnsi="新宋体" w:eastAsia="黑体"/>
          <w:bCs/>
          <w:sz w:val="28"/>
        </w:rPr>
        <w:t>/</w:t>
      </w:r>
      <w:r>
        <w:rPr>
          <w:rFonts w:ascii="黑体" w:hAnsi="新宋体" w:eastAsia="黑体"/>
          <w:bCs/>
          <w:sz w:val="28"/>
        </w:rPr>
        <w:t>ISO 7529:2017</w:t>
      </w:r>
    </w:p>
    <w:p>
      <w:pPr>
        <w:ind w:firstLine="540"/>
        <w:jc w:val="center"/>
        <w:sectPr>
          <w:headerReference r:id="rId4" w:type="first"/>
          <w:headerReference r:id="rId3" w:type="default"/>
          <w:footerReference r:id="rId5" w:type="even"/>
          <w:pgSz w:w="11907" w:h="16839"/>
          <w:pgMar w:top="567" w:right="1134" w:bottom="850" w:left="1418" w:header="0" w:footer="0" w:gutter="0"/>
          <w:pgNumType w:start="1"/>
          <w:cols w:space="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6764655</wp:posOffset>
                </wp:positionV>
                <wp:extent cx="6172200" cy="0"/>
                <wp:effectExtent l="13970" t="11430" r="5080" b="7620"/>
                <wp:wrapNone/>
                <wp:docPr id="303" name="直接连接符 303"/>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32.65pt;height:0pt;width:486pt;z-index:251667456;mso-width-relative:page;mso-height-relative:page;" filled="f" stroked="t" coordsize="21600,21600" o:gfxdata="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dONUAAAAL&#10;AQAADwAAAAAAAAABACAAAAAiAAAAZHJzL2Rvd25yZXYueG1sUEsBAhQAFAAAAAgAh07iQJPVdKLm&#10;AQAArg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4255770</wp:posOffset>
                </wp:positionH>
                <wp:positionV relativeFrom="margin">
                  <wp:posOffset>8984615</wp:posOffset>
                </wp:positionV>
                <wp:extent cx="632460" cy="312420"/>
                <wp:effectExtent l="0" t="254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632460" cy="312420"/>
                        </a:xfrm>
                        <a:prstGeom prst="rect">
                          <a:avLst/>
                        </a:prstGeom>
                        <a:noFill/>
                        <a:ln>
                          <a:noFill/>
                        </a:ln>
                      </wps:spPr>
                      <wps:txbx>
                        <w:txbxContent>
                          <w:p>
                            <w:pPr>
                              <w:pStyle w:val="117"/>
                              <w:ind w:firstLine="280" w:firstLineChars="100"/>
                              <w:rPr>
                                <w:rFonts w:ascii="黑体"/>
                              </w:rPr>
                            </w:pP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1pt;margin-top:707.45pt;height:24.6pt;width:49.8pt;mso-position-horizontal-relative:margin;mso-position-vertical-relative:margin;z-index:251669504;mso-width-relative:page;mso-height-relative:page;" filled="f" stroked="f" coordsize="21600,21600" o:gfxdata="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QLvraAAAADQEAAA8AAAAAAAAA&#10;AQAgAAAAIgAAAGRycy9kb3ducmV2LnhtbFBLAQIUABQAAAAIAIdO4kDR6ojuDwIAAAgEAAAOAAAA&#10;AAAAAAEAIAAAACkBAABkcnMvZTJvRG9jLnhtbFBLBQYAAAAABgAGAFkBAACqBQAAAAA=&#10;">
                <v:fill on="f" focussize="0,0"/>
                <v:stroke on="f"/>
                <v:imagedata o:title=""/>
                <o:lock v:ext="edit" aspectratio="f"/>
                <v:textbox inset="0mm,0mm,0mm,0mm">
                  <w:txbxContent>
                    <w:p>
                      <w:pPr>
                        <w:pStyle w:val="117"/>
                        <w:ind w:firstLine="280" w:firstLineChars="100"/>
                        <w:rPr>
                          <w:rFonts w:ascii="黑体"/>
                        </w:rPr>
                      </w:pPr>
                      <w:r>
                        <w:rPr>
                          <w:rFonts w:hint="eastAsia" w:ascii="黑体"/>
                        </w:rPr>
                        <w:t>发布</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127635</wp:posOffset>
                </wp:positionH>
                <wp:positionV relativeFrom="margin">
                  <wp:posOffset>8785225</wp:posOffset>
                </wp:positionV>
                <wp:extent cx="5172710" cy="817880"/>
                <wp:effectExtent l="3810" t="3175"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5172710" cy="817880"/>
                        </a:xfrm>
                        <a:prstGeom prst="rect">
                          <a:avLst/>
                        </a:prstGeom>
                        <a:noFill/>
                        <a:ln>
                          <a:noFill/>
                        </a:ln>
                      </wps:spPr>
                      <wps:txbx>
                        <w:txbxContent>
                          <w:p>
                            <w:pPr>
                              <w:pStyle w:val="82"/>
                              <w:rPr>
                                <w:spacing w:val="34"/>
                                <w:sz w:val="32"/>
                                <w:szCs w:val="32"/>
                              </w:rPr>
                            </w:pPr>
                            <w:r>
                              <w:rPr>
                                <w:rFonts w:hint="eastAsia"/>
                                <w:spacing w:val="34"/>
                                <w:w w:val="100"/>
                                <w:sz w:val="32"/>
                                <w:szCs w:val="32"/>
                              </w:rPr>
                              <w:t>国家市场监督管理总局</w:t>
                            </w:r>
                          </w:p>
                          <w:p>
                            <w:pPr>
                              <w:pStyle w:val="82"/>
                              <w:spacing w:line="400" w:lineRule="exact"/>
                              <w:rPr>
                                <w:rFonts w:ascii="黑体" w:eastAsia="黑体"/>
                                <w:spacing w:val="0"/>
                                <w:w w:val="100"/>
                                <w:position w:val="3"/>
                                <w:sz w:val="32"/>
                                <w:szCs w:val="32"/>
                              </w:rPr>
                            </w:pPr>
                            <w:r>
                              <w:rPr>
                                <w:rFonts w:hint="eastAsia"/>
                                <w:bCs/>
                                <w:spacing w:val="0"/>
                                <w:w w:val="100"/>
                                <w:sz w:val="32"/>
                                <w:szCs w:val="32"/>
                              </w:rPr>
                              <w:t>中国国家标准化管理委员会</w:t>
                            </w:r>
                          </w:p>
                          <w:p>
                            <w:pPr>
                              <w:pStyle w:val="82"/>
                              <w:rPr>
                                <w:sz w:val="32"/>
                                <w:szCs w:val="3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05pt;margin-top:691.75pt;height:64.4pt;width:407.3pt;mso-position-horizontal-relative:margin;mso-position-vertical-relative:margin;z-index:251668480;mso-width-relative:page;mso-height-relative:page;" filled="f" stroked="f" coordsize="21600,21600" o:gfxdata="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MkexvaAAAADAEAAA8AAAAAAAAA&#10;AQAgAAAAIgAAAGRycy9kb3ducmV2LnhtbFBLAQIUABQAAAAIAIdO4kCQtqj6DwIAAAkEAAAOAAAA&#10;AAAAAAEAIAAAACkBAABkcnMvZTJvRG9jLnhtbFBLBQYAAAAABgAGAFkBAACqBQAAAAA=&#10;">
                <v:fill on="f" focussize="0,0"/>
                <v:stroke on="f"/>
                <v:imagedata o:title=""/>
                <o:lock v:ext="edit" aspectratio="f"/>
                <v:textbox inset="0mm,0mm,0mm,0mm">
                  <w:txbxContent>
                    <w:p>
                      <w:pPr>
                        <w:pStyle w:val="82"/>
                        <w:rPr>
                          <w:spacing w:val="34"/>
                          <w:sz w:val="32"/>
                          <w:szCs w:val="32"/>
                        </w:rPr>
                      </w:pPr>
                      <w:r>
                        <w:rPr>
                          <w:rFonts w:hint="eastAsia"/>
                          <w:spacing w:val="34"/>
                          <w:w w:val="100"/>
                          <w:sz w:val="32"/>
                          <w:szCs w:val="32"/>
                        </w:rPr>
                        <w:t>国家市场监督管理总局</w:t>
                      </w:r>
                    </w:p>
                    <w:p>
                      <w:pPr>
                        <w:pStyle w:val="82"/>
                        <w:spacing w:line="400" w:lineRule="exact"/>
                        <w:rPr>
                          <w:rFonts w:ascii="黑体" w:eastAsia="黑体"/>
                          <w:spacing w:val="0"/>
                          <w:w w:val="100"/>
                          <w:position w:val="3"/>
                          <w:sz w:val="32"/>
                          <w:szCs w:val="32"/>
                        </w:rPr>
                      </w:pPr>
                      <w:r>
                        <w:rPr>
                          <w:rFonts w:hint="eastAsia"/>
                          <w:bCs/>
                          <w:spacing w:val="0"/>
                          <w:w w:val="100"/>
                          <w:sz w:val="32"/>
                          <w:szCs w:val="32"/>
                        </w:rPr>
                        <w:t>中国国家标准化管理委员会</w:t>
                      </w:r>
                    </w:p>
                    <w:p>
                      <w:pPr>
                        <w:pStyle w:val="82"/>
                        <w:rPr>
                          <w:sz w:val="32"/>
                          <w:szCs w:val="32"/>
                        </w:rPr>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99060</wp:posOffset>
                </wp:positionV>
                <wp:extent cx="6000750" cy="0"/>
                <wp:effectExtent l="9525" t="13335" r="9525" b="571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8pt;margin-top:7.8pt;height:0pt;width:472.5pt;z-index:251666432;mso-width-relative:page;mso-height-relative:page;" filled="f" stroked="t" coordsize="21600,21600" o:gfxdata="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MxeL&#10;1QAAAAgBAAAPAAAAAAAAAAEAIAAAACIAAABkcnMvZG93bnJldi54bWxQSwECFAAUAAAACACHTuJA&#10;6+PPgOsBAAC2AwAADgAAAAAAAAABACAAAAAkAQAAZHJzL2Uyb0RvYy54bWxQSwUGAAAAAAYABgBZ&#10;AQAAgQUAAAAA&#10;">
                <v:fill on="f" focussize="0,0"/>
                <v:stroke color="#000000" joinstyle="round"/>
                <v:imagedata o:title=""/>
                <o:lock v:ext="edit" aspectratio="f"/>
              </v:line>
            </w:pict>
          </mc:Fallback>
        </mc:AlternateContent>
      </w:r>
    </w:p>
    <w:bookmarkEnd w:id="0"/>
    <w:p>
      <w:pPr>
        <w:pStyle w:val="91"/>
        <w:numPr>
          <w:ilvl w:val="0"/>
          <w:numId w:val="0"/>
        </w:numPr>
        <w:shd w:val="clear" w:color="FFFFFF" w:fill="auto"/>
        <w:rPr>
          <w:rFonts w:hAnsi="黑体" w:cs="黑体"/>
        </w:rPr>
      </w:pPr>
      <w:bookmarkStart w:id="1" w:name="_Toc519884010"/>
      <w:r>
        <w:rPr>
          <w:rFonts w:hint="eastAsia" w:hAnsi="黑体" w:cs="黑体"/>
        </w:rPr>
        <w:t>前  言</w:t>
      </w:r>
    </w:p>
    <w:bookmarkEnd w:id="1"/>
    <w:p>
      <w:pPr>
        <w:ind w:firstLine="435"/>
        <w:rPr>
          <w:rFonts w:ascii="宋体" w:hAnsi="宋体"/>
        </w:rPr>
      </w:pPr>
      <w:r>
        <w:rPr>
          <w:rFonts w:hint="eastAsia" w:ascii="宋体" w:hAnsi="宋体"/>
        </w:rPr>
        <w:t>本文件按照</w:t>
      </w:r>
      <w:r>
        <w:rPr>
          <w:rFonts w:ascii="宋体" w:hAnsi="宋体"/>
        </w:rPr>
        <w:t>GB/T 1.1-2020</w:t>
      </w:r>
      <w:r>
        <w:rPr>
          <w:rFonts w:hint="eastAsia" w:ascii="宋体" w:hAnsi="宋体"/>
        </w:rPr>
        <w:t>《标准化工作导则 第1部分：标准化文件的结构和起草规则》的规定起草。</w:t>
      </w:r>
    </w:p>
    <w:p>
      <w:pPr>
        <w:ind w:firstLine="435"/>
        <w:rPr>
          <w:rFonts w:ascii="宋体" w:hAnsi="宋体"/>
        </w:rPr>
      </w:pPr>
      <w:r>
        <w:rPr>
          <w:rFonts w:hint="eastAsia" w:ascii="宋体" w:hAnsi="宋体"/>
        </w:rPr>
        <w:t>本文件是G</w:t>
      </w:r>
      <w:r>
        <w:rPr>
          <w:rFonts w:ascii="宋体" w:hAnsi="宋体"/>
        </w:rPr>
        <w:t>B/T XXXX</w:t>
      </w:r>
      <w:r>
        <w:rPr>
          <w:rFonts w:hint="eastAsia" w:ascii="宋体" w:hAnsi="宋体"/>
        </w:rPr>
        <w:t>《镍合金化学分析方法》的第</w:t>
      </w:r>
      <w:r>
        <w:rPr>
          <w:rFonts w:ascii="宋体" w:hAnsi="宋体"/>
        </w:rPr>
        <w:t>1</w:t>
      </w:r>
      <w:r>
        <w:rPr>
          <w:rFonts w:hint="eastAsia" w:ascii="宋体" w:hAnsi="宋体"/>
        </w:rPr>
        <w:t>部分。GB/T</w:t>
      </w:r>
      <w:r>
        <w:rPr>
          <w:rFonts w:ascii="宋体" w:hAnsi="宋体"/>
        </w:rPr>
        <w:t xml:space="preserve"> </w:t>
      </w:r>
      <w:r>
        <w:rPr>
          <w:rFonts w:hint="eastAsia" w:ascii="宋体" w:hAnsi="宋体"/>
        </w:rPr>
        <w:t>XXXX已经发布了以下部分；</w:t>
      </w:r>
    </w:p>
    <w:p>
      <w:pPr>
        <w:ind w:firstLine="435"/>
        <w:rPr>
          <w:rFonts w:ascii="宋体" w:hAnsi="宋体"/>
        </w:rPr>
      </w:pPr>
      <w:r>
        <w:rPr>
          <w:rFonts w:hint="eastAsia" w:ascii="宋体" w:hAnsi="宋体"/>
        </w:rPr>
        <w:t>本文件使用翻译法等同采用I</w:t>
      </w:r>
      <w:r>
        <w:rPr>
          <w:rFonts w:ascii="宋体" w:hAnsi="宋体"/>
        </w:rPr>
        <w:t>SO 7529:2017</w:t>
      </w:r>
      <w:r>
        <w:rPr>
          <w:rFonts w:hint="eastAsia" w:ascii="宋体" w:hAnsi="宋体"/>
        </w:rPr>
        <w:t xml:space="preserve">《镍合金 铬含量的测定 </w:t>
      </w:r>
      <w:r>
        <w:rPr>
          <w:rFonts w:hint="eastAsia" w:ascii="宋体" w:hAnsi="宋体"/>
          <w:szCs w:val="21"/>
        </w:rPr>
        <w:t>硫酸亚铁铵电位滴定法</w:t>
      </w:r>
      <w:r>
        <w:rPr>
          <w:rFonts w:hint="eastAsia" w:ascii="宋体" w:hAnsi="宋体"/>
        </w:rPr>
        <w:t>》。</w:t>
      </w:r>
    </w:p>
    <w:p>
      <w:pPr>
        <w:pStyle w:val="2"/>
        <w:ind w:firstLine="440"/>
      </w:pPr>
      <w:r>
        <w:rPr>
          <w:rFonts w:hint="eastAsia"/>
        </w:rPr>
        <w:t>本文件增加了“术语和定义”章。</w:t>
      </w:r>
    </w:p>
    <w:p>
      <w:pPr>
        <w:pStyle w:val="2"/>
        <w:ind w:firstLine="440"/>
      </w:pPr>
      <w:r>
        <w:rPr>
          <w:rFonts w:hint="eastAsia"/>
        </w:rPr>
        <w:t>本文件做了下列最小限度的编辑性改动：</w:t>
      </w:r>
    </w:p>
    <w:p>
      <w:pPr>
        <w:pStyle w:val="2"/>
        <w:ind w:firstLine="440"/>
        <w:rPr>
          <w:rFonts w:hAnsi="宋体"/>
        </w:rPr>
      </w:pPr>
      <w:r>
        <w:rPr>
          <w:rFonts w:hint="eastAsia" w:hAnsi="宋体"/>
        </w:rPr>
        <w:t>——为与我国现有标准系列协调，将标准名称修改为《镍合金化学分析方法 第4部分:铬含量测定 硫酸亚铁铵电位滴定法》</w:t>
      </w:r>
    </w:p>
    <w:p>
      <w:pPr>
        <w:ind w:firstLine="420" w:firstLineChars="200"/>
        <w:rPr>
          <w:rFonts w:ascii="宋体" w:hAnsi="宋体"/>
        </w:rPr>
      </w:pPr>
      <w:r>
        <w:rPr>
          <w:rFonts w:hint="eastAsia" w:hAnsi="宋体"/>
        </w:rPr>
        <w:t>——</w:t>
      </w:r>
      <w:r>
        <w:rPr>
          <w:rFonts w:hint="eastAsia" w:ascii="宋体" w:hAnsi="宋体"/>
        </w:rPr>
        <w:t>英文名称作了变动。</w:t>
      </w:r>
    </w:p>
    <w:p>
      <w:pPr>
        <w:pStyle w:val="2"/>
        <w:ind w:firstLine="440"/>
        <w:rPr>
          <w:rFonts w:hint="eastAsia" w:ascii="宋体" w:hAnsi="宋体"/>
        </w:rPr>
      </w:pPr>
      <w:r>
        <w:rPr>
          <w:rFonts w:hint="eastAsia"/>
        </w:rPr>
        <w:t>请注意本文件的某些内容可能涉及专利，本文件的发布机构不承担识别专利的责任。</w:t>
      </w:r>
    </w:p>
    <w:p>
      <w:pPr>
        <w:ind w:firstLine="435"/>
        <w:rPr>
          <w:rFonts w:ascii="宋体" w:hAnsi="宋体"/>
        </w:rPr>
      </w:pPr>
      <w:r>
        <w:rPr>
          <w:rFonts w:hint="eastAsia" w:ascii="宋体" w:hAnsi="宋体"/>
        </w:rPr>
        <w:t>本文件由中国有色金属工业协会提出。</w:t>
      </w:r>
    </w:p>
    <w:p>
      <w:pPr>
        <w:ind w:firstLine="435"/>
        <w:rPr>
          <w:rFonts w:ascii="宋体" w:hAnsi="宋体"/>
        </w:rPr>
      </w:pPr>
      <w:r>
        <w:rPr>
          <w:rFonts w:hint="eastAsia" w:ascii="宋体" w:hAnsi="宋体"/>
        </w:rPr>
        <w:t>本文件由</w:t>
      </w:r>
      <w:r>
        <w:rPr>
          <w:rFonts w:ascii="宋体" w:hAnsi="宋体"/>
        </w:rPr>
        <w:t>全国</w:t>
      </w:r>
      <w:r>
        <w:rPr>
          <w:rFonts w:hint="eastAsia" w:ascii="宋体" w:hAnsi="宋体"/>
        </w:rPr>
        <w:t>有色金属标准化技术委员会（S</w:t>
      </w:r>
      <w:r>
        <w:rPr>
          <w:rFonts w:ascii="宋体" w:hAnsi="宋体"/>
        </w:rPr>
        <w:t>AC/TC 243</w:t>
      </w:r>
      <w:r>
        <w:rPr>
          <w:rFonts w:hint="eastAsia" w:ascii="宋体" w:hAnsi="宋体"/>
        </w:rPr>
        <w:t>）归口。</w:t>
      </w:r>
    </w:p>
    <w:p>
      <w:pPr>
        <w:ind w:firstLine="435"/>
        <w:rPr>
          <w:rFonts w:ascii="宋体" w:hAnsi="宋体"/>
        </w:rPr>
      </w:pPr>
      <w:r>
        <w:rPr>
          <w:rFonts w:hint="eastAsia" w:ascii="宋体" w:hAnsi="宋体"/>
        </w:rPr>
        <w:t>本文件起草单位：</w:t>
      </w:r>
      <w:r>
        <w:rPr>
          <w:rFonts w:hint="eastAsia"/>
        </w:rPr>
        <w:t>酒泉钢铁（集团）有限责任公司</w:t>
      </w:r>
      <w:r>
        <w:rPr>
          <w:rFonts w:hint="eastAsia"/>
          <w:szCs w:val="22"/>
        </w:rPr>
        <w:t>、北矿检测技术有限公司、国标（北京）检验认证有限公司、山西太钢不锈钢股份有限公司、广西壮族自治区分析测试中心、深圳中金岭南有色金属股份有限公司、清远佳致新材料研究院有限公司、广东省科学院工业分析检测中心、紫金矿业集团股份有限公司、甘肃宏基检测有限公司。</w:t>
      </w:r>
    </w:p>
    <w:p>
      <w:pPr>
        <w:ind w:firstLine="435"/>
        <w:rPr>
          <w:rFonts w:ascii="宋体" w:hAnsi="宋体"/>
        </w:rPr>
      </w:pPr>
      <w:r>
        <w:rPr>
          <w:rFonts w:hint="eastAsia" w:ascii="宋体" w:hAnsi="宋体"/>
        </w:rPr>
        <w:t>本文件主要起草人：</w:t>
      </w:r>
    </w:p>
    <w:p>
      <w:pPr>
        <w:widowControl/>
        <w:rPr>
          <w:rFonts w:asciiTheme="minorEastAsia" w:hAnsiTheme="minorEastAsia" w:eastAsiaTheme="minorEastAsia"/>
          <w:sz w:val="32"/>
          <w:szCs w:val="32"/>
        </w:rPr>
      </w:pPr>
    </w:p>
    <w:p>
      <w:pPr>
        <w:widowControl/>
        <w:jc w:val="center"/>
        <w:rPr>
          <w:rFonts w:asciiTheme="minorEastAsia" w:hAnsiTheme="minorEastAsia" w:eastAsiaTheme="minorEastAsia"/>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pStyle w:val="2"/>
        <w:ind w:firstLine="440"/>
      </w:pPr>
    </w:p>
    <w:p>
      <w:pPr>
        <w:pStyle w:val="2"/>
        <w:ind w:firstLine="440"/>
      </w:pPr>
    </w:p>
    <w:p>
      <w:pPr>
        <w:pStyle w:val="2"/>
        <w:ind w:firstLine="440"/>
        <w:rPr>
          <w:rFonts w:hint="eastAsia"/>
        </w:rPr>
      </w:pPr>
    </w:p>
    <w:p>
      <w:pPr>
        <w:pStyle w:val="2"/>
        <w:ind w:firstLine="440"/>
      </w:pPr>
    </w:p>
    <w:p>
      <w:pPr>
        <w:widowControl/>
        <w:jc w:val="left"/>
        <w:rPr>
          <w:rFonts w:ascii="宋体"/>
          <w:kern w:val="0"/>
          <w:sz w:val="22"/>
          <w:szCs w:val="22"/>
        </w:rPr>
      </w:pPr>
      <w:r>
        <w:br w:type="page"/>
      </w:r>
    </w:p>
    <w:p>
      <w:pPr>
        <w:pStyle w:val="91"/>
        <w:numPr>
          <w:ilvl w:val="0"/>
          <w:numId w:val="0"/>
        </w:numPr>
        <w:shd w:val="clear" w:color="FFFFFF" w:fill="auto"/>
        <w:rPr>
          <w:rFonts w:hAnsi="黑体" w:cs="黑体"/>
          <w:u w:val="none"/>
        </w:rPr>
      </w:pPr>
      <w:r>
        <w:rPr>
          <w:rFonts w:hint="eastAsia" w:hAnsi="黑体" w:cs="黑体"/>
          <w:u w:val="none"/>
        </w:rPr>
        <w:t>引  言</w:t>
      </w:r>
    </w:p>
    <w:p>
      <w:pPr>
        <w:rPr>
          <w:u w:val="none"/>
        </w:rPr>
      </w:pPr>
      <w:r>
        <w:rPr>
          <w:rFonts w:hint="eastAsia"/>
          <w:u w:val="none"/>
        </w:rPr>
        <w:t xml:space="preserve"> </w:t>
      </w:r>
      <w:r>
        <w:rPr>
          <w:u w:val="none"/>
        </w:rPr>
        <w:t xml:space="preserve">  </w:t>
      </w:r>
      <w:r>
        <w:rPr>
          <w:rFonts w:hint="eastAsia"/>
          <w:u w:val="none"/>
        </w:rPr>
        <w:t>对于镍合金。。。目前</w:t>
      </w:r>
      <w:r>
        <w:rPr>
          <w:rFonts w:hint="eastAsia" w:ascii="宋体" w:hAnsi="宋体" w:cs="宋体"/>
          <w:szCs w:val="21"/>
        </w:rPr>
        <w:t>镍合金的检验方法无统一标准</w:t>
      </w:r>
      <w:r>
        <w:rPr>
          <w:rFonts w:hint="eastAsia"/>
          <w:u w:val="none"/>
        </w:rPr>
        <w:t>，GB/T</w:t>
      </w:r>
      <w:r>
        <w:rPr>
          <w:u w:val="none"/>
        </w:rPr>
        <w:t xml:space="preserve"> </w:t>
      </w:r>
      <w:r>
        <w:rPr>
          <w:rFonts w:hint="eastAsia"/>
          <w:u w:val="none"/>
        </w:rPr>
        <w:t>XXXX旨在建立一套完整且切实可行的</w:t>
      </w:r>
      <w:r>
        <w:rPr>
          <w:rFonts w:hint="eastAsia"/>
          <w:u w:val="none"/>
          <w:lang w:eastAsia="zh-CN"/>
        </w:rPr>
        <w:t>检验镍合金中各元素的标准方法</w:t>
      </w:r>
      <w:r>
        <w:rPr>
          <w:rFonts w:hint="eastAsia"/>
          <w:u w:val="none"/>
        </w:rPr>
        <w:t>，拟由8个部分组成：</w:t>
      </w:r>
    </w:p>
    <w:p>
      <w:pPr>
        <w:ind w:firstLine="435"/>
        <w:rPr>
          <w:rFonts w:ascii="宋体" w:hAnsi="宋体"/>
          <w:color w:val="auto"/>
          <w:szCs w:val="21"/>
          <w:u w:val="none"/>
        </w:rPr>
      </w:pPr>
      <w:r>
        <w:rPr>
          <w:rFonts w:hint="eastAsia" w:ascii="宋体" w:hAnsi="宋体"/>
          <w:color w:val="auto"/>
          <w:u w:val="none"/>
        </w:rPr>
        <w:t>——第1部分：</w:t>
      </w:r>
      <w:r>
        <w:rPr>
          <w:rFonts w:hint="eastAsia" w:ascii="宋体" w:hAnsi="宋体"/>
          <w:color w:val="auto"/>
          <w:szCs w:val="21"/>
          <w:u w:val="none"/>
        </w:rPr>
        <w:t>钼含量的测定 电感耦合等离子体原子发射光谱法；</w:t>
      </w:r>
    </w:p>
    <w:p>
      <w:pPr>
        <w:ind w:firstLine="435"/>
        <w:rPr>
          <w:rFonts w:ascii="宋体" w:hAnsi="宋体"/>
          <w:color w:val="auto"/>
          <w:szCs w:val="21"/>
          <w:u w:val="none"/>
        </w:rPr>
      </w:pPr>
      <w:r>
        <w:rPr>
          <w:rFonts w:hint="eastAsia" w:ascii="宋体" w:hAnsi="宋体"/>
          <w:color w:val="auto"/>
          <w:szCs w:val="21"/>
          <w:u w:val="none"/>
        </w:rPr>
        <w:t>——第2部分：磷含量的测定 钼蓝分光光度法；</w:t>
      </w:r>
    </w:p>
    <w:p>
      <w:pPr>
        <w:ind w:firstLine="435"/>
        <w:rPr>
          <w:rFonts w:ascii="宋体" w:hAnsi="宋体"/>
          <w:color w:val="auto"/>
          <w:szCs w:val="21"/>
          <w:u w:val="none"/>
        </w:rPr>
      </w:pPr>
      <w:r>
        <w:rPr>
          <w:rFonts w:hint="eastAsia" w:ascii="宋体" w:hAnsi="宋体"/>
          <w:color w:val="auto"/>
          <w:szCs w:val="21"/>
          <w:u w:val="none"/>
        </w:rPr>
        <w:t>——第3部分：铌含量的测定 电感耦合等离子体原子发射光谱法；</w:t>
      </w:r>
    </w:p>
    <w:p>
      <w:pPr>
        <w:ind w:firstLine="435"/>
        <w:rPr>
          <w:rFonts w:ascii="宋体" w:hAnsi="宋体"/>
          <w:color w:val="auto"/>
          <w:szCs w:val="21"/>
          <w:u w:val="none"/>
        </w:rPr>
      </w:pPr>
      <w:r>
        <w:rPr>
          <w:rFonts w:hint="eastAsia" w:ascii="宋体" w:hAnsi="宋体"/>
          <w:color w:val="auto"/>
          <w:szCs w:val="21"/>
          <w:u w:val="none"/>
        </w:rPr>
        <w:t>——第4部分：铬含量的测定</w:t>
      </w:r>
      <w:r>
        <w:rPr>
          <w:rFonts w:ascii="宋体" w:hAnsi="宋体"/>
          <w:color w:val="auto"/>
          <w:szCs w:val="21"/>
          <w:u w:val="none"/>
        </w:rPr>
        <w:t xml:space="preserve"> </w:t>
      </w:r>
      <w:r>
        <w:rPr>
          <w:rFonts w:hint="eastAsia" w:ascii="宋体" w:hAnsi="宋体"/>
          <w:color w:val="auto"/>
          <w:szCs w:val="21"/>
          <w:u w:val="none"/>
        </w:rPr>
        <w:t>硫酸亚铁铵电位滴定法；</w:t>
      </w:r>
    </w:p>
    <w:p>
      <w:pPr>
        <w:ind w:firstLine="435"/>
        <w:rPr>
          <w:rFonts w:ascii="宋体" w:hAnsi="宋体"/>
          <w:color w:val="auto"/>
          <w:szCs w:val="21"/>
          <w:u w:val="none"/>
        </w:rPr>
      </w:pPr>
      <w:r>
        <w:rPr>
          <w:rFonts w:hint="eastAsia" w:ascii="宋体" w:hAnsi="宋体"/>
          <w:color w:val="auto"/>
          <w:szCs w:val="21"/>
          <w:u w:val="none"/>
        </w:rPr>
        <w:t>——第5部分：铝含量测定 电感耦合等离子体原子发射光谱法；</w:t>
      </w:r>
    </w:p>
    <w:p>
      <w:pPr>
        <w:ind w:firstLine="435"/>
        <w:rPr>
          <w:rFonts w:ascii="宋体" w:hAnsi="宋体"/>
          <w:color w:val="auto"/>
          <w:szCs w:val="21"/>
          <w:u w:val="none"/>
        </w:rPr>
      </w:pPr>
      <w:r>
        <w:rPr>
          <w:rFonts w:hint="eastAsia" w:ascii="宋体" w:hAnsi="宋体"/>
          <w:color w:val="auto"/>
          <w:szCs w:val="21"/>
          <w:u w:val="none"/>
        </w:rPr>
        <w:t>——第6部分：硅含量测定 火焰原子吸收光谱法；</w:t>
      </w:r>
    </w:p>
    <w:p>
      <w:pPr>
        <w:ind w:firstLine="435"/>
        <w:rPr>
          <w:rFonts w:ascii="宋体" w:hAnsi="宋体"/>
          <w:color w:val="auto"/>
          <w:szCs w:val="21"/>
          <w:u w:val="none"/>
        </w:rPr>
      </w:pPr>
      <w:r>
        <w:rPr>
          <w:rFonts w:hint="eastAsia" w:ascii="宋体" w:hAnsi="宋体"/>
          <w:color w:val="auto"/>
          <w:szCs w:val="21"/>
          <w:u w:val="none"/>
        </w:rPr>
        <w:t>——第7部分：钒含量测定 火焰原子吸收光谱法；</w:t>
      </w:r>
    </w:p>
    <w:p>
      <w:pPr>
        <w:ind w:firstLine="435"/>
        <w:rPr>
          <w:rFonts w:ascii="宋体" w:hAnsi="宋体"/>
          <w:color w:val="auto"/>
          <w:szCs w:val="21"/>
          <w:u w:val="none"/>
        </w:rPr>
      </w:pPr>
      <w:r>
        <w:rPr>
          <w:rFonts w:hint="eastAsia" w:ascii="宋体" w:hAnsi="宋体"/>
          <w:color w:val="auto"/>
          <w:u w:val="none"/>
        </w:rPr>
        <w:t>——</w:t>
      </w:r>
      <w:r>
        <w:rPr>
          <w:rFonts w:hint="eastAsia" w:ascii="宋体" w:hAnsi="宋体"/>
          <w:color w:val="auto"/>
          <w:szCs w:val="21"/>
          <w:u w:val="none"/>
        </w:rPr>
        <w:t>第8部分：钴、铬、铜、铁和锰含量的测定 火焰原子吸收光谱法。</w:t>
      </w:r>
    </w:p>
    <w:p>
      <w:pPr>
        <w:pStyle w:val="2"/>
        <w:ind w:firstLine="440"/>
        <w:rPr>
          <w:rFonts w:hint="eastAsia" w:hAnsi="黑体" w:cs="黑体"/>
          <w:u w:val="none"/>
        </w:rPr>
      </w:pPr>
      <w:r>
        <w:rPr>
          <w:rFonts w:hint="eastAsia"/>
          <w:u w:val="none"/>
        </w:rPr>
        <w:t>本文件可以确保国家标准的先进性，促进我国检测技术的进步，保证行业从业人员再生产、应用、科研、检测过程中有标准可依，填补我国在镍合金化学分析方法的空白。</w:t>
      </w:r>
    </w:p>
    <w:p>
      <w:pPr>
        <w:pStyle w:val="91"/>
        <w:numPr>
          <w:ilvl w:val="0"/>
          <w:numId w:val="0"/>
        </w:numPr>
        <w:shd w:val="clear" w:color="FFFFFF" w:fill="auto"/>
        <w:rPr>
          <w:rFonts w:hint="eastAsia" w:ascii="宋体" w:hAnsi="黑体" w:cs="黑体"/>
          <w:kern w:val="0"/>
          <w:sz w:val="22"/>
          <w:szCs w:val="22"/>
        </w:rPr>
      </w:pPr>
      <w:r>
        <w:br w:type="page"/>
      </w:r>
    </w:p>
    <w:p>
      <w:pPr>
        <w:pStyle w:val="71"/>
        <w:spacing w:line="360" w:lineRule="auto"/>
        <w:jc w:val="center"/>
        <w:rPr>
          <w:rFonts w:hAnsi="黑体"/>
          <w:kern w:val="2"/>
          <w:sz w:val="32"/>
          <w:szCs w:val="32"/>
        </w:rPr>
      </w:pPr>
      <w:bookmarkStart w:id="2" w:name="_Toc519884011"/>
      <w:r>
        <w:rPr>
          <w:rFonts w:hint="eastAsia" w:hAnsi="黑体"/>
          <w:kern w:val="2"/>
          <w:sz w:val="32"/>
          <w:szCs w:val="32"/>
        </w:rPr>
        <w:t xml:space="preserve">镍合金化学分析方法 </w:t>
      </w:r>
    </w:p>
    <w:p>
      <w:pPr>
        <w:pStyle w:val="71"/>
        <w:spacing w:line="360" w:lineRule="auto"/>
        <w:jc w:val="center"/>
        <w:rPr>
          <w:rFonts w:hAnsi="黑体"/>
          <w:kern w:val="2"/>
          <w:sz w:val="32"/>
          <w:szCs w:val="32"/>
        </w:rPr>
      </w:pPr>
      <w:r>
        <w:rPr>
          <w:rFonts w:hint="eastAsia" w:hAnsi="黑体"/>
          <w:kern w:val="2"/>
          <w:sz w:val="32"/>
          <w:szCs w:val="32"/>
        </w:rPr>
        <w:t>第4部分：铬含量测定 硫酸亚铁铵电位滴定法</w:t>
      </w:r>
    </w:p>
    <w:p>
      <w:pPr>
        <w:pStyle w:val="71"/>
        <w:spacing w:line="360" w:lineRule="auto"/>
        <w:jc w:val="center"/>
        <w:rPr>
          <w:rFonts w:hAnsi="黑体"/>
          <w:kern w:val="2"/>
          <w:sz w:val="32"/>
          <w:szCs w:val="32"/>
        </w:rPr>
      </w:pPr>
    </w:p>
    <w:p>
      <w:pPr>
        <w:pStyle w:val="72"/>
        <w:spacing w:before="156" w:after="156"/>
        <w:rPr>
          <w:rFonts w:ascii="Times New Roman"/>
        </w:rPr>
      </w:pPr>
      <w:r>
        <w:rPr>
          <w:rFonts w:ascii="Times New Roman"/>
        </w:rPr>
        <w:t>1 范围</w:t>
      </w:r>
    </w:p>
    <w:p>
      <w:pPr>
        <w:pStyle w:val="118"/>
        <w:ind w:firstLine="424" w:firstLineChars="202"/>
        <w:jc w:val="left"/>
      </w:pPr>
      <w:r>
        <w:t>本</w:t>
      </w:r>
      <w:r>
        <w:rPr>
          <w:rFonts w:hint="eastAsia"/>
        </w:rPr>
        <w:t>文件</w:t>
      </w:r>
      <w:r>
        <w:t>规定了硫酸亚铁铵电位滴定法测定镍合金5%～22% (m/m) 含量范围的铬。</w:t>
      </w:r>
    </w:p>
    <w:p>
      <w:pPr>
        <w:pStyle w:val="118"/>
        <w:ind w:firstLine="424" w:firstLineChars="202"/>
        <w:jc w:val="left"/>
      </w:pPr>
      <w:r>
        <w:t>本</w:t>
      </w:r>
      <w:r>
        <w:rPr>
          <w:rFonts w:hint="eastAsia"/>
        </w:rPr>
        <w:t>文件</w:t>
      </w:r>
      <w:r>
        <w:t>适用于钒含量小于0.2 % (m/m)的镍合金，适用于不包含不溶碳化铬的镍合金。</w:t>
      </w:r>
    </w:p>
    <w:p>
      <w:pPr>
        <w:pStyle w:val="118"/>
        <w:ind w:firstLine="424" w:firstLineChars="202"/>
        <w:jc w:val="left"/>
      </w:pPr>
      <w:r>
        <w:t>钒是合金中的可能存在的杂质，它会产生正偏差干扰。当浓度为0.2 % (m/m)时，该偏差相当于0.068% (m/m)的铬，约为该方法再现性的一半。</w:t>
      </w:r>
    </w:p>
    <w:p>
      <w:pPr>
        <w:pStyle w:val="72"/>
        <w:spacing w:before="156" w:after="156"/>
        <w:rPr>
          <w:rFonts w:ascii="Times New Roman"/>
        </w:rPr>
      </w:pPr>
      <w:r>
        <w:rPr>
          <w:rFonts w:ascii="Times New Roman"/>
        </w:rPr>
        <w:t>2 规范性引用文件</w:t>
      </w:r>
    </w:p>
    <w:p>
      <w:pPr>
        <w:pStyle w:val="118"/>
        <w:ind w:firstLine="424" w:firstLineChars="202"/>
        <w:jc w:val="left"/>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t>。</w:t>
      </w:r>
    </w:p>
    <w:p>
      <w:pPr>
        <w:pStyle w:val="118"/>
        <w:jc w:val="left"/>
        <w:outlineLvl w:val="0"/>
        <w:rPr>
          <w:bCs/>
          <w:szCs w:val="21"/>
        </w:rPr>
      </w:pPr>
      <w:r>
        <w:rPr>
          <w:bCs/>
          <w:szCs w:val="21"/>
        </w:rPr>
        <w:t>ISO 385 实验室玻璃器皿  滴定管</w:t>
      </w:r>
      <w:r>
        <w:rPr>
          <w:rFonts w:hint="eastAsia"/>
          <w:bCs/>
          <w:szCs w:val="21"/>
        </w:rPr>
        <w:t>（Laboratory</w:t>
      </w:r>
      <w:r>
        <w:rPr>
          <w:bCs/>
          <w:szCs w:val="21"/>
        </w:rPr>
        <w:t xml:space="preserve"> </w:t>
      </w:r>
      <w:r>
        <w:rPr>
          <w:rFonts w:hint="eastAsia"/>
          <w:bCs/>
          <w:szCs w:val="21"/>
        </w:rPr>
        <w:t>glassware—Burettes）</w:t>
      </w:r>
    </w:p>
    <w:p>
      <w:pPr>
        <w:pStyle w:val="118"/>
        <w:ind w:firstLine="361"/>
        <w:jc w:val="left"/>
        <w:outlineLvl w:val="0"/>
        <w:rPr>
          <w:rFonts w:hint="eastAsia"/>
          <w:bCs/>
          <w:szCs w:val="21"/>
        </w:rPr>
      </w:pPr>
      <w:r>
        <w:rPr>
          <w:rFonts w:hint="eastAsia"/>
          <w:b/>
          <w:bCs w:val="0"/>
          <w:sz w:val="18"/>
          <w:szCs w:val="18"/>
        </w:rPr>
        <w:t>注：</w:t>
      </w:r>
      <w:r>
        <w:rPr>
          <w:rFonts w:hint="eastAsia"/>
          <w:bCs/>
          <w:szCs w:val="21"/>
        </w:rPr>
        <w:t>GB/T</w:t>
      </w:r>
      <w:r>
        <w:rPr>
          <w:bCs/>
          <w:szCs w:val="21"/>
        </w:rPr>
        <w:t xml:space="preserve"> 12805</w:t>
      </w:r>
      <w:r>
        <w:rPr>
          <w:rFonts w:hint="eastAsia"/>
          <w:bCs/>
          <w:szCs w:val="21"/>
        </w:rPr>
        <w:t>—2</w:t>
      </w:r>
      <w:r>
        <w:rPr>
          <w:bCs/>
          <w:szCs w:val="21"/>
        </w:rPr>
        <w:t xml:space="preserve">011 </w:t>
      </w:r>
      <w:r>
        <w:rPr>
          <w:rFonts w:hint="eastAsia"/>
          <w:bCs/>
          <w:szCs w:val="21"/>
        </w:rPr>
        <w:t xml:space="preserve">实验室玻璃仪器 </w:t>
      </w:r>
      <w:r>
        <w:rPr>
          <w:bCs/>
          <w:szCs w:val="21"/>
        </w:rPr>
        <w:t xml:space="preserve"> </w:t>
      </w:r>
      <w:r>
        <w:rPr>
          <w:rFonts w:hint="eastAsia"/>
          <w:bCs/>
          <w:szCs w:val="21"/>
        </w:rPr>
        <w:t>滴定管（ISO</w:t>
      </w:r>
      <w:r>
        <w:rPr>
          <w:bCs/>
          <w:szCs w:val="21"/>
        </w:rPr>
        <w:t xml:space="preserve"> 385</w:t>
      </w:r>
      <w:r>
        <w:rPr>
          <w:rFonts w:hint="eastAsia"/>
          <w:bCs/>
          <w:szCs w:val="21"/>
        </w:rPr>
        <w:t>:</w:t>
      </w:r>
      <w:r>
        <w:rPr>
          <w:bCs/>
          <w:szCs w:val="21"/>
        </w:rPr>
        <w:t>2005</w:t>
      </w:r>
      <w:r>
        <w:rPr>
          <w:rFonts w:hint="eastAsia"/>
          <w:bCs/>
          <w:szCs w:val="21"/>
        </w:rPr>
        <w:t>,NEQ）</w:t>
      </w:r>
    </w:p>
    <w:p>
      <w:pPr>
        <w:pStyle w:val="118"/>
        <w:jc w:val="left"/>
        <w:outlineLvl w:val="0"/>
        <w:rPr>
          <w:rFonts w:hint="eastAsia"/>
          <w:bCs/>
          <w:szCs w:val="21"/>
        </w:rPr>
      </w:pPr>
      <w:r>
        <w:rPr>
          <w:bCs/>
          <w:szCs w:val="21"/>
        </w:rPr>
        <w:t>ISO 648 实验室玻璃器皿  单标线体积吸管</w:t>
      </w:r>
      <w:r>
        <w:rPr>
          <w:rFonts w:hint="eastAsia"/>
          <w:bCs/>
          <w:szCs w:val="21"/>
        </w:rPr>
        <w:t>（Laboratory</w:t>
      </w:r>
      <w:r>
        <w:rPr>
          <w:bCs/>
          <w:szCs w:val="21"/>
        </w:rPr>
        <w:t xml:space="preserve"> </w:t>
      </w:r>
      <w:r>
        <w:rPr>
          <w:rFonts w:hint="eastAsia"/>
          <w:bCs/>
          <w:szCs w:val="21"/>
        </w:rPr>
        <w:t>glassware—Single-volume</w:t>
      </w:r>
      <w:r>
        <w:rPr>
          <w:bCs/>
          <w:szCs w:val="21"/>
        </w:rPr>
        <w:t xml:space="preserve"> </w:t>
      </w:r>
      <w:r>
        <w:rPr>
          <w:rFonts w:hint="eastAsia"/>
          <w:bCs/>
          <w:szCs w:val="21"/>
        </w:rPr>
        <w:t>pipettes）</w:t>
      </w:r>
    </w:p>
    <w:p>
      <w:pPr>
        <w:pStyle w:val="118"/>
        <w:ind w:firstLine="361"/>
        <w:jc w:val="left"/>
        <w:outlineLvl w:val="0"/>
        <w:rPr>
          <w:rFonts w:hint="default" w:eastAsia="宋体"/>
          <w:bCs/>
          <w:szCs w:val="21"/>
          <w:lang w:val="en-US" w:eastAsia="zh-CN"/>
        </w:rPr>
      </w:pPr>
      <w:r>
        <w:rPr>
          <w:rFonts w:hint="eastAsia"/>
          <w:b/>
          <w:bCs w:val="0"/>
          <w:sz w:val="18"/>
          <w:szCs w:val="18"/>
          <w:lang w:eastAsia="zh-CN"/>
        </w:rPr>
        <w:t>注：</w:t>
      </w:r>
      <w:r>
        <w:rPr>
          <w:rFonts w:hint="eastAsia"/>
          <w:bCs/>
          <w:szCs w:val="21"/>
          <w:lang w:val="en-US" w:eastAsia="zh-CN"/>
        </w:rPr>
        <w:t>GB/T 12808-2015实验室玻璃仪器 单标线吸量管</w:t>
      </w:r>
    </w:p>
    <w:p>
      <w:pPr>
        <w:pStyle w:val="118"/>
        <w:jc w:val="left"/>
        <w:outlineLvl w:val="0"/>
        <w:rPr>
          <w:bCs/>
          <w:szCs w:val="21"/>
        </w:rPr>
      </w:pPr>
      <w:r>
        <w:rPr>
          <w:bCs/>
          <w:szCs w:val="21"/>
        </w:rPr>
        <w:t>ISO 1042 实验室玻璃器皿  单标线容量瓶</w:t>
      </w:r>
      <w:r>
        <w:rPr>
          <w:rFonts w:hint="eastAsia"/>
          <w:bCs/>
          <w:szCs w:val="21"/>
        </w:rPr>
        <w:t>（Laboratory</w:t>
      </w:r>
      <w:r>
        <w:rPr>
          <w:bCs/>
          <w:szCs w:val="21"/>
        </w:rPr>
        <w:t xml:space="preserve"> </w:t>
      </w:r>
      <w:r>
        <w:rPr>
          <w:rFonts w:hint="eastAsia"/>
          <w:bCs/>
          <w:szCs w:val="21"/>
        </w:rPr>
        <w:t>glassware—One-mark</w:t>
      </w:r>
      <w:r>
        <w:rPr>
          <w:bCs/>
          <w:szCs w:val="21"/>
        </w:rPr>
        <w:t xml:space="preserve"> </w:t>
      </w:r>
      <w:r>
        <w:rPr>
          <w:rFonts w:hint="eastAsia"/>
          <w:bCs/>
          <w:szCs w:val="21"/>
        </w:rPr>
        <w:t>volumetric</w:t>
      </w:r>
      <w:r>
        <w:rPr>
          <w:bCs/>
          <w:szCs w:val="21"/>
        </w:rPr>
        <w:t xml:space="preserve"> </w:t>
      </w:r>
      <w:r>
        <w:rPr>
          <w:rFonts w:hint="eastAsia"/>
          <w:bCs/>
          <w:szCs w:val="21"/>
        </w:rPr>
        <w:t>flasks）</w:t>
      </w:r>
    </w:p>
    <w:p>
      <w:pPr>
        <w:pStyle w:val="118"/>
        <w:ind w:firstLine="361"/>
        <w:jc w:val="left"/>
        <w:outlineLvl w:val="0"/>
        <w:rPr>
          <w:rFonts w:hint="eastAsia"/>
          <w:bCs/>
          <w:szCs w:val="21"/>
        </w:rPr>
      </w:pPr>
      <w:r>
        <w:rPr>
          <w:rFonts w:hint="eastAsia"/>
          <w:b/>
          <w:sz w:val="18"/>
          <w:szCs w:val="18"/>
        </w:rPr>
        <w:t>注：</w:t>
      </w:r>
      <w:r>
        <w:rPr>
          <w:rFonts w:hint="eastAsia"/>
          <w:bCs/>
          <w:szCs w:val="21"/>
        </w:rPr>
        <w:t>GB/T</w:t>
      </w:r>
      <w:r>
        <w:rPr>
          <w:bCs/>
          <w:szCs w:val="21"/>
        </w:rPr>
        <w:t xml:space="preserve"> 12806</w:t>
      </w:r>
      <w:r>
        <w:rPr>
          <w:rFonts w:hint="eastAsia"/>
          <w:bCs/>
          <w:szCs w:val="21"/>
        </w:rPr>
        <w:t>—2</w:t>
      </w:r>
      <w:r>
        <w:rPr>
          <w:bCs/>
          <w:szCs w:val="21"/>
        </w:rPr>
        <w:t xml:space="preserve">011 </w:t>
      </w:r>
      <w:r>
        <w:rPr>
          <w:rFonts w:hint="eastAsia"/>
          <w:bCs/>
          <w:szCs w:val="21"/>
        </w:rPr>
        <w:t xml:space="preserve">实验室玻璃仪器 </w:t>
      </w:r>
      <w:r>
        <w:rPr>
          <w:bCs/>
          <w:szCs w:val="21"/>
        </w:rPr>
        <w:t xml:space="preserve"> </w:t>
      </w:r>
      <w:r>
        <w:rPr>
          <w:rFonts w:hint="eastAsia"/>
          <w:bCs/>
          <w:szCs w:val="21"/>
        </w:rPr>
        <w:t>单标线容量瓶管（ISO</w:t>
      </w:r>
      <w:r>
        <w:rPr>
          <w:bCs/>
          <w:szCs w:val="21"/>
        </w:rPr>
        <w:t xml:space="preserve"> 1042</w:t>
      </w:r>
      <w:r>
        <w:rPr>
          <w:rFonts w:hint="eastAsia"/>
          <w:bCs/>
          <w:szCs w:val="21"/>
        </w:rPr>
        <w:t>:</w:t>
      </w:r>
      <w:r>
        <w:rPr>
          <w:bCs/>
          <w:szCs w:val="21"/>
        </w:rPr>
        <w:t>1998</w:t>
      </w:r>
      <w:r>
        <w:rPr>
          <w:rFonts w:hint="eastAsia"/>
          <w:bCs/>
          <w:szCs w:val="21"/>
        </w:rPr>
        <w:t>,NEQ）</w:t>
      </w:r>
    </w:p>
    <w:p>
      <w:pPr>
        <w:pStyle w:val="72"/>
        <w:spacing w:before="156" w:after="156"/>
        <w:rPr>
          <w:rFonts w:ascii="Times New Roman"/>
        </w:rPr>
      </w:pPr>
      <w:r>
        <w:rPr>
          <w:rFonts w:hint="eastAsia" w:ascii="Times New Roman"/>
        </w:rPr>
        <w:t>3</w:t>
      </w:r>
      <w:r>
        <w:rPr>
          <w:rFonts w:ascii="Times New Roman"/>
        </w:rPr>
        <w:t xml:space="preserve"> </w:t>
      </w:r>
      <w:r>
        <w:rPr>
          <w:rFonts w:hint="eastAsia" w:ascii="Times New Roman"/>
        </w:rPr>
        <w:t>术语与定义</w:t>
      </w:r>
    </w:p>
    <w:p>
      <w:pPr>
        <w:pStyle w:val="2"/>
        <w:ind w:firstLine="440"/>
        <w:rPr>
          <w:rFonts w:hint="eastAsia" w:ascii="Times New Roman"/>
        </w:rPr>
      </w:pPr>
      <w:r>
        <w:rPr>
          <w:rFonts w:hint="eastAsia"/>
        </w:rPr>
        <w:t>本文件没有需要界定的术语和定义。</w:t>
      </w:r>
    </w:p>
    <w:p>
      <w:pPr>
        <w:pStyle w:val="72"/>
        <w:spacing w:before="156" w:after="156"/>
        <w:rPr>
          <w:rFonts w:ascii="Times New Roman"/>
        </w:rPr>
      </w:pPr>
      <w:r>
        <w:rPr>
          <w:rFonts w:ascii="Times New Roman"/>
        </w:rPr>
        <w:t>4 原理</w:t>
      </w:r>
    </w:p>
    <w:p>
      <w:pPr>
        <w:pStyle w:val="118"/>
        <w:ind w:firstLine="424" w:firstLineChars="202"/>
        <w:jc w:val="left"/>
      </w:pPr>
      <w:r>
        <w:t>用盐酸硝酸溶解，硫酸冒烟，水溶解盐类。以硝酸银为催化剂，用过硫酸铵氧化，将铬氧化为铬(VI)。通过煮沸去除过量的过硫酸盐，用盐酸还原锰(Vll)。用硫酸铁铵滴定铬(VI)，电位滴定法测定滴定终点。</w:t>
      </w:r>
    </w:p>
    <w:p>
      <w:pPr>
        <w:pStyle w:val="72"/>
        <w:spacing w:before="156" w:after="156"/>
        <w:rPr>
          <w:rFonts w:ascii="Times New Roman"/>
        </w:rPr>
      </w:pPr>
      <w:r>
        <w:rPr>
          <w:rFonts w:ascii="Times New Roman"/>
        </w:rPr>
        <w:t>5 试剂</w:t>
      </w:r>
    </w:p>
    <w:p>
      <w:pPr>
        <w:pStyle w:val="118"/>
        <w:ind w:firstLine="424" w:firstLineChars="202"/>
        <w:jc w:val="left"/>
      </w:pPr>
      <w:r>
        <w:t>除非另有说明外，在分析过程中</w:t>
      </w:r>
      <w:r>
        <w:rPr>
          <w:rFonts w:hint="eastAsia"/>
        </w:rPr>
        <w:t>仅</w:t>
      </w:r>
      <w:r>
        <w:t>使用</w:t>
      </w:r>
      <w:r>
        <w:rPr>
          <w:rFonts w:hint="eastAsia"/>
        </w:rPr>
        <w:t>确认为</w:t>
      </w:r>
      <w:r>
        <w:t>分析纯</w:t>
      </w:r>
      <w:r>
        <w:rPr>
          <w:rFonts w:hint="eastAsia"/>
        </w:rPr>
        <w:t>的</w:t>
      </w:r>
      <w:r>
        <w:t>试剂和</w:t>
      </w:r>
      <w:r>
        <w:rPr>
          <w:rFonts w:hint="eastAsia"/>
        </w:rPr>
        <w:t>蒸馏水或相当纯度的水。</w:t>
      </w:r>
    </w:p>
    <w:p>
      <w:pPr>
        <w:pStyle w:val="118"/>
        <w:ind w:firstLine="0" w:firstLineChars="0"/>
        <w:jc w:val="left"/>
        <w:outlineLvl w:val="0"/>
      </w:pPr>
      <w:r>
        <w:rPr>
          <w:rFonts w:hint="eastAsia" w:eastAsia="黑体"/>
          <w:bCs/>
          <w:lang w:val="en-US" w:eastAsia="zh-CN"/>
        </w:rPr>
        <w:t>5</w:t>
      </w:r>
      <w:r>
        <w:rPr>
          <w:rFonts w:eastAsia="黑体"/>
          <w:bCs/>
        </w:rPr>
        <w:t xml:space="preserve">.1  </w:t>
      </w:r>
      <w:r>
        <w:t>盐酸</w:t>
      </w:r>
      <w:r>
        <w:rPr>
          <w:rFonts w:hint="eastAsia"/>
        </w:rPr>
        <w:t>：</w:t>
      </w:r>
      <w:r>
        <w:t>ρ</w:t>
      </w:r>
      <w:r>
        <w:rPr>
          <w:vertAlign w:val="subscript"/>
        </w:rPr>
        <w:t>20</w:t>
      </w:r>
      <w:r>
        <w:t>=1.19 g/mL。</w:t>
      </w:r>
    </w:p>
    <w:p>
      <w:pPr>
        <w:pStyle w:val="118"/>
        <w:ind w:firstLine="0" w:firstLineChars="0"/>
        <w:jc w:val="left"/>
        <w:outlineLvl w:val="0"/>
      </w:pPr>
      <w:r>
        <w:rPr>
          <w:rFonts w:hint="eastAsia" w:eastAsia="黑体"/>
          <w:bCs/>
          <w:lang w:val="en-US" w:eastAsia="zh-CN"/>
        </w:rPr>
        <w:t>5</w:t>
      </w:r>
      <w:r>
        <w:rPr>
          <w:rFonts w:eastAsia="黑体"/>
          <w:bCs/>
        </w:rPr>
        <w:t xml:space="preserve">.2  </w:t>
      </w:r>
      <w:r>
        <w:rPr>
          <w:szCs w:val="21"/>
          <w:shd w:val="clear" w:color="auto" w:fill="FFFFFF"/>
        </w:rPr>
        <w:t>盐酸</w:t>
      </w:r>
      <w:r>
        <w:rPr>
          <w:rFonts w:hint="eastAsia"/>
        </w:rPr>
        <w:t>：</w:t>
      </w:r>
      <w:r>
        <w:t>ρ</w:t>
      </w:r>
      <w:r>
        <w:rPr>
          <w:vertAlign w:val="subscript"/>
        </w:rPr>
        <w:t>20</w:t>
      </w:r>
      <w:r>
        <w:t>=1.19 g/mL，</w:t>
      </w:r>
      <w:r>
        <w:rPr>
          <w:rFonts w:hint="eastAsia"/>
        </w:rPr>
        <w:t>用水稀释配制成（</w:t>
      </w:r>
      <w:r>
        <w:t>1+3</w:t>
      </w:r>
      <w:r>
        <w:rPr>
          <w:rFonts w:hint="eastAsia"/>
        </w:rPr>
        <w:t>）</w:t>
      </w:r>
      <w:r>
        <w:t>。</w:t>
      </w:r>
    </w:p>
    <w:p>
      <w:pPr>
        <w:pStyle w:val="118"/>
        <w:ind w:firstLine="0" w:firstLineChars="0"/>
        <w:jc w:val="left"/>
        <w:outlineLvl w:val="0"/>
      </w:pPr>
      <w:r>
        <w:rPr>
          <w:rFonts w:hint="eastAsia" w:eastAsia="黑体"/>
          <w:bCs/>
          <w:lang w:val="en-US" w:eastAsia="zh-CN"/>
        </w:rPr>
        <w:t>5</w:t>
      </w:r>
      <w:r>
        <w:rPr>
          <w:rFonts w:eastAsia="黑体"/>
          <w:bCs/>
        </w:rPr>
        <w:t xml:space="preserve">.3  </w:t>
      </w:r>
      <w:r>
        <w:t>硝酸</w:t>
      </w:r>
      <w:r>
        <w:rPr>
          <w:rFonts w:hint="eastAsia"/>
        </w:rPr>
        <w:t>：</w:t>
      </w:r>
      <w:r>
        <w:t>ρ</w:t>
      </w:r>
      <w:r>
        <w:rPr>
          <w:vertAlign w:val="subscript"/>
        </w:rPr>
        <w:t>20</w:t>
      </w:r>
      <w:r>
        <w:t>=1.41 g/mL。</w:t>
      </w:r>
    </w:p>
    <w:p>
      <w:pPr>
        <w:pStyle w:val="118"/>
        <w:ind w:firstLine="0" w:firstLineChars="0"/>
        <w:jc w:val="left"/>
        <w:outlineLvl w:val="0"/>
      </w:pPr>
      <w:r>
        <w:rPr>
          <w:rFonts w:hint="eastAsia" w:eastAsia="黑体"/>
          <w:bCs/>
          <w:lang w:val="en-US" w:eastAsia="zh-CN"/>
        </w:rPr>
        <w:t>5</w:t>
      </w:r>
      <w:r>
        <w:rPr>
          <w:rFonts w:eastAsia="黑体"/>
          <w:bCs/>
        </w:rPr>
        <w:t xml:space="preserve">.4  </w:t>
      </w:r>
      <w:r>
        <w:t>硫酸</w:t>
      </w:r>
      <w:r>
        <w:rPr>
          <w:rFonts w:hint="eastAsia"/>
        </w:rPr>
        <w:t>：</w:t>
      </w:r>
      <w:r>
        <w:t>ρ</w:t>
      </w:r>
      <w:r>
        <w:rPr>
          <w:vertAlign w:val="subscript"/>
        </w:rPr>
        <w:t>20</w:t>
      </w:r>
      <w:r>
        <w:t>=1.84 g/mL，</w:t>
      </w:r>
      <w:r>
        <w:rPr>
          <w:rFonts w:hint="eastAsia"/>
        </w:rPr>
        <w:t>用水稀释配制成（</w:t>
      </w:r>
      <w:r>
        <w:t>1+1</w:t>
      </w:r>
      <w:r>
        <w:rPr>
          <w:rFonts w:hint="eastAsia"/>
        </w:rPr>
        <w:t>）</w:t>
      </w:r>
      <w:r>
        <w:t>。</w:t>
      </w:r>
    </w:p>
    <w:p>
      <w:pPr>
        <w:pStyle w:val="118"/>
        <w:ind w:firstLine="0" w:firstLineChars="0"/>
        <w:jc w:val="left"/>
        <w:outlineLvl w:val="0"/>
      </w:pPr>
      <w:r>
        <w:rPr>
          <w:rFonts w:hint="eastAsia" w:eastAsia="黑体"/>
          <w:bCs/>
          <w:lang w:val="en-US" w:eastAsia="zh-CN"/>
        </w:rPr>
        <w:t>5</w:t>
      </w:r>
      <w:r>
        <w:rPr>
          <w:rFonts w:eastAsia="黑体"/>
          <w:bCs/>
        </w:rPr>
        <w:t>.</w:t>
      </w:r>
      <w:r>
        <w:rPr>
          <w:rFonts w:hint="eastAsia" w:eastAsia="黑体"/>
          <w:bCs/>
          <w:lang w:val="en-US" w:eastAsia="zh-CN"/>
        </w:rPr>
        <w:t>5</w:t>
      </w:r>
      <w:r>
        <w:rPr>
          <w:rFonts w:eastAsia="黑体"/>
          <w:bCs/>
        </w:rPr>
        <w:t xml:space="preserve"> </w:t>
      </w:r>
      <w:r>
        <w:rPr>
          <w:rFonts w:hint="eastAsia" w:eastAsia="黑体"/>
          <w:bCs/>
        </w:rPr>
        <w:t xml:space="preserve"> </w:t>
      </w:r>
      <w:r>
        <w:t>硝酸银(AgNO</w:t>
      </w:r>
      <w:r>
        <w:rPr>
          <w:vertAlign w:val="subscript"/>
        </w:rPr>
        <w:t>3</w:t>
      </w:r>
      <w:r>
        <w:t>)，15 g/L溶液。</w:t>
      </w:r>
    </w:p>
    <w:p>
      <w:pPr>
        <w:pStyle w:val="118"/>
        <w:ind w:firstLine="0" w:firstLineChars="0"/>
        <w:jc w:val="left"/>
        <w:outlineLvl w:val="0"/>
        <w:rPr>
          <w:rFonts w:hint="eastAsia"/>
        </w:rPr>
      </w:pPr>
      <w:r>
        <w:rPr>
          <w:rFonts w:hint="eastAsia" w:eastAsia="黑体"/>
          <w:bCs/>
          <w:lang w:val="en-US" w:eastAsia="zh-CN"/>
        </w:rPr>
        <w:t>5</w:t>
      </w:r>
      <w:r>
        <w:rPr>
          <w:rFonts w:eastAsia="黑体"/>
          <w:bCs/>
        </w:rPr>
        <w:t>.</w:t>
      </w:r>
      <w:r>
        <w:rPr>
          <w:rFonts w:hint="eastAsia" w:eastAsia="黑体"/>
          <w:bCs/>
          <w:lang w:val="en-US" w:eastAsia="zh-CN"/>
        </w:rPr>
        <w:t>6</w:t>
      </w:r>
      <w:r>
        <w:rPr>
          <w:rFonts w:eastAsia="黑体"/>
          <w:bCs/>
        </w:rPr>
        <w:t xml:space="preserve">  </w:t>
      </w:r>
      <w:r>
        <w:t>过硫酸铵(NH</w:t>
      </w:r>
      <w:r>
        <w:rPr>
          <w:vertAlign w:val="subscript"/>
        </w:rPr>
        <w:t>4</w:t>
      </w:r>
      <w:r>
        <w:t>)</w:t>
      </w:r>
      <w:r>
        <w:rPr>
          <w:vertAlign w:val="subscript"/>
        </w:rPr>
        <w:t>2</w:t>
      </w:r>
      <w:r>
        <w:t>S</w:t>
      </w:r>
      <w:r>
        <w:rPr>
          <w:vertAlign w:val="subscript"/>
        </w:rPr>
        <w:t>2</w:t>
      </w:r>
      <w:r>
        <w:rPr>
          <w:rFonts w:hint="eastAsia"/>
        </w:rPr>
        <w:t>O</w:t>
      </w:r>
      <w:r>
        <w:rPr>
          <w:vertAlign w:val="subscript"/>
        </w:rPr>
        <w:t>8</w:t>
      </w:r>
      <w:r>
        <w:t>)</w:t>
      </w:r>
      <w:r>
        <w:rPr>
          <w:rFonts w:hint="eastAsia"/>
        </w:rPr>
        <w:t>。</w:t>
      </w:r>
    </w:p>
    <w:p>
      <w:pPr>
        <w:pStyle w:val="118"/>
        <w:ind w:firstLine="0" w:firstLineChars="0"/>
        <w:jc w:val="left"/>
        <w:outlineLvl w:val="0"/>
      </w:pPr>
      <w:r>
        <w:rPr>
          <w:rFonts w:hint="eastAsia" w:eastAsia="黑体"/>
          <w:bCs/>
          <w:lang w:val="en-US" w:eastAsia="zh-CN"/>
        </w:rPr>
        <w:t>5</w:t>
      </w:r>
      <w:r>
        <w:rPr>
          <w:rFonts w:eastAsia="黑体"/>
          <w:bCs/>
        </w:rPr>
        <w:t>.</w:t>
      </w:r>
      <w:r>
        <w:rPr>
          <w:rFonts w:hint="eastAsia" w:eastAsia="黑体"/>
          <w:bCs/>
          <w:lang w:val="en-US" w:eastAsia="zh-CN"/>
        </w:rPr>
        <w:t>7</w:t>
      </w:r>
      <w:r>
        <w:rPr>
          <w:rFonts w:eastAsia="黑体"/>
          <w:bCs/>
        </w:rPr>
        <w:t xml:space="preserve">  </w:t>
      </w:r>
      <w:r>
        <w:t>硝酸/盐酸混酸</w:t>
      </w:r>
      <w:r>
        <w:rPr>
          <w:rFonts w:hint="eastAsia"/>
          <w:lang w:val="en-US" w:eastAsia="zh-CN"/>
        </w:rPr>
        <w:t>。</w:t>
      </w:r>
    </w:p>
    <w:p>
      <w:pPr>
        <w:pStyle w:val="2"/>
        <w:tabs>
          <w:tab w:val="center" w:pos="4201"/>
          <w:tab w:val="right" w:leader="dot" w:pos="9298"/>
        </w:tabs>
        <w:ind w:firstLine="442"/>
        <w:rPr>
          <w:rFonts w:ascii="Times New Roman"/>
          <w:b/>
          <w:bCs/>
        </w:rPr>
      </w:pPr>
      <w:r>
        <w:rPr>
          <w:rFonts w:ascii="Times New Roman"/>
          <w:b/>
          <w:bCs/>
        </w:rPr>
        <w:t>警告:这种混酸腐蚀性很强，不稳定，静置时</w:t>
      </w:r>
      <w:r>
        <w:rPr>
          <w:rFonts w:hint="eastAsia" w:ascii="Times New Roman"/>
          <w:b/>
          <w:bCs/>
        </w:rPr>
        <w:t>会有</w:t>
      </w:r>
      <w:r>
        <w:rPr>
          <w:rFonts w:ascii="Times New Roman"/>
          <w:b/>
          <w:bCs/>
        </w:rPr>
        <w:t>有毒</w:t>
      </w:r>
      <w:r>
        <w:rPr>
          <w:rFonts w:hint="eastAsia" w:ascii="Times New Roman"/>
          <w:b/>
          <w:bCs/>
        </w:rPr>
        <w:t>气体</w:t>
      </w:r>
      <w:r>
        <w:rPr>
          <w:rFonts w:ascii="Times New Roman"/>
          <w:b/>
          <w:bCs/>
        </w:rPr>
        <w:t>氯气释放出来，应在通风柜中配制和使用，不得保存在密闭容器中。</w:t>
      </w:r>
    </w:p>
    <w:p>
      <w:pPr>
        <w:pStyle w:val="118"/>
        <w:ind w:firstLine="0" w:firstLineChars="0"/>
        <w:jc w:val="left"/>
        <w:outlineLvl w:val="0"/>
      </w:pPr>
      <w:r>
        <w:t>将25</w:t>
      </w:r>
      <w:r>
        <w:rPr>
          <w:rFonts w:hint="eastAsia"/>
        </w:rPr>
        <w:t xml:space="preserve"> </w:t>
      </w:r>
      <w:r>
        <w:t>mL硝酸(</w:t>
      </w:r>
      <w:r>
        <w:rPr>
          <w:rFonts w:hint="eastAsia"/>
          <w:lang w:val="en-US" w:eastAsia="zh-CN"/>
        </w:rPr>
        <w:t>5.3</w:t>
      </w:r>
      <w:r>
        <w:t>)和75毫升盐酸(</w:t>
      </w:r>
      <w:r>
        <w:rPr>
          <w:rFonts w:hint="eastAsia"/>
          <w:lang w:val="en-US" w:eastAsia="zh-CN"/>
        </w:rPr>
        <w:t>5.1</w:t>
      </w:r>
      <w:r>
        <w:t>)小心混合</w:t>
      </w:r>
      <w:r>
        <w:rPr>
          <w:rFonts w:hint="eastAsia"/>
        </w:rPr>
        <w:t>，混合液不稳定，现用现配</w:t>
      </w:r>
      <w:r>
        <w:t>。</w:t>
      </w:r>
    </w:p>
    <w:p>
      <w:pPr>
        <w:pStyle w:val="2"/>
        <w:tabs>
          <w:tab w:val="center" w:pos="4201"/>
          <w:tab w:val="right" w:leader="dot" w:pos="9298"/>
        </w:tabs>
        <w:ind w:firstLine="442"/>
        <w:rPr>
          <w:rFonts w:hint="eastAsia" w:ascii="Times New Roman"/>
          <w:b/>
          <w:bCs/>
          <w:lang w:val="en-US" w:eastAsia="zh-CN"/>
        </w:rPr>
      </w:pPr>
    </w:p>
    <w:p>
      <w:pPr>
        <w:pStyle w:val="2"/>
        <w:tabs>
          <w:tab w:val="center" w:pos="4201"/>
          <w:tab w:val="right" w:leader="dot" w:pos="9298"/>
        </w:tabs>
        <w:ind w:firstLine="0" w:firstLineChars="0"/>
        <w:rPr>
          <w:rFonts w:ascii="Times New Roman"/>
          <w:sz w:val="21"/>
          <w:szCs w:val="21"/>
        </w:rPr>
      </w:pPr>
      <w:r>
        <w:rPr>
          <w:rFonts w:hint="eastAsia" w:ascii="Times New Roman" w:eastAsia="黑体"/>
          <w:bCs/>
          <w:kern w:val="2"/>
          <w:szCs w:val="24"/>
          <w:lang w:val="en-US" w:eastAsia="zh-CN"/>
        </w:rPr>
        <w:t>5.8</w:t>
      </w:r>
      <w:r>
        <w:rPr>
          <w:rFonts w:ascii="Times New Roman" w:eastAsia="黑体"/>
          <w:bCs/>
          <w:kern w:val="2"/>
          <w:szCs w:val="24"/>
        </w:rPr>
        <w:t xml:space="preserve">  </w:t>
      </w:r>
      <w:r>
        <w:rPr>
          <w:rFonts w:ascii="Times New Roman"/>
          <w:sz w:val="21"/>
          <w:szCs w:val="21"/>
        </w:rPr>
        <w:t>重铬酸钾标准溶液，c(1/6 K</w:t>
      </w:r>
      <w:r>
        <w:rPr>
          <w:rFonts w:ascii="Times New Roman"/>
          <w:sz w:val="21"/>
          <w:szCs w:val="21"/>
          <w:vertAlign w:val="subscript"/>
        </w:rPr>
        <w:t>2</w:t>
      </w:r>
      <w:r>
        <w:rPr>
          <w:rFonts w:ascii="Times New Roman"/>
          <w:sz w:val="21"/>
          <w:szCs w:val="21"/>
        </w:rPr>
        <w:t>Cr</w:t>
      </w:r>
      <w:r>
        <w:rPr>
          <w:rFonts w:ascii="Times New Roman"/>
          <w:sz w:val="21"/>
          <w:szCs w:val="21"/>
          <w:vertAlign w:val="subscript"/>
        </w:rPr>
        <w:t>2</w:t>
      </w:r>
      <w:r>
        <w:rPr>
          <w:rFonts w:hint="eastAsia" w:ascii="Times New Roman"/>
          <w:sz w:val="21"/>
          <w:szCs w:val="21"/>
        </w:rPr>
        <w:t>O</w:t>
      </w:r>
      <w:r>
        <w:rPr>
          <w:rFonts w:ascii="Times New Roman"/>
          <w:sz w:val="21"/>
          <w:szCs w:val="21"/>
          <w:vertAlign w:val="subscript"/>
        </w:rPr>
        <w:t>7</w:t>
      </w:r>
      <w:r>
        <w:rPr>
          <w:rFonts w:ascii="Times New Roman"/>
          <w:sz w:val="21"/>
          <w:szCs w:val="21"/>
        </w:rPr>
        <w:t>) = 0.100 mol/L。</w:t>
      </w:r>
    </w:p>
    <w:p>
      <w:pPr>
        <w:pStyle w:val="2"/>
        <w:tabs>
          <w:tab w:val="center" w:pos="4201"/>
          <w:tab w:val="right" w:leader="dot" w:pos="9298"/>
        </w:tabs>
        <w:ind w:firstLine="0" w:firstLineChars="0"/>
        <w:rPr>
          <w:rFonts w:ascii="Times New Roman"/>
          <w:sz w:val="21"/>
          <w:szCs w:val="21"/>
        </w:rPr>
      </w:pPr>
      <w:r>
        <w:rPr>
          <w:rFonts w:ascii="Times New Roman"/>
          <w:sz w:val="21"/>
          <w:szCs w:val="21"/>
        </w:rPr>
        <w:t>将4.903克重铬酸钾(K</w:t>
      </w:r>
      <w:r>
        <w:rPr>
          <w:rFonts w:ascii="Times New Roman"/>
          <w:sz w:val="21"/>
          <w:szCs w:val="21"/>
          <w:vertAlign w:val="subscript"/>
        </w:rPr>
        <w:t>2</w:t>
      </w:r>
      <w:r>
        <w:rPr>
          <w:rFonts w:ascii="Times New Roman"/>
          <w:sz w:val="21"/>
          <w:szCs w:val="21"/>
        </w:rPr>
        <w:t>Cr</w:t>
      </w:r>
      <w:r>
        <w:rPr>
          <w:rFonts w:ascii="Times New Roman"/>
          <w:sz w:val="21"/>
          <w:szCs w:val="21"/>
          <w:vertAlign w:val="subscript"/>
        </w:rPr>
        <w:t>2</w:t>
      </w:r>
      <w:r>
        <w:rPr>
          <w:rFonts w:hint="eastAsia" w:ascii="Times New Roman"/>
          <w:sz w:val="21"/>
          <w:szCs w:val="21"/>
        </w:rPr>
        <w:t>O</w:t>
      </w:r>
      <w:r>
        <w:rPr>
          <w:rFonts w:ascii="Times New Roman"/>
          <w:sz w:val="21"/>
          <w:szCs w:val="21"/>
          <w:vertAlign w:val="subscript"/>
        </w:rPr>
        <w:t>7</w:t>
      </w:r>
      <w:r>
        <w:rPr>
          <w:rFonts w:ascii="Times New Roman"/>
          <w:sz w:val="21"/>
          <w:szCs w:val="21"/>
        </w:rPr>
        <w:t xml:space="preserve">,最低纯度 99.95%)在105℃下干燥1小时，溶于500 </w:t>
      </w:r>
      <w:r>
        <w:rPr>
          <w:rFonts w:ascii="Times New Roman"/>
        </w:rPr>
        <w:t>mL</w:t>
      </w:r>
      <w:r>
        <w:rPr>
          <w:rFonts w:ascii="Times New Roman"/>
          <w:sz w:val="21"/>
          <w:szCs w:val="21"/>
        </w:rPr>
        <w:t>水中。</w:t>
      </w:r>
    </w:p>
    <w:p>
      <w:pPr>
        <w:pStyle w:val="2"/>
        <w:tabs>
          <w:tab w:val="center" w:pos="4201"/>
          <w:tab w:val="right" w:leader="dot" w:pos="9298"/>
        </w:tabs>
        <w:ind w:firstLine="0" w:firstLineChars="0"/>
        <w:rPr>
          <w:rFonts w:ascii="Times New Roman"/>
          <w:sz w:val="21"/>
          <w:szCs w:val="21"/>
        </w:rPr>
      </w:pPr>
      <w:r>
        <w:rPr>
          <w:rFonts w:ascii="Times New Roman"/>
          <w:sz w:val="21"/>
          <w:szCs w:val="21"/>
        </w:rPr>
        <w:t>转移到1000</w:t>
      </w:r>
      <w:r>
        <w:rPr>
          <w:rFonts w:hint="eastAsia" w:ascii="Times New Roman"/>
          <w:sz w:val="21"/>
          <w:szCs w:val="21"/>
        </w:rPr>
        <w:t xml:space="preserve"> </w:t>
      </w:r>
      <w:r>
        <w:rPr>
          <w:rFonts w:ascii="Times New Roman"/>
        </w:rPr>
        <w:t>mL</w:t>
      </w:r>
      <w:r>
        <w:rPr>
          <w:rFonts w:ascii="Times New Roman"/>
          <w:sz w:val="21"/>
          <w:szCs w:val="21"/>
        </w:rPr>
        <w:t>的单标线容量瓶中，用水稀释至刻线，混匀。</w:t>
      </w:r>
    </w:p>
    <w:p>
      <w:pPr>
        <w:pStyle w:val="2"/>
        <w:tabs>
          <w:tab w:val="center" w:pos="4201"/>
          <w:tab w:val="right" w:leader="dot" w:pos="9298"/>
        </w:tabs>
        <w:ind w:firstLine="0" w:firstLineChars="0"/>
        <w:rPr>
          <w:rFonts w:ascii="Times New Roman"/>
          <w:sz w:val="21"/>
          <w:szCs w:val="21"/>
        </w:rPr>
      </w:pPr>
      <w:r>
        <w:rPr>
          <w:rFonts w:hint="eastAsia" w:ascii="Times New Roman" w:eastAsia="黑体"/>
          <w:bCs/>
          <w:kern w:val="2"/>
          <w:szCs w:val="24"/>
          <w:lang w:val="en-US" w:eastAsia="zh-CN"/>
        </w:rPr>
        <w:t>5.9</w:t>
      </w:r>
      <w:r>
        <w:rPr>
          <w:rFonts w:ascii="Times New Roman" w:eastAsia="黑体"/>
          <w:bCs/>
          <w:kern w:val="2"/>
          <w:szCs w:val="24"/>
        </w:rPr>
        <w:t xml:space="preserve">  </w:t>
      </w:r>
      <w:r>
        <w:rPr>
          <w:rFonts w:ascii="Times New Roman"/>
          <w:sz w:val="21"/>
          <w:szCs w:val="21"/>
        </w:rPr>
        <w:t>硫酸亚铁铵标准溶液，c[(NH</w:t>
      </w:r>
      <w:r>
        <w:rPr>
          <w:rFonts w:ascii="Times New Roman"/>
          <w:sz w:val="21"/>
          <w:szCs w:val="21"/>
          <w:vertAlign w:val="subscript"/>
        </w:rPr>
        <w:t>4</w:t>
      </w:r>
      <w:r>
        <w:rPr>
          <w:rFonts w:ascii="Times New Roman"/>
          <w:sz w:val="21"/>
          <w:szCs w:val="21"/>
        </w:rPr>
        <w:t>)</w:t>
      </w:r>
      <w:r>
        <w:rPr>
          <w:rFonts w:ascii="Times New Roman"/>
          <w:sz w:val="21"/>
          <w:szCs w:val="21"/>
          <w:vertAlign w:val="subscript"/>
        </w:rPr>
        <w:t>2</w:t>
      </w:r>
      <w:r>
        <w:rPr>
          <w:rFonts w:ascii="Times New Roman"/>
          <w:sz w:val="21"/>
          <w:szCs w:val="21"/>
        </w:rPr>
        <w:t>Fe(S</w:t>
      </w:r>
      <w:r>
        <w:rPr>
          <w:rFonts w:hint="eastAsia" w:ascii="Times New Roman"/>
          <w:sz w:val="21"/>
          <w:szCs w:val="21"/>
        </w:rPr>
        <w:t>O</w:t>
      </w:r>
      <w:r>
        <w:rPr>
          <w:rFonts w:ascii="Times New Roman"/>
          <w:sz w:val="21"/>
          <w:szCs w:val="21"/>
          <w:vertAlign w:val="subscript"/>
        </w:rPr>
        <w:t>4</w:t>
      </w:r>
      <w:r>
        <w:rPr>
          <w:rFonts w:ascii="Times New Roman"/>
          <w:sz w:val="21"/>
          <w:szCs w:val="21"/>
        </w:rPr>
        <w:t>)</w:t>
      </w:r>
      <w:r>
        <w:rPr>
          <w:rFonts w:ascii="Times New Roman"/>
          <w:sz w:val="21"/>
          <w:szCs w:val="21"/>
          <w:vertAlign w:val="subscript"/>
        </w:rPr>
        <w:t>2</w:t>
      </w:r>
      <w:r>
        <w:rPr>
          <w:rFonts w:ascii="Times New Roman"/>
          <w:sz w:val="21"/>
          <w:szCs w:val="21"/>
        </w:rPr>
        <w:t>] = 0.1 mol/L。</w:t>
      </w:r>
    </w:p>
    <w:p>
      <w:pPr>
        <w:pStyle w:val="2"/>
        <w:tabs>
          <w:tab w:val="center" w:pos="4201"/>
          <w:tab w:val="right" w:leader="dot" w:pos="9298"/>
        </w:tabs>
        <w:ind w:firstLine="0" w:firstLineChars="0"/>
        <w:rPr>
          <w:rFonts w:ascii="Times New Roman" w:eastAsia="黑体"/>
          <w:sz w:val="21"/>
          <w:szCs w:val="21"/>
        </w:rPr>
      </w:pPr>
      <w:r>
        <w:rPr>
          <w:rFonts w:hint="eastAsia" w:ascii="Times New Roman" w:eastAsia="黑体"/>
          <w:bCs/>
          <w:kern w:val="2"/>
          <w:szCs w:val="24"/>
          <w:lang w:val="en-US" w:eastAsia="zh-CN"/>
        </w:rPr>
        <w:t>5.9.1</w:t>
      </w:r>
      <w:r>
        <w:rPr>
          <w:rFonts w:ascii="Times New Roman" w:eastAsia="黑体"/>
          <w:bCs/>
          <w:kern w:val="2"/>
          <w:szCs w:val="24"/>
        </w:rPr>
        <w:t xml:space="preserve"> </w:t>
      </w:r>
      <w:r>
        <w:rPr>
          <w:rFonts w:ascii="Times New Roman"/>
          <w:sz w:val="21"/>
          <w:szCs w:val="21"/>
        </w:rPr>
        <w:t>配制</w:t>
      </w:r>
    </w:p>
    <w:p>
      <w:pPr>
        <w:pStyle w:val="2"/>
        <w:tabs>
          <w:tab w:val="center" w:pos="4201"/>
          <w:tab w:val="right" w:leader="dot" w:pos="9298"/>
        </w:tabs>
        <w:ind w:firstLine="420"/>
        <w:rPr>
          <w:rFonts w:ascii="Times New Roman"/>
          <w:sz w:val="21"/>
          <w:szCs w:val="21"/>
        </w:rPr>
      </w:pPr>
      <w:r>
        <w:rPr>
          <w:rFonts w:ascii="Times New Roman"/>
          <w:sz w:val="21"/>
          <w:szCs w:val="21"/>
        </w:rPr>
        <w:t>将40</w:t>
      </w:r>
      <w:r>
        <w:rPr>
          <w:rFonts w:hint="eastAsia" w:ascii="Times New Roman"/>
          <w:sz w:val="21"/>
          <w:szCs w:val="21"/>
          <w:lang w:val="en-US" w:eastAsia="zh-CN"/>
        </w:rPr>
        <w:t xml:space="preserve"> </w:t>
      </w:r>
      <w:r>
        <w:rPr>
          <w:rFonts w:ascii="Times New Roman"/>
          <w:sz w:val="21"/>
          <w:szCs w:val="21"/>
        </w:rPr>
        <w:t>g六水合硫酸亚铁铵[(NH</w:t>
      </w:r>
      <w:r>
        <w:rPr>
          <w:rFonts w:ascii="Times New Roman"/>
          <w:sz w:val="21"/>
          <w:szCs w:val="21"/>
          <w:vertAlign w:val="subscript"/>
        </w:rPr>
        <w:t>4</w:t>
      </w:r>
      <w:r>
        <w:rPr>
          <w:rFonts w:ascii="Times New Roman"/>
          <w:sz w:val="21"/>
          <w:szCs w:val="21"/>
        </w:rPr>
        <w:t>)</w:t>
      </w:r>
      <w:r>
        <w:rPr>
          <w:rFonts w:ascii="Times New Roman"/>
          <w:sz w:val="21"/>
          <w:szCs w:val="21"/>
          <w:vertAlign w:val="subscript"/>
        </w:rPr>
        <w:t>2</w:t>
      </w:r>
      <w:r>
        <w:rPr>
          <w:rFonts w:ascii="Times New Roman"/>
          <w:sz w:val="21"/>
          <w:szCs w:val="21"/>
        </w:rPr>
        <w:t>Fe(S</w:t>
      </w:r>
      <w:r>
        <w:rPr>
          <w:rFonts w:hint="eastAsia" w:ascii="Times New Roman"/>
          <w:sz w:val="21"/>
          <w:szCs w:val="21"/>
        </w:rPr>
        <w:t>O</w:t>
      </w:r>
      <w:r>
        <w:rPr>
          <w:rFonts w:ascii="Times New Roman"/>
          <w:sz w:val="21"/>
          <w:szCs w:val="21"/>
          <w:vertAlign w:val="subscript"/>
        </w:rPr>
        <w:t>4</w:t>
      </w:r>
      <w:r>
        <w:rPr>
          <w:rFonts w:ascii="Times New Roman"/>
          <w:sz w:val="21"/>
          <w:szCs w:val="21"/>
        </w:rPr>
        <w:t>)</w:t>
      </w:r>
      <w:r>
        <w:rPr>
          <w:rFonts w:ascii="Times New Roman"/>
          <w:sz w:val="21"/>
          <w:szCs w:val="21"/>
          <w:vertAlign w:val="subscript"/>
        </w:rPr>
        <w:t>2</w:t>
      </w:r>
      <w:r>
        <w:rPr>
          <w:rFonts w:ascii="Times New Roman"/>
          <w:sz w:val="21"/>
          <w:szCs w:val="21"/>
        </w:rPr>
        <w:t>.6H</w:t>
      </w:r>
      <w:r>
        <w:rPr>
          <w:rFonts w:ascii="Times New Roman"/>
          <w:sz w:val="21"/>
          <w:szCs w:val="21"/>
          <w:vertAlign w:val="subscript"/>
        </w:rPr>
        <w:t>2</w:t>
      </w:r>
      <w:r>
        <w:rPr>
          <w:rFonts w:hint="eastAsia" w:ascii="Times New Roman"/>
          <w:sz w:val="21"/>
          <w:szCs w:val="21"/>
        </w:rPr>
        <w:t>O</w:t>
      </w:r>
      <w:r>
        <w:rPr>
          <w:rFonts w:ascii="Times New Roman"/>
          <w:sz w:val="21"/>
          <w:szCs w:val="21"/>
        </w:rPr>
        <w:t>]溶于400</w:t>
      </w:r>
      <w:r>
        <w:rPr>
          <w:rFonts w:hint="eastAsia" w:ascii="Times New Roman"/>
          <w:sz w:val="21"/>
          <w:szCs w:val="21"/>
        </w:rPr>
        <w:t xml:space="preserve"> </w:t>
      </w:r>
      <w:r>
        <w:rPr>
          <w:rFonts w:ascii="Times New Roman"/>
          <w:sz w:val="21"/>
          <w:szCs w:val="21"/>
        </w:rPr>
        <w:t>mL水中。在不断搅拌下，慢慢加入100</w:t>
      </w:r>
      <w:r>
        <w:rPr>
          <w:rFonts w:hint="eastAsia" w:ascii="Times New Roman"/>
          <w:sz w:val="21"/>
          <w:szCs w:val="21"/>
        </w:rPr>
        <w:t xml:space="preserve"> </w:t>
      </w:r>
      <w:r>
        <w:rPr>
          <w:rFonts w:ascii="Times New Roman"/>
        </w:rPr>
        <w:t>mL</w:t>
      </w:r>
      <w:r>
        <w:rPr>
          <w:rFonts w:ascii="Times New Roman"/>
          <w:sz w:val="21"/>
          <w:szCs w:val="21"/>
        </w:rPr>
        <w:t>硫酸（见</w:t>
      </w:r>
      <w:r>
        <w:rPr>
          <w:rFonts w:hint="eastAsia" w:ascii="Times New Roman"/>
          <w:sz w:val="21"/>
          <w:szCs w:val="21"/>
          <w:lang w:val="en-US" w:eastAsia="zh-CN"/>
        </w:rPr>
        <w:t>5</w:t>
      </w:r>
      <w:r>
        <w:rPr>
          <w:rFonts w:ascii="Times New Roman"/>
          <w:sz w:val="21"/>
          <w:szCs w:val="21"/>
        </w:rPr>
        <w:t>.4）。</w:t>
      </w:r>
    </w:p>
    <w:p>
      <w:pPr>
        <w:pStyle w:val="2"/>
        <w:tabs>
          <w:tab w:val="center" w:pos="4201"/>
          <w:tab w:val="right" w:leader="dot" w:pos="9298"/>
        </w:tabs>
        <w:ind w:firstLine="420"/>
        <w:rPr>
          <w:rFonts w:ascii="Times New Roman" w:eastAsia="黑体"/>
          <w:bCs/>
          <w:kern w:val="2"/>
          <w:sz w:val="21"/>
          <w:szCs w:val="21"/>
        </w:rPr>
      </w:pPr>
      <w:r>
        <w:rPr>
          <w:rFonts w:ascii="Times New Roman"/>
          <w:sz w:val="21"/>
          <w:szCs w:val="21"/>
        </w:rPr>
        <w:t>冷却后，转移到1 000</w:t>
      </w:r>
      <w:r>
        <w:rPr>
          <w:rFonts w:hint="eastAsia" w:ascii="Times New Roman"/>
          <w:sz w:val="21"/>
          <w:szCs w:val="21"/>
        </w:rPr>
        <w:t xml:space="preserve"> </w:t>
      </w:r>
      <w:r>
        <w:rPr>
          <w:rFonts w:ascii="Times New Roman"/>
        </w:rPr>
        <w:t>mL</w:t>
      </w:r>
      <w:r>
        <w:rPr>
          <w:rFonts w:ascii="Times New Roman"/>
          <w:sz w:val="21"/>
          <w:szCs w:val="21"/>
        </w:rPr>
        <w:t>单标线容量瓶中，用水稀释至标线，混匀。</w:t>
      </w:r>
    </w:p>
    <w:p>
      <w:pPr>
        <w:pStyle w:val="118"/>
        <w:ind w:firstLine="0" w:firstLineChars="0"/>
        <w:jc w:val="left"/>
        <w:outlineLvl w:val="0"/>
        <w:rPr>
          <w:szCs w:val="21"/>
        </w:rPr>
      </w:pPr>
      <w:r>
        <w:rPr>
          <w:rFonts w:hint="eastAsia" w:eastAsia="黑体"/>
          <w:bCs/>
          <w:lang w:val="en-US" w:eastAsia="zh-CN"/>
        </w:rPr>
        <w:t>5.9.2</w:t>
      </w:r>
      <w:r>
        <w:rPr>
          <w:rFonts w:eastAsia="黑体"/>
          <w:bCs/>
        </w:rPr>
        <w:t xml:space="preserve"> </w:t>
      </w:r>
      <w:r>
        <w:rPr>
          <w:szCs w:val="21"/>
        </w:rPr>
        <w:t>标定</w:t>
      </w:r>
    </w:p>
    <w:p>
      <w:pPr>
        <w:pStyle w:val="118"/>
        <w:jc w:val="left"/>
        <w:outlineLvl w:val="0"/>
        <w:rPr>
          <w:szCs w:val="21"/>
        </w:rPr>
      </w:pPr>
      <w:r>
        <w:rPr>
          <w:szCs w:val="21"/>
        </w:rPr>
        <w:t>用滴定管取40.00 mL重铬酸钾溶液(</w:t>
      </w:r>
      <w:r>
        <w:rPr>
          <w:rFonts w:hint="eastAsia"/>
          <w:szCs w:val="21"/>
          <w:lang w:val="en-US" w:eastAsia="zh-CN"/>
        </w:rPr>
        <w:t>5</w:t>
      </w:r>
      <w:r>
        <w:rPr>
          <w:szCs w:val="21"/>
        </w:rPr>
        <w:t>.8)加入到盛有200 mL水的400 mL的高型烧杯中。加入10</w:t>
      </w:r>
      <w:r>
        <w:rPr>
          <w:rFonts w:hint="eastAsia"/>
          <w:szCs w:val="21"/>
        </w:rPr>
        <w:t xml:space="preserve"> </w:t>
      </w:r>
      <w:r>
        <w:rPr>
          <w:szCs w:val="21"/>
        </w:rPr>
        <w:t>mL硫酸（</w:t>
      </w:r>
      <w:r>
        <w:rPr>
          <w:rFonts w:hint="eastAsia"/>
          <w:szCs w:val="21"/>
          <w:lang w:val="en-US" w:eastAsia="zh-CN"/>
        </w:rPr>
        <w:t>5</w:t>
      </w:r>
      <w:r>
        <w:rPr>
          <w:szCs w:val="21"/>
        </w:rPr>
        <w:t>.4</w:t>
      </w:r>
      <w:r>
        <w:rPr>
          <w:rFonts w:hint="eastAsia"/>
          <w:szCs w:val="21"/>
        </w:rPr>
        <w:t>），</w:t>
      </w:r>
      <w:r>
        <w:rPr>
          <w:szCs w:val="21"/>
        </w:rPr>
        <w:t>5</w:t>
      </w:r>
      <w:r>
        <w:rPr>
          <w:rFonts w:hint="eastAsia"/>
          <w:szCs w:val="21"/>
        </w:rPr>
        <w:t xml:space="preserve"> </w:t>
      </w:r>
      <w:r>
        <w:rPr>
          <w:szCs w:val="21"/>
        </w:rPr>
        <w:t>mL硝酸银溶液</w:t>
      </w:r>
      <w:r>
        <w:rPr>
          <w:rFonts w:hint="eastAsia"/>
          <w:szCs w:val="21"/>
          <w:lang w:eastAsia="zh-CN"/>
        </w:rPr>
        <w:t>（</w:t>
      </w:r>
      <w:r>
        <w:rPr>
          <w:rFonts w:hint="eastAsia"/>
          <w:szCs w:val="21"/>
          <w:lang w:val="en-US" w:eastAsia="zh-CN"/>
        </w:rPr>
        <w:t>5.5</w:t>
      </w:r>
      <w:r>
        <w:rPr>
          <w:rFonts w:hint="eastAsia"/>
          <w:szCs w:val="21"/>
          <w:lang w:eastAsia="zh-CN"/>
        </w:rPr>
        <w:t>）</w:t>
      </w:r>
      <w:r>
        <w:rPr>
          <w:szCs w:val="21"/>
        </w:rPr>
        <w:t>和5</w:t>
      </w:r>
      <w:r>
        <w:rPr>
          <w:rFonts w:hint="eastAsia"/>
          <w:szCs w:val="21"/>
        </w:rPr>
        <w:t xml:space="preserve"> </w:t>
      </w:r>
      <w:r>
        <w:rPr>
          <w:szCs w:val="21"/>
        </w:rPr>
        <w:t>mL盐酸（</w:t>
      </w:r>
      <w:r>
        <w:rPr>
          <w:rFonts w:hint="eastAsia"/>
          <w:szCs w:val="21"/>
          <w:lang w:val="en-US" w:eastAsia="zh-CN"/>
        </w:rPr>
        <w:t>5</w:t>
      </w:r>
      <w:r>
        <w:rPr>
          <w:szCs w:val="21"/>
        </w:rPr>
        <w:t>.2）。按</w:t>
      </w:r>
      <w:r>
        <w:rPr>
          <w:rFonts w:hint="eastAsia"/>
          <w:szCs w:val="21"/>
          <w:lang w:val="en-US" w:eastAsia="zh-CN"/>
        </w:rPr>
        <w:t>8</w:t>
      </w:r>
      <w:r>
        <w:rPr>
          <w:szCs w:val="21"/>
        </w:rPr>
        <w:t>.2用硫酸</w:t>
      </w:r>
      <w:r>
        <w:rPr>
          <w:rFonts w:hint="eastAsia"/>
          <w:szCs w:val="21"/>
          <w:lang w:eastAsia="zh-CN"/>
        </w:rPr>
        <w:t>亚</w:t>
      </w:r>
      <w:r>
        <w:rPr>
          <w:szCs w:val="21"/>
        </w:rPr>
        <w:t>铁铵溶液对该溶液进行电位滴定。</w:t>
      </w:r>
    </w:p>
    <w:p>
      <w:pPr>
        <w:pStyle w:val="118"/>
        <w:jc w:val="left"/>
        <w:outlineLvl w:val="0"/>
        <w:rPr>
          <w:szCs w:val="21"/>
        </w:rPr>
      </w:pPr>
      <w:r>
        <w:rPr>
          <w:szCs w:val="21"/>
        </w:rPr>
        <w:t>硫酸亚铁铵溶液的实际浓度 c 按下述公式</w:t>
      </w:r>
      <w:r>
        <w:rPr>
          <w:rFonts w:hint="eastAsia"/>
          <w:szCs w:val="21"/>
          <w:lang w:eastAsia="zh-CN"/>
        </w:rPr>
        <w:t>（</w:t>
      </w:r>
      <w:r>
        <w:rPr>
          <w:rFonts w:hint="eastAsia"/>
          <w:szCs w:val="21"/>
          <w:lang w:val="en-US" w:eastAsia="zh-CN"/>
        </w:rPr>
        <w:t>1</w:t>
      </w:r>
      <w:r>
        <w:rPr>
          <w:rFonts w:hint="eastAsia"/>
          <w:szCs w:val="21"/>
          <w:lang w:eastAsia="zh-CN"/>
        </w:rPr>
        <w:t>）</w:t>
      </w:r>
      <w:r>
        <w:rPr>
          <w:szCs w:val="21"/>
        </w:rPr>
        <w:t>计算, 用铁的每升摩尔数表示：</w:t>
      </w:r>
    </w:p>
    <w:p>
      <w:pPr>
        <w:pStyle w:val="118"/>
        <w:ind w:firstLine="440"/>
        <w:jc w:val="center"/>
        <w:outlineLvl w:val="0"/>
        <w:rPr>
          <w:rFonts w:hint="eastAsia"/>
          <w:sz w:val="22"/>
          <w:szCs w:val="22"/>
        </w:rPr>
      </w:pPr>
      <w:r>
        <w:rPr>
          <w:position w:val="-30"/>
          <w:sz w:val="22"/>
          <w:szCs w:val="22"/>
        </w:rPr>
        <w:object>
          <v:shape id="_x0000_i1025" o:spt="75" type="#_x0000_t75" style="height:34pt;width:40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r>
        <w:rPr>
          <w:sz w:val="22"/>
          <w:szCs w:val="22"/>
        </w:rPr>
        <w:t xml:space="preserve">      </w:t>
      </w:r>
      <w:r>
        <w:rPr>
          <w:sz w:val="28"/>
          <w:szCs w:val="28"/>
        </w:rPr>
        <w:t>…………….………….…</w:t>
      </w:r>
      <w:r>
        <w:rPr>
          <w:sz w:val="22"/>
          <w:szCs w:val="22"/>
        </w:rPr>
        <w:t xml:space="preserve"> (1)</w:t>
      </w:r>
    </w:p>
    <w:p>
      <w:pPr>
        <w:pStyle w:val="118"/>
        <w:ind w:firstLine="0" w:firstLineChars="0"/>
        <w:jc w:val="left"/>
        <w:outlineLvl w:val="0"/>
        <w:rPr>
          <w:szCs w:val="21"/>
        </w:rPr>
      </w:pPr>
      <w:r>
        <w:rPr>
          <w:szCs w:val="21"/>
        </w:rPr>
        <w:t>式中：</w:t>
      </w:r>
    </w:p>
    <w:p>
      <w:pPr>
        <w:pStyle w:val="118"/>
        <w:ind w:firstLine="0" w:firstLineChars="0"/>
        <w:jc w:val="left"/>
        <w:outlineLvl w:val="0"/>
        <w:rPr>
          <w:szCs w:val="21"/>
        </w:rPr>
      </w:pPr>
      <w:r>
        <w:rPr>
          <w:szCs w:val="21"/>
        </w:rPr>
        <w:object>
          <v:shape id="_x0000_i1026" o:spt="75" type="#_x0000_t75" style="height:17pt;width:12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szCs w:val="21"/>
        </w:rPr>
        <w:t>—标定用的重铬酸钾溶液的体积（=40.0</w:t>
      </w:r>
      <w:r>
        <w:rPr>
          <w:rFonts w:hint="eastAsia"/>
          <w:szCs w:val="21"/>
        </w:rPr>
        <w:t>0</w:t>
      </w:r>
      <w:r>
        <w:rPr>
          <w:szCs w:val="21"/>
        </w:rPr>
        <w:t>），单位为毫升。</w:t>
      </w:r>
    </w:p>
    <w:p>
      <w:pPr>
        <w:pStyle w:val="118"/>
        <w:ind w:firstLine="0" w:firstLineChars="0"/>
        <w:jc w:val="left"/>
        <w:outlineLvl w:val="0"/>
        <w:rPr>
          <w:szCs w:val="21"/>
        </w:rPr>
      </w:pPr>
      <w:r>
        <w:rPr>
          <w:szCs w:val="21"/>
        </w:rPr>
        <w:object>
          <v:shape id="_x0000_i1027" o:spt="75" type="#_x0000_t75" style="height:17pt;width:13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szCs w:val="21"/>
        </w:rPr>
        <w:t>—滴定用的硫酸铁铵溶液的体积，单位为毫升。</w:t>
      </w:r>
    </w:p>
    <w:p>
      <w:pPr>
        <w:pStyle w:val="72"/>
        <w:spacing w:before="156" w:after="156"/>
        <w:rPr>
          <w:rFonts w:ascii="Times New Roman"/>
        </w:rPr>
      </w:pPr>
      <w:r>
        <w:rPr>
          <w:rFonts w:hint="eastAsia" w:ascii="Times New Roman"/>
          <w:lang w:val="en-US" w:eastAsia="zh-CN"/>
        </w:rPr>
        <w:t>6</w:t>
      </w:r>
      <w:r>
        <w:rPr>
          <w:rFonts w:ascii="Times New Roman"/>
        </w:rPr>
        <w:t xml:space="preserve"> 仪器</w:t>
      </w:r>
    </w:p>
    <w:p>
      <w:pPr>
        <w:pStyle w:val="118"/>
        <w:ind w:firstLine="0" w:firstLineChars="0"/>
        <w:jc w:val="left"/>
        <w:outlineLvl w:val="0"/>
        <w:rPr>
          <w:bCs/>
        </w:rPr>
      </w:pPr>
      <w:r>
        <w:rPr>
          <w:rFonts w:eastAsia="黑体"/>
          <w:bCs/>
        </w:rPr>
        <w:t xml:space="preserve">     </w:t>
      </w:r>
      <w:r>
        <w:rPr>
          <w:bCs/>
        </w:rPr>
        <w:t>实验室</w:t>
      </w:r>
      <w:r>
        <w:rPr>
          <w:rFonts w:hint="eastAsia"/>
          <w:bCs/>
        </w:rPr>
        <w:t>常规</w:t>
      </w:r>
      <w:r>
        <w:rPr>
          <w:bCs/>
        </w:rPr>
        <w:t>仪器</w:t>
      </w:r>
      <w:r>
        <w:rPr>
          <w:rFonts w:hint="eastAsia"/>
          <w:bCs/>
        </w:rPr>
        <w:t>和以下仪器</w:t>
      </w:r>
      <w:r>
        <w:rPr>
          <w:bCs/>
        </w:rPr>
        <w:t>：</w:t>
      </w:r>
    </w:p>
    <w:p>
      <w:pPr>
        <w:pStyle w:val="118"/>
        <w:ind w:firstLine="0" w:firstLineChars="0"/>
        <w:jc w:val="left"/>
        <w:outlineLvl w:val="0"/>
        <w:rPr>
          <w:rFonts w:eastAsia="黑体"/>
          <w:bCs/>
        </w:rPr>
      </w:pPr>
      <w:r>
        <w:rPr>
          <w:rFonts w:hint="eastAsia" w:eastAsia="黑体"/>
          <w:bCs/>
          <w:lang w:val="en-US" w:eastAsia="zh-CN"/>
        </w:rPr>
        <w:t>6</w:t>
      </w:r>
      <w:r>
        <w:rPr>
          <w:rFonts w:eastAsia="黑体"/>
          <w:bCs/>
        </w:rPr>
        <w:t>.1电位滴定仪</w:t>
      </w:r>
    </w:p>
    <w:p>
      <w:pPr>
        <w:pStyle w:val="118"/>
        <w:ind w:firstLine="0" w:firstLineChars="0"/>
        <w:jc w:val="left"/>
        <w:outlineLvl w:val="0"/>
        <w:rPr>
          <w:bCs/>
        </w:rPr>
      </w:pPr>
      <w:r>
        <w:rPr>
          <w:rFonts w:hint="eastAsia" w:eastAsia="黑体"/>
          <w:bCs/>
          <w:lang w:val="en-US" w:eastAsia="zh-CN"/>
        </w:rPr>
        <w:t>6</w:t>
      </w:r>
      <w:r>
        <w:rPr>
          <w:rFonts w:eastAsia="黑体"/>
          <w:bCs/>
        </w:rPr>
        <w:t>.1.1</w:t>
      </w:r>
      <w:r>
        <w:rPr>
          <w:bCs/>
        </w:rPr>
        <w:t>指示电极，</w:t>
      </w:r>
      <w:r>
        <w:rPr>
          <w:rFonts w:hint="eastAsia"/>
          <w:bCs/>
          <w:lang w:eastAsia="zh-CN"/>
        </w:rPr>
        <w:t>纯</w:t>
      </w:r>
      <w:r>
        <w:rPr>
          <w:rFonts w:hint="eastAsia"/>
          <w:bCs/>
        </w:rPr>
        <w:t>铂</w:t>
      </w:r>
      <w:r>
        <w:rPr>
          <w:bCs/>
        </w:rPr>
        <w:t>金</w:t>
      </w:r>
      <w:r>
        <w:rPr>
          <w:rFonts w:hint="eastAsia"/>
          <w:bCs/>
        </w:rPr>
        <w:t>材质</w:t>
      </w:r>
      <w:r>
        <w:rPr>
          <w:bCs/>
        </w:rPr>
        <w:t>，应保持清洁</w:t>
      </w:r>
      <w:r>
        <w:rPr>
          <w:rFonts w:hint="eastAsia"/>
          <w:bCs/>
        </w:rPr>
        <w:t>、</w:t>
      </w:r>
      <w:r>
        <w:rPr>
          <w:bCs/>
        </w:rPr>
        <w:t>高度抛光的状态。使用前应用硝酸(</w:t>
      </w:r>
      <w:r>
        <w:rPr>
          <w:rFonts w:hint="eastAsia"/>
          <w:bCs/>
          <w:lang w:val="en-US" w:eastAsia="zh-CN"/>
        </w:rPr>
        <w:t>5</w:t>
      </w:r>
      <w:r>
        <w:rPr>
          <w:bCs/>
        </w:rPr>
        <w:t>.3)或王水浸渍并用水冲洗。</w:t>
      </w:r>
    </w:p>
    <w:p>
      <w:pPr>
        <w:pStyle w:val="118"/>
        <w:ind w:firstLine="0" w:firstLineChars="0"/>
        <w:jc w:val="left"/>
        <w:outlineLvl w:val="0"/>
        <w:rPr>
          <w:bCs/>
        </w:rPr>
      </w:pPr>
      <w:r>
        <w:rPr>
          <w:rFonts w:hint="eastAsia" w:eastAsia="黑体"/>
          <w:bCs/>
          <w:lang w:val="en-US" w:eastAsia="zh-CN"/>
        </w:rPr>
        <w:t>6</w:t>
      </w:r>
      <w:r>
        <w:rPr>
          <w:rFonts w:eastAsia="黑体"/>
          <w:bCs/>
        </w:rPr>
        <w:t>.1.2</w:t>
      </w:r>
      <w:r>
        <w:rPr>
          <w:rFonts w:hint="eastAsia" w:ascii="宋体" w:hAnsi="宋体" w:eastAsia="宋体"/>
          <w:bCs/>
        </w:rPr>
        <w:t>参比电极，</w:t>
      </w:r>
      <w:r>
        <w:rPr>
          <w:bCs/>
        </w:rPr>
        <w:t>银</w:t>
      </w:r>
      <w:r>
        <w:rPr>
          <w:szCs w:val="21"/>
          <w:shd w:val="clear" w:color="auto" w:fill="FFFFFF"/>
        </w:rPr>
        <w:t>/氯化银或甘汞</w:t>
      </w:r>
      <w:r>
        <w:rPr>
          <w:bCs/>
        </w:rPr>
        <w:t>。</w:t>
      </w:r>
    </w:p>
    <w:p>
      <w:pPr>
        <w:pStyle w:val="118"/>
        <w:ind w:firstLine="0" w:firstLineChars="0"/>
        <w:jc w:val="left"/>
        <w:outlineLvl w:val="0"/>
        <w:rPr>
          <w:bCs/>
        </w:rPr>
      </w:pPr>
      <w:r>
        <w:rPr>
          <w:szCs w:val="21"/>
          <w:shd w:val="clear" w:color="auto" w:fill="FFFFFF"/>
        </w:rPr>
        <w:t>应遵循制造商关于这些电极的说明</w:t>
      </w:r>
      <w:r>
        <w:rPr>
          <w:rFonts w:hint="eastAsia"/>
          <w:szCs w:val="21"/>
          <w:shd w:val="clear" w:color="auto" w:fill="FFFFFF"/>
          <w:lang w:eastAsia="zh-CN"/>
        </w:rPr>
        <w:t>进行</w:t>
      </w:r>
      <w:r>
        <w:rPr>
          <w:szCs w:val="21"/>
          <w:shd w:val="clear" w:color="auto" w:fill="FFFFFF"/>
        </w:rPr>
        <w:t>保养和维护。</w:t>
      </w:r>
    </w:p>
    <w:p>
      <w:pPr>
        <w:pStyle w:val="118"/>
        <w:ind w:firstLine="0" w:firstLineChars="0"/>
        <w:jc w:val="left"/>
        <w:outlineLvl w:val="0"/>
        <w:rPr>
          <w:bCs/>
        </w:rPr>
      </w:pPr>
      <w:r>
        <w:rPr>
          <w:rFonts w:hint="eastAsia" w:eastAsia="黑体"/>
          <w:bCs/>
          <w:lang w:val="en-US" w:eastAsia="zh-CN"/>
        </w:rPr>
        <w:t>6</w:t>
      </w:r>
      <w:r>
        <w:rPr>
          <w:rFonts w:eastAsia="黑体"/>
          <w:bCs/>
        </w:rPr>
        <w:t>.1.3</w:t>
      </w:r>
      <w:r>
        <w:rPr>
          <w:bCs/>
        </w:rPr>
        <w:t>滴定装置，</w:t>
      </w:r>
      <w:r>
        <w:rPr>
          <w:szCs w:val="21"/>
          <w:shd w:val="clear" w:color="auto" w:fill="FFFFFF"/>
        </w:rPr>
        <w:t>包括一个400</w:t>
      </w:r>
      <w:r>
        <w:rPr>
          <w:rFonts w:hint="eastAsia"/>
          <w:szCs w:val="21"/>
          <w:shd w:val="clear" w:color="auto" w:fill="FFFFFF"/>
        </w:rPr>
        <w:t xml:space="preserve"> </w:t>
      </w:r>
      <w:r>
        <w:rPr>
          <w:szCs w:val="21"/>
          <w:shd w:val="clear" w:color="auto" w:fill="FFFFFF"/>
        </w:rPr>
        <w:t>mL烧杯，两个符合ISO 385 A级要求的50</w:t>
      </w:r>
      <w:r>
        <w:rPr>
          <w:rFonts w:hint="eastAsia"/>
          <w:szCs w:val="21"/>
          <w:shd w:val="clear" w:color="auto" w:fill="FFFFFF"/>
        </w:rPr>
        <w:t xml:space="preserve"> </w:t>
      </w:r>
      <w:r>
        <w:rPr>
          <w:szCs w:val="21"/>
          <w:shd w:val="clear" w:color="auto" w:fill="FFFFFF"/>
        </w:rPr>
        <w:t>mL滴定管，和一个磁力搅拌器。</w:t>
      </w:r>
    </w:p>
    <w:p>
      <w:pPr>
        <w:pStyle w:val="118"/>
        <w:ind w:firstLine="0" w:firstLineChars="0"/>
        <w:jc w:val="left"/>
        <w:outlineLvl w:val="0"/>
        <w:rPr>
          <w:szCs w:val="21"/>
          <w:shd w:val="clear" w:color="auto" w:fill="FFFFFF"/>
        </w:rPr>
      </w:pPr>
      <w:r>
        <w:rPr>
          <w:rFonts w:hint="eastAsia" w:eastAsia="黑体"/>
          <w:bCs/>
          <w:lang w:val="en-US" w:eastAsia="zh-CN"/>
        </w:rPr>
        <w:t>6</w:t>
      </w:r>
      <w:r>
        <w:rPr>
          <w:rFonts w:eastAsia="黑体"/>
          <w:bCs/>
        </w:rPr>
        <w:t>.1.4</w:t>
      </w:r>
      <w:r>
        <w:rPr>
          <w:szCs w:val="21"/>
          <w:shd w:val="clear" w:color="auto" w:fill="FFFFFF"/>
        </w:rPr>
        <w:t>高阻抗电压表</w:t>
      </w:r>
      <w:r>
        <w:rPr>
          <w:rFonts w:hint="eastAsia"/>
          <w:szCs w:val="21"/>
          <w:shd w:val="clear" w:color="auto" w:fill="FFFFFF"/>
          <w:lang w:eastAsia="zh-CN"/>
        </w:rPr>
        <w:t>，</w:t>
      </w:r>
      <w:r>
        <w:rPr>
          <w:szCs w:val="21"/>
          <w:shd w:val="clear" w:color="auto" w:fill="FFFFFF"/>
        </w:rPr>
        <w:t>通常，pH计可用作电压表。商业自动滴定仪或电位仪比手动系统有优势，因为滴定曲线</w:t>
      </w:r>
      <w:r>
        <w:rPr>
          <w:rFonts w:hint="eastAsia"/>
          <w:szCs w:val="21"/>
          <w:shd w:val="clear" w:color="auto" w:fill="FFFFFF"/>
        </w:rPr>
        <w:t>是</w:t>
      </w:r>
      <w:r>
        <w:rPr>
          <w:szCs w:val="21"/>
          <w:shd w:val="clear" w:color="auto" w:fill="FFFFFF"/>
        </w:rPr>
        <w:t>绘制</w:t>
      </w:r>
      <w:r>
        <w:rPr>
          <w:rFonts w:hint="eastAsia"/>
          <w:szCs w:val="21"/>
          <w:shd w:val="clear" w:color="auto" w:fill="FFFFFF"/>
        </w:rPr>
        <w:t>而成</w:t>
      </w:r>
      <w:r>
        <w:rPr>
          <w:szCs w:val="21"/>
          <w:shd w:val="clear" w:color="auto" w:fill="FFFFFF"/>
        </w:rPr>
        <w:t>，终点可以通过曲线的插值而</w:t>
      </w:r>
      <w:r>
        <w:rPr>
          <w:rFonts w:hint="eastAsia"/>
          <w:szCs w:val="21"/>
          <w:shd w:val="clear" w:color="auto" w:fill="FFFFFF"/>
        </w:rPr>
        <w:t>非</w:t>
      </w:r>
      <w:r>
        <w:rPr>
          <w:szCs w:val="21"/>
          <w:shd w:val="clear" w:color="auto" w:fill="FFFFFF"/>
        </w:rPr>
        <w:t>通过一阶或二阶导数计算</w:t>
      </w:r>
      <w:r>
        <w:rPr>
          <w:rFonts w:hint="eastAsia"/>
          <w:szCs w:val="21"/>
          <w:shd w:val="clear" w:color="auto" w:fill="FFFFFF"/>
        </w:rPr>
        <w:t>获得</w:t>
      </w:r>
      <w:r>
        <w:rPr>
          <w:szCs w:val="21"/>
          <w:shd w:val="clear" w:color="auto" w:fill="FFFFFF"/>
        </w:rPr>
        <w:t>(</w:t>
      </w:r>
      <w:r>
        <w:rPr>
          <w:rFonts w:hint="eastAsia"/>
          <w:szCs w:val="21"/>
          <w:shd w:val="clear" w:color="auto" w:fill="FFFFFF"/>
          <w:lang w:val="en-US" w:eastAsia="zh-CN"/>
        </w:rPr>
        <w:t>,10</w:t>
      </w:r>
      <w:r>
        <w:rPr>
          <w:szCs w:val="21"/>
          <w:shd w:val="clear" w:color="auto" w:fill="FFFFFF"/>
        </w:rPr>
        <w:t>.2)。</w:t>
      </w:r>
    </w:p>
    <w:p>
      <w:pPr>
        <w:pStyle w:val="118"/>
        <w:ind w:firstLine="0" w:firstLineChars="0"/>
        <w:jc w:val="left"/>
        <w:outlineLvl w:val="0"/>
        <w:rPr>
          <w:rFonts w:hint="eastAsia" w:eastAsia="黑体"/>
          <w:szCs w:val="22"/>
          <w:lang w:eastAsia="zh-CN"/>
        </w:rPr>
      </w:pPr>
      <w:r>
        <w:rPr>
          <w:rFonts w:hint="eastAsia" w:eastAsia="黑体"/>
          <w:szCs w:val="22"/>
          <w:lang w:val="en-US" w:eastAsia="zh-CN"/>
        </w:rPr>
        <w:t>6</w:t>
      </w:r>
      <w:r>
        <w:rPr>
          <w:rFonts w:eastAsia="黑体"/>
          <w:szCs w:val="22"/>
        </w:rPr>
        <w:t>.2</w:t>
      </w:r>
      <w:r>
        <w:rPr>
          <w:rFonts w:hint="eastAsia" w:eastAsia="黑体"/>
          <w:szCs w:val="22"/>
          <w:lang w:eastAsia="zh-CN"/>
        </w:rPr>
        <w:t>玻璃量具</w:t>
      </w:r>
    </w:p>
    <w:p>
      <w:pPr>
        <w:pStyle w:val="118"/>
        <w:jc w:val="left"/>
        <w:outlineLvl w:val="0"/>
        <w:rPr>
          <w:bCs w:val="0"/>
          <w:szCs w:val="21"/>
          <w:shd w:val="clear" w:color="auto" w:fill="FFFFFF"/>
        </w:rPr>
      </w:pPr>
      <w:r>
        <w:rPr>
          <w:szCs w:val="21"/>
          <w:shd w:val="clear" w:color="auto" w:fill="FFFFFF"/>
        </w:rPr>
        <w:t>所有</w:t>
      </w:r>
      <w:r>
        <w:rPr>
          <w:rFonts w:hint="default" w:eastAsia="宋体"/>
          <w:szCs w:val="21"/>
          <w:shd w:val="clear" w:color="auto" w:fill="FFFFFF"/>
          <w:lang w:eastAsia="zh-CN"/>
        </w:rPr>
        <w:t>玻璃量具</w:t>
      </w:r>
      <w:r>
        <w:rPr>
          <w:szCs w:val="21"/>
          <w:shd w:val="clear" w:color="auto" w:fill="FFFFFF"/>
        </w:rPr>
        <w:t>都应符合ISO 385, ISO 648或ISO 1042的A级要求。</w:t>
      </w:r>
    </w:p>
    <w:p>
      <w:pPr>
        <w:pStyle w:val="72"/>
        <w:spacing w:before="156" w:after="156"/>
        <w:rPr>
          <w:rFonts w:ascii="Times New Roman"/>
        </w:rPr>
      </w:pPr>
      <w:r>
        <w:rPr>
          <w:rFonts w:hint="eastAsia" w:ascii="Times New Roman"/>
          <w:lang w:val="en-US" w:eastAsia="zh-CN"/>
        </w:rPr>
        <w:t>7</w:t>
      </w:r>
      <w:r>
        <w:rPr>
          <w:rFonts w:ascii="Times New Roman"/>
        </w:rPr>
        <w:t xml:space="preserve"> 取样及制样</w:t>
      </w:r>
    </w:p>
    <w:p>
      <w:pPr>
        <w:pStyle w:val="2"/>
        <w:tabs>
          <w:tab w:val="center" w:pos="4201"/>
          <w:tab w:val="right" w:leader="dot" w:pos="9298"/>
        </w:tabs>
        <w:ind w:firstLine="0" w:firstLineChars="0"/>
        <w:rPr>
          <w:rFonts w:ascii="Times New Roman"/>
          <w:szCs w:val="21"/>
        </w:rPr>
      </w:pPr>
      <w:r>
        <w:rPr>
          <w:rFonts w:ascii="Times New Roman"/>
          <w:sz w:val="21"/>
          <w:szCs w:val="21"/>
          <w:shd w:val="clear" w:color="auto" w:fill="FFFFFF"/>
        </w:rPr>
        <w:t>实验室样品的取样和制备应按</w:t>
      </w:r>
      <w:r>
        <w:rPr>
          <w:rFonts w:hint="eastAsia" w:ascii="Times New Roman"/>
          <w:sz w:val="21"/>
          <w:szCs w:val="21"/>
          <w:shd w:val="clear" w:color="auto" w:fill="FFFFFF"/>
        </w:rPr>
        <w:t>常规的协议</w:t>
      </w:r>
      <w:r>
        <w:rPr>
          <w:rFonts w:ascii="Times New Roman"/>
          <w:sz w:val="21"/>
          <w:szCs w:val="21"/>
          <w:shd w:val="clear" w:color="auto" w:fill="FFFFFF"/>
        </w:rPr>
        <w:t>程序进行，在发生争议时，按</w:t>
      </w:r>
      <w:r>
        <w:rPr>
          <w:rFonts w:hint="eastAsia" w:ascii="Times New Roman"/>
          <w:sz w:val="21"/>
          <w:szCs w:val="21"/>
          <w:shd w:val="clear" w:color="auto" w:fill="FFFFFF"/>
        </w:rPr>
        <w:t>相应</w:t>
      </w:r>
      <w:r>
        <w:rPr>
          <w:rFonts w:ascii="Times New Roman"/>
          <w:sz w:val="21"/>
          <w:szCs w:val="21"/>
          <w:shd w:val="clear" w:color="auto" w:fill="FFFFFF"/>
        </w:rPr>
        <w:t>的国家标准进行</w:t>
      </w:r>
      <w:r>
        <w:rPr>
          <w:rFonts w:ascii="Times New Roman"/>
          <w:szCs w:val="21"/>
        </w:rPr>
        <w:t>。</w:t>
      </w:r>
    </w:p>
    <w:p>
      <w:pPr>
        <w:pStyle w:val="2"/>
        <w:tabs>
          <w:tab w:val="center" w:pos="4201"/>
          <w:tab w:val="right" w:leader="dot" w:pos="9298"/>
        </w:tabs>
        <w:ind w:firstLine="0" w:firstLineChars="0"/>
        <w:rPr>
          <w:rFonts w:ascii="Times New Roman"/>
          <w:sz w:val="21"/>
          <w:szCs w:val="21"/>
        </w:rPr>
      </w:pPr>
      <w:r>
        <w:rPr>
          <w:rFonts w:ascii="Times New Roman"/>
          <w:sz w:val="21"/>
          <w:szCs w:val="21"/>
        </w:rPr>
        <w:t>实验室样本通常以铣或钻加工而成，不需要进一步的制备。</w:t>
      </w:r>
    </w:p>
    <w:p>
      <w:pPr>
        <w:pStyle w:val="2"/>
        <w:tabs>
          <w:tab w:val="center" w:pos="4201"/>
          <w:tab w:val="right" w:leader="dot" w:pos="9298"/>
        </w:tabs>
        <w:ind w:firstLine="0" w:firstLineChars="0"/>
        <w:rPr>
          <w:rFonts w:ascii="Times New Roman"/>
          <w:szCs w:val="21"/>
        </w:rPr>
      </w:pPr>
      <w:r>
        <w:rPr>
          <w:rFonts w:ascii="Times New Roman"/>
          <w:sz w:val="21"/>
          <w:szCs w:val="21"/>
          <w:shd w:val="clear" w:color="auto" w:fill="FFFFFF"/>
        </w:rPr>
        <w:t>如果怀疑实验室样品被铣或钻孔过程中产生的油或油脂污染，应用高纯度丙酮清洗，然后在空气中干燥。</w:t>
      </w:r>
    </w:p>
    <w:p>
      <w:pPr>
        <w:pStyle w:val="2"/>
        <w:tabs>
          <w:tab w:val="center" w:pos="4201"/>
          <w:tab w:val="right" w:leader="dot" w:pos="9298"/>
        </w:tabs>
        <w:ind w:firstLine="0" w:firstLineChars="0"/>
        <w:rPr>
          <w:rFonts w:ascii="Times New Roman"/>
          <w:szCs w:val="21"/>
        </w:rPr>
      </w:pPr>
      <w:r>
        <w:rPr>
          <w:rFonts w:ascii="Times New Roman"/>
          <w:sz w:val="21"/>
          <w:szCs w:val="21"/>
        </w:rPr>
        <w:t>如果实验室样品中含有颗粒或颗粒大小相差较大的碎片，则测试样品应采用随机分样器分取</w:t>
      </w:r>
      <w:r>
        <w:rPr>
          <w:rFonts w:ascii="Times New Roman"/>
          <w:szCs w:val="21"/>
        </w:rPr>
        <w:t>。</w:t>
      </w:r>
    </w:p>
    <w:p>
      <w:pPr>
        <w:pStyle w:val="72"/>
        <w:spacing w:before="156" w:after="156"/>
        <w:rPr>
          <w:rFonts w:ascii="Times New Roman"/>
          <w:bCs/>
        </w:rPr>
      </w:pPr>
      <w:r>
        <w:rPr>
          <w:rFonts w:hint="eastAsia" w:ascii="Times New Roman"/>
          <w:lang w:val="en-US" w:eastAsia="zh-CN"/>
        </w:rPr>
        <w:t>8</w:t>
      </w:r>
      <w:r>
        <w:rPr>
          <w:rFonts w:ascii="Times New Roman"/>
        </w:rPr>
        <w:t>分析步骤</w:t>
      </w:r>
    </w:p>
    <w:p>
      <w:pPr>
        <w:pStyle w:val="118"/>
        <w:ind w:firstLine="0" w:firstLineChars="0"/>
        <w:jc w:val="left"/>
        <w:outlineLvl w:val="0"/>
        <w:rPr>
          <w:rFonts w:eastAsia="黑体"/>
          <w:szCs w:val="22"/>
        </w:rPr>
      </w:pPr>
      <w:r>
        <w:rPr>
          <w:rFonts w:hint="eastAsia" w:eastAsia="黑体"/>
          <w:bCs/>
          <w:lang w:val="en-US" w:eastAsia="zh-CN"/>
        </w:rPr>
        <w:t>8</w:t>
      </w:r>
      <w:r>
        <w:rPr>
          <w:rFonts w:eastAsia="黑体"/>
          <w:bCs/>
        </w:rPr>
        <w:t xml:space="preserve">.1 </w:t>
      </w:r>
      <w:r>
        <w:rPr>
          <w:rFonts w:eastAsia="黑体"/>
          <w:szCs w:val="22"/>
        </w:rPr>
        <w:t>测试溶液的制备</w:t>
      </w:r>
    </w:p>
    <w:p>
      <w:pPr>
        <w:pStyle w:val="2"/>
        <w:tabs>
          <w:tab w:val="center" w:pos="4201"/>
          <w:tab w:val="right" w:leader="dot" w:pos="9298"/>
        </w:tabs>
        <w:ind w:firstLine="0" w:firstLineChars="0"/>
        <w:rPr>
          <w:rFonts w:ascii="Times New Roman"/>
          <w:sz w:val="21"/>
          <w:szCs w:val="21"/>
        </w:rPr>
      </w:pPr>
      <w:r>
        <w:rPr>
          <w:rFonts w:hint="eastAsia" w:ascii="Times New Roman"/>
          <w:szCs w:val="21"/>
          <w:lang w:val="en-US" w:eastAsia="zh-CN"/>
        </w:rPr>
        <w:t>8</w:t>
      </w:r>
      <w:r>
        <w:rPr>
          <w:rFonts w:ascii="Times New Roman"/>
          <w:szCs w:val="21"/>
        </w:rPr>
        <w:t>.1.1</w:t>
      </w:r>
      <w:r>
        <w:rPr>
          <w:rFonts w:ascii="Times New Roman"/>
          <w:sz w:val="21"/>
          <w:szCs w:val="21"/>
        </w:rPr>
        <w:t>按照表1称取含有20</w:t>
      </w:r>
      <w:r>
        <w:rPr>
          <w:rFonts w:hint="eastAsia" w:ascii="Times New Roman"/>
          <w:sz w:val="21"/>
          <w:szCs w:val="21"/>
        </w:rPr>
        <w:t xml:space="preserve"> </w:t>
      </w:r>
      <w:r>
        <w:rPr>
          <w:rFonts w:ascii="Times New Roman"/>
          <w:sz w:val="21"/>
          <w:szCs w:val="21"/>
        </w:rPr>
        <w:t>mg至80</w:t>
      </w:r>
      <w:r>
        <w:rPr>
          <w:rFonts w:hint="eastAsia" w:ascii="Times New Roman"/>
          <w:sz w:val="21"/>
          <w:szCs w:val="21"/>
        </w:rPr>
        <w:t xml:space="preserve"> </w:t>
      </w:r>
      <w:r>
        <w:rPr>
          <w:rFonts w:ascii="Times New Roman"/>
          <w:sz w:val="21"/>
          <w:szCs w:val="21"/>
        </w:rPr>
        <w:t>mg铬的试料，并将其转移到400 mL或600 mL高型烧杯中。</w:t>
      </w:r>
    </w:p>
    <w:p>
      <w:pPr>
        <w:pStyle w:val="118"/>
        <w:ind w:firstLine="0" w:firstLineChars="0"/>
        <w:jc w:val="center"/>
        <w:outlineLvl w:val="0"/>
        <w:rPr>
          <w:szCs w:val="21"/>
        </w:rPr>
      </w:pPr>
      <w:r>
        <w:rPr>
          <w:szCs w:val="21"/>
        </w:rPr>
        <w:t>表1 称取的样品量</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6"/>
        <w:gridCol w:w="292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873" w:type="pct"/>
            <w:shd w:val="clear" w:color="auto" w:fill="auto"/>
          </w:tcPr>
          <w:p>
            <w:pPr>
              <w:pStyle w:val="118"/>
              <w:jc w:val="center"/>
              <w:outlineLvl w:val="0"/>
              <w:rPr>
                <w:szCs w:val="21"/>
              </w:rPr>
            </w:pPr>
            <w:r>
              <w:rPr>
                <w:szCs w:val="21"/>
              </w:rPr>
              <w:t>预期的铬含量</w:t>
            </w:r>
          </w:p>
          <w:p>
            <w:pPr>
              <w:pStyle w:val="118"/>
              <w:jc w:val="center"/>
              <w:outlineLvl w:val="0"/>
              <w:rPr>
                <w:rFonts w:hint="eastAsia"/>
                <w:szCs w:val="21"/>
              </w:rPr>
            </w:pPr>
            <w:r>
              <w:rPr>
                <w:szCs w:val="21"/>
              </w:rPr>
              <w:t xml:space="preserve">% </w:t>
            </w:r>
            <w:r>
              <w:rPr>
                <w:rFonts w:hint="eastAsia"/>
                <w:szCs w:val="21"/>
              </w:rPr>
              <w:t>，质量分数</w:t>
            </w:r>
          </w:p>
        </w:tc>
        <w:tc>
          <w:tcPr>
            <w:tcW w:w="1526" w:type="pct"/>
            <w:shd w:val="clear" w:color="auto" w:fill="auto"/>
          </w:tcPr>
          <w:p>
            <w:pPr>
              <w:pStyle w:val="118"/>
              <w:jc w:val="center"/>
              <w:outlineLvl w:val="0"/>
              <w:rPr>
                <w:szCs w:val="21"/>
              </w:rPr>
            </w:pPr>
            <w:r>
              <w:rPr>
                <w:szCs w:val="21"/>
              </w:rPr>
              <w:t>样品量</w:t>
            </w:r>
          </w:p>
          <w:p>
            <w:pPr>
              <w:pStyle w:val="118"/>
              <w:jc w:val="center"/>
              <w:outlineLvl w:val="0"/>
              <w:rPr>
                <w:szCs w:val="21"/>
              </w:rPr>
            </w:pPr>
            <w:r>
              <w:rPr>
                <w:szCs w:val="21"/>
              </w:rPr>
              <w:t>g</w:t>
            </w:r>
          </w:p>
        </w:tc>
        <w:tc>
          <w:tcPr>
            <w:tcW w:w="1599" w:type="pct"/>
            <w:shd w:val="clear" w:color="auto" w:fill="auto"/>
          </w:tcPr>
          <w:p>
            <w:pPr>
              <w:pStyle w:val="118"/>
              <w:jc w:val="center"/>
              <w:outlineLvl w:val="0"/>
              <w:rPr>
                <w:szCs w:val="21"/>
              </w:rPr>
            </w:pPr>
            <w:r>
              <w:rPr>
                <w:szCs w:val="21"/>
              </w:rPr>
              <w:t>称量精度</w:t>
            </w:r>
          </w:p>
          <w:p>
            <w:pPr>
              <w:pStyle w:val="118"/>
              <w:jc w:val="center"/>
              <w:outlineLvl w:val="0"/>
              <w:rPr>
                <w:szCs w:val="21"/>
              </w:rPr>
            </w:pPr>
            <w:r>
              <w:rPr>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873" w:type="pct"/>
            <w:shd w:val="clear" w:color="auto" w:fill="auto"/>
          </w:tcPr>
          <w:p>
            <w:pPr>
              <w:pStyle w:val="118"/>
              <w:jc w:val="center"/>
              <w:outlineLvl w:val="0"/>
              <w:rPr>
                <w:szCs w:val="21"/>
              </w:rPr>
            </w:pPr>
            <w:r>
              <w:rPr>
                <w:szCs w:val="21"/>
              </w:rPr>
              <w:t>5～8</w:t>
            </w:r>
          </w:p>
        </w:tc>
        <w:tc>
          <w:tcPr>
            <w:tcW w:w="1526" w:type="pct"/>
            <w:shd w:val="clear" w:color="auto" w:fill="auto"/>
          </w:tcPr>
          <w:p>
            <w:pPr>
              <w:pStyle w:val="118"/>
              <w:jc w:val="center"/>
              <w:outlineLvl w:val="0"/>
              <w:rPr>
                <w:szCs w:val="21"/>
              </w:rPr>
            </w:pPr>
            <w:r>
              <w:rPr>
                <w:szCs w:val="21"/>
              </w:rPr>
              <w:t>0.5～1.0</w:t>
            </w:r>
          </w:p>
        </w:tc>
        <w:tc>
          <w:tcPr>
            <w:tcW w:w="1599" w:type="pct"/>
            <w:shd w:val="clear" w:color="auto" w:fill="auto"/>
          </w:tcPr>
          <w:p>
            <w:pPr>
              <w:pStyle w:val="118"/>
              <w:jc w:val="center"/>
              <w:outlineLvl w:val="0"/>
              <w:rPr>
                <w:szCs w:val="21"/>
              </w:rPr>
            </w:pPr>
            <w:r>
              <w:rPr>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873" w:type="pct"/>
            <w:shd w:val="clear" w:color="auto" w:fill="auto"/>
          </w:tcPr>
          <w:p>
            <w:pPr>
              <w:pStyle w:val="118"/>
              <w:jc w:val="center"/>
              <w:outlineLvl w:val="0"/>
              <w:rPr>
                <w:szCs w:val="21"/>
              </w:rPr>
            </w:pPr>
            <w:r>
              <w:rPr>
                <w:szCs w:val="21"/>
              </w:rPr>
              <w:t>8～15</w:t>
            </w:r>
          </w:p>
        </w:tc>
        <w:tc>
          <w:tcPr>
            <w:tcW w:w="1526" w:type="pct"/>
            <w:shd w:val="clear" w:color="auto" w:fill="auto"/>
          </w:tcPr>
          <w:p>
            <w:pPr>
              <w:pStyle w:val="118"/>
              <w:jc w:val="center"/>
              <w:outlineLvl w:val="0"/>
              <w:rPr>
                <w:szCs w:val="21"/>
              </w:rPr>
            </w:pPr>
            <w:r>
              <w:rPr>
                <w:szCs w:val="21"/>
              </w:rPr>
              <w:t>0.3～0.5</w:t>
            </w:r>
          </w:p>
        </w:tc>
        <w:tc>
          <w:tcPr>
            <w:tcW w:w="1599" w:type="pct"/>
            <w:shd w:val="clear" w:color="auto" w:fill="auto"/>
          </w:tcPr>
          <w:p>
            <w:pPr>
              <w:pStyle w:val="118"/>
              <w:jc w:val="center"/>
              <w:outlineLvl w:val="0"/>
              <w:rPr>
                <w:szCs w:val="21"/>
              </w:rPr>
            </w:pPr>
            <w:r>
              <w:rPr>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73" w:type="pct"/>
            <w:shd w:val="clear" w:color="auto" w:fill="auto"/>
          </w:tcPr>
          <w:p>
            <w:pPr>
              <w:pStyle w:val="118"/>
              <w:jc w:val="center"/>
              <w:outlineLvl w:val="0"/>
              <w:rPr>
                <w:szCs w:val="21"/>
              </w:rPr>
            </w:pPr>
            <w:r>
              <w:rPr>
                <w:szCs w:val="21"/>
              </w:rPr>
              <w:t>15～22</w:t>
            </w:r>
          </w:p>
        </w:tc>
        <w:tc>
          <w:tcPr>
            <w:tcW w:w="1526" w:type="pct"/>
            <w:shd w:val="clear" w:color="auto" w:fill="auto"/>
          </w:tcPr>
          <w:p>
            <w:pPr>
              <w:pStyle w:val="118"/>
              <w:jc w:val="center"/>
              <w:outlineLvl w:val="0"/>
              <w:rPr>
                <w:szCs w:val="21"/>
              </w:rPr>
            </w:pPr>
            <w:r>
              <w:rPr>
                <w:szCs w:val="21"/>
              </w:rPr>
              <w:t>0.2～0.3</w:t>
            </w:r>
          </w:p>
        </w:tc>
        <w:tc>
          <w:tcPr>
            <w:tcW w:w="1599" w:type="pct"/>
            <w:shd w:val="clear" w:color="auto" w:fill="auto"/>
          </w:tcPr>
          <w:p>
            <w:pPr>
              <w:pStyle w:val="118"/>
              <w:jc w:val="center"/>
              <w:outlineLvl w:val="0"/>
              <w:rPr>
                <w:szCs w:val="21"/>
              </w:rPr>
            </w:pPr>
            <w:r>
              <w:rPr>
                <w:szCs w:val="21"/>
              </w:rPr>
              <w:t>0.0002</w:t>
            </w:r>
          </w:p>
        </w:tc>
      </w:tr>
    </w:tbl>
    <w:p>
      <w:pPr>
        <w:pStyle w:val="2"/>
        <w:tabs>
          <w:tab w:val="center" w:pos="4201"/>
          <w:tab w:val="right" w:leader="dot" w:pos="9298"/>
        </w:tabs>
        <w:ind w:firstLine="0" w:firstLineChars="0"/>
        <w:rPr>
          <w:rFonts w:ascii="Times New Roman"/>
          <w:sz w:val="21"/>
          <w:szCs w:val="21"/>
        </w:rPr>
      </w:pPr>
    </w:p>
    <w:p>
      <w:pPr>
        <w:pStyle w:val="2"/>
        <w:tabs>
          <w:tab w:val="center" w:pos="4201"/>
          <w:tab w:val="right" w:leader="dot" w:pos="9298"/>
        </w:tabs>
        <w:ind w:firstLine="0" w:firstLineChars="0"/>
        <w:rPr>
          <w:rFonts w:ascii="Times New Roman"/>
          <w:szCs w:val="21"/>
        </w:rPr>
      </w:pPr>
      <w:r>
        <w:rPr>
          <w:rFonts w:hint="eastAsia" w:ascii="Times New Roman"/>
          <w:szCs w:val="21"/>
          <w:lang w:val="en-US" w:eastAsia="zh-CN"/>
        </w:rPr>
        <w:t>8</w:t>
      </w:r>
      <w:r>
        <w:rPr>
          <w:rFonts w:ascii="Times New Roman"/>
          <w:szCs w:val="21"/>
        </w:rPr>
        <w:t>.1.2</w:t>
      </w:r>
    </w:p>
    <w:p>
      <w:pPr>
        <w:pStyle w:val="2"/>
        <w:tabs>
          <w:tab w:val="center" w:pos="4201"/>
          <w:tab w:val="right" w:leader="dot" w:pos="9298"/>
        </w:tabs>
        <w:ind w:firstLine="420"/>
        <w:rPr>
          <w:rFonts w:ascii="Times New Roman"/>
          <w:sz w:val="21"/>
          <w:szCs w:val="21"/>
        </w:rPr>
      </w:pPr>
      <w:r>
        <w:rPr>
          <w:rFonts w:ascii="Times New Roman"/>
          <w:sz w:val="21"/>
          <w:szCs w:val="21"/>
        </w:rPr>
        <w:t>加入20 mL硝酸和盐酸混酸(</w:t>
      </w:r>
      <w:r>
        <w:rPr>
          <w:rFonts w:hint="default" w:ascii="Times New Roman"/>
          <w:sz w:val="21"/>
          <w:szCs w:val="21"/>
          <w:lang w:val="en-US" w:eastAsia="zh-CN"/>
        </w:rPr>
        <w:t>5</w:t>
      </w:r>
      <w:r>
        <w:rPr>
          <w:rFonts w:ascii="Times New Roman"/>
          <w:sz w:val="21"/>
          <w:szCs w:val="21"/>
        </w:rPr>
        <w:t>.</w:t>
      </w:r>
      <w:r>
        <w:rPr>
          <w:rFonts w:hint="default" w:ascii="Times New Roman"/>
          <w:sz w:val="21"/>
          <w:szCs w:val="21"/>
          <w:lang w:val="en-US" w:eastAsia="zh-CN"/>
        </w:rPr>
        <w:t>7</w:t>
      </w:r>
      <w:r>
        <w:rPr>
          <w:rFonts w:ascii="Times New Roman"/>
          <w:sz w:val="21"/>
          <w:szCs w:val="21"/>
        </w:rPr>
        <w:t>)加热至样品溶解。如果合金不易溶解，以每次1</w:t>
      </w:r>
      <w:r>
        <w:rPr>
          <w:rFonts w:hint="eastAsia" w:ascii="Times New Roman"/>
          <w:sz w:val="21"/>
          <w:szCs w:val="21"/>
        </w:rPr>
        <w:t xml:space="preserve"> </w:t>
      </w:r>
      <w:r>
        <w:rPr>
          <w:rFonts w:ascii="Times New Roman"/>
          <w:sz w:val="21"/>
          <w:szCs w:val="21"/>
        </w:rPr>
        <w:t>mL的量逐次加入盐酸(5.1)，并继续加热直至溶解样品。</w:t>
      </w:r>
      <w:r>
        <w:rPr>
          <w:rFonts w:hint="eastAsia" w:ascii="Times New Roman"/>
          <w:sz w:val="21"/>
          <w:szCs w:val="21"/>
        </w:rPr>
        <w:t>对于</w:t>
      </w:r>
      <w:r>
        <w:rPr>
          <w:rFonts w:hint="default" w:ascii="Times New Roman"/>
          <w:sz w:val="21"/>
          <w:szCs w:val="21"/>
          <w:lang w:eastAsia="zh-CN"/>
        </w:rPr>
        <w:t>有些合金</w:t>
      </w:r>
      <w:r>
        <w:rPr>
          <w:rFonts w:hint="eastAsia" w:ascii="Times New Roman"/>
          <w:sz w:val="21"/>
          <w:szCs w:val="21"/>
        </w:rPr>
        <w:t>，加入30mL</w:t>
      </w:r>
      <w:r>
        <w:rPr>
          <w:rFonts w:ascii="Times New Roman"/>
          <w:sz w:val="21"/>
          <w:szCs w:val="21"/>
        </w:rPr>
        <w:t>盐酸(</w:t>
      </w:r>
      <w:r>
        <w:rPr>
          <w:rFonts w:hint="default" w:ascii="Times New Roman"/>
          <w:sz w:val="21"/>
          <w:szCs w:val="21"/>
          <w:lang w:val="en-US" w:eastAsia="zh-CN"/>
        </w:rPr>
        <w:t>5</w:t>
      </w:r>
      <w:r>
        <w:rPr>
          <w:rFonts w:ascii="Times New Roman"/>
          <w:sz w:val="21"/>
          <w:szCs w:val="21"/>
        </w:rPr>
        <w:t>.1)和2 mL硝酸(</w:t>
      </w:r>
      <w:r>
        <w:rPr>
          <w:rFonts w:hint="default" w:ascii="Times New Roman"/>
          <w:sz w:val="21"/>
          <w:szCs w:val="21"/>
          <w:lang w:val="en-US" w:eastAsia="zh-CN"/>
        </w:rPr>
        <w:t>5</w:t>
      </w:r>
      <w:r>
        <w:rPr>
          <w:rFonts w:ascii="Times New Roman"/>
          <w:sz w:val="21"/>
          <w:szCs w:val="21"/>
        </w:rPr>
        <w:t>.3)</w:t>
      </w:r>
      <w:r>
        <w:rPr>
          <w:rFonts w:hint="default" w:ascii="Times New Roman"/>
          <w:sz w:val="21"/>
          <w:szCs w:val="21"/>
          <w:lang w:eastAsia="zh-CN"/>
        </w:rPr>
        <w:t>的混酸更有效</w:t>
      </w:r>
      <w:r>
        <w:rPr>
          <w:rFonts w:ascii="Times New Roman"/>
          <w:sz w:val="21"/>
          <w:szCs w:val="21"/>
        </w:rPr>
        <w:t>。</w:t>
      </w:r>
    </w:p>
    <w:p>
      <w:pPr>
        <w:pStyle w:val="2"/>
        <w:tabs>
          <w:tab w:val="center" w:pos="4201"/>
          <w:tab w:val="right" w:leader="dot" w:pos="9298"/>
        </w:tabs>
        <w:ind w:firstLine="420"/>
        <w:rPr>
          <w:rFonts w:hint="eastAsia" w:ascii="Times New Roman"/>
          <w:sz w:val="21"/>
          <w:szCs w:val="21"/>
        </w:rPr>
      </w:pPr>
      <w:r>
        <w:rPr>
          <w:rFonts w:hint="eastAsia" w:ascii="Times New Roman"/>
          <w:sz w:val="21"/>
          <w:szCs w:val="21"/>
        </w:rPr>
        <w:t>如果实验室样品由大块金属屑组成，铬含量高于10% (m/m)时，可称取1g的试料，样品溶解后将测试溶液转移到100 mL的单标线容量烧瓶中，对铬含量为10 %～15% (m/m)的试料，用移液管分取50 mL，对铬含量为15 %～30% (m/m)的试料，用移液管分取25 mL，移入400 mL或600 mL高型烧杯中，按</w:t>
      </w:r>
      <w:r>
        <w:rPr>
          <w:rFonts w:hint="eastAsia" w:ascii="Times New Roman"/>
          <w:sz w:val="21"/>
          <w:szCs w:val="21"/>
          <w:lang w:val="en-US" w:eastAsia="zh-CN"/>
        </w:rPr>
        <w:t>8</w:t>
      </w:r>
      <w:r>
        <w:rPr>
          <w:rFonts w:hint="eastAsia" w:ascii="Times New Roman"/>
          <w:sz w:val="21"/>
          <w:szCs w:val="21"/>
        </w:rPr>
        <w:t>.1.3步骤进行。</w:t>
      </w:r>
    </w:p>
    <w:p>
      <w:pPr>
        <w:pStyle w:val="118"/>
        <w:ind w:firstLine="0" w:firstLineChars="0"/>
        <w:jc w:val="left"/>
        <w:outlineLvl w:val="0"/>
        <w:rPr>
          <w:szCs w:val="21"/>
        </w:rPr>
      </w:pPr>
      <w:r>
        <w:rPr>
          <w:rFonts w:hint="eastAsia" w:eastAsia="黑体"/>
          <w:bCs/>
          <w:sz w:val="20"/>
          <w:szCs w:val="20"/>
          <w:lang w:val="en-US" w:eastAsia="zh-CN"/>
        </w:rPr>
        <w:t>8</w:t>
      </w:r>
      <w:r>
        <w:rPr>
          <w:rFonts w:eastAsia="黑体"/>
          <w:bCs/>
          <w:sz w:val="20"/>
          <w:szCs w:val="20"/>
        </w:rPr>
        <w:t>.1.3</w:t>
      </w:r>
      <w:r>
        <w:rPr>
          <w:rFonts w:hint="eastAsia" w:eastAsia="黑体"/>
          <w:bCs/>
          <w:sz w:val="20"/>
          <w:szCs w:val="20"/>
          <w:lang w:eastAsia="zh-CN"/>
        </w:rPr>
        <w:t>向试液中加入</w:t>
      </w:r>
      <w:r>
        <w:rPr>
          <w:szCs w:val="21"/>
        </w:rPr>
        <w:t>20 mL稀释的硫酸(</w:t>
      </w:r>
      <w:r>
        <w:rPr>
          <w:rFonts w:hint="eastAsia"/>
          <w:szCs w:val="21"/>
          <w:lang w:val="en-US" w:eastAsia="zh-CN"/>
        </w:rPr>
        <w:t>5</w:t>
      </w:r>
      <w:r>
        <w:rPr>
          <w:szCs w:val="21"/>
        </w:rPr>
        <w:t>.4)，蒸发至冒烟（明显出现硫酸烟1min或硫酸烟流下落</w:t>
      </w:r>
      <w:r>
        <w:rPr>
          <w:rFonts w:hint="eastAsia"/>
          <w:szCs w:val="21"/>
        </w:rPr>
        <w:t>，保证试液中氯完全除去</w:t>
      </w:r>
      <w:r>
        <w:rPr>
          <w:szCs w:val="21"/>
        </w:rPr>
        <w:t>）。稍微冷却，加入100 mL热水，煮沸，直到残渣溶解。（样品量大的低铬样品或含钨、钼、铌等元素的样品，硫酸近冒烟时，应防止快速冒烟时大量盐类沉淀引起的迸溅。）</w:t>
      </w:r>
    </w:p>
    <w:p>
      <w:pPr>
        <w:pStyle w:val="118"/>
        <w:ind w:firstLine="0" w:firstLineChars="0"/>
        <w:jc w:val="left"/>
        <w:outlineLvl w:val="0"/>
        <w:rPr>
          <w:szCs w:val="21"/>
        </w:rPr>
      </w:pPr>
      <w:r>
        <w:rPr>
          <w:rFonts w:hint="eastAsia" w:eastAsia="黑体"/>
          <w:bCs/>
          <w:sz w:val="20"/>
          <w:szCs w:val="20"/>
          <w:lang w:val="en-US" w:eastAsia="zh-CN"/>
        </w:rPr>
        <w:t>8</w:t>
      </w:r>
      <w:r>
        <w:rPr>
          <w:rFonts w:eastAsia="黑体"/>
          <w:bCs/>
          <w:sz w:val="20"/>
          <w:szCs w:val="20"/>
        </w:rPr>
        <w:t>.1.4</w:t>
      </w:r>
      <w:r>
        <w:rPr>
          <w:szCs w:val="21"/>
        </w:rPr>
        <w:t>将溶液稀释至200 mL，加入多孔瓷片或沸珠，加热至沸腾。加入5 mL硝酸银溶液(见</w:t>
      </w:r>
      <w:r>
        <w:rPr>
          <w:rFonts w:hint="eastAsia"/>
          <w:szCs w:val="21"/>
          <w:lang w:val="en-US" w:eastAsia="zh-CN"/>
        </w:rPr>
        <w:t>5.5</w:t>
      </w:r>
      <w:r>
        <w:rPr>
          <w:szCs w:val="21"/>
        </w:rPr>
        <w:t>)和5 g的过硫酸铵</w:t>
      </w:r>
      <w:r>
        <w:rPr>
          <w:rFonts w:hint="eastAsia"/>
          <w:szCs w:val="21"/>
          <w:lang w:eastAsia="zh-CN"/>
        </w:rPr>
        <w:t>（</w:t>
      </w:r>
      <w:r>
        <w:rPr>
          <w:rFonts w:hint="eastAsia"/>
          <w:szCs w:val="21"/>
          <w:lang w:val="en-US" w:eastAsia="zh-CN"/>
        </w:rPr>
        <w:t>5.6</w:t>
      </w:r>
      <w:r>
        <w:rPr>
          <w:rFonts w:hint="eastAsia"/>
          <w:szCs w:val="21"/>
          <w:lang w:eastAsia="zh-CN"/>
        </w:rPr>
        <w:t>）</w:t>
      </w:r>
      <w:r>
        <w:rPr>
          <w:szCs w:val="21"/>
        </w:rPr>
        <w:t>，保持持续微沸15 min，（剧烈沸腾易产生静沸，且过硫酸铵分解过快，造成迸溅和氧化剂不足）使铬完全氧化为铬(VI)。如果样品中锰的含量显著，粉红色可以持续大约10 min即表明铬被完全氧化了。对于铬含量很高而锰含量较低的样品，可以加几滴高锰酸钾溶液(1</w:t>
      </w:r>
      <w:r>
        <w:rPr>
          <w:rFonts w:hint="eastAsia"/>
          <w:szCs w:val="21"/>
        </w:rPr>
        <w:t>0</w:t>
      </w:r>
      <w:r>
        <w:rPr>
          <w:szCs w:val="21"/>
        </w:rPr>
        <w:t xml:space="preserve"> g/L)来指示铬是否完全氧化。</w:t>
      </w:r>
    </w:p>
    <w:p>
      <w:pPr>
        <w:pStyle w:val="118"/>
        <w:ind w:firstLine="0" w:firstLineChars="0"/>
        <w:jc w:val="left"/>
        <w:outlineLvl w:val="0"/>
        <w:rPr>
          <w:szCs w:val="21"/>
        </w:rPr>
      </w:pPr>
      <w:r>
        <w:rPr>
          <w:rFonts w:hint="eastAsia" w:eastAsia="黑体"/>
          <w:bCs/>
          <w:sz w:val="20"/>
          <w:szCs w:val="20"/>
          <w:lang w:val="en-US" w:eastAsia="zh-CN"/>
        </w:rPr>
        <w:t>8</w:t>
      </w:r>
      <w:r>
        <w:rPr>
          <w:rFonts w:eastAsia="黑体"/>
          <w:bCs/>
          <w:sz w:val="20"/>
          <w:szCs w:val="20"/>
        </w:rPr>
        <w:t xml:space="preserve">.1.5 </w:t>
      </w:r>
      <w:r>
        <w:rPr>
          <w:szCs w:val="21"/>
        </w:rPr>
        <w:t xml:space="preserve">加入5 </w:t>
      </w:r>
      <w:bookmarkStart w:id="3" w:name="OLE_LINK5"/>
      <w:r>
        <w:rPr>
          <w:szCs w:val="21"/>
        </w:rPr>
        <w:t>m</w:t>
      </w:r>
      <w:bookmarkEnd w:id="3"/>
      <w:r>
        <w:rPr>
          <w:szCs w:val="21"/>
        </w:rPr>
        <w:t>L稀释的盐酸</w:t>
      </w:r>
      <w:r>
        <w:rPr>
          <w:rFonts w:hint="eastAsia"/>
          <w:szCs w:val="21"/>
          <w:lang w:eastAsia="zh-CN"/>
        </w:rPr>
        <w:t>（</w:t>
      </w:r>
      <w:r>
        <w:rPr>
          <w:rFonts w:hint="eastAsia"/>
          <w:szCs w:val="21"/>
          <w:lang w:val="en-US" w:eastAsia="zh-CN"/>
        </w:rPr>
        <w:t>5.2</w:t>
      </w:r>
      <w:r>
        <w:rPr>
          <w:rFonts w:hint="eastAsia"/>
          <w:szCs w:val="21"/>
          <w:lang w:eastAsia="zh-CN"/>
        </w:rPr>
        <w:t>）</w:t>
      </w:r>
      <w:r>
        <w:rPr>
          <w:szCs w:val="21"/>
        </w:rPr>
        <w:t>后，继续煮 5 min</w:t>
      </w:r>
      <w:r>
        <w:rPr>
          <w:rFonts w:hint="eastAsia"/>
          <w:szCs w:val="21"/>
          <w:lang w:eastAsia="zh-CN"/>
        </w:rPr>
        <w:t>，</w:t>
      </w:r>
      <w:r>
        <w:rPr>
          <w:szCs w:val="21"/>
        </w:rPr>
        <w:t>直至所有的粉红色应全部消失。如果持续沸腾5 min后，高锰酸盐的颜色仍在，则再加5 mL盐酸，再煮沸5分钟, 重复此操作，直到高锰酸盐的颜色完全消失（此时保证溶液呈重铬酸钾的橙黄色，且氯化银白色沉淀明显可见）。</w:t>
      </w:r>
    </w:p>
    <w:p>
      <w:pPr>
        <w:pStyle w:val="118"/>
        <w:ind w:firstLine="0" w:firstLineChars="0"/>
        <w:jc w:val="left"/>
        <w:outlineLvl w:val="0"/>
        <w:rPr>
          <w:szCs w:val="21"/>
        </w:rPr>
      </w:pPr>
      <w:r>
        <w:rPr>
          <w:rFonts w:hint="eastAsia" w:eastAsia="黑体"/>
          <w:bCs/>
          <w:sz w:val="20"/>
          <w:szCs w:val="20"/>
          <w:lang w:val="en-US" w:eastAsia="zh-CN"/>
        </w:rPr>
        <w:t>8</w:t>
      </w:r>
      <w:r>
        <w:rPr>
          <w:rFonts w:eastAsia="黑体"/>
          <w:bCs/>
          <w:sz w:val="20"/>
          <w:szCs w:val="20"/>
        </w:rPr>
        <w:t xml:space="preserve">.1.6 </w:t>
      </w:r>
      <w:r>
        <w:rPr>
          <w:szCs w:val="21"/>
        </w:rPr>
        <w:t>将溶液冷却至室温，按</w:t>
      </w:r>
      <w:r>
        <w:rPr>
          <w:rFonts w:hint="eastAsia"/>
          <w:szCs w:val="21"/>
          <w:lang w:val="en-US" w:eastAsia="zh-CN"/>
        </w:rPr>
        <w:t>8</w:t>
      </w:r>
      <w:r>
        <w:rPr>
          <w:szCs w:val="21"/>
        </w:rPr>
        <w:t>.2规定的方法，用硫酸亚铁铵溶液(</w:t>
      </w:r>
      <w:r>
        <w:rPr>
          <w:rFonts w:hint="eastAsia"/>
          <w:szCs w:val="21"/>
          <w:lang w:val="en-US" w:eastAsia="zh-CN"/>
        </w:rPr>
        <w:t>5.9</w:t>
      </w:r>
      <w:r>
        <w:rPr>
          <w:szCs w:val="21"/>
        </w:rPr>
        <w:t>)进行电位滴定。</w:t>
      </w:r>
    </w:p>
    <w:p>
      <w:pPr>
        <w:pStyle w:val="118"/>
        <w:ind w:firstLine="0" w:firstLineChars="0"/>
        <w:jc w:val="left"/>
        <w:outlineLvl w:val="0"/>
        <w:rPr>
          <w:rFonts w:eastAsia="黑体"/>
          <w:szCs w:val="22"/>
        </w:rPr>
      </w:pPr>
      <w:r>
        <w:rPr>
          <w:rFonts w:hint="eastAsia" w:eastAsia="黑体"/>
          <w:szCs w:val="22"/>
          <w:lang w:val="en-US" w:eastAsia="zh-CN"/>
        </w:rPr>
        <w:t>8</w:t>
      </w:r>
      <w:r>
        <w:rPr>
          <w:rFonts w:eastAsia="黑体"/>
          <w:szCs w:val="22"/>
        </w:rPr>
        <w:t>.2</w:t>
      </w:r>
      <w:r>
        <w:rPr>
          <w:rFonts w:hint="eastAsia" w:eastAsia="黑体"/>
          <w:szCs w:val="22"/>
        </w:rPr>
        <w:t>测</w:t>
      </w:r>
      <w:r>
        <w:rPr>
          <w:rFonts w:eastAsia="黑体"/>
          <w:szCs w:val="22"/>
        </w:rPr>
        <w:t>定</w:t>
      </w:r>
    </w:p>
    <w:p>
      <w:pPr>
        <w:pStyle w:val="118"/>
        <w:jc w:val="left"/>
        <w:outlineLvl w:val="0"/>
        <w:rPr>
          <w:szCs w:val="21"/>
        </w:rPr>
      </w:pPr>
      <w:r>
        <w:rPr>
          <w:szCs w:val="21"/>
        </w:rPr>
        <w:t>将盛有测试溶液的烧杯放在滴定仪(</w:t>
      </w:r>
      <w:r>
        <w:rPr>
          <w:rFonts w:hint="eastAsia"/>
          <w:szCs w:val="21"/>
          <w:lang w:val="en-US" w:eastAsia="zh-CN"/>
        </w:rPr>
        <w:t>6</w:t>
      </w:r>
      <w:r>
        <w:rPr>
          <w:szCs w:val="21"/>
        </w:rPr>
        <w:t>.1)的搅拌器上，插入指示电极(</w:t>
      </w:r>
      <w:r>
        <w:rPr>
          <w:rFonts w:hint="eastAsia"/>
          <w:szCs w:val="21"/>
          <w:lang w:val="en-US" w:eastAsia="zh-CN"/>
        </w:rPr>
        <w:t>6</w:t>
      </w:r>
      <w:r>
        <w:rPr>
          <w:szCs w:val="21"/>
        </w:rPr>
        <w:t>.1)和参比电极(</w:t>
      </w:r>
      <w:r>
        <w:rPr>
          <w:rFonts w:hint="eastAsia"/>
          <w:szCs w:val="21"/>
          <w:lang w:val="en-US" w:eastAsia="zh-CN"/>
        </w:rPr>
        <w:t>6</w:t>
      </w:r>
      <w:r>
        <w:rPr>
          <w:szCs w:val="21"/>
        </w:rPr>
        <w:t>.1.2)，然后连接到电压表(</w:t>
      </w:r>
      <w:r>
        <w:rPr>
          <w:rFonts w:hint="eastAsia"/>
          <w:szCs w:val="21"/>
          <w:lang w:val="en-US" w:eastAsia="zh-CN"/>
        </w:rPr>
        <w:t>6</w:t>
      </w:r>
      <w:r>
        <w:rPr>
          <w:szCs w:val="21"/>
        </w:rPr>
        <w:t>.1.4)上。打开搅拌器，按表1用相应浓度的硫酸亚铁铵溶液(</w:t>
      </w:r>
      <w:r>
        <w:rPr>
          <w:rFonts w:hint="eastAsia"/>
          <w:szCs w:val="21"/>
          <w:lang w:val="en-US" w:eastAsia="zh-CN"/>
        </w:rPr>
        <w:t>5.9</w:t>
      </w:r>
      <w:r>
        <w:rPr>
          <w:szCs w:val="21"/>
        </w:rPr>
        <w:t>)滴定 ，快速加入滴定剂，直到接近终点。（可预滴定至近终点余5</w:t>
      </w:r>
      <w:r>
        <w:rPr>
          <w:rFonts w:hint="eastAsia"/>
          <w:szCs w:val="21"/>
        </w:rPr>
        <w:t xml:space="preserve"> </w:t>
      </w:r>
      <w:r>
        <w:rPr>
          <w:szCs w:val="21"/>
        </w:rPr>
        <w:t xml:space="preserve">mL左右）继续以 0.l </w:t>
      </w:r>
      <w:r>
        <w:rPr>
          <w:szCs w:val="21"/>
          <w:shd w:val="clear" w:color="auto" w:fill="FFFFFF"/>
        </w:rPr>
        <w:t>mL</w:t>
      </w:r>
      <w:r>
        <w:rPr>
          <w:szCs w:val="21"/>
        </w:rPr>
        <w:t>或逐滴加入滴定剂，每滴一次达到电位平衡后，记录滴定管读和电位的读数，继续滴定通过终点。通过插值或滴定曲线确定终点(见</w:t>
      </w:r>
      <w:r>
        <w:rPr>
          <w:rFonts w:hint="eastAsia"/>
          <w:szCs w:val="21"/>
          <w:lang w:val="en-US" w:eastAsia="zh-CN"/>
        </w:rPr>
        <w:t>10</w:t>
      </w:r>
      <w:r>
        <w:rPr>
          <w:szCs w:val="21"/>
        </w:rPr>
        <w:t>.2)。</w:t>
      </w:r>
    </w:p>
    <w:p>
      <w:pPr>
        <w:pStyle w:val="118"/>
        <w:ind w:firstLine="0" w:firstLineChars="0"/>
        <w:jc w:val="left"/>
        <w:outlineLvl w:val="0"/>
        <w:rPr>
          <w:rFonts w:eastAsia="黑体"/>
          <w:szCs w:val="22"/>
        </w:rPr>
      </w:pPr>
      <w:r>
        <w:rPr>
          <w:rFonts w:hint="eastAsia" w:eastAsia="黑体"/>
          <w:szCs w:val="22"/>
          <w:lang w:val="en-US" w:eastAsia="zh-CN"/>
        </w:rPr>
        <w:t>8</w:t>
      </w:r>
      <w:r>
        <w:rPr>
          <w:rFonts w:eastAsia="黑体"/>
          <w:szCs w:val="22"/>
        </w:rPr>
        <w:t>.3空白试验</w:t>
      </w:r>
    </w:p>
    <w:p>
      <w:pPr>
        <w:pStyle w:val="118"/>
        <w:jc w:val="left"/>
        <w:outlineLvl w:val="0"/>
        <w:rPr>
          <w:szCs w:val="21"/>
        </w:rPr>
      </w:pPr>
      <w:r>
        <w:rPr>
          <w:rFonts w:hint="eastAsia"/>
          <w:szCs w:val="21"/>
          <w:shd w:val="clear" w:color="auto" w:fill="FFFFFF"/>
        </w:rPr>
        <w:t>随同试料进行空白试验，不加试样，按照分析步骤只加等量的试剂。</w:t>
      </w:r>
    </w:p>
    <w:p>
      <w:pPr>
        <w:pStyle w:val="118"/>
        <w:ind w:firstLine="0" w:firstLineChars="0"/>
        <w:jc w:val="left"/>
        <w:outlineLvl w:val="0"/>
        <w:rPr>
          <w:rFonts w:eastAsia="黑体"/>
          <w:szCs w:val="22"/>
        </w:rPr>
      </w:pPr>
      <w:r>
        <w:rPr>
          <w:rFonts w:hint="eastAsia" w:eastAsia="黑体"/>
          <w:szCs w:val="22"/>
          <w:lang w:val="en-US" w:eastAsia="zh-CN"/>
        </w:rPr>
        <w:t>8</w:t>
      </w:r>
      <w:r>
        <w:rPr>
          <w:rFonts w:eastAsia="黑体"/>
          <w:szCs w:val="22"/>
        </w:rPr>
        <w:t>.4测定次数</w:t>
      </w:r>
    </w:p>
    <w:p>
      <w:pPr>
        <w:pStyle w:val="118"/>
        <w:jc w:val="left"/>
        <w:outlineLvl w:val="0"/>
        <w:rPr>
          <w:szCs w:val="21"/>
        </w:rPr>
      </w:pPr>
      <w:r>
        <w:rPr>
          <w:szCs w:val="21"/>
        </w:rPr>
        <w:t>平行测定至少两次。</w:t>
      </w:r>
    </w:p>
    <w:p>
      <w:pPr>
        <w:pStyle w:val="72"/>
        <w:spacing w:before="156" w:after="156"/>
        <w:rPr>
          <w:rFonts w:ascii="Times New Roman"/>
        </w:rPr>
      </w:pPr>
      <w:r>
        <w:rPr>
          <w:rFonts w:hint="eastAsia" w:ascii="Times New Roman"/>
          <w:lang w:val="en-US" w:eastAsia="zh-CN"/>
        </w:rPr>
        <w:t>9</w:t>
      </w:r>
      <w:r>
        <w:rPr>
          <w:rFonts w:ascii="Times New Roman"/>
        </w:rPr>
        <w:t xml:space="preserve"> 结果的表述</w:t>
      </w:r>
    </w:p>
    <w:p>
      <w:pPr>
        <w:pStyle w:val="118"/>
        <w:ind w:firstLine="0" w:firstLineChars="0"/>
        <w:jc w:val="left"/>
        <w:outlineLvl w:val="0"/>
        <w:rPr>
          <w:rFonts w:eastAsia="黑体"/>
          <w:szCs w:val="22"/>
        </w:rPr>
      </w:pPr>
      <w:r>
        <w:rPr>
          <w:rFonts w:hint="eastAsia" w:eastAsia="黑体"/>
          <w:szCs w:val="22"/>
          <w:lang w:val="en-US" w:eastAsia="zh-CN"/>
        </w:rPr>
        <w:t>9</w:t>
      </w:r>
      <w:r>
        <w:rPr>
          <w:rFonts w:eastAsia="黑体"/>
          <w:szCs w:val="22"/>
        </w:rPr>
        <w:t>.1 结果计算</w:t>
      </w:r>
    </w:p>
    <w:p>
      <w:pPr>
        <w:pStyle w:val="118"/>
        <w:jc w:val="left"/>
        <w:outlineLvl w:val="0"/>
        <w:rPr>
          <w:szCs w:val="21"/>
        </w:rPr>
      </w:pPr>
      <w:r>
        <w:rPr>
          <w:szCs w:val="21"/>
        </w:rPr>
        <w:t>按下述公式（2）计算铬含量，以质量</w:t>
      </w:r>
      <w:r>
        <w:rPr>
          <w:rFonts w:hint="eastAsia"/>
          <w:szCs w:val="21"/>
        </w:rPr>
        <w:t>百分数</w:t>
      </w:r>
      <w:r>
        <w:rPr>
          <w:szCs w:val="21"/>
        </w:rPr>
        <w:t>表示：</w:t>
      </w:r>
    </w:p>
    <w:p>
      <w:pPr>
        <w:pStyle w:val="118"/>
        <w:ind w:firstLine="0" w:firstLineChars="0"/>
        <w:jc w:val="left"/>
        <w:outlineLvl w:val="0"/>
        <w:rPr>
          <w:szCs w:val="21"/>
        </w:rPr>
      </w:pPr>
    </w:p>
    <w:p>
      <w:pPr>
        <w:snapToGrid w:val="0"/>
        <w:ind w:right="420" w:firstLine="560" w:firstLineChars="200"/>
        <w:jc w:val="center"/>
        <w:rPr>
          <w:sz w:val="28"/>
          <w:szCs w:val="28"/>
        </w:rPr>
      </w:pPr>
      <w:r>
        <w:rPr>
          <w:sz w:val="28"/>
          <w:szCs w:val="28"/>
        </w:rPr>
        <w:t xml:space="preserve">         </w:t>
      </w:r>
      <w:r>
        <w:rPr>
          <w:position w:val="-24"/>
          <w:sz w:val="28"/>
          <w:szCs w:val="28"/>
        </w:rPr>
        <w:object>
          <v:shape id="_x0000_i1028" o:spt="75" type="#_x0000_t75" style="height:31pt;width:163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sz w:val="28"/>
          <w:szCs w:val="28"/>
        </w:rPr>
        <w:t>…………….………….…</w:t>
      </w:r>
      <w:r>
        <w:rPr>
          <w:szCs w:val="21"/>
        </w:rPr>
        <w:t>（2）</w:t>
      </w:r>
    </w:p>
    <w:p>
      <w:pPr>
        <w:pStyle w:val="118"/>
        <w:jc w:val="left"/>
      </w:pPr>
      <w:r>
        <w:t>式中：</w:t>
      </w:r>
    </w:p>
    <w:p>
      <w:pPr>
        <w:pStyle w:val="118"/>
        <w:jc w:val="left"/>
      </w:pPr>
      <w:r>
        <w:rPr>
          <w:i/>
          <w:iCs/>
        </w:rPr>
        <w:t>V</w:t>
      </w:r>
      <w:r>
        <w:rPr>
          <w:i/>
          <w:iCs/>
          <w:vertAlign w:val="subscript"/>
        </w:rPr>
        <w:t>0</w:t>
      </w:r>
      <w:r>
        <w:t>——硫酸亚铁铵滴定空白消耗的体积，单位为毫升（mL）；</w:t>
      </w:r>
    </w:p>
    <w:p>
      <w:pPr>
        <w:pStyle w:val="118"/>
        <w:jc w:val="left"/>
      </w:pPr>
      <w:r>
        <w:rPr>
          <w:i/>
          <w:iCs/>
        </w:rPr>
        <w:t>V</w:t>
      </w:r>
      <w:r>
        <w:rPr>
          <w:i/>
          <w:iCs/>
          <w:vertAlign w:val="subscript"/>
        </w:rPr>
        <w:t>3</w:t>
      </w:r>
      <w:r>
        <w:t>——硫酸亚铁铵滴定样品消耗的体积，单位为毫升（mL）；</w:t>
      </w:r>
    </w:p>
    <w:p>
      <w:pPr>
        <w:pStyle w:val="118"/>
        <w:jc w:val="left"/>
      </w:pPr>
      <w:r>
        <w:t>c ——硫酸亚铁铵溶液的实际浓度，单位为摩尔/升（mol/L）；</w:t>
      </w:r>
    </w:p>
    <w:p>
      <w:pPr>
        <w:pStyle w:val="118"/>
        <w:jc w:val="left"/>
      </w:pPr>
      <w:r>
        <w:rPr>
          <w:i/>
          <w:iCs/>
        </w:rPr>
        <w:t xml:space="preserve">m </w:t>
      </w:r>
      <w:r>
        <w:t>——试料的质量，单位为克（g）；</w:t>
      </w:r>
    </w:p>
    <w:p>
      <w:pPr>
        <w:pStyle w:val="118"/>
        <w:jc w:val="left"/>
        <w:rPr>
          <w:i/>
        </w:rPr>
      </w:pPr>
      <w:r>
        <w:rPr>
          <w:i/>
        </w:rPr>
        <w:t>0.01733</w:t>
      </w:r>
      <w:r>
        <w:t>——1.00</w:t>
      </w:r>
      <w:r>
        <w:rPr>
          <w:rFonts w:hint="eastAsia"/>
        </w:rPr>
        <w:t xml:space="preserve"> </w:t>
      </w:r>
      <w:r>
        <w:t>m</w:t>
      </w:r>
      <w:r>
        <w:rPr>
          <w:rFonts w:hint="eastAsia"/>
        </w:rPr>
        <w:t>L</w:t>
      </w:r>
      <w:r>
        <w:t>硫酸亚铁铵溶液（c=1.000 mol/</w:t>
      </w:r>
      <w:r>
        <w:rPr>
          <w:rFonts w:hint="eastAsia"/>
        </w:rPr>
        <w:t>L</w:t>
      </w:r>
      <w:r>
        <w:t>）</w:t>
      </w:r>
      <w:r>
        <w:rPr>
          <w:rFonts w:hint="eastAsia"/>
        </w:rPr>
        <w:t>对应的</w:t>
      </w:r>
      <w:r>
        <w:t>铬的质量。</w:t>
      </w:r>
    </w:p>
    <w:p>
      <w:pPr>
        <w:pStyle w:val="118"/>
        <w:ind w:firstLine="0" w:firstLineChars="0"/>
        <w:jc w:val="left"/>
        <w:outlineLvl w:val="0"/>
        <w:rPr>
          <w:rFonts w:eastAsia="黑体"/>
          <w:szCs w:val="22"/>
        </w:rPr>
      </w:pPr>
      <w:r>
        <w:rPr>
          <w:rFonts w:hint="eastAsia" w:eastAsia="黑体"/>
          <w:szCs w:val="22"/>
          <w:lang w:val="en-US" w:eastAsia="zh-CN"/>
        </w:rPr>
        <w:t>9</w:t>
      </w:r>
      <w:r>
        <w:rPr>
          <w:rFonts w:eastAsia="黑体"/>
          <w:szCs w:val="22"/>
        </w:rPr>
        <w:t>.2精密度</w:t>
      </w:r>
    </w:p>
    <w:p>
      <w:pPr>
        <w:pStyle w:val="118"/>
        <w:ind w:firstLine="0" w:firstLineChars="0"/>
        <w:jc w:val="left"/>
        <w:outlineLvl w:val="0"/>
        <w:rPr>
          <w:rFonts w:eastAsia="黑体"/>
          <w:szCs w:val="22"/>
        </w:rPr>
      </w:pPr>
      <w:r>
        <w:rPr>
          <w:rFonts w:hint="eastAsia" w:eastAsia="黑体"/>
          <w:szCs w:val="22"/>
          <w:lang w:val="en-US" w:eastAsia="zh-CN"/>
        </w:rPr>
        <w:t>9</w:t>
      </w:r>
      <w:r>
        <w:rPr>
          <w:rFonts w:eastAsia="黑体"/>
          <w:szCs w:val="22"/>
        </w:rPr>
        <w:t>.2.1实验室间试验</w:t>
      </w:r>
    </w:p>
    <w:p>
      <w:pPr>
        <w:pStyle w:val="118"/>
        <w:jc w:val="left"/>
        <w:rPr>
          <w:szCs w:val="21"/>
        </w:rPr>
      </w:pPr>
      <w:r>
        <w:rPr>
          <w:szCs w:val="21"/>
          <w:shd w:val="clear" w:color="auto" w:fill="FFFFFF"/>
        </w:rPr>
        <w:t>六个国家的14个实验室参加了镍合金分析方法的实验室间试验。</w:t>
      </w:r>
      <w:r>
        <w:rPr>
          <w:szCs w:val="21"/>
        </w:rPr>
        <w:t>其中10个实验室报出了完整的结果。</w:t>
      </w:r>
      <w:r>
        <w:rPr>
          <w:szCs w:val="21"/>
          <w:shd w:val="clear" w:color="auto" w:fill="FFFFFF"/>
        </w:rPr>
        <w:t>表2所示成分的六个样品，</w:t>
      </w:r>
      <w:r>
        <w:rPr>
          <w:szCs w:val="21"/>
        </w:rPr>
        <w:t>分别在不同天进行了重复测定。</w:t>
      </w:r>
    </w:p>
    <w:p>
      <w:pPr>
        <w:pStyle w:val="118"/>
        <w:ind w:firstLine="0" w:firstLineChars="0"/>
        <w:jc w:val="center"/>
        <w:rPr>
          <w:szCs w:val="21"/>
        </w:rPr>
      </w:pPr>
      <w:r>
        <w:rPr>
          <w:szCs w:val="21"/>
        </w:rPr>
        <w:t>表2 测试样品的成分含量%（m/m）</w:t>
      </w:r>
    </w:p>
    <w:tbl>
      <w:tblPr>
        <w:tblStyle w:val="34"/>
        <w:tblpPr w:leftFromText="180" w:rightFromText="180" w:vertAnchor="text" w:horzAnchor="page" w:tblpX="1422" w:tblpY="39"/>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867"/>
        <w:gridCol w:w="928"/>
        <w:gridCol w:w="965"/>
        <w:gridCol w:w="900"/>
        <w:gridCol w:w="1005"/>
        <w:gridCol w:w="863"/>
        <w:gridCol w:w="1024"/>
        <w:gridCol w:w="91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tcPr>
          <w:p>
            <w:pPr>
              <w:pStyle w:val="118"/>
              <w:ind w:firstLine="0" w:firstLineChars="0"/>
              <w:jc w:val="center"/>
              <w:rPr>
                <w:sz w:val="18"/>
                <w:szCs w:val="18"/>
              </w:rPr>
            </w:pPr>
            <w:r>
              <w:rPr>
                <w:sz w:val="18"/>
                <w:szCs w:val="18"/>
              </w:rPr>
              <w:t>样品编号</w:t>
            </w:r>
          </w:p>
        </w:tc>
        <w:tc>
          <w:tcPr>
            <w:tcW w:w="453" w:type="pct"/>
            <w:shd w:val="clear" w:color="auto" w:fill="auto"/>
          </w:tcPr>
          <w:p>
            <w:pPr>
              <w:pStyle w:val="118"/>
              <w:ind w:firstLine="0" w:firstLineChars="0"/>
              <w:jc w:val="center"/>
              <w:rPr>
                <w:sz w:val="18"/>
                <w:szCs w:val="18"/>
              </w:rPr>
            </w:pPr>
            <w:r>
              <w:rPr>
                <w:sz w:val="18"/>
                <w:szCs w:val="18"/>
              </w:rPr>
              <w:t>Al</w:t>
            </w:r>
          </w:p>
        </w:tc>
        <w:tc>
          <w:tcPr>
            <w:tcW w:w="485" w:type="pct"/>
            <w:shd w:val="clear" w:color="auto" w:fill="auto"/>
          </w:tcPr>
          <w:p>
            <w:pPr>
              <w:pStyle w:val="118"/>
              <w:ind w:firstLine="0" w:firstLineChars="0"/>
              <w:jc w:val="center"/>
              <w:rPr>
                <w:sz w:val="18"/>
                <w:szCs w:val="18"/>
              </w:rPr>
            </w:pPr>
            <w:r>
              <w:rPr>
                <w:sz w:val="18"/>
                <w:szCs w:val="18"/>
              </w:rPr>
              <w:t>Co</w:t>
            </w:r>
          </w:p>
        </w:tc>
        <w:tc>
          <w:tcPr>
            <w:tcW w:w="504" w:type="pct"/>
            <w:shd w:val="clear" w:color="auto" w:fill="auto"/>
          </w:tcPr>
          <w:p>
            <w:pPr>
              <w:pStyle w:val="118"/>
              <w:ind w:firstLine="0" w:firstLineChars="0"/>
              <w:jc w:val="center"/>
              <w:rPr>
                <w:sz w:val="18"/>
                <w:szCs w:val="18"/>
              </w:rPr>
            </w:pPr>
            <w:r>
              <w:rPr>
                <w:sz w:val="18"/>
                <w:szCs w:val="18"/>
              </w:rPr>
              <w:t>Cr</w:t>
            </w:r>
          </w:p>
        </w:tc>
        <w:tc>
          <w:tcPr>
            <w:tcW w:w="470" w:type="pct"/>
            <w:shd w:val="clear" w:color="auto" w:fill="auto"/>
          </w:tcPr>
          <w:p>
            <w:pPr>
              <w:pStyle w:val="118"/>
              <w:ind w:firstLine="0" w:firstLineChars="0"/>
              <w:jc w:val="center"/>
              <w:rPr>
                <w:sz w:val="18"/>
                <w:szCs w:val="18"/>
              </w:rPr>
            </w:pPr>
            <w:r>
              <w:rPr>
                <w:sz w:val="18"/>
                <w:szCs w:val="18"/>
              </w:rPr>
              <w:t>Cu</w:t>
            </w:r>
          </w:p>
        </w:tc>
        <w:tc>
          <w:tcPr>
            <w:tcW w:w="525" w:type="pct"/>
            <w:shd w:val="clear" w:color="auto" w:fill="auto"/>
          </w:tcPr>
          <w:p>
            <w:pPr>
              <w:pStyle w:val="118"/>
              <w:ind w:firstLine="0" w:firstLineChars="0"/>
              <w:jc w:val="center"/>
              <w:rPr>
                <w:sz w:val="18"/>
                <w:szCs w:val="18"/>
              </w:rPr>
            </w:pPr>
            <w:r>
              <w:rPr>
                <w:sz w:val="18"/>
                <w:szCs w:val="18"/>
              </w:rPr>
              <w:t>Fe</w:t>
            </w:r>
          </w:p>
        </w:tc>
        <w:tc>
          <w:tcPr>
            <w:tcW w:w="451" w:type="pct"/>
            <w:shd w:val="clear" w:color="auto" w:fill="auto"/>
          </w:tcPr>
          <w:p>
            <w:pPr>
              <w:pStyle w:val="118"/>
              <w:ind w:firstLine="0" w:firstLineChars="0"/>
              <w:jc w:val="center"/>
              <w:rPr>
                <w:sz w:val="18"/>
                <w:szCs w:val="18"/>
              </w:rPr>
            </w:pPr>
            <w:r>
              <w:rPr>
                <w:sz w:val="18"/>
                <w:szCs w:val="18"/>
              </w:rPr>
              <w:t>Mn</w:t>
            </w:r>
          </w:p>
        </w:tc>
        <w:tc>
          <w:tcPr>
            <w:tcW w:w="535" w:type="pct"/>
            <w:shd w:val="clear" w:color="auto" w:fill="auto"/>
          </w:tcPr>
          <w:p>
            <w:pPr>
              <w:pStyle w:val="118"/>
              <w:ind w:firstLine="0" w:firstLineChars="0"/>
              <w:jc w:val="center"/>
              <w:rPr>
                <w:sz w:val="18"/>
                <w:szCs w:val="18"/>
              </w:rPr>
            </w:pPr>
            <w:r>
              <w:rPr>
                <w:sz w:val="18"/>
                <w:szCs w:val="18"/>
              </w:rPr>
              <w:t>Ni</w:t>
            </w:r>
          </w:p>
        </w:tc>
        <w:tc>
          <w:tcPr>
            <w:tcW w:w="477" w:type="pct"/>
            <w:shd w:val="clear" w:color="auto" w:fill="auto"/>
          </w:tcPr>
          <w:p>
            <w:pPr>
              <w:pStyle w:val="118"/>
              <w:ind w:firstLine="0" w:firstLineChars="0"/>
              <w:jc w:val="center"/>
              <w:rPr>
                <w:sz w:val="18"/>
                <w:szCs w:val="18"/>
              </w:rPr>
            </w:pPr>
            <w:r>
              <w:rPr>
                <w:sz w:val="18"/>
                <w:szCs w:val="18"/>
              </w:rPr>
              <w:t>Si</w:t>
            </w:r>
          </w:p>
        </w:tc>
        <w:tc>
          <w:tcPr>
            <w:tcW w:w="459" w:type="pct"/>
            <w:shd w:val="clear" w:color="auto" w:fill="auto"/>
          </w:tcPr>
          <w:p>
            <w:pPr>
              <w:pStyle w:val="118"/>
              <w:ind w:firstLine="0" w:firstLineChars="0"/>
              <w:jc w:val="center"/>
              <w:rPr>
                <w:sz w:val="18"/>
                <w:szCs w:val="18"/>
              </w:rPr>
            </w:pPr>
            <w:r>
              <w:rPr>
                <w:sz w:val="18"/>
                <w:szCs w:val="18"/>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tcPr>
          <w:p>
            <w:pPr>
              <w:pStyle w:val="118"/>
              <w:ind w:firstLine="0" w:firstLineChars="0"/>
              <w:jc w:val="center"/>
              <w:rPr>
                <w:sz w:val="18"/>
                <w:szCs w:val="18"/>
              </w:rPr>
            </w:pPr>
            <w:r>
              <w:rPr>
                <w:sz w:val="18"/>
                <w:szCs w:val="18"/>
              </w:rPr>
              <w:t>825</w:t>
            </w:r>
          </w:p>
        </w:tc>
        <w:tc>
          <w:tcPr>
            <w:tcW w:w="453" w:type="pct"/>
            <w:shd w:val="clear" w:color="auto" w:fill="auto"/>
          </w:tcPr>
          <w:p>
            <w:pPr>
              <w:pStyle w:val="118"/>
              <w:ind w:firstLine="0" w:firstLineChars="0"/>
              <w:jc w:val="center"/>
              <w:rPr>
                <w:sz w:val="18"/>
                <w:szCs w:val="18"/>
              </w:rPr>
            </w:pPr>
            <w:r>
              <w:rPr>
                <w:sz w:val="18"/>
                <w:szCs w:val="18"/>
              </w:rPr>
              <w:t>0.2</w:t>
            </w:r>
          </w:p>
        </w:tc>
        <w:tc>
          <w:tcPr>
            <w:tcW w:w="485" w:type="pct"/>
            <w:shd w:val="clear" w:color="auto" w:fill="auto"/>
          </w:tcPr>
          <w:p>
            <w:pPr>
              <w:pStyle w:val="118"/>
              <w:ind w:firstLine="0" w:firstLineChars="0"/>
              <w:jc w:val="center"/>
              <w:rPr>
                <w:sz w:val="18"/>
                <w:szCs w:val="18"/>
              </w:rPr>
            </w:pPr>
            <w:r>
              <w:rPr>
                <w:sz w:val="18"/>
                <w:szCs w:val="18"/>
              </w:rPr>
              <w:t>0.07</w:t>
            </w:r>
          </w:p>
        </w:tc>
        <w:tc>
          <w:tcPr>
            <w:tcW w:w="504" w:type="pct"/>
            <w:shd w:val="clear" w:color="auto" w:fill="auto"/>
          </w:tcPr>
          <w:p>
            <w:pPr>
              <w:pStyle w:val="118"/>
              <w:ind w:firstLine="0" w:firstLineChars="0"/>
              <w:jc w:val="center"/>
              <w:rPr>
                <w:sz w:val="18"/>
                <w:szCs w:val="18"/>
              </w:rPr>
            </w:pPr>
            <w:r>
              <w:rPr>
                <w:sz w:val="18"/>
                <w:szCs w:val="18"/>
              </w:rPr>
              <w:t>21</w:t>
            </w:r>
          </w:p>
        </w:tc>
        <w:tc>
          <w:tcPr>
            <w:tcW w:w="470" w:type="pct"/>
            <w:shd w:val="clear" w:color="auto" w:fill="auto"/>
          </w:tcPr>
          <w:p>
            <w:pPr>
              <w:pStyle w:val="118"/>
              <w:ind w:firstLine="0" w:firstLineChars="0"/>
              <w:jc w:val="center"/>
              <w:rPr>
                <w:sz w:val="18"/>
                <w:szCs w:val="18"/>
              </w:rPr>
            </w:pPr>
            <w:r>
              <w:rPr>
                <w:sz w:val="18"/>
                <w:szCs w:val="18"/>
              </w:rPr>
              <w:t>1.6</w:t>
            </w:r>
          </w:p>
        </w:tc>
        <w:tc>
          <w:tcPr>
            <w:tcW w:w="525" w:type="pct"/>
            <w:shd w:val="clear" w:color="auto" w:fill="auto"/>
          </w:tcPr>
          <w:p>
            <w:pPr>
              <w:pStyle w:val="118"/>
              <w:ind w:firstLine="0" w:firstLineChars="0"/>
              <w:jc w:val="center"/>
              <w:rPr>
                <w:sz w:val="18"/>
                <w:szCs w:val="18"/>
              </w:rPr>
            </w:pPr>
            <w:r>
              <w:rPr>
                <w:sz w:val="18"/>
                <w:szCs w:val="18"/>
              </w:rPr>
              <w:t>30</w:t>
            </w:r>
          </w:p>
        </w:tc>
        <w:tc>
          <w:tcPr>
            <w:tcW w:w="451" w:type="pct"/>
            <w:shd w:val="clear" w:color="auto" w:fill="auto"/>
          </w:tcPr>
          <w:p>
            <w:pPr>
              <w:pStyle w:val="118"/>
              <w:ind w:firstLine="0" w:firstLineChars="0"/>
              <w:jc w:val="center"/>
              <w:rPr>
                <w:sz w:val="18"/>
                <w:szCs w:val="18"/>
              </w:rPr>
            </w:pPr>
            <w:r>
              <w:rPr>
                <w:sz w:val="18"/>
                <w:szCs w:val="18"/>
              </w:rPr>
              <w:t>0.7</w:t>
            </w:r>
          </w:p>
        </w:tc>
        <w:tc>
          <w:tcPr>
            <w:tcW w:w="535" w:type="pct"/>
            <w:shd w:val="clear" w:color="auto" w:fill="auto"/>
          </w:tcPr>
          <w:p>
            <w:pPr>
              <w:pStyle w:val="118"/>
              <w:ind w:firstLine="0" w:firstLineChars="0"/>
              <w:jc w:val="center"/>
              <w:rPr>
                <w:sz w:val="18"/>
                <w:szCs w:val="18"/>
              </w:rPr>
            </w:pPr>
            <w:r>
              <w:rPr>
                <w:sz w:val="18"/>
                <w:szCs w:val="18"/>
              </w:rPr>
              <w:t>余量</w:t>
            </w:r>
          </w:p>
        </w:tc>
        <w:tc>
          <w:tcPr>
            <w:tcW w:w="477" w:type="pct"/>
            <w:shd w:val="clear" w:color="auto" w:fill="auto"/>
          </w:tcPr>
          <w:p>
            <w:pPr>
              <w:pStyle w:val="118"/>
              <w:ind w:firstLine="0" w:firstLineChars="0"/>
              <w:jc w:val="center"/>
              <w:rPr>
                <w:sz w:val="18"/>
                <w:szCs w:val="18"/>
              </w:rPr>
            </w:pPr>
            <w:r>
              <w:rPr>
                <w:sz w:val="18"/>
                <w:szCs w:val="18"/>
              </w:rPr>
              <w:t>0.4</w:t>
            </w:r>
          </w:p>
        </w:tc>
        <w:tc>
          <w:tcPr>
            <w:tcW w:w="459" w:type="pct"/>
            <w:shd w:val="clear" w:color="auto" w:fill="auto"/>
          </w:tcPr>
          <w:p>
            <w:pPr>
              <w:pStyle w:val="118"/>
              <w:ind w:firstLine="0" w:firstLineChars="0"/>
              <w:jc w:val="center"/>
              <w:rPr>
                <w:sz w:val="18"/>
                <w:szCs w:val="18"/>
              </w:rPr>
            </w:pPr>
            <w:r>
              <w:rPr>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tcPr>
          <w:p>
            <w:pPr>
              <w:pStyle w:val="118"/>
              <w:ind w:firstLine="0" w:firstLineChars="0"/>
              <w:jc w:val="center"/>
              <w:rPr>
                <w:sz w:val="18"/>
                <w:szCs w:val="18"/>
              </w:rPr>
            </w:pPr>
            <w:r>
              <w:rPr>
                <w:sz w:val="18"/>
                <w:szCs w:val="18"/>
              </w:rPr>
              <w:t>902</w:t>
            </w:r>
          </w:p>
        </w:tc>
        <w:tc>
          <w:tcPr>
            <w:tcW w:w="453" w:type="pct"/>
            <w:shd w:val="clear" w:color="auto" w:fill="auto"/>
          </w:tcPr>
          <w:p>
            <w:pPr>
              <w:pStyle w:val="118"/>
              <w:ind w:firstLine="0" w:firstLineChars="0"/>
              <w:jc w:val="center"/>
              <w:rPr>
                <w:sz w:val="18"/>
                <w:szCs w:val="18"/>
              </w:rPr>
            </w:pPr>
            <w:r>
              <w:rPr>
                <w:sz w:val="18"/>
                <w:szCs w:val="18"/>
              </w:rPr>
              <w:t>0.4</w:t>
            </w:r>
          </w:p>
        </w:tc>
        <w:tc>
          <w:tcPr>
            <w:tcW w:w="485" w:type="pct"/>
            <w:shd w:val="clear" w:color="auto" w:fill="auto"/>
          </w:tcPr>
          <w:p>
            <w:pPr>
              <w:pStyle w:val="118"/>
              <w:ind w:firstLine="0" w:firstLineChars="0"/>
              <w:jc w:val="center"/>
              <w:rPr>
                <w:sz w:val="18"/>
                <w:szCs w:val="18"/>
              </w:rPr>
            </w:pPr>
            <w:r>
              <w:rPr>
                <w:sz w:val="18"/>
                <w:szCs w:val="18"/>
              </w:rPr>
              <w:t>0.05</w:t>
            </w:r>
          </w:p>
        </w:tc>
        <w:tc>
          <w:tcPr>
            <w:tcW w:w="504" w:type="pct"/>
            <w:shd w:val="clear" w:color="auto" w:fill="auto"/>
          </w:tcPr>
          <w:p>
            <w:pPr>
              <w:pStyle w:val="118"/>
              <w:ind w:firstLine="0" w:firstLineChars="0"/>
              <w:jc w:val="center"/>
              <w:rPr>
                <w:sz w:val="18"/>
                <w:szCs w:val="18"/>
              </w:rPr>
            </w:pPr>
            <w:r>
              <w:rPr>
                <w:sz w:val="18"/>
                <w:szCs w:val="18"/>
              </w:rPr>
              <w:t>5</w:t>
            </w:r>
          </w:p>
        </w:tc>
        <w:tc>
          <w:tcPr>
            <w:tcW w:w="470" w:type="pct"/>
            <w:shd w:val="clear" w:color="auto" w:fill="auto"/>
          </w:tcPr>
          <w:p>
            <w:pPr>
              <w:pStyle w:val="118"/>
              <w:ind w:firstLine="0" w:firstLineChars="0"/>
              <w:jc w:val="center"/>
              <w:rPr>
                <w:sz w:val="18"/>
                <w:szCs w:val="18"/>
              </w:rPr>
            </w:pPr>
            <w:r>
              <w:rPr>
                <w:sz w:val="18"/>
                <w:szCs w:val="18"/>
              </w:rPr>
              <w:t>0.04</w:t>
            </w:r>
          </w:p>
        </w:tc>
        <w:tc>
          <w:tcPr>
            <w:tcW w:w="525" w:type="pct"/>
            <w:shd w:val="clear" w:color="auto" w:fill="auto"/>
          </w:tcPr>
          <w:p>
            <w:pPr>
              <w:pStyle w:val="118"/>
              <w:ind w:firstLine="0" w:firstLineChars="0"/>
              <w:jc w:val="center"/>
              <w:rPr>
                <w:sz w:val="18"/>
                <w:szCs w:val="18"/>
              </w:rPr>
            </w:pPr>
            <w:r>
              <w:rPr>
                <w:sz w:val="18"/>
                <w:szCs w:val="18"/>
              </w:rPr>
              <w:t>48</w:t>
            </w:r>
          </w:p>
        </w:tc>
        <w:tc>
          <w:tcPr>
            <w:tcW w:w="451" w:type="pct"/>
            <w:shd w:val="clear" w:color="auto" w:fill="auto"/>
          </w:tcPr>
          <w:p>
            <w:pPr>
              <w:pStyle w:val="118"/>
              <w:ind w:firstLine="0" w:firstLineChars="0"/>
              <w:jc w:val="center"/>
              <w:rPr>
                <w:sz w:val="18"/>
                <w:szCs w:val="18"/>
              </w:rPr>
            </w:pPr>
            <w:r>
              <w:rPr>
                <w:sz w:val="18"/>
                <w:szCs w:val="18"/>
              </w:rPr>
              <w:t>0.4</w:t>
            </w:r>
          </w:p>
        </w:tc>
        <w:tc>
          <w:tcPr>
            <w:tcW w:w="535" w:type="pct"/>
            <w:shd w:val="clear" w:color="auto" w:fill="auto"/>
          </w:tcPr>
          <w:p>
            <w:pPr>
              <w:pStyle w:val="118"/>
              <w:ind w:firstLine="0" w:firstLineChars="0"/>
              <w:jc w:val="center"/>
              <w:rPr>
                <w:sz w:val="18"/>
                <w:szCs w:val="18"/>
              </w:rPr>
            </w:pPr>
            <w:r>
              <w:rPr>
                <w:sz w:val="18"/>
                <w:szCs w:val="18"/>
              </w:rPr>
              <w:t>余量</w:t>
            </w:r>
          </w:p>
        </w:tc>
        <w:tc>
          <w:tcPr>
            <w:tcW w:w="477" w:type="pct"/>
            <w:shd w:val="clear" w:color="auto" w:fill="auto"/>
          </w:tcPr>
          <w:p>
            <w:pPr>
              <w:pStyle w:val="118"/>
              <w:ind w:firstLine="0" w:firstLineChars="0"/>
              <w:jc w:val="center"/>
              <w:rPr>
                <w:sz w:val="18"/>
                <w:szCs w:val="18"/>
              </w:rPr>
            </w:pPr>
            <w:r>
              <w:rPr>
                <w:sz w:val="18"/>
                <w:szCs w:val="18"/>
              </w:rPr>
              <w:t>0.35</w:t>
            </w:r>
          </w:p>
        </w:tc>
        <w:tc>
          <w:tcPr>
            <w:tcW w:w="459" w:type="pct"/>
            <w:shd w:val="clear" w:color="auto" w:fill="auto"/>
          </w:tcPr>
          <w:p>
            <w:pPr>
              <w:pStyle w:val="118"/>
              <w:ind w:firstLine="0" w:firstLineChars="0"/>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tcPr>
          <w:p>
            <w:pPr>
              <w:pStyle w:val="118"/>
              <w:ind w:firstLine="0" w:firstLineChars="0"/>
              <w:jc w:val="center"/>
              <w:rPr>
                <w:sz w:val="18"/>
                <w:szCs w:val="18"/>
              </w:rPr>
            </w:pPr>
            <w:r>
              <w:rPr>
                <w:sz w:val="18"/>
                <w:szCs w:val="18"/>
              </w:rPr>
              <w:t>3920</w:t>
            </w:r>
          </w:p>
        </w:tc>
        <w:tc>
          <w:tcPr>
            <w:tcW w:w="453" w:type="pct"/>
            <w:shd w:val="clear" w:color="auto" w:fill="auto"/>
          </w:tcPr>
          <w:p>
            <w:pPr>
              <w:pStyle w:val="118"/>
              <w:ind w:firstLine="0" w:firstLineChars="0"/>
              <w:jc w:val="center"/>
              <w:rPr>
                <w:sz w:val="18"/>
                <w:szCs w:val="18"/>
              </w:rPr>
            </w:pPr>
            <w:r>
              <w:rPr>
                <w:sz w:val="18"/>
                <w:szCs w:val="18"/>
              </w:rPr>
              <w:t>0.15</w:t>
            </w:r>
          </w:p>
        </w:tc>
        <w:tc>
          <w:tcPr>
            <w:tcW w:w="485" w:type="pct"/>
            <w:shd w:val="clear" w:color="auto" w:fill="auto"/>
          </w:tcPr>
          <w:p>
            <w:pPr>
              <w:pStyle w:val="118"/>
              <w:ind w:firstLine="0" w:firstLineChars="0"/>
              <w:jc w:val="center"/>
              <w:rPr>
                <w:sz w:val="18"/>
                <w:szCs w:val="18"/>
              </w:rPr>
            </w:pPr>
            <w:r>
              <w:rPr>
                <w:sz w:val="18"/>
                <w:szCs w:val="18"/>
              </w:rPr>
              <w:t>2</w:t>
            </w:r>
          </w:p>
        </w:tc>
        <w:tc>
          <w:tcPr>
            <w:tcW w:w="504" w:type="pct"/>
            <w:shd w:val="clear" w:color="auto" w:fill="auto"/>
          </w:tcPr>
          <w:p>
            <w:pPr>
              <w:pStyle w:val="118"/>
              <w:ind w:firstLine="0" w:firstLineChars="0"/>
              <w:jc w:val="center"/>
              <w:rPr>
                <w:sz w:val="18"/>
                <w:szCs w:val="18"/>
              </w:rPr>
            </w:pPr>
            <w:r>
              <w:rPr>
                <w:sz w:val="18"/>
                <w:szCs w:val="18"/>
              </w:rPr>
              <w:t>19</w:t>
            </w:r>
          </w:p>
        </w:tc>
        <w:tc>
          <w:tcPr>
            <w:tcW w:w="470" w:type="pct"/>
            <w:shd w:val="clear" w:color="auto" w:fill="auto"/>
          </w:tcPr>
          <w:p>
            <w:pPr>
              <w:pStyle w:val="118"/>
              <w:ind w:firstLine="0" w:firstLineChars="0"/>
              <w:jc w:val="center"/>
              <w:rPr>
                <w:sz w:val="18"/>
                <w:szCs w:val="18"/>
              </w:rPr>
            </w:pPr>
            <w:r>
              <w:rPr>
                <w:sz w:val="18"/>
                <w:szCs w:val="18"/>
              </w:rPr>
              <w:t>0.1</w:t>
            </w:r>
          </w:p>
        </w:tc>
        <w:tc>
          <w:tcPr>
            <w:tcW w:w="525" w:type="pct"/>
            <w:shd w:val="clear" w:color="auto" w:fill="auto"/>
          </w:tcPr>
          <w:p>
            <w:pPr>
              <w:pStyle w:val="118"/>
              <w:ind w:firstLine="0" w:firstLineChars="0"/>
              <w:jc w:val="center"/>
              <w:rPr>
                <w:sz w:val="18"/>
                <w:szCs w:val="18"/>
              </w:rPr>
            </w:pPr>
            <w:r>
              <w:rPr>
                <w:sz w:val="18"/>
                <w:szCs w:val="18"/>
              </w:rPr>
              <w:t>3</w:t>
            </w:r>
          </w:p>
        </w:tc>
        <w:tc>
          <w:tcPr>
            <w:tcW w:w="451" w:type="pct"/>
            <w:shd w:val="clear" w:color="auto" w:fill="auto"/>
          </w:tcPr>
          <w:p>
            <w:pPr>
              <w:pStyle w:val="118"/>
              <w:ind w:firstLine="0" w:firstLineChars="0"/>
              <w:jc w:val="center"/>
              <w:rPr>
                <w:sz w:val="18"/>
                <w:szCs w:val="18"/>
              </w:rPr>
            </w:pPr>
            <w:r>
              <w:rPr>
                <w:sz w:val="18"/>
                <w:szCs w:val="18"/>
              </w:rPr>
              <w:t>0.3</w:t>
            </w:r>
          </w:p>
        </w:tc>
        <w:tc>
          <w:tcPr>
            <w:tcW w:w="535" w:type="pct"/>
            <w:shd w:val="clear" w:color="auto" w:fill="auto"/>
          </w:tcPr>
          <w:p>
            <w:pPr>
              <w:pStyle w:val="118"/>
              <w:ind w:firstLine="0" w:firstLineChars="0"/>
              <w:jc w:val="center"/>
              <w:rPr>
                <w:sz w:val="18"/>
                <w:szCs w:val="18"/>
              </w:rPr>
            </w:pPr>
            <w:r>
              <w:rPr>
                <w:sz w:val="18"/>
                <w:szCs w:val="18"/>
              </w:rPr>
              <w:t>余量</w:t>
            </w:r>
          </w:p>
        </w:tc>
        <w:tc>
          <w:tcPr>
            <w:tcW w:w="477" w:type="pct"/>
            <w:shd w:val="clear" w:color="auto" w:fill="auto"/>
          </w:tcPr>
          <w:p>
            <w:pPr>
              <w:pStyle w:val="118"/>
              <w:ind w:firstLine="0" w:firstLineChars="0"/>
              <w:jc w:val="center"/>
              <w:rPr>
                <w:sz w:val="18"/>
                <w:szCs w:val="18"/>
              </w:rPr>
            </w:pPr>
            <w:r>
              <w:rPr>
                <w:sz w:val="18"/>
                <w:szCs w:val="18"/>
              </w:rPr>
              <w:t>0.6</w:t>
            </w:r>
          </w:p>
        </w:tc>
        <w:tc>
          <w:tcPr>
            <w:tcW w:w="459" w:type="pct"/>
            <w:shd w:val="clear" w:color="auto" w:fill="auto"/>
          </w:tcPr>
          <w:p>
            <w:pPr>
              <w:pStyle w:val="118"/>
              <w:ind w:firstLine="0" w:firstLineChars="0"/>
              <w:jc w:val="center"/>
              <w:rPr>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tcPr>
          <w:p>
            <w:pPr>
              <w:pStyle w:val="118"/>
              <w:ind w:firstLine="0" w:firstLineChars="0"/>
              <w:jc w:val="center"/>
              <w:rPr>
                <w:sz w:val="18"/>
                <w:szCs w:val="18"/>
              </w:rPr>
            </w:pPr>
            <w:r>
              <w:rPr>
                <w:sz w:val="18"/>
                <w:szCs w:val="18"/>
              </w:rPr>
              <w:t>3927</w:t>
            </w:r>
          </w:p>
        </w:tc>
        <w:tc>
          <w:tcPr>
            <w:tcW w:w="453" w:type="pct"/>
            <w:shd w:val="clear" w:color="auto" w:fill="auto"/>
          </w:tcPr>
          <w:p>
            <w:pPr>
              <w:pStyle w:val="118"/>
              <w:ind w:firstLine="0" w:firstLineChars="0"/>
              <w:jc w:val="center"/>
              <w:rPr>
                <w:sz w:val="18"/>
                <w:szCs w:val="18"/>
              </w:rPr>
            </w:pPr>
            <w:r>
              <w:rPr>
                <w:sz w:val="18"/>
                <w:szCs w:val="18"/>
              </w:rPr>
              <w:t>0.1</w:t>
            </w:r>
          </w:p>
        </w:tc>
        <w:tc>
          <w:tcPr>
            <w:tcW w:w="485" w:type="pct"/>
            <w:shd w:val="clear" w:color="auto" w:fill="auto"/>
          </w:tcPr>
          <w:p>
            <w:pPr>
              <w:pStyle w:val="118"/>
              <w:ind w:firstLine="0" w:firstLineChars="0"/>
              <w:jc w:val="center"/>
              <w:rPr>
                <w:sz w:val="18"/>
                <w:szCs w:val="18"/>
              </w:rPr>
            </w:pPr>
            <w:r>
              <w:rPr>
                <w:sz w:val="18"/>
                <w:szCs w:val="18"/>
              </w:rPr>
              <w:t>1</w:t>
            </w:r>
          </w:p>
        </w:tc>
        <w:tc>
          <w:tcPr>
            <w:tcW w:w="504" w:type="pct"/>
            <w:shd w:val="clear" w:color="auto" w:fill="auto"/>
          </w:tcPr>
          <w:p>
            <w:pPr>
              <w:pStyle w:val="118"/>
              <w:ind w:firstLine="0" w:firstLineChars="0"/>
              <w:jc w:val="center"/>
              <w:rPr>
                <w:sz w:val="18"/>
                <w:szCs w:val="18"/>
              </w:rPr>
            </w:pPr>
            <w:r>
              <w:rPr>
                <w:sz w:val="18"/>
                <w:szCs w:val="18"/>
              </w:rPr>
              <w:t>20</w:t>
            </w:r>
          </w:p>
        </w:tc>
        <w:tc>
          <w:tcPr>
            <w:tcW w:w="470" w:type="pct"/>
            <w:shd w:val="clear" w:color="auto" w:fill="auto"/>
          </w:tcPr>
          <w:p>
            <w:pPr>
              <w:pStyle w:val="118"/>
              <w:ind w:firstLine="0" w:firstLineChars="0"/>
              <w:jc w:val="center"/>
              <w:rPr>
                <w:sz w:val="18"/>
                <w:szCs w:val="18"/>
              </w:rPr>
            </w:pPr>
            <w:r>
              <w:rPr>
                <w:sz w:val="18"/>
                <w:szCs w:val="18"/>
              </w:rPr>
              <w:t>0.05</w:t>
            </w:r>
          </w:p>
        </w:tc>
        <w:tc>
          <w:tcPr>
            <w:tcW w:w="525" w:type="pct"/>
            <w:shd w:val="clear" w:color="auto" w:fill="auto"/>
          </w:tcPr>
          <w:p>
            <w:pPr>
              <w:pStyle w:val="118"/>
              <w:ind w:firstLine="0" w:firstLineChars="0"/>
              <w:jc w:val="center"/>
              <w:rPr>
                <w:sz w:val="18"/>
                <w:szCs w:val="18"/>
              </w:rPr>
            </w:pPr>
            <w:r>
              <w:rPr>
                <w:sz w:val="18"/>
                <w:szCs w:val="18"/>
              </w:rPr>
              <w:t>44</w:t>
            </w:r>
          </w:p>
        </w:tc>
        <w:tc>
          <w:tcPr>
            <w:tcW w:w="451" w:type="pct"/>
            <w:shd w:val="clear" w:color="auto" w:fill="auto"/>
          </w:tcPr>
          <w:p>
            <w:pPr>
              <w:pStyle w:val="118"/>
              <w:ind w:firstLine="0" w:firstLineChars="0"/>
              <w:jc w:val="center"/>
              <w:rPr>
                <w:sz w:val="18"/>
                <w:szCs w:val="18"/>
              </w:rPr>
            </w:pPr>
            <w:r>
              <w:rPr>
                <w:sz w:val="18"/>
                <w:szCs w:val="18"/>
              </w:rPr>
              <w:t>0.4</w:t>
            </w:r>
          </w:p>
        </w:tc>
        <w:tc>
          <w:tcPr>
            <w:tcW w:w="535" w:type="pct"/>
            <w:shd w:val="clear" w:color="auto" w:fill="auto"/>
          </w:tcPr>
          <w:p>
            <w:pPr>
              <w:pStyle w:val="118"/>
              <w:ind w:firstLine="0" w:firstLineChars="0"/>
              <w:jc w:val="center"/>
              <w:rPr>
                <w:sz w:val="18"/>
                <w:szCs w:val="18"/>
              </w:rPr>
            </w:pPr>
            <w:r>
              <w:rPr>
                <w:sz w:val="18"/>
                <w:szCs w:val="18"/>
              </w:rPr>
              <w:t>余量</w:t>
            </w:r>
          </w:p>
        </w:tc>
        <w:tc>
          <w:tcPr>
            <w:tcW w:w="477" w:type="pct"/>
            <w:shd w:val="clear" w:color="auto" w:fill="auto"/>
          </w:tcPr>
          <w:p>
            <w:pPr>
              <w:pStyle w:val="118"/>
              <w:ind w:firstLine="0" w:firstLineChars="0"/>
              <w:jc w:val="center"/>
              <w:rPr>
                <w:sz w:val="18"/>
                <w:szCs w:val="18"/>
              </w:rPr>
            </w:pPr>
            <w:r>
              <w:rPr>
                <w:sz w:val="18"/>
                <w:szCs w:val="18"/>
              </w:rPr>
              <w:t>0.8</w:t>
            </w:r>
          </w:p>
        </w:tc>
        <w:tc>
          <w:tcPr>
            <w:tcW w:w="459" w:type="pct"/>
            <w:shd w:val="clear" w:color="auto" w:fill="auto"/>
          </w:tcPr>
          <w:p>
            <w:pPr>
              <w:pStyle w:val="118"/>
              <w:ind w:firstLine="0" w:firstLineChars="0"/>
              <w:jc w:val="center"/>
              <w:rPr>
                <w:sz w:val="18"/>
                <w:szCs w:val="18"/>
              </w:rPr>
            </w:pPr>
            <w:r>
              <w:rPr>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tcPr>
          <w:p>
            <w:pPr>
              <w:pStyle w:val="118"/>
              <w:ind w:firstLine="0" w:firstLineChars="0"/>
              <w:jc w:val="center"/>
              <w:rPr>
                <w:sz w:val="18"/>
                <w:szCs w:val="18"/>
              </w:rPr>
            </w:pPr>
            <w:r>
              <w:rPr>
                <w:sz w:val="18"/>
                <w:szCs w:val="18"/>
              </w:rPr>
              <w:t>7013</w:t>
            </w:r>
          </w:p>
        </w:tc>
        <w:tc>
          <w:tcPr>
            <w:tcW w:w="453" w:type="pct"/>
            <w:shd w:val="clear" w:color="auto" w:fill="auto"/>
          </w:tcPr>
          <w:p>
            <w:pPr>
              <w:pStyle w:val="118"/>
              <w:ind w:firstLine="0" w:firstLineChars="0"/>
              <w:jc w:val="center"/>
              <w:rPr>
                <w:sz w:val="18"/>
                <w:szCs w:val="18"/>
              </w:rPr>
            </w:pPr>
            <w:r>
              <w:rPr>
                <w:sz w:val="18"/>
                <w:szCs w:val="18"/>
              </w:rPr>
              <w:t>1.5</w:t>
            </w:r>
          </w:p>
        </w:tc>
        <w:tc>
          <w:tcPr>
            <w:tcW w:w="485" w:type="pct"/>
            <w:shd w:val="clear" w:color="auto" w:fill="auto"/>
          </w:tcPr>
          <w:p>
            <w:pPr>
              <w:pStyle w:val="118"/>
              <w:ind w:firstLine="0" w:firstLineChars="0"/>
              <w:jc w:val="center"/>
              <w:rPr>
                <w:sz w:val="18"/>
                <w:szCs w:val="18"/>
              </w:rPr>
            </w:pPr>
            <w:r>
              <w:rPr>
                <w:sz w:val="18"/>
                <w:szCs w:val="18"/>
              </w:rPr>
              <w:t>17</w:t>
            </w:r>
          </w:p>
        </w:tc>
        <w:tc>
          <w:tcPr>
            <w:tcW w:w="504" w:type="pct"/>
            <w:shd w:val="clear" w:color="auto" w:fill="auto"/>
          </w:tcPr>
          <w:p>
            <w:pPr>
              <w:pStyle w:val="118"/>
              <w:ind w:firstLine="0" w:firstLineChars="0"/>
              <w:jc w:val="center"/>
              <w:rPr>
                <w:sz w:val="18"/>
                <w:szCs w:val="18"/>
              </w:rPr>
            </w:pPr>
            <w:r>
              <w:rPr>
                <w:sz w:val="18"/>
                <w:szCs w:val="18"/>
              </w:rPr>
              <w:t>20</w:t>
            </w:r>
          </w:p>
        </w:tc>
        <w:tc>
          <w:tcPr>
            <w:tcW w:w="470" w:type="pct"/>
            <w:shd w:val="clear" w:color="auto" w:fill="auto"/>
          </w:tcPr>
          <w:p>
            <w:pPr>
              <w:pStyle w:val="118"/>
              <w:ind w:firstLine="0" w:firstLineChars="0"/>
              <w:jc w:val="center"/>
              <w:rPr>
                <w:sz w:val="18"/>
                <w:szCs w:val="18"/>
              </w:rPr>
            </w:pPr>
            <w:r>
              <w:rPr>
                <w:sz w:val="18"/>
                <w:szCs w:val="18"/>
              </w:rPr>
              <w:t>0.2</w:t>
            </w:r>
          </w:p>
        </w:tc>
        <w:tc>
          <w:tcPr>
            <w:tcW w:w="525" w:type="pct"/>
            <w:shd w:val="clear" w:color="auto" w:fill="auto"/>
          </w:tcPr>
          <w:p>
            <w:pPr>
              <w:pStyle w:val="118"/>
              <w:ind w:firstLine="0" w:firstLineChars="0"/>
              <w:jc w:val="center"/>
              <w:rPr>
                <w:sz w:val="18"/>
                <w:szCs w:val="18"/>
              </w:rPr>
            </w:pPr>
            <w:r>
              <w:rPr>
                <w:sz w:val="18"/>
                <w:szCs w:val="18"/>
              </w:rPr>
              <w:t>0.2</w:t>
            </w:r>
          </w:p>
        </w:tc>
        <w:tc>
          <w:tcPr>
            <w:tcW w:w="451" w:type="pct"/>
            <w:shd w:val="clear" w:color="auto" w:fill="auto"/>
          </w:tcPr>
          <w:p>
            <w:pPr>
              <w:pStyle w:val="118"/>
              <w:ind w:firstLine="0" w:firstLineChars="0"/>
              <w:jc w:val="center"/>
              <w:rPr>
                <w:sz w:val="18"/>
                <w:szCs w:val="18"/>
              </w:rPr>
            </w:pPr>
            <w:r>
              <w:rPr>
                <w:sz w:val="18"/>
                <w:szCs w:val="18"/>
              </w:rPr>
              <w:t>0.05</w:t>
            </w:r>
          </w:p>
        </w:tc>
        <w:tc>
          <w:tcPr>
            <w:tcW w:w="535" w:type="pct"/>
            <w:shd w:val="clear" w:color="auto" w:fill="auto"/>
          </w:tcPr>
          <w:p>
            <w:pPr>
              <w:pStyle w:val="118"/>
              <w:ind w:firstLine="0" w:firstLineChars="0"/>
              <w:jc w:val="center"/>
              <w:rPr>
                <w:sz w:val="18"/>
                <w:szCs w:val="18"/>
              </w:rPr>
            </w:pPr>
            <w:r>
              <w:rPr>
                <w:sz w:val="18"/>
                <w:szCs w:val="18"/>
              </w:rPr>
              <w:t>余量</w:t>
            </w:r>
          </w:p>
        </w:tc>
        <w:tc>
          <w:tcPr>
            <w:tcW w:w="477" w:type="pct"/>
            <w:shd w:val="clear" w:color="auto" w:fill="auto"/>
          </w:tcPr>
          <w:p>
            <w:pPr>
              <w:pStyle w:val="118"/>
              <w:ind w:firstLine="0" w:firstLineChars="0"/>
              <w:jc w:val="center"/>
              <w:rPr>
                <w:sz w:val="18"/>
                <w:szCs w:val="18"/>
              </w:rPr>
            </w:pPr>
            <w:r>
              <w:rPr>
                <w:sz w:val="18"/>
                <w:szCs w:val="18"/>
              </w:rPr>
              <w:t>0.7</w:t>
            </w:r>
          </w:p>
        </w:tc>
        <w:tc>
          <w:tcPr>
            <w:tcW w:w="459" w:type="pct"/>
            <w:shd w:val="clear" w:color="auto" w:fill="auto"/>
          </w:tcPr>
          <w:p>
            <w:pPr>
              <w:pStyle w:val="118"/>
              <w:ind w:firstLine="0" w:firstLineChars="0"/>
              <w:jc w:val="center"/>
              <w:rPr>
                <w:sz w:val="18"/>
                <w:szCs w:val="18"/>
              </w:rPr>
            </w:pPr>
            <w:r>
              <w:rPr>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tcPr>
          <w:p>
            <w:pPr>
              <w:pStyle w:val="118"/>
              <w:ind w:firstLine="0" w:firstLineChars="0"/>
              <w:jc w:val="center"/>
              <w:rPr>
                <w:sz w:val="18"/>
                <w:szCs w:val="18"/>
              </w:rPr>
            </w:pPr>
            <w:r>
              <w:rPr>
                <w:sz w:val="18"/>
                <w:szCs w:val="18"/>
              </w:rPr>
              <w:t>7049</w:t>
            </w:r>
          </w:p>
        </w:tc>
        <w:tc>
          <w:tcPr>
            <w:tcW w:w="453" w:type="pct"/>
            <w:shd w:val="clear" w:color="auto" w:fill="auto"/>
          </w:tcPr>
          <w:p>
            <w:pPr>
              <w:pStyle w:val="118"/>
              <w:ind w:firstLine="0" w:firstLineChars="0"/>
              <w:jc w:val="center"/>
              <w:rPr>
                <w:sz w:val="18"/>
                <w:szCs w:val="18"/>
              </w:rPr>
            </w:pPr>
            <w:r>
              <w:rPr>
                <w:sz w:val="18"/>
                <w:szCs w:val="18"/>
              </w:rPr>
              <w:t>1</w:t>
            </w:r>
          </w:p>
        </w:tc>
        <w:tc>
          <w:tcPr>
            <w:tcW w:w="485" w:type="pct"/>
            <w:shd w:val="clear" w:color="auto" w:fill="auto"/>
          </w:tcPr>
          <w:p>
            <w:pPr>
              <w:pStyle w:val="118"/>
              <w:ind w:firstLine="0" w:firstLineChars="0"/>
              <w:jc w:val="center"/>
              <w:rPr>
                <w:sz w:val="18"/>
                <w:szCs w:val="18"/>
              </w:rPr>
            </w:pPr>
            <w:r>
              <w:rPr>
                <w:sz w:val="18"/>
                <w:szCs w:val="18"/>
              </w:rPr>
              <w:t>0.01</w:t>
            </w:r>
          </w:p>
        </w:tc>
        <w:tc>
          <w:tcPr>
            <w:tcW w:w="504" w:type="pct"/>
            <w:shd w:val="clear" w:color="auto" w:fill="auto"/>
          </w:tcPr>
          <w:p>
            <w:pPr>
              <w:pStyle w:val="118"/>
              <w:ind w:firstLine="0" w:firstLineChars="0"/>
              <w:jc w:val="center"/>
              <w:rPr>
                <w:sz w:val="18"/>
                <w:szCs w:val="18"/>
              </w:rPr>
            </w:pPr>
            <w:r>
              <w:rPr>
                <w:sz w:val="18"/>
                <w:szCs w:val="18"/>
              </w:rPr>
              <w:t>15</w:t>
            </w:r>
          </w:p>
        </w:tc>
        <w:tc>
          <w:tcPr>
            <w:tcW w:w="470" w:type="pct"/>
            <w:shd w:val="clear" w:color="auto" w:fill="auto"/>
          </w:tcPr>
          <w:p>
            <w:pPr>
              <w:pStyle w:val="118"/>
              <w:ind w:firstLine="0" w:firstLineChars="0"/>
              <w:jc w:val="center"/>
              <w:rPr>
                <w:sz w:val="18"/>
                <w:szCs w:val="18"/>
              </w:rPr>
            </w:pPr>
            <w:r>
              <w:rPr>
                <w:sz w:val="18"/>
                <w:szCs w:val="18"/>
              </w:rPr>
              <w:t>0.15</w:t>
            </w:r>
          </w:p>
        </w:tc>
        <w:tc>
          <w:tcPr>
            <w:tcW w:w="525" w:type="pct"/>
            <w:shd w:val="clear" w:color="auto" w:fill="auto"/>
          </w:tcPr>
          <w:p>
            <w:pPr>
              <w:pStyle w:val="118"/>
              <w:ind w:firstLine="0" w:firstLineChars="0"/>
              <w:jc w:val="center"/>
              <w:rPr>
                <w:sz w:val="18"/>
                <w:szCs w:val="18"/>
              </w:rPr>
            </w:pPr>
            <w:r>
              <w:rPr>
                <w:sz w:val="18"/>
                <w:szCs w:val="18"/>
              </w:rPr>
              <w:t>7</w:t>
            </w:r>
          </w:p>
        </w:tc>
        <w:tc>
          <w:tcPr>
            <w:tcW w:w="451" w:type="pct"/>
            <w:shd w:val="clear" w:color="auto" w:fill="auto"/>
          </w:tcPr>
          <w:p>
            <w:pPr>
              <w:pStyle w:val="118"/>
              <w:ind w:firstLine="0" w:firstLineChars="0"/>
              <w:jc w:val="center"/>
              <w:rPr>
                <w:sz w:val="18"/>
                <w:szCs w:val="18"/>
              </w:rPr>
            </w:pPr>
            <w:r>
              <w:rPr>
                <w:sz w:val="18"/>
                <w:szCs w:val="18"/>
              </w:rPr>
              <w:t>0.8</w:t>
            </w:r>
          </w:p>
        </w:tc>
        <w:tc>
          <w:tcPr>
            <w:tcW w:w="535" w:type="pct"/>
            <w:shd w:val="clear" w:color="auto" w:fill="auto"/>
          </w:tcPr>
          <w:p>
            <w:pPr>
              <w:pStyle w:val="118"/>
              <w:ind w:firstLine="0" w:firstLineChars="0"/>
              <w:jc w:val="center"/>
              <w:rPr>
                <w:sz w:val="18"/>
                <w:szCs w:val="18"/>
              </w:rPr>
            </w:pPr>
            <w:r>
              <w:rPr>
                <w:sz w:val="18"/>
                <w:szCs w:val="18"/>
              </w:rPr>
              <w:t>余量</w:t>
            </w:r>
          </w:p>
        </w:tc>
        <w:tc>
          <w:tcPr>
            <w:tcW w:w="477" w:type="pct"/>
            <w:shd w:val="clear" w:color="auto" w:fill="auto"/>
          </w:tcPr>
          <w:p>
            <w:pPr>
              <w:pStyle w:val="118"/>
              <w:ind w:firstLine="0" w:firstLineChars="0"/>
              <w:jc w:val="center"/>
              <w:rPr>
                <w:sz w:val="18"/>
                <w:szCs w:val="18"/>
              </w:rPr>
            </w:pPr>
            <w:r>
              <w:rPr>
                <w:sz w:val="18"/>
                <w:szCs w:val="18"/>
              </w:rPr>
              <w:t>0.3</w:t>
            </w:r>
          </w:p>
        </w:tc>
        <w:tc>
          <w:tcPr>
            <w:tcW w:w="459" w:type="pct"/>
            <w:shd w:val="clear" w:color="auto" w:fill="auto"/>
          </w:tcPr>
          <w:p>
            <w:pPr>
              <w:pStyle w:val="118"/>
              <w:ind w:firstLine="0" w:firstLineChars="0"/>
              <w:jc w:val="center"/>
              <w:rPr>
                <w:sz w:val="18"/>
                <w:szCs w:val="18"/>
              </w:rPr>
            </w:pPr>
            <w:r>
              <w:rPr>
                <w:sz w:val="18"/>
                <w:szCs w:val="18"/>
              </w:rPr>
              <w:t>2.3</w:t>
            </w:r>
          </w:p>
        </w:tc>
      </w:tr>
    </w:tbl>
    <w:p>
      <w:pPr>
        <w:pStyle w:val="118"/>
        <w:ind w:left="780" w:firstLine="0" w:firstLineChars="0"/>
        <w:jc w:val="left"/>
        <w:rPr>
          <w:szCs w:val="21"/>
        </w:rPr>
      </w:pPr>
    </w:p>
    <w:p>
      <w:pPr>
        <w:pStyle w:val="118"/>
        <w:ind w:firstLine="0" w:firstLineChars="0"/>
        <w:jc w:val="left"/>
        <w:outlineLvl w:val="0"/>
        <w:rPr>
          <w:rFonts w:eastAsia="黑体"/>
          <w:szCs w:val="22"/>
        </w:rPr>
      </w:pPr>
      <w:r>
        <w:rPr>
          <w:rFonts w:hint="eastAsia" w:eastAsia="黑体"/>
          <w:szCs w:val="22"/>
          <w:lang w:val="en-US" w:eastAsia="zh-CN"/>
        </w:rPr>
        <w:t>9</w:t>
      </w:r>
      <w:r>
        <w:rPr>
          <w:rFonts w:eastAsia="黑体"/>
          <w:szCs w:val="22"/>
        </w:rPr>
        <w:t>.2.2统计分析</w:t>
      </w:r>
    </w:p>
    <w:p>
      <w:pPr>
        <w:pStyle w:val="118"/>
        <w:jc w:val="left"/>
        <w:rPr>
          <w:szCs w:val="21"/>
        </w:rPr>
      </w:pPr>
      <w:r>
        <w:rPr>
          <w:szCs w:val="21"/>
        </w:rPr>
        <w:t>根据IS0 5725采用重复测定的方法，对实验室间试验的结果进行评估。</w:t>
      </w:r>
      <w:r>
        <w:rPr>
          <w:szCs w:val="21"/>
          <w:shd w:val="clear" w:color="auto" w:fill="FFFFFF"/>
        </w:rPr>
        <w:t>用</w:t>
      </w:r>
      <w:bookmarkStart w:id="4" w:name="OLE_LINK3"/>
      <w:r>
        <w:rPr>
          <w:szCs w:val="21"/>
        </w:rPr>
        <w:t>ISO 5725:1986</w:t>
      </w:r>
      <w:bookmarkEnd w:id="4"/>
      <w:r>
        <w:rPr>
          <w:szCs w:val="21"/>
          <w:shd w:val="clear" w:color="auto" w:fill="FFFFFF"/>
        </w:rPr>
        <w:t>中描述的科克伦和迪克森检验对数据进行了统计异常值检验。</w:t>
      </w:r>
    </w:p>
    <w:p>
      <w:pPr>
        <w:pStyle w:val="118"/>
        <w:jc w:val="left"/>
        <w:rPr>
          <w:szCs w:val="21"/>
        </w:rPr>
      </w:pPr>
      <w:r>
        <w:rPr>
          <w:szCs w:val="21"/>
          <w:shd w:val="clear" w:color="auto" w:fill="FFFFFF"/>
        </w:rPr>
        <w:t>科克伦检验的原理是如果一组结果与其他结果相比，实验室内的差异太大，那么这些结果就是一个异常值。迪克森的测试是为了确定一个实验室的平均值是否与其他实验室的平均值相差太远。这两个测试都是在</w:t>
      </w:r>
      <w:r>
        <w:rPr>
          <w:szCs w:val="21"/>
        </w:rPr>
        <w:t>95%</w:t>
      </w:r>
      <w:r>
        <w:rPr>
          <w:szCs w:val="21"/>
          <w:shd w:val="clear" w:color="auto" w:fill="FFFFFF"/>
        </w:rPr>
        <w:t>的置信水平上应用的。</w:t>
      </w:r>
    </w:p>
    <w:p>
      <w:pPr>
        <w:pStyle w:val="118"/>
        <w:jc w:val="left"/>
        <w:rPr>
          <w:szCs w:val="21"/>
          <w:shd w:val="clear" w:color="auto" w:fill="FFFFFF"/>
        </w:rPr>
      </w:pPr>
      <w:r>
        <w:rPr>
          <w:szCs w:val="21"/>
          <w:shd w:val="clear" w:color="auto" w:fill="FFFFFF"/>
        </w:rPr>
        <w:t>在95%置信水平下，按照</w:t>
      </w:r>
      <w:r>
        <w:rPr>
          <w:szCs w:val="21"/>
        </w:rPr>
        <w:t>ISO 5725:1986</w:t>
      </w:r>
      <w:r>
        <w:rPr>
          <w:szCs w:val="21"/>
          <w:shd w:val="clear" w:color="auto" w:fill="FFFFFF"/>
        </w:rPr>
        <w:t>计算了重复性和重现性。</w:t>
      </w:r>
    </w:p>
    <w:p>
      <w:pPr>
        <w:pStyle w:val="118"/>
        <w:jc w:val="left"/>
        <w:rPr>
          <w:szCs w:val="21"/>
        </w:rPr>
      </w:pPr>
      <w:r>
        <w:rPr>
          <w:szCs w:val="21"/>
        </w:rPr>
        <w:t>表3给出了精密度结果见数据。</w:t>
      </w:r>
    </w:p>
    <w:p>
      <w:pPr>
        <w:pStyle w:val="118"/>
        <w:ind w:firstLine="0" w:firstLineChars="0"/>
        <w:jc w:val="center"/>
        <w:rPr>
          <w:szCs w:val="21"/>
        </w:rPr>
      </w:pPr>
      <w:r>
        <w:rPr>
          <w:szCs w:val="21"/>
        </w:rPr>
        <w:t xml:space="preserve">表3 </w:t>
      </w:r>
      <w:r>
        <w:rPr>
          <w:szCs w:val="21"/>
          <w:shd w:val="clear" w:color="auto" w:fill="FFFFFF"/>
        </w:rPr>
        <w:t>精度数据(质量分数%)</w:t>
      </w:r>
    </w:p>
    <w:tbl>
      <w:tblPr>
        <w:tblStyle w:val="3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pStyle w:val="118"/>
              <w:ind w:firstLine="180" w:firstLineChars="100"/>
              <w:jc w:val="left"/>
              <w:rPr>
                <w:sz w:val="18"/>
                <w:szCs w:val="18"/>
              </w:rPr>
            </w:pPr>
            <w:r>
              <w:rPr>
                <w:sz w:val="18"/>
                <w:szCs w:val="18"/>
              </w:rPr>
              <w:t>标准样品</w:t>
            </w:r>
          </w:p>
        </w:tc>
        <w:tc>
          <w:tcPr>
            <w:tcW w:w="1595" w:type="dxa"/>
            <w:shd w:val="clear" w:color="auto" w:fill="auto"/>
          </w:tcPr>
          <w:p>
            <w:pPr>
              <w:pStyle w:val="118"/>
              <w:ind w:firstLine="360"/>
              <w:jc w:val="left"/>
              <w:rPr>
                <w:sz w:val="18"/>
                <w:szCs w:val="18"/>
              </w:rPr>
            </w:pPr>
            <w:r>
              <w:rPr>
                <w:sz w:val="18"/>
                <w:szCs w:val="18"/>
              </w:rPr>
              <w:t>平均值</w:t>
            </w:r>
          </w:p>
        </w:tc>
        <w:tc>
          <w:tcPr>
            <w:tcW w:w="1595" w:type="dxa"/>
            <w:shd w:val="clear" w:color="auto" w:fill="auto"/>
          </w:tcPr>
          <w:p>
            <w:pPr>
              <w:pStyle w:val="118"/>
              <w:ind w:firstLine="180" w:firstLineChars="100"/>
              <w:jc w:val="left"/>
              <w:rPr>
                <w:sz w:val="18"/>
                <w:szCs w:val="18"/>
              </w:rPr>
            </w:pPr>
            <w:r>
              <w:rPr>
                <w:sz w:val="18"/>
                <w:szCs w:val="18"/>
              </w:rPr>
              <w:t>室内标准差</w:t>
            </w:r>
          </w:p>
        </w:tc>
        <w:tc>
          <w:tcPr>
            <w:tcW w:w="1595" w:type="dxa"/>
            <w:shd w:val="clear" w:color="auto" w:fill="auto"/>
          </w:tcPr>
          <w:p>
            <w:pPr>
              <w:pStyle w:val="118"/>
              <w:ind w:firstLine="180" w:firstLineChars="100"/>
              <w:jc w:val="left"/>
              <w:rPr>
                <w:sz w:val="18"/>
                <w:szCs w:val="18"/>
              </w:rPr>
            </w:pPr>
            <w:r>
              <w:rPr>
                <w:sz w:val="18"/>
                <w:szCs w:val="18"/>
              </w:rPr>
              <w:t>室间标准差</w:t>
            </w:r>
          </w:p>
        </w:tc>
        <w:tc>
          <w:tcPr>
            <w:tcW w:w="1595" w:type="dxa"/>
            <w:shd w:val="clear" w:color="auto" w:fill="auto"/>
          </w:tcPr>
          <w:p>
            <w:pPr>
              <w:pStyle w:val="118"/>
              <w:ind w:firstLine="360"/>
              <w:jc w:val="left"/>
              <w:rPr>
                <w:sz w:val="18"/>
                <w:szCs w:val="18"/>
              </w:rPr>
            </w:pPr>
            <w:r>
              <w:rPr>
                <w:sz w:val="18"/>
                <w:szCs w:val="18"/>
              </w:rPr>
              <w:t>重复性</w:t>
            </w:r>
          </w:p>
        </w:tc>
        <w:tc>
          <w:tcPr>
            <w:tcW w:w="1596" w:type="dxa"/>
            <w:shd w:val="clear" w:color="auto" w:fill="auto"/>
          </w:tcPr>
          <w:p>
            <w:pPr>
              <w:pStyle w:val="118"/>
              <w:ind w:firstLine="360"/>
              <w:jc w:val="left"/>
              <w:rPr>
                <w:sz w:val="18"/>
                <w:szCs w:val="18"/>
              </w:rPr>
            </w:pPr>
            <w:r>
              <w:rPr>
                <w:sz w:val="18"/>
                <w:szCs w:val="18"/>
              </w:rPr>
              <w:t>再现性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pStyle w:val="118"/>
              <w:ind w:firstLine="360"/>
              <w:rPr>
                <w:sz w:val="18"/>
                <w:szCs w:val="18"/>
              </w:rPr>
            </w:pPr>
            <w:r>
              <w:rPr>
                <w:sz w:val="18"/>
                <w:szCs w:val="18"/>
              </w:rPr>
              <w:t>825</w:t>
            </w:r>
          </w:p>
        </w:tc>
        <w:tc>
          <w:tcPr>
            <w:tcW w:w="1595" w:type="dxa"/>
            <w:shd w:val="clear" w:color="auto" w:fill="auto"/>
          </w:tcPr>
          <w:p>
            <w:pPr>
              <w:pStyle w:val="118"/>
              <w:ind w:firstLine="360"/>
              <w:jc w:val="left"/>
              <w:rPr>
                <w:sz w:val="18"/>
                <w:szCs w:val="18"/>
              </w:rPr>
            </w:pPr>
            <w:r>
              <w:rPr>
                <w:sz w:val="18"/>
                <w:szCs w:val="18"/>
              </w:rPr>
              <w:t>21.37</w:t>
            </w:r>
          </w:p>
        </w:tc>
        <w:tc>
          <w:tcPr>
            <w:tcW w:w="1595" w:type="dxa"/>
            <w:shd w:val="clear" w:color="auto" w:fill="auto"/>
          </w:tcPr>
          <w:p>
            <w:pPr>
              <w:pStyle w:val="118"/>
              <w:ind w:firstLine="360"/>
              <w:jc w:val="left"/>
              <w:rPr>
                <w:sz w:val="18"/>
                <w:szCs w:val="18"/>
              </w:rPr>
            </w:pPr>
            <w:r>
              <w:rPr>
                <w:sz w:val="18"/>
                <w:szCs w:val="18"/>
              </w:rPr>
              <w:t>0.042</w:t>
            </w:r>
          </w:p>
        </w:tc>
        <w:tc>
          <w:tcPr>
            <w:tcW w:w="1595" w:type="dxa"/>
            <w:shd w:val="clear" w:color="auto" w:fill="auto"/>
          </w:tcPr>
          <w:p>
            <w:pPr>
              <w:pStyle w:val="118"/>
              <w:ind w:firstLine="360"/>
              <w:jc w:val="left"/>
              <w:rPr>
                <w:sz w:val="18"/>
                <w:szCs w:val="18"/>
              </w:rPr>
            </w:pPr>
            <w:r>
              <w:rPr>
                <w:sz w:val="18"/>
                <w:szCs w:val="18"/>
              </w:rPr>
              <w:t>0.00</w:t>
            </w:r>
          </w:p>
        </w:tc>
        <w:tc>
          <w:tcPr>
            <w:tcW w:w="1595" w:type="dxa"/>
            <w:shd w:val="clear" w:color="auto" w:fill="auto"/>
          </w:tcPr>
          <w:p>
            <w:pPr>
              <w:pStyle w:val="118"/>
              <w:ind w:firstLine="360"/>
              <w:jc w:val="left"/>
              <w:rPr>
                <w:sz w:val="18"/>
                <w:szCs w:val="18"/>
              </w:rPr>
            </w:pPr>
            <w:r>
              <w:rPr>
                <w:sz w:val="18"/>
                <w:szCs w:val="18"/>
              </w:rPr>
              <w:t>0.12</w:t>
            </w:r>
          </w:p>
        </w:tc>
        <w:tc>
          <w:tcPr>
            <w:tcW w:w="1596" w:type="dxa"/>
            <w:shd w:val="clear" w:color="auto" w:fill="auto"/>
          </w:tcPr>
          <w:p>
            <w:pPr>
              <w:pStyle w:val="118"/>
              <w:ind w:firstLine="360"/>
              <w:jc w:val="left"/>
              <w:rPr>
                <w:sz w:val="18"/>
                <w:szCs w:val="18"/>
              </w:rPr>
            </w:pPr>
            <w:r>
              <w:rPr>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pStyle w:val="118"/>
              <w:ind w:firstLine="360"/>
              <w:rPr>
                <w:sz w:val="18"/>
                <w:szCs w:val="18"/>
              </w:rPr>
            </w:pPr>
            <w:r>
              <w:rPr>
                <w:sz w:val="18"/>
                <w:szCs w:val="18"/>
              </w:rPr>
              <w:t>903</w:t>
            </w:r>
          </w:p>
        </w:tc>
        <w:tc>
          <w:tcPr>
            <w:tcW w:w="1595" w:type="dxa"/>
            <w:shd w:val="clear" w:color="auto" w:fill="auto"/>
          </w:tcPr>
          <w:p>
            <w:pPr>
              <w:pStyle w:val="118"/>
              <w:ind w:firstLine="360"/>
              <w:jc w:val="left"/>
              <w:rPr>
                <w:sz w:val="18"/>
                <w:szCs w:val="18"/>
              </w:rPr>
            </w:pPr>
            <w:r>
              <w:rPr>
                <w:sz w:val="18"/>
                <w:szCs w:val="18"/>
              </w:rPr>
              <w:t>5.17</w:t>
            </w:r>
          </w:p>
        </w:tc>
        <w:tc>
          <w:tcPr>
            <w:tcW w:w="1595" w:type="dxa"/>
            <w:shd w:val="clear" w:color="auto" w:fill="auto"/>
          </w:tcPr>
          <w:p>
            <w:pPr>
              <w:pStyle w:val="118"/>
              <w:ind w:firstLine="360"/>
              <w:jc w:val="left"/>
              <w:rPr>
                <w:sz w:val="18"/>
                <w:szCs w:val="18"/>
              </w:rPr>
            </w:pPr>
            <w:r>
              <w:rPr>
                <w:sz w:val="18"/>
                <w:szCs w:val="18"/>
              </w:rPr>
              <w:t>0.051</w:t>
            </w:r>
          </w:p>
        </w:tc>
        <w:tc>
          <w:tcPr>
            <w:tcW w:w="1595" w:type="dxa"/>
            <w:shd w:val="clear" w:color="auto" w:fill="auto"/>
          </w:tcPr>
          <w:p>
            <w:pPr>
              <w:pStyle w:val="118"/>
              <w:ind w:firstLine="360"/>
              <w:jc w:val="left"/>
              <w:rPr>
                <w:sz w:val="18"/>
                <w:szCs w:val="18"/>
              </w:rPr>
            </w:pPr>
            <w:r>
              <w:rPr>
                <w:sz w:val="18"/>
                <w:szCs w:val="18"/>
              </w:rPr>
              <w:t>0.00</w:t>
            </w:r>
          </w:p>
        </w:tc>
        <w:tc>
          <w:tcPr>
            <w:tcW w:w="1595" w:type="dxa"/>
            <w:shd w:val="clear" w:color="auto" w:fill="auto"/>
          </w:tcPr>
          <w:p>
            <w:pPr>
              <w:pStyle w:val="118"/>
              <w:ind w:firstLine="360"/>
              <w:jc w:val="left"/>
              <w:rPr>
                <w:sz w:val="18"/>
                <w:szCs w:val="18"/>
              </w:rPr>
            </w:pPr>
            <w:r>
              <w:rPr>
                <w:sz w:val="18"/>
                <w:szCs w:val="18"/>
              </w:rPr>
              <w:t>0.14</w:t>
            </w:r>
          </w:p>
        </w:tc>
        <w:tc>
          <w:tcPr>
            <w:tcW w:w="1596" w:type="dxa"/>
            <w:shd w:val="clear" w:color="auto" w:fill="auto"/>
          </w:tcPr>
          <w:p>
            <w:pPr>
              <w:pStyle w:val="118"/>
              <w:ind w:firstLine="360"/>
              <w:jc w:val="left"/>
              <w:rPr>
                <w:sz w:val="18"/>
                <w:szCs w:val="18"/>
              </w:rPr>
            </w:pPr>
            <w:r>
              <w:rPr>
                <w:sz w:val="18"/>
                <w:szCs w:val="18"/>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pStyle w:val="118"/>
              <w:ind w:firstLine="360"/>
              <w:rPr>
                <w:sz w:val="18"/>
                <w:szCs w:val="18"/>
              </w:rPr>
            </w:pPr>
            <w:r>
              <w:rPr>
                <w:sz w:val="18"/>
                <w:szCs w:val="18"/>
              </w:rPr>
              <w:t>3920</w:t>
            </w:r>
          </w:p>
        </w:tc>
        <w:tc>
          <w:tcPr>
            <w:tcW w:w="1595" w:type="dxa"/>
            <w:shd w:val="clear" w:color="auto" w:fill="auto"/>
          </w:tcPr>
          <w:p>
            <w:pPr>
              <w:pStyle w:val="118"/>
              <w:ind w:firstLine="360"/>
              <w:jc w:val="left"/>
              <w:rPr>
                <w:sz w:val="18"/>
                <w:szCs w:val="18"/>
              </w:rPr>
            </w:pPr>
            <w:r>
              <w:rPr>
                <w:sz w:val="18"/>
                <w:szCs w:val="18"/>
              </w:rPr>
              <w:t>19.19</w:t>
            </w:r>
          </w:p>
        </w:tc>
        <w:tc>
          <w:tcPr>
            <w:tcW w:w="1595" w:type="dxa"/>
            <w:shd w:val="clear" w:color="auto" w:fill="auto"/>
          </w:tcPr>
          <w:p>
            <w:pPr>
              <w:pStyle w:val="118"/>
              <w:ind w:firstLine="360"/>
              <w:jc w:val="left"/>
              <w:rPr>
                <w:sz w:val="18"/>
                <w:szCs w:val="18"/>
              </w:rPr>
            </w:pPr>
            <w:r>
              <w:rPr>
                <w:sz w:val="18"/>
                <w:szCs w:val="18"/>
              </w:rPr>
              <w:t>0.046</w:t>
            </w:r>
          </w:p>
        </w:tc>
        <w:tc>
          <w:tcPr>
            <w:tcW w:w="1595" w:type="dxa"/>
            <w:shd w:val="clear" w:color="auto" w:fill="auto"/>
          </w:tcPr>
          <w:p>
            <w:pPr>
              <w:pStyle w:val="118"/>
              <w:ind w:firstLine="360"/>
              <w:jc w:val="left"/>
              <w:rPr>
                <w:sz w:val="18"/>
                <w:szCs w:val="18"/>
              </w:rPr>
            </w:pPr>
            <w:r>
              <w:rPr>
                <w:sz w:val="18"/>
                <w:szCs w:val="18"/>
              </w:rPr>
              <w:t>0.032</w:t>
            </w:r>
          </w:p>
        </w:tc>
        <w:tc>
          <w:tcPr>
            <w:tcW w:w="1595" w:type="dxa"/>
            <w:shd w:val="clear" w:color="auto" w:fill="auto"/>
          </w:tcPr>
          <w:p>
            <w:pPr>
              <w:pStyle w:val="118"/>
              <w:ind w:firstLine="360"/>
              <w:jc w:val="left"/>
              <w:rPr>
                <w:sz w:val="18"/>
                <w:szCs w:val="18"/>
              </w:rPr>
            </w:pPr>
            <w:r>
              <w:rPr>
                <w:sz w:val="18"/>
                <w:szCs w:val="18"/>
              </w:rPr>
              <w:t>0.13</w:t>
            </w:r>
          </w:p>
        </w:tc>
        <w:tc>
          <w:tcPr>
            <w:tcW w:w="1596" w:type="dxa"/>
            <w:shd w:val="clear" w:color="auto" w:fill="auto"/>
          </w:tcPr>
          <w:p>
            <w:pPr>
              <w:pStyle w:val="118"/>
              <w:ind w:firstLine="360"/>
              <w:jc w:val="left"/>
              <w:rPr>
                <w:sz w:val="18"/>
                <w:szCs w:val="18"/>
              </w:rPr>
            </w:pPr>
            <w:r>
              <w:rPr>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pStyle w:val="118"/>
              <w:ind w:firstLine="360"/>
              <w:rPr>
                <w:sz w:val="18"/>
                <w:szCs w:val="18"/>
              </w:rPr>
            </w:pPr>
            <w:r>
              <w:rPr>
                <w:sz w:val="18"/>
                <w:szCs w:val="18"/>
              </w:rPr>
              <w:t>3927</w:t>
            </w:r>
          </w:p>
        </w:tc>
        <w:tc>
          <w:tcPr>
            <w:tcW w:w="1595" w:type="dxa"/>
            <w:shd w:val="clear" w:color="auto" w:fill="auto"/>
          </w:tcPr>
          <w:p>
            <w:pPr>
              <w:pStyle w:val="118"/>
              <w:ind w:firstLine="360"/>
              <w:jc w:val="left"/>
              <w:rPr>
                <w:sz w:val="18"/>
                <w:szCs w:val="18"/>
              </w:rPr>
            </w:pPr>
            <w:r>
              <w:rPr>
                <w:sz w:val="18"/>
                <w:szCs w:val="18"/>
              </w:rPr>
              <w:t>20.31</w:t>
            </w:r>
          </w:p>
        </w:tc>
        <w:tc>
          <w:tcPr>
            <w:tcW w:w="1595" w:type="dxa"/>
            <w:shd w:val="clear" w:color="auto" w:fill="auto"/>
          </w:tcPr>
          <w:p>
            <w:pPr>
              <w:pStyle w:val="118"/>
              <w:ind w:firstLine="360"/>
              <w:jc w:val="left"/>
              <w:rPr>
                <w:sz w:val="18"/>
                <w:szCs w:val="18"/>
              </w:rPr>
            </w:pPr>
            <w:r>
              <w:rPr>
                <w:sz w:val="18"/>
                <w:szCs w:val="18"/>
              </w:rPr>
              <w:t>0.057</w:t>
            </w:r>
          </w:p>
        </w:tc>
        <w:tc>
          <w:tcPr>
            <w:tcW w:w="1595" w:type="dxa"/>
            <w:shd w:val="clear" w:color="auto" w:fill="auto"/>
          </w:tcPr>
          <w:p>
            <w:pPr>
              <w:pStyle w:val="118"/>
              <w:ind w:firstLine="360"/>
              <w:jc w:val="left"/>
              <w:rPr>
                <w:sz w:val="18"/>
                <w:szCs w:val="18"/>
              </w:rPr>
            </w:pPr>
            <w:r>
              <w:rPr>
                <w:sz w:val="18"/>
                <w:szCs w:val="18"/>
              </w:rPr>
              <w:t>0.055</w:t>
            </w:r>
          </w:p>
        </w:tc>
        <w:tc>
          <w:tcPr>
            <w:tcW w:w="1595" w:type="dxa"/>
            <w:shd w:val="clear" w:color="auto" w:fill="auto"/>
          </w:tcPr>
          <w:p>
            <w:pPr>
              <w:pStyle w:val="118"/>
              <w:ind w:firstLine="360"/>
              <w:jc w:val="left"/>
              <w:rPr>
                <w:sz w:val="18"/>
                <w:szCs w:val="18"/>
              </w:rPr>
            </w:pPr>
            <w:r>
              <w:rPr>
                <w:sz w:val="18"/>
                <w:szCs w:val="18"/>
              </w:rPr>
              <w:t>0.16</w:t>
            </w:r>
          </w:p>
        </w:tc>
        <w:tc>
          <w:tcPr>
            <w:tcW w:w="1596" w:type="dxa"/>
            <w:shd w:val="clear" w:color="auto" w:fill="auto"/>
          </w:tcPr>
          <w:p>
            <w:pPr>
              <w:pStyle w:val="118"/>
              <w:ind w:firstLine="360"/>
              <w:jc w:val="left"/>
              <w:rPr>
                <w:sz w:val="18"/>
                <w:szCs w:val="18"/>
              </w:rPr>
            </w:pPr>
            <w:r>
              <w:rPr>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pStyle w:val="118"/>
              <w:ind w:firstLine="360"/>
              <w:rPr>
                <w:sz w:val="18"/>
                <w:szCs w:val="18"/>
              </w:rPr>
            </w:pPr>
            <w:r>
              <w:rPr>
                <w:sz w:val="18"/>
                <w:szCs w:val="18"/>
              </w:rPr>
              <w:t>7013</w:t>
            </w:r>
          </w:p>
        </w:tc>
        <w:tc>
          <w:tcPr>
            <w:tcW w:w="1595" w:type="dxa"/>
            <w:shd w:val="clear" w:color="auto" w:fill="auto"/>
          </w:tcPr>
          <w:p>
            <w:pPr>
              <w:pStyle w:val="118"/>
              <w:ind w:firstLine="360"/>
              <w:jc w:val="left"/>
              <w:rPr>
                <w:sz w:val="18"/>
                <w:szCs w:val="18"/>
              </w:rPr>
            </w:pPr>
            <w:r>
              <w:rPr>
                <w:sz w:val="18"/>
                <w:szCs w:val="18"/>
              </w:rPr>
              <w:t>19.52</w:t>
            </w:r>
          </w:p>
        </w:tc>
        <w:tc>
          <w:tcPr>
            <w:tcW w:w="1595" w:type="dxa"/>
            <w:shd w:val="clear" w:color="auto" w:fill="auto"/>
          </w:tcPr>
          <w:p>
            <w:pPr>
              <w:pStyle w:val="118"/>
              <w:ind w:firstLine="360"/>
              <w:jc w:val="left"/>
              <w:rPr>
                <w:sz w:val="18"/>
                <w:szCs w:val="18"/>
              </w:rPr>
            </w:pPr>
            <w:r>
              <w:rPr>
                <w:sz w:val="18"/>
                <w:szCs w:val="18"/>
              </w:rPr>
              <w:t>0.071</w:t>
            </w:r>
          </w:p>
        </w:tc>
        <w:tc>
          <w:tcPr>
            <w:tcW w:w="1595" w:type="dxa"/>
            <w:shd w:val="clear" w:color="auto" w:fill="auto"/>
          </w:tcPr>
          <w:p>
            <w:pPr>
              <w:pStyle w:val="118"/>
              <w:ind w:firstLine="360"/>
              <w:jc w:val="left"/>
              <w:rPr>
                <w:sz w:val="18"/>
                <w:szCs w:val="18"/>
              </w:rPr>
            </w:pPr>
            <w:r>
              <w:rPr>
                <w:sz w:val="18"/>
                <w:szCs w:val="18"/>
              </w:rPr>
              <w:t>0.00</w:t>
            </w:r>
          </w:p>
        </w:tc>
        <w:tc>
          <w:tcPr>
            <w:tcW w:w="1595" w:type="dxa"/>
            <w:shd w:val="clear" w:color="auto" w:fill="auto"/>
          </w:tcPr>
          <w:p>
            <w:pPr>
              <w:pStyle w:val="118"/>
              <w:ind w:firstLine="360"/>
              <w:jc w:val="left"/>
              <w:rPr>
                <w:sz w:val="18"/>
                <w:szCs w:val="18"/>
              </w:rPr>
            </w:pPr>
            <w:r>
              <w:rPr>
                <w:sz w:val="18"/>
                <w:szCs w:val="18"/>
              </w:rPr>
              <w:t>0.20</w:t>
            </w:r>
          </w:p>
        </w:tc>
        <w:tc>
          <w:tcPr>
            <w:tcW w:w="1596" w:type="dxa"/>
            <w:shd w:val="clear" w:color="auto" w:fill="auto"/>
          </w:tcPr>
          <w:p>
            <w:pPr>
              <w:pStyle w:val="118"/>
              <w:ind w:firstLine="360"/>
              <w:jc w:val="left"/>
              <w:rPr>
                <w:sz w:val="18"/>
                <w:szCs w:val="18"/>
              </w:rPr>
            </w:pPr>
            <w:r>
              <w:rPr>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pStyle w:val="118"/>
              <w:ind w:firstLine="360"/>
              <w:rPr>
                <w:sz w:val="18"/>
                <w:szCs w:val="18"/>
              </w:rPr>
            </w:pPr>
            <w:r>
              <w:rPr>
                <w:sz w:val="18"/>
                <w:szCs w:val="18"/>
              </w:rPr>
              <w:t>7049</w:t>
            </w:r>
          </w:p>
        </w:tc>
        <w:tc>
          <w:tcPr>
            <w:tcW w:w="1595" w:type="dxa"/>
            <w:shd w:val="clear" w:color="auto" w:fill="auto"/>
          </w:tcPr>
          <w:p>
            <w:pPr>
              <w:pStyle w:val="118"/>
              <w:ind w:firstLine="360"/>
              <w:jc w:val="left"/>
              <w:rPr>
                <w:sz w:val="18"/>
                <w:szCs w:val="18"/>
              </w:rPr>
            </w:pPr>
            <w:r>
              <w:rPr>
                <w:sz w:val="18"/>
                <w:szCs w:val="18"/>
              </w:rPr>
              <w:t>15.04</w:t>
            </w:r>
          </w:p>
        </w:tc>
        <w:tc>
          <w:tcPr>
            <w:tcW w:w="1595" w:type="dxa"/>
            <w:shd w:val="clear" w:color="auto" w:fill="auto"/>
          </w:tcPr>
          <w:p>
            <w:pPr>
              <w:pStyle w:val="118"/>
              <w:ind w:firstLine="360"/>
              <w:jc w:val="left"/>
              <w:rPr>
                <w:sz w:val="18"/>
                <w:szCs w:val="18"/>
              </w:rPr>
            </w:pPr>
            <w:r>
              <w:rPr>
                <w:sz w:val="18"/>
                <w:szCs w:val="18"/>
              </w:rPr>
              <w:t>0.048</w:t>
            </w:r>
          </w:p>
        </w:tc>
        <w:tc>
          <w:tcPr>
            <w:tcW w:w="1595" w:type="dxa"/>
            <w:shd w:val="clear" w:color="auto" w:fill="auto"/>
          </w:tcPr>
          <w:p>
            <w:pPr>
              <w:pStyle w:val="118"/>
              <w:ind w:firstLine="360"/>
              <w:jc w:val="left"/>
              <w:rPr>
                <w:sz w:val="18"/>
                <w:szCs w:val="18"/>
              </w:rPr>
            </w:pPr>
            <w:r>
              <w:rPr>
                <w:sz w:val="18"/>
                <w:szCs w:val="18"/>
              </w:rPr>
              <w:t>0.022</w:t>
            </w:r>
          </w:p>
        </w:tc>
        <w:tc>
          <w:tcPr>
            <w:tcW w:w="1595" w:type="dxa"/>
            <w:shd w:val="clear" w:color="auto" w:fill="auto"/>
          </w:tcPr>
          <w:p>
            <w:pPr>
              <w:pStyle w:val="118"/>
              <w:ind w:firstLine="360"/>
              <w:jc w:val="left"/>
              <w:rPr>
                <w:sz w:val="18"/>
                <w:szCs w:val="18"/>
              </w:rPr>
            </w:pPr>
            <w:r>
              <w:rPr>
                <w:sz w:val="18"/>
                <w:szCs w:val="18"/>
              </w:rPr>
              <w:t>0.14</w:t>
            </w:r>
          </w:p>
        </w:tc>
        <w:tc>
          <w:tcPr>
            <w:tcW w:w="1596" w:type="dxa"/>
            <w:shd w:val="clear" w:color="auto" w:fill="auto"/>
          </w:tcPr>
          <w:p>
            <w:pPr>
              <w:pStyle w:val="118"/>
              <w:ind w:firstLine="360"/>
              <w:jc w:val="left"/>
              <w:rPr>
                <w:sz w:val="18"/>
                <w:szCs w:val="18"/>
              </w:rPr>
            </w:pPr>
            <w:r>
              <w:rPr>
                <w:sz w:val="18"/>
                <w:szCs w:val="18"/>
              </w:rPr>
              <w:t>0.20</w:t>
            </w:r>
          </w:p>
        </w:tc>
      </w:tr>
    </w:tbl>
    <w:p>
      <w:pPr>
        <w:pStyle w:val="118"/>
        <w:ind w:firstLine="0" w:firstLineChars="0"/>
        <w:jc w:val="left"/>
        <w:rPr>
          <w:szCs w:val="21"/>
        </w:rPr>
      </w:pPr>
      <w:r>
        <w:rPr>
          <w:szCs w:val="21"/>
        </w:rPr>
        <w:t>对于样品825，一个实验室被拒绝因为Cochran和Dixon离群值，两个实验室被拒绝因为Cochran离群值。 对于样品3920和7049，一个实验室被分别拒绝因科克伦异常值。然而，所有这些结果都可以被归类为统计上的离群，并且在IS0 5725中给出的不那么严格的临界水平上不会被拒绝。</w:t>
      </w:r>
    </w:p>
    <w:p>
      <w:pPr>
        <w:pStyle w:val="72"/>
        <w:spacing w:before="156" w:after="156"/>
        <w:rPr>
          <w:rFonts w:ascii="Times New Roman"/>
        </w:rPr>
      </w:pPr>
      <w:r>
        <w:rPr>
          <w:rFonts w:hint="eastAsia" w:ascii="Times New Roman"/>
          <w:lang w:val="en-US" w:eastAsia="zh-CN"/>
        </w:rPr>
        <w:t>10</w:t>
      </w:r>
      <w:r>
        <w:rPr>
          <w:rFonts w:ascii="Times New Roman"/>
        </w:rPr>
        <w:t>分析步骤说明</w:t>
      </w:r>
    </w:p>
    <w:p>
      <w:pPr>
        <w:pStyle w:val="118"/>
        <w:ind w:firstLine="0" w:firstLineChars="0"/>
        <w:jc w:val="left"/>
        <w:rPr>
          <w:rFonts w:eastAsia="黑体"/>
          <w:szCs w:val="22"/>
        </w:rPr>
      </w:pPr>
      <w:r>
        <w:rPr>
          <w:rFonts w:hint="eastAsia" w:eastAsia="黑体"/>
          <w:szCs w:val="22"/>
          <w:lang w:val="en-US" w:eastAsia="zh-CN"/>
        </w:rPr>
        <w:t>10</w:t>
      </w:r>
      <w:r>
        <w:rPr>
          <w:rFonts w:eastAsia="黑体"/>
          <w:szCs w:val="22"/>
        </w:rPr>
        <w:t>.1含钒合金</w:t>
      </w:r>
    </w:p>
    <w:p>
      <w:pPr>
        <w:pStyle w:val="118"/>
        <w:jc w:val="left"/>
        <w:rPr>
          <w:szCs w:val="21"/>
        </w:rPr>
      </w:pPr>
      <w:r>
        <w:rPr>
          <w:szCs w:val="21"/>
          <w:shd w:val="clear" w:color="auto" w:fill="FFFFFF"/>
        </w:rPr>
        <w:t>如果钒存在于合金中，会使铬的结果产生正偏差。铬对钒的毫克重量之比是0.340。因此，如果已知钒的含量，可以用铬的含量减去钒的含量乘以0.340进行修正。在钒的质量分数为0.2%时，这个修正是质量分数0,068%，约为该方法重现性的一半，被认为是不显著的。</w:t>
      </w:r>
    </w:p>
    <w:p>
      <w:pPr>
        <w:pStyle w:val="118"/>
        <w:ind w:firstLine="0" w:firstLineChars="0"/>
        <w:jc w:val="left"/>
        <w:rPr>
          <w:rFonts w:eastAsia="黑体"/>
          <w:szCs w:val="22"/>
        </w:rPr>
      </w:pPr>
    </w:p>
    <w:p>
      <w:pPr>
        <w:pStyle w:val="118"/>
        <w:ind w:firstLine="0" w:firstLineChars="0"/>
        <w:jc w:val="left"/>
        <w:rPr>
          <w:rFonts w:eastAsia="黑体"/>
          <w:szCs w:val="22"/>
        </w:rPr>
      </w:pPr>
      <w:r>
        <w:rPr>
          <w:rFonts w:hint="eastAsia" w:eastAsia="黑体"/>
          <w:szCs w:val="22"/>
          <w:lang w:val="en-US" w:eastAsia="zh-CN"/>
        </w:rPr>
        <w:t>10</w:t>
      </w:r>
      <w:r>
        <w:rPr>
          <w:rFonts w:eastAsia="黑体"/>
          <w:szCs w:val="22"/>
        </w:rPr>
        <w:t>.2终点的确定</w:t>
      </w:r>
    </w:p>
    <w:p>
      <w:pPr>
        <w:pStyle w:val="118"/>
        <w:jc w:val="left"/>
        <w:rPr>
          <w:rFonts w:hint="eastAsia"/>
          <w:szCs w:val="21"/>
          <w:shd w:val="clear" w:color="auto" w:fill="FFFFFF"/>
        </w:rPr>
      </w:pPr>
      <w:r>
        <w:rPr>
          <w:rFonts w:hint="eastAsia"/>
          <w:szCs w:val="21"/>
          <w:shd w:val="clear" w:color="auto" w:fill="FFFFFF"/>
        </w:rPr>
        <w:t>常规的滴定法，通常在滴定终点后利用肉眼进行终点的判定。与这类常规的可视化终点判定不同的是，电位滴定终点的判定具备高度准确性和可重复性。因为目视滴定的滴定终点通常在等量之后，电位滴定的准确性和可重复性的评估不同于正常的目视终点终点滴定。经典的S形滴定曲线显示，在滴定等当点附近，电位急剧上升。曲线陡峭部分的中点通常为滴定曲线的突变点，与对称滴定曲线的等当点相重合。对于非对称的滴定曲线，其等当点与中点不重合，但当</w:t>
      </w:r>
      <w:r>
        <w:rPr>
          <w:rFonts w:hint="eastAsia"/>
          <w:szCs w:val="21"/>
          <w:shd w:val="clear" w:color="auto" w:fill="FFFFFF"/>
          <w:lang w:eastAsia="zh-CN"/>
        </w:rPr>
        <w:t>等当点附近</w:t>
      </w:r>
      <w:r>
        <w:rPr>
          <w:rFonts w:hint="eastAsia"/>
          <w:szCs w:val="21"/>
          <w:shd w:val="clear" w:color="auto" w:fill="FFFFFF"/>
        </w:rPr>
        <w:t>电位的变化足够大时，终点差异导致的滴定误差可以忽略不计。</w:t>
      </w:r>
    </w:p>
    <w:p>
      <w:pPr>
        <w:pStyle w:val="118"/>
        <w:jc w:val="left"/>
        <w:rPr>
          <w:szCs w:val="21"/>
        </w:rPr>
      </w:pPr>
      <w:r>
        <w:rPr>
          <w:rFonts w:hint="eastAsia"/>
        </w:rPr>
        <w:t>手动电位滴定，由于需要建立平衡电位和对每次添加滴定剂进行记录，因而这一过程十分缓慢。</w:t>
      </w:r>
      <w:r>
        <w:rPr>
          <w:szCs w:val="21"/>
          <w:shd w:val="clear" w:color="auto" w:fill="FFFFFF"/>
        </w:rPr>
        <w:t>在等当点附近，</w:t>
      </w:r>
      <w:r>
        <w:rPr>
          <w:rFonts w:hint="eastAsia"/>
        </w:rPr>
        <w:t>在等量点附近，电位发生较大变化后，应</w:t>
      </w:r>
      <w:r>
        <w:rPr>
          <w:rFonts w:hint="eastAsia"/>
          <w:lang w:eastAsia="zh-CN"/>
        </w:rPr>
        <w:t>仅</w:t>
      </w:r>
      <w:r>
        <w:rPr>
          <w:rFonts w:hint="eastAsia"/>
        </w:rPr>
        <w:t>少量加入</w:t>
      </w:r>
      <w:r>
        <w:rPr>
          <w:rFonts w:hint="eastAsia"/>
          <w:lang w:eastAsia="zh-CN"/>
        </w:rPr>
        <w:t>滴定液，</w:t>
      </w:r>
      <w:r>
        <w:rPr>
          <w:rFonts w:hint="eastAsia"/>
        </w:rPr>
        <w:t>并进行至少三次测试</w:t>
      </w:r>
      <w:r>
        <w:rPr>
          <w:szCs w:val="21"/>
          <w:shd w:val="clear" w:color="auto" w:fill="FFFFFF"/>
        </w:rPr>
        <w:t>。根据记录的数据，可以通过绘制滴定曲线和从曲线的陡峭部分插值来确定终点。然而，更可取的是计算一阶导数(dE/dV)，它在等当点有一个最大值。终点体积的准确值可以通过计算</w:t>
      </w:r>
      <w:r>
        <w:rPr>
          <w:rFonts w:hint="eastAsia"/>
          <w:szCs w:val="21"/>
          <w:shd w:val="clear" w:color="auto" w:fill="FFFFFF"/>
          <w:lang w:eastAsia="zh-CN"/>
        </w:rPr>
        <w:t>电位</w:t>
      </w:r>
      <w:r>
        <w:rPr>
          <w:szCs w:val="21"/>
          <w:shd w:val="clear" w:color="auto" w:fill="FFFFFF"/>
        </w:rPr>
        <w:t>体积</w:t>
      </w:r>
      <w:r>
        <w:rPr>
          <w:rFonts w:hint="eastAsia"/>
          <w:szCs w:val="21"/>
          <w:shd w:val="clear" w:color="auto" w:fill="FFFFFF"/>
          <w:lang w:eastAsia="zh-CN"/>
        </w:rPr>
        <w:t>比</w:t>
      </w:r>
      <w:r>
        <w:rPr>
          <w:szCs w:val="21"/>
          <w:shd w:val="clear" w:color="auto" w:fill="FFFFFF"/>
        </w:rPr>
        <w:t>的二阶导数来确定，</w:t>
      </w:r>
      <w:r>
        <w:rPr>
          <w:rFonts w:hint="eastAsia"/>
          <w:lang w:eastAsia="zh-CN"/>
        </w:rPr>
        <w:t>终点处二阶导数</w:t>
      </w:r>
      <w:r>
        <w:rPr>
          <w:rFonts w:hint="eastAsia"/>
        </w:rPr>
        <w:t>数值近乎为0</w:t>
      </w:r>
      <w:r>
        <w:rPr>
          <w:szCs w:val="21"/>
          <w:shd w:val="clear" w:color="auto" w:fill="FFFFFF"/>
        </w:rPr>
        <w:t>。如果在大的电位变化前后加入等量的滴定液，</w:t>
      </w:r>
      <w:r>
        <w:rPr>
          <w:szCs w:val="21"/>
        </w:rPr>
        <w:t>很容易看出二阶导数函数在两次滴加之间改变了符号。因此，它一定在某一点上通过了零点，而该点由插值确定。</w:t>
      </w:r>
    </w:p>
    <w:p>
      <w:pPr>
        <w:pStyle w:val="118"/>
        <w:jc w:val="left"/>
        <w:rPr>
          <w:szCs w:val="21"/>
        </w:rPr>
      </w:pPr>
      <w:r>
        <w:rPr>
          <w:szCs w:val="21"/>
          <w:shd w:val="clear" w:color="auto" w:fill="FFFFFF"/>
        </w:rPr>
        <w:t>使用自动滴定仪直接记录滴定曲线或以数字形式处理数据，具有很大的优势。在本文件中推荐使用这样的仪器。</w:t>
      </w:r>
    </w:p>
    <w:p>
      <w:pPr>
        <w:pStyle w:val="72"/>
        <w:spacing w:before="156" w:after="156"/>
        <w:rPr>
          <w:rFonts w:ascii="Times New Roman"/>
        </w:rPr>
      </w:pPr>
      <w:r>
        <w:rPr>
          <w:rFonts w:ascii="Times New Roman"/>
        </w:rPr>
        <w:t>10试验报告</w:t>
      </w:r>
    </w:p>
    <w:p>
      <w:pPr>
        <w:pStyle w:val="2"/>
        <w:tabs>
          <w:tab w:val="center" w:pos="4201"/>
          <w:tab w:val="right" w:leader="dot" w:pos="9298"/>
        </w:tabs>
        <w:ind w:firstLine="420"/>
        <w:rPr>
          <w:rFonts w:ascii="Times New Roman"/>
          <w:sz w:val="21"/>
          <w:szCs w:val="21"/>
        </w:rPr>
      </w:pPr>
      <w:r>
        <w:rPr>
          <w:rFonts w:ascii="Times New Roman"/>
          <w:sz w:val="21"/>
          <w:szCs w:val="21"/>
          <w:shd w:val="clear" w:color="auto" w:fill="FFFFFF"/>
        </w:rPr>
        <w:t>测试报告应包括以下信息：</w:t>
      </w:r>
    </w:p>
    <w:p>
      <w:pPr>
        <w:pStyle w:val="2"/>
        <w:numPr>
          <w:ilvl w:val="0"/>
          <w:numId w:val="10"/>
        </w:numPr>
        <w:ind w:firstLine="420"/>
        <w:rPr>
          <w:rFonts w:ascii="Times New Roman"/>
          <w:sz w:val="21"/>
          <w:szCs w:val="21"/>
        </w:rPr>
      </w:pPr>
      <w:r>
        <w:rPr>
          <w:rFonts w:ascii="Times New Roman"/>
          <w:sz w:val="21"/>
          <w:szCs w:val="21"/>
        </w:rPr>
        <w:t>所用方法的引用；</w:t>
      </w:r>
    </w:p>
    <w:p>
      <w:pPr>
        <w:pStyle w:val="2"/>
        <w:numPr>
          <w:ilvl w:val="0"/>
          <w:numId w:val="10"/>
        </w:numPr>
        <w:ind w:firstLine="420"/>
        <w:rPr>
          <w:rFonts w:ascii="Times New Roman"/>
          <w:sz w:val="21"/>
          <w:szCs w:val="21"/>
        </w:rPr>
      </w:pPr>
      <w:r>
        <w:rPr>
          <w:rFonts w:ascii="Times New Roman"/>
          <w:sz w:val="21"/>
          <w:szCs w:val="21"/>
          <w:shd w:val="clear" w:color="auto" w:fill="FFFFFF"/>
        </w:rPr>
        <w:t>样品、实验室和分析日期或检测报告的识别所需的所有信息；</w:t>
      </w:r>
    </w:p>
    <w:p>
      <w:pPr>
        <w:pStyle w:val="2"/>
        <w:numPr>
          <w:ilvl w:val="0"/>
          <w:numId w:val="10"/>
        </w:numPr>
        <w:ind w:firstLine="420"/>
        <w:rPr>
          <w:rFonts w:ascii="Times New Roman"/>
          <w:sz w:val="21"/>
          <w:szCs w:val="21"/>
        </w:rPr>
      </w:pPr>
      <w:r>
        <w:rPr>
          <w:rFonts w:ascii="Times New Roman"/>
          <w:sz w:val="21"/>
          <w:szCs w:val="21"/>
          <w:shd w:val="clear" w:color="auto" w:fill="FFFFFF"/>
        </w:rPr>
        <w:t>结果及其表达单位</w:t>
      </w:r>
      <w:r>
        <w:rPr>
          <w:rFonts w:ascii="Times New Roman"/>
          <w:sz w:val="21"/>
          <w:szCs w:val="21"/>
        </w:rPr>
        <w:t>；</w:t>
      </w:r>
    </w:p>
    <w:p>
      <w:pPr>
        <w:pStyle w:val="2"/>
        <w:numPr>
          <w:ilvl w:val="0"/>
          <w:numId w:val="10"/>
        </w:numPr>
        <w:ind w:firstLine="420"/>
        <w:rPr>
          <w:rFonts w:ascii="Times New Roman"/>
        </w:rPr>
      </w:pPr>
      <w:r>
        <w:rPr>
          <w:rFonts w:ascii="Times New Roman"/>
          <w:sz w:val="21"/>
          <w:szCs w:val="21"/>
          <w:shd w:val="clear" w:color="auto" w:fill="FFFFFF"/>
        </w:rPr>
        <w:t>独立重复次数；</w:t>
      </w:r>
    </w:p>
    <w:p>
      <w:pPr>
        <w:pStyle w:val="2"/>
        <w:numPr>
          <w:ilvl w:val="0"/>
          <w:numId w:val="10"/>
        </w:numPr>
        <w:ind w:firstLine="420"/>
        <w:rPr>
          <w:rFonts w:ascii="Times New Roman"/>
          <w:sz w:val="21"/>
          <w:szCs w:val="21"/>
        </w:rPr>
      </w:pPr>
      <w:r>
        <w:rPr>
          <w:rFonts w:ascii="Times New Roman"/>
          <w:sz w:val="21"/>
          <w:szCs w:val="21"/>
          <w:shd w:val="clear" w:color="auto" w:fill="FFFFFF"/>
        </w:rPr>
        <w:t>在测定过程中注意到的任何异常特征</w:t>
      </w:r>
      <w:r>
        <w:rPr>
          <w:rFonts w:ascii="Times New Roman"/>
          <w:sz w:val="21"/>
          <w:szCs w:val="21"/>
        </w:rPr>
        <w:t>；</w:t>
      </w:r>
    </w:p>
    <w:p>
      <w:pPr>
        <w:pStyle w:val="2"/>
        <w:numPr>
          <w:ilvl w:val="0"/>
          <w:numId w:val="10"/>
        </w:numPr>
        <w:ind w:firstLine="420"/>
        <w:rPr>
          <w:rFonts w:ascii="Times New Roman"/>
        </w:rPr>
      </w:pPr>
      <w:r>
        <w:rPr>
          <w:rFonts w:ascii="Times New Roman"/>
          <w:sz w:val="21"/>
          <w:szCs w:val="21"/>
          <w:shd w:val="clear" w:color="auto" w:fill="FFFFFF"/>
        </w:rPr>
        <w:t>本文件未规定的任何操作或可能影响结果的任何操作；</w:t>
      </w:r>
    </w:p>
    <w:p>
      <w:pPr>
        <w:pStyle w:val="2"/>
        <w:numPr>
          <w:ilvl w:val="0"/>
          <w:numId w:val="10"/>
        </w:numPr>
        <w:ind w:firstLine="420"/>
        <w:rPr>
          <w:rFonts w:ascii="Times New Roman"/>
        </w:rPr>
      </w:pPr>
      <w:r>
        <w:rPr>
          <w:rFonts w:ascii="Times New Roman"/>
          <w:sz w:val="21"/>
          <w:szCs w:val="21"/>
          <w:shd w:val="clear" w:color="auto" w:fill="FFFFFF"/>
        </w:rPr>
        <w:t>负责人签字</w:t>
      </w:r>
      <w:r>
        <w:rPr>
          <w:rFonts w:ascii="Times New Roman"/>
        </w:rPr>
        <w:t>。</w:t>
      </w:r>
    </w:p>
    <w:p>
      <w:pPr>
        <w:pStyle w:val="2"/>
        <w:tabs>
          <w:tab w:val="center" w:pos="4201"/>
          <w:tab w:val="right" w:leader="dot" w:pos="9298"/>
        </w:tabs>
        <w:ind w:firstLine="440"/>
        <w:rPr>
          <w:rFonts w:ascii="Times New Roman"/>
        </w:rPr>
      </w:pPr>
    </w:p>
    <w:bookmarkEnd w:id="2"/>
    <w:p>
      <w:pPr>
        <w:pStyle w:val="2"/>
        <w:ind w:firstLine="440"/>
        <w:rPr>
          <w:rFonts w:ascii="Times New Roman"/>
        </w:rPr>
      </w:pPr>
    </w:p>
    <w:p>
      <w:pPr>
        <w:pStyle w:val="2"/>
        <w:ind w:firstLine="440"/>
        <w:rPr>
          <w:rFonts w:ascii="Times New Roman"/>
        </w:rPr>
      </w:pPr>
    </w:p>
    <w:p>
      <w:pPr>
        <w:pStyle w:val="2"/>
        <w:ind w:firstLine="440"/>
        <w:rPr>
          <w:rFonts w:ascii="Times New Roman"/>
        </w:rPr>
      </w:pPr>
    </w:p>
    <w:p>
      <w:pPr>
        <w:pStyle w:val="2"/>
        <w:ind w:firstLine="0" w:firstLineChars="0"/>
        <w:jc w:val="center"/>
        <w:rPr>
          <w:rFonts w:ascii="Times New Roman" w:eastAsia="黑体"/>
        </w:rPr>
      </w:pPr>
      <w:bookmarkStart w:id="5" w:name="OLE_LINK133"/>
      <w:bookmarkStart w:id="6" w:name="OLE_LINK134"/>
    </w:p>
    <w:p>
      <w:pPr>
        <w:pStyle w:val="2"/>
        <w:ind w:firstLine="0" w:firstLineChars="0"/>
        <w:jc w:val="center"/>
        <w:rPr>
          <w:rFonts w:ascii="Times New Roman" w:eastAsia="黑体"/>
        </w:rPr>
      </w:pPr>
    </w:p>
    <w:p>
      <w:pPr>
        <w:pStyle w:val="2"/>
        <w:ind w:firstLine="0" w:firstLineChars="0"/>
        <w:jc w:val="center"/>
        <w:rPr>
          <w:rFonts w:ascii="Times New Roman" w:eastAsia="黑体"/>
        </w:rPr>
      </w:pPr>
    </w:p>
    <w:p>
      <w:pPr>
        <w:pStyle w:val="2"/>
        <w:ind w:firstLine="0" w:firstLineChars="0"/>
        <w:jc w:val="center"/>
        <w:rPr>
          <w:rFonts w:ascii="黑体" w:eastAsia="黑体"/>
        </w:rPr>
      </w:pPr>
      <w:r>
        <w:rPr>
          <w:rFonts w:hint="eastAsia" w:ascii="黑体" w:eastAsia="黑体"/>
        </w:rPr>
        <w:t>_________________________________</w:t>
      </w:r>
      <w:bookmarkStart w:id="11" w:name="_GoBack"/>
      <w:bookmarkEnd w:id="11"/>
    </w:p>
    <w:bookmarkEnd w:id="5"/>
    <w:bookmarkEnd w:id="6"/>
    <w:p>
      <w:pPr>
        <w:pStyle w:val="2"/>
        <w:ind w:firstLine="0" w:firstLineChars="0"/>
      </w:pPr>
    </w:p>
    <w:p>
      <w:pPr>
        <w:pStyle w:val="2"/>
        <w:pageBreakBefore/>
        <w:ind w:firstLine="0" w:firstLineChars="0"/>
        <w:jc w:val="center"/>
        <w:rPr>
          <w:rFonts w:hint="eastAsia"/>
          <w:b/>
          <w:bCs/>
          <w:sz w:val="28"/>
          <w:szCs w:val="28"/>
          <w:lang w:val="en-US" w:eastAsia="zh-CN"/>
        </w:rPr>
      </w:pPr>
      <w:r>
        <w:rPr>
          <w:rFonts w:hint="eastAsia"/>
          <w:b/>
          <w:bCs/>
          <w:sz w:val="28"/>
          <w:szCs w:val="28"/>
          <w:lang w:eastAsia="zh-CN"/>
        </w:rPr>
        <w:t>附录</w:t>
      </w:r>
      <w:r>
        <w:rPr>
          <w:rFonts w:hint="eastAsia"/>
          <w:b/>
          <w:bCs/>
          <w:sz w:val="28"/>
          <w:szCs w:val="28"/>
          <w:lang w:val="en-US" w:eastAsia="zh-CN"/>
        </w:rPr>
        <w:t>A</w:t>
      </w:r>
    </w:p>
    <w:p>
      <w:pPr>
        <w:pStyle w:val="2"/>
        <w:ind w:firstLine="0" w:firstLineChars="0"/>
        <w:jc w:val="center"/>
        <w:rPr>
          <w:rFonts w:hint="eastAsia"/>
          <w:b/>
          <w:bCs/>
          <w:sz w:val="28"/>
          <w:szCs w:val="28"/>
          <w:lang w:val="en-US" w:eastAsia="zh-CN"/>
        </w:rPr>
      </w:pPr>
      <w:r>
        <w:rPr>
          <w:rFonts w:hint="eastAsia"/>
          <w:b/>
          <w:bCs/>
          <w:sz w:val="28"/>
          <w:szCs w:val="28"/>
          <w:lang w:val="en-US" w:eastAsia="zh-CN"/>
        </w:rPr>
        <w:t>(资料性）</w:t>
      </w:r>
    </w:p>
    <w:p>
      <w:pPr>
        <w:pStyle w:val="2"/>
        <w:ind w:firstLine="0" w:firstLineChars="0"/>
        <w:jc w:val="center"/>
        <w:rPr>
          <w:rFonts w:hint="eastAsia"/>
          <w:b/>
          <w:bCs/>
          <w:sz w:val="28"/>
          <w:szCs w:val="28"/>
          <w:lang w:val="en-US" w:eastAsia="zh-CN"/>
        </w:rPr>
      </w:pPr>
      <w:r>
        <w:rPr>
          <w:rFonts w:hint="eastAsia"/>
          <w:b/>
          <w:bCs/>
          <w:sz w:val="28"/>
          <w:szCs w:val="28"/>
          <w:lang w:val="en-US" w:eastAsia="zh-CN"/>
        </w:rPr>
        <w:t>精密度试验附加资料</w:t>
      </w:r>
    </w:p>
    <w:p>
      <w:pPr>
        <w:pStyle w:val="2"/>
        <w:ind w:firstLine="0" w:firstLineChars="0"/>
        <w:jc w:val="left"/>
        <w:rPr>
          <w:rFonts w:hint="eastAsia"/>
          <w:sz w:val="28"/>
          <w:szCs w:val="28"/>
          <w:lang w:val="en-US" w:eastAsia="zh-CN"/>
        </w:rPr>
      </w:pPr>
      <w:r>
        <w:rPr>
          <w:rFonts w:hint="eastAsia"/>
          <w:sz w:val="28"/>
          <w:szCs w:val="28"/>
          <w:lang w:val="en-US" w:eastAsia="zh-CN"/>
        </w:rPr>
        <w:t>精密度试验所用试样列于表A.1。精密度试验结果的原始数据和获得的铬的详细结果见表A.2和表A.3</w:t>
      </w:r>
    </w:p>
    <w:p>
      <w:pPr>
        <w:pStyle w:val="2"/>
        <w:ind w:firstLine="0" w:firstLineChars="0"/>
        <w:jc w:val="center"/>
        <w:rPr>
          <w:rFonts w:hint="eastAsia"/>
          <w:b/>
          <w:bCs/>
          <w:sz w:val="28"/>
          <w:szCs w:val="28"/>
          <w:lang w:val="en-US" w:eastAsia="zh-CN"/>
        </w:rPr>
      </w:pPr>
      <w:r>
        <w:rPr>
          <w:rFonts w:hint="eastAsia"/>
          <w:b/>
          <w:bCs/>
          <w:sz w:val="28"/>
          <w:szCs w:val="28"/>
          <w:lang w:val="en-US" w:eastAsia="zh-CN"/>
        </w:rPr>
        <w:t>表A.1精密度试验用样品信息</w:t>
      </w:r>
    </w:p>
    <w:tbl>
      <w:tblPr>
        <w:tblStyle w:val="34"/>
        <w:tblW w:w="5298" w:type="pct"/>
        <w:tblInd w:w="-384" w:type="dxa"/>
        <w:tblLayout w:type="autofit"/>
        <w:tblCellMar>
          <w:top w:w="0" w:type="dxa"/>
          <w:left w:w="108" w:type="dxa"/>
          <w:bottom w:w="0" w:type="dxa"/>
          <w:right w:w="108" w:type="dxa"/>
        </w:tblCellMar>
      </w:tblPr>
      <w:tblGrid>
        <w:gridCol w:w="1244"/>
        <w:gridCol w:w="741"/>
        <w:gridCol w:w="741"/>
        <w:gridCol w:w="741"/>
        <w:gridCol w:w="741"/>
        <w:gridCol w:w="741"/>
        <w:gridCol w:w="741"/>
        <w:gridCol w:w="741"/>
        <w:gridCol w:w="741"/>
        <w:gridCol w:w="741"/>
        <w:gridCol w:w="741"/>
        <w:gridCol w:w="741"/>
        <w:gridCol w:w="745"/>
      </w:tblGrid>
      <w:tr>
        <w:tblPrEx>
          <w:tblCellMar>
            <w:top w:w="0" w:type="dxa"/>
            <w:left w:w="108" w:type="dxa"/>
            <w:bottom w:w="0" w:type="dxa"/>
            <w:right w:w="108" w:type="dxa"/>
          </w:tblCellMar>
        </w:tblPrEx>
        <w:trPr>
          <w:trHeight w:val="300" w:hRule="atLeast"/>
        </w:trPr>
        <w:tc>
          <w:tcPr>
            <w:tcW w:w="613"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样品编号</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Al%</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Co%</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Cr%</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Cu%</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Fe%</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Mn%</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Ni%</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Si%</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Ti%</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Mo%</w:t>
            </w:r>
          </w:p>
        </w:tc>
        <w:tc>
          <w:tcPr>
            <w:tcW w:w="365"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Nb%</w:t>
            </w:r>
          </w:p>
        </w:tc>
        <w:tc>
          <w:tcPr>
            <w:tcW w:w="367" w:type="pct"/>
            <w:tcBorders>
              <w:top w:val="single" w:color="000000" w:sz="8" w:space="0"/>
              <w:left w:val="nil"/>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W%</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1#</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60</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0.6</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0.3</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2#</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2.8</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0.03</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80</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4.9</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5.5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40</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41.7</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w:t>
            </w:r>
          </w:p>
        </w:tc>
        <w:tc>
          <w:tcPr>
            <w:tcW w:w="367"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7.5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12.5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0.7</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74.7</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0.8</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0.3</w:t>
            </w:r>
          </w:p>
        </w:tc>
        <w:tc>
          <w:tcPr>
            <w:tcW w:w="367"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1.3</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4.4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0.004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59</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4.2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0.03</w:t>
            </w:r>
          </w:p>
        </w:tc>
        <w:tc>
          <w:tcPr>
            <w:tcW w:w="367"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0.05</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6#</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1.2</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0.18</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75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2.9</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1.8</w:t>
            </w:r>
          </w:p>
        </w:tc>
        <w:tc>
          <w:tcPr>
            <w:tcW w:w="36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7#</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16</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9.6</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73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0.01</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8#</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1.3</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17</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0.012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7.6</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64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2.9</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0.8</w:t>
            </w:r>
          </w:p>
        </w:tc>
        <w:tc>
          <w:tcPr>
            <w:tcW w:w="367"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3.9</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w:t>
            </w:r>
            <w:r>
              <w:rPr>
                <w:rStyle w:val="147"/>
                <w:rFonts w:hint="default"/>
                <w:lang w:bidi="ar"/>
              </w:rPr>
              <w:t>9#</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1.8</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18</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0.4</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55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5.4</w:t>
            </w:r>
          </w:p>
        </w:tc>
        <w:tc>
          <w:tcPr>
            <w:tcW w:w="36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镍合金10</w:t>
            </w:r>
            <w:r>
              <w:rPr>
                <w:rStyle w:val="147"/>
                <w:rFonts w:hint="default"/>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18</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44</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15</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0.19</w:t>
            </w:r>
          </w:p>
        </w:tc>
        <w:tc>
          <w:tcPr>
            <w:tcW w:w="367" w:type="pct"/>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镍合金11</w:t>
            </w:r>
            <w:r>
              <w:rPr>
                <w:rStyle w:val="147"/>
                <w:rFonts w:hint="default"/>
                <w:lang w:bidi="ar"/>
              </w:rPr>
              <w:t>#</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0.13</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20</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0.3</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15.5</w:t>
            </w:r>
          </w:p>
        </w:tc>
        <w:tc>
          <w:tcPr>
            <w:tcW w:w="365" w:type="pct"/>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367"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5.5</w:t>
            </w:r>
          </w:p>
        </w:tc>
      </w:tr>
      <w:tr>
        <w:tblPrEx>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b/>
                <w:bCs/>
                <w:color w:val="000000"/>
                <w:sz w:val="18"/>
                <w:szCs w:val="18"/>
              </w:rPr>
            </w:pPr>
            <w:r>
              <w:rPr>
                <w:rFonts w:hint="eastAsia" w:ascii="宋体" w:hAnsi="宋体" w:cs="宋体"/>
                <w:b/>
                <w:color w:val="000000"/>
                <w:kern w:val="0"/>
                <w:sz w:val="18"/>
                <w:szCs w:val="18"/>
                <w:lang w:bidi="ar"/>
              </w:rPr>
              <w:t>镍合金12</w:t>
            </w:r>
            <w:r>
              <w:rPr>
                <w:rStyle w:val="147"/>
                <w:rFonts w:hint="default"/>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0.2</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0.02</w:t>
            </w:r>
          </w:p>
        </w:tc>
        <w:tc>
          <w:tcPr>
            <w:tcW w:w="36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0.1</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50</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0.2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2.2</w:t>
            </w:r>
          </w:p>
        </w:tc>
        <w:tc>
          <w:tcPr>
            <w:tcW w:w="365" w:type="pct"/>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4.3</w:t>
            </w:r>
          </w:p>
        </w:tc>
        <w:tc>
          <w:tcPr>
            <w:tcW w:w="36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2"/>
        <w:pageBreakBefore/>
        <w:ind w:firstLine="0" w:firstLineChars="0"/>
        <w:jc w:val="center"/>
        <w:rPr>
          <w:rFonts w:hint="eastAsia"/>
          <w:b/>
          <w:bCs/>
          <w:sz w:val="28"/>
          <w:szCs w:val="28"/>
          <w:lang w:val="en-US" w:eastAsia="zh-CN"/>
        </w:rPr>
      </w:pPr>
      <w:r>
        <w:rPr>
          <w:rFonts w:hint="eastAsia"/>
          <w:b/>
          <w:bCs/>
          <w:sz w:val="28"/>
          <w:szCs w:val="28"/>
          <w:lang w:val="en-US" w:eastAsia="zh-CN"/>
        </w:rPr>
        <w:t>表A.2精密度试验原始</w:t>
      </w:r>
    </w:p>
    <w:tbl>
      <w:tblPr>
        <w:tblStyle w:val="34"/>
        <w:tblW w:w="5352" w:type="pct"/>
        <w:tblInd w:w="-564" w:type="dxa"/>
        <w:tblLayout w:type="fixed"/>
        <w:tblCellMar>
          <w:top w:w="0" w:type="dxa"/>
          <w:left w:w="108" w:type="dxa"/>
          <w:bottom w:w="0" w:type="dxa"/>
          <w:right w:w="108" w:type="dxa"/>
        </w:tblCellMar>
      </w:tblPr>
      <w:tblGrid>
        <w:gridCol w:w="788"/>
        <w:gridCol w:w="788"/>
        <w:gridCol w:w="788"/>
        <w:gridCol w:w="788"/>
        <w:gridCol w:w="788"/>
        <w:gridCol w:w="788"/>
        <w:gridCol w:w="788"/>
        <w:gridCol w:w="788"/>
        <w:gridCol w:w="788"/>
        <w:gridCol w:w="788"/>
        <w:gridCol w:w="788"/>
        <w:gridCol w:w="788"/>
        <w:gridCol w:w="789"/>
      </w:tblGrid>
      <w:tr>
        <w:trPr>
          <w:trHeight w:val="270" w:hRule="atLeast"/>
        </w:trPr>
        <w:tc>
          <w:tcPr>
            <w:tcW w:w="384"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实验室i</w:t>
            </w:r>
          </w:p>
        </w:tc>
        <w:tc>
          <w:tcPr>
            <w:tcW w:w="461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水平j</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w:t>
            </w:r>
          </w:p>
        </w:tc>
      </w:tr>
      <w:tr>
        <w:tblPrEx>
          <w:tblCellMar>
            <w:top w:w="0" w:type="dxa"/>
            <w:left w:w="108" w:type="dxa"/>
            <w:bottom w:w="0" w:type="dxa"/>
            <w:right w:w="108" w:type="dxa"/>
          </w:tblCellMar>
        </w:tblPrEx>
        <w:trPr>
          <w:trHeight w:val="9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21.24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19.95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21.33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21.20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19.89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21.22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1.65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3.01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5.87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7.85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14.14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15.91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18.60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19.81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21.18 </w:t>
            </w:r>
          </w:p>
        </w:tc>
      </w:tr>
      <w:tr>
        <w:tblPrEx>
          <w:tblCellMar>
            <w:top w:w="0" w:type="dxa"/>
            <w:left w:w="108" w:type="dxa"/>
            <w:bottom w:w="0" w:type="dxa"/>
            <w:right w:w="108" w:type="dxa"/>
          </w:tblCellMar>
        </w:tblPrEx>
        <w:trPr>
          <w:trHeight w:val="27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1.67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3.11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5.91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7.83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14.13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15.83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17.69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18.57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19.72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21.23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1.64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3.08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5.83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14.07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15.90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18.48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19.87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21.18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1.70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3.02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5.95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14.10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15.99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17.67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18.68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19.79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21.07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18.42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20.19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21.25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20.27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21.16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18.48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20.24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21.29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20.20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21.22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21.15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21.18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21.20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5.70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19.88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21.24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2.83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17.69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20.01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21.19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1.19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2.82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14.19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20.10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21.25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1.27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2.79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15.67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20.19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21.19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2.87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17.60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20.11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21.26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14.38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20.09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21.10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15.66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20.08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21.09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14.39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18.42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20.06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21.11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FF0000"/>
                <w:sz w:val="21"/>
                <w:szCs w:val="21"/>
              </w:rPr>
            </w:pPr>
            <w:r>
              <w:rPr>
                <w:rFonts w:hint="eastAsia" w:ascii="宋体" w:hAnsi="宋体" w:eastAsia="宋体" w:cs="宋体"/>
                <w:i w:val="0"/>
                <w:color w:val="000000"/>
                <w:kern w:val="0"/>
                <w:sz w:val="18"/>
                <w:szCs w:val="18"/>
                <w:u w:val="none"/>
                <w:lang w:val="en-US" w:eastAsia="zh-CN" w:bidi="ar"/>
              </w:rPr>
              <w:t xml:space="preserve">14.30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20.10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21.13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20.27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21.27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18.41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20.28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21.39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20.36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21.31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20.23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21.31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21.25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7.83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17.42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20.17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21.21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7.72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15.90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17.26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18.53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20.06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21.19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2.74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15.67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17.97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20.10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21.17 </w:t>
            </w:r>
          </w:p>
        </w:tc>
      </w:tr>
      <w:tr>
        <w:tblPrEx>
          <w:tblCellMar>
            <w:top w:w="0" w:type="dxa"/>
            <w:left w:w="108" w:type="dxa"/>
            <w:bottom w:w="0" w:type="dxa"/>
            <w:right w:w="108" w:type="dxa"/>
          </w:tblCellMar>
        </w:tblPrEx>
        <w:trPr>
          <w:trHeight w:val="27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19.88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21.13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5.61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14.44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15.79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17.87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18.27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20.04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21.16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7.60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17.62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21.16 </w:t>
            </w:r>
          </w:p>
        </w:tc>
      </w:tr>
      <w:tr>
        <w:tblPrEx>
          <w:tblCellMar>
            <w:top w:w="0" w:type="dxa"/>
            <w:left w:w="108" w:type="dxa"/>
            <w:bottom w:w="0" w:type="dxa"/>
            <w:right w:w="108" w:type="dxa"/>
          </w:tblCellMar>
        </w:tblPrEx>
        <w:trPr>
          <w:trHeight w:val="270" w:hRule="atLeast"/>
        </w:trPr>
        <w:tc>
          <w:tcPr>
            <w:tcW w:w="384"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1.27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2.84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5.55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7.59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14.27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14.35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15.80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17.55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17.78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18.23 </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19.92 </w:t>
            </w:r>
          </w:p>
        </w:tc>
        <w:tc>
          <w:tcPr>
            <w:tcW w:w="38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18"/>
                <w:szCs w:val="18"/>
                <w:u w:val="none"/>
                <w:lang w:val="en-US" w:eastAsia="zh-CN" w:bidi="ar"/>
              </w:rPr>
              <w:t xml:space="preserve">21.25 </w:t>
            </w:r>
          </w:p>
        </w:tc>
      </w:tr>
      <w:tr>
        <w:tblPrEx>
          <w:tblCellMar>
            <w:top w:w="0" w:type="dxa"/>
            <w:left w:w="108" w:type="dxa"/>
            <w:bottom w:w="0" w:type="dxa"/>
            <w:right w:w="108" w:type="dxa"/>
          </w:tblCellMar>
        </w:tblPrEx>
        <w:trPr>
          <w:trHeight w:val="270" w:hRule="atLeast"/>
        </w:trPr>
        <w:tc>
          <w:tcPr>
            <w:tcW w:w="384" w:type="pct"/>
            <w:tcBorders>
              <w:top w:val="single" w:color="auto" w:sz="4" w:space="0"/>
              <w:left w:val="single" w:color="auto" w:sz="4" w:space="0"/>
              <w:bottom w:val="single" w:color="auto" w:sz="4" w:space="0"/>
              <w:right w:val="nil"/>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极差</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0.514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0.370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0.500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0.334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0.242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0.405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0.326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0.364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0.317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0.464 </w:t>
            </w:r>
          </w:p>
        </w:tc>
        <w:tc>
          <w:tcPr>
            <w:tcW w:w="38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0.636 </w:t>
            </w:r>
          </w:p>
        </w:tc>
        <w:tc>
          <w:tcPr>
            <w:tcW w:w="385" w:type="pc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18"/>
                <w:szCs w:val="18"/>
                <w:u w:val="none"/>
                <w:lang w:bidi="ar"/>
              </w:rPr>
            </w:pPr>
            <w:r>
              <w:rPr>
                <w:rFonts w:hint="eastAsia" w:ascii="宋体" w:hAnsi="宋体" w:cs="宋体"/>
                <w:color w:val="000000"/>
                <w:kern w:val="0"/>
                <w:sz w:val="18"/>
                <w:szCs w:val="18"/>
                <w:u w:val="none"/>
                <w:lang w:bidi="ar"/>
              </w:rPr>
              <w:t xml:space="preserve">0.321 </w:t>
            </w:r>
          </w:p>
        </w:tc>
      </w:tr>
    </w:tbl>
    <w:p>
      <w:pPr>
        <w:pStyle w:val="2"/>
        <w:pageBreakBefore/>
        <w:ind w:firstLine="0" w:firstLineChars="0"/>
        <w:jc w:val="center"/>
        <w:rPr>
          <w:rFonts w:hint="eastAsia"/>
          <w:b/>
          <w:bCs/>
          <w:sz w:val="28"/>
          <w:szCs w:val="28"/>
          <w:lang w:val="en-US" w:eastAsia="zh-CN"/>
        </w:rPr>
      </w:pPr>
      <w:r>
        <w:rPr>
          <w:rFonts w:hint="eastAsia"/>
          <w:b/>
          <w:bCs/>
          <w:sz w:val="28"/>
          <w:szCs w:val="28"/>
          <w:lang w:val="en-US" w:eastAsia="zh-CN"/>
        </w:rPr>
        <w:t>表A.3精密度试验统计结果</w:t>
      </w:r>
    </w:p>
    <w:tbl>
      <w:tblPr>
        <w:tblStyle w:val="34"/>
        <w:tblW w:w="5594" w:type="pct"/>
        <w:tblInd w:w="-747" w:type="dxa"/>
        <w:tblLayout w:type="autofit"/>
        <w:tblCellMar>
          <w:top w:w="0" w:type="dxa"/>
          <w:left w:w="0" w:type="dxa"/>
          <w:bottom w:w="0" w:type="dxa"/>
          <w:right w:w="0" w:type="dxa"/>
        </w:tblCellMar>
      </w:tblPr>
      <w:tblGrid>
        <w:gridCol w:w="807"/>
        <w:gridCol w:w="807"/>
        <w:gridCol w:w="807"/>
        <w:gridCol w:w="807"/>
        <w:gridCol w:w="807"/>
        <w:gridCol w:w="807"/>
        <w:gridCol w:w="807"/>
        <w:gridCol w:w="807"/>
        <w:gridCol w:w="807"/>
        <w:gridCol w:w="807"/>
        <w:gridCol w:w="807"/>
        <w:gridCol w:w="807"/>
        <w:gridCol w:w="815"/>
      </w:tblGrid>
      <w:tr>
        <w:tblPrEx>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sz w:val="15"/>
                <w:szCs w:val="15"/>
              </w:rPr>
              <w:t>平均值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2.80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5.61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7.67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14.31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14.35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15.79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17.45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17.83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18.34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20.04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 w:val="15"/>
                <w:szCs w:val="15"/>
              </w:rPr>
            </w:pPr>
            <w:r>
              <w:rPr>
                <w:rFonts w:hint="eastAsia" w:ascii="宋体" w:hAnsi="宋体" w:cs="宋体"/>
                <w:b/>
                <w:bCs/>
                <w:color w:val="000000"/>
                <w:kern w:val="0"/>
                <w:sz w:val="15"/>
                <w:szCs w:val="15"/>
                <w:lang w:bidi="ar"/>
              </w:rPr>
              <w:t>21.21</w:t>
            </w:r>
          </w:p>
        </w:tc>
      </w:tr>
      <w:tr>
        <w:tblPrEx>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sr2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0.002</w:t>
            </w:r>
          </w:p>
        </w:tc>
      </w:tr>
      <w:tr>
        <w:tblPrEx>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sL2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0.0045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0.0065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0.0027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0.0042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0.0233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0.0030</w:t>
            </w:r>
          </w:p>
        </w:tc>
      </w:tr>
      <w:tr>
        <w:tblPrEx>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sR2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0.027</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0.005</w:t>
            </w:r>
          </w:p>
        </w:tc>
      </w:tr>
      <w:tr>
        <w:tblPrEx>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sr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0.032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0.032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0.045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0.032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0.063</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0.045</w:t>
            </w:r>
          </w:p>
        </w:tc>
      </w:tr>
      <w:tr>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sR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0.014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0.071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0.089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0.063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0.055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0.089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0.089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0.071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0.164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0.071</w:t>
            </w:r>
          </w:p>
        </w:tc>
      </w:tr>
      <w:tr>
        <w:tblPrEx>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0.17</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0.13</w:t>
            </w:r>
          </w:p>
        </w:tc>
      </w:tr>
      <w:tr>
        <w:tblPrEx>
          <w:tblCellMar>
            <w:top w:w="0" w:type="dxa"/>
            <w:left w:w="0" w:type="dxa"/>
            <w:bottom w:w="0" w:type="dxa"/>
            <w:right w:w="0" w:type="dxa"/>
          </w:tblCellMar>
        </w:tblPrEx>
        <w:trPr>
          <w:trHeight w:val="27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R</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0.09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FF0000"/>
                <w:sz w:val="15"/>
                <w:szCs w:val="15"/>
              </w:rPr>
            </w:pPr>
            <w:r>
              <w:rPr>
                <w:rFonts w:hint="eastAsia" w:ascii="宋体" w:hAnsi="宋体" w:cs="宋体"/>
                <w:color w:val="FF0000"/>
                <w:kern w:val="0"/>
                <w:sz w:val="15"/>
                <w:szCs w:val="15"/>
                <w:lang w:bidi="ar"/>
              </w:rPr>
              <w:t>0.33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FF0000"/>
                <w:sz w:val="15"/>
                <w:szCs w:val="15"/>
              </w:rPr>
            </w:pPr>
            <w:r>
              <w:rPr>
                <w:rFonts w:hint="eastAsia" w:ascii="宋体" w:hAnsi="宋体" w:cs="宋体"/>
                <w:color w:val="FF0000"/>
                <w:kern w:val="0"/>
                <w:sz w:val="15"/>
                <w:szCs w:val="15"/>
                <w:lang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FF0000"/>
                <w:kern w:val="0"/>
                <w:sz w:val="15"/>
                <w:szCs w:val="15"/>
                <w:lang w:bidi="ar"/>
              </w:rPr>
              <w:t>0.46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0.20</w:t>
            </w:r>
          </w:p>
        </w:tc>
      </w:tr>
    </w:tbl>
    <w:p>
      <w:pPr>
        <w:pStyle w:val="2"/>
        <w:ind w:firstLine="0" w:firstLineChars="0"/>
        <w:jc w:val="left"/>
        <w:rPr>
          <w:rFonts w:hint="default"/>
          <w:sz w:val="28"/>
          <w:szCs w:val="28"/>
          <w:lang w:val="en-US" w:eastAsia="zh-CN"/>
        </w:rPr>
      </w:pPr>
    </w:p>
    <w:sectPr>
      <w:footerReference r:id="rId6" w:type="default"/>
      <w:pgSz w:w="11906" w:h="16838"/>
      <w:pgMar w:top="1418" w:right="1134" w:bottom="1440" w:left="1418"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rPr>
        <w:rStyle w:val="37"/>
      </w:rPr>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772785" cy="13144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72785" cy="131445"/>
                      </a:xfrm>
                      <a:prstGeom prst="rect">
                        <a:avLst/>
                      </a:prstGeom>
                      <a:noFill/>
                      <a:ln>
                        <a:noFill/>
                      </a:ln>
                    </wps:spPr>
                    <wps:txbx>
                      <w:txbxContent>
                        <w:p>
                          <w:pPr>
                            <w:pStyle w:val="26"/>
                            <w:jc w:val="both"/>
                          </w:pPr>
                          <w:r>
                            <w:rPr>
                              <w:rFonts w:hint="eastAsia"/>
                            </w:rPr>
                            <w:t xml:space="preserve">                                                                                                </w:t>
                          </w: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454.55pt;mso-position-horizontal:inside;mso-position-horizontal-relative:margin;mso-wrap-style:none;z-index:251659264;mso-width-relative:page;mso-height-relative:page;" filled="f" stroked="f" coordsize="21600,21600" o:gfxdata="UEsDBAoAAAAAAIdO4kAAAAAAAAAAAAAAAAAEAAAAZHJzL1BLAwQUAAAACACHTuJAOmq+lNEAAAAE&#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ar6U0QAAAAQBAAAPAAAAAAAAAAEAIAAAACIAAABkcnMvZG93bnJldi54bWxQSwEC&#10;FAAUAAAACACHTuJAI1wJkvsBAAACBAAADgAAAAAAAAABACAAAAAgAQAAZHJzL2Uyb0RvYy54bWxQ&#10;SwUGAAAAAAYABgBZAQAAjQUAAAAA&#10;">
              <v:fill on="f" focussize="0,0"/>
              <v:stroke on="f"/>
              <v:imagedata o:title=""/>
              <o:lock v:ext="edit" aspectratio="f"/>
              <v:textbox inset="0mm,0mm,0mm,0mm" style="mso-fit-shape-to-text:t;">
                <w:txbxContent>
                  <w:p>
                    <w:pPr>
                      <w:pStyle w:val="26"/>
                      <w:jc w:val="both"/>
                    </w:pPr>
                    <w:r>
                      <w:rPr>
                        <w:rFonts w:hint="eastAsia"/>
                      </w:rPr>
                      <w:t xml:space="preserve">                                                                                                </w:t>
                    </w: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txbxContent>
              </v:textbox>
            </v:shape>
          </w:pict>
        </mc:Fallback>
      </mc:AlternateContent>
    </w:r>
  </w:p>
  <w:p>
    <w:pPr>
      <w:pStyle w:val="125"/>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9FECE"/>
    <w:multiLevelType w:val="singleLevel"/>
    <w:tmpl w:val="8789FECE"/>
    <w:lvl w:ilvl="0" w:tentative="0">
      <w:start w:val="1"/>
      <w:numFmt w:val="lowerLetter"/>
      <w:lvlText w:val="%1)"/>
      <w:lvlJc w:val="left"/>
      <w:pPr>
        <w:tabs>
          <w:tab w:val="left" w:pos="312"/>
        </w:tabs>
      </w:pPr>
    </w:lvl>
  </w:abstractNum>
  <w:abstractNum w:abstractNumId="1">
    <w:nsid w:val="00000001"/>
    <w:multiLevelType w:val="multilevel"/>
    <w:tmpl w:val="00000001"/>
    <w:lvl w:ilvl="0" w:tentative="0">
      <w:start w:val="1"/>
      <w:numFmt w:val="none"/>
      <w:pStyle w:val="128"/>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multilevel"/>
    <w:tmpl w:val="00000002"/>
    <w:lvl w:ilvl="0" w:tentative="0">
      <w:start w:val="1"/>
      <w:numFmt w:val="none"/>
      <w:pStyle w:val="111"/>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00000006"/>
    <w:multiLevelType w:val="multilevel"/>
    <w:tmpl w:val="00000006"/>
    <w:lvl w:ilvl="0" w:tentative="0">
      <w:start w:val="1"/>
      <w:numFmt w:val="decimal"/>
      <w:pStyle w:val="141"/>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00000009"/>
    <w:multiLevelType w:val="multilevel"/>
    <w:tmpl w:val="00000009"/>
    <w:lvl w:ilvl="0" w:tentative="0">
      <w:start w:val="1"/>
      <w:numFmt w:val="none"/>
      <w:pStyle w:val="97"/>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pPr>
        <w:ind w:left="993"/>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03934E3F"/>
    <w:multiLevelType w:val="multilevel"/>
    <w:tmpl w:val="03934E3F"/>
    <w:lvl w:ilvl="0" w:tentative="0">
      <w:start w:val="1"/>
      <w:numFmt w:val="decimal"/>
      <w:pStyle w:val="140"/>
      <w:lvlText w:val="%1）"/>
      <w:lvlJc w:val="left"/>
      <w:pPr>
        <w:ind w:left="845" w:hanging="420"/>
      </w:pPr>
      <w:rPr>
        <w:rFonts w:ascii="Times New Roman" w:hAnsi="Times New Roman" w:eastAsia="宋体" w:cs="Times New Roman"/>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6">
    <w:nsid w:val="0E5E5C2C"/>
    <w:multiLevelType w:val="multilevel"/>
    <w:tmpl w:val="0E5E5C2C"/>
    <w:lvl w:ilvl="0" w:tentative="0">
      <w:start w:val="1"/>
      <w:numFmt w:val="decimal"/>
      <w:pStyle w:val="120"/>
      <w:lvlText w:val="%1."/>
      <w:lvlJc w:val="left"/>
      <w:pPr>
        <w:ind w:left="425" w:hanging="425"/>
      </w:pPr>
      <w:rPr>
        <w:rFonts w:cs="Times New Roman"/>
        <w:b/>
      </w:rPr>
    </w:lvl>
    <w:lvl w:ilvl="1" w:tentative="0">
      <w:start w:val="1"/>
      <w:numFmt w:val="decimal"/>
      <w:pStyle w:val="100"/>
      <w:lvlText w:val="%1.%2."/>
      <w:lvlJc w:val="left"/>
      <w:pPr>
        <w:ind w:left="993" w:hanging="567"/>
      </w:pPr>
      <w:rPr>
        <w:rFonts w:cs="Times New Roman"/>
        <w:b/>
      </w:rPr>
    </w:lvl>
    <w:lvl w:ilvl="2" w:tentative="0">
      <w:start w:val="1"/>
      <w:numFmt w:val="decimal"/>
      <w:lvlText w:val="%1.%2.%3."/>
      <w:lvlJc w:val="left"/>
      <w:pPr>
        <w:ind w:left="709" w:hanging="709"/>
      </w:pPr>
      <w:rPr>
        <w:rFonts w:cs="Times New Roman"/>
        <w:b/>
      </w:rPr>
    </w:lvl>
    <w:lvl w:ilvl="3" w:tentative="0">
      <w:start w:val="1"/>
      <w:numFmt w:val="decimal"/>
      <w:lvlText w:val="%1.%2.%3.%4."/>
      <w:lvlJc w:val="left"/>
      <w:pPr>
        <w:ind w:left="993" w:hanging="851"/>
      </w:pPr>
      <w:rPr>
        <w:rFonts w:cs="Times New Roman"/>
        <w:b/>
      </w:rPr>
    </w:lvl>
    <w:lvl w:ilvl="4" w:tentative="0">
      <w:start w:val="1"/>
      <w:numFmt w:val="decimal"/>
      <w:lvlText w:val="%1.%2.%3.%4.%5."/>
      <w:lvlJc w:val="left"/>
      <w:pPr>
        <w:ind w:left="992" w:hanging="992"/>
      </w:pPr>
      <w:rPr>
        <w:rFonts w:cs="Times New Roman"/>
        <w:b/>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7">
    <w:nsid w:val="10170029"/>
    <w:multiLevelType w:val="multilevel"/>
    <w:tmpl w:val="10170029"/>
    <w:lvl w:ilvl="0" w:tentative="0">
      <w:start w:val="1"/>
      <w:numFmt w:val="decimal"/>
      <w:lvlText w:val="%1."/>
      <w:lvlJc w:val="left"/>
      <w:pPr>
        <w:ind w:left="425" w:hanging="425"/>
      </w:pPr>
      <w:rPr>
        <w:rFonts w:cs="Times New Roman"/>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pStyle w:val="77"/>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8">
    <w:nsid w:val="39E42C35"/>
    <w:multiLevelType w:val="multilevel"/>
    <w:tmpl w:val="39E42C35"/>
    <w:lvl w:ilvl="0" w:tentative="0">
      <w:start w:val="1"/>
      <w:numFmt w:val="chineseCountingThousand"/>
      <w:pStyle w:val="91"/>
      <w:suff w:val="nothing"/>
      <w:lvlText w:val="第%1章"/>
      <w:lvlJc w:val="left"/>
      <w:rPr>
        <w:rFonts w:hint="default" w:cs="Times New Roman"/>
      </w:rPr>
    </w:lvl>
    <w:lvl w:ilvl="1" w:tentative="0">
      <w:start w:val="1"/>
      <w:numFmt w:val="none"/>
      <w:pStyle w:val="72"/>
      <w:suff w:val="nothing"/>
      <w:lvlText w:val=""/>
      <w:lvlJc w:val="left"/>
      <w:rPr>
        <w:rFonts w:hint="default" w:cs="Times New Roman"/>
      </w:rPr>
    </w:lvl>
    <w:lvl w:ilvl="2" w:tentative="0">
      <w:start w:val="1"/>
      <w:numFmt w:val="none"/>
      <w:pStyle w:val="5"/>
      <w:suff w:val="nothing"/>
      <w:lvlText w:val=""/>
      <w:lvlJc w:val="left"/>
      <w:rPr>
        <w:rFonts w:hint="default" w:cs="Times New Roman"/>
      </w:rPr>
    </w:lvl>
    <w:lvl w:ilvl="3" w:tentative="0">
      <w:start w:val="1"/>
      <w:numFmt w:val="none"/>
      <w:pStyle w:val="6"/>
      <w:suff w:val="nothing"/>
      <w:lvlText w:val=""/>
      <w:lvlJc w:val="left"/>
      <w:rPr>
        <w:rFonts w:hint="default" w:cs="Times New Roman"/>
      </w:rPr>
    </w:lvl>
    <w:lvl w:ilvl="4" w:tentative="0">
      <w:start w:val="1"/>
      <w:numFmt w:val="none"/>
      <w:pStyle w:val="7"/>
      <w:suff w:val="nothing"/>
      <w:lvlText w:val=""/>
      <w:lvlJc w:val="left"/>
      <w:rPr>
        <w:rFonts w:hint="default" w:cs="Times New Roman"/>
      </w:rPr>
    </w:lvl>
    <w:lvl w:ilvl="5" w:tentative="0">
      <w:start w:val="1"/>
      <w:numFmt w:val="none"/>
      <w:pStyle w:val="8"/>
      <w:suff w:val="nothing"/>
      <w:lvlText w:val=""/>
      <w:lvlJc w:val="left"/>
      <w:rPr>
        <w:rFonts w:hint="default" w:cs="Times New Roman"/>
      </w:rPr>
    </w:lvl>
    <w:lvl w:ilvl="6" w:tentative="0">
      <w:start w:val="1"/>
      <w:numFmt w:val="none"/>
      <w:pStyle w:val="9"/>
      <w:suff w:val="nothing"/>
      <w:lvlText w:val=""/>
      <w:lvlJc w:val="left"/>
      <w:rPr>
        <w:rFonts w:hint="default" w:cs="Times New Roman"/>
      </w:rPr>
    </w:lvl>
    <w:lvl w:ilvl="7" w:tentative="0">
      <w:start w:val="1"/>
      <w:numFmt w:val="none"/>
      <w:pStyle w:val="10"/>
      <w:suff w:val="nothing"/>
      <w:lvlText w:val=""/>
      <w:lvlJc w:val="left"/>
      <w:rPr>
        <w:rFonts w:hint="default" w:cs="Times New Roman"/>
      </w:rPr>
    </w:lvl>
    <w:lvl w:ilvl="8" w:tentative="0">
      <w:start w:val="1"/>
      <w:numFmt w:val="none"/>
      <w:pStyle w:val="11"/>
      <w:suff w:val="nothing"/>
      <w:lvlText w:val=""/>
      <w:lvlJc w:val="left"/>
      <w:rPr>
        <w:rFonts w:hint="default" w:cs="Times New Roman"/>
      </w:rPr>
    </w:lvl>
  </w:abstractNum>
  <w:abstractNum w:abstractNumId="9">
    <w:nsid w:val="646260FA"/>
    <w:multiLevelType w:val="multilevel"/>
    <w:tmpl w:val="646260FA"/>
    <w:lvl w:ilvl="0" w:tentative="0">
      <w:start w:val="1"/>
      <w:numFmt w:val="decimal"/>
      <w:pStyle w:val="123"/>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7"/>
  </w:num>
  <w:num w:numId="3">
    <w:abstractNumId w:val="4"/>
  </w:num>
  <w:num w:numId="4">
    <w:abstractNumId w:val="6"/>
  </w:num>
  <w:num w:numId="5">
    <w:abstractNumId w:val="2"/>
  </w:num>
  <w:num w:numId="6">
    <w:abstractNumId w:val="9"/>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B9381D"/>
    <w:rsid w:val="00000B9E"/>
    <w:rsid w:val="00007385"/>
    <w:rsid w:val="00007733"/>
    <w:rsid w:val="000078BF"/>
    <w:rsid w:val="00011546"/>
    <w:rsid w:val="000128D5"/>
    <w:rsid w:val="000130B4"/>
    <w:rsid w:val="0001371C"/>
    <w:rsid w:val="00013CD9"/>
    <w:rsid w:val="00014260"/>
    <w:rsid w:val="00015CA9"/>
    <w:rsid w:val="00015D35"/>
    <w:rsid w:val="00015F39"/>
    <w:rsid w:val="00020157"/>
    <w:rsid w:val="00020398"/>
    <w:rsid w:val="00023933"/>
    <w:rsid w:val="0002497C"/>
    <w:rsid w:val="00027A13"/>
    <w:rsid w:val="00030D21"/>
    <w:rsid w:val="0003130D"/>
    <w:rsid w:val="00033C0A"/>
    <w:rsid w:val="00033F8C"/>
    <w:rsid w:val="00034B04"/>
    <w:rsid w:val="00035639"/>
    <w:rsid w:val="00040585"/>
    <w:rsid w:val="00040605"/>
    <w:rsid w:val="0004200F"/>
    <w:rsid w:val="00046525"/>
    <w:rsid w:val="00047BCE"/>
    <w:rsid w:val="00052AD2"/>
    <w:rsid w:val="00052F0F"/>
    <w:rsid w:val="00053AC0"/>
    <w:rsid w:val="000561BC"/>
    <w:rsid w:val="000568FB"/>
    <w:rsid w:val="00057055"/>
    <w:rsid w:val="000610EE"/>
    <w:rsid w:val="00062108"/>
    <w:rsid w:val="00062BD7"/>
    <w:rsid w:val="00063D07"/>
    <w:rsid w:val="00063D49"/>
    <w:rsid w:val="00064F2B"/>
    <w:rsid w:val="00066605"/>
    <w:rsid w:val="00070204"/>
    <w:rsid w:val="000707B9"/>
    <w:rsid w:val="00071D07"/>
    <w:rsid w:val="00073C0D"/>
    <w:rsid w:val="00073D64"/>
    <w:rsid w:val="00074B92"/>
    <w:rsid w:val="000753E2"/>
    <w:rsid w:val="00076155"/>
    <w:rsid w:val="000809B7"/>
    <w:rsid w:val="000822F2"/>
    <w:rsid w:val="00082714"/>
    <w:rsid w:val="00085227"/>
    <w:rsid w:val="00085764"/>
    <w:rsid w:val="00086558"/>
    <w:rsid w:val="00087061"/>
    <w:rsid w:val="00087972"/>
    <w:rsid w:val="00087E10"/>
    <w:rsid w:val="000901DE"/>
    <w:rsid w:val="000914CF"/>
    <w:rsid w:val="00093006"/>
    <w:rsid w:val="0009420E"/>
    <w:rsid w:val="000A28F3"/>
    <w:rsid w:val="000A3AFF"/>
    <w:rsid w:val="000A3C43"/>
    <w:rsid w:val="000A4567"/>
    <w:rsid w:val="000A4D67"/>
    <w:rsid w:val="000A4DD2"/>
    <w:rsid w:val="000A64C2"/>
    <w:rsid w:val="000B1370"/>
    <w:rsid w:val="000B31B5"/>
    <w:rsid w:val="000B348B"/>
    <w:rsid w:val="000B35F8"/>
    <w:rsid w:val="000B3D79"/>
    <w:rsid w:val="000B4639"/>
    <w:rsid w:val="000B6585"/>
    <w:rsid w:val="000B7B99"/>
    <w:rsid w:val="000B7C31"/>
    <w:rsid w:val="000C0512"/>
    <w:rsid w:val="000C1691"/>
    <w:rsid w:val="000C3C75"/>
    <w:rsid w:val="000C5443"/>
    <w:rsid w:val="000C7680"/>
    <w:rsid w:val="000D1468"/>
    <w:rsid w:val="000D161C"/>
    <w:rsid w:val="000D3CC3"/>
    <w:rsid w:val="000D5DB2"/>
    <w:rsid w:val="000D77E7"/>
    <w:rsid w:val="000E1191"/>
    <w:rsid w:val="000E2E3B"/>
    <w:rsid w:val="000E4C26"/>
    <w:rsid w:val="000E5161"/>
    <w:rsid w:val="000E5607"/>
    <w:rsid w:val="000E6B50"/>
    <w:rsid w:val="000E6ED5"/>
    <w:rsid w:val="000E75B2"/>
    <w:rsid w:val="000F1DE8"/>
    <w:rsid w:val="000F2D24"/>
    <w:rsid w:val="00100886"/>
    <w:rsid w:val="00101E23"/>
    <w:rsid w:val="001023AA"/>
    <w:rsid w:val="001054B1"/>
    <w:rsid w:val="00113BE9"/>
    <w:rsid w:val="0011474F"/>
    <w:rsid w:val="00114E94"/>
    <w:rsid w:val="00115306"/>
    <w:rsid w:val="00115AEC"/>
    <w:rsid w:val="00116056"/>
    <w:rsid w:val="001205E1"/>
    <w:rsid w:val="00120CCD"/>
    <w:rsid w:val="00121742"/>
    <w:rsid w:val="001228A4"/>
    <w:rsid w:val="001257C2"/>
    <w:rsid w:val="001267B1"/>
    <w:rsid w:val="00126A00"/>
    <w:rsid w:val="00127992"/>
    <w:rsid w:val="0013005A"/>
    <w:rsid w:val="00131407"/>
    <w:rsid w:val="00135F0C"/>
    <w:rsid w:val="001366C0"/>
    <w:rsid w:val="0013696D"/>
    <w:rsid w:val="00136CAD"/>
    <w:rsid w:val="00137F89"/>
    <w:rsid w:val="001401E8"/>
    <w:rsid w:val="001416C5"/>
    <w:rsid w:val="00142504"/>
    <w:rsid w:val="00150A26"/>
    <w:rsid w:val="00150B45"/>
    <w:rsid w:val="0015211C"/>
    <w:rsid w:val="00156462"/>
    <w:rsid w:val="00156D5F"/>
    <w:rsid w:val="0016218A"/>
    <w:rsid w:val="0016298D"/>
    <w:rsid w:val="0016411B"/>
    <w:rsid w:val="00164643"/>
    <w:rsid w:val="0016502D"/>
    <w:rsid w:val="00166086"/>
    <w:rsid w:val="00166A2B"/>
    <w:rsid w:val="00171943"/>
    <w:rsid w:val="00173B40"/>
    <w:rsid w:val="00175034"/>
    <w:rsid w:val="00175BA0"/>
    <w:rsid w:val="00180169"/>
    <w:rsid w:val="00182877"/>
    <w:rsid w:val="00182AC6"/>
    <w:rsid w:val="00184EB4"/>
    <w:rsid w:val="0018686B"/>
    <w:rsid w:val="00196BFB"/>
    <w:rsid w:val="00196ED6"/>
    <w:rsid w:val="001A1AD9"/>
    <w:rsid w:val="001A27C9"/>
    <w:rsid w:val="001A4637"/>
    <w:rsid w:val="001B0781"/>
    <w:rsid w:val="001B3511"/>
    <w:rsid w:val="001B489C"/>
    <w:rsid w:val="001B4C48"/>
    <w:rsid w:val="001B4D66"/>
    <w:rsid w:val="001B5DC1"/>
    <w:rsid w:val="001B60DC"/>
    <w:rsid w:val="001C0119"/>
    <w:rsid w:val="001C0E64"/>
    <w:rsid w:val="001C43E0"/>
    <w:rsid w:val="001C5430"/>
    <w:rsid w:val="001C5733"/>
    <w:rsid w:val="001C58A7"/>
    <w:rsid w:val="001C6F84"/>
    <w:rsid w:val="001D1069"/>
    <w:rsid w:val="001D22BF"/>
    <w:rsid w:val="001D3C3A"/>
    <w:rsid w:val="001D5004"/>
    <w:rsid w:val="001D52D6"/>
    <w:rsid w:val="001D60DF"/>
    <w:rsid w:val="001D615B"/>
    <w:rsid w:val="001D7F5D"/>
    <w:rsid w:val="001E1190"/>
    <w:rsid w:val="001E23C9"/>
    <w:rsid w:val="001E26C4"/>
    <w:rsid w:val="001E28AA"/>
    <w:rsid w:val="001E2BA5"/>
    <w:rsid w:val="001E7336"/>
    <w:rsid w:val="001F072C"/>
    <w:rsid w:val="001F107F"/>
    <w:rsid w:val="001F10E7"/>
    <w:rsid w:val="001F1D28"/>
    <w:rsid w:val="001F330C"/>
    <w:rsid w:val="001F4CF6"/>
    <w:rsid w:val="001F51D5"/>
    <w:rsid w:val="001F534F"/>
    <w:rsid w:val="001F582A"/>
    <w:rsid w:val="001F621F"/>
    <w:rsid w:val="001F669A"/>
    <w:rsid w:val="001F71F6"/>
    <w:rsid w:val="00201585"/>
    <w:rsid w:val="0020463A"/>
    <w:rsid w:val="0021087F"/>
    <w:rsid w:val="00211951"/>
    <w:rsid w:val="002140C3"/>
    <w:rsid w:val="002147F5"/>
    <w:rsid w:val="00215B87"/>
    <w:rsid w:val="0021651D"/>
    <w:rsid w:val="002216A0"/>
    <w:rsid w:val="002258A6"/>
    <w:rsid w:val="002270B4"/>
    <w:rsid w:val="00227B34"/>
    <w:rsid w:val="0023005F"/>
    <w:rsid w:val="002332E9"/>
    <w:rsid w:val="00233DA5"/>
    <w:rsid w:val="00237A18"/>
    <w:rsid w:val="00237E99"/>
    <w:rsid w:val="00245B60"/>
    <w:rsid w:val="00246906"/>
    <w:rsid w:val="00247F32"/>
    <w:rsid w:val="002503E1"/>
    <w:rsid w:val="002521E6"/>
    <w:rsid w:val="00252FA9"/>
    <w:rsid w:val="00252FE2"/>
    <w:rsid w:val="002559E6"/>
    <w:rsid w:val="00257016"/>
    <w:rsid w:val="0026078A"/>
    <w:rsid w:val="00260CE9"/>
    <w:rsid w:val="00260CF4"/>
    <w:rsid w:val="002622FA"/>
    <w:rsid w:val="002640D9"/>
    <w:rsid w:val="00266D59"/>
    <w:rsid w:val="00267CE0"/>
    <w:rsid w:val="00273508"/>
    <w:rsid w:val="00273710"/>
    <w:rsid w:val="00273D01"/>
    <w:rsid w:val="00273E31"/>
    <w:rsid w:val="00274363"/>
    <w:rsid w:val="002749A8"/>
    <w:rsid w:val="00276619"/>
    <w:rsid w:val="0028235F"/>
    <w:rsid w:val="00282B13"/>
    <w:rsid w:val="00283CAC"/>
    <w:rsid w:val="00283EB9"/>
    <w:rsid w:val="00284CDC"/>
    <w:rsid w:val="0028587F"/>
    <w:rsid w:val="0029057B"/>
    <w:rsid w:val="00291920"/>
    <w:rsid w:val="00292310"/>
    <w:rsid w:val="00292EE3"/>
    <w:rsid w:val="0029433D"/>
    <w:rsid w:val="00295A82"/>
    <w:rsid w:val="00296EC0"/>
    <w:rsid w:val="002A1324"/>
    <w:rsid w:val="002A16C2"/>
    <w:rsid w:val="002A1858"/>
    <w:rsid w:val="002A191B"/>
    <w:rsid w:val="002A47E0"/>
    <w:rsid w:val="002A6937"/>
    <w:rsid w:val="002A6A6C"/>
    <w:rsid w:val="002A727D"/>
    <w:rsid w:val="002A79D3"/>
    <w:rsid w:val="002B11CC"/>
    <w:rsid w:val="002B16AC"/>
    <w:rsid w:val="002B1DAD"/>
    <w:rsid w:val="002B334C"/>
    <w:rsid w:val="002B6C93"/>
    <w:rsid w:val="002B6CBF"/>
    <w:rsid w:val="002C18AD"/>
    <w:rsid w:val="002C1AC9"/>
    <w:rsid w:val="002C2B62"/>
    <w:rsid w:val="002C2D06"/>
    <w:rsid w:val="002C32CD"/>
    <w:rsid w:val="002C63F6"/>
    <w:rsid w:val="002C7516"/>
    <w:rsid w:val="002C7AA9"/>
    <w:rsid w:val="002D3ACB"/>
    <w:rsid w:val="002D4CA8"/>
    <w:rsid w:val="002D75FB"/>
    <w:rsid w:val="002E03B6"/>
    <w:rsid w:val="002E1882"/>
    <w:rsid w:val="002E1CBA"/>
    <w:rsid w:val="002E70B1"/>
    <w:rsid w:val="002F20DE"/>
    <w:rsid w:val="002F2E1C"/>
    <w:rsid w:val="002F34FA"/>
    <w:rsid w:val="002F3926"/>
    <w:rsid w:val="002F7B10"/>
    <w:rsid w:val="00305DCE"/>
    <w:rsid w:val="00307F59"/>
    <w:rsid w:val="00311F8A"/>
    <w:rsid w:val="00312088"/>
    <w:rsid w:val="003136A4"/>
    <w:rsid w:val="00314E1F"/>
    <w:rsid w:val="003205A0"/>
    <w:rsid w:val="00320644"/>
    <w:rsid w:val="003222FC"/>
    <w:rsid w:val="003229CD"/>
    <w:rsid w:val="0032323F"/>
    <w:rsid w:val="00326E11"/>
    <w:rsid w:val="00330012"/>
    <w:rsid w:val="00330F56"/>
    <w:rsid w:val="0033158F"/>
    <w:rsid w:val="003336B2"/>
    <w:rsid w:val="00334122"/>
    <w:rsid w:val="00341CFF"/>
    <w:rsid w:val="003424CA"/>
    <w:rsid w:val="0034254E"/>
    <w:rsid w:val="00343711"/>
    <w:rsid w:val="0034583D"/>
    <w:rsid w:val="00347970"/>
    <w:rsid w:val="00350121"/>
    <w:rsid w:val="00351713"/>
    <w:rsid w:val="003549D9"/>
    <w:rsid w:val="00356F84"/>
    <w:rsid w:val="0036075E"/>
    <w:rsid w:val="003618A9"/>
    <w:rsid w:val="00362D34"/>
    <w:rsid w:val="00362EE3"/>
    <w:rsid w:val="003634BF"/>
    <w:rsid w:val="00363540"/>
    <w:rsid w:val="00364273"/>
    <w:rsid w:val="00364B0D"/>
    <w:rsid w:val="00366AFE"/>
    <w:rsid w:val="00373073"/>
    <w:rsid w:val="00373240"/>
    <w:rsid w:val="00373D71"/>
    <w:rsid w:val="00375F03"/>
    <w:rsid w:val="00380491"/>
    <w:rsid w:val="0038340F"/>
    <w:rsid w:val="00384672"/>
    <w:rsid w:val="00385DA9"/>
    <w:rsid w:val="003863A8"/>
    <w:rsid w:val="00387B5B"/>
    <w:rsid w:val="003907C2"/>
    <w:rsid w:val="00391C1C"/>
    <w:rsid w:val="00392571"/>
    <w:rsid w:val="00395211"/>
    <w:rsid w:val="003967B0"/>
    <w:rsid w:val="003979FF"/>
    <w:rsid w:val="003A1816"/>
    <w:rsid w:val="003A43F3"/>
    <w:rsid w:val="003A6216"/>
    <w:rsid w:val="003A6558"/>
    <w:rsid w:val="003B05D3"/>
    <w:rsid w:val="003B2303"/>
    <w:rsid w:val="003B3AEB"/>
    <w:rsid w:val="003B4178"/>
    <w:rsid w:val="003B4B74"/>
    <w:rsid w:val="003B4D2E"/>
    <w:rsid w:val="003B6999"/>
    <w:rsid w:val="003B6FA9"/>
    <w:rsid w:val="003C1105"/>
    <w:rsid w:val="003C1AC4"/>
    <w:rsid w:val="003C24A7"/>
    <w:rsid w:val="003C2FC1"/>
    <w:rsid w:val="003C3079"/>
    <w:rsid w:val="003C3B33"/>
    <w:rsid w:val="003C41DF"/>
    <w:rsid w:val="003C5185"/>
    <w:rsid w:val="003C562B"/>
    <w:rsid w:val="003C57B1"/>
    <w:rsid w:val="003C62BE"/>
    <w:rsid w:val="003D3323"/>
    <w:rsid w:val="003D3FEE"/>
    <w:rsid w:val="003D4430"/>
    <w:rsid w:val="003D4C4E"/>
    <w:rsid w:val="003E0F53"/>
    <w:rsid w:val="003E6937"/>
    <w:rsid w:val="003E6B22"/>
    <w:rsid w:val="003F2485"/>
    <w:rsid w:val="003F316D"/>
    <w:rsid w:val="0040010E"/>
    <w:rsid w:val="0040029A"/>
    <w:rsid w:val="00401D0E"/>
    <w:rsid w:val="00404814"/>
    <w:rsid w:val="00406028"/>
    <w:rsid w:val="00406FC6"/>
    <w:rsid w:val="004075DB"/>
    <w:rsid w:val="0041040D"/>
    <w:rsid w:val="00411670"/>
    <w:rsid w:val="004127A6"/>
    <w:rsid w:val="004135C8"/>
    <w:rsid w:val="00415B9E"/>
    <w:rsid w:val="00416C2C"/>
    <w:rsid w:val="00417BC0"/>
    <w:rsid w:val="00417D5A"/>
    <w:rsid w:val="00422578"/>
    <w:rsid w:val="004265A0"/>
    <w:rsid w:val="00426B0E"/>
    <w:rsid w:val="00430C99"/>
    <w:rsid w:val="00431A59"/>
    <w:rsid w:val="00431C15"/>
    <w:rsid w:val="00431CD9"/>
    <w:rsid w:val="00433116"/>
    <w:rsid w:val="004335A6"/>
    <w:rsid w:val="00435B2B"/>
    <w:rsid w:val="004360B0"/>
    <w:rsid w:val="00442529"/>
    <w:rsid w:val="00442735"/>
    <w:rsid w:val="00443F76"/>
    <w:rsid w:val="00444840"/>
    <w:rsid w:val="00451A72"/>
    <w:rsid w:val="00451B24"/>
    <w:rsid w:val="004528B8"/>
    <w:rsid w:val="00452E51"/>
    <w:rsid w:val="00464F50"/>
    <w:rsid w:val="00465436"/>
    <w:rsid w:val="00465BC7"/>
    <w:rsid w:val="00465C0C"/>
    <w:rsid w:val="00466D7B"/>
    <w:rsid w:val="00467DE3"/>
    <w:rsid w:val="00467E41"/>
    <w:rsid w:val="004704E9"/>
    <w:rsid w:val="004727D5"/>
    <w:rsid w:val="00477785"/>
    <w:rsid w:val="00477E13"/>
    <w:rsid w:val="00480A4E"/>
    <w:rsid w:val="00481B55"/>
    <w:rsid w:val="00483DBA"/>
    <w:rsid w:val="00486097"/>
    <w:rsid w:val="0048666C"/>
    <w:rsid w:val="004874C6"/>
    <w:rsid w:val="00491EDF"/>
    <w:rsid w:val="00491FEF"/>
    <w:rsid w:val="00492F41"/>
    <w:rsid w:val="00494FE1"/>
    <w:rsid w:val="004960E6"/>
    <w:rsid w:val="004A136A"/>
    <w:rsid w:val="004A3576"/>
    <w:rsid w:val="004A6E51"/>
    <w:rsid w:val="004B1163"/>
    <w:rsid w:val="004B1347"/>
    <w:rsid w:val="004B2CA1"/>
    <w:rsid w:val="004B4463"/>
    <w:rsid w:val="004B4F5A"/>
    <w:rsid w:val="004B5020"/>
    <w:rsid w:val="004B51CC"/>
    <w:rsid w:val="004C0786"/>
    <w:rsid w:val="004C08BF"/>
    <w:rsid w:val="004C13C4"/>
    <w:rsid w:val="004C425A"/>
    <w:rsid w:val="004C4579"/>
    <w:rsid w:val="004C5D8D"/>
    <w:rsid w:val="004C6355"/>
    <w:rsid w:val="004C64F8"/>
    <w:rsid w:val="004D2CFB"/>
    <w:rsid w:val="004D4EFD"/>
    <w:rsid w:val="004D6E05"/>
    <w:rsid w:val="004E088E"/>
    <w:rsid w:val="004E2386"/>
    <w:rsid w:val="004E3F1B"/>
    <w:rsid w:val="004E52FC"/>
    <w:rsid w:val="004E592C"/>
    <w:rsid w:val="004E6567"/>
    <w:rsid w:val="004F23C5"/>
    <w:rsid w:val="004F5FC4"/>
    <w:rsid w:val="004F7F66"/>
    <w:rsid w:val="004F7F9C"/>
    <w:rsid w:val="00503200"/>
    <w:rsid w:val="0050475F"/>
    <w:rsid w:val="00505063"/>
    <w:rsid w:val="005055D3"/>
    <w:rsid w:val="00506C87"/>
    <w:rsid w:val="00506EDC"/>
    <w:rsid w:val="00511F21"/>
    <w:rsid w:val="00513303"/>
    <w:rsid w:val="0051563F"/>
    <w:rsid w:val="0051600C"/>
    <w:rsid w:val="0051612A"/>
    <w:rsid w:val="00517A44"/>
    <w:rsid w:val="00520B09"/>
    <w:rsid w:val="005215A1"/>
    <w:rsid w:val="00523743"/>
    <w:rsid w:val="005237D8"/>
    <w:rsid w:val="00525580"/>
    <w:rsid w:val="00526CE9"/>
    <w:rsid w:val="00527DB4"/>
    <w:rsid w:val="005316AE"/>
    <w:rsid w:val="00531900"/>
    <w:rsid w:val="00535C31"/>
    <w:rsid w:val="0053604F"/>
    <w:rsid w:val="005366ED"/>
    <w:rsid w:val="00537448"/>
    <w:rsid w:val="00540ADA"/>
    <w:rsid w:val="00541034"/>
    <w:rsid w:val="0054655C"/>
    <w:rsid w:val="005476DD"/>
    <w:rsid w:val="005518B7"/>
    <w:rsid w:val="00551E7D"/>
    <w:rsid w:val="00552769"/>
    <w:rsid w:val="005533B6"/>
    <w:rsid w:val="00553506"/>
    <w:rsid w:val="005553F0"/>
    <w:rsid w:val="00555442"/>
    <w:rsid w:val="005569E7"/>
    <w:rsid w:val="005619CB"/>
    <w:rsid w:val="005622D1"/>
    <w:rsid w:val="00564063"/>
    <w:rsid w:val="00564332"/>
    <w:rsid w:val="00565491"/>
    <w:rsid w:val="0056629D"/>
    <w:rsid w:val="00567FE6"/>
    <w:rsid w:val="00574671"/>
    <w:rsid w:val="00576A35"/>
    <w:rsid w:val="00580F30"/>
    <w:rsid w:val="005831AB"/>
    <w:rsid w:val="005833AB"/>
    <w:rsid w:val="005850BF"/>
    <w:rsid w:val="00585885"/>
    <w:rsid w:val="00590926"/>
    <w:rsid w:val="00590BF0"/>
    <w:rsid w:val="005913D8"/>
    <w:rsid w:val="00591434"/>
    <w:rsid w:val="005918A0"/>
    <w:rsid w:val="0059210D"/>
    <w:rsid w:val="00593F6A"/>
    <w:rsid w:val="00594ABC"/>
    <w:rsid w:val="005974F8"/>
    <w:rsid w:val="00597E3A"/>
    <w:rsid w:val="00597E56"/>
    <w:rsid w:val="005A1E55"/>
    <w:rsid w:val="005A296F"/>
    <w:rsid w:val="005A34ED"/>
    <w:rsid w:val="005B1BF4"/>
    <w:rsid w:val="005B3B1D"/>
    <w:rsid w:val="005B7F34"/>
    <w:rsid w:val="005C2043"/>
    <w:rsid w:val="005C48BA"/>
    <w:rsid w:val="005D5241"/>
    <w:rsid w:val="005E1439"/>
    <w:rsid w:val="005E38E0"/>
    <w:rsid w:val="005E4128"/>
    <w:rsid w:val="005E677F"/>
    <w:rsid w:val="005F07FA"/>
    <w:rsid w:val="005F09E2"/>
    <w:rsid w:val="005F5823"/>
    <w:rsid w:val="00600825"/>
    <w:rsid w:val="006010FC"/>
    <w:rsid w:val="00601C6A"/>
    <w:rsid w:val="00602460"/>
    <w:rsid w:val="00606F64"/>
    <w:rsid w:val="0061185C"/>
    <w:rsid w:val="00613A36"/>
    <w:rsid w:val="006144E8"/>
    <w:rsid w:val="00617A2F"/>
    <w:rsid w:val="00617BF0"/>
    <w:rsid w:val="006201EB"/>
    <w:rsid w:val="00622179"/>
    <w:rsid w:val="00625178"/>
    <w:rsid w:val="00625FC1"/>
    <w:rsid w:val="006279E6"/>
    <w:rsid w:val="0063087E"/>
    <w:rsid w:val="00630B66"/>
    <w:rsid w:val="00631533"/>
    <w:rsid w:val="00632A9A"/>
    <w:rsid w:val="0063400E"/>
    <w:rsid w:val="0063572A"/>
    <w:rsid w:val="0063591A"/>
    <w:rsid w:val="0064024D"/>
    <w:rsid w:val="00641628"/>
    <w:rsid w:val="00641ED3"/>
    <w:rsid w:val="006422F4"/>
    <w:rsid w:val="006425B8"/>
    <w:rsid w:val="00642806"/>
    <w:rsid w:val="00643FD5"/>
    <w:rsid w:val="006453B8"/>
    <w:rsid w:val="006479AB"/>
    <w:rsid w:val="00654661"/>
    <w:rsid w:val="00655119"/>
    <w:rsid w:val="006555B5"/>
    <w:rsid w:val="00655A80"/>
    <w:rsid w:val="006569DF"/>
    <w:rsid w:val="00657881"/>
    <w:rsid w:val="00660469"/>
    <w:rsid w:val="00666218"/>
    <w:rsid w:val="0066774D"/>
    <w:rsid w:val="0067171F"/>
    <w:rsid w:val="00672F28"/>
    <w:rsid w:val="006749CB"/>
    <w:rsid w:val="00675320"/>
    <w:rsid w:val="0067532D"/>
    <w:rsid w:val="006808BC"/>
    <w:rsid w:val="0068208E"/>
    <w:rsid w:val="00686D64"/>
    <w:rsid w:val="00690DB1"/>
    <w:rsid w:val="00690DD0"/>
    <w:rsid w:val="00691123"/>
    <w:rsid w:val="00695AC2"/>
    <w:rsid w:val="006A0287"/>
    <w:rsid w:val="006A14A8"/>
    <w:rsid w:val="006A481F"/>
    <w:rsid w:val="006A62D3"/>
    <w:rsid w:val="006A63D9"/>
    <w:rsid w:val="006B77ED"/>
    <w:rsid w:val="006C0AAD"/>
    <w:rsid w:val="006C4EF8"/>
    <w:rsid w:val="006C7F4F"/>
    <w:rsid w:val="006D28DB"/>
    <w:rsid w:val="006D3FFE"/>
    <w:rsid w:val="006D43DD"/>
    <w:rsid w:val="006D4AB5"/>
    <w:rsid w:val="006D569F"/>
    <w:rsid w:val="006D6815"/>
    <w:rsid w:val="006E0CBD"/>
    <w:rsid w:val="006E11CE"/>
    <w:rsid w:val="006E133C"/>
    <w:rsid w:val="006E1558"/>
    <w:rsid w:val="006E19D3"/>
    <w:rsid w:val="006E2B5A"/>
    <w:rsid w:val="006E3D0B"/>
    <w:rsid w:val="006E46BD"/>
    <w:rsid w:val="006E5BFF"/>
    <w:rsid w:val="006E6007"/>
    <w:rsid w:val="006E7A40"/>
    <w:rsid w:val="006F259B"/>
    <w:rsid w:val="006F3439"/>
    <w:rsid w:val="006F359E"/>
    <w:rsid w:val="006F4A20"/>
    <w:rsid w:val="00704236"/>
    <w:rsid w:val="0070770A"/>
    <w:rsid w:val="00712607"/>
    <w:rsid w:val="00712989"/>
    <w:rsid w:val="00713ABA"/>
    <w:rsid w:val="0071488C"/>
    <w:rsid w:val="00716DA5"/>
    <w:rsid w:val="00721C61"/>
    <w:rsid w:val="00722258"/>
    <w:rsid w:val="0072296A"/>
    <w:rsid w:val="00725222"/>
    <w:rsid w:val="00725548"/>
    <w:rsid w:val="007255FD"/>
    <w:rsid w:val="00725F09"/>
    <w:rsid w:val="00726532"/>
    <w:rsid w:val="007345EC"/>
    <w:rsid w:val="00737884"/>
    <w:rsid w:val="00741A8C"/>
    <w:rsid w:val="00741C05"/>
    <w:rsid w:val="00741D5C"/>
    <w:rsid w:val="0074468A"/>
    <w:rsid w:val="007453E5"/>
    <w:rsid w:val="00747613"/>
    <w:rsid w:val="007500F0"/>
    <w:rsid w:val="00750170"/>
    <w:rsid w:val="0075028D"/>
    <w:rsid w:val="00750CEF"/>
    <w:rsid w:val="00751F7F"/>
    <w:rsid w:val="00752C84"/>
    <w:rsid w:val="00753AE9"/>
    <w:rsid w:val="00755842"/>
    <w:rsid w:val="00755FE2"/>
    <w:rsid w:val="0075648B"/>
    <w:rsid w:val="00766515"/>
    <w:rsid w:val="007721F8"/>
    <w:rsid w:val="00774564"/>
    <w:rsid w:val="00777A1E"/>
    <w:rsid w:val="007805BE"/>
    <w:rsid w:val="00780F78"/>
    <w:rsid w:val="00782793"/>
    <w:rsid w:val="00782DF1"/>
    <w:rsid w:val="0078304A"/>
    <w:rsid w:val="00783BF3"/>
    <w:rsid w:val="007841C2"/>
    <w:rsid w:val="0078746C"/>
    <w:rsid w:val="00787818"/>
    <w:rsid w:val="0079149F"/>
    <w:rsid w:val="007915A7"/>
    <w:rsid w:val="00791D4A"/>
    <w:rsid w:val="00792DD1"/>
    <w:rsid w:val="00793538"/>
    <w:rsid w:val="00793AF9"/>
    <w:rsid w:val="007959D2"/>
    <w:rsid w:val="007A0A71"/>
    <w:rsid w:val="007A1486"/>
    <w:rsid w:val="007A18BF"/>
    <w:rsid w:val="007A58FF"/>
    <w:rsid w:val="007A6241"/>
    <w:rsid w:val="007A6D37"/>
    <w:rsid w:val="007B17BA"/>
    <w:rsid w:val="007B1ADF"/>
    <w:rsid w:val="007C1744"/>
    <w:rsid w:val="007C3640"/>
    <w:rsid w:val="007C482D"/>
    <w:rsid w:val="007C4AE3"/>
    <w:rsid w:val="007C4C42"/>
    <w:rsid w:val="007C4F5B"/>
    <w:rsid w:val="007C7A9D"/>
    <w:rsid w:val="007D1A73"/>
    <w:rsid w:val="007D224F"/>
    <w:rsid w:val="007D2E46"/>
    <w:rsid w:val="007D3D1E"/>
    <w:rsid w:val="007D7699"/>
    <w:rsid w:val="007E181D"/>
    <w:rsid w:val="007E1D00"/>
    <w:rsid w:val="007E6909"/>
    <w:rsid w:val="007F231C"/>
    <w:rsid w:val="007F2821"/>
    <w:rsid w:val="007F4381"/>
    <w:rsid w:val="007F4BAA"/>
    <w:rsid w:val="007F5E61"/>
    <w:rsid w:val="007F6852"/>
    <w:rsid w:val="00801021"/>
    <w:rsid w:val="008024E2"/>
    <w:rsid w:val="00802A0A"/>
    <w:rsid w:val="00803005"/>
    <w:rsid w:val="008031F1"/>
    <w:rsid w:val="00803DB6"/>
    <w:rsid w:val="00803FF3"/>
    <w:rsid w:val="00804128"/>
    <w:rsid w:val="0080480A"/>
    <w:rsid w:val="00815737"/>
    <w:rsid w:val="008268DD"/>
    <w:rsid w:val="008324AF"/>
    <w:rsid w:val="008339F9"/>
    <w:rsid w:val="00834EB9"/>
    <w:rsid w:val="00836284"/>
    <w:rsid w:val="00840B36"/>
    <w:rsid w:val="00842148"/>
    <w:rsid w:val="00844A89"/>
    <w:rsid w:val="00844ABF"/>
    <w:rsid w:val="00844D04"/>
    <w:rsid w:val="008457C0"/>
    <w:rsid w:val="00845EBB"/>
    <w:rsid w:val="0084769D"/>
    <w:rsid w:val="00847C3A"/>
    <w:rsid w:val="008500C5"/>
    <w:rsid w:val="008514FA"/>
    <w:rsid w:val="00851ECE"/>
    <w:rsid w:val="008579B8"/>
    <w:rsid w:val="00861481"/>
    <w:rsid w:val="008627B0"/>
    <w:rsid w:val="00865561"/>
    <w:rsid w:val="00865F16"/>
    <w:rsid w:val="0086711D"/>
    <w:rsid w:val="00867DD1"/>
    <w:rsid w:val="00871554"/>
    <w:rsid w:val="008729EF"/>
    <w:rsid w:val="00874394"/>
    <w:rsid w:val="008746A1"/>
    <w:rsid w:val="008774F6"/>
    <w:rsid w:val="00877AC9"/>
    <w:rsid w:val="00880497"/>
    <w:rsid w:val="00882922"/>
    <w:rsid w:val="00886768"/>
    <w:rsid w:val="00887634"/>
    <w:rsid w:val="00890F14"/>
    <w:rsid w:val="00893666"/>
    <w:rsid w:val="00895EF8"/>
    <w:rsid w:val="00897BB0"/>
    <w:rsid w:val="008A20BD"/>
    <w:rsid w:val="008A4886"/>
    <w:rsid w:val="008A5777"/>
    <w:rsid w:val="008A721F"/>
    <w:rsid w:val="008A771F"/>
    <w:rsid w:val="008A7A33"/>
    <w:rsid w:val="008B39EE"/>
    <w:rsid w:val="008B4693"/>
    <w:rsid w:val="008B771B"/>
    <w:rsid w:val="008C0128"/>
    <w:rsid w:val="008C30F7"/>
    <w:rsid w:val="008C5B0C"/>
    <w:rsid w:val="008D1BC8"/>
    <w:rsid w:val="008D2758"/>
    <w:rsid w:val="008D3101"/>
    <w:rsid w:val="008D3E5F"/>
    <w:rsid w:val="008D413A"/>
    <w:rsid w:val="008D4495"/>
    <w:rsid w:val="008E12AE"/>
    <w:rsid w:val="008E1F06"/>
    <w:rsid w:val="008E43CC"/>
    <w:rsid w:val="008E556B"/>
    <w:rsid w:val="008E5C77"/>
    <w:rsid w:val="008F01CB"/>
    <w:rsid w:val="008F1064"/>
    <w:rsid w:val="008F65C1"/>
    <w:rsid w:val="008F78AB"/>
    <w:rsid w:val="00902083"/>
    <w:rsid w:val="0090279D"/>
    <w:rsid w:val="00903DB8"/>
    <w:rsid w:val="009053A9"/>
    <w:rsid w:val="0090698A"/>
    <w:rsid w:val="00907DD9"/>
    <w:rsid w:val="009107E4"/>
    <w:rsid w:val="00915863"/>
    <w:rsid w:val="0091624C"/>
    <w:rsid w:val="00920895"/>
    <w:rsid w:val="00920D68"/>
    <w:rsid w:val="009219BF"/>
    <w:rsid w:val="009220B3"/>
    <w:rsid w:val="00925215"/>
    <w:rsid w:val="009267FF"/>
    <w:rsid w:val="00926E30"/>
    <w:rsid w:val="009276B8"/>
    <w:rsid w:val="00927ADB"/>
    <w:rsid w:val="009314D3"/>
    <w:rsid w:val="009315D8"/>
    <w:rsid w:val="00931E46"/>
    <w:rsid w:val="00935493"/>
    <w:rsid w:val="00935911"/>
    <w:rsid w:val="009366EB"/>
    <w:rsid w:val="009371F8"/>
    <w:rsid w:val="0093742C"/>
    <w:rsid w:val="00937BD2"/>
    <w:rsid w:val="00940F6B"/>
    <w:rsid w:val="00941BB4"/>
    <w:rsid w:val="00943E0A"/>
    <w:rsid w:val="00944C22"/>
    <w:rsid w:val="0094553A"/>
    <w:rsid w:val="0094699B"/>
    <w:rsid w:val="009472A5"/>
    <w:rsid w:val="00952C39"/>
    <w:rsid w:val="0095537E"/>
    <w:rsid w:val="00955AB8"/>
    <w:rsid w:val="0095729D"/>
    <w:rsid w:val="009632BF"/>
    <w:rsid w:val="0096476C"/>
    <w:rsid w:val="00965D9C"/>
    <w:rsid w:val="0097082A"/>
    <w:rsid w:val="00971261"/>
    <w:rsid w:val="00971833"/>
    <w:rsid w:val="00974389"/>
    <w:rsid w:val="00976ED6"/>
    <w:rsid w:val="00976FD0"/>
    <w:rsid w:val="009811A3"/>
    <w:rsid w:val="009816F6"/>
    <w:rsid w:val="0098197B"/>
    <w:rsid w:val="0098455C"/>
    <w:rsid w:val="00986CC5"/>
    <w:rsid w:val="00987525"/>
    <w:rsid w:val="00990636"/>
    <w:rsid w:val="0099087B"/>
    <w:rsid w:val="00991C55"/>
    <w:rsid w:val="0099385A"/>
    <w:rsid w:val="009A0165"/>
    <w:rsid w:val="009A13EE"/>
    <w:rsid w:val="009A1BEA"/>
    <w:rsid w:val="009A2765"/>
    <w:rsid w:val="009A34B4"/>
    <w:rsid w:val="009A50F3"/>
    <w:rsid w:val="009A6E42"/>
    <w:rsid w:val="009A76EB"/>
    <w:rsid w:val="009B0670"/>
    <w:rsid w:val="009B36DF"/>
    <w:rsid w:val="009B55B6"/>
    <w:rsid w:val="009B6EF0"/>
    <w:rsid w:val="009C1774"/>
    <w:rsid w:val="009C1AEF"/>
    <w:rsid w:val="009C40EB"/>
    <w:rsid w:val="009C438D"/>
    <w:rsid w:val="009C7CDA"/>
    <w:rsid w:val="009D1DEB"/>
    <w:rsid w:val="009D4AA4"/>
    <w:rsid w:val="009D5A27"/>
    <w:rsid w:val="009E0488"/>
    <w:rsid w:val="009E12E3"/>
    <w:rsid w:val="009E18E7"/>
    <w:rsid w:val="009E34B9"/>
    <w:rsid w:val="009E3B1E"/>
    <w:rsid w:val="009F3978"/>
    <w:rsid w:val="009F4FB8"/>
    <w:rsid w:val="009F518C"/>
    <w:rsid w:val="009F53D4"/>
    <w:rsid w:val="009F6D38"/>
    <w:rsid w:val="009F73C2"/>
    <w:rsid w:val="00A02C1E"/>
    <w:rsid w:val="00A03AE9"/>
    <w:rsid w:val="00A074E2"/>
    <w:rsid w:val="00A07816"/>
    <w:rsid w:val="00A1044C"/>
    <w:rsid w:val="00A11F93"/>
    <w:rsid w:val="00A14465"/>
    <w:rsid w:val="00A17864"/>
    <w:rsid w:val="00A216BE"/>
    <w:rsid w:val="00A2445E"/>
    <w:rsid w:val="00A2597D"/>
    <w:rsid w:val="00A25A50"/>
    <w:rsid w:val="00A25F03"/>
    <w:rsid w:val="00A26B58"/>
    <w:rsid w:val="00A27664"/>
    <w:rsid w:val="00A27EF6"/>
    <w:rsid w:val="00A320E2"/>
    <w:rsid w:val="00A32C0F"/>
    <w:rsid w:val="00A33DD7"/>
    <w:rsid w:val="00A35C2D"/>
    <w:rsid w:val="00A42D72"/>
    <w:rsid w:val="00A437F9"/>
    <w:rsid w:val="00A44FD8"/>
    <w:rsid w:val="00A45CF2"/>
    <w:rsid w:val="00A45DCA"/>
    <w:rsid w:val="00A463CE"/>
    <w:rsid w:val="00A51AE8"/>
    <w:rsid w:val="00A51E29"/>
    <w:rsid w:val="00A55786"/>
    <w:rsid w:val="00A56086"/>
    <w:rsid w:val="00A57061"/>
    <w:rsid w:val="00A57BE1"/>
    <w:rsid w:val="00A60451"/>
    <w:rsid w:val="00A606C9"/>
    <w:rsid w:val="00A609C0"/>
    <w:rsid w:val="00A63AE1"/>
    <w:rsid w:val="00A63D91"/>
    <w:rsid w:val="00A645A8"/>
    <w:rsid w:val="00A71650"/>
    <w:rsid w:val="00A71E2C"/>
    <w:rsid w:val="00A73761"/>
    <w:rsid w:val="00A7376D"/>
    <w:rsid w:val="00A73A5F"/>
    <w:rsid w:val="00A743E0"/>
    <w:rsid w:val="00A75373"/>
    <w:rsid w:val="00A777CC"/>
    <w:rsid w:val="00A8203D"/>
    <w:rsid w:val="00A82984"/>
    <w:rsid w:val="00A8356C"/>
    <w:rsid w:val="00A855EA"/>
    <w:rsid w:val="00A9152F"/>
    <w:rsid w:val="00A93DAB"/>
    <w:rsid w:val="00A951F3"/>
    <w:rsid w:val="00A96C1B"/>
    <w:rsid w:val="00A97DA6"/>
    <w:rsid w:val="00AA2CBC"/>
    <w:rsid w:val="00AA4466"/>
    <w:rsid w:val="00AA6245"/>
    <w:rsid w:val="00AB05C6"/>
    <w:rsid w:val="00AB3DE7"/>
    <w:rsid w:val="00AB477B"/>
    <w:rsid w:val="00AB65CD"/>
    <w:rsid w:val="00AB7002"/>
    <w:rsid w:val="00AC071F"/>
    <w:rsid w:val="00AC0E38"/>
    <w:rsid w:val="00AC2B0B"/>
    <w:rsid w:val="00AC4C23"/>
    <w:rsid w:val="00AC6993"/>
    <w:rsid w:val="00AC735E"/>
    <w:rsid w:val="00AD222A"/>
    <w:rsid w:val="00AD2693"/>
    <w:rsid w:val="00AD2AF7"/>
    <w:rsid w:val="00AD52FF"/>
    <w:rsid w:val="00AD5D11"/>
    <w:rsid w:val="00AD6746"/>
    <w:rsid w:val="00AE0D84"/>
    <w:rsid w:val="00AE1779"/>
    <w:rsid w:val="00AE1ACA"/>
    <w:rsid w:val="00AE1D6D"/>
    <w:rsid w:val="00AE40B4"/>
    <w:rsid w:val="00AE5F3F"/>
    <w:rsid w:val="00AE6130"/>
    <w:rsid w:val="00AE64B9"/>
    <w:rsid w:val="00AE67E8"/>
    <w:rsid w:val="00AE714A"/>
    <w:rsid w:val="00AF0544"/>
    <w:rsid w:val="00AF0A95"/>
    <w:rsid w:val="00AF1CD0"/>
    <w:rsid w:val="00AF37A8"/>
    <w:rsid w:val="00AF5ECE"/>
    <w:rsid w:val="00AF7639"/>
    <w:rsid w:val="00AF79F0"/>
    <w:rsid w:val="00B0254F"/>
    <w:rsid w:val="00B05A6F"/>
    <w:rsid w:val="00B07C0C"/>
    <w:rsid w:val="00B07E30"/>
    <w:rsid w:val="00B12C26"/>
    <w:rsid w:val="00B1400E"/>
    <w:rsid w:val="00B16048"/>
    <w:rsid w:val="00B1797F"/>
    <w:rsid w:val="00B212F1"/>
    <w:rsid w:val="00B2378E"/>
    <w:rsid w:val="00B23CAA"/>
    <w:rsid w:val="00B23D0A"/>
    <w:rsid w:val="00B268A1"/>
    <w:rsid w:val="00B275E0"/>
    <w:rsid w:val="00B276A5"/>
    <w:rsid w:val="00B27BBB"/>
    <w:rsid w:val="00B34BA3"/>
    <w:rsid w:val="00B34E65"/>
    <w:rsid w:val="00B365B1"/>
    <w:rsid w:val="00B36F5F"/>
    <w:rsid w:val="00B42344"/>
    <w:rsid w:val="00B438E8"/>
    <w:rsid w:val="00B43C50"/>
    <w:rsid w:val="00B43DC6"/>
    <w:rsid w:val="00B4487E"/>
    <w:rsid w:val="00B46371"/>
    <w:rsid w:val="00B51C9E"/>
    <w:rsid w:val="00B524A7"/>
    <w:rsid w:val="00B52893"/>
    <w:rsid w:val="00B52AB5"/>
    <w:rsid w:val="00B53FAA"/>
    <w:rsid w:val="00B545A9"/>
    <w:rsid w:val="00B54A45"/>
    <w:rsid w:val="00B54F00"/>
    <w:rsid w:val="00B56099"/>
    <w:rsid w:val="00B5642A"/>
    <w:rsid w:val="00B5736C"/>
    <w:rsid w:val="00B57BB7"/>
    <w:rsid w:val="00B6356A"/>
    <w:rsid w:val="00B66F68"/>
    <w:rsid w:val="00B700D2"/>
    <w:rsid w:val="00B7022C"/>
    <w:rsid w:val="00B706F1"/>
    <w:rsid w:val="00B7084E"/>
    <w:rsid w:val="00B70F73"/>
    <w:rsid w:val="00B76196"/>
    <w:rsid w:val="00B80747"/>
    <w:rsid w:val="00B84947"/>
    <w:rsid w:val="00B8499E"/>
    <w:rsid w:val="00B915C5"/>
    <w:rsid w:val="00B91E47"/>
    <w:rsid w:val="00B9381D"/>
    <w:rsid w:val="00B95E8D"/>
    <w:rsid w:val="00B96263"/>
    <w:rsid w:val="00BA3A73"/>
    <w:rsid w:val="00BA5B48"/>
    <w:rsid w:val="00BA7E5F"/>
    <w:rsid w:val="00BB0644"/>
    <w:rsid w:val="00BB204A"/>
    <w:rsid w:val="00BB52DF"/>
    <w:rsid w:val="00BB5C91"/>
    <w:rsid w:val="00BB7451"/>
    <w:rsid w:val="00BC0FD3"/>
    <w:rsid w:val="00BC12BE"/>
    <w:rsid w:val="00BC323E"/>
    <w:rsid w:val="00BC3DBE"/>
    <w:rsid w:val="00BC5BF1"/>
    <w:rsid w:val="00BC688A"/>
    <w:rsid w:val="00BC7944"/>
    <w:rsid w:val="00BD0179"/>
    <w:rsid w:val="00BD05A1"/>
    <w:rsid w:val="00BD0853"/>
    <w:rsid w:val="00BD4476"/>
    <w:rsid w:val="00BE0AB5"/>
    <w:rsid w:val="00BE1049"/>
    <w:rsid w:val="00BE13AF"/>
    <w:rsid w:val="00BE2210"/>
    <w:rsid w:val="00BE23E5"/>
    <w:rsid w:val="00BE294D"/>
    <w:rsid w:val="00BE4F19"/>
    <w:rsid w:val="00BE680C"/>
    <w:rsid w:val="00BE7820"/>
    <w:rsid w:val="00BF111A"/>
    <w:rsid w:val="00BF209B"/>
    <w:rsid w:val="00BF647B"/>
    <w:rsid w:val="00BF6751"/>
    <w:rsid w:val="00C00D9D"/>
    <w:rsid w:val="00C01941"/>
    <w:rsid w:val="00C02E56"/>
    <w:rsid w:val="00C03745"/>
    <w:rsid w:val="00C11561"/>
    <w:rsid w:val="00C11EA7"/>
    <w:rsid w:val="00C15E92"/>
    <w:rsid w:val="00C163AB"/>
    <w:rsid w:val="00C17608"/>
    <w:rsid w:val="00C200B3"/>
    <w:rsid w:val="00C20DEA"/>
    <w:rsid w:val="00C20F13"/>
    <w:rsid w:val="00C22A58"/>
    <w:rsid w:val="00C231FD"/>
    <w:rsid w:val="00C23EEF"/>
    <w:rsid w:val="00C26FBF"/>
    <w:rsid w:val="00C32506"/>
    <w:rsid w:val="00C32B94"/>
    <w:rsid w:val="00C37AA8"/>
    <w:rsid w:val="00C37F2E"/>
    <w:rsid w:val="00C405BD"/>
    <w:rsid w:val="00C41F9D"/>
    <w:rsid w:val="00C46A95"/>
    <w:rsid w:val="00C47216"/>
    <w:rsid w:val="00C47423"/>
    <w:rsid w:val="00C47575"/>
    <w:rsid w:val="00C5011A"/>
    <w:rsid w:val="00C50344"/>
    <w:rsid w:val="00C50B89"/>
    <w:rsid w:val="00C51BAE"/>
    <w:rsid w:val="00C528E3"/>
    <w:rsid w:val="00C55C36"/>
    <w:rsid w:val="00C56844"/>
    <w:rsid w:val="00C57D12"/>
    <w:rsid w:val="00C60174"/>
    <w:rsid w:val="00C60D5F"/>
    <w:rsid w:val="00C626DC"/>
    <w:rsid w:val="00C65077"/>
    <w:rsid w:val="00C66FF7"/>
    <w:rsid w:val="00C674CC"/>
    <w:rsid w:val="00C678B3"/>
    <w:rsid w:val="00C705B1"/>
    <w:rsid w:val="00C70A08"/>
    <w:rsid w:val="00C74E38"/>
    <w:rsid w:val="00C7522E"/>
    <w:rsid w:val="00C80636"/>
    <w:rsid w:val="00C80FFC"/>
    <w:rsid w:val="00C84626"/>
    <w:rsid w:val="00C8646E"/>
    <w:rsid w:val="00C864A8"/>
    <w:rsid w:val="00C91532"/>
    <w:rsid w:val="00C91898"/>
    <w:rsid w:val="00C937D0"/>
    <w:rsid w:val="00C95898"/>
    <w:rsid w:val="00C97C17"/>
    <w:rsid w:val="00CA0506"/>
    <w:rsid w:val="00CA3133"/>
    <w:rsid w:val="00CA5099"/>
    <w:rsid w:val="00CA6737"/>
    <w:rsid w:val="00CB04A5"/>
    <w:rsid w:val="00CB227F"/>
    <w:rsid w:val="00CB2759"/>
    <w:rsid w:val="00CB2B72"/>
    <w:rsid w:val="00CB3892"/>
    <w:rsid w:val="00CB485C"/>
    <w:rsid w:val="00CB6911"/>
    <w:rsid w:val="00CB6BC5"/>
    <w:rsid w:val="00CB6BE0"/>
    <w:rsid w:val="00CC09A8"/>
    <w:rsid w:val="00CC130C"/>
    <w:rsid w:val="00CC15BA"/>
    <w:rsid w:val="00CC47F0"/>
    <w:rsid w:val="00CC6ECB"/>
    <w:rsid w:val="00CD0FD2"/>
    <w:rsid w:val="00CD1972"/>
    <w:rsid w:val="00CD3613"/>
    <w:rsid w:val="00CD3E96"/>
    <w:rsid w:val="00CD526A"/>
    <w:rsid w:val="00CD5325"/>
    <w:rsid w:val="00CD6935"/>
    <w:rsid w:val="00CE28D9"/>
    <w:rsid w:val="00CE3232"/>
    <w:rsid w:val="00CE6459"/>
    <w:rsid w:val="00CE72E3"/>
    <w:rsid w:val="00CF2053"/>
    <w:rsid w:val="00CF2FFB"/>
    <w:rsid w:val="00CF42A3"/>
    <w:rsid w:val="00CF7F03"/>
    <w:rsid w:val="00D00FA0"/>
    <w:rsid w:val="00D01AA7"/>
    <w:rsid w:val="00D04482"/>
    <w:rsid w:val="00D05908"/>
    <w:rsid w:val="00D060F2"/>
    <w:rsid w:val="00D07B1D"/>
    <w:rsid w:val="00D07DC8"/>
    <w:rsid w:val="00D07F62"/>
    <w:rsid w:val="00D10B3C"/>
    <w:rsid w:val="00D11AC4"/>
    <w:rsid w:val="00D11D83"/>
    <w:rsid w:val="00D1255B"/>
    <w:rsid w:val="00D13A38"/>
    <w:rsid w:val="00D14853"/>
    <w:rsid w:val="00D158C8"/>
    <w:rsid w:val="00D16D9F"/>
    <w:rsid w:val="00D17886"/>
    <w:rsid w:val="00D17C92"/>
    <w:rsid w:val="00D21151"/>
    <w:rsid w:val="00D21ACB"/>
    <w:rsid w:val="00D24BBB"/>
    <w:rsid w:val="00D2542C"/>
    <w:rsid w:val="00D264B8"/>
    <w:rsid w:val="00D26C87"/>
    <w:rsid w:val="00D307E6"/>
    <w:rsid w:val="00D30AE3"/>
    <w:rsid w:val="00D30BED"/>
    <w:rsid w:val="00D3178C"/>
    <w:rsid w:val="00D32410"/>
    <w:rsid w:val="00D33ADC"/>
    <w:rsid w:val="00D36149"/>
    <w:rsid w:val="00D413B1"/>
    <w:rsid w:val="00D430C8"/>
    <w:rsid w:val="00D44A22"/>
    <w:rsid w:val="00D45B0C"/>
    <w:rsid w:val="00D47043"/>
    <w:rsid w:val="00D51CB0"/>
    <w:rsid w:val="00D53A48"/>
    <w:rsid w:val="00D5435C"/>
    <w:rsid w:val="00D548BB"/>
    <w:rsid w:val="00D5581F"/>
    <w:rsid w:val="00D5636A"/>
    <w:rsid w:val="00D5687A"/>
    <w:rsid w:val="00D57809"/>
    <w:rsid w:val="00D60AB5"/>
    <w:rsid w:val="00D624C9"/>
    <w:rsid w:val="00D63AC4"/>
    <w:rsid w:val="00D6498B"/>
    <w:rsid w:val="00D64F62"/>
    <w:rsid w:val="00D65085"/>
    <w:rsid w:val="00D71183"/>
    <w:rsid w:val="00D71E4B"/>
    <w:rsid w:val="00D732AB"/>
    <w:rsid w:val="00D76D52"/>
    <w:rsid w:val="00D76D70"/>
    <w:rsid w:val="00D80399"/>
    <w:rsid w:val="00D83954"/>
    <w:rsid w:val="00D84509"/>
    <w:rsid w:val="00D85E07"/>
    <w:rsid w:val="00D93427"/>
    <w:rsid w:val="00D95742"/>
    <w:rsid w:val="00D9678D"/>
    <w:rsid w:val="00D968F6"/>
    <w:rsid w:val="00D97280"/>
    <w:rsid w:val="00D9729E"/>
    <w:rsid w:val="00D97C7E"/>
    <w:rsid w:val="00DA3CC9"/>
    <w:rsid w:val="00DA3DC3"/>
    <w:rsid w:val="00DA4D88"/>
    <w:rsid w:val="00DA5233"/>
    <w:rsid w:val="00DA542C"/>
    <w:rsid w:val="00DA785B"/>
    <w:rsid w:val="00DB0746"/>
    <w:rsid w:val="00DB335C"/>
    <w:rsid w:val="00DB40BE"/>
    <w:rsid w:val="00DB4F14"/>
    <w:rsid w:val="00DB56C1"/>
    <w:rsid w:val="00DB6118"/>
    <w:rsid w:val="00DB674F"/>
    <w:rsid w:val="00DC0C1E"/>
    <w:rsid w:val="00DC0D54"/>
    <w:rsid w:val="00DC3350"/>
    <w:rsid w:val="00DC352B"/>
    <w:rsid w:val="00DC7FDD"/>
    <w:rsid w:val="00DD22F8"/>
    <w:rsid w:val="00DD4AC7"/>
    <w:rsid w:val="00DD50A0"/>
    <w:rsid w:val="00DD5568"/>
    <w:rsid w:val="00DD6184"/>
    <w:rsid w:val="00DD62EC"/>
    <w:rsid w:val="00DD772B"/>
    <w:rsid w:val="00DE11A9"/>
    <w:rsid w:val="00DF0F9E"/>
    <w:rsid w:val="00DF3941"/>
    <w:rsid w:val="00DF40EB"/>
    <w:rsid w:val="00DF6149"/>
    <w:rsid w:val="00DF63FA"/>
    <w:rsid w:val="00E013ED"/>
    <w:rsid w:val="00E02AA6"/>
    <w:rsid w:val="00E036BE"/>
    <w:rsid w:val="00E037BC"/>
    <w:rsid w:val="00E03A74"/>
    <w:rsid w:val="00E03E66"/>
    <w:rsid w:val="00E04B1C"/>
    <w:rsid w:val="00E05848"/>
    <w:rsid w:val="00E05A03"/>
    <w:rsid w:val="00E05CE3"/>
    <w:rsid w:val="00E05F4E"/>
    <w:rsid w:val="00E11245"/>
    <w:rsid w:val="00E143BD"/>
    <w:rsid w:val="00E15AA6"/>
    <w:rsid w:val="00E210F8"/>
    <w:rsid w:val="00E22EF4"/>
    <w:rsid w:val="00E2469C"/>
    <w:rsid w:val="00E246ED"/>
    <w:rsid w:val="00E25F6A"/>
    <w:rsid w:val="00E2776B"/>
    <w:rsid w:val="00E27960"/>
    <w:rsid w:val="00E318A3"/>
    <w:rsid w:val="00E33107"/>
    <w:rsid w:val="00E35BD7"/>
    <w:rsid w:val="00E36927"/>
    <w:rsid w:val="00E37320"/>
    <w:rsid w:val="00E376DC"/>
    <w:rsid w:val="00E4115B"/>
    <w:rsid w:val="00E41580"/>
    <w:rsid w:val="00E431E7"/>
    <w:rsid w:val="00E51299"/>
    <w:rsid w:val="00E51CFE"/>
    <w:rsid w:val="00E53062"/>
    <w:rsid w:val="00E53A56"/>
    <w:rsid w:val="00E54EC2"/>
    <w:rsid w:val="00E56FDA"/>
    <w:rsid w:val="00E62067"/>
    <w:rsid w:val="00E63756"/>
    <w:rsid w:val="00E64ABB"/>
    <w:rsid w:val="00E64B08"/>
    <w:rsid w:val="00E71EDC"/>
    <w:rsid w:val="00E73F57"/>
    <w:rsid w:val="00E74340"/>
    <w:rsid w:val="00E7435B"/>
    <w:rsid w:val="00E747D1"/>
    <w:rsid w:val="00E749AB"/>
    <w:rsid w:val="00E76C4B"/>
    <w:rsid w:val="00E771A3"/>
    <w:rsid w:val="00E77786"/>
    <w:rsid w:val="00E814D7"/>
    <w:rsid w:val="00E83552"/>
    <w:rsid w:val="00E838BB"/>
    <w:rsid w:val="00E852FE"/>
    <w:rsid w:val="00E919AC"/>
    <w:rsid w:val="00E91BE5"/>
    <w:rsid w:val="00E927DF"/>
    <w:rsid w:val="00E92ADA"/>
    <w:rsid w:val="00E93DF2"/>
    <w:rsid w:val="00E94A6D"/>
    <w:rsid w:val="00E9630A"/>
    <w:rsid w:val="00E9682F"/>
    <w:rsid w:val="00E96DA4"/>
    <w:rsid w:val="00EA174B"/>
    <w:rsid w:val="00EB0267"/>
    <w:rsid w:val="00EB3807"/>
    <w:rsid w:val="00EB4739"/>
    <w:rsid w:val="00EB53E1"/>
    <w:rsid w:val="00EC52AF"/>
    <w:rsid w:val="00EC5EEE"/>
    <w:rsid w:val="00EC5FBD"/>
    <w:rsid w:val="00ED0E52"/>
    <w:rsid w:val="00ED5B0F"/>
    <w:rsid w:val="00ED6A01"/>
    <w:rsid w:val="00ED6BD5"/>
    <w:rsid w:val="00ED7C97"/>
    <w:rsid w:val="00ED7D67"/>
    <w:rsid w:val="00ED7EB3"/>
    <w:rsid w:val="00EE1C72"/>
    <w:rsid w:val="00EE334F"/>
    <w:rsid w:val="00EE33B0"/>
    <w:rsid w:val="00EF132D"/>
    <w:rsid w:val="00EF4DB6"/>
    <w:rsid w:val="00EF5624"/>
    <w:rsid w:val="00EF6D9D"/>
    <w:rsid w:val="00EF7036"/>
    <w:rsid w:val="00F013EF"/>
    <w:rsid w:val="00F02132"/>
    <w:rsid w:val="00F025A1"/>
    <w:rsid w:val="00F02FAA"/>
    <w:rsid w:val="00F10522"/>
    <w:rsid w:val="00F132B1"/>
    <w:rsid w:val="00F1429C"/>
    <w:rsid w:val="00F16822"/>
    <w:rsid w:val="00F16DE1"/>
    <w:rsid w:val="00F1754B"/>
    <w:rsid w:val="00F20F8F"/>
    <w:rsid w:val="00F236BB"/>
    <w:rsid w:val="00F270F5"/>
    <w:rsid w:val="00F27AA3"/>
    <w:rsid w:val="00F30BB0"/>
    <w:rsid w:val="00F33125"/>
    <w:rsid w:val="00F34478"/>
    <w:rsid w:val="00F35FFC"/>
    <w:rsid w:val="00F432BD"/>
    <w:rsid w:val="00F44698"/>
    <w:rsid w:val="00F453AF"/>
    <w:rsid w:val="00F45A09"/>
    <w:rsid w:val="00F50B0F"/>
    <w:rsid w:val="00F52798"/>
    <w:rsid w:val="00F5295D"/>
    <w:rsid w:val="00F52F22"/>
    <w:rsid w:val="00F53F49"/>
    <w:rsid w:val="00F56682"/>
    <w:rsid w:val="00F57D5C"/>
    <w:rsid w:val="00F57E6B"/>
    <w:rsid w:val="00F60374"/>
    <w:rsid w:val="00F61F0E"/>
    <w:rsid w:val="00F629D0"/>
    <w:rsid w:val="00F65FE9"/>
    <w:rsid w:val="00F6627F"/>
    <w:rsid w:val="00F66698"/>
    <w:rsid w:val="00F6734B"/>
    <w:rsid w:val="00F704CB"/>
    <w:rsid w:val="00F707ED"/>
    <w:rsid w:val="00F728F5"/>
    <w:rsid w:val="00F76924"/>
    <w:rsid w:val="00F775E7"/>
    <w:rsid w:val="00F77B2F"/>
    <w:rsid w:val="00F77C9E"/>
    <w:rsid w:val="00F77D25"/>
    <w:rsid w:val="00F804EB"/>
    <w:rsid w:val="00F81B4C"/>
    <w:rsid w:val="00F8213A"/>
    <w:rsid w:val="00F851E8"/>
    <w:rsid w:val="00F86C0D"/>
    <w:rsid w:val="00F872F9"/>
    <w:rsid w:val="00F8768D"/>
    <w:rsid w:val="00F909F0"/>
    <w:rsid w:val="00F926F7"/>
    <w:rsid w:val="00F92ED8"/>
    <w:rsid w:val="00F93343"/>
    <w:rsid w:val="00F95E18"/>
    <w:rsid w:val="00F95F89"/>
    <w:rsid w:val="00F979A4"/>
    <w:rsid w:val="00FA0252"/>
    <w:rsid w:val="00FA1BE1"/>
    <w:rsid w:val="00FA32F0"/>
    <w:rsid w:val="00FA3C23"/>
    <w:rsid w:val="00FA442F"/>
    <w:rsid w:val="00FA4CD6"/>
    <w:rsid w:val="00FA7A4C"/>
    <w:rsid w:val="00FA7B73"/>
    <w:rsid w:val="00FB0D86"/>
    <w:rsid w:val="00FB0EEA"/>
    <w:rsid w:val="00FB18CE"/>
    <w:rsid w:val="00FB1905"/>
    <w:rsid w:val="00FB256A"/>
    <w:rsid w:val="00FB5606"/>
    <w:rsid w:val="00FB5E97"/>
    <w:rsid w:val="00FB67CF"/>
    <w:rsid w:val="00FB72A7"/>
    <w:rsid w:val="00FC1A9D"/>
    <w:rsid w:val="00FC29F7"/>
    <w:rsid w:val="00FD12FE"/>
    <w:rsid w:val="00FD20DE"/>
    <w:rsid w:val="00FD2A97"/>
    <w:rsid w:val="00FD2FE1"/>
    <w:rsid w:val="00FD307C"/>
    <w:rsid w:val="00FD3575"/>
    <w:rsid w:val="00FD58A5"/>
    <w:rsid w:val="00FD58BD"/>
    <w:rsid w:val="00FD5F47"/>
    <w:rsid w:val="00FD6384"/>
    <w:rsid w:val="00FD651E"/>
    <w:rsid w:val="00FE445A"/>
    <w:rsid w:val="00FE5A47"/>
    <w:rsid w:val="00FE5B68"/>
    <w:rsid w:val="00FE7F7E"/>
    <w:rsid w:val="00FF065B"/>
    <w:rsid w:val="00FF3804"/>
    <w:rsid w:val="00FF4635"/>
    <w:rsid w:val="00FF4E48"/>
    <w:rsid w:val="00FF5C2C"/>
    <w:rsid w:val="00FF5CBC"/>
    <w:rsid w:val="00FF7950"/>
    <w:rsid w:val="010A2CF6"/>
    <w:rsid w:val="0144372F"/>
    <w:rsid w:val="01C90806"/>
    <w:rsid w:val="02035935"/>
    <w:rsid w:val="024441FF"/>
    <w:rsid w:val="025C00F3"/>
    <w:rsid w:val="02AA6379"/>
    <w:rsid w:val="02C90C20"/>
    <w:rsid w:val="02F51C4F"/>
    <w:rsid w:val="045069BD"/>
    <w:rsid w:val="05304689"/>
    <w:rsid w:val="0618238E"/>
    <w:rsid w:val="067B1D7A"/>
    <w:rsid w:val="06950F06"/>
    <w:rsid w:val="06E867E8"/>
    <w:rsid w:val="07662E2D"/>
    <w:rsid w:val="07A45687"/>
    <w:rsid w:val="07E42738"/>
    <w:rsid w:val="08290517"/>
    <w:rsid w:val="08721802"/>
    <w:rsid w:val="08855F1B"/>
    <w:rsid w:val="08BD0D2D"/>
    <w:rsid w:val="090618AC"/>
    <w:rsid w:val="09317E9F"/>
    <w:rsid w:val="097E4806"/>
    <w:rsid w:val="0A1916D3"/>
    <w:rsid w:val="0A2470FE"/>
    <w:rsid w:val="0A695668"/>
    <w:rsid w:val="0ACA7318"/>
    <w:rsid w:val="0B7061D0"/>
    <w:rsid w:val="0B796387"/>
    <w:rsid w:val="0BCA2A4D"/>
    <w:rsid w:val="0BF40296"/>
    <w:rsid w:val="0C357DB7"/>
    <w:rsid w:val="0C8B5F12"/>
    <w:rsid w:val="0D685BC8"/>
    <w:rsid w:val="0D7B5388"/>
    <w:rsid w:val="0D7D03D4"/>
    <w:rsid w:val="0DAA56C5"/>
    <w:rsid w:val="0E2751B6"/>
    <w:rsid w:val="0EA80E83"/>
    <w:rsid w:val="0EAF2B2B"/>
    <w:rsid w:val="0EBF53AC"/>
    <w:rsid w:val="0EC46B9B"/>
    <w:rsid w:val="0EE71A0A"/>
    <w:rsid w:val="0F6410FD"/>
    <w:rsid w:val="0FA92859"/>
    <w:rsid w:val="1060057C"/>
    <w:rsid w:val="12056947"/>
    <w:rsid w:val="12196C76"/>
    <w:rsid w:val="12472B09"/>
    <w:rsid w:val="12670426"/>
    <w:rsid w:val="135D00B8"/>
    <w:rsid w:val="1379471B"/>
    <w:rsid w:val="1406458D"/>
    <w:rsid w:val="14151DBD"/>
    <w:rsid w:val="14657FCE"/>
    <w:rsid w:val="14AE78FC"/>
    <w:rsid w:val="160C77B0"/>
    <w:rsid w:val="1610687D"/>
    <w:rsid w:val="16474314"/>
    <w:rsid w:val="16FE716E"/>
    <w:rsid w:val="174872E3"/>
    <w:rsid w:val="17755599"/>
    <w:rsid w:val="178E6401"/>
    <w:rsid w:val="17A96510"/>
    <w:rsid w:val="181D789D"/>
    <w:rsid w:val="18495B96"/>
    <w:rsid w:val="18EA4C74"/>
    <w:rsid w:val="19DD7C18"/>
    <w:rsid w:val="1B20731B"/>
    <w:rsid w:val="1B2C2D30"/>
    <w:rsid w:val="1B520598"/>
    <w:rsid w:val="1B5F67C2"/>
    <w:rsid w:val="1C427A9C"/>
    <w:rsid w:val="1CB21B53"/>
    <w:rsid w:val="1CCB393D"/>
    <w:rsid w:val="1D905D81"/>
    <w:rsid w:val="1E3D377C"/>
    <w:rsid w:val="1EA13A78"/>
    <w:rsid w:val="1EAB42CF"/>
    <w:rsid w:val="1EF573FD"/>
    <w:rsid w:val="1F1B2D9B"/>
    <w:rsid w:val="20D60103"/>
    <w:rsid w:val="210A1C77"/>
    <w:rsid w:val="21DC7444"/>
    <w:rsid w:val="221D3739"/>
    <w:rsid w:val="235600B4"/>
    <w:rsid w:val="23A6061B"/>
    <w:rsid w:val="23C20F91"/>
    <w:rsid w:val="23E17407"/>
    <w:rsid w:val="23F86ECC"/>
    <w:rsid w:val="24060A77"/>
    <w:rsid w:val="24453FEC"/>
    <w:rsid w:val="246A747E"/>
    <w:rsid w:val="24B258DC"/>
    <w:rsid w:val="25012677"/>
    <w:rsid w:val="25436B3F"/>
    <w:rsid w:val="258969DE"/>
    <w:rsid w:val="25972CE6"/>
    <w:rsid w:val="259C6387"/>
    <w:rsid w:val="25EB6ECB"/>
    <w:rsid w:val="26993A12"/>
    <w:rsid w:val="26CF0FF2"/>
    <w:rsid w:val="27180277"/>
    <w:rsid w:val="272518DF"/>
    <w:rsid w:val="274C2F19"/>
    <w:rsid w:val="276665EA"/>
    <w:rsid w:val="27846C51"/>
    <w:rsid w:val="2885187D"/>
    <w:rsid w:val="28F471E9"/>
    <w:rsid w:val="29212055"/>
    <w:rsid w:val="2A4853EC"/>
    <w:rsid w:val="2A490CE8"/>
    <w:rsid w:val="2BAB62F3"/>
    <w:rsid w:val="2BDF3926"/>
    <w:rsid w:val="2BE44BAF"/>
    <w:rsid w:val="2C431156"/>
    <w:rsid w:val="2CEF7280"/>
    <w:rsid w:val="2D6D5FBA"/>
    <w:rsid w:val="2D721074"/>
    <w:rsid w:val="2DA03186"/>
    <w:rsid w:val="2DA72A28"/>
    <w:rsid w:val="2DA80C8E"/>
    <w:rsid w:val="2DBC4E20"/>
    <w:rsid w:val="2DD05727"/>
    <w:rsid w:val="2E110849"/>
    <w:rsid w:val="2E3861F2"/>
    <w:rsid w:val="2E852D66"/>
    <w:rsid w:val="2E9C647A"/>
    <w:rsid w:val="2FFC0F33"/>
    <w:rsid w:val="300259A5"/>
    <w:rsid w:val="30552381"/>
    <w:rsid w:val="30D92F4D"/>
    <w:rsid w:val="30E02F4C"/>
    <w:rsid w:val="310F17BC"/>
    <w:rsid w:val="312664AB"/>
    <w:rsid w:val="31340EB3"/>
    <w:rsid w:val="3182335F"/>
    <w:rsid w:val="31862F4F"/>
    <w:rsid w:val="31BE4203"/>
    <w:rsid w:val="32052703"/>
    <w:rsid w:val="329B3A2F"/>
    <w:rsid w:val="32B13D34"/>
    <w:rsid w:val="3307578E"/>
    <w:rsid w:val="3364040F"/>
    <w:rsid w:val="33D02629"/>
    <w:rsid w:val="34372F12"/>
    <w:rsid w:val="3446060E"/>
    <w:rsid w:val="347065DE"/>
    <w:rsid w:val="34A20ECE"/>
    <w:rsid w:val="35472B77"/>
    <w:rsid w:val="35B91ECC"/>
    <w:rsid w:val="35D04475"/>
    <w:rsid w:val="35D411E9"/>
    <w:rsid w:val="376E7B84"/>
    <w:rsid w:val="37907C52"/>
    <w:rsid w:val="37A02E4B"/>
    <w:rsid w:val="38A469F8"/>
    <w:rsid w:val="391B4CAB"/>
    <w:rsid w:val="393A1048"/>
    <w:rsid w:val="3A66459B"/>
    <w:rsid w:val="3AA6514C"/>
    <w:rsid w:val="3AC7332A"/>
    <w:rsid w:val="3B814E5C"/>
    <w:rsid w:val="3C1E4425"/>
    <w:rsid w:val="3C2709D3"/>
    <w:rsid w:val="3CC36223"/>
    <w:rsid w:val="3CD540AE"/>
    <w:rsid w:val="3D303F3F"/>
    <w:rsid w:val="3DF448C3"/>
    <w:rsid w:val="3E2379C7"/>
    <w:rsid w:val="3E602AD3"/>
    <w:rsid w:val="3F1538BF"/>
    <w:rsid w:val="3F3B1B8C"/>
    <w:rsid w:val="3FC87EC5"/>
    <w:rsid w:val="402B3930"/>
    <w:rsid w:val="403C1A73"/>
    <w:rsid w:val="405914B8"/>
    <w:rsid w:val="411F3E38"/>
    <w:rsid w:val="41B56E40"/>
    <w:rsid w:val="41DE33DA"/>
    <w:rsid w:val="4261135C"/>
    <w:rsid w:val="43C309B1"/>
    <w:rsid w:val="43E8799A"/>
    <w:rsid w:val="443479D6"/>
    <w:rsid w:val="45001543"/>
    <w:rsid w:val="452D558A"/>
    <w:rsid w:val="45DF7BD5"/>
    <w:rsid w:val="46010910"/>
    <w:rsid w:val="46407B8B"/>
    <w:rsid w:val="46493168"/>
    <w:rsid w:val="46995B1C"/>
    <w:rsid w:val="46AB32E2"/>
    <w:rsid w:val="46BC2E10"/>
    <w:rsid w:val="46D66444"/>
    <w:rsid w:val="472365DE"/>
    <w:rsid w:val="4732082A"/>
    <w:rsid w:val="47A71582"/>
    <w:rsid w:val="482C634F"/>
    <w:rsid w:val="48362B55"/>
    <w:rsid w:val="48572206"/>
    <w:rsid w:val="493E2DB8"/>
    <w:rsid w:val="49603D11"/>
    <w:rsid w:val="4AAE7501"/>
    <w:rsid w:val="4AB92F76"/>
    <w:rsid w:val="4B015829"/>
    <w:rsid w:val="4B051895"/>
    <w:rsid w:val="4BA35750"/>
    <w:rsid w:val="4BFC6A4B"/>
    <w:rsid w:val="4C8F3727"/>
    <w:rsid w:val="4CA7500C"/>
    <w:rsid w:val="4D1D56D3"/>
    <w:rsid w:val="4D7557D2"/>
    <w:rsid w:val="4D953D84"/>
    <w:rsid w:val="4DBA52F0"/>
    <w:rsid w:val="4E0B3844"/>
    <w:rsid w:val="4E141634"/>
    <w:rsid w:val="4E696480"/>
    <w:rsid w:val="4E9B2A28"/>
    <w:rsid w:val="4EBE06E1"/>
    <w:rsid w:val="4EDF6A18"/>
    <w:rsid w:val="4F891073"/>
    <w:rsid w:val="4FC86E56"/>
    <w:rsid w:val="500003F4"/>
    <w:rsid w:val="50654E7B"/>
    <w:rsid w:val="51432A5F"/>
    <w:rsid w:val="515621A5"/>
    <w:rsid w:val="515D1E98"/>
    <w:rsid w:val="515E2BAD"/>
    <w:rsid w:val="518679F9"/>
    <w:rsid w:val="51E42B8B"/>
    <w:rsid w:val="5250245F"/>
    <w:rsid w:val="52B673F6"/>
    <w:rsid w:val="53CE25B8"/>
    <w:rsid w:val="549F02DA"/>
    <w:rsid w:val="54C612B6"/>
    <w:rsid w:val="54D72895"/>
    <w:rsid w:val="55576232"/>
    <w:rsid w:val="55940D74"/>
    <w:rsid w:val="55AD0273"/>
    <w:rsid w:val="55C24306"/>
    <w:rsid w:val="55C80B33"/>
    <w:rsid w:val="56237E0D"/>
    <w:rsid w:val="56270664"/>
    <w:rsid w:val="566D5559"/>
    <w:rsid w:val="568748AD"/>
    <w:rsid w:val="56D11377"/>
    <w:rsid w:val="56E63B5F"/>
    <w:rsid w:val="56FD01A9"/>
    <w:rsid w:val="57063F68"/>
    <w:rsid w:val="574866EF"/>
    <w:rsid w:val="581C4C42"/>
    <w:rsid w:val="587129ED"/>
    <w:rsid w:val="59574E50"/>
    <w:rsid w:val="59AF38C0"/>
    <w:rsid w:val="5A422180"/>
    <w:rsid w:val="5A9658A6"/>
    <w:rsid w:val="5B42445A"/>
    <w:rsid w:val="5B8C15ED"/>
    <w:rsid w:val="5BE96585"/>
    <w:rsid w:val="5BF73DC4"/>
    <w:rsid w:val="5C1F35AE"/>
    <w:rsid w:val="5C20721F"/>
    <w:rsid w:val="5C45423E"/>
    <w:rsid w:val="5C8E441F"/>
    <w:rsid w:val="5D1046C3"/>
    <w:rsid w:val="5D4277E0"/>
    <w:rsid w:val="5D7A1B69"/>
    <w:rsid w:val="5DED650F"/>
    <w:rsid w:val="5E377D2C"/>
    <w:rsid w:val="5EB82670"/>
    <w:rsid w:val="5FA63824"/>
    <w:rsid w:val="601A1EEF"/>
    <w:rsid w:val="606037D2"/>
    <w:rsid w:val="610D43C9"/>
    <w:rsid w:val="6160360D"/>
    <w:rsid w:val="617C340D"/>
    <w:rsid w:val="618C40E3"/>
    <w:rsid w:val="62214830"/>
    <w:rsid w:val="625A716D"/>
    <w:rsid w:val="626C1047"/>
    <w:rsid w:val="63024A9C"/>
    <w:rsid w:val="631955F9"/>
    <w:rsid w:val="646C6186"/>
    <w:rsid w:val="648B0504"/>
    <w:rsid w:val="651C3B2E"/>
    <w:rsid w:val="655C1DFD"/>
    <w:rsid w:val="65807993"/>
    <w:rsid w:val="65B2615E"/>
    <w:rsid w:val="65C5592E"/>
    <w:rsid w:val="660035F0"/>
    <w:rsid w:val="6655416E"/>
    <w:rsid w:val="666B757E"/>
    <w:rsid w:val="66941882"/>
    <w:rsid w:val="66DA5C32"/>
    <w:rsid w:val="671B1FDD"/>
    <w:rsid w:val="674D4C80"/>
    <w:rsid w:val="677A77D9"/>
    <w:rsid w:val="67AB60D6"/>
    <w:rsid w:val="67CC10E1"/>
    <w:rsid w:val="67E222C3"/>
    <w:rsid w:val="68923408"/>
    <w:rsid w:val="690E26C4"/>
    <w:rsid w:val="69466811"/>
    <w:rsid w:val="69946E90"/>
    <w:rsid w:val="69A8732A"/>
    <w:rsid w:val="69D876B7"/>
    <w:rsid w:val="6A370EB1"/>
    <w:rsid w:val="6A3C7356"/>
    <w:rsid w:val="6A415239"/>
    <w:rsid w:val="6BBB5ADE"/>
    <w:rsid w:val="6C7E2C50"/>
    <w:rsid w:val="6CF72A64"/>
    <w:rsid w:val="6CFD22AA"/>
    <w:rsid w:val="6DB8626E"/>
    <w:rsid w:val="6DDD4ADD"/>
    <w:rsid w:val="6E653C98"/>
    <w:rsid w:val="6F230502"/>
    <w:rsid w:val="6F262B58"/>
    <w:rsid w:val="6F331BA8"/>
    <w:rsid w:val="6F397B75"/>
    <w:rsid w:val="6F937DC1"/>
    <w:rsid w:val="6FA43CA0"/>
    <w:rsid w:val="70030024"/>
    <w:rsid w:val="70974DE1"/>
    <w:rsid w:val="70A8404A"/>
    <w:rsid w:val="71EB3196"/>
    <w:rsid w:val="725E6BF0"/>
    <w:rsid w:val="728743B7"/>
    <w:rsid w:val="728A209B"/>
    <w:rsid w:val="73431471"/>
    <w:rsid w:val="737F1E3E"/>
    <w:rsid w:val="739A2490"/>
    <w:rsid w:val="73AC612F"/>
    <w:rsid w:val="74342993"/>
    <w:rsid w:val="746F5DC0"/>
    <w:rsid w:val="74A61A0D"/>
    <w:rsid w:val="76107894"/>
    <w:rsid w:val="764F5B07"/>
    <w:rsid w:val="769A6A08"/>
    <w:rsid w:val="770B0A3E"/>
    <w:rsid w:val="770B553C"/>
    <w:rsid w:val="7718333B"/>
    <w:rsid w:val="77987967"/>
    <w:rsid w:val="77C53B5B"/>
    <w:rsid w:val="77D1609E"/>
    <w:rsid w:val="77FA108F"/>
    <w:rsid w:val="783D0679"/>
    <w:rsid w:val="786F1E59"/>
    <w:rsid w:val="789D3CD0"/>
    <w:rsid w:val="7904460D"/>
    <w:rsid w:val="792D288E"/>
    <w:rsid w:val="797F0E73"/>
    <w:rsid w:val="79AE6F69"/>
    <w:rsid w:val="79B977D9"/>
    <w:rsid w:val="79C42F91"/>
    <w:rsid w:val="79D62E02"/>
    <w:rsid w:val="7A1B07DF"/>
    <w:rsid w:val="7A6D5897"/>
    <w:rsid w:val="7B802428"/>
    <w:rsid w:val="7BE83F7C"/>
    <w:rsid w:val="7C1D6386"/>
    <w:rsid w:val="7D61527D"/>
    <w:rsid w:val="7DC32BCF"/>
    <w:rsid w:val="7DD03204"/>
    <w:rsid w:val="7DFD6065"/>
    <w:rsid w:val="7E0A1895"/>
    <w:rsid w:val="7E186FA8"/>
    <w:rsid w:val="7E226BB4"/>
    <w:rsid w:val="7E367E12"/>
    <w:rsid w:val="7E781480"/>
    <w:rsid w:val="7E823A48"/>
    <w:rsid w:val="7F450B5B"/>
    <w:rsid w:val="7F745FA6"/>
    <w:rsid w:val="7FA330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9"/>
    <w:pPr>
      <w:keepNext/>
      <w:keepLines/>
      <w:spacing w:before="340" w:after="330" w:line="576" w:lineRule="auto"/>
      <w:outlineLvl w:val="0"/>
    </w:pPr>
    <w:rPr>
      <w:b/>
      <w:kern w:val="44"/>
      <w:sz w:val="44"/>
      <w:szCs w:val="20"/>
    </w:rPr>
  </w:style>
  <w:style w:type="paragraph" w:styleId="4">
    <w:name w:val="heading 2"/>
    <w:basedOn w:val="1"/>
    <w:next w:val="1"/>
    <w:link w:val="51"/>
    <w:qFormat/>
    <w:uiPriority w:val="99"/>
    <w:pPr>
      <w:keepNext/>
      <w:keepLines/>
      <w:spacing w:before="260" w:after="260" w:line="413" w:lineRule="auto"/>
      <w:outlineLvl w:val="1"/>
    </w:pPr>
    <w:rPr>
      <w:rFonts w:ascii="Arial" w:hAnsi="Arial" w:eastAsia="黑体"/>
      <w:b/>
      <w:kern w:val="0"/>
      <w:sz w:val="32"/>
      <w:szCs w:val="20"/>
    </w:rPr>
  </w:style>
  <w:style w:type="paragraph" w:styleId="5">
    <w:name w:val="heading 3"/>
    <w:basedOn w:val="1"/>
    <w:next w:val="1"/>
    <w:link w:val="52"/>
    <w:qFormat/>
    <w:uiPriority w:val="99"/>
    <w:pPr>
      <w:keepNext/>
      <w:keepLines/>
      <w:numPr>
        <w:ilvl w:val="2"/>
        <w:numId w:val="1"/>
      </w:numPr>
      <w:spacing w:before="260" w:after="260" w:line="416" w:lineRule="auto"/>
      <w:outlineLvl w:val="2"/>
    </w:pPr>
    <w:rPr>
      <w:b/>
      <w:bCs/>
      <w:kern w:val="0"/>
      <w:sz w:val="32"/>
      <w:szCs w:val="32"/>
    </w:rPr>
  </w:style>
  <w:style w:type="paragraph" w:styleId="6">
    <w:name w:val="heading 4"/>
    <w:basedOn w:val="1"/>
    <w:next w:val="1"/>
    <w:link w:val="53"/>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54"/>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55"/>
    <w:qFormat/>
    <w:uiPriority w:val="99"/>
    <w:pPr>
      <w:keepNext/>
      <w:keepLines/>
      <w:numPr>
        <w:ilvl w:val="5"/>
        <w:numId w:val="1"/>
      </w:numPr>
      <w:spacing w:before="240" w:after="64" w:line="320" w:lineRule="auto"/>
      <w:outlineLvl w:val="5"/>
    </w:pPr>
    <w:rPr>
      <w:rFonts w:ascii="Arial" w:hAnsi="Arial" w:eastAsia="黑体"/>
      <w:b/>
      <w:bCs/>
      <w:kern w:val="0"/>
      <w:sz w:val="24"/>
    </w:rPr>
  </w:style>
  <w:style w:type="paragraph" w:styleId="9">
    <w:name w:val="heading 7"/>
    <w:basedOn w:val="1"/>
    <w:next w:val="1"/>
    <w:link w:val="56"/>
    <w:qFormat/>
    <w:uiPriority w:val="99"/>
    <w:pPr>
      <w:keepNext/>
      <w:keepLines/>
      <w:numPr>
        <w:ilvl w:val="6"/>
        <w:numId w:val="1"/>
      </w:numPr>
      <w:spacing w:before="240" w:after="64" w:line="320" w:lineRule="auto"/>
      <w:outlineLvl w:val="6"/>
    </w:pPr>
    <w:rPr>
      <w:b/>
      <w:bCs/>
      <w:kern w:val="0"/>
      <w:sz w:val="24"/>
    </w:rPr>
  </w:style>
  <w:style w:type="paragraph" w:styleId="10">
    <w:name w:val="heading 8"/>
    <w:basedOn w:val="1"/>
    <w:next w:val="1"/>
    <w:link w:val="57"/>
    <w:qFormat/>
    <w:uiPriority w:val="99"/>
    <w:pPr>
      <w:keepNext/>
      <w:keepLines/>
      <w:numPr>
        <w:ilvl w:val="7"/>
        <w:numId w:val="1"/>
      </w:numPr>
      <w:spacing w:before="240" w:after="64" w:line="320" w:lineRule="auto"/>
      <w:outlineLvl w:val="7"/>
    </w:pPr>
    <w:rPr>
      <w:rFonts w:ascii="Arial" w:hAnsi="Arial" w:eastAsia="黑体"/>
      <w:kern w:val="0"/>
      <w:sz w:val="24"/>
    </w:rPr>
  </w:style>
  <w:style w:type="paragraph" w:styleId="11">
    <w:name w:val="heading 9"/>
    <w:basedOn w:val="1"/>
    <w:next w:val="1"/>
    <w:link w:val="58"/>
    <w:qFormat/>
    <w:uiPriority w:val="99"/>
    <w:pPr>
      <w:keepNext/>
      <w:keepLines/>
      <w:numPr>
        <w:ilvl w:val="8"/>
        <w:numId w:val="1"/>
      </w:numPr>
      <w:spacing w:before="240" w:after="64" w:line="320" w:lineRule="auto"/>
      <w:outlineLvl w:val="8"/>
    </w:pPr>
    <w:rPr>
      <w:rFonts w:ascii="Arial" w:hAnsi="Arial" w:eastAsia="黑体"/>
      <w:kern w:val="0"/>
      <w:sz w:val="2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段"/>
    <w:link w:val="78"/>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paragraph" w:styleId="12">
    <w:name w:val="toc 7"/>
    <w:basedOn w:val="13"/>
    <w:next w:val="1"/>
    <w:qFormat/>
    <w:uiPriority w:val="99"/>
  </w:style>
  <w:style w:type="paragraph" w:styleId="13">
    <w:name w:val="toc 6"/>
    <w:basedOn w:val="14"/>
    <w:next w:val="1"/>
    <w:qFormat/>
    <w:uiPriority w:val="99"/>
  </w:style>
  <w:style w:type="paragraph" w:styleId="14">
    <w:name w:val="toc 5"/>
    <w:basedOn w:val="15"/>
    <w:next w:val="1"/>
    <w:qFormat/>
    <w:uiPriority w:val="99"/>
  </w:style>
  <w:style w:type="paragraph" w:styleId="15">
    <w:name w:val="toc 4"/>
    <w:basedOn w:val="16"/>
    <w:next w:val="1"/>
    <w:qFormat/>
    <w:uiPriority w:val="99"/>
  </w:style>
  <w:style w:type="paragraph" w:styleId="16">
    <w:name w:val="toc 3"/>
    <w:basedOn w:val="17"/>
    <w:next w:val="1"/>
    <w:qFormat/>
    <w:uiPriority w:val="99"/>
  </w:style>
  <w:style w:type="paragraph" w:styleId="17">
    <w:name w:val="toc 2"/>
    <w:basedOn w:val="18"/>
    <w:next w:val="1"/>
    <w:qFormat/>
    <w:uiPriority w:val="99"/>
  </w:style>
  <w:style w:type="paragraph" w:styleId="18">
    <w:name w:val="toc 1"/>
    <w:basedOn w:val="1"/>
    <w:next w:val="1"/>
    <w:qFormat/>
    <w:uiPriority w:val="99"/>
    <w:pPr>
      <w:widowControl/>
    </w:pPr>
    <w:rPr>
      <w:rFonts w:ascii="宋体"/>
      <w:kern w:val="0"/>
      <w:szCs w:val="20"/>
    </w:rPr>
  </w:style>
  <w:style w:type="paragraph" w:styleId="19">
    <w:name w:val="Document Map"/>
    <w:basedOn w:val="1"/>
    <w:link w:val="59"/>
    <w:semiHidden/>
    <w:qFormat/>
    <w:uiPriority w:val="99"/>
    <w:pPr>
      <w:shd w:val="clear" w:color="auto" w:fill="000080"/>
    </w:pPr>
    <w:rPr>
      <w:kern w:val="0"/>
      <w:sz w:val="20"/>
      <w:szCs w:val="20"/>
    </w:rPr>
  </w:style>
  <w:style w:type="paragraph" w:styleId="20">
    <w:name w:val="annotation text"/>
    <w:basedOn w:val="1"/>
    <w:link w:val="60"/>
    <w:semiHidden/>
    <w:qFormat/>
    <w:uiPriority w:val="99"/>
    <w:pPr>
      <w:jc w:val="left"/>
    </w:pPr>
  </w:style>
  <w:style w:type="paragraph" w:styleId="21">
    <w:name w:val="HTML Address"/>
    <w:basedOn w:val="1"/>
    <w:link w:val="61"/>
    <w:qFormat/>
    <w:uiPriority w:val="99"/>
    <w:rPr>
      <w:i/>
      <w:kern w:val="0"/>
      <w:sz w:val="20"/>
      <w:szCs w:val="20"/>
    </w:rPr>
  </w:style>
  <w:style w:type="paragraph" w:styleId="22">
    <w:name w:val="Plain Text"/>
    <w:basedOn w:val="1"/>
    <w:link w:val="62"/>
    <w:qFormat/>
    <w:uiPriority w:val="99"/>
    <w:rPr>
      <w:rFonts w:ascii="宋体" w:hAnsi="Courier New"/>
      <w:kern w:val="0"/>
      <w:sz w:val="20"/>
      <w:szCs w:val="21"/>
    </w:rPr>
  </w:style>
  <w:style w:type="paragraph" w:styleId="23">
    <w:name w:val="toc 8"/>
    <w:basedOn w:val="12"/>
    <w:next w:val="1"/>
    <w:qFormat/>
    <w:uiPriority w:val="99"/>
  </w:style>
  <w:style w:type="paragraph" w:styleId="24">
    <w:name w:val="Date"/>
    <w:basedOn w:val="1"/>
    <w:next w:val="1"/>
    <w:link w:val="63"/>
    <w:qFormat/>
    <w:uiPriority w:val="99"/>
    <w:pPr>
      <w:ind w:left="100" w:leftChars="2500"/>
    </w:pPr>
    <w:rPr>
      <w:rFonts w:ascii="宋体" w:hAnsi="宋体"/>
      <w:kern w:val="0"/>
      <w:sz w:val="20"/>
      <w:szCs w:val="20"/>
    </w:rPr>
  </w:style>
  <w:style w:type="paragraph" w:styleId="25">
    <w:name w:val="Balloon Text"/>
    <w:basedOn w:val="1"/>
    <w:link w:val="64"/>
    <w:qFormat/>
    <w:uiPriority w:val="99"/>
    <w:rPr>
      <w:kern w:val="0"/>
      <w:sz w:val="18"/>
      <w:szCs w:val="18"/>
    </w:rPr>
  </w:style>
  <w:style w:type="paragraph" w:styleId="26">
    <w:name w:val="footer"/>
    <w:basedOn w:val="1"/>
    <w:link w:val="65"/>
    <w:qFormat/>
    <w:uiPriority w:val="99"/>
    <w:pPr>
      <w:tabs>
        <w:tab w:val="center" w:pos="4153"/>
        <w:tab w:val="right" w:pos="8306"/>
      </w:tabs>
      <w:snapToGrid w:val="0"/>
      <w:jc w:val="left"/>
    </w:pPr>
    <w:rPr>
      <w:kern w:val="0"/>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kern w:val="0"/>
      <w:sz w:val="18"/>
      <w:szCs w:val="20"/>
    </w:rPr>
  </w:style>
  <w:style w:type="paragraph" w:styleId="28">
    <w:name w:val="footnote text"/>
    <w:basedOn w:val="1"/>
    <w:link w:val="67"/>
    <w:qFormat/>
    <w:uiPriority w:val="99"/>
    <w:pPr>
      <w:snapToGrid w:val="0"/>
      <w:jc w:val="left"/>
    </w:pPr>
    <w:rPr>
      <w:kern w:val="0"/>
      <w:sz w:val="18"/>
      <w:szCs w:val="20"/>
    </w:rPr>
  </w:style>
  <w:style w:type="paragraph" w:styleId="29">
    <w:name w:val="toc 9"/>
    <w:basedOn w:val="23"/>
    <w:next w:val="1"/>
    <w:qFormat/>
    <w:uiPriority w:val="99"/>
  </w:style>
  <w:style w:type="paragraph" w:styleId="30">
    <w:name w:val="HTML Preformatted"/>
    <w:basedOn w:val="1"/>
    <w:link w:val="68"/>
    <w:qFormat/>
    <w:uiPriority w:val="99"/>
    <w:rPr>
      <w:rFonts w:ascii="Courier New" w:hAnsi="Courier New"/>
      <w:kern w:val="0"/>
      <w:sz w:val="20"/>
      <w:szCs w:val="20"/>
    </w:rPr>
  </w:style>
  <w:style w:type="paragraph" w:styleId="31">
    <w:name w:val="Normal (Web)"/>
    <w:basedOn w:val="1"/>
    <w:qFormat/>
    <w:locked/>
    <w:uiPriority w:val="0"/>
    <w:pPr>
      <w:spacing w:beforeAutospacing="1" w:afterAutospacing="1"/>
      <w:jc w:val="left"/>
    </w:pPr>
    <w:rPr>
      <w:kern w:val="0"/>
      <w:sz w:val="24"/>
    </w:rPr>
  </w:style>
  <w:style w:type="paragraph" w:styleId="32">
    <w:name w:val="Title"/>
    <w:basedOn w:val="1"/>
    <w:link w:val="69"/>
    <w:qFormat/>
    <w:uiPriority w:val="99"/>
    <w:pPr>
      <w:spacing w:before="240" w:after="60"/>
      <w:jc w:val="center"/>
      <w:outlineLvl w:val="0"/>
    </w:pPr>
    <w:rPr>
      <w:rFonts w:ascii="Arial" w:hAnsi="Arial"/>
      <w:b/>
      <w:kern w:val="0"/>
      <w:sz w:val="32"/>
      <w:szCs w:val="20"/>
    </w:rPr>
  </w:style>
  <w:style w:type="paragraph" w:styleId="33">
    <w:name w:val="annotation subject"/>
    <w:basedOn w:val="20"/>
    <w:next w:val="20"/>
    <w:link w:val="146"/>
    <w:semiHidden/>
    <w:unhideWhenUsed/>
    <w:qFormat/>
    <w:locked/>
    <w:uiPriority w:val="99"/>
    <w:rPr>
      <w:b/>
      <w:bCs/>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99"/>
    <w:rPr>
      <w:rFonts w:cs="Times New Roman"/>
    </w:rPr>
  </w:style>
  <w:style w:type="character" w:styleId="38">
    <w:name w:val="Emphasis"/>
    <w:basedOn w:val="36"/>
    <w:qFormat/>
    <w:locked/>
    <w:uiPriority w:val="20"/>
    <w:rPr>
      <w:i/>
    </w:rPr>
  </w:style>
  <w:style w:type="character" w:styleId="39">
    <w:name w:val="HTML Definition"/>
    <w:qFormat/>
    <w:uiPriority w:val="99"/>
    <w:rPr>
      <w:rFonts w:cs="Times New Roman"/>
      <w:i/>
    </w:rPr>
  </w:style>
  <w:style w:type="character" w:styleId="40">
    <w:name w:val="HTML Typewriter"/>
    <w:qFormat/>
    <w:uiPriority w:val="99"/>
    <w:rPr>
      <w:rFonts w:ascii="Courier New" w:hAnsi="Courier New" w:cs="Times New Roman"/>
      <w:sz w:val="20"/>
    </w:rPr>
  </w:style>
  <w:style w:type="character" w:styleId="41">
    <w:name w:val="HTML Acronym"/>
    <w:qFormat/>
    <w:uiPriority w:val="99"/>
    <w:rPr>
      <w:rFonts w:eastAsia="黑体" w:cs="Times New Roman"/>
      <w:sz w:val="24"/>
    </w:rPr>
  </w:style>
  <w:style w:type="character" w:styleId="42">
    <w:name w:val="HTML Variable"/>
    <w:qFormat/>
    <w:uiPriority w:val="99"/>
    <w:rPr>
      <w:rFonts w:cs="Times New Roman"/>
      <w:i/>
    </w:rPr>
  </w:style>
  <w:style w:type="character" w:styleId="43">
    <w:name w:val="Hyperlink"/>
    <w:qFormat/>
    <w:uiPriority w:val="99"/>
    <w:rPr>
      <w:rFonts w:ascii="Times New Roman" w:hAnsi="Times New Roman" w:eastAsia="宋体" w:cs="Times New Roman"/>
      <w:color w:val="auto"/>
      <w:spacing w:val="0"/>
      <w:w w:val="100"/>
      <w:position w:val="0"/>
      <w:sz w:val="21"/>
      <w:u w:val="none"/>
      <w:vertAlign w:val="baseline"/>
    </w:rPr>
  </w:style>
  <w:style w:type="character" w:styleId="44">
    <w:name w:val="HTML Code"/>
    <w:qFormat/>
    <w:uiPriority w:val="99"/>
    <w:rPr>
      <w:rFonts w:ascii="Courier New" w:hAnsi="Courier New" w:cs="Times New Roman"/>
      <w:sz w:val="20"/>
    </w:rPr>
  </w:style>
  <w:style w:type="character" w:styleId="45">
    <w:name w:val="annotation reference"/>
    <w:semiHidden/>
    <w:qFormat/>
    <w:uiPriority w:val="99"/>
    <w:rPr>
      <w:rFonts w:cs="Times New Roman"/>
      <w:sz w:val="21"/>
      <w:szCs w:val="21"/>
    </w:rPr>
  </w:style>
  <w:style w:type="character" w:styleId="46">
    <w:name w:val="HTML Cite"/>
    <w:qFormat/>
    <w:uiPriority w:val="99"/>
    <w:rPr>
      <w:rFonts w:cs="Times New Roman"/>
      <w:i/>
    </w:rPr>
  </w:style>
  <w:style w:type="character" w:styleId="47">
    <w:name w:val="footnote reference"/>
    <w:qFormat/>
    <w:uiPriority w:val="99"/>
    <w:rPr>
      <w:rFonts w:cs="Times New Roman"/>
      <w:vertAlign w:val="superscript"/>
    </w:rPr>
  </w:style>
  <w:style w:type="character" w:styleId="48">
    <w:name w:val="HTML Keyboard"/>
    <w:qFormat/>
    <w:uiPriority w:val="99"/>
    <w:rPr>
      <w:rFonts w:ascii="Courier New" w:hAnsi="Courier New" w:cs="Times New Roman"/>
      <w:sz w:val="20"/>
    </w:rPr>
  </w:style>
  <w:style w:type="character" w:styleId="49">
    <w:name w:val="HTML Sample"/>
    <w:qFormat/>
    <w:uiPriority w:val="99"/>
    <w:rPr>
      <w:rFonts w:ascii="Courier New" w:hAnsi="Courier New" w:cs="Times New Roman"/>
    </w:rPr>
  </w:style>
  <w:style w:type="character" w:customStyle="1" w:styleId="50">
    <w:name w:val="标题 1 字符"/>
    <w:link w:val="3"/>
    <w:qFormat/>
    <w:locked/>
    <w:uiPriority w:val="99"/>
    <w:rPr>
      <w:rFonts w:ascii="Times New Roman" w:hAnsi="Times New Roman" w:eastAsia="宋体" w:cs="Times New Roman"/>
      <w:b/>
      <w:kern w:val="44"/>
      <w:sz w:val="20"/>
    </w:rPr>
  </w:style>
  <w:style w:type="character" w:customStyle="1" w:styleId="51">
    <w:name w:val="标题 2 字符"/>
    <w:link w:val="4"/>
    <w:qFormat/>
    <w:locked/>
    <w:uiPriority w:val="99"/>
    <w:rPr>
      <w:rFonts w:ascii="Arial" w:hAnsi="Arial" w:eastAsia="黑体" w:cs="Times New Roman"/>
      <w:b/>
      <w:sz w:val="20"/>
    </w:rPr>
  </w:style>
  <w:style w:type="character" w:customStyle="1" w:styleId="52">
    <w:name w:val="标题 3 字符"/>
    <w:link w:val="5"/>
    <w:qFormat/>
    <w:locked/>
    <w:uiPriority w:val="99"/>
    <w:rPr>
      <w:rFonts w:ascii="Times New Roman" w:hAnsi="Times New Roman" w:eastAsia="宋体" w:cs="Times New Roman"/>
      <w:b/>
      <w:sz w:val="32"/>
    </w:rPr>
  </w:style>
  <w:style w:type="character" w:customStyle="1" w:styleId="53">
    <w:name w:val="标题 4 字符"/>
    <w:link w:val="6"/>
    <w:qFormat/>
    <w:locked/>
    <w:uiPriority w:val="99"/>
    <w:rPr>
      <w:rFonts w:ascii="Arial" w:hAnsi="Arial" w:eastAsia="黑体" w:cs="Times New Roman"/>
      <w:b/>
      <w:sz w:val="28"/>
    </w:rPr>
  </w:style>
  <w:style w:type="character" w:customStyle="1" w:styleId="54">
    <w:name w:val="标题 5 字符"/>
    <w:link w:val="7"/>
    <w:qFormat/>
    <w:locked/>
    <w:uiPriority w:val="99"/>
    <w:rPr>
      <w:rFonts w:ascii="Times New Roman" w:hAnsi="Times New Roman" w:eastAsia="宋体" w:cs="Times New Roman"/>
      <w:b/>
      <w:sz w:val="28"/>
    </w:rPr>
  </w:style>
  <w:style w:type="character" w:customStyle="1" w:styleId="55">
    <w:name w:val="标题 6 字符"/>
    <w:link w:val="8"/>
    <w:qFormat/>
    <w:locked/>
    <w:uiPriority w:val="99"/>
    <w:rPr>
      <w:rFonts w:ascii="Arial" w:hAnsi="Arial" w:eastAsia="黑体" w:cs="Times New Roman"/>
      <w:b/>
      <w:sz w:val="24"/>
    </w:rPr>
  </w:style>
  <w:style w:type="character" w:customStyle="1" w:styleId="56">
    <w:name w:val="标题 7 字符"/>
    <w:link w:val="9"/>
    <w:qFormat/>
    <w:locked/>
    <w:uiPriority w:val="99"/>
    <w:rPr>
      <w:rFonts w:ascii="Times New Roman" w:hAnsi="Times New Roman" w:eastAsia="宋体" w:cs="Times New Roman"/>
      <w:b/>
      <w:sz w:val="24"/>
    </w:rPr>
  </w:style>
  <w:style w:type="character" w:customStyle="1" w:styleId="57">
    <w:name w:val="标题 8 字符"/>
    <w:link w:val="10"/>
    <w:qFormat/>
    <w:locked/>
    <w:uiPriority w:val="99"/>
    <w:rPr>
      <w:rFonts w:ascii="Arial" w:hAnsi="Arial" w:eastAsia="黑体" w:cs="Times New Roman"/>
      <w:sz w:val="24"/>
    </w:rPr>
  </w:style>
  <w:style w:type="character" w:customStyle="1" w:styleId="58">
    <w:name w:val="标题 9 字符"/>
    <w:link w:val="11"/>
    <w:qFormat/>
    <w:locked/>
    <w:uiPriority w:val="99"/>
    <w:rPr>
      <w:rFonts w:ascii="Arial" w:hAnsi="Arial" w:eastAsia="黑体" w:cs="Times New Roman"/>
      <w:sz w:val="21"/>
    </w:rPr>
  </w:style>
  <w:style w:type="character" w:customStyle="1" w:styleId="59">
    <w:name w:val="文档结构图 字符"/>
    <w:link w:val="19"/>
    <w:semiHidden/>
    <w:qFormat/>
    <w:locked/>
    <w:uiPriority w:val="99"/>
    <w:rPr>
      <w:rFonts w:ascii="Times New Roman" w:hAnsi="Times New Roman" w:eastAsia="宋体" w:cs="Times New Roman"/>
      <w:sz w:val="20"/>
      <w:shd w:val="clear" w:color="auto" w:fill="000080"/>
    </w:rPr>
  </w:style>
  <w:style w:type="character" w:customStyle="1" w:styleId="60">
    <w:name w:val="批注文字 字符"/>
    <w:link w:val="20"/>
    <w:semiHidden/>
    <w:qFormat/>
    <w:locked/>
    <w:uiPriority w:val="99"/>
    <w:rPr>
      <w:rFonts w:cs="Times New Roman"/>
      <w:sz w:val="24"/>
      <w:szCs w:val="24"/>
    </w:rPr>
  </w:style>
  <w:style w:type="character" w:customStyle="1" w:styleId="61">
    <w:name w:val="HTML 地址 字符"/>
    <w:link w:val="21"/>
    <w:qFormat/>
    <w:locked/>
    <w:uiPriority w:val="99"/>
    <w:rPr>
      <w:rFonts w:ascii="Times New Roman" w:hAnsi="Times New Roman" w:eastAsia="宋体" w:cs="Times New Roman"/>
      <w:i/>
      <w:sz w:val="20"/>
    </w:rPr>
  </w:style>
  <w:style w:type="character" w:customStyle="1" w:styleId="62">
    <w:name w:val="纯文本 字符"/>
    <w:link w:val="22"/>
    <w:qFormat/>
    <w:locked/>
    <w:uiPriority w:val="99"/>
    <w:rPr>
      <w:rFonts w:ascii="宋体" w:hAnsi="Courier New" w:cs="Times New Roman"/>
      <w:sz w:val="21"/>
    </w:rPr>
  </w:style>
  <w:style w:type="character" w:customStyle="1" w:styleId="63">
    <w:name w:val="日期 字符"/>
    <w:link w:val="24"/>
    <w:qFormat/>
    <w:locked/>
    <w:uiPriority w:val="99"/>
    <w:rPr>
      <w:rFonts w:ascii="宋体" w:hAnsi="宋体" w:eastAsia="宋体" w:cs="Times New Roman"/>
      <w:sz w:val="20"/>
    </w:rPr>
  </w:style>
  <w:style w:type="character" w:customStyle="1" w:styleId="64">
    <w:name w:val="批注框文本 字符"/>
    <w:link w:val="25"/>
    <w:semiHidden/>
    <w:qFormat/>
    <w:locked/>
    <w:uiPriority w:val="99"/>
    <w:rPr>
      <w:rFonts w:ascii="Times New Roman" w:hAnsi="Times New Roman" w:eastAsia="宋体" w:cs="Times New Roman"/>
      <w:sz w:val="18"/>
    </w:rPr>
  </w:style>
  <w:style w:type="character" w:customStyle="1" w:styleId="65">
    <w:name w:val="页脚 字符"/>
    <w:link w:val="26"/>
    <w:qFormat/>
    <w:locked/>
    <w:uiPriority w:val="99"/>
    <w:rPr>
      <w:rFonts w:ascii="Times New Roman" w:hAnsi="Times New Roman" w:eastAsia="宋体" w:cs="Times New Roman"/>
      <w:sz w:val="18"/>
    </w:rPr>
  </w:style>
  <w:style w:type="character" w:customStyle="1" w:styleId="66">
    <w:name w:val="页眉 字符"/>
    <w:link w:val="27"/>
    <w:qFormat/>
    <w:locked/>
    <w:uiPriority w:val="99"/>
    <w:rPr>
      <w:rFonts w:ascii="Times New Roman" w:hAnsi="Times New Roman" w:eastAsia="宋体" w:cs="Times New Roman"/>
      <w:sz w:val="20"/>
    </w:rPr>
  </w:style>
  <w:style w:type="character" w:customStyle="1" w:styleId="67">
    <w:name w:val="脚注文本 字符"/>
    <w:link w:val="28"/>
    <w:qFormat/>
    <w:locked/>
    <w:uiPriority w:val="99"/>
    <w:rPr>
      <w:rFonts w:ascii="Times New Roman" w:hAnsi="Times New Roman" w:eastAsia="宋体" w:cs="Times New Roman"/>
      <w:sz w:val="20"/>
    </w:rPr>
  </w:style>
  <w:style w:type="character" w:customStyle="1" w:styleId="68">
    <w:name w:val="HTML 预设格式 字符"/>
    <w:link w:val="30"/>
    <w:qFormat/>
    <w:locked/>
    <w:uiPriority w:val="99"/>
    <w:rPr>
      <w:rFonts w:ascii="Courier New" w:hAnsi="Courier New" w:eastAsia="宋体" w:cs="Times New Roman"/>
      <w:sz w:val="20"/>
    </w:rPr>
  </w:style>
  <w:style w:type="character" w:customStyle="1" w:styleId="69">
    <w:name w:val="标题 字符"/>
    <w:link w:val="32"/>
    <w:qFormat/>
    <w:locked/>
    <w:uiPriority w:val="99"/>
    <w:rPr>
      <w:rFonts w:ascii="Arial" w:hAnsi="Arial" w:eastAsia="宋体" w:cs="Times New Roman"/>
      <w:b/>
      <w:sz w:val="20"/>
    </w:rPr>
  </w:style>
  <w:style w:type="character" w:customStyle="1" w:styleId="70">
    <w:name w:val="一级条标题 Char"/>
    <w:link w:val="71"/>
    <w:qFormat/>
    <w:locked/>
    <w:uiPriority w:val="99"/>
    <w:rPr>
      <w:rFonts w:ascii="黑体" w:hAnsi="Times New Roman" w:eastAsia="黑体"/>
      <w:kern w:val="0"/>
      <w:sz w:val="20"/>
    </w:rPr>
  </w:style>
  <w:style w:type="paragraph" w:customStyle="1" w:styleId="71">
    <w:name w:val="一级条标题"/>
    <w:basedOn w:val="72"/>
    <w:next w:val="2"/>
    <w:link w:val="70"/>
    <w:qFormat/>
    <w:uiPriority w:val="99"/>
    <w:pPr>
      <w:numPr>
        <w:numId w:val="0"/>
      </w:numPr>
      <w:tabs>
        <w:tab w:val="left" w:pos="360"/>
      </w:tabs>
      <w:spacing w:beforeLines="0" w:afterLines="0"/>
      <w:outlineLvl w:val="2"/>
    </w:pPr>
    <w:rPr>
      <w:sz w:val="20"/>
      <w:szCs w:val="20"/>
    </w:rPr>
  </w:style>
  <w:style w:type="paragraph" w:customStyle="1" w:styleId="72">
    <w:name w:val="章标题"/>
    <w:next w:val="2"/>
    <w:link w:val="75"/>
    <w:qFormat/>
    <w:uiPriority w:val="99"/>
    <w:pPr>
      <w:numPr>
        <w:ilvl w:val="1"/>
        <w:numId w:val="1"/>
      </w:numPr>
      <w:spacing w:beforeLines="50" w:afterLines="50"/>
      <w:jc w:val="both"/>
      <w:outlineLvl w:val="1"/>
    </w:pPr>
    <w:rPr>
      <w:rFonts w:ascii="黑体" w:hAnsi="Times New Roman" w:eastAsia="黑体" w:cs="Times New Roman"/>
      <w:sz w:val="22"/>
      <w:szCs w:val="22"/>
      <w:lang w:val="en-US" w:eastAsia="zh-CN" w:bidi="ar-SA"/>
    </w:rPr>
  </w:style>
  <w:style w:type="character" w:customStyle="1" w:styleId="73">
    <w:name w:val="个人撰写风格"/>
    <w:qFormat/>
    <w:uiPriority w:val="99"/>
    <w:rPr>
      <w:rFonts w:ascii="Arial" w:hAnsi="Arial" w:eastAsia="宋体"/>
      <w:color w:val="auto"/>
      <w:sz w:val="20"/>
    </w:rPr>
  </w:style>
  <w:style w:type="character" w:customStyle="1" w:styleId="74">
    <w:name w:val="发布"/>
    <w:qFormat/>
    <w:uiPriority w:val="99"/>
    <w:rPr>
      <w:rFonts w:ascii="黑体" w:eastAsia="黑体"/>
      <w:spacing w:val="22"/>
      <w:w w:val="100"/>
      <w:position w:val="3"/>
      <w:sz w:val="28"/>
    </w:rPr>
  </w:style>
  <w:style w:type="character" w:customStyle="1" w:styleId="75">
    <w:name w:val="章标题 Char1"/>
    <w:link w:val="72"/>
    <w:qFormat/>
    <w:locked/>
    <w:uiPriority w:val="99"/>
    <w:rPr>
      <w:rFonts w:ascii="黑体" w:eastAsia="黑体"/>
      <w:sz w:val="22"/>
      <w:lang w:val="en-US" w:eastAsia="zh-CN"/>
    </w:rPr>
  </w:style>
  <w:style w:type="character" w:customStyle="1" w:styleId="76">
    <w:name w:val="二级条标题 Char"/>
    <w:link w:val="77"/>
    <w:qFormat/>
    <w:locked/>
    <w:uiPriority w:val="99"/>
    <w:rPr>
      <w:rFonts w:ascii="黑体" w:hAnsi="Times New Roman" w:eastAsia="黑体"/>
      <w:kern w:val="0"/>
      <w:sz w:val="20"/>
    </w:rPr>
  </w:style>
  <w:style w:type="paragraph" w:customStyle="1" w:styleId="77">
    <w:name w:val="二级条标题"/>
    <w:basedOn w:val="71"/>
    <w:next w:val="2"/>
    <w:link w:val="76"/>
    <w:qFormat/>
    <w:uiPriority w:val="99"/>
    <w:pPr>
      <w:numPr>
        <w:ilvl w:val="3"/>
        <w:numId w:val="2"/>
      </w:numPr>
      <w:outlineLvl w:val="3"/>
    </w:pPr>
  </w:style>
  <w:style w:type="character" w:customStyle="1" w:styleId="78">
    <w:name w:val="段 Char"/>
    <w:link w:val="2"/>
    <w:qFormat/>
    <w:locked/>
    <w:uiPriority w:val="99"/>
    <w:rPr>
      <w:rFonts w:ascii="宋体"/>
      <w:sz w:val="22"/>
      <w:lang w:val="en-US" w:eastAsia="zh-CN"/>
    </w:rPr>
  </w:style>
  <w:style w:type="character" w:customStyle="1" w:styleId="79">
    <w:name w:val="章标题 Char"/>
    <w:qFormat/>
    <w:uiPriority w:val="99"/>
    <w:rPr>
      <w:rFonts w:ascii="黑体" w:eastAsia="黑体"/>
      <w:sz w:val="21"/>
      <w:lang w:val="en-US" w:eastAsia="zh-CN"/>
    </w:rPr>
  </w:style>
  <w:style w:type="character" w:customStyle="1" w:styleId="80">
    <w:name w:val="纯文本 Char1"/>
    <w:semiHidden/>
    <w:qFormat/>
    <w:uiPriority w:val="99"/>
    <w:rPr>
      <w:rFonts w:ascii="宋体" w:hAnsi="Courier New" w:eastAsia="宋体"/>
      <w:sz w:val="21"/>
    </w:rPr>
  </w:style>
  <w:style w:type="character" w:customStyle="1" w:styleId="81">
    <w:name w:val="个人答复风格"/>
    <w:qFormat/>
    <w:uiPriority w:val="99"/>
    <w:rPr>
      <w:rFonts w:ascii="Arial" w:hAnsi="Arial" w:eastAsia="宋体"/>
      <w:color w:val="auto"/>
      <w:sz w:val="20"/>
    </w:rPr>
  </w:style>
  <w:style w:type="paragraph" w:customStyle="1" w:styleId="82">
    <w:name w:val="发布部门"/>
    <w:next w:val="2"/>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3">
    <w:name w:val="Char1"/>
    <w:basedOn w:val="19"/>
    <w:qFormat/>
    <w:uiPriority w:val="99"/>
    <w:rPr>
      <w:sz w:val="28"/>
      <w:szCs w:val="24"/>
    </w:rPr>
  </w:style>
  <w:style w:type="paragraph" w:customStyle="1" w:styleId="84">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6">
    <w:name w:val="三级无标题条"/>
    <w:basedOn w:val="1"/>
    <w:qFormat/>
    <w:uiPriority w:val="99"/>
    <w:rPr>
      <w:szCs w:val="20"/>
    </w:rPr>
  </w:style>
  <w:style w:type="paragraph" w:customStyle="1" w:styleId="8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五级无标题条"/>
    <w:basedOn w:val="1"/>
    <w:qFormat/>
    <w:uiPriority w:val="99"/>
    <w:rPr>
      <w:szCs w:val="20"/>
    </w:rPr>
  </w:style>
  <w:style w:type="paragraph" w:customStyle="1" w:styleId="89">
    <w:name w:val="标准书眉一"/>
    <w:qFormat/>
    <w:uiPriority w:val="99"/>
    <w:pPr>
      <w:jc w:val="both"/>
    </w:pPr>
    <w:rPr>
      <w:rFonts w:ascii="Times New Roman" w:hAnsi="Times New Roman" w:eastAsia="宋体" w:cs="Times New Roman"/>
      <w:lang w:val="en-US" w:eastAsia="zh-CN" w:bidi="ar-SA"/>
    </w:rPr>
  </w:style>
  <w:style w:type="paragraph" w:customStyle="1" w:styleId="90">
    <w:name w:val="封面标准文稿类别"/>
    <w:qFormat/>
    <w:uiPriority w:val="99"/>
    <w:pPr>
      <w:spacing w:before="440" w:after="200" w:line="400" w:lineRule="exact"/>
      <w:jc w:val="center"/>
    </w:pPr>
    <w:rPr>
      <w:rFonts w:ascii="宋体" w:hAnsi="宋体" w:eastAsia="宋体" w:cs="宋体"/>
      <w:color w:val="000000"/>
      <w:sz w:val="24"/>
      <w:szCs w:val="22"/>
      <w:lang w:val="en-US" w:eastAsia="zh-CN" w:bidi="ar-SA"/>
    </w:rPr>
  </w:style>
  <w:style w:type="paragraph" w:customStyle="1" w:styleId="91">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2">
    <w:name w:val="列出段落1"/>
    <w:basedOn w:val="1"/>
    <w:qFormat/>
    <w:uiPriority w:val="99"/>
    <w:pPr>
      <w:ind w:firstLine="420" w:firstLineChars="200"/>
    </w:pPr>
  </w:style>
  <w:style w:type="paragraph" w:customStyle="1" w:styleId="93">
    <w:name w:val="标准书眉_偶数页"/>
    <w:basedOn w:val="94"/>
    <w:next w:val="1"/>
    <w:qFormat/>
    <w:uiPriority w:val="99"/>
    <w:pPr>
      <w:tabs>
        <w:tab w:val="center" w:pos="4154"/>
        <w:tab w:val="right" w:pos="8306"/>
      </w:tabs>
      <w:jc w:val="left"/>
    </w:pPr>
  </w:style>
  <w:style w:type="paragraph" w:customStyle="1" w:styleId="9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5">
    <w:name w:val="标准标志"/>
    <w:next w:val="1"/>
    <w:qFormat/>
    <w:uiPriority w:val="99"/>
    <w:pPr>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9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列项·"/>
    <w:qFormat/>
    <w:uiPriority w:val="99"/>
    <w:pPr>
      <w:numPr>
        <w:ilvl w:val="0"/>
        <w:numId w:val="3"/>
      </w:numPr>
      <w:tabs>
        <w:tab w:val="left" w:pos="360"/>
        <w:tab w:val="left" w:pos="840"/>
      </w:tabs>
      <w:jc w:val="both"/>
    </w:pPr>
    <w:rPr>
      <w:rFonts w:ascii="宋体" w:hAnsi="Times New Roman" w:eastAsia="宋体" w:cs="Times New Roman"/>
      <w:sz w:val="21"/>
      <w:lang w:val="en-US" w:eastAsia="zh-CN" w:bidi="ar-SA"/>
    </w:rPr>
  </w:style>
  <w:style w:type="paragraph" w:customStyle="1" w:styleId="98">
    <w:name w:val="四级无标题条"/>
    <w:basedOn w:val="1"/>
    <w:qFormat/>
    <w:uiPriority w:val="99"/>
    <w:rPr>
      <w:szCs w:val="20"/>
    </w:rPr>
  </w:style>
  <w:style w:type="paragraph" w:customStyle="1" w:styleId="99">
    <w:name w:val="附录一级条标题"/>
    <w:basedOn w:val="100"/>
    <w:next w:val="2"/>
    <w:qFormat/>
    <w:uiPriority w:val="99"/>
    <w:pPr>
      <w:tabs>
        <w:tab w:val="left" w:pos="360"/>
      </w:tabs>
      <w:autoSpaceDN w:val="0"/>
      <w:spacing w:beforeLines="0" w:afterLines="0"/>
      <w:outlineLvl w:val="2"/>
    </w:pPr>
  </w:style>
  <w:style w:type="paragraph" w:customStyle="1" w:styleId="100">
    <w:name w:val="附录章标题"/>
    <w:next w:val="2"/>
    <w:qFormat/>
    <w:uiPriority w:val="99"/>
    <w:pPr>
      <w:numPr>
        <w:ilvl w:val="1"/>
        <w:numId w:val="4"/>
      </w:numPr>
      <w:tabs>
        <w:tab w:val="left" w:pos="360"/>
      </w:tabs>
      <w:wordWrap w:val="0"/>
      <w:overflowPunct w:val="0"/>
      <w:autoSpaceDE w:val="0"/>
      <w:spacing w:beforeLines="50" w:afterLines="50"/>
      <w:ind w:left="567"/>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图表脚注"/>
    <w:next w:val="2"/>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102">
    <w:name w:val="Char2"/>
    <w:basedOn w:val="1"/>
    <w:qFormat/>
    <w:uiPriority w:val="99"/>
    <w:pPr>
      <w:spacing w:beforeLines="100" w:afterLines="50" w:line="600" w:lineRule="exact"/>
      <w:ind w:firstLine="200" w:firstLineChars="200"/>
    </w:pPr>
    <w:rPr>
      <w:rFonts w:eastAsia="黑体"/>
      <w:sz w:val="28"/>
    </w:rPr>
  </w:style>
  <w:style w:type="paragraph" w:customStyle="1" w:styleId="103">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04">
    <w:name w:val="目次、标准名称标题"/>
    <w:basedOn w:val="91"/>
    <w:next w:val="2"/>
    <w:qFormat/>
    <w:uiPriority w:val="99"/>
    <w:pPr>
      <w:numPr>
        <w:numId w:val="0"/>
      </w:numPr>
      <w:tabs>
        <w:tab w:val="left" w:pos="360"/>
      </w:tabs>
      <w:spacing w:line="460" w:lineRule="exact"/>
    </w:pPr>
  </w:style>
  <w:style w:type="paragraph" w:customStyle="1" w:styleId="105">
    <w:name w:val="封面标准号2"/>
    <w:basedOn w:val="87"/>
    <w:qFormat/>
    <w:uiPriority w:val="99"/>
    <w:pPr>
      <w:adjustRightInd w:val="0"/>
      <w:spacing w:before="357" w:line="280" w:lineRule="exact"/>
    </w:pPr>
  </w:style>
  <w:style w:type="paragraph" w:customStyle="1" w:styleId="106">
    <w:name w:val="参考文献、索引标题"/>
    <w:basedOn w:val="91"/>
    <w:next w:val="1"/>
    <w:qFormat/>
    <w:uiPriority w:val="99"/>
    <w:pPr>
      <w:numPr>
        <w:numId w:val="0"/>
      </w:numPr>
      <w:tabs>
        <w:tab w:val="left" w:pos="360"/>
      </w:tabs>
      <w:spacing w:after="200"/>
    </w:pPr>
    <w:rPr>
      <w:sz w:val="21"/>
    </w:rPr>
  </w:style>
  <w:style w:type="paragraph" w:customStyle="1" w:styleId="107">
    <w:name w:val="附录五级条标题"/>
    <w:basedOn w:val="108"/>
    <w:next w:val="2"/>
    <w:qFormat/>
    <w:uiPriority w:val="99"/>
    <w:pPr>
      <w:tabs>
        <w:tab w:val="left" w:pos="360"/>
      </w:tabs>
      <w:outlineLvl w:val="6"/>
    </w:pPr>
  </w:style>
  <w:style w:type="paragraph" w:customStyle="1" w:styleId="108">
    <w:name w:val="附录四级条标题"/>
    <w:basedOn w:val="109"/>
    <w:next w:val="2"/>
    <w:qFormat/>
    <w:uiPriority w:val="99"/>
    <w:pPr>
      <w:tabs>
        <w:tab w:val="left" w:pos="360"/>
      </w:tabs>
      <w:outlineLvl w:val="5"/>
    </w:pPr>
  </w:style>
  <w:style w:type="paragraph" w:customStyle="1" w:styleId="109">
    <w:name w:val="附录三级条标题"/>
    <w:basedOn w:val="110"/>
    <w:next w:val="2"/>
    <w:qFormat/>
    <w:uiPriority w:val="99"/>
    <w:pPr>
      <w:tabs>
        <w:tab w:val="left" w:pos="360"/>
      </w:tabs>
      <w:outlineLvl w:val="4"/>
    </w:pPr>
  </w:style>
  <w:style w:type="paragraph" w:customStyle="1" w:styleId="110">
    <w:name w:val="附录二级条标题"/>
    <w:basedOn w:val="99"/>
    <w:next w:val="2"/>
    <w:qFormat/>
    <w:uiPriority w:val="99"/>
    <w:pPr>
      <w:outlineLvl w:val="3"/>
    </w:pPr>
  </w:style>
  <w:style w:type="paragraph" w:customStyle="1" w:styleId="111">
    <w:name w:val="示例"/>
    <w:next w:val="2"/>
    <w:qFormat/>
    <w:uiPriority w:val="99"/>
    <w:pPr>
      <w:numPr>
        <w:ilvl w:val="0"/>
        <w:numId w:val="5"/>
      </w:numPr>
      <w:tabs>
        <w:tab w:val="left" w:pos="360"/>
      </w:tabs>
      <w:jc w:val="both"/>
    </w:pPr>
    <w:rPr>
      <w:rFonts w:ascii="宋体" w:hAnsi="Times New Roman" w:eastAsia="宋体" w:cs="Times New Roman"/>
      <w:sz w:val="18"/>
      <w:lang w:val="en-US" w:eastAsia="zh-CN" w:bidi="ar-SA"/>
    </w:rPr>
  </w:style>
  <w:style w:type="paragraph" w:customStyle="1" w:styleId="112">
    <w:name w:val="五级条标题"/>
    <w:basedOn w:val="113"/>
    <w:next w:val="2"/>
    <w:qFormat/>
    <w:uiPriority w:val="99"/>
    <w:pPr>
      <w:tabs>
        <w:tab w:val="left" w:pos="360"/>
      </w:tabs>
      <w:outlineLvl w:val="6"/>
    </w:pPr>
  </w:style>
  <w:style w:type="paragraph" w:customStyle="1" w:styleId="113">
    <w:name w:val="四级条标题"/>
    <w:basedOn w:val="114"/>
    <w:next w:val="2"/>
    <w:qFormat/>
    <w:uiPriority w:val="99"/>
    <w:pPr>
      <w:tabs>
        <w:tab w:val="left" w:pos="360"/>
      </w:tabs>
      <w:outlineLvl w:val="5"/>
    </w:pPr>
  </w:style>
  <w:style w:type="paragraph" w:customStyle="1" w:styleId="114">
    <w:name w:val="三级条标题"/>
    <w:basedOn w:val="77"/>
    <w:next w:val="2"/>
    <w:qFormat/>
    <w:uiPriority w:val="99"/>
    <w:pPr>
      <w:outlineLvl w:val="4"/>
    </w:pPr>
  </w:style>
  <w:style w:type="paragraph" w:customStyle="1" w:styleId="115">
    <w:name w:val="TOC Heading1"/>
    <w:basedOn w:val="3"/>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11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17">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styleId="118">
    <w:name w:val="List Paragraph"/>
    <w:basedOn w:val="1"/>
    <w:qFormat/>
    <w:uiPriority w:val="99"/>
    <w:pPr>
      <w:ind w:firstLine="420" w:firstLineChars="200"/>
    </w:pPr>
  </w:style>
  <w:style w:type="paragraph" w:customStyle="1" w:styleId="119">
    <w:name w:val="无标题条"/>
    <w:next w:val="2"/>
    <w:qFormat/>
    <w:uiPriority w:val="99"/>
    <w:pPr>
      <w:jc w:val="both"/>
    </w:pPr>
    <w:rPr>
      <w:rFonts w:ascii="Times New Roman" w:hAnsi="Times New Roman" w:eastAsia="宋体" w:cs="Times New Roman"/>
      <w:sz w:val="21"/>
      <w:lang w:val="en-US" w:eastAsia="zh-CN" w:bidi="ar-SA"/>
    </w:rPr>
  </w:style>
  <w:style w:type="paragraph" w:customStyle="1" w:styleId="120">
    <w:name w:val="附录标识"/>
    <w:basedOn w:val="91"/>
    <w:next w:val="2"/>
    <w:qFormat/>
    <w:uiPriority w:val="99"/>
    <w:pPr>
      <w:numPr>
        <w:ilvl w:val="0"/>
        <w:numId w:val="4"/>
      </w:numPr>
      <w:tabs>
        <w:tab w:val="left" w:pos="6405"/>
      </w:tabs>
      <w:spacing w:after="200"/>
    </w:pPr>
    <w:rPr>
      <w:sz w:val="21"/>
    </w:rPr>
  </w:style>
  <w:style w:type="paragraph" w:customStyle="1" w:styleId="121">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122">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23">
    <w:name w:val="注×："/>
    <w:qFormat/>
    <w:uiPriority w:val="99"/>
    <w:pPr>
      <w:widowControl w:val="0"/>
      <w:numPr>
        <w:ilvl w:val="0"/>
        <w:numId w:val="6"/>
      </w:numPr>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124">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5">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26">
    <w:name w:val="条文脚注"/>
    <w:basedOn w:val="28"/>
    <w:qFormat/>
    <w:uiPriority w:val="99"/>
    <w:pPr>
      <w:ind w:left="780" w:leftChars="200" w:hanging="360" w:hangingChars="200"/>
      <w:jc w:val="both"/>
    </w:pPr>
    <w:rPr>
      <w:rFonts w:ascii="宋体"/>
    </w:rPr>
  </w:style>
  <w:style w:type="paragraph" w:customStyle="1" w:styleId="127">
    <w:name w:val="一级无标题条"/>
    <w:basedOn w:val="1"/>
    <w:qFormat/>
    <w:uiPriority w:val="99"/>
    <w:rPr>
      <w:szCs w:val="20"/>
    </w:rPr>
  </w:style>
  <w:style w:type="paragraph" w:customStyle="1" w:styleId="128">
    <w:name w:val="注："/>
    <w:next w:val="2"/>
    <w:qFormat/>
    <w:uiPriority w:val="99"/>
    <w:pPr>
      <w:widowControl w:val="0"/>
      <w:numPr>
        <w:ilvl w:val="0"/>
        <w:numId w:val="7"/>
      </w:numPr>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29">
    <w:name w:val="列项——"/>
    <w:qFormat/>
    <w:uiPriority w:val="99"/>
    <w:pPr>
      <w:widowControl w:val="0"/>
      <w:tabs>
        <w:tab w:val="left" w:pos="360"/>
      </w:tabs>
      <w:jc w:val="both"/>
    </w:pPr>
    <w:rPr>
      <w:rFonts w:ascii="宋体" w:hAnsi="Times New Roman" w:eastAsia="宋体" w:cs="Times New Roman"/>
      <w:sz w:val="21"/>
      <w:lang w:val="en-US" w:eastAsia="zh-CN" w:bidi="ar-SA"/>
    </w:rPr>
  </w:style>
  <w:style w:type="paragraph" w:customStyle="1" w:styleId="130">
    <w:name w:val="封面正文"/>
    <w:qFormat/>
    <w:uiPriority w:val="99"/>
    <w:pPr>
      <w:jc w:val="both"/>
    </w:pPr>
    <w:rPr>
      <w:rFonts w:ascii="Times New Roman" w:hAnsi="Times New Roman" w:eastAsia="宋体" w:cs="Times New Roman"/>
      <w:lang w:val="en-US" w:eastAsia="zh-CN" w:bidi="ar-SA"/>
    </w:rPr>
  </w:style>
  <w:style w:type="paragraph" w:customStyle="1" w:styleId="131">
    <w:name w:val="附录表标题"/>
    <w:next w:val="2"/>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132">
    <w:name w:val="附录图标题"/>
    <w:next w:val="2"/>
    <w:qFormat/>
    <w:uiPriority w:val="99"/>
    <w:pPr>
      <w:jc w:val="center"/>
    </w:pPr>
    <w:rPr>
      <w:rFonts w:ascii="黑体" w:hAnsi="Times New Roman" w:eastAsia="黑体" w:cs="Times New Roman"/>
      <w:sz w:val="21"/>
      <w:lang w:val="en-US" w:eastAsia="zh-CN" w:bidi="ar-SA"/>
    </w:rPr>
  </w:style>
  <w:style w:type="paragraph" w:customStyle="1" w:styleId="133">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134">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5">
    <w:name w:val="封面标准代替信息"/>
    <w:basedOn w:val="105"/>
    <w:qFormat/>
    <w:uiPriority w:val="99"/>
    <w:pPr>
      <w:spacing w:before="57"/>
    </w:pPr>
    <w:rPr>
      <w:rFonts w:ascii="宋体"/>
      <w:sz w:val="21"/>
    </w:rPr>
  </w:style>
  <w:style w:type="paragraph" w:customStyle="1" w:styleId="136">
    <w:name w:val="实施日期"/>
    <w:basedOn w:val="117"/>
    <w:qFormat/>
    <w:uiPriority w:val="99"/>
    <w:pPr>
      <w:framePr w:hSpace="0" w:wrap="around" w:xAlign="right"/>
      <w:jc w:val="right"/>
    </w:pPr>
  </w:style>
  <w:style w:type="paragraph" w:customStyle="1" w:styleId="137">
    <w:name w:val="Char"/>
    <w:basedOn w:val="1"/>
    <w:qFormat/>
    <w:uiPriority w:val="99"/>
    <w:pPr>
      <w:spacing w:beforeLines="100" w:afterLines="50" w:line="600" w:lineRule="exact"/>
      <w:ind w:firstLine="200" w:firstLineChars="200"/>
    </w:pPr>
    <w:rPr>
      <w:rFonts w:eastAsia="黑体"/>
      <w:sz w:val="28"/>
    </w:rPr>
  </w:style>
  <w:style w:type="paragraph" w:customStyle="1" w:styleId="138">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139">
    <w:name w:val="Char3"/>
    <w:basedOn w:val="1"/>
    <w:qFormat/>
    <w:uiPriority w:val="99"/>
    <w:pPr>
      <w:spacing w:beforeLines="100" w:afterLines="50" w:line="600" w:lineRule="exact"/>
      <w:ind w:firstLine="200" w:firstLineChars="200"/>
    </w:pPr>
    <w:rPr>
      <w:rFonts w:eastAsia="黑体"/>
      <w:sz w:val="28"/>
    </w:rPr>
  </w:style>
  <w:style w:type="paragraph" w:customStyle="1" w:styleId="140">
    <w:name w:val="正文图标题"/>
    <w:next w:val="2"/>
    <w:qFormat/>
    <w:uiPriority w:val="99"/>
    <w:pPr>
      <w:numPr>
        <w:ilvl w:val="0"/>
        <w:numId w:val="8"/>
      </w:numPr>
      <w:tabs>
        <w:tab w:val="left" w:pos="360"/>
      </w:tabs>
      <w:jc w:val="center"/>
    </w:pPr>
    <w:rPr>
      <w:rFonts w:ascii="黑体" w:hAnsi="Times New Roman" w:eastAsia="黑体" w:cs="Times New Roman"/>
      <w:sz w:val="21"/>
      <w:lang w:val="en-US" w:eastAsia="zh-CN" w:bidi="ar-SA"/>
    </w:rPr>
  </w:style>
  <w:style w:type="paragraph" w:customStyle="1" w:styleId="141">
    <w:name w:val="正文表标题"/>
    <w:next w:val="2"/>
    <w:qFormat/>
    <w:uiPriority w:val="99"/>
    <w:pPr>
      <w:numPr>
        <w:ilvl w:val="0"/>
        <w:numId w:val="9"/>
      </w:numPr>
      <w:jc w:val="center"/>
    </w:pPr>
    <w:rPr>
      <w:rFonts w:ascii="黑体" w:hAnsi="Times New Roman" w:eastAsia="黑体" w:cs="Times New Roman"/>
      <w:sz w:val="21"/>
      <w:lang w:val="en-US" w:eastAsia="zh-CN" w:bidi="ar-SA"/>
    </w:rPr>
  </w:style>
  <w:style w:type="paragraph" w:customStyle="1" w:styleId="142">
    <w:name w:val="二级无标题条"/>
    <w:basedOn w:val="1"/>
    <w:qFormat/>
    <w:uiPriority w:val="99"/>
    <w:rPr>
      <w:szCs w:val="20"/>
    </w:rPr>
  </w:style>
  <w:style w:type="paragraph" w:customStyle="1" w:styleId="143">
    <w:name w:val="其他发布部门"/>
    <w:basedOn w:val="82"/>
    <w:qFormat/>
    <w:uiPriority w:val="99"/>
    <w:pPr>
      <w:framePr w:w="0" w:hRule="auto" w:hSpace="0" w:vSpace="0" w:wrap="around" w:hAnchor="text" w:xAlign="left" w:yAlign="inline"/>
      <w:spacing w:line="240" w:lineRule="atLeast"/>
    </w:pPr>
    <w:rPr>
      <w:rFonts w:ascii="黑体" w:eastAsia="黑体"/>
      <w:b w:val="0"/>
    </w:rPr>
  </w:style>
  <w:style w:type="character" w:styleId="144">
    <w:name w:val="Placeholder Text"/>
    <w:basedOn w:val="36"/>
    <w:unhideWhenUsed/>
    <w:qFormat/>
    <w:uiPriority w:val="99"/>
    <w:rPr>
      <w:color w:val="808080"/>
    </w:rPr>
  </w:style>
  <w:style w:type="paragraph" w:customStyle="1" w:styleId="145">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46">
    <w:name w:val="批注主题 字符"/>
    <w:basedOn w:val="60"/>
    <w:link w:val="33"/>
    <w:semiHidden/>
    <w:uiPriority w:val="99"/>
    <w:rPr>
      <w:rFonts w:cs="Times New Roman"/>
      <w:b/>
      <w:bCs/>
      <w:kern w:val="2"/>
      <w:sz w:val="21"/>
      <w:szCs w:val="24"/>
    </w:rPr>
  </w:style>
  <w:style w:type="character" w:customStyle="1" w:styleId="147">
    <w:name w:val="font11"/>
    <w:basedOn w:val="36"/>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w="sm" len="med"/>
        </a:ln>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6EF7C-B1A7-4E5B-9F36-35EA67C261C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5604</Words>
  <Characters>9091</Characters>
  <Lines>53</Lines>
  <Paragraphs>14</Paragraphs>
  <TotalTime>8</TotalTime>
  <ScaleCrop>false</ScaleCrop>
  <LinksUpToDate>false</LinksUpToDate>
  <CharactersWithSpaces>9737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2019-08-12T02:39:00Z</dcterms:created>
  <dc:creator>zhuye</dc:creator>
  <cp:lastModifiedBy>ss</cp:lastModifiedBy>
  <cp:lastPrinted>2019-09-08T08:25:00Z</cp:lastPrinted>
  <dcterms:modified xsi:type="dcterms:W3CDTF">2022-06-27T08:59:58Z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1EFF379A1EC548F68D5CAAC2A81CFCEB</vt:lpwstr>
  </property>
</Properties>
</file>