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spacing w:before="0" w:line="300" w:lineRule="auto"/>
        <w:ind w:firstLine="0" w:firstLineChars="0"/>
        <w:rPr>
          <w:rFonts w:ascii="黑体" w:hAnsi="黑体" w:eastAsia="黑体"/>
          <w:sz w:val="30"/>
          <w:szCs w:val="30"/>
        </w:rPr>
      </w:pPr>
    </w:p>
    <w:p>
      <w:pPr>
        <w:pStyle w:val="117"/>
        <w:spacing w:before="0" w:line="300" w:lineRule="auto"/>
        <w:ind w:firstLine="0" w:firstLineChars="0"/>
        <w:rPr>
          <w:rFonts w:ascii="黑体" w:hAnsi="黑体" w:eastAsia="黑体"/>
          <w:sz w:val="36"/>
          <w:szCs w:val="36"/>
        </w:rPr>
      </w:pPr>
    </w:p>
    <w:p>
      <w:pPr>
        <w:pStyle w:val="117"/>
        <w:spacing w:before="0" w:line="300" w:lineRule="auto"/>
        <w:ind w:firstLine="0" w:firstLineChars="0"/>
        <w:rPr>
          <w:rFonts w:ascii="黑体" w:hAnsi="黑体" w:eastAsia="黑体"/>
          <w:sz w:val="36"/>
          <w:szCs w:val="36"/>
        </w:rPr>
      </w:pPr>
    </w:p>
    <w:p>
      <w:pPr>
        <w:adjustRightInd w:val="0"/>
        <w:snapToGrid w:val="0"/>
        <w:jc w:val="center"/>
        <w:rPr>
          <w:rFonts w:ascii="微软雅黑" w:hAnsi="微软雅黑" w:eastAsia="微软雅黑"/>
          <w:sz w:val="44"/>
          <w:szCs w:val="44"/>
        </w:rPr>
      </w:pPr>
      <w:r>
        <w:rPr>
          <w:rFonts w:hint="eastAsia" w:ascii="微软雅黑" w:hAnsi="微软雅黑" w:eastAsia="微软雅黑"/>
          <w:sz w:val="44"/>
          <w:szCs w:val="44"/>
        </w:rPr>
        <w:t>高纯锆化学分析方法</w:t>
      </w:r>
    </w:p>
    <w:p>
      <w:pPr>
        <w:adjustRightInd w:val="0"/>
        <w:snapToGrid w:val="0"/>
        <w:jc w:val="center"/>
        <w:rPr>
          <w:rFonts w:ascii="微软雅黑" w:hAnsi="微软雅黑" w:eastAsia="微软雅黑"/>
          <w:sz w:val="44"/>
          <w:szCs w:val="44"/>
        </w:rPr>
      </w:pPr>
      <w:r>
        <w:rPr>
          <w:rFonts w:hint="eastAsia" w:ascii="微软雅黑" w:hAnsi="微软雅黑" w:eastAsia="微软雅黑"/>
          <w:sz w:val="44"/>
          <w:szCs w:val="44"/>
        </w:rPr>
        <w:t>痕量杂质元素含量的测定</w:t>
      </w:r>
    </w:p>
    <w:p>
      <w:pPr>
        <w:pStyle w:val="117"/>
        <w:adjustRightInd w:val="0"/>
        <w:snapToGrid w:val="0"/>
        <w:spacing w:before="0" w:line="240" w:lineRule="auto"/>
        <w:ind w:firstLine="0" w:firstLineChars="0"/>
        <w:rPr>
          <w:rFonts w:ascii="黑体" w:hAnsi="黑体" w:eastAsia="黑体"/>
          <w:sz w:val="36"/>
          <w:szCs w:val="36"/>
        </w:rPr>
      </w:pPr>
      <w:r>
        <w:rPr>
          <w:rFonts w:hint="eastAsia" w:ascii="微软雅黑" w:hAnsi="微软雅黑" w:eastAsia="微软雅黑"/>
          <w:sz w:val="44"/>
          <w:szCs w:val="44"/>
        </w:rPr>
        <w:t>辉光放电质谱法</w:t>
      </w:r>
    </w:p>
    <w:p>
      <w:pPr>
        <w:pStyle w:val="117"/>
        <w:spacing w:before="0" w:line="300" w:lineRule="auto"/>
        <w:ind w:firstLine="0" w:firstLineChars="0"/>
        <w:rPr>
          <w:rFonts w:ascii="黑体" w:hAnsi="黑体" w:eastAsia="黑体"/>
          <w:sz w:val="32"/>
          <w:szCs w:val="32"/>
        </w:rPr>
      </w:pPr>
    </w:p>
    <w:p>
      <w:pPr>
        <w:pStyle w:val="117"/>
        <w:spacing w:before="0" w:line="300" w:lineRule="auto"/>
        <w:ind w:firstLine="0" w:firstLineChars="0"/>
        <w:rPr>
          <w:rFonts w:ascii="黑体" w:hAnsi="黑体" w:eastAsia="黑体"/>
          <w:sz w:val="32"/>
          <w:szCs w:val="32"/>
        </w:rPr>
      </w:pPr>
    </w:p>
    <w:p>
      <w:pPr>
        <w:pStyle w:val="117"/>
        <w:spacing w:before="0" w:line="300" w:lineRule="auto"/>
        <w:ind w:firstLine="0" w:firstLineChars="0"/>
        <w:rPr>
          <w:rFonts w:ascii="黑体" w:hAnsi="黑体" w:eastAsia="黑体"/>
          <w:sz w:val="32"/>
          <w:szCs w:val="32"/>
        </w:rPr>
      </w:pPr>
    </w:p>
    <w:p>
      <w:pPr>
        <w:pStyle w:val="117"/>
        <w:spacing w:before="0" w:line="300" w:lineRule="auto"/>
        <w:ind w:firstLine="0" w:firstLineChars="0"/>
        <w:rPr>
          <w:rFonts w:ascii="黑体" w:hAnsi="黑体" w:eastAsia="黑体"/>
          <w:sz w:val="30"/>
          <w:szCs w:val="30"/>
        </w:rPr>
      </w:pPr>
    </w:p>
    <w:p>
      <w:pPr>
        <w:widowControl/>
        <w:spacing w:line="300" w:lineRule="auto"/>
        <w:jc w:val="center"/>
        <w:rPr>
          <w:rFonts w:ascii="黑体" w:hAnsi="黑体" w:eastAsia="黑体"/>
          <w:b/>
          <w:kern w:val="0"/>
          <w:sz w:val="52"/>
          <w:szCs w:val="52"/>
        </w:rPr>
      </w:pPr>
      <w:r>
        <w:rPr>
          <w:rFonts w:hint="eastAsia" w:ascii="黑体" w:hAnsi="黑体" w:eastAsia="黑体"/>
          <w:b/>
          <w:sz w:val="52"/>
          <w:szCs w:val="52"/>
        </w:rPr>
        <w:t>编 制 说 明</w:t>
      </w:r>
    </w:p>
    <w:p>
      <w:pPr>
        <w:pStyle w:val="117"/>
        <w:spacing w:before="0" w:line="300" w:lineRule="auto"/>
        <w:ind w:firstLine="0" w:firstLineChars="0"/>
        <w:rPr>
          <w:rFonts w:ascii="黑体" w:hAnsi="黑体" w:eastAsia="黑体"/>
          <w:sz w:val="30"/>
          <w:szCs w:val="30"/>
        </w:rPr>
      </w:pPr>
      <w:r>
        <w:rPr>
          <w:rFonts w:hint="eastAsia" w:ascii="黑体" w:hAnsi="黑体" w:eastAsia="黑体"/>
          <w:sz w:val="30"/>
          <w:szCs w:val="30"/>
        </w:rPr>
        <w:t>（</w:t>
      </w:r>
      <w:r>
        <w:rPr>
          <w:rFonts w:hint="eastAsia" w:ascii="黑体" w:hAnsi="黑体" w:eastAsia="黑体"/>
          <w:sz w:val="30"/>
          <w:szCs w:val="30"/>
          <w:lang w:val="en-US" w:eastAsia="zh-CN"/>
        </w:rPr>
        <w:t>送审稿</w:t>
      </w:r>
      <w:r>
        <w:rPr>
          <w:rFonts w:hint="eastAsia" w:ascii="黑体" w:hAnsi="黑体" w:eastAsia="黑体"/>
          <w:sz w:val="30"/>
          <w:szCs w:val="30"/>
        </w:rPr>
        <w:t>）</w:t>
      </w:r>
    </w:p>
    <w:p>
      <w:pPr>
        <w:pStyle w:val="117"/>
        <w:spacing w:before="0" w:line="300" w:lineRule="auto"/>
        <w:ind w:firstLine="0" w:firstLineChars="0"/>
        <w:rPr>
          <w:rFonts w:ascii="黑体" w:hAnsi="黑体" w:eastAsia="黑体"/>
          <w:sz w:val="30"/>
          <w:szCs w:val="30"/>
        </w:rPr>
      </w:pPr>
    </w:p>
    <w:p>
      <w:pPr>
        <w:pStyle w:val="117"/>
        <w:spacing w:before="0" w:line="300" w:lineRule="auto"/>
        <w:ind w:firstLine="0" w:firstLineChars="0"/>
        <w:rPr>
          <w:rFonts w:ascii="黑体" w:hAnsi="黑体" w:eastAsia="黑体"/>
          <w:sz w:val="30"/>
          <w:szCs w:val="30"/>
        </w:rPr>
      </w:pPr>
    </w:p>
    <w:p>
      <w:pPr>
        <w:pStyle w:val="117"/>
        <w:spacing w:before="0" w:line="300" w:lineRule="auto"/>
        <w:ind w:firstLine="0" w:firstLineChars="0"/>
        <w:rPr>
          <w:rFonts w:ascii="黑体" w:hAnsi="黑体" w:eastAsia="黑体"/>
          <w:sz w:val="30"/>
          <w:szCs w:val="30"/>
        </w:rPr>
      </w:pPr>
    </w:p>
    <w:p>
      <w:pPr>
        <w:pStyle w:val="117"/>
        <w:spacing w:before="0" w:line="300" w:lineRule="auto"/>
        <w:ind w:firstLine="0" w:firstLineChars="0"/>
        <w:rPr>
          <w:rFonts w:ascii="黑体" w:hAnsi="黑体" w:eastAsia="黑体"/>
          <w:sz w:val="30"/>
          <w:szCs w:val="30"/>
        </w:rPr>
      </w:pPr>
    </w:p>
    <w:p>
      <w:pPr>
        <w:pStyle w:val="117"/>
        <w:spacing w:before="0" w:line="300" w:lineRule="auto"/>
        <w:ind w:firstLine="0" w:firstLineChars="0"/>
        <w:rPr>
          <w:rFonts w:ascii="黑体" w:hAnsi="黑体" w:eastAsia="黑体"/>
          <w:sz w:val="32"/>
          <w:szCs w:val="32"/>
        </w:rPr>
      </w:pPr>
      <w:r>
        <w:rPr>
          <w:rFonts w:hint="eastAsia" w:ascii="黑体" w:hAnsi="黑体" w:eastAsia="黑体"/>
          <w:sz w:val="32"/>
          <w:szCs w:val="32"/>
        </w:rPr>
        <w:t xml:space="preserve">  </w:t>
      </w:r>
      <w:r>
        <w:rPr>
          <w:rFonts w:ascii="黑体" w:hAnsi="黑体" w:eastAsia="黑体"/>
          <w:sz w:val="32"/>
          <w:szCs w:val="32"/>
        </w:rPr>
        <w:t>国合通用测试评价认证股份公司、</w:t>
      </w:r>
    </w:p>
    <w:p>
      <w:pPr>
        <w:pStyle w:val="117"/>
        <w:spacing w:before="0" w:line="300" w:lineRule="auto"/>
        <w:ind w:firstLine="0" w:firstLineChars="0"/>
        <w:rPr>
          <w:rFonts w:ascii="黑体" w:hAnsi="黑体" w:eastAsia="黑体"/>
          <w:sz w:val="32"/>
          <w:szCs w:val="32"/>
        </w:rPr>
      </w:pPr>
      <w:r>
        <w:rPr>
          <w:rFonts w:hint="eastAsia" w:ascii="黑体" w:hAnsi="黑体" w:eastAsia="黑体"/>
          <w:sz w:val="32"/>
          <w:szCs w:val="32"/>
        </w:rPr>
        <w:t>国标（北京）检验认证有限公司</w:t>
      </w:r>
    </w:p>
    <w:p>
      <w:pPr>
        <w:pStyle w:val="117"/>
        <w:spacing w:before="0" w:line="300" w:lineRule="auto"/>
        <w:ind w:firstLine="0" w:firstLineChars="0"/>
        <w:rPr>
          <w:rFonts w:ascii="黑体" w:hAnsi="黑体" w:eastAsia="黑体"/>
          <w:sz w:val="30"/>
          <w:szCs w:val="30"/>
        </w:rPr>
      </w:pPr>
      <w:r>
        <w:rPr>
          <w:rFonts w:hint="eastAsia" w:ascii="黑体" w:hAnsi="黑体" w:eastAsia="黑体"/>
          <w:sz w:val="30"/>
          <w:szCs w:val="30"/>
        </w:rPr>
        <w:t>20</w:t>
      </w:r>
      <w:r>
        <w:rPr>
          <w:rFonts w:ascii="黑体" w:hAnsi="黑体" w:eastAsia="黑体"/>
          <w:sz w:val="30"/>
          <w:szCs w:val="30"/>
        </w:rPr>
        <w:t>22</w:t>
      </w:r>
      <w:r>
        <w:rPr>
          <w:rFonts w:hint="eastAsia" w:ascii="黑体" w:hAnsi="黑体" w:eastAsia="黑体"/>
          <w:sz w:val="30"/>
          <w:szCs w:val="30"/>
        </w:rPr>
        <w:t>年</w:t>
      </w:r>
      <w:r>
        <w:rPr>
          <w:rFonts w:hint="eastAsia" w:ascii="黑体" w:hAnsi="黑体" w:eastAsia="黑体"/>
          <w:sz w:val="30"/>
          <w:szCs w:val="30"/>
          <w:lang w:val="en-US" w:eastAsia="zh-CN"/>
        </w:rPr>
        <w:t>6</w:t>
      </w:r>
      <w:r>
        <w:rPr>
          <w:rFonts w:hint="eastAsia" w:ascii="黑体" w:hAnsi="黑体" w:eastAsia="黑体"/>
          <w:sz w:val="30"/>
          <w:szCs w:val="30"/>
        </w:rPr>
        <w:t>月</w:t>
      </w:r>
    </w:p>
    <w:p>
      <w:pPr>
        <w:widowControl/>
        <w:spacing w:line="300" w:lineRule="auto"/>
        <w:jc w:val="left"/>
        <w:rPr>
          <w:rFonts w:ascii="黑体" w:hAnsi="黑体" w:eastAsia="黑体"/>
          <w:sz w:val="30"/>
          <w:szCs w:val="30"/>
        </w:rPr>
        <w:sectPr>
          <w:headerReference r:id="rId3" w:type="default"/>
          <w:footerReference r:id="rId4" w:type="default"/>
          <w:pgSz w:w="11906" w:h="16838"/>
          <w:pgMar w:top="1134" w:right="1077" w:bottom="1213" w:left="1077" w:header="851" w:footer="992" w:gutter="0"/>
          <w:cols w:space="425" w:num="1"/>
          <w:docGrid w:type="lines" w:linePitch="312" w:charSpace="0"/>
        </w:sectPr>
      </w:pPr>
    </w:p>
    <w:p>
      <w:pPr>
        <w:spacing w:line="300" w:lineRule="auto"/>
        <w:jc w:val="center"/>
        <w:rPr>
          <w:rFonts w:ascii="黑体" w:hAnsi="黑体" w:eastAsia="黑体"/>
          <w:sz w:val="30"/>
          <w:szCs w:val="30"/>
        </w:rPr>
      </w:pPr>
      <w:r>
        <w:rPr>
          <w:rFonts w:hint="eastAsia" w:ascii="黑体" w:hAnsi="黑体" w:eastAsia="黑体"/>
          <w:sz w:val="30"/>
          <w:szCs w:val="30"/>
        </w:rPr>
        <w:t>《</w:t>
      </w:r>
      <w:r>
        <w:rPr>
          <w:rFonts w:hint="eastAsia" w:ascii="黑体" w:hAnsi="黑体" w:eastAsia="黑体"/>
          <w:b/>
          <w:kern w:val="0"/>
          <w:sz w:val="30"/>
          <w:szCs w:val="30"/>
        </w:rPr>
        <w:t xml:space="preserve">高纯锆化学分析方法 痕量杂质元素含量的测定 </w:t>
      </w:r>
      <w:r>
        <w:rPr>
          <w:rFonts w:hint="eastAsia" w:ascii="黑体" w:hAnsi="黑体" w:eastAsia="黑体"/>
          <w:b/>
          <w:sz w:val="30"/>
          <w:szCs w:val="30"/>
        </w:rPr>
        <w:t>辉光放电质谱法</w:t>
      </w:r>
      <w:r>
        <w:rPr>
          <w:rFonts w:hint="eastAsia" w:ascii="黑体" w:hAnsi="黑体" w:eastAsia="黑体"/>
          <w:sz w:val="30"/>
          <w:szCs w:val="30"/>
        </w:rPr>
        <w:t>》</w:t>
      </w:r>
    </w:p>
    <w:p>
      <w:pPr>
        <w:pStyle w:val="117"/>
        <w:spacing w:before="0" w:line="300" w:lineRule="auto"/>
        <w:ind w:firstLine="0" w:firstLineChars="0"/>
        <w:rPr>
          <w:b/>
          <w:sz w:val="32"/>
          <w:szCs w:val="32"/>
        </w:rPr>
      </w:pPr>
      <w:r>
        <w:rPr>
          <w:rFonts w:hint="eastAsia" w:ascii="黑体" w:hAnsi="黑体" w:eastAsia="黑体"/>
          <w:b/>
          <w:sz w:val="30"/>
          <w:szCs w:val="30"/>
        </w:rPr>
        <w:t>行业标准编制说明</w:t>
      </w:r>
    </w:p>
    <w:p>
      <w:pPr>
        <w:spacing w:before="156" w:beforeLines="50" w:after="156" w:afterLines="50" w:line="300" w:lineRule="auto"/>
        <w:rPr>
          <w:rFonts w:ascii="黑体" w:hAnsi="宋体" w:eastAsia="黑体"/>
          <w:bCs/>
          <w:sz w:val="24"/>
        </w:rPr>
      </w:pPr>
      <w:r>
        <w:rPr>
          <w:rFonts w:hint="eastAsia" w:ascii="黑体" w:hAnsi="宋体" w:eastAsia="黑体"/>
          <w:bCs/>
          <w:sz w:val="24"/>
        </w:rPr>
        <w:t>一、工作简况</w:t>
      </w:r>
    </w:p>
    <w:p>
      <w:pPr>
        <w:pStyle w:val="120"/>
        <w:tabs>
          <w:tab w:val="clear" w:pos="675"/>
        </w:tabs>
        <w:spacing w:before="156" w:beforeLines="50" w:after="156" w:afterLines="50" w:line="312" w:lineRule="auto"/>
        <w:ind w:left="0" w:firstLine="0"/>
        <w:rPr>
          <w:rFonts w:hAnsi="黑体"/>
        </w:rPr>
      </w:pPr>
      <w:r>
        <w:rPr>
          <w:rFonts w:hint="eastAsia" w:hAnsi="黑体"/>
        </w:rPr>
        <w:t>1、</w:t>
      </w:r>
      <w:r>
        <w:rPr>
          <w:rFonts w:hAnsi="黑体"/>
        </w:rPr>
        <w:t>任务来源</w:t>
      </w:r>
    </w:p>
    <w:p>
      <w:pPr>
        <w:spacing w:line="360" w:lineRule="auto"/>
        <w:ind w:firstLine="420"/>
      </w:pPr>
      <w:r>
        <w:t>根据</w:t>
      </w:r>
      <w:r>
        <w:rPr>
          <w:rFonts w:hint="eastAsia"/>
        </w:rPr>
        <w:t>中华人民共和国工业和信息化部</w:t>
      </w:r>
      <w:r>
        <w:t>2020年8月</w:t>
      </w:r>
      <w:r>
        <w:rPr>
          <w:rFonts w:hint="eastAsia"/>
        </w:rPr>
        <w:t>下发的工信厅科函﹝2020﹞181号《工业和信息化部2020年第二批行业标准制修订和外文版项目计划》的文件精神，行业标准《高纯锆化学分析方法 痕量杂质元素含量的测定  辉光放电质谱法》的制定工作由</w:t>
      </w:r>
      <w:r>
        <w:t>国合通用测试评价认证股份公司</w:t>
      </w:r>
      <w:r>
        <w:rPr>
          <w:rFonts w:hint="eastAsia"/>
        </w:rPr>
        <w:t>、</w:t>
      </w:r>
      <w:r>
        <w:t>国标（北京）检验认证有限公司</w:t>
      </w:r>
      <w:r>
        <w:rPr>
          <w:rFonts w:hint="eastAsia"/>
        </w:rPr>
        <w:t>负</w:t>
      </w:r>
      <w:r>
        <w:t>责</w:t>
      </w:r>
      <w:r>
        <w:rPr>
          <w:rFonts w:hint="eastAsia"/>
        </w:rPr>
        <w:t>起草，项目计划编号为</w:t>
      </w:r>
      <w:r>
        <w:fldChar w:fldCharType="begin"/>
      </w:r>
      <w:r>
        <w:instrText xml:space="preserve"> HYPERLINK "http://219.239.107.155:8080/TaskBook.aspx?id=YSCPZT06832020" </w:instrText>
      </w:r>
      <w:r>
        <w:fldChar w:fldCharType="separate"/>
      </w:r>
      <w:r>
        <w:t>2020-0713T-YS</w:t>
      </w:r>
      <w:r>
        <w:fldChar w:fldCharType="end"/>
      </w:r>
      <w:r>
        <w:rPr>
          <w:rFonts w:hint="eastAsia"/>
        </w:rPr>
        <w:t>，计划完成年限20</w:t>
      </w:r>
      <w:r>
        <w:t>22</w:t>
      </w:r>
      <w:r>
        <w:rPr>
          <w:rFonts w:hint="eastAsia"/>
        </w:rPr>
        <w:t>年。</w:t>
      </w:r>
    </w:p>
    <w:p>
      <w:pPr>
        <w:spacing w:after="156" w:afterLines="50" w:line="312" w:lineRule="auto"/>
        <w:rPr>
          <w:rFonts w:ascii="黑体" w:hAnsi="黑体" w:eastAsia="黑体"/>
        </w:rPr>
      </w:pPr>
      <w:r>
        <w:rPr>
          <w:rFonts w:ascii="黑体" w:hAnsi="黑体" w:eastAsia="黑体"/>
        </w:rPr>
        <w:t>2</w:t>
      </w:r>
      <w:r>
        <w:rPr>
          <w:rFonts w:hint="eastAsia" w:ascii="黑体" w:hAnsi="黑体" w:eastAsia="黑体"/>
        </w:rPr>
        <w:t>、项目编制组</w:t>
      </w:r>
      <w:r>
        <w:rPr>
          <w:rFonts w:ascii="黑体" w:hAnsi="黑体" w:eastAsia="黑体"/>
        </w:rPr>
        <w:t>单位及变化情况</w:t>
      </w:r>
    </w:p>
    <w:p>
      <w:pPr>
        <w:spacing w:line="360" w:lineRule="auto"/>
        <w:ind w:firstLine="420"/>
        <w:rPr>
          <w:szCs w:val="20"/>
        </w:rPr>
      </w:pPr>
      <w:r>
        <w:rPr>
          <w:rFonts w:hint="eastAsia"/>
          <w:szCs w:val="20"/>
        </w:rPr>
        <w:t>编制组成员</w:t>
      </w:r>
      <w:r>
        <w:rPr>
          <w:szCs w:val="20"/>
        </w:rPr>
        <w:t>包括</w:t>
      </w:r>
      <w:r>
        <w:rPr>
          <w:rFonts w:hAnsi="宋体"/>
          <w:szCs w:val="21"/>
        </w:rPr>
        <w:t>国核锆铪理化检测有限公司</w:t>
      </w:r>
      <w:r>
        <w:rPr>
          <w:rFonts w:hint="eastAsia" w:hAnsi="宋体"/>
          <w:szCs w:val="21"/>
        </w:rPr>
        <w:t>、集萃</w:t>
      </w:r>
      <w:r>
        <w:rPr>
          <w:rFonts w:hAnsi="宋体"/>
          <w:szCs w:val="21"/>
        </w:rPr>
        <w:t>新材料研发有限公司</w:t>
      </w:r>
      <w:r>
        <w:rPr>
          <w:rFonts w:hint="eastAsia" w:hAnsi="宋体"/>
          <w:szCs w:val="21"/>
        </w:rPr>
        <w:t>、</w:t>
      </w:r>
      <w:r>
        <w:rPr>
          <w:rFonts w:hint="eastAsia" w:ascii="宋体" w:hAnsi="宋体"/>
        </w:rPr>
        <w:t>昆明冶金研究院有限公司、广东先导</w:t>
      </w:r>
      <w:r>
        <w:rPr>
          <w:rFonts w:hint="eastAsia" w:ascii="宋体" w:hAnsi="宋体"/>
          <w:lang w:val="en-US" w:eastAsia="zh-CN"/>
        </w:rPr>
        <w:t>先进材料</w:t>
      </w:r>
      <w:r>
        <w:rPr>
          <w:rFonts w:hint="eastAsia" w:ascii="宋体" w:hAnsi="宋体"/>
        </w:rPr>
        <w:t>股份有限公司</w:t>
      </w:r>
      <w:r>
        <w:rPr>
          <w:rFonts w:hint="eastAsia"/>
          <w:szCs w:val="20"/>
        </w:rPr>
        <w:t>。</w:t>
      </w:r>
    </w:p>
    <w:p>
      <w:pPr>
        <w:pStyle w:val="120"/>
        <w:tabs>
          <w:tab w:val="clear" w:pos="675"/>
        </w:tabs>
        <w:spacing w:before="156" w:beforeLines="50" w:after="156" w:afterLines="50" w:line="312" w:lineRule="auto"/>
        <w:ind w:left="0" w:firstLine="0"/>
        <w:rPr>
          <w:rFonts w:hAnsi="黑体"/>
        </w:rPr>
      </w:pPr>
      <w:bookmarkStart w:id="0" w:name="_Toc451633880"/>
      <w:r>
        <w:rPr>
          <w:rFonts w:hAnsi="黑体"/>
        </w:rPr>
        <w:t>3</w:t>
      </w:r>
      <w:r>
        <w:rPr>
          <w:rFonts w:hint="eastAsia" w:hAnsi="黑体"/>
        </w:rPr>
        <w:t>、主要参加单位和工作成员及其所做的工作</w:t>
      </w:r>
      <w:bookmarkEnd w:id="0"/>
    </w:p>
    <w:p>
      <w:pPr>
        <w:spacing w:after="156" w:afterLines="50" w:line="312" w:lineRule="auto"/>
        <w:rPr>
          <w:rFonts w:ascii="黑体" w:hAnsi="黑体" w:eastAsia="黑体"/>
        </w:rPr>
      </w:pPr>
      <w:bookmarkStart w:id="1" w:name="_Toc451633881"/>
      <w:r>
        <w:rPr>
          <w:rFonts w:ascii="黑体" w:hAnsi="黑体" w:eastAsia="黑体"/>
        </w:rPr>
        <w:t>3.1</w:t>
      </w:r>
      <w:r>
        <w:rPr>
          <w:rFonts w:hint="eastAsia" w:ascii="黑体" w:hAnsi="黑体" w:eastAsia="黑体"/>
        </w:rPr>
        <w:t>主要参加单位情况</w:t>
      </w:r>
      <w:bookmarkEnd w:id="1"/>
    </w:p>
    <w:p>
      <w:pPr>
        <w:spacing w:line="360" w:lineRule="auto"/>
        <w:ind w:firstLine="420"/>
      </w:pPr>
      <w:r>
        <w:rPr>
          <w:rFonts w:hint="eastAsia"/>
        </w:rPr>
        <w:t>国合通用测试评价认证股份公司、国标（北京）检验认证有限公司作为</w:t>
      </w:r>
      <w:r>
        <w:t>起草单位，</w:t>
      </w:r>
      <w:r>
        <w:rPr>
          <w:rFonts w:hint="eastAsia"/>
        </w:rPr>
        <w:t>在标准制定过程中</w:t>
      </w:r>
      <w:r>
        <w:t>承担以下工作：</w:t>
      </w:r>
      <w:r>
        <w:rPr>
          <w:rFonts w:hint="eastAsia"/>
        </w:rPr>
        <w:t>负责统一样品的收集与发放；负责完成I</w:t>
      </w:r>
      <w:r>
        <w:t>CP-MS</w:t>
      </w:r>
      <w:r>
        <w:rPr>
          <w:rFonts w:hint="eastAsia"/>
        </w:rPr>
        <w:t>测定氧化锆中杂质元素的试验方案并撰写试验报告；负责</w:t>
      </w:r>
      <w:r>
        <w:t>组织</w:t>
      </w:r>
      <w:r>
        <w:rPr>
          <w:rFonts w:hint="eastAsia"/>
        </w:rPr>
        <w:t>验证</w:t>
      </w:r>
      <w:r>
        <w:t>单位完成验证报告，并在综合各验证单位意见的基础上提出《</w:t>
      </w:r>
      <w:r>
        <w:rPr>
          <w:rFonts w:hint="eastAsia"/>
        </w:rPr>
        <w:t>标准征求意见稿</w:t>
      </w:r>
      <w:r>
        <w:t>》</w:t>
      </w:r>
      <w:r>
        <w:rPr>
          <w:rFonts w:hint="eastAsia"/>
        </w:rPr>
        <w:t>；负责汇总精密度数据，完成数理统计</w:t>
      </w:r>
      <w:r>
        <w:t>工作；</w:t>
      </w:r>
      <w:r>
        <w:rPr>
          <w:rFonts w:hint="eastAsia"/>
        </w:rPr>
        <w:t>负责意见征集与</w:t>
      </w:r>
      <w:r>
        <w:t>汇总</w:t>
      </w:r>
      <w:r>
        <w:rPr>
          <w:rFonts w:hint="eastAsia"/>
        </w:rPr>
        <w:t>；并负责在标准预审会、审定会上进行项目介绍与答辩，</w:t>
      </w:r>
      <w:r>
        <w:t>最终</w:t>
      </w:r>
      <w:r>
        <w:rPr>
          <w:rFonts w:hint="eastAsia"/>
        </w:rPr>
        <w:t>形成</w:t>
      </w:r>
      <w:r>
        <w:t>报批稿，协助</w:t>
      </w:r>
      <w:r>
        <w:rPr>
          <w:rFonts w:hint="eastAsia"/>
        </w:rPr>
        <w:t>标准化技术委员会秘书处完成</w:t>
      </w:r>
      <w:r>
        <w:t>标准的报批工作。</w:t>
      </w:r>
    </w:p>
    <w:p>
      <w:pPr>
        <w:spacing w:line="360" w:lineRule="auto"/>
        <w:ind w:firstLine="420"/>
      </w:pPr>
      <w:r>
        <w:rPr>
          <w:szCs w:val="21"/>
        </w:rPr>
        <w:t>国核锆铪理化检测有限公司</w:t>
      </w:r>
      <w:r>
        <w:rPr>
          <w:rFonts w:hint="eastAsia"/>
          <w:szCs w:val="21"/>
        </w:rPr>
        <w:t>、</w:t>
      </w:r>
      <w:r>
        <w:rPr>
          <w:rFonts w:hint="eastAsia" w:hAnsi="宋体"/>
          <w:szCs w:val="21"/>
        </w:rPr>
        <w:t>集萃</w:t>
      </w:r>
      <w:r>
        <w:rPr>
          <w:rFonts w:hAnsi="宋体"/>
          <w:szCs w:val="21"/>
        </w:rPr>
        <w:t>新材料研发有限公司</w:t>
      </w:r>
      <w:r>
        <w:rPr>
          <w:rFonts w:hint="eastAsia"/>
          <w:szCs w:val="21"/>
        </w:rPr>
        <w:t>是</w:t>
      </w:r>
      <w:r>
        <w:rPr>
          <w:szCs w:val="21"/>
        </w:rPr>
        <w:t>方法的一验单位，负责</w:t>
      </w:r>
      <w:r>
        <w:rPr>
          <w:rFonts w:hint="eastAsia"/>
          <w:szCs w:val="21"/>
        </w:rPr>
        <w:t>逐条</w:t>
      </w:r>
      <w:r>
        <w:rPr>
          <w:szCs w:val="21"/>
        </w:rPr>
        <w:t>验证</w:t>
      </w:r>
      <w:r>
        <w:rPr>
          <w:rFonts w:hint="eastAsia"/>
          <w:szCs w:val="21"/>
        </w:rPr>
        <w:t>《研究</w:t>
      </w:r>
      <w:r>
        <w:rPr>
          <w:szCs w:val="21"/>
        </w:rPr>
        <w:t>报告</w:t>
      </w:r>
      <w:r>
        <w:rPr>
          <w:rFonts w:hint="eastAsia"/>
          <w:szCs w:val="21"/>
        </w:rPr>
        <w:t>》的章条款，</w:t>
      </w:r>
      <w:r>
        <w:rPr>
          <w:szCs w:val="21"/>
        </w:rPr>
        <w:t>对</w:t>
      </w:r>
      <w:r>
        <w:rPr>
          <w:rFonts w:hint="eastAsia"/>
          <w:szCs w:val="21"/>
        </w:rPr>
        <w:t>方法</w:t>
      </w:r>
      <w:r>
        <w:rPr>
          <w:szCs w:val="21"/>
        </w:rPr>
        <w:t>的可行性进行论证</w:t>
      </w:r>
      <w:r>
        <w:rPr>
          <w:rFonts w:hint="eastAsia"/>
          <w:szCs w:val="21"/>
        </w:rPr>
        <w:t>并</w:t>
      </w:r>
      <w:r>
        <w:rPr>
          <w:szCs w:val="21"/>
        </w:rPr>
        <w:t>给出结论</w:t>
      </w:r>
      <w:r>
        <w:rPr>
          <w:rFonts w:hint="eastAsia"/>
          <w:szCs w:val="21"/>
        </w:rPr>
        <w:t>；负责提供本</w:t>
      </w:r>
      <w:r>
        <w:rPr>
          <w:szCs w:val="21"/>
        </w:rPr>
        <w:t>试验室公共样品</w:t>
      </w:r>
      <w:r>
        <w:rPr>
          <w:rFonts w:hint="eastAsia"/>
          <w:szCs w:val="21"/>
        </w:rPr>
        <w:t>的原始测定</w:t>
      </w:r>
      <w:r>
        <w:rPr>
          <w:szCs w:val="21"/>
        </w:rPr>
        <w:t>数据</w:t>
      </w:r>
      <w:r>
        <w:rPr>
          <w:rFonts w:hint="eastAsia"/>
          <w:szCs w:val="21"/>
        </w:rPr>
        <w:t>；协助</w:t>
      </w:r>
      <w:r>
        <w:rPr>
          <w:szCs w:val="21"/>
        </w:rPr>
        <w:t>起草</w:t>
      </w:r>
      <w:r>
        <w:rPr>
          <w:rFonts w:hint="eastAsia"/>
          <w:szCs w:val="21"/>
        </w:rPr>
        <w:t>单位</w:t>
      </w:r>
      <w:r>
        <w:rPr>
          <w:szCs w:val="21"/>
        </w:rPr>
        <w:t>完成标准报批稿的校核工作。</w:t>
      </w:r>
    </w:p>
    <w:p>
      <w:pPr>
        <w:spacing w:line="360" w:lineRule="auto"/>
        <w:ind w:firstLine="420"/>
        <w:rPr>
          <w:szCs w:val="21"/>
        </w:rPr>
      </w:pPr>
      <w:r>
        <w:rPr>
          <w:rFonts w:hint="eastAsia" w:ascii="宋体" w:hAnsi="宋体"/>
        </w:rPr>
        <w:t>昆明冶金研究院有限公司、广东先导</w:t>
      </w:r>
      <w:r>
        <w:rPr>
          <w:rFonts w:hint="eastAsia" w:ascii="宋体" w:hAnsi="宋体"/>
          <w:lang w:val="en-US" w:eastAsia="zh-CN"/>
        </w:rPr>
        <w:t>先进材料</w:t>
      </w:r>
      <w:r>
        <w:rPr>
          <w:rFonts w:hint="eastAsia" w:ascii="宋体" w:hAnsi="宋体"/>
        </w:rPr>
        <w:t>股份有限公司</w:t>
      </w:r>
      <w:r>
        <w:rPr>
          <w:rFonts w:hint="eastAsia" w:ascii="Arial" w:hAnsi="Arial" w:cs="Arial"/>
          <w:color w:val="000000"/>
          <w:szCs w:val="21"/>
        </w:rPr>
        <w:t>是方法</w:t>
      </w:r>
      <w:r>
        <w:rPr>
          <w:rFonts w:ascii="Arial" w:hAnsi="Arial" w:cs="Arial"/>
          <w:color w:val="000000"/>
          <w:szCs w:val="21"/>
        </w:rPr>
        <w:t>的二验单位，</w:t>
      </w:r>
      <w:r>
        <w:rPr>
          <w:rFonts w:hint="eastAsia" w:ascii="Arial" w:hAnsi="Arial" w:cs="Arial"/>
          <w:color w:val="000000"/>
          <w:szCs w:val="21"/>
        </w:rPr>
        <w:t>主要按照</w:t>
      </w:r>
      <w:r>
        <w:rPr>
          <w:rFonts w:hint="eastAsia"/>
          <w:szCs w:val="21"/>
        </w:rPr>
        <w:t>《研究</w:t>
      </w:r>
      <w:r>
        <w:rPr>
          <w:szCs w:val="21"/>
        </w:rPr>
        <w:t>报告</w:t>
      </w:r>
      <w:r>
        <w:rPr>
          <w:rFonts w:hint="eastAsia"/>
          <w:szCs w:val="21"/>
        </w:rPr>
        <w:t>》中的</w:t>
      </w:r>
      <w:r>
        <w:rPr>
          <w:szCs w:val="21"/>
        </w:rPr>
        <w:t>试验步骤完成公共样品的测定</w:t>
      </w:r>
      <w:r>
        <w:rPr>
          <w:rFonts w:hint="eastAsia"/>
          <w:szCs w:val="21"/>
        </w:rPr>
        <w:t>并</w:t>
      </w:r>
      <w:r>
        <w:rPr>
          <w:szCs w:val="21"/>
        </w:rPr>
        <w:t>提供原始测定</w:t>
      </w:r>
      <w:r>
        <w:rPr>
          <w:rFonts w:hint="eastAsia"/>
          <w:szCs w:val="21"/>
        </w:rPr>
        <w:t>数据</w:t>
      </w:r>
      <w:r>
        <w:rPr>
          <w:szCs w:val="21"/>
        </w:rPr>
        <w:t>，对于试验中发现的问题及时反馈给起草单位。</w:t>
      </w:r>
    </w:p>
    <w:p>
      <w:pPr>
        <w:spacing w:after="156" w:afterLines="50" w:line="312" w:lineRule="auto"/>
        <w:rPr>
          <w:rFonts w:ascii="黑体" w:hAnsi="黑体" w:eastAsia="黑体"/>
        </w:rPr>
      </w:pPr>
      <w:r>
        <w:rPr>
          <w:rFonts w:ascii="黑体" w:hAnsi="黑体" w:eastAsia="黑体"/>
        </w:rPr>
        <w:t>3</w:t>
      </w:r>
      <w:r>
        <w:rPr>
          <w:rFonts w:hint="eastAsia" w:ascii="黑体" w:hAnsi="黑体" w:eastAsia="黑体"/>
        </w:rPr>
        <w:t>.</w:t>
      </w:r>
      <w:r>
        <w:rPr>
          <w:rFonts w:ascii="黑体" w:hAnsi="黑体" w:eastAsia="黑体"/>
        </w:rPr>
        <w:t>2</w:t>
      </w:r>
      <w:r>
        <w:rPr>
          <w:rFonts w:hint="eastAsia" w:ascii="黑体" w:hAnsi="黑体" w:eastAsia="黑体"/>
        </w:rPr>
        <w:t>主要工作成员所负责的工作情况</w:t>
      </w:r>
    </w:p>
    <w:p>
      <w:pPr>
        <w:pStyle w:val="84"/>
        <w:numPr>
          <w:ilvl w:val="255"/>
          <w:numId w:val="0"/>
        </w:numPr>
        <w:adjustRightInd w:val="0"/>
        <w:snapToGrid w:val="0"/>
        <w:spacing w:before="0" w:beforeAutospacing="0" w:after="0" w:afterAutospacing="0" w:line="312" w:lineRule="auto"/>
        <w:ind w:firstLine="420" w:firstLineChars="200"/>
        <w:jc w:val="both"/>
        <w:rPr>
          <w:rFonts w:ascii="Times New Roman" w:cs="Times New Roman"/>
          <w:kern w:val="2"/>
          <w:sz w:val="21"/>
        </w:rPr>
      </w:pPr>
      <w:r>
        <w:rPr>
          <w:rFonts w:hint="eastAsia" w:ascii="Times New Roman" w:cs="Times New Roman"/>
          <w:kern w:val="2"/>
          <w:sz w:val="21"/>
        </w:rPr>
        <w:t>本标准主要起草人及工作职责见表1。</w:t>
      </w:r>
    </w:p>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表1 主要起草人及工作职责</w:t>
      </w:r>
    </w:p>
    <w:tbl>
      <w:tblPr>
        <w:tblStyle w:val="107"/>
        <w:tblW w:w="9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5"/>
        <w:gridCol w:w="6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5" w:type="dxa"/>
          </w:tcPr>
          <w:p>
            <w:pPr>
              <w:spacing w:line="312" w:lineRule="auto"/>
              <w:ind w:firstLine="435"/>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起草人</w:t>
            </w:r>
          </w:p>
        </w:tc>
        <w:tc>
          <w:tcPr>
            <w:tcW w:w="6621" w:type="dxa"/>
          </w:tcPr>
          <w:p>
            <w:pPr>
              <w:spacing w:line="312" w:lineRule="auto"/>
              <w:ind w:firstLine="435"/>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5" w:type="dxa"/>
            <w:vAlign w:val="center"/>
          </w:tcPr>
          <w:p>
            <w:pPr>
              <w:pStyle w:val="84"/>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墨淑敏、李爱嫦</w:t>
            </w:r>
          </w:p>
        </w:tc>
        <w:tc>
          <w:tcPr>
            <w:tcW w:w="6621" w:type="dxa"/>
          </w:tcPr>
          <w:p>
            <w:pPr>
              <w:pStyle w:val="84"/>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负责方法</w:t>
            </w:r>
            <w:r>
              <w:rPr>
                <w:rFonts w:ascii="Times New Roman" w:cs="Times New Roman"/>
                <w:color w:val="000000" w:themeColor="text1"/>
                <w:kern w:val="2"/>
                <w:sz w:val="18"/>
                <w:szCs w:val="18"/>
                <w14:textFill>
                  <w14:solidFill>
                    <w14:schemeClr w14:val="tx1"/>
                  </w14:solidFill>
                </w14:textFill>
              </w:rPr>
              <w:t>的起草，</w:t>
            </w:r>
            <w:r>
              <w:rPr>
                <w:rFonts w:hint="eastAsia" w:ascii="Times New Roman" w:cs="Times New Roman"/>
                <w:color w:val="000000" w:themeColor="text1"/>
                <w:kern w:val="2"/>
                <w:sz w:val="18"/>
                <w:szCs w:val="18"/>
                <w14:textFill>
                  <w14:solidFill>
                    <w14:schemeClr w14:val="tx1"/>
                  </w14:solidFill>
                </w14:textFill>
              </w:rPr>
              <w:t>各阶段标准文本、</w:t>
            </w:r>
            <w:r>
              <w:rPr>
                <w:rFonts w:ascii="Times New Roman" w:cs="Times New Roman"/>
                <w:color w:val="000000" w:themeColor="text1"/>
                <w:kern w:val="2"/>
                <w:sz w:val="18"/>
                <w:szCs w:val="18"/>
                <w14:textFill>
                  <w14:solidFill>
                    <w14:schemeClr w14:val="tx1"/>
                  </w14:solidFill>
                </w14:textFill>
              </w:rPr>
              <w:t>编制说明</w:t>
            </w:r>
            <w:r>
              <w:rPr>
                <w:rFonts w:hint="eastAsia" w:ascii="Times New Roman" w:cs="Times New Roman"/>
                <w:color w:val="000000" w:themeColor="text1"/>
                <w:kern w:val="2"/>
                <w:sz w:val="18"/>
                <w:szCs w:val="18"/>
                <w14:textFill>
                  <w14:solidFill>
                    <w14:schemeClr w14:val="tx1"/>
                  </w14:solidFill>
                </w14:textFill>
              </w:rPr>
              <w:t>的编写、数据</w:t>
            </w:r>
            <w:r>
              <w:rPr>
                <w:rFonts w:ascii="Times New Roman" w:cs="Times New Roman"/>
                <w:color w:val="000000" w:themeColor="text1"/>
                <w:kern w:val="2"/>
                <w:sz w:val="18"/>
                <w:szCs w:val="18"/>
                <w14:textFill>
                  <w14:solidFill>
                    <w14:schemeClr w14:val="tx1"/>
                  </w14:solidFill>
                </w14:textFill>
              </w:rPr>
              <w:t>统计</w:t>
            </w:r>
            <w:r>
              <w:rPr>
                <w:rFonts w:hint="eastAsia" w:ascii="Times New Roman" w:cs="Times New Roman"/>
                <w:color w:val="000000" w:themeColor="text1"/>
                <w:kern w:val="2"/>
                <w:sz w:val="18"/>
                <w:szCs w:val="18"/>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5" w:type="dxa"/>
            <w:vAlign w:val="center"/>
          </w:tcPr>
          <w:p>
            <w:pPr>
              <w:pStyle w:val="84"/>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王长华、</w:t>
            </w:r>
            <w:r>
              <w:rPr>
                <w:rFonts w:ascii="Times New Roman"/>
                <w:color w:val="000000" w:themeColor="text1"/>
                <w:sz w:val="18"/>
                <w:szCs w:val="18"/>
                <w14:textFill>
                  <w14:solidFill>
                    <w14:schemeClr w14:val="tx1"/>
                  </w14:solidFill>
                </w14:textFill>
              </w:rPr>
              <w:t>潘元海</w:t>
            </w:r>
          </w:p>
        </w:tc>
        <w:tc>
          <w:tcPr>
            <w:tcW w:w="6621" w:type="dxa"/>
          </w:tcPr>
          <w:p>
            <w:pPr>
              <w:pStyle w:val="84"/>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组织协调</w:t>
            </w:r>
            <w:r>
              <w:rPr>
                <w:rFonts w:ascii="Times New Roman"/>
                <w:color w:val="000000" w:themeColor="text1"/>
                <w:sz w:val="18"/>
                <w:szCs w:val="18"/>
                <w14:textFill>
                  <w14:solidFill>
                    <w14:schemeClr w14:val="tx1"/>
                  </w14:solidFill>
                </w14:textFill>
              </w:rPr>
              <w:t>并</w:t>
            </w:r>
            <w:r>
              <w:rPr>
                <w:rFonts w:hint="eastAsia" w:ascii="Times New Roman"/>
                <w:color w:val="000000" w:themeColor="text1"/>
                <w:sz w:val="18"/>
                <w:szCs w:val="18"/>
                <w14:textFill>
                  <w14:solidFill>
                    <w14:schemeClr w14:val="tx1"/>
                  </w14:solidFill>
                </w14:textFill>
              </w:rPr>
              <w:t>协助</w:t>
            </w:r>
            <w:r>
              <w:rPr>
                <w:rFonts w:ascii="Times New Roman"/>
                <w:color w:val="000000" w:themeColor="text1"/>
                <w:sz w:val="18"/>
                <w:szCs w:val="18"/>
                <w14:textFill>
                  <w14:solidFill>
                    <w14:schemeClr w14:val="tx1"/>
                  </w14:solidFill>
                </w14:textFill>
              </w:rPr>
              <w:t>完成试验</w:t>
            </w:r>
            <w:r>
              <w:rPr>
                <w:rFonts w:hint="eastAsia" w:ascii="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5" w:type="dxa"/>
            <w:vAlign w:val="center"/>
          </w:tcPr>
          <w:p>
            <w:pPr>
              <w:pStyle w:val="84"/>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赵旭东、王桃霞</w:t>
            </w:r>
            <w:r>
              <w:rPr>
                <w:rFonts w:ascii="Times New Roman" w:cs="Times New Roman"/>
                <w:color w:val="000000" w:themeColor="text1"/>
                <w:kern w:val="2"/>
                <w:sz w:val="18"/>
                <w:szCs w:val="18"/>
                <w14:textFill>
                  <w14:solidFill>
                    <w14:schemeClr w14:val="tx1"/>
                  </w14:solidFill>
                </w14:textFill>
              </w:rPr>
              <w:t>、</w:t>
            </w:r>
            <w:r>
              <w:rPr>
                <w:rFonts w:hint="eastAsia" w:ascii="Times New Roman" w:cs="Times New Roman"/>
                <w:color w:val="000000" w:themeColor="text1"/>
                <w:kern w:val="2"/>
                <w:sz w:val="18"/>
                <w:szCs w:val="18"/>
                <w14:textFill>
                  <w14:solidFill>
                    <w14:schemeClr w14:val="tx1"/>
                  </w14:solidFill>
                </w14:textFill>
              </w:rPr>
              <w:t>陆建国</w:t>
            </w:r>
          </w:p>
        </w:tc>
        <w:tc>
          <w:tcPr>
            <w:tcW w:w="6621" w:type="dxa"/>
          </w:tcPr>
          <w:p>
            <w:pPr>
              <w:pStyle w:val="84"/>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负责</w:t>
            </w:r>
            <w:r>
              <w:rPr>
                <w:rFonts w:ascii="Times New Roman"/>
                <w:color w:val="000000" w:themeColor="text1"/>
                <w:sz w:val="18"/>
                <w:szCs w:val="18"/>
                <w14:textFill>
                  <w14:solidFill>
                    <w14:schemeClr w14:val="tx1"/>
                  </w14:solidFill>
                </w14:textFill>
              </w:rPr>
              <w:t>方法</w:t>
            </w:r>
            <w:r>
              <w:rPr>
                <w:rFonts w:hint="eastAsia" w:ascii="Times New Roman"/>
                <w:color w:val="000000" w:themeColor="text1"/>
                <w:sz w:val="18"/>
                <w:szCs w:val="18"/>
                <w14:textFill>
                  <w14:solidFill>
                    <w14:schemeClr w14:val="tx1"/>
                  </w14:solidFill>
                </w14:textFill>
              </w:rPr>
              <w:t>一验工作</w:t>
            </w:r>
            <w:r>
              <w:rPr>
                <w:rFonts w:ascii="Times New Roman"/>
                <w:color w:val="000000" w:themeColor="text1"/>
                <w:sz w:val="18"/>
                <w:szCs w:val="18"/>
                <w14:textFill>
                  <w14:solidFill>
                    <w14:schemeClr w14:val="tx1"/>
                  </w14:solidFill>
                </w14:textFill>
              </w:rPr>
              <w:t>，对GDMS</w:t>
            </w:r>
            <w:r>
              <w:rPr>
                <w:rFonts w:hint="eastAsia" w:ascii="Times New Roman"/>
                <w:color w:val="000000" w:themeColor="text1"/>
                <w:sz w:val="18"/>
                <w:szCs w:val="18"/>
                <w14:textFill>
                  <w14:solidFill>
                    <w14:schemeClr w14:val="tx1"/>
                  </w14:solidFill>
                </w14:textFill>
              </w:rPr>
              <w:t>的</w:t>
            </w:r>
            <w:r>
              <w:rPr>
                <w:rFonts w:ascii="Times New Roman"/>
                <w:color w:val="000000" w:themeColor="text1"/>
                <w:sz w:val="18"/>
                <w:szCs w:val="18"/>
                <w14:textFill>
                  <w14:solidFill>
                    <w14:schemeClr w14:val="tx1"/>
                  </w14:solidFill>
                </w14:textFill>
              </w:rPr>
              <w:t>条件实验进行了验证，并完成精密度</w:t>
            </w:r>
            <w:r>
              <w:rPr>
                <w:rFonts w:hint="eastAsia" w:ascii="Times New Roman"/>
                <w:color w:val="000000" w:themeColor="text1"/>
                <w:sz w:val="18"/>
                <w:szCs w:val="18"/>
                <w14:textFill>
                  <w14:solidFill>
                    <w14:schemeClr w14:val="tx1"/>
                  </w14:solidFill>
                </w14:textFill>
              </w:rPr>
              <w:t>原始</w:t>
            </w:r>
            <w:r>
              <w:rPr>
                <w:rFonts w:ascii="Times New Roman"/>
                <w:color w:val="000000" w:themeColor="text1"/>
                <w:sz w:val="18"/>
                <w:szCs w:val="18"/>
                <w14:textFill>
                  <w14:solidFill>
                    <w14:schemeClr w14:val="tx1"/>
                  </w14:solidFill>
                </w14:textFill>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5" w:type="dxa"/>
            <w:vAlign w:val="center"/>
          </w:tcPr>
          <w:p>
            <w:pPr>
              <w:pStyle w:val="84"/>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杨海岸、</w:t>
            </w:r>
            <w:r>
              <w:rPr>
                <w:rFonts w:hint="eastAsia" w:ascii="Times New Roman" w:cs="Times New Roman"/>
                <w:color w:val="000000" w:themeColor="text1"/>
                <w:kern w:val="2"/>
                <w:sz w:val="18"/>
                <w:szCs w:val="18"/>
                <w:lang w:val="en-US" w:eastAsia="zh-CN"/>
                <w14:textFill>
                  <w14:solidFill>
                    <w14:schemeClr w14:val="tx1"/>
                  </w14:solidFill>
                </w14:textFill>
              </w:rPr>
              <w:t>谭秀珍</w:t>
            </w:r>
          </w:p>
        </w:tc>
        <w:tc>
          <w:tcPr>
            <w:tcW w:w="6621" w:type="dxa"/>
            <w:vAlign w:val="center"/>
          </w:tcPr>
          <w:p>
            <w:pPr>
              <w:pStyle w:val="84"/>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负责</w:t>
            </w:r>
            <w:r>
              <w:rPr>
                <w:rFonts w:ascii="Times New Roman"/>
                <w:color w:val="000000" w:themeColor="text1"/>
                <w:sz w:val="18"/>
                <w:szCs w:val="18"/>
                <w14:textFill>
                  <w14:solidFill>
                    <w14:schemeClr w14:val="tx1"/>
                  </w14:solidFill>
                </w14:textFill>
              </w:rPr>
              <w:t>二验，提供了精密度</w:t>
            </w:r>
            <w:r>
              <w:rPr>
                <w:rFonts w:hint="eastAsia" w:ascii="Times New Roman"/>
                <w:color w:val="000000" w:themeColor="text1"/>
                <w:sz w:val="18"/>
                <w:szCs w:val="18"/>
                <w14:textFill>
                  <w14:solidFill>
                    <w14:schemeClr w14:val="tx1"/>
                  </w14:solidFill>
                </w14:textFill>
              </w:rPr>
              <w:t>原始</w:t>
            </w:r>
            <w:r>
              <w:rPr>
                <w:rFonts w:ascii="Times New Roman"/>
                <w:color w:val="000000" w:themeColor="text1"/>
                <w:sz w:val="18"/>
                <w:szCs w:val="18"/>
                <w14:textFill>
                  <w14:solidFill>
                    <w14:schemeClr w14:val="tx1"/>
                  </w14:solidFill>
                </w14:textFill>
              </w:rPr>
              <w:t>数据</w:t>
            </w:r>
            <w:r>
              <w:rPr>
                <w:rFonts w:hint="eastAsia" w:ascii="Times New Roman"/>
                <w:color w:val="000000" w:themeColor="text1"/>
                <w:sz w:val="18"/>
                <w:szCs w:val="18"/>
                <w14:textFill>
                  <w14:solidFill>
                    <w14:schemeClr w14:val="tx1"/>
                  </w14:solidFill>
                </w14:textFill>
              </w:rPr>
              <w:t>。</w:t>
            </w:r>
          </w:p>
        </w:tc>
      </w:tr>
    </w:tbl>
    <w:p>
      <w:pPr>
        <w:pStyle w:val="120"/>
        <w:tabs>
          <w:tab w:val="clear" w:pos="675"/>
        </w:tabs>
        <w:spacing w:before="156" w:beforeLines="50" w:after="156" w:afterLines="50" w:line="312" w:lineRule="auto"/>
        <w:ind w:left="0" w:firstLine="0"/>
        <w:rPr>
          <w:rFonts w:hAnsi="黑体"/>
        </w:rPr>
      </w:pPr>
      <w:r>
        <w:rPr>
          <w:rFonts w:hAnsi="黑体"/>
        </w:rPr>
        <w:t>4</w:t>
      </w:r>
      <w:r>
        <w:rPr>
          <w:rFonts w:hint="eastAsia" w:hAnsi="黑体"/>
        </w:rPr>
        <w:t>、主要工作过程</w:t>
      </w:r>
    </w:p>
    <w:p>
      <w:pPr>
        <w:spacing w:before="156" w:beforeLines="50" w:after="156" w:afterLines="50" w:line="312" w:lineRule="auto"/>
        <w:rPr>
          <w:rFonts w:ascii="黑体" w:hAnsi="黑体" w:eastAsia="黑体"/>
        </w:rPr>
      </w:pPr>
      <w:r>
        <w:rPr>
          <w:rFonts w:ascii="黑体" w:hAnsi="黑体" w:eastAsia="黑体"/>
        </w:rPr>
        <w:t>4.1</w:t>
      </w:r>
      <w:r>
        <w:rPr>
          <w:rFonts w:hint="eastAsia" w:ascii="黑体" w:hAnsi="黑体" w:eastAsia="黑体"/>
        </w:rPr>
        <w:t xml:space="preserve"> 起草阶段</w:t>
      </w:r>
    </w:p>
    <w:p>
      <w:pPr>
        <w:spacing w:line="300" w:lineRule="auto"/>
        <w:rPr>
          <w:rFonts w:ascii="黑体" w:hAnsi="黑体" w:eastAsia="黑体"/>
        </w:rPr>
      </w:pPr>
      <w:r>
        <w:rPr>
          <w:rFonts w:hint="eastAsia" w:ascii="黑体" w:hAnsi="黑体" w:eastAsia="黑体"/>
        </w:rPr>
        <w:t>（1）任务落实</w:t>
      </w:r>
    </w:p>
    <w:p>
      <w:pPr>
        <w:spacing w:line="300" w:lineRule="auto"/>
        <w:ind w:firstLine="420"/>
      </w:pPr>
      <w:r>
        <w:t>2020年8月</w:t>
      </w:r>
      <w:r>
        <w:rPr>
          <w:rFonts w:hAnsi="宋体"/>
          <w:szCs w:val="20"/>
        </w:rPr>
        <w:t>，工业和信息化部下达工信厅科函</w:t>
      </w:r>
      <w:r>
        <w:rPr>
          <w:rFonts w:hint="eastAsia"/>
        </w:rPr>
        <w:t>﹝2020﹞181号</w:t>
      </w:r>
      <w:r>
        <w:rPr>
          <w:rFonts w:hAnsi="宋体"/>
          <w:szCs w:val="20"/>
        </w:rPr>
        <w:t>文件，</w:t>
      </w:r>
      <w:r>
        <w:rPr>
          <w:rFonts w:hint="eastAsia" w:hAnsi="宋体"/>
          <w:szCs w:val="20"/>
        </w:rPr>
        <w:t>正式批复本项目，</w:t>
      </w:r>
      <w:r>
        <w:rPr>
          <w:rFonts w:hAnsi="宋体"/>
          <w:szCs w:val="20"/>
        </w:rPr>
        <w:t>项目计划编号为</w:t>
      </w:r>
      <w:r>
        <w:fldChar w:fldCharType="begin"/>
      </w:r>
      <w:r>
        <w:instrText xml:space="preserve"> HYPERLINK "http://219.239.107.155:8080/TaskBook.aspx?id=YSCPZT06832020" </w:instrText>
      </w:r>
      <w:r>
        <w:fldChar w:fldCharType="separate"/>
      </w:r>
      <w:r>
        <w:t>2020-0713T-YS</w:t>
      </w:r>
      <w:r>
        <w:fldChar w:fldCharType="end"/>
      </w:r>
      <w:r>
        <w:rPr>
          <w:rFonts w:hAnsi="宋体"/>
          <w:szCs w:val="20"/>
        </w:rPr>
        <w:t>。</w:t>
      </w:r>
      <w:r>
        <w:rPr>
          <w:rFonts w:hint="eastAsia"/>
        </w:rPr>
        <w:t>20</w:t>
      </w:r>
      <w:r>
        <w:t>20</w:t>
      </w:r>
      <w:r>
        <w:rPr>
          <w:rFonts w:hint="eastAsia"/>
        </w:rPr>
        <w:t>年</w:t>
      </w:r>
      <w:r>
        <w:t>11</w:t>
      </w:r>
      <w:r>
        <w:rPr>
          <w:rFonts w:hint="eastAsia"/>
        </w:rPr>
        <w:t>月</w:t>
      </w:r>
      <w:r>
        <w:t>2</w:t>
      </w:r>
      <w:r>
        <w:rPr>
          <w:rFonts w:hint="eastAsia"/>
        </w:rPr>
        <w:t>日～</w:t>
      </w:r>
      <w:r>
        <w:t>4</w:t>
      </w:r>
      <w:r>
        <w:rPr>
          <w:rFonts w:hint="eastAsia"/>
        </w:rPr>
        <w:t>日全国有色金属标准化技术委员会在浙江省桐乡市召开有色金属标准项目任务落实会议，会上确定了标准制定的起草单位为国合通用测试评价认证股份有限公司和国标（北京）检验认证有限公司，</w:t>
      </w:r>
      <w:r>
        <w:t>国核锆铪理化检测有限公司</w:t>
      </w:r>
      <w:r>
        <w:rPr>
          <w:rFonts w:hint="eastAsia"/>
        </w:rPr>
        <w:t>、集萃</w:t>
      </w:r>
      <w:r>
        <w:t>新材料研发有限公司</w:t>
      </w:r>
      <w:r>
        <w:rPr>
          <w:rFonts w:hint="eastAsia"/>
        </w:rPr>
        <w:t>、广东先导</w:t>
      </w:r>
      <w:r>
        <w:rPr>
          <w:rFonts w:hint="eastAsia" w:ascii="宋体" w:hAnsi="宋体"/>
          <w:lang w:val="en-US" w:eastAsia="zh-CN"/>
        </w:rPr>
        <w:t>先进材料</w:t>
      </w:r>
      <w:r>
        <w:rPr>
          <w:rFonts w:hint="eastAsia"/>
        </w:rPr>
        <w:t>股份有限公司、昆明冶金研究院参与验证。</w:t>
      </w:r>
    </w:p>
    <w:p>
      <w:pPr>
        <w:spacing w:line="300" w:lineRule="auto"/>
        <w:rPr>
          <w:rFonts w:ascii="黑体" w:hAnsi="黑体" w:eastAsia="黑体"/>
        </w:rPr>
      </w:pPr>
      <w:r>
        <w:rPr>
          <w:rFonts w:hint="eastAsia" w:ascii="黑体" w:hAnsi="黑体" w:eastAsia="黑体"/>
        </w:rPr>
        <w:t>（2）样品收集及试验研究</w:t>
      </w:r>
    </w:p>
    <w:p>
      <w:pPr>
        <w:spacing w:line="300" w:lineRule="auto"/>
        <w:ind w:firstLine="420" w:firstLineChars="200"/>
      </w:pPr>
      <w:r>
        <w:rPr>
          <w:rFonts w:hint="eastAsia"/>
        </w:rPr>
        <w:t>国合通用测试评价认证股份有限公司接受任务后，成立了《</w:t>
      </w:r>
      <w:r>
        <w:rPr>
          <w:rFonts w:hint="eastAsia"/>
          <w:szCs w:val="21"/>
        </w:rPr>
        <w:t>高纯锆化学分析方法 痕量杂质元素含量的测定  辉光放电质谱法</w:t>
      </w:r>
      <w:r>
        <w:rPr>
          <w:rFonts w:hint="eastAsia"/>
        </w:rPr>
        <w:t>》研发组，负责完成辉光放电质谱法测定高纯铪样品的相关条件实验及公共样品的测定。20</w:t>
      </w:r>
      <w:r>
        <w:t>20</w:t>
      </w:r>
      <w:r>
        <w:rPr>
          <w:rFonts w:hint="eastAsia"/>
        </w:rPr>
        <w:t>年</w:t>
      </w:r>
      <w:r>
        <w:t>11</w:t>
      </w:r>
      <w:r>
        <w:rPr>
          <w:rFonts w:hint="eastAsia"/>
        </w:rPr>
        <w:t>月，</w:t>
      </w:r>
      <w:r>
        <w:rPr>
          <w:rFonts w:hint="eastAsia"/>
          <w:color w:val="000000" w:themeColor="text1"/>
          <w14:textFill>
            <w14:solidFill>
              <w14:schemeClr w14:val="tx1"/>
            </w14:solidFill>
          </w14:textFill>
        </w:rPr>
        <w:t>起草</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向</w:t>
      </w:r>
      <w:r>
        <w:rPr>
          <w:color w:val="000000" w:themeColor="text1"/>
          <w:szCs w:val="20"/>
          <w14:textFill>
            <w14:solidFill>
              <w14:schemeClr w14:val="tx1"/>
            </w14:solidFill>
          </w14:textFill>
        </w:rPr>
        <w:t>有研资源环境技术研究院（北京）有限公司</w:t>
      </w:r>
      <w:r>
        <w:rPr>
          <w:rFonts w:hint="eastAsia"/>
        </w:rPr>
        <w:t>征集了3个高纯锆锭。</w:t>
      </w:r>
    </w:p>
    <w:p>
      <w:pPr>
        <w:tabs>
          <w:tab w:val="left" w:pos="1118"/>
        </w:tabs>
        <w:spacing w:line="300" w:lineRule="auto"/>
        <w:ind w:firstLine="420" w:firstLineChars="200"/>
      </w:pPr>
      <w:r>
        <w:rPr>
          <w:rFonts w:hint="eastAsia" w:hAnsi="宋体"/>
          <w:szCs w:val="21"/>
        </w:rPr>
        <w:t>对3</w:t>
      </w:r>
      <w:r>
        <w:rPr>
          <w:rFonts w:hAnsi="宋体"/>
          <w:szCs w:val="21"/>
        </w:rPr>
        <w:t>#</w:t>
      </w:r>
      <w:r>
        <w:rPr>
          <w:rFonts w:hint="eastAsia" w:hAnsi="宋体"/>
          <w:szCs w:val="21"/>
        </w:rPr>
        <w:t>锆锭</w:t>
      </w:r>
      <w:r>
        <w:rPr>
          <w:rFonts w:hint="eastAsia"/>
        </w:rPr>
        <w:t>中</w:t>
      </w:r>
      <w:r>
        <w:t>采用GB/T 13747.27-2020</w:t>
      </w:r>
      <w:r>
        <w:rPr>
          <w:rFonts w:hint="eastAsia"/>
        </w:rPr>
        <w:t>《</w:t>
      </w:r>
      <w:r>
        <w:t>锆及锆合金化学分析方法 第 27部分</w:t>
      </w:r>
      <w:r>
        <w:rPr>
          <w:rFonts w:hint="eastAsia"/>
        </w:rPr>
        <w:t>：</w:t>
      </w:r>
      <w:r>
        <w:t>痕量杂质元素的测定 电感耦合等离子体质谱法</w:t>
      </w:r>
      <w:r>
        <w:rPr>
          <w:rFonts w:hint="eastAsia"/>
        </w:rPr>
        <w:t>》 方法</w:t>
      </w:r>
      <w:r>
        <w:t>定值，</w:t>
      </w:r>
      <w:r>
        <w:rPr>
          <w:rFonts w:hint="eastAsia"/>
        </w:rPr>
        <w:t xml:space="preserve"> Mg</w:t>
      </w:r>
      <w:r>
        <w:t>、Al、Mn、Cr、Ni</w:t>
      </w:r>
      <w:r>
        <w:rPr>
          <w:rFonts w:hint="eastAsia"/>
        </w:rPr>
        <w:t>、</w:t>
      </w:r>
      <w:r>
        <w:t>Cu、Mo、Sn、Hf等元素</w:t>
      </w:r>
      <w:r>
        <w:rPr>
          <w:rFonts w:hint="eastAsia"/>
        </w:rPr>
        <w:t>定值</w:t>
      </w:r>
      <w:r>
        <w:t>结果见表3</w:t>
      </w:r>
      <w:r>
        <w:rPr>
          <w:rFonts w:hint="eastAsia"/>
        </w:rPr>
        <w:t>。上述</w:t>
      </w:r>
      <w:r>
        <w:t>元素含量范围</w:t>
      </w:r>
      <w:r>
        <w:rPr>
          <w:szCs w:val="21"/>
        </w:rPr>
        <w:t xml:space="preserve">0.50 mg/kg </w:t>
      </w:r>
      <w:r>
        <w:t>～</w:t>
      </w:r>
      <w:r>
        <w:rPr>
          <w:szCs w:val="21"/>
        </w:rPr>
        <w:t>50 mg/kg</w:t>
      </w:r>
      <w:r>
        <w:rPr>
          <w:rFonts w:hint="eastAsia"/>
          <w:szCs w:val="21"/>
        </w:rPr>
        <w:t>可</w:t>
      </w:r>
      <w:r>
        <w:rPr>
          <w:szCs w:val="21"/>
        </w:rPr>
        <w:t>作为</w:t>
      </w:r>
      <w:r>
        <w:rPr>
          <w:rFonts w:hint="eastAsia"/>
          <w:szCs w:val="21"/>
        </w:rPr>
        <w:t>锆</w:t>
      </w:r>
      <w:r>
        <w:rPr>
          <w:szCs w:val="21"/>
        </w:rPr>
        <w:t>标准样品调节GDMS仪器的RSF因子</w:t>
      </w:r>
      <w:r>
        <w:rPr>
          <w:rFonts w:hint="eastAsia"/>
          <w:szCs w:val="21"/>
        </w:rPr>
        <w:t>。定值</w:t>
      </w:r>
      <w:r>
        <w:rPr>
          <w:szCs w:val="21"/>
        </w:rPr>
        <w:t>标样的引入大大提高了检测的准确度。</w:t>
      </w:r>
    </w:p>
    <w:p>
      <w:pPr>
        <w:autoSpaceDE w:val="0"/>
        <w:autoSpaceDN w:val="0"/>
        <w:adjustRightInd w:val="0"/>
        <w:spacing w:line="360" w:lineRule="auto"/>
        <w:jc w:val="center"/>
        <w:rPr>
          <w:rFonts w:ascii="黑体" w:hAnsi="黑体" w:eastAsia="黑体"/>
          <w:szCs w:val="21"/>
        </w:rPr>
      </w:pPr>
      <w:r>
        <w:rPr>
          <w:rFonts w:hint="eastAsia" w:ascii="黑体" w:hAnsi="黑体" w:eastAsia="黑体"/>
          <w:szCs w:val="21"/>
        </w:rPr>
        <w:t>表</w:t>
      </w:r>
      <w:r>
        <w:rPr>
          <w:rFonts w:ascii="黑体" w:hAnsi="黑体" w:eastAsia="黑体"/>
          <w:szCs w:val="21"/>
        </w:rPr>
        <w:t>2</w:t>
      </w:r>
      <w:r>
        <w:rPr>
          <w:rFonts w:hint="eastAsia" w:ascii="黑体" w:hAnsi="黑体" w:eastAsia="黑体"/>
          <w:szCs w:val="21"/>
        </w:rPr>
        <w:t xml:space="preserve">  </w:t>
      </w:r>
      <w:r>
        <w:rPr>
          <w:rFonts w:ascii="黑体" w:hAnsi="黑体" w:eastAsia="黑体"/>
          <w:szCs w:val="21"/>
        </w:rPr>
        <w:t>3#</w:t>
      </w:r>
      <w:r>
        <w:rPr>
          <w:rFonts w:hint="eastAsia" w:ascii="黑体" w:hAnsi="黑体" w:eastAsia="黑体"/>
          <w:szCs w:val="21"/>
        </w:rPr>
        <w:t>高纯锆样品ICP-MS定值</w:t>
      </w:r>
      <w:r>
        <w:rPr>
          <w:rFonts w:ascii="黑体" w:hAnsi="黑体" w:eastAsia="黑体"/>
          <w:szCs w:val="21"/>
        </w:rPr>
        <w:t>结果</w:t>
      </w:r>
    </w:p>
    <w:tbl>
      <w:tblPr>
        <w:tblStyle w:val="106"/>
        <w:tblW w:w="9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2619"/>
        <w:gridCol w:w="2350"/>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2435" w:type="dxa"/>
            <w:tcBorders>
              <w:top w:val="single" w:color="auto" w:sz="12" w:space="0"/>
              <w:left w:val="nil"/>
              <w:bottom w:val="single" w:color="auto" w:sz="12" w:space="0"/>
              <w:right w:val="nil"/>
            </w:tcBorders>
            <w:vAlign w:val="center"/>
          </w:tcPr>
          <w:p>
            <w:pPr>
              <w:spacing w:line="360" w:lineRule="auto"/>
              <w:jc w:val="center"/>
              <w:rPr>
                <w:color w:val="000000"/>
                <w:szCs w:val="21"/>
              </w:rPr>
            </w:pPr>
            <w:r>
              <w:rPr>
                <w:rFonts w:hint="eastAsia"/>
                <w:color w:val="000000"/>
                <w:szCs w:val="21"/>
              </w:rPr>
              <w:t>元素</w:t>
            </w:r>
          </w:p>
        </w:tc>
        <w:tc>
          <w:tcPr>
            <w:tcW w:w="2619" w:type="dxa"/>
            <w:tcBorders>
              <w:top w:val="single" w:color="auto" w:sz="12" w:space="0"/>
              <w:left w:val="nil"/>
              <w:bottom w:val="single" w:color="auto" w:sz="12" w:space="0"/>
              <w:right w:val="double" w:color="auto" w:sz="6" w:space="0"/>
            </w:tcBorders>
            <w:vAlign w:val="center"/>
          </w:tcPr>
          <w:p>
            <w:pPr>
              <w:spacing w:line="360" w:lineRule="auto"/>
              <w:jc w:val="center"/>
              <w:rPr>
                <w:color w:val="000000"/>
                <w:szCs w:val="21"/>
              </w:rPr>
            </w:pPr>
            <w:r>
              <w:rPr>
                <w:rFonts w:hint="eastAsia"/>
                <w:color w:val="000000"/>
                <w:szCs w:val="21"/>
              </w:rPr>
              <w:t>ICP-MS结果/</w:t>
            </w:r>
            <w:r>
              <w:rPr>
                <w:color w:val="000000"/>
                <w:szCs w:val="21"/>
              </w:rPr>
              <w:t>(</w:t>
            </w:r>
            <w:r>
              <w:rPr>
                <w:kern w:val="0"/>
                <w:szCs w:val="21"/>
              </w:rPr>
              <w:t xml:space="preserve"> mg/kg</w:t>
            </w:r>
            <w:r>
              <w:rPr>
                <w:color w:val="000000"/>
                <w:szCs w:val="21"/>
              </w:rPr>
              <w:t>)</w:t>
            </w:r>
          </w:p>
        </w:tc>
        <w:tc>
          <w:tcPr>
            <w:tcW w:w="2350" w:type="dxa"/>
            <w:tcBorders>
              <w:top w:val="single" w:color="auto" w:sz="12" w:space="0"/>
              <w:left w:val="double" w:color="auto" w:sz="6" w:space="0"/>
              <w:bottom w:val="single" w:color="auto" w:sz="12" w:space="0"/>
              <w:right w:val="nil"/>
            </w:tcBorders>
            <w:vAlign w:val="center"/>
          </w:tcPr>
          <w:p>
            <w:pPr>
              <w:spacing w:line="360" w:lineRule="auto"/>
              <w:jc w:val="center"/>
              <w:rPr>
                <w:color w:val="000000"/>
                <w:szCs w:val="21"/>
              </w:rPr>
            </w:pPr>
            <w:r>
              <w:rPr>
                <w:rFonts w:hint="eastAsia"/>
                <w:color w:val="000000"/>
                <w:szCs w:val="21"/>
              </w:rPr>
              <w:t>元素</w:t>
            </w:r>
          </w:p>
        </w:tc>
        <w:tc>
          <w:tcPr>
            <w:tcW w:w="2348" w:type="dxa"/>
            <w:tcBorders>
              <w:top w:val="single" w:color="auto" w:sz="12" w:space="0"/>
              <w:left w:val="nil"/>
              <w:bottom w:val="single" w:color="auto" w:sz="12" w:space="0"/>
              <w:right w:val="nil"/>
            </w:tcBorders>
            <w:vAlign w:val="center"/>
          </w:tcPr>
          <w:p>
            <w:pPr>
              <w:spacing w:line="360" w:lineRule="auto"/>
              <w:jc w:val="center"/>
              <w:rPr>
                <w:color w:val="000000"/>
                <w:szCs w:val="21"/>
              </w:rPr>
            </w:pPr>
            <w:r>
              <w:rPr>
                <w:rFonts w:hint="eastAsia"/>
                <w:color w:val="000000"/>
                <w:szCs w:val="21"/>
              </w:rPr>
              <w:t>ICP-MS结果/</w:t>
            </w:r>
            <w:r>
              <w:rPr>
                <w:color w:val="000000"/>
                <w:szCs w:val="21"/>
              </w:rPr>
              <w:t>(</w:t>
            </w:r>
            <w:r>
              <w:rPr>
                <w:kern w:val="0"/>
                <w:szCs w:val="21"/>
              </w:rPr>
              <w:t xml:space="preserve"> mg/kg</w:t>
            </w: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5" w:type="dxa"/>
            <w:tcBorders>
              <w:top w:val="single" w:color="auto" w:sz="12" w:space="0"/>
              <w:left w:val="nil"/>
              <w:bottom w:val="nil"/>
              <w:right w:val="nil"/>
            </w:tcBorders>
            <w:vAlign w:val="center"/>
          </w:tcPr>
          <w:p>
            <w:pPr>
              <w:spacing w:line="360" w:lineRule="auto"/>
              <w:jc w:val="center"/>
              <w:rPr>
                <w:color w:val="000000"/>
                <w:szCs w:val="21"/>
              </w:rPr>
            </w:pPr>
            <w:r>
              <w:rPr>
                <w:color w:val="000000"/>
                <w:szCs w:val="21"/>
              </w:rPr>
              <w:t>Mg</w:t>
            </w:r>
          </w:p>
        </w:tc>
        <w:tc>
          <w:tcPr>
            <w:tcW w:w="2619" w:type="dxa"/>
            <w:tcBorders>
              <w:top w:val="single" w:color="auto" w:sz="12" w:space="0"/>
              <w:left w:val="nil"/>
              <w:bottom w:val="nil"/>
              <w:right w:val="double" w:color="auto" w:sz="6" w:space="0"/>
            </w:tcBorders>
            <w:vAlign w:val="center"/>
          </w:tcPr>
          <w:p>
            <w:pPr>
              <w:spacing w:line="360" w:lineRule="auto"/>
              <w:jc w:val="center"/>
              <w:rPr>
                <w:color w:val="000000"/>
                <w:szCs w:val="21"/>
              </w:rPr>
            </w:pPr>
            <w:r>
              <w:rPr>
                <w:color w:val="000000"/>
                <w:szCs w:val="21"/>
              </w:rPr>
              <w:t>1.6</w:t>
            </w:r>
          </w:p>
        </w:tc>
        <w:tc>
          <w:tcPr>
            <w:tcW w:w="2350" w:type="dxa"/>
            <w:tcBorders>
              <w:top w:val="single" w:color="auto" w:sz="12" w:space="0"/>
              <w:left w:val="double" w:color="auto" w:sz="6" w:space="0"/>
              <w:bottom w:val="nil"/>
              <w:right w:val="nil"/>
            </w:tcBorders>
            <w:vAlign w:val="center"/>
          </w:tcPr>
          <w:p>
            <w:pPr>
              <w:spacing w:line="360" w:lineRule="auto"/>
              <w:jc w:val="center"/>
              <w:rPr>
                <w:color w:val="000000"/>
                <w:szCs w:val="21"/>
              </w:rPr>
            </w:pPr>
            <w:r>
              <w:rPr>
                <w:color w:val="000000"/>
                <w:szCs w:val="21"/>
              </w:rPr>
              <w:t>Cu</w:t>
            </w:r>
          </w:p>
        </w:tc>
        <w:tc>
          <w:tcPr>
            <w:tcW w:w="2348" w:type="dxa"/>
            <w:tcBorders>
              <w:top w:val="single" w:color="auto" w:sz="12" w:space="0"/>
              <w:left w:val="nil"/>
              <w:bottom w:val="nil"/>
              <w:right w:val="nil"/>
            </w:tcBorders>
            <w:vAlign w:val="center"/>
          </w:tcPr>
          <w:p>
            <w:pPr>
              <w:spacing w:line="360" w:lineRule="auto"/>
              <w:jc w:val="center"/>
              <w:rPr>
                <w:color w:val="000000"/>
                <w:szCs w:val="21"/>
              </w:rPr>
            </w:pPr>
            <w:r>
              <w:rPr>
                <w:rFonts w:hint="eastAsia"/>
                <w:color w:val="00000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5" w:type="dxa"/>
            <w:tcBorders>
              <w:top w:val="nil"/>
              <w:left w:val="nil"/>
              <w:bottom w:val="nil"/>
              <w:right w:val="nil"/>
            </w:tcBorders>
            <w:vAlign w:val="center"/>
          </w:tcPr>
          <w:p>
            <w:pPr>
              <w:spacing w:line="360" w:lineRule="auto"/>
              <w:jc w:val="center"/>
              <w:rPr>
                <w:color w:val="000000"/>
                <w:szCs w:val="21"/>
              </w:rPr>
            </w:pPr>
            <w:r>
              <w:rPr>
                <w:color w:val="000000"/>
                <w:szCs w:val="21"/>
              </w:rPr>
              <w:t>Al</w:t>
            </w:r>
          </w:p>
        </w:tc>
        <w:tc>
          <w:tcPr>
            <w:tcW w:w="2619" w:type="dxa"/>
            <w:tcBorders>
              <w:top w:val="nil"/>
              <w:left w:val="nil"/>
              <w:bottom w:val="nil"/>
              <w:right w:val="double" w:color="auto" w:sz="6" w:space="0"/>
            </w:tcBorders>
            <w:vAlign w:val="center"/>
          </w:tcPr>
          <w:p>
            <w:pPr>
              <w:spacing w:line="360" w:lineRule="auto"/>
              <w:jc w:val="center"/>
              <w:rPr>
                <w:color w:val="000000"/>
                <w:szCs w:val="21"/>
              </w:rPr>
            </w:pPr>
            <w:r>
              <w:rPr>
                <w:color w:val="000000"/>
                <w:szCs w:val="21"/>
              </w:rPr>
              <w:t>42.2</w:t>
            </w:r>
          </w:p>
        </w:tc>
        <w:tc>
          <w:tcPr>
            <w:tcW w:w="2350" w:type="dxa"/>
            <w:tcBorders>
              <w:top w:val="nil"/>
              <w:left w:val="double" w:color="auto" w:sz="6" w:space="0"/>
              <w:bottom w:val="nil"/>
              <w:right w:val="nil"/>
            </w:tcBorders>
            <w:vAlign w:val="center"/>
          </w:tcPr>
          <w:p>
            <w:pPr>
              <w:spacing w:line="360" w:lineRule="auto"/>
              <w:jc w:val="center"/>
              <w:rPr>
                <w:color w:val="000000"/>
                <w:szCs w:val="21"/>
              </w:rPr>
            </w:pPr>
            <w:r>
              <w:rPr>
                <w:rFonts w:hint="eastAsia"/>
                <w:color w:val="000000"/>
                <w:szCs w:val="21"/>
              </w:rPr>
              <w:t>Mo</w:t>
            </w:r>
          </w:p>
        </w:tc>
        <w:tc>
          <w:tcPr>
            <w:tcW w:w="2348" w:type="dxa"/>
            <w:tcBorders>
              <w:top w:val="nil"/>
              <w:left w:val="nil"/>
              <w:bottom w:val="nil"/>
              <w:right w:val="nil"/>
            </w:tcBorders>
            <w:vAlign w:val="center"/>
          </w:tcPr>
          <w:p>
            <w:pPr>
              <w:spacing w:line="360" w:lineRule="auto"/>
              <w:jc w:val="center"/>
              <w:rPr>
                <w:color w:val="000000"/>
                <w:szCs w:val="21"/>
              </w:rPr>
            </w:pPr>
            <w:r>
              <w:rPr>
                <w:rFonts w:hint="eastAsia"/>
                <w:color w:val="00000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5" w:type="dxa"/>
            <w:tcBorders>
              <w:top w:val="nil"/>
              <w:left w:val="nil"/>
              <w:bottom w:val="nil"/>
              <w:right w:val="nil"/>
            </w:tcBorders>
            <w:vAlign w:val="center"/>
          </w:tcPr>
          <w:p>
            <w:pPr>
              <w:spacing w:line="360" w:lineRule="auto"/>
              <w:jc w:val="center"/>
              <w:rPr>
                <w:color w:val="000000"/>
                <w:szCs w:val="21"/>
              </w:rPr>
            </w:pPr>
            <w:r>
              <w:rPr>
                <w:color w:val="000000"/>
                <w:szCs w:val="21"/>
              </w:rPr>
              <w:t>Cr</w:t>
            </w:r>
          </w:p>
        </w:tc>
        <w:tc>
          <w:tcPr>
            <w:tcW w:w="2619" w:type="dxa"/>
            <w:tcBorders>
              <w:top w:val="nil"/>
              <w:left w:val="nil"/>
              <w:bottom w:val="nil"/>
              <w:right w:val="double" w:color="auto" w:sz="6" w:space="0"/>
            </w:tcBorders>
            <w:vAlign w:val="center"/>
          </w:tcPr>
          <w:p>
            <w:pPr>
              <w:spacing w:line="360" w:lineRule="auto"/>
              <w:jc w:val="center"/>
              <w:rPr>
                <w:color w:val="000000"/>
                <w:szCs w:val="21"/>
              </w:rPr>
            </w:pPr>
            <w:r>
              <w:rPr>
                <w:color w:val="000000"/>
                <w:szCs w:val="21"/>
              </w:rPr>
              <w:t>19.9</w:t>
            </w:r>
          </w:p>
        </w:tc>
        <w:tc>
          <w:tcPr>
            <w:tcW w:w="2350" w:type="dxa"/>
            <w:tcBorders>
              <w:top w:val="nil"/>
              <w:left w:val="double" w:color="auto" w:sz="6" w:space="0"/>
              <w:bottom w:val="nil"/>
              <w:right w:val="nil"/>
            </w:tcBorders>
            <w:vAlign w:val="center"/>
          </w:tcPr>
          <w:p>
            <w:pPr>
              <w:spacing w:line="360" w:lineRule="auto"/>
              <w:jc w:val="center"/>
              <w:rPr>
                <w:color w:val="000000"/>
                <w:szCs w:val="21"/>
              </w:rPr>
            </w:pPr>
            <w:r>
              <w:rPr>
                <w:rFonts w:hint="eastAsia"/>
                <w:color w:val="000000"/>
                <w:szCs w:val="21"/>
              </w:rPr>
              <w:t>Sn</w:t>
            </w:r>
          </w:p>
        </w:tc>
        <w:tc>
          <w:tcPr>
            <w:tcW w:w="2348" w:type="dxa"/>
            <w:tcBorders>
              <w:top w:val="nil"/>
              <w:left w:val="nil"/>
              <w:bottom w:val="nil"/>
              <w:right w:val="nil"/>
            </w:tcBorders>
            <w:vAlign w:val="center"/>
          </w:tcPr>
          <w:p>
            <w:pPr>
              <w:spacing w:line="360" w:lineRule="auto"/>
              <w:jc w:val="center"/>
              <w:rPr>
                <w:color w:val="000000"/>
                <w:szCs w:val="21"/>
              </w:rPr>
            </w:pPr>
            <w:r>
              <w:rPr>
                <w:rFonts w:hint="eastAsia"/>
                <w:color w:val="00000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5" w:type="dxa"/>
            <w:tcBorders>
              <w:top w:val="nil"/>
              <w:left w:val="nil"/>
              <w:bottom w:val="nil"/>
              <w:right w:val="nil"/>
            </w:tcBorders>
            <w:vAlign w:val="center"/>
          </w:tcPr>
          <w:p>
            <w:pPr>
              <w:spacing w:line="360" w:lineRule="auto"/>
              <w:jc w:val="center"/>
              <w:rPr>
                <w:color w:val="000000"/>
                <w:szCs w:val="21"/>
              </w:rPr>
            </w:pPr>
            <w:r>
              <w:rPr>
                <w:color w:val="000000"/>
                <w:szCs w:val="21"/>
              </w:rPr>
              <w:t>Mn</w:t>
            </w:r>
          </w:p>
        </w:tc>
        <w:tc>
          <w:tcPr>
            <w:tcW w:w="2619" w:type="dxa"/>
            <w:tcBorders>
              <w:top w:val="nil"/>
              <w:left w:val="nil"/>
              <w:bottom w:val="nil"/>
              <w:right w:val="double" w:color="auto" w:sz="6" w:space="0"/>
            </w:tcBorders>
            <w:vAlign w:val="center"/>
          </w:tcPr>
          <w:p>
            <w:pPr>
              <w:spacing w:line="360" w:lineRule="auto"/>
              <w:jc w:val="center"/>
              <w:rPr>
                <w:color w:val="000000"/>
                <w:szCs w:val="21"/>
              </w:rPr>
            </w:pPr>
            <w:r>
              <w:rPr>
                <w:rFonts w:hint="eastAsia"/>
                <w:color w:val="000000"/>
                <w:szCs w:val="21"/>
              </w:rPr>
              <w:t>8.6</w:t>
            </w:r>
          </w:p>
        </w:tc>
        <w:tc>
          <w:tcPr>
            <w:tcW w:w="2350" w:type="dxa"/>
            <w:tcBorders>
              <w:top w:val="nil"/>
              <w:left w:val="double" w:color="auto" w:sz="6" w:space="0"/>
              <w:bottom w:val="nil"/>
              <w:right w:val="nil"/>
            </w:tcBorders>
            <w:vAlign w:val="center"/>
          </w:tcPr>
          <w:p>
            <w:pPr>
              <w:spacing w:line="360" w:lineRule="auto"/>
              <w:jc w:val="center"/>
              <w:rPr>
                <w:color w:val="000000"/>
                <w:szCs w:val="21"/>
              </w:rPr>
            </w:pPr>
            <w:r>
              <w:rPr>
                <w:rFonts w:hint="eastAsia"/>
                <w:color w:val="000000"/>
                <w:szCs w:val="21"/>
              </w:rPr>
              <w:t>Hf</w:t>
            </w:r>
          </w:p>
        </w:tc>
        <w:tc>
          <w:tcPr>
            <w:tcW w:w="2348" w:type="dxa"/>
            <w:tcBorders>
              <w:top w:val="nil"/>
              <w:left w:val="nil"/>
              <w:bottom w:val="nil"/>
              <w:right w:val="nil"/>
            </w:tcBorders>
            <w:vAlign w:val="center"/>
          </w:tcPr>
          <w:p>
            <w:pPr>
              <w:spacing w:line="360" w:lineRule="auto"/>
              <w:jc w:val="center"/>
              <w:rPr>
                <w:color w:val="000000"/>
                <w:szCs w:val="21"/>
              </w:rPr>
            </w:pPr>
            <w:r>
              <w:rPr>
                <w:rFonts w:hint="eastAsia"/>
                <w:color w:val="000000"/>
                <w:szCs w:val="21"/>
              </w:rPr>
              <w:t>42</w:t>
            </w:r>
            <w:r>
              <w:rPr>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5" w:type="dxa"/>
            <w:tcBorders>
              <w:top w:val="nil"/>
              <w:left w:val="nil"/>
              <w:bottom w:val="single" w:color="auto" w:sz="12" w:space="0"/>
              <w:right w:val="nil"/>
            </w:tcBorders>
            <w:vAlign w:val="center"/>
          </w:tcPr>
          <w:p>
            <w:pPr>
              <w:spacing w:line="360" w:lineRule="auto"/>
              <w:jc w:val="center"/>
              <w:rPr>
                <w:color w:val="000000"/>
                <w:szCs w:val="21"/>
              </w:rPr>
            </w:pPr>
            <w:r>
              <w:rPr>
                <w:color w:val="000000"/>
                <w:szCs w:val="21"/>
              </w:rPr>
              <w:t>Ni</w:t>
            </w:r>
          </w:p>
        </w:tc>
        <w:tc>
          <w:tcPr>
            <w:tcW w:w="2619" w:type="dxa"/>
            <w:tcBorders>
              <w:top w:val="nil"/>
              <w:left w:val="nil"/>
              <w:bottom w:val="single" w:color="auto" w:sz="12" w:space="0"/>
              <w:right w:val="double" w:color="auto" w:sz="6" w:space="0"/>
            </w:tcBorders>
            <w:vAlign w:val="center"/>
          </w:tcPr>
          <w:p>
            <w:pPr>
              <w:spacing w:line="360" w:lineRule="auto"/>
              <w:jc w:val="center"/>
              <w:rPr>
                <w:color w:val="000000"/>
                <w:szCs w:val="21"/>
              </w:rPr>
            </w:pPr>
            <w:r>
              <w:rPr>
                <w:rFonts w:hint="eastAsia"/>
                <w:color w:val="000000"/>
                <w:szCs w:val="21"/>
              </w:rPr>
              <w:t>5.0</w:t>
            </w:r>
          </w:p>
        </w:tc>
        <w:tc>
          <w:tcPr>
            <w:tcW w:w="2350" w:type="dxa"/>
            <w:tcBorders>
              <w:top w:val="nil"/>
              <w:left w:val="double" w:color="auto" w:sz="6" w:space="0"/>
              <w:bottom w:val="single" w:color="auto" w:sz="12" w:space="0"/>
              <w:right w:val="nil"/>
            </w:tcBorders>
          </w:tcPr>
          <w:p>
            <w:pPr>
              <w:spacing w:line="360" w:lineRule="auto"/>
              <w:jc w:val="center"/>
              <w:rPr>
                <w:color w:val="000000"/>
                <w:szCs w:val="21"/>
              </w:rPr>
            </w:pPr>
          </w:p>
        </w:tc>
        <w:tc>
          <w:tcPr>
            <w:tcW w:w="2348" w:type="dxa"/>
            <w:tcBorders>
              <w:top w:val="nil"/>
              <w:left w:val="nil"/>
              <w:bottom w:val="single" w:color="auto" w:sz="12" w:space="0"/>
              <w:right w:val="nil"/>
            </w:tcBorders>
          </w:tcPr>
          <w:p>
            <w:pPr>
              <w:spacing w:line="360" w:lineRule="auto"/>
              <w:jc w:val="center"/>
              <w:rPr>
                <w:color w:val="000000"/>
                <w:szCs w:val="21"/>
              </w:rPr>
            </w:pPr>
          </w:p>
        </w:tc>
      </w:tr>
    </w:tbl>
    <w:p>
      <w:pPr>
        <w:spacing w:before="312" w:beforeLines="100" w:line="300" w:lineRule="auto"/>
        <w:ind w:firstLine="420"/>
      </w:pPr>
      <w:r>
        <w:rPr>
          <w:rFonts w:hint="eastAsia"/>
        </w:rPr>
        <w:t>20</w:t>
      </w:r>
      <w:r>
        <w:t>20</w:t>
      </w:r>
      <w:r>
        <w:rPr>
          <w:rFonts w:hint="eastAsia"/>
        </w:rPr>
        <w:t>年</w:t>
      </w:r>
      <w:r>
        <w:t>11</w:t>
      </w:r>
      <w:r>
        <w:rPr>
          <w:rFonts w:hint="eastAsia"/>
        </w:rPr>
        <w:t>月~1</w:t>
      </w:r>
      <w:r>
        <w:t>2</w:t>
      </w:r>
      <w:r>
        <w:rPr>
          <w:rFonts w:hint="eastAsia"/>
        </w:rPr>
        <w:t>月，项目组成员进行了大量试验，对样品前处理方法、测试参数等条件进行了优化，对实验数据进行整理。在试验过程中，起草单位与一验单位针对元素种类、同位素、前处理方法反复沟通，完成了研究报告并提出《</w:t>
      </w:r>
      <w:r>
        <w:rPr>
          <w:rFonts w:hint="eastAsia"/>
          <w:szCs w:val="21"/>
        </w:rPr>
        <w:t>高纯锆化学分析方法 痕量杂质元素含量的测定  辉光放电质谱法</w:t>
      </w:r>
      <w:r>
        <w:rPr>
          <w:rFonts w:hint="eastAsia"/>
        </w:rPr>
        <w:t>》（讨论稿）。</w:t>
      </w:r>
    </w:p>
    <w:p>
      <w:pPr>
        <w:spacing w:line="300" w:lineRule="auto"/>
        <w:rPr>
          <w:rFonts w:ascii="黑体" w:hAnsi="黑体" w:eastAsia="黑体"/>
        </w:rPr>
      </w:pPr>
      <w:r>
        <w:rPr>
          <w:rFonts w:hint="eastAsia" w:ascii="黑体" w:hAnsi="黑体" w:eastAsia="黑体"/>
        </w:rPr>
        <w:t>（3）验证单位验证</w:t>
      </w:r>
    </w:p>
    <w:p>
      <w:pPr>
        <w:spacing w:line="300" w:lineRule="auto"/>
        <w:ind w:firstLine="420"/>
        <w:rPr>
          <w:rFonts w:hAnsi="宋体"/>
          <w:szCs w:val="20"/>
        </w:rPr>
      </w:pPr>
      <w:r>
        <w:rPr>
          <w:rFonts w:hint="eastAsia"/>
        </w:rPr>
        <w:t>20</w:t>
      </w:r>
      <w:r>
        <w:t>21</w:t>
      </w:r>
      <w:r>
        <w:rPr>
          <w:rFonts w:hint="eastAsia"/>
        </w:rPr>
        <w:t>年</w:t>
      </w:r>
      <w:r>
        <w:t>1</w:t>
      </w:r>
      <w:r>
        <w:rPr>
          <w:rFonts w:hint="eastAsia"/>
        </w:rPr>
        <w:t>月，起草单位将样品和研究报告邮寄给验证单位进行数据的验证工作。各验证单位收到样品后非常积极的投入到相关实验流程的验证及数据测定工作中，截止20</w:t>
      </w:r>
      <w:r>
        <w:t>21</w:t>
      </w:r>
      <w:r>
        <w:rPr>
          <w:rFonts w:hint="eastAsia"/>
        </w:rPr>
        <w:t>年</w:t>
      </w:r>
      <w:r>
        <w:t>5</w:t>
      </w:r>
      <w:r>
        <w:rPr>
          <w:rFonts w:hint="eastAsia"/>
        </w:rPr>
        <w:t>月，各验证单位陆续完成标准的验证工作，</w:t>
      </w:r>
      <w:r>
        <w:t>并全部返回验证报告</w:t>
      </w:r>
      <w:r>
        <w:rPr>
          <w:rFonts w:hint="eastAsia"/>
        </w:rPr>
        <w:t>。综合验证单位意见，起草单位对讨论稿进行修改完善，形成了《</w:t>
      </w:r>
      <w:r>
        <w:rPr>
          <w:rFonts w:hint="eastAsia"/>
          <w:szCs w:val="21"/>
        </w:rPr>
        <w:t>高纯锆化学分析方法 痕量杂质元素含量的测定  辉光放电质谱法</w:t>
      </w:r>
      <w:r>
        <w:rPr>
          <w:rFonts w:hint="eastAsia"/>
        </w:rPr>
        <w:t>》（征求意见稿）。</w:t>
      </w:r>
    </w:p>
    <w:p>
      <w:pPr>
        <w:spacing w:before="156" w:beforeLines="50" w:after="156" w:afterLines="50" w:line="312" w:lineRule="auto"/>
        <w:rPr>
          <w:rFonts w:ascii="黑体" w:hAnsi="黑体" w:eastAsia="黑体"/>
        </w:rPr>
      </w:pPr>
      <w:r>
        <w:rPr>
          <w:rFonts w:ascii="黑体" w:hAnsi="黑体" w:eastAsia="黑体"/>
        </w:rPr>
        <w:t xml:space="preserve">4.2 </w:t>
      </w:r>
      <w:r>
        <w:rPr>
          <w:rFonts w:hint="eastAsia" w:ascii="黑体" w:hAnsi="黑体" w:eastAsia="黑体"/>
        </w:rPr>
        <w:t>征求意见阶段</w:t>
      </w:r>
    </w:p>
    <w:p>
      <w:pPr>
        <w:spacing w:line="300" w:lineRule="auto"/>
      </w:pPr>
      <w:r>
        <w:rPr>
          <w:rFonts w:hint="eastAsia"/>
        </w:rPr>
        <w:tab/>
      </w:r>
      <w:r>
        <w:rPr>
          <w:rFonts w:hint="eastAsia"/>
        </w:rPr>
        <w:t>编制组通过发函、中国有色金属标准质量信息网上公开、召开</w:t>
      </w:r>
      <w:r>
        <w:t>工作</w:t>
      </w:r>
      <w:r>
        <w:rPr>
          <w:rFonts w:hint="eastAsia"/>
        </w:rPr>
        <w:t>会议等形式对《高纯锆化学分析方法 痕量杂质元素含量的测定  辉光放电质谱法》（征求意见稿）征询意见。</w:t>
      </w:r>
    </w:p>
    <w:p>
      <w:pPr>
        <w:spacing w:line="300" w:lineRule="auto"/>
        <w:ind w:firstLine="420"/>
        <w:rPr>
          <w:rFonts w:hint="eastAsia" w:eastAsia="宋体"/>
          <w:szCs w:val="21"/>
          <w:lang w:val="en-US" w:eastAsia="zh-CN"/>
        </w:rPr>
      </w:pPr>
      <w:r>
        <w:rPr>
          <w:rFonts w:hint="eastAsia" w:hAnsi="宋体"/>
        </w:rPr>
        <w:t>20</w:t>
      </w:r>
      <w:r>
        <w:rPr>
          <w:rFonts w:hAnsi="宋体"/>
        </w:rPr>
        <w:t>22</w:t>
      </w:r>
      <w:r>
        <w:rPr>
          <w:rFonts w:hint="eastAsia" w:hAnsi="宋体"/>
        </w:rPr>
        <w:t>年</w:t>
      </w:r>
      <w:r>
        <w:rPr>
          <w:rFonts w:hAnsi="宋体"/>
        </w:rPr>
        <w:t>2</w:t>
      </w:r>
      <w:r>
        <w:rPr>
          <w:rFonts w:hint="eastAsia" w:hAnsi="宋体"/>
        </w:rPr>
        <w:t>月</w:t>
      </w:r>
      <w:r>
        <w:rPr>
          <w:rFonts w:hAnsi="宋体"/>
        </w:rPr>
        <w:t>28</w:t>
      </w:r>
      <w:r>
        <w:rPr>
          <w:rFonts w:hint="eastAsia" w:hAnsi="宋体"/>
        </w:rPr>
        <w:t>日~</w:t>
      </w:r>
      <w:r>
        <w:rPr>
          <w:rFonts w:hAnsi="宋体"/>
        </w:rPr>
        <w:t>3</w:t>
      </w:r>
      <w:r>
        <w:rPr>
          <w:rFonts w:hint="eastAsia" w:hAnsi="宋体"/>
        </w:rPr>
        <w:t>月1日稀有</w:t>
      </w:r>
      <w:r>
        <w:rPr>
          <w:rFonts w:hAnsi="宋体"/>
        </w:rPr>
        <w:t>金属分标委会召开网络工作会议，</w:t>
      </w:r>
      <w:r>
        <w:rPr>
          <w:rFonts w:hint="eastAsia" w:hAnsi="宋体"/>
        </w:rPr>
        <w:t>对</w:t>
      </w:r>
      <w:r>
        <w:rPr>
          <w:rFonts w:hAnsi="宋体"/>
        </w:rPr>
        <w:t>项目进行了讨论。</w:t>
      </w:r>
      <w:r>
        <w:rPr>
          <w:rFonts w:hint="eastAsia"/>
          <w:color w:val="000000" w:themeColor="text1"/>
          <w14:textFill>
            <w14:solidFill>
              <w14:schemeClr w14:val="tx1"/>
            </w14:solidFill>
          </w14:textFill>
        </w:rPr>
        <w:t>来自</w:t>
      </w:r>
      <w:r>
        <w:rPr>
          <w:rFonts w:hint="eastAsia" w:ascii="宋体" w:hAnsi="宋体"/>
          <w:color w:val="000000" w:themeColor="text1"/>
          <w:szCs w:val="18"/>
          <w14:textFill>
            <w14:solidFill>
              <w14:schemeClr w14:val="tx1"/>
            </w14:solidFill>
          </w14:textFill>
        </w:rPr>
        <w:t>有色金属技术经济研究院、</w:t>
      </w:r>
      <w:r>
        <w:rPr>
          <w:rFonts w:hint="eastAsia" w:ascii="宋体" w:hAnsi="宋体"/>
          <w:color w:val="000000" w:themeColor="text1"/>
          <w:szCs w:val="21"/>
          <w14:textFill>
            <w14:solidFill>
              <w14:schemeClr w14:val="tx1"/>
            </w14:solidFill>
          </w14:textFill>
        </w:rPr>
        <w:t>北京矿冶</w:t>
      </w:r>
      <w:r>
        <w:rPr>
          <w:rFonts w:ascii="宋体" w:hAnsi="宋体"/>
          <w:color w:val="000000" w:themeColor="text1"/>
          <w:szCs w:val="21"/>
          <w14:textFill>
            <w14:solidFill>
              <w14:schemeClr w14:val="tx1"/>
            </w14:solidFill>
          </w14:textFill>
        </w:rPr>
        <w:t>科技集团有限公司</w:t>
      </w:r>
      <w:r>
        <w:rPr>
          <w:rFonts w:hint="eastAsia" w:ascii="宋体" w:hAnsi="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宝鸡钛业股份有限公司、金堆城钼业股份有限公司等单位</w:t>
      </w:r>
      <w:r>
        <w:rPr>
          <w:rFonts w:ascii="宋体" w:hAnsi="宋体" w:cs="宋体"/>
          <w:color w:val="000000" w:themeColor="text1"/>
          <w:szCs w:val="21"/>
          <w14:textFill>
            <w14:solidFill>
              <w14:schemeClr w14:val="tx1"/>
            </w14:solidFill>
          </w14:textFill>
        </w:rPr>
        <w:t>的三十</w:t>
      </w:r>
      <w:r>
        <w:rPr>
          <w:rFonts w:hint="eastAsia" w:ascii="宋体" w:hAnsi="宋体" w:cs="宋体"/>
          <w:color w:val="000000" w:themeColor="text1"/>
          <w:szCs w:val="21"/>
          <w14:textFill>
            <w14:solidFill>
              <w14:schemeClr w14:val="tx1"/>
            </w14:solidFill>
          </w14:textFill>
        </w:rPr>
        <w:t>多位</w:t>
      </w:r>
      <w:r>
        <w:rPr>
          <w:rFonts w:ascii="宋体" w:hAnsi="宋体" w:cs="宋体"/>
          <w:color w:val="000000" w:themeColor="text1"/>
          <w:szCs w:val="21"/>
          <w14:textFill>
            <w14:solidFill>
              <w14:schemeClr w14:val="tx1"/>
            </w14:solidFill>
          </w14:textFill>
        </w:rPr>
        <w:t>专家</w:t>
      </w:r>
      <w:r>
        <w:rPr>
          <w:rFonts w:hint="eastAsia"/>
          <w:color w:val="000000" w:themeColor="text1"/>
          <w14:textFill>
            <w14:solidFill>
              <w14:schemeClr w14:val="tx1"/>
            </w14:solidFill>
          </w14:textFill>
        </w:rPr>
        <w:t>对《</w:t>
      </w:r>
      <w:r>
        <w:rPr>
          <w:rFonts w:hint="eastAsia"/>
          <w:szCs w:val="21"/>
        </w:rPr>
        <w:t>高纯锆化学分析方法 痕量杂质元素含量的测定  辉光放电质谱法</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进行了讨论</w:t>
      </w:r>
      <w:r>
        <w:rPr>
          <w:rFonts w:hint="eastAsia"/>
          <w:color w:val="000000" w:themeColor="text1"/>
          <w14:textFill>
            <w14:solidFill>
              <w14:schemeClr w14:val="tx1"/>
            </w14:solidFill>
          </w14:textFill>
        </w:rPr>
        <w:t>专家</w:t>
      </w:r>
      <w:r>
        <w:rPr>
          <w:color w:val="000000" w:themeColor="text1"/>
          <w14:textFill>
            <w14:solidFill>
              <w14:schemeClr w14:val="tx1"/>
            </w14:solidFill>
          </w14:textFill>
        </w:rPr>
        <w:t>对征求意见稿</w:t>
      </w:r>
      <w:r>
        <w:rPr>
          <w:rFonts w:hint="eastAsia"/>
          <w:color w:val="000000" w:themeColor="text1"/>
          <w14:textFill>
            <w14:solidFill>
              <w14:schemeClr w14:val="tx1"/>
            </w14:solidFill>
          </w14:textFill>
        </w:rPr>
        <w:t>各</w:t>
      </w:r>
      <w:r>
        <w:rPr>
          <w:color w:val="000000" w:themeColor="text1"/>
          <w14:textFill>
            <w14:solidFill>
              <w14:schemeClr w14:val="tx1"/>
            </w14:solidFill>
          </w14:textFill>
        </w:rPr>
        <w:t>章条款进行了</w:t>
      </w:r>
      <w:r>
        <w:rPr>
          <w:rFonts w:hint="eastAsia"/>
          <w:color w:val="000000" w:themeColor="text1"/>
          <w14:textFill>
            <w14:solidFill>
              <w14:schemeClr w14:val="tx1"/>
            </w14:solidFill>
          </w14:textFill>
        </w:rPr>
        <w:t>审查</w:t>
      </w:r>
      <w:r>
        <w:rPr>
          <w:color w:val="000000" w:themeColor="text1"/>
          <w14:textFill>
            <w14:solidFill>
              <w14:schemeClr w14:val="tx1"/>
            </w14:solidFill>
          </w14:textFill>
        </w:rPr>
        <w:t>、讨论，并提出了修改意见</w:t>
      </w:r>
      <w:r>
        <w:rPr>
          <w:rFonts w:hint="eastAsia"/>
          <w:color w:val="000000" w:themeColor="text1"/>
          <w14:textFill>
            <w14:solidFill>
              <w14:schemeClr w14:val="tx1"/>
            </w14:solidFill>
          </w14:textFill>
        </w:rPr>
        <w:t>，并要求</w:t>
      </w:r>
      <w:r>
        <w:rPr>
          <w:color w:val="000000" w:themeColor="text1"/>
          <w14:textFill>
            <w14:solidFill>
              <w14:schemeClr w14:val="tx1"/>
            </w14:solidFill>
          </w14:textFill>
        </w:rPr>
        <w:t>进一步补充完善</w:t>
      </w:r>
      <w:r>
        <w:rPr>
          <w:rFonts w:hint="eastAsia"/>
          <w:color w:val="000000" w:themeColor="text1"/>
          <w14:textFill>
            <w14:solidFill>
              <w14:schemeClr w14:val="tx1"/>
            </w14:solidFill>
          </w14:textFill>
        </w:rPr>
        <w:t>编制</w:t>
      </w:r>
      <w:r>
        <w:rPr>
          <w:color w:val="000000" w:themeColor="text1"/>
          <w14:textFill>
            <w14:solidFill>
              <w14:schemeClr w14:val="tx1"/>
            </w14:solidFill>
          </w14:textFill>
        </w:rPr>
        <w:t>说明</w:t>
      </w:r>
      <w:r>
        <w:rPr>
          <w:rFonts w:hint="eastAsia"/>
          <w:szCs w:val="21"/>
        </w:rPr>
        <w:t>。</w:t>
      </w:r>
      <w:r>
        <w:rPr>
          <w:rFonts w:hint="eastAsia"/>
          <w:szCs w:val="21"/>
          <w:lang w:val="en-US" w:eastAsia="zh-CN"/>
        </w:rPr>
        <w:t>会后起草单位根据与会专家的意见，修改完成</w:t>
      </w:r>
      <w:r>
        <w:rPr>
          <w:rFonts w:hint="eastAsia"/>
        </w:rPr>
        <w:t>《高纯锆化学分析方法 痕量杂质元素含量的测定  辉光放电质谱法》（</w:t>
      </w:r>
      <w:r>
        <w:rPr>
          <w:rFonts w:hint="eastAsia"/>
          <w:lang w:val="en-US" w:eastAsia="zh-CN"/>
        </w:rPr>
        <w:t>预审稿</w:t>
      </w:r>
      <w:r>
        <w:rPr>
          <w:rFonts w:hint="eastAsia"/>
        </w:rPr>
        <w:t>）</w:t>
      </w:r>
      <w:r>
        <w:rPr>
          <w:rFonts w:hint="eastAsia"/>
          <w:lang w:eastAsia="zh-CN"/>
        </w:rPr>
        <w:t>。</w:t>
      </w:r>
    </w:p>
    <w:p>
      <w:pPr>
        <w:spacing w:line="300" w:lineRule="auto"/>
        <w:ind w:firstLine="420"/>
        <w:rPr>
          <w:rFonts w:hint="eastAsia" w:eastAsia="宋体"/>
          <w:color w:val="FF0000"/>
          <w:szCs w:val="21"/>
          <w:lang w:val="en-US" w:eastAsia="zh-CN"/>
        </w:rPr>
      </w:pPr>
      <w:r>
        <w:rPr>
          <w:rFonts w:hint="eastAsia" w:hAnsi="宋体"/>
          <w:color w:val="FF0000"/>
        </w:rPr>
        <w:t>20</w:t>
      </w:r>
      <w:r>
        <w:rPr>
          <w:rFonts w:hAnsi="宋体"/>
          <w:color w:val="FF0000"/>
        </w:rPr>
        <w:t>22</w:t>
      </w:r>
      <w:r>
        <w:rPr>
          <w:rFonts w:hint="eastAsia" w:hAnsi="宋体"/>
          <w:color w:val="FF0000"/>
        </w:rPr>
        <w:t>年5月30日~31日稀有</w:t>
      </w:r>
      <w:r>
        <w:rPr>
          <w:rFonts w:hAnsi="宋体"/>
          <w:color w:val="FF0000"/>
        </w:rPr>
        <w:t>金属分标委会召开</w:t>
      </w:r>
      <w:r>
        <w:rPr>
          <w:rFonts w:hint="eastAsia" w:hAnsi="宋体"/>
          <w:color w:val="FF0000"/>
        </w:rPr>
        <w:t>网络预审会，</w:t>
      </w:r>
      <w:r>
        <w:rPr>
          <w:rFonts w:hint="eastAsia"/>
          <w:color w:val="FF0000"/>
          <w:szCs w:val="21"/>
        </w:rPr>
        <w:t>来自</w:t>
      </w:r>
      <w:r>
        <w:rPr>
          <w:rFonts w:hint="eastAsia"/>
          <w:color w:val="FF0000"/>
          <w:szCs w:val="21"/>
          <w:lang w:val="en-US" w:eastAsia="zh-CN"/>
        </w:rPr>
        <w:t>20</w:t>
      </w:r>
      <w:r>
        <w:rPr>
          <w:rFonts w:hint="eastAsia"/>
          <w:color w:val="FF0000"/>
          <w:szCs w:val="21"/>
        </w:rPr>
        <w:t>多家单位的</w:t>
      </w:r>
      <w:r>
        <w:rPr>
          <w:rFonts w:hint="eastAsia"/>
          <w:color w:val="FF0000"/>
          <w:szCs w:val="21"/>
          <w:lang w:val="en-US" w:eastAsia="zh-CN"/>
        </w:rPr>
        <w:t>三十多</w:t>
      </w:r>
      <w:r>
        <w:rPr>
          <w:rFonts w:hint="eastAsia"/>
          <w:color w:val="FF0000"/>
          <w:szCs w:val="21"/>
        </w:rPr>
        <w:t>多名代表参加会议。通过</w:t>
      </w:r>
      <w:r>
        <w:rPr>
          <w:color w:val="FF0000"/>
          <w:szCs w:val="21"/>
        </w:rPr>
        <w:t>两次工作会议，与会专家对征求意见稿</w:t>
      </w:r>
      <w:r>
        <w:rPr>
          <w:rFonts w:hint="eastAsia"/>
          <w:color w:val="FF0000"/>
          <w:szCs w:val="21"/>
        </w:rPr>
        <w:t>及</w:t>
      </w:r>
      <w:r>
        <w:rPr>
          <w:color w:val="FF0000"/>
          <w:szCs w:val="21"/>
        </w:rPr>
        <w:t>编制说明充分</w:t>
      </w:r>
      <w:r>
        <w:rPr>
          <w:rFonts w:hint="eastAsia"/>
          <w:color w:val="FF0000"/>
          <w:szCs w:val="21"/>
        </w:rPr>
        <w:t>讨论</w:t>
      </w:r>
      <w:r>
        <w:rPr>
          <w:color w:val="FF0000"/>
          <w:szCs w:val="21"/>
        </w:rPr>
        <w:t>，并提出宝贵意见。</w:t>
      </w:r>
      <w:r>
        <w:rPr>
          <w:rFonts w:hint="eastAsia"/>
          <w:color w:val="FF0000"/>
          <w:szCs w:val="21"/>
          <w:lang w:val="en-US" w:eastAsia="zh-CN"/>
        </w:rPr>
        <w:t>会后起草单位针对会上专家提出的样品制备要求、方法</w:t>
      </w:r>
      <w:r>
        <w:rPr>
          <w:rFonts w:hint="eastAsia"/>
          <w:color w:val="FF0000"/>
          <w:szCs w:val="21"/>
        </w:rPr>
        <w:t>允许相对偏差</w:t>
      </w:r>
      <w:r>
        <w:rPr>
          <w:rFonts w:hint="eastAsia"/>
          <w:color w:val="FF0000"/>
          <w:szCs w:val="21"/>
          <w:lang w:val="en-US" w:eastAsia="zh-CN"/>
        </w:rPr>
        <w:t>进行了进一步讨论，修改完成</w:t>
      </w:r>
      <w:r>
        <w:rPr>
          <w:rFonts w:hint="eastAsia"/>
          <w:color w:val="FF0000"/>
        </w:rPr>
        <w:t>《高纯锆化学分析方法 痕量杂质元素含量的测定  辉光放电质谱法》（</w:t>
      </w:r>
      <w:r>
        <w:rPr>
          <w:rFonts w:hint="eastAsia"/>
          <w:color w:val="FF0000"/>
          <w:lang w:val="en-US" w:eastAsia="zh-CN"/>
        </w:rPr>
        <w:t>送审稿</w:t>
      </w:r>
      <w:r>
        <w:rPr>
          <w:rFonts w:hint="eastAsia"/>
          <w:color w:val="FF0000"/>
        </w:rPr>
        <w:t>）</w:t>
      </w:r>
      <w:r>
        <w:rPr>
          <w:rFonts w:hint="eastAsia"/>
          <w:color w:val="FF0000"/>
          <w:lang w:eastAsia="zh-CN"/>
        </w:rPr>
        <w:t>。</w:t>
      </w:r>
    </w:p>
    <w:p>
      <w:pPr>
        <w:spacing w:line="300" w:lineRule="auto"/>
        <w:ind w:firstLine="420"/>
        <w:rPr>
          <w:color w:val="FF0000"/>
          <w:szCs w:val="21"/>
        </w:rPr>
      </w:pPr>
      <w:r>
        <w:rPr>
          <w:rFonts w:hint="eastAsia"/>
          <w:color w:val="FF0000"/>
        </w:rPr>
        <w:t>通过发函</w:t>
      </w:r>
      <w:r>
        <w:rPr>
          <w:rFonts w:hint="eastAsia"/>
          <w:color w:val="FF0000"/>
          <w:lang w:eastAsia="zh-CN"/>
        </w:rPr>
        <w:t>、</w:t>
      </w:r>
      <w:r>
        <w:rPr>
          <w:rFonts w:hint="eastAsia"/>
          <w:color w:val="FF0000"/>
          <w:lang w:val="en-US" w:eastAsia="zh-CN"/>
        </w:rPr>
        <w:t>网上征求以及工作会议征求的意见，汇总于《高纯锆化学分析方法 痕量杂质元素含量的测定  辉光放电质谱法》的意见汇总处理表中。</w:t>
      </w:r>
    </w:p>
    <w:p>
      <w:pPr>
        <w:spacing w:before="156" w:beforeLines="50" w:after="156" w:afterLines="50" w:line="312" w:lineRule="auto"/>
        <w:rPr>
          <w:rFonts w:ascii="黑体" w:hAnsi="黑体" w:eastAsia="黑体"/>
        </w:rPr>
      </w:pPr>
      <w:r>
        <w:rPr>
          <w:rFonts w:ascii="黑体" w:hAnsi="黑体" w:eastAsia="黑体"/>
        </w:rPr>
        <w:t xml:space="preserve">4.3 </w:t>
      </w:r>
      <w:r>
        <w:rPr>
          <w:rFonts w:hint="eastAsia" w:ascii="黑体" w:hAnsi="黑体" w:eastAsia="黑体"/>
        </w:rPr>
        <w:t>审定阶段</w:t>
      </w:r>
    </w:p>
    <w:p>
      <w:pPr>
        <w:spacing w:line="300" w:lineRule="auto"/>
        <w:rPr>
          <w:szCs w:val="21"/>
        </w:rPr>
      </w:pPr>
    </w:p>
    <w:p>
      <w:pPr>
        <w:spacing w:before="156" w:beforeLines="50" w:after="156" w:afterLines="50" w:line="312" w:lineRule="auto"/>
        <w:rPr>
          <w:rFonts w:ascii="黑体" w:hAnsi="黑体" w:eastAsia="黑体"/>
        </w:rPr>
      </w:pPr>
      <w:r>
        <w:rPr>
          <w:rFonts w:ascii="黑体" w:hAnsi="黑体" w:eastAsia="黑体"/>
        </w:rPr>
        <w:t xml:space="preserve">4.4 </w:t>
      </w:r>
      <w:r>
        <w:rPr>
          <w:rFonts w:hint="eastAsia" w:ascii="黑体" w:hAnsi="黑体" w:eastAsia="黑体"/>
        </w:rPr>
        <w:t>报批阶段</w:t>
      </w:r>
    </w:p>
    <w:p>
      <w:pPr>
        <w:spacing w:line="300" w:lineRule="auto"/>
      </w:pPr>
    </w:p>
    <w:p>
      <w:pPr>
        <w:spacing w:before="156" w:beforeLines="50" w:after="156" w:afterLines="50" w:line="300" w:lineRule="auto"/>
        <w:rPr>
          <w:rFonts w:ascii="黑体" w:hAnsi="宋体" w:eastAsia="黑体"/>
          <w:bCs/>
          <w:sz w:val="24"/>
        </w:rPr>
      </w:pPr>
      <w:r>
        <w:rPr>
          <w:rFonts w:hint="eastAsia" w:ascii="黑体" w:hAnsi="宋体" w:eastAsia="黑体"/>
          <w:bCs/>
          <w:sz w:val="24"/>
        </w:rPr>
        <w:t>二、标准编制原则</w:t>
      </w:r>
    </w:p>
    <w:p>
      <w:pPr>
        <w:pStyle w:val="121"/>
        <w:tabs>
          <w:tab w:val="center" w:pos="4201"/>
          <w:tab w:val="right" w:leader="dot" w:pos="9298"/>
        </w:tabs>
        <w:spacing w:line="300" w:lineRule="auto"/>
        <w:ind w:firstLine="420"/>
      </w:pPr>
      <w:r>
        <w:rPr>
          <w:rFonts w:hint="eastAsia"/>
        </w:rPr>
        <w:t>本标准起草过程中遵循以下原则：</w:t>
      </w:r>
    </w:p>
    <w:p>
      <w:pPr>
        <w:pStyle w:val="121"/>
        <w:tabs>
          <w:tab w:val="center" w:pos="4201"/>
          <w:tab w:val="right" w:leader="dot" w:pos="9298"/>
        </w:tabs>
        <w:spacing w:line="300" w:lineRule="auto"/>
        <w:ind w:firstLine="0" w:firstLineChars="0"/>
        <w:rPr>
          <w:rFonts w:ascii="Times New Roman" w:hAnsi="Times New Roman"/>
        </w:rPr>
      </w:pPr>
      <w:r>
        <w:rPr>
          <w:rFonts w:hint="eastAsia" w:ascii="Times New Roman" w:hAnsi="Times New Roman"/>
        </w:rPr>
        <w:t>1）</w:t>
      </w:r>
      <w:r>
        <w:rPr>
          <w:rFonts w:hint="eastAsia"/>
        </w:rPr>
        <w:t>规范性原则</w:t>
      </w:r>
      <w:r>
        <w:rPr>
          <w:rFonts w:hint="eastAsia" w:ascii="Times New Roman" w:hAnsi="Times New Roman"/>
        </w:rPr>
        <w:t>：</w:t>
      </w:r>
      <w:r>
        <w:rPr>
          <w:rFonts w:ascii="Times New Roman" w:hAnsi="Times New Roman"/>
        </w:rPr>
        <w:t>本标准是根据GB/T</w:t>
      </w:r>
      <w:r>
        <w:rPr>
          <w:rFonts w:hint="eastAsia" w:ascii="Times New Roman" w:hAnsi="Times New Roman"/>
        </w:rPr>
        <w:t xml:space="preserve"> </w:t>
      </w:r>
      <w:r>
        <w:rPr>
          <w:rFonts w:ascii="Times New Roman" w:hAnsi="Times New Roman"/>
        </w:rPr>
        <w:t>1.1-2020《</w:t>
      </w:r>
      <w:r>
        <w:rPr>
          <w:rFonts w:hint="eastAsia"/>
          <w:szCs w:val="21"/>
        </w:rPr>
        <w:t>标准化工作导则 第1部分：标准化文件的结构和起草规则</w:t>
      </w:r>
      <w:r>
        <w:rPr>
          <w:rFonts w:ascii="Times New Roman" w:hAnsi="Times New Roman"/>
        </w:rPr>
        <w:t>》和GB/T</w:t>
      </w:r>
      <w:r>
        <w:rPr>
          <w:rFonts w:hint="eastAsia" w:ascii="Times New Roman" w:hAnsi="Times New Roman"/>
        </w:rPr>
        <w:t xml:space="preserve"> </w:t>
      </w:r>
      <w:r>
        <w:rPr>
          <w:rFonts w:ascii="Times New Roman" w:hAnsi="Times New Roman"/>
        </w:rPr>
        <w:t>20001.4-20</w:t>
      </w:r>
      <w:r>
        <w:rPr>
          <w:rFonts w:hint="eastAsia" w:ascii="Times New Roman" w:hAnsi="Times New Roman"/>
        </w:rPr>
        <w:t>15</w:t>
      </w:r>
      <w:r>
        <w:rPr>
          <w:rFonts w:ascii="Times New Roman" w:hAnsi="Times New Roman"/>
        </w:rPr>
        <w:t>《标准编写规则 第4部分：</w:t>
      </w:r>
      <w:r>
        <w:rPr>
          <w:rFonts w:hint="eastAsia" w:ascii="Times New Roman" w:hAnsi="Times New Roman"/>
        </w:rPr>
        <w:t>试验方法标准</w:t>
      </w:r>
      <w:r>
        <w:rPr>
          <w:rFonts w:ascii="Times New Roman" w:hAnsi="Times New Roman"/>
        </w:rPr>
        <w:t>》的要求进行编写的</w:t>
      </w:r>
      <w:r>
        <w:rPr>
          <w:rFonts w:hint="eastAsia" w:ascii="Times New Roman" w:hAnsi="Times New Roman"/>
        </w:rPr>
        <w:t>；</w:t>
      </w:r>
    </w:p>
    <w:p>
      <w:pPr>
        <w:pStyle w:val="121"/>
        <w:tabs>
          <w:tab w:val="center" w:pos="4201"/>
          <w:tab w:val="right" w:leader="dot" w:pos="9298"/>
        </w:tabs>
        <w:spacing w:line="300" w:lineRule="auto"/>
        <w:ind w:firstLine="0" w:firstLineChars="0"/>
        <w:rPr>
          <w:rFonts w:ascii="Times New Roman" w:hAnsi="Times New Roman"/>
        </w:rPr>
      </w:pPr>
      <w:r>
        <w:rPr>
          <w:rFonts w:hint="eastAsia" w:ascii="Times New Roman" w:hAnsi="Times New Roman"/>
        </w:rPr>
        <w:t>2）先进性：</w:t>
      </w:r>
      <w:r>
        <w:rPr>
          <w:rFonts w:hint="eastAsia"/>
        </w:rPr>
        <w:t>标准采用辉光放电质谱同时测定高纯锆</w:t>
      </w:r>
      <w:r>
        <w:t>中63</w:t>
      </w:r>
      <w:r>
        <w:rPr>
          <w:rFonts w:hint="eastAsia"/>
        </w:rPr>
        <w:t>种杂质元素，方法</w:t>
      </w:r>
      <w:r>
        <w:rPr>
          <w:rFonts w:hint="eastAsia" w:ascii="Times New Roman" w:hAnsi="Times New Roman"/>
        </w:rPr>
        <w:t>且检出限低</w:t>
      </w:r>
      <w:r>
        <w:rPr>
          <w:rFonts w:ascii="Times New Roman" w:hAnsi="Times New Roman"/>
        </w:rPr>
        <w:t>，分析速度快</w:t>
      </w:r>
      <w:r>
        <w:rPr>
          <w:rFonts w:hint="eastAsia"/>
        </w:rPr>
        <w:t>；体现</w:t>
      </w:r>
      <w:r>
        <w:t>了检测技术的进步</w:t>
      </w:r>
      <w:r>
        <w:rPr>
          <w:rFonts w:hint="eastAsia"/>
        </w:rPr>
        <w:t>。同时</w:t>
      </w:r>
      <w:r>
        <w:t>，</w:t>
      </w:r>
      <w:r>
        <w:rPr>
          <w:rFonts w:hint="eastAsia"/>
        </w:rPr>
        <w:t>本标准</w:t>
      </w:r>
      <w:r>
        <w:t>在国内外均为首次制定，具有</w:t>
      </w:r>
      <w:r>
        <w:rPr>
          <w:rFonts w:hint="eastAsia"/>
        </w:rPr>
        <w:t>前瞻性和</w:t>
      </w:r>
      <w:r>
        <w:t>引领性</w:t>
      </w:r>
      <w:r>
        <w:rPr>
          <w:rFonts w:hint="eastAsia"/>
        </w:rPr>
        <w:t>；</w:t>
      </w:r>
    </w:p>
    <w:p>
      <w:pPr>
        <w:pStyle w:val="121"/>
        <w:tabs>
          <w:tab w:val="center" w:pos="4201"/>
          <w:tab w:val="right" w:leader="dot" w:pos="9298"/>
        </w:tabs>
        <w:spacing w:line="300" w:lineRule="auto"/>
        <w:ind w:firstLine="0" w:firstLineChars="0"/>
        <w:rPr>
          <w:rFonts w:ascii="Times New Roman" w:hAnsi="Times New Roman"/>
        </w:rPr>
      </w:pPr>
      <w:r>
        <w:rPr>
          <w:rFonts w:hint="eastAsia" w:ascii="Times New Roman" w:hAnsi="Times New Roman"/>
        </w:rPr>
        <w:t>3）适用性：本标准的</w:t>
      </w:r>
      <w:r>
        <w:rPr>
          <w:rFonts w:ascii="Times New Roman" w:hAnsi="Times New Roman"/>
        </w:rPr>
        <w:t>制定参照了正在制定中</w:t>
      </w:r>
      <w:r>
        <w:rPr>
          <w:rFonts w:hint="eastAsia" w:ascii="Times New Roman" w:hAnsi="Times New Roman"/>
        </w:rPr>
        <w:t>的</w:t>
      </w:r>
      <w:r>
        <w:rPr>
          <w:rFonts w:ascii="Times New Roman" w:hAnsi="Times New Roman"/>
        </w:rPr>
        <w:t>《</w:t>
      </w:r>
      <w:r>
        <w:rPr>
          <w:rFonts w:hint="eastAsia" w:ascii="Times New Roman" w:hAnsi="Times New Roman"/>
        </w:rPr>
        <w:t>高纯</w:t>
      </w:r>
      <w:r>
        <w:rPr>
          <w:rFonts w:ascii="Times New Roman" w:hAnsi="Times New Roman"/>
        </w:rPr>
        <w:t>锆锭》</w:t>
      </w:r>
      <w:r>
        <w:rPr>
          <w:rFonts w:hint="eastAsia" w:ascii="Times New Roman" w:hAnsi="Times New Roman"/>
        </w:rPr>
        <w:t>产品</w:t>
      </w:r>
      <w:r>
        <w:rPr>
          <w:rFonts w:ascii="Times New Roman" w:hAnsi="Times New Roman"/>
        </w:rPr>
        <w:t>标准的检测要求，</w:t>
      </w:r>
      <w:r>
        <w:rPr>
          <w:rFonts w:hint="eastAsia" w:ascii="Times New Roman" w:hAnsi="Times New Roman"/>
        </w:rPr>
        <w:t>能够反映当前国内生产高纯锆企业的技术水平，宜于应用，能够满足企业需求</w:t>
      </w:r>
      <w:r>
        <w:rPr>
          <w:rFonts w:ascii="Times New Roman" w:hAnsi="Times New Roman"/>
        </w:rPr>
        <w:t>。</w:t>
      </w:r>
    </w:p>
    <w:p>
      <w:pPr>
        <w:pStyle w:val="121"/>
        <w:tabs>
          <w:tab w:val="center" w:pos="4201"/>
          <w:tab w:val="right" w:leader="dot" w:pos="9298"/>
        </w:tabs>
        <w:spacing w:line="300" w:lineRule="auto"/>
        <w:ind w:firstLine="0" w:firstLineChars="0"/>
      </w:pPr>
      <w:r>
        <w:t>4</w:t>
      </w:r>
      <w:r>
        <w:rPr>
          <w:rFonts w:hint="eastAsia"/>
        </w:rPr>
        <w:t>）合规性</w:t>
      </w:r>
      <w:r>
        <w:t>：</w:t>
      </w:r>
      <w:r>
        <w:rPr>
          <w:szCs w:val="21"/>
        </w:rPr>
        <w:t>充分考虑国家法律、安全、卫生、环保法规的要求。</w:t>
      </w:r>
    </w:p>
    <w:p>
      <w:pPr>
        <w:spacing w:before="156" w:beforeLines="50" w:after="156" w:afterLines="50" w:line="300" w:lineRule="auto"/>
        <w:rPr>
          <w:rFonts w:ascii="黑体" w:hAnsi="宋体" w:eastAsia="黑体"/>
          <w:bCs/>
          <w:sz w:val="24"/>
        </w:rPr>
      </w:pPr>
      <w:r>
        <w:rPr>
          <w:rFonts w:hint="eastAsia" w:ascii="黑体" w:hAnsi="宋体" w:eastAsia="黑体"/>
          <w:bCs/>
          <w:sz w:val="24"/>
        </w:rPr>
        <w:t>三、标准主要内容的确定依据</w:t>
      </w:r>
    </w:p>
    <w:p>
      <w:pPr>
        <w:spacing w:before="156" w:beforeLines="50" w:after="156" w:afterLines="50" w:line="300" w:lineRule="auto"/>
        <w:ind w:firstLine="420" w:firstLineChars="200"/>
        <w:rPr>
          <w:rFonts w:ascii="宋体" w:hAnsi="宋体"/>
          <w:kern w:val="0"/>
          <w:szCs w:val="20"/>
        </w:rPr>
      </w:pPr>
      <w:r>
        <w:rPr>
          <w:rFonts w:hint="eastAsia" w:ascii="宋体" w:hAnsi="宋体"/>
          <w:kern w:val="0"/>
          <w:szCs w:val="20"/>
        </w:rPr>
        <w:t>本标准为初次制定。在制定</w:t>
      </w:r>
      <w:r>
        <w:rPr>
          <w:rFonts w:ascii="宋体" w:hAnsi="宋体"/>
          <w:kern w:val="0"/>
          <w:szCs w:val="20"/>
        </w:rPr>
        <w:t>过程中起草单位</w:t>
      </w:r>
      <w:r>
        <w:rPr>
          <w:rFonts w:hint="eastAsia" w:ascii="宋体" w:hAnsi="宋体"/>
          <w:kern w:val="0"/>
          <w:szCs w:val="20"/>
        </w:rPr>
        <w:t>国合通用测试评价认证股份公司、国标（北京）检验认证有限公司及</w:t>
      </w:r>
      <w:r>
        <w:rPr>
          <w:rFonts w:ascii="宋体" w:hAnsi="宋体"/>
          <w:kern w:val="0"/>
          <w:szCs w:val="20"/>
        </w:rPr>
        <w:t>一验单位国核锆铪理化检测有限公司</w:t>
      </w:r>
      <w:r>
        <w:rPr>
          <w:rFonts w:hint="eastAsia" w:ascii="宋体" w:hAnsi="宋体"/>
          <w:kern w:val="0"/>
          <w:szCs w:val="20"/>
        </w:rPr>
        <w:t>、集萃</w:t>
      </w:r>
      <w:r>
        <w:rPr>
          <w:rFonts w:ascii="宋体" w:hAnsi="宋体"/>
          <w:kern w:val="0"/>
          <w:szCs w:val="20"/>
        </w:rPr>
        <w:t>新材料研发有限公司</w:t>
      </w:r>
      <w:r>
        <w:rPr>
          <w:rFonts w:hint="eastAsia" w:ascii="宋体" w:hAnsi="宋体"/>
          <w:kern w:val="0"/>
          <w:szCs w:val="20"/>
        </w:rPr>
        <w:t>对测定元素</w:t>
      </w:r>
      <w:r>
        <w:rPr>
          <w:rFonts w:ascii="宋体" w:hAnsi="宋体"/>
          <w:kern w:val="0"/>
          <w:szCs w:val="20"/>
        </w:rPr>
        <w:t>种类、</w:t>
      </w:r>
      <w:r>
        <w:rPr>
          <w:rFonts w:hint="eastAsia" w:ascii="宋体" w:hAnsi="宋体"/>
          <w:kern w:val="0"/>
          <w:szCs w:val="20"/>
        </w:rPr>
        <w:t>测定</w:t>
      </w:r>
      <w:r>
        <w:rPr>
          <w:rFonts w:ascii="宋体" w:hAnsi="宋体"/>
          <w:kern w:val="0"/>
          <w:szCs w:val="20"/>
        </w:rPr>
        <w:t>范围、</w:t>
      </w:r>
      <w:r>
        <w:rPr>
          <w:rFonts w:hint="eastAsia" w:ascii="宋体" w:hAnsi="宋体"/>
          <w:kern w:val="0"/>
          <w:szCs w:val="20"/>
        </w:rPr>
        <w:t>样品</w:t>
      </w:r>
      <w:r>
        <w:rPr>
          <w:rFonts w:ascii="宋体" w:hAnsi="宋体"/>
          <w:kern w:val="0"/>
          <w:szCs w:val="20"/>
        </w:rPr>
        <w:t>的前处理</w:t>
      </w:r>
      <w:r>
        <w:rPr>
          <w:rFonts w:hint="eastAsia" w:ascii="宋体" w:hAnsi="宋体"/>
          <w:kern w:val="0"/>
          <w:szCs w:val="20"/>
        </w:rPr>
        <w:t>过程</w:t>
      </w:r>
      <w:r>
        <w:rPr>
          <w:rFonts w:ascii="宋体" w:hAnsi="宋体"/>
          <w:kern w:val="0"/>
          <w:szCs w:val="20"/>
        </w:rPr>
        <w:t>、</w:t>
      </w:r>
      <w:r>
        <w:rPr>
          <w:rFonts w:hint="eastAsia" w:ascii="宋体" w:hAnsi="宋体"/>
          <w:kern w:val="0"/>
          <w:szCs w:val="20"/>
        </w:rPr>
        <w:t>仪器</w:t>
      </w:r>
      <w:r>
        <w:rPr>
          <w:rFonts w:ascii="宋体" w:hAnsi="宋体"/>
          <w:kern w:val="0"/>
          <w:szCs w:val="20"/>
        </w:rPr>
        <w:t>工作参数的确定</w:t>
      </w:r>
      <w:r>
        <w:rPr>
          <w:rFonts w:hint="eastAsia" w:ascii="宋体" w:hAnsi="宋体"/>
          <w:kern w:val="0"/>
          <w:szCs w:val="20"/>
        </w:rPr>
        <w:t>、</w:t>
      </w:r>
      <w:r>
        <w:rPr>
          <w:rFonts w:ascii="宋体" w:hAnsi="宋体"/>
          <w:kern w:val="0"/>
          <w:szCs w:val="20"/>
        </w:rPr>
        <w:t>同位素及分辨率的选择</w:t>
      </w:r>
      <w:r>
        <w:rPr>
          <w:rFonts w:hint="eastAsia" w:ascii="宋体" w:hAnsi="宋体"/>
          <w:kern w:val="0"/>
          <w:szCs w:val="20"/>
        </w:rPr>
        <w:t>等</w:t>
      </w:r>
      <w:r>
        <w:rPr>
          <w:rFonts w:ascii="宋体" w:hAnsi="宋体"/>
          <w:kern w:val="0"/>
          <w:szCs w:val="20"/>
        </w:rPr>
        <w:t>内容进行了充分的试验论证</w:t>
      </w:r>
      <w:r>
        <w:rPr>
          <w:rFonts w:hint="eastAsia" w:ascii="宋体" w:hAnsi="宋体"/>
          <w:kern w:val="0"/>
          <w:szCs w:val="20"/>
        </w:rPr>
        <w:t>，</w:t>
      </w:r>
      <w:r>
        <w:rPr>
          <w:rFonts w:ascii="宋体" w:hAnsi="宋体"/>
          <w:kern w:val="0"/>
          <w:szCs w:val="20"/>
        </w:rPr>
        <w:t>并提出试验方案。</w:t>
      </w:r>
      <w:r>
        <w:rPr>
          <w:rFonts w:hint="eastAsia" w:ascii="宋体" w:hAnsi="宋体"/>
          <w:kern w:val="0"/>
          <w:szCs w:val="20"/>
        </w:rPr>
        <w:t>各</w:t>
      </w:r>
      <w:r>
        <w:rPr>
          <w:rFonts w:ascii="宋体" w:hAnsi="宋体"/>
          <w:kern w:val="0"/>
          <w:szCs w:val="20"/>
        </w:rPr>
        <w:t>参与单位按照实验方案，对高纯锆公共样品中的杂质元素进行测定，</w:t>
      </w:r>
      <w:r>
        <w:rPr>
          <w:rFonts w:hint="eastAsia" w:ascii="宋体" w:hAnsi="宋体"/>
          <w:kern w:val="0"/>
          <w:szCs w:val="20"/>
        </w:rPr>
        <w:t>在对</w:t>
      </w:r>
      <w:r>
        <w:rPr>
          <w:rFonts w:ascii="宋体" w:hAnsi="宋体"/>
          <w:kern w:val="0"/>
          <w:szCs w:val="20"/>
        </w:rPr>
        <w:t>数据进行统计分析的基础上，给出了</w:t>
      </w:r>
      <w:r>
        <w:rPr>
          <w:rFonts w:hint="eastAsia" w:ascii="宋体" w:hAnsi="宋体"/>
          <w:kern w:val="0"/>
          <w:szCs w:val="20"/>
        </w:rPr>
        <w:t>方法的</w:t>
      </w:r>
      <w:r>
        <w:rPr>
          <w:rFonts w:ascii="宋体" w:hAnsi="宋体"/>
          <w:kern w:val="0"/>
          <w:szCs w:val="20"/>
        </w:rPr>
        <w:t>相对允许偏差</w:t>
      </w:r>
      <w:r>
        <w:rPr>
          <w:rFonts w:hint="eastAsia" w:ascii="宋体" w:hAnsi="宋体"/>
          <w:kern w:val="0"/>
          <w:szCs w:val="20"/>
        </w:rPr>
        <w:t>。具体确认</w:t>
      </w:r>
      <w:r>
        <w:rPr>
          <w:rFonts w:ascii="宋体" w:hAnsi="宋体"/>
          <w:kern w:val="0"/>
          <w:szCs w:val="20"/>
        </w:rPr>
        <w:t>内容包括</w:t>
      </w:r>
      <w:r>
        <w:rPr>
          <w:rFonts w:hint="eastAsia" w:ascii="宋体" w:hAnsi="宋体"/>
          <w:kern w:val="0"/>
          <w:szCs w:val="20"/>
        </w:rPr>
        <w:t>以下</w:t>
      </w:r>
      <w:r>
        <w:rPr>
          <w:rFonts w:ascii="宋体" w:hAnsi="宋体"/>
          <w:kern w:val="0"/>
          <w:szCs w:val="20"/>
        </w:rPr>
        <w:t>内容</w:t>
      </w:r>
      <w:r>
        <w:rPr>
          <w:rFonts w:hint="eastAsia" w:ascii="宋体" w:hAnsi="宋体"/>
          <w:kern w:val="0"/>
          <w:szCs w:val="20"/>
        </w:rPr>
        <w:t>：</w:t>
      </w:r>
    </w:p>
    <w:p>
      <w:pPr>
        <w:pStyle w:val="120"/>
        <w:tabs>
          <w:tab w:val="clear" w:pos="675"/>
        </w:tabs>
        <w:spacing w:beforeLines="0" w:afterLines="0" w:line="300" w:lineRule="auto"/>
        <w:ind w:left="0" w:firstLine="0"/>
        <w:rPr>
          <w:rFonts w:hAnsi="黑体"/>
        </w:rPr>
      </w:pPr>
      <w:r>
        <w:rPr>
          <w:rFonts w:hint="eastAsia" w:hAnsi="黑体"/>
        </w:rPr>
        <w:t>1、检测元素种类</w:t>
      </w:r>
    </w:p>
    <w:p>
      <w:pPr>
        <w:pStyle w:val="121"/>
        <w:tabs>
          <w:tab w:val="center" w:pos="4201"/>
          <w:tab w:val="right" w:leader="dot" w:pos="9298"/>
        </w:tabs>
        <w:spacing w:line="300" w:lineRule="auto"/>
        <w:ind w:firstLine="420"/>
      </w:pPr>
      <w:r>
        <w:rPr>
          <w:rFonts w:hint="eastAsia"/>
          <w:szCs w:val="21"/>
        </w:rPr>
        <w:tab/>
      </w:r>
      <w:r>
        <w:rPr>
          <w:rFonts w:hint="eastAsia"/>
          <w:szCs w:val="21"/>
        </w:rPr>
        <w:t>本标准检测项目</w:t>
      </w:r>
      <w:r>
        <w:rPr>
          <w:szCs w:val="21"/>
        </w:rPr>
        <w:t>的确定参照了正在制定中的《</w:t>
      </w:r>
      <w:r>
        <w:rPr>
          <w:rFonts w:hint="eastAsia"/>
          <w:szCs w:val="21"/>
        </w:rPr>
        <w:t>高纯</w:t>
      </w:r>
      <w:r>
        <w:rPr>
          <w:szCs w:val="21"/>
        </w:rPr>
        <w:t>锆锭》</w:t>
      </w:r>
      <w:r>
        <w:rPr>
          <w:rFonts w:hint="eastAsia"/>
          <w:szCs w:val="21"/>
        </w:rPr>
        <w:t>（项目</w:t>
      </w:r>
      <w:r>
        <w:rPr>
          <w:szCs w:val="21"/>
        </w:rPr>
        <w:t>计划编号：</w:t>
      </w:r>
      <w:r>
        <w:rPr>
          <w:rFonts w:hint="eastAsia"/>
          <w:szCs w:val="21"/>
        </w:rPr>
        <w:t>2020</w:t>
      </w:r>
      <w:r>
        <w:rPr>
          <w:szCs w:val="21"/>
        </w:rPr>
        <w:t>-0047-YS</w:t>
      </w:r>
      <w:r>
        <w:rPr>
          <w:rFonts w:hint="eastAsia"/>
          <w:szCs w:val="21"/>
        </w:rPr>
        <w:t>）。起草</w:t>
      </w:r>
      <w:r>
        <w:rPr>
          <w:szCs w:val="21"/>
        </w:rPr>
        <w:t>中的</w:t>
      </w:r>
      <w:r>
        <w:rPr>
          <w:rFonts w:hint="eastAsia"/>
          <w:szCs w:val="21"/>
        </w:rPr>
        <w:t>《高纯</w:t>
      </w:r>
      <w:r>
        <w:rPr>
          <w:szCs w:val="21"/>
        </w:rPr>
        <w:t>锆锭</w:t>
      </w:r>
      <w:r>
        <w:rPr>
          <w:rFonts w:hint="eastAsia"/>
          <w:szCs w:val="21"/>
        </w:rPr>
        <w:t>》规定对高纯锆中</w:t>
      </w:r>
      <w:r>
        <w:rPr>
          <w:rFonts w:hint="eastAsia"/>
        </w:rPr>
        <w:t>Al、</w:t>
      </w:r>
      <w:r>
        <w:t>Ca</w:t>
      </w:r>
      <w:r>
        <w:rPr>
          <w:rFonts w:hint="eastAsia"/>
        </w:rPr>
        <w:t>、</w:t>
      </w:r>
      <w:r>
        <w:t>Cl</w:t>
      </w:r>
      <w:r>
        <w:rPr>
          <w:rFonts w:hint="eastAsia"/>
        </w:rPr>
        <w:t>、</w:t>
      </w:r>
      <w:r>
        <w:t>Co</w:t>
      </w:r>
      <w:r>
        <w:rPr>
          <w:rFonts w:hint="eastAsia"/>
        </w:rPr>
        <w:t>、</w:t>
      </w:r>
      <w:r>
        <w:t>Cr</w:t>
      </w:r>
      <w:r>
        <w:rPr>
          <w:rFonts w:hint="eastAsia"/>
        </w:rPr>
        <w:t>、</w:t>
      </w:r>
      <w:r>
        <w:t>Cu</w:t>
      </w:r>
      <w:r>
        <w:rPr>
          <w:rFonts w:hint="eastAsia"/>
        </w:rPr>
        <w:t>、</w:t>
      </w:r>
      <w:r>
        <w:t>Fe</w:t>
      </w:r>
      <w:r>
        <w:rPr>
          <w:rFonts w:hint="eastAsia"/>
        </w:rPr>
        <w:t>、Hf</w:t>
      </w:r>
      <w:r>
        <w:t>、Mg</w:t>
      </w:r>
      <w:r>
        <w:rPr>
          <w:rFonts w:hint="eastAsia"/>
        </w:rPr>
        <w:t>、</w:t>
      </w:r>
      <w:r>
        <w:t>Mn</w:t>
      </w:r>
      <w:r>
        <w:rPr>
          <w:rFonts w:hint="eastAsia"/>
        </w:rPr>
        <w:t>、</w:t>
      </w:r>
      <w:r>
        <w:t>Mo</w:t>
      </w:r>
      <w:r>
        <w:rPr>
          <w:rFonts w:hint="eastAsia"/>
        </w:rPr>
        <w:t>、</w:t>
      </w:r>
      <w:r>
        <w:t>Na</w:t>
      </w:r>
      <w:r>
        <w:rPr>
          <w:rFonts w:hint="eastAsia"/>
        </w:rPr>
        <w:t>、</w:t>
      </w:r>
      <w:r>
        <w:t>Ni</w:t>
      </w:r>
      <w:r>
        <w:rPr>
          <w:rFonts w:hint="eastAsia"/>
        </w:rPr>
        <w:t>、</w:t>
      </w:r>
      <w:r>
        <w:t>Pb</w:t>
      </w:r>
      <w:r>
        <w:rPr>
          <w:rFonts w:hint="eastAsia"/>
        </w:rPr>
        <w:t>、</w:t>
      </w:r>
      <w:r>
        <w:t>Si</w:t>
      </w:r>
      <w:r>
        <w:rPr>
          <w:rFonts w:hint="eastAsia"/>
        </w:rPr>
        <w:t>、</w:t>
      </w:r>
      <w:r>
        <w:t>Sn</w:t>
      </w:r>
      <w:r>
        <w:rPr>
          <w:rFonts w:hint="eastAsia"/>
        </w:rPr>
        <w:t>、</w:t>
      </w:r>
      <w:r>
        <w:t>Ti</w:t>
      </w:r>
      <w:r>
        <w:rPr>
          <w:rFonts w:hint="eastAsia"/>
        </w:rPr>
        <w:t>、</w:t>
      </w:r>
      <w:r>
        <w:t>V</w:t>
      </w:r>
      <w:r>
        <w:rPr>
          <w:rFonts w:hint="eastAsia"/>
        </w:rPr>
        <w:t>、</w:t>
      </w:r>
      <w:r>
        <w:t>W</w:t>
      </w:r>
      <w:r>
        <w:rPr>
          <w:rFonts w:hint="eastAsia"/>
        </w:rPr>
        <w:t>等20多种元素含量的检测要求。当需方对产品的化学成分有特殊要求时，可由供需方进行商定。编制组</w:t>
      </w:r>
      <w:r>
        <w:t>充分考虑</w:t>
      </w:r>
      <w:r>
        <w:rPr>
          <w:rFonts w:hint="eastAsia"/>
        </w:rPr>
        <w:t>用户</w:t>
      </w:r>
      <w:r>
        <w:t>需求，提高标准的适用范围，</w:t>
      </w:r>
      <w:r>
        <w:rPr>
          <w:rFonts w:hint="eastAsia"/>
        </w:rPr>
        <w:t>同时结合辉光放电质谱仪多元素</w:t>
      </w:r>
      <w:r>
        <w:t>测定的</w:t>
      </w:r>
      <w:r>
        <w:rPr>
          <w:rFonts w:hint="eastAsia"/>
        </w:rPr>
        <w:t>特点，标准拟对高纯锆中</w:t>
      </w:r>
      <w:r>
        <w:t>杂质</w:t>
      </w:r>
      <w:r>
        <w:rPr>
          <w:rFonts w:hint="eastAsia"/>
        </w:rPr>
        <w:t>元素全谱</w:t>
      </w:r>
      <w:r>
        <w:t>扫描</w:t>
      </w:r>
      <w:r>
        <w:rPr>
          <w:rFonts w:hint="eastAsia"/>
        </w:rPr>
        <w:t>。</w:t>
      </w:r>
    </w:p>
    <w:p>
      <w:pPr>
        <w:pStyle w:val="121"/>
        <w:tabs>
          <w:tab w:val="center" w:pos="4201"/>
          <w:tab w:val="right" w:leader="dot" w:pos="9298"/>
        </w:tabs>
        <w:spacing w:line="300" w:lineRule="auto"/>
        <w:ind w:firstLine="420"/>
        <w:rPr>
          <w:rFonts w:ascii="Times New Roman" w:hAnsi="Times New Roman"/>
          <w:szCs w:val="21"/>
        </w:rPr>
      </w:pPr>
      <w:r>
        <w:rPr>
          <w:rFonts w:ascii="Times New Roman" w:hAnsi="Times New Roman"/>
        </w:rPr>
        <w:t>方法的建立过程中发现，</w:t>
      </w:r>
      <w:r>
        <w:rPr>
          <w:rFonts w:ascii="Times New Roman" w:hAnsi="Times New Roman"/>
          <w:szCs w:val="21"/>
          <w:vertAlign w:val="superscript"/>
        </w:rPr>
        <w:t>106</w:t>
      </w:r>
      <w:r>
        <w:rPr>
          <w:rFonts w:ascii="Times New Roman" w:hAnsi="Times New Roman"/>
          <w:szCs w:val="21"/>
        </w:rPr>
        <w:t>Cd~</w:t>
      </w:r>
      <w:r>
        <w:rPr>
          <w:rFonts w:ascii="Times New Roman" w:hAnsi="Times New Roman"/>
          <w:szCs w:val="21"/>
          <w:vertAlign w:val="superscript"/>
        </w:rPr>
        <w:t>113</w:t>
      </w:r>
      <w:r>
        <w:rPr>
          <w:rFonts w:ascii="Times New Roman" w:hAnsi="Times New Roman"/>
          <w:szCs w:val="21"/>
        </w:rPr>
        <w:t>Cd均受到ZrO干扰，及时高分辨也无法分开。而</w:t>
      </w:r>
      <w:r>
        <w:rPr>
          <w:rFonts w:ascii="Times New Roman" w:hAnsi="Times New Roman"/>
          <w:szCs w:val="21"/>
          <w:vertAlign w:val="superscript"/>
        </w:rPr>
        <w:t>114</w:t>
      </w:r>
      <w:r>
        <w:rPr>
          <w:rFonts w:ascii="Times New Roman" w:hAnsi="Times New Roman"/>
          <w:szCs w:val="21"/>
        </w:rPr>
        <w:t>Cd和</w:t>
      </w:r>
      <w:r>
        <w:rPr>
          <w:rFonts w:ascii="Times New Roman" w:hAnsi="Times New Roman"/>
          <w:szCs w:val="21"/>
          <w:vertAlign w:val="superscript"/>
        </w:rPr>
        <w:t>116</w:t>
      </w:r>
      <w:r>
        <w:rPr>
          <w:rFonts w:ascii="Times New Roman" w:hAnsi="Times New Roman"/>
          <w:szCs w:val="21"/>
        </w:rPr>
        <w:t>Cd与样品中的Sn存在同量异位素干扰，也无法用于Cd的准确定值分析。Ag的同位素</w:t>
      </w:r>
      <w:r>
        <w:rPr>
          <w:rFonts w:ascii="Times New Roman" w:hAnsi="Times New Roman"/>
          <w:szCs w:val="21"/>
          <w:vertAlign w:val="superscript"/>
        </w:rPr>
        <w:t>107</w:t>
      </w:r>
      <w:r>
        <w:rPr>
          <w:rFonts w:ascii="Times New Roman" w:hAnsi="Times New Roman"/>
          <w:szCs w:val="21"/>
        </w:rPr>
        <w:t>Ag和</w:t>
      </w:r>
      <w:r>
        <w:rPr>
          <w:rFonts w:ascii="Times New Roman" w:hAnsi="Times New Roman"/>
          <w:szCs w:val="21"/>
          <w:vertAlign w:val="superscript"/>
        </w:rPr>
        <w:t>109</w:t>
      </w:r>
      <w:r>
        <w:rPr>
          <w:rFonts w:ascii="Times New Roman" w:hAnsi="Times New Roman"/>
          <w:szCs w:val="21"/>
        </w:rPr>
        <w:t>Ag分别受到</w:t>
      </w:r>
      <w:r>
        <w:rPr>
          <w:rFonts w:ascii="Times New Roman" w:hAnsi="Times New Roman"/>
          <w:szCs w:val="21"/>
          <w:vertAlign w:val="superscript"/>
        </w:rPr>
        <w:t>91</w:t>
      </w:r>
      <w:r>
        <w:rPr>
          <w:rFonts w:ascii="Times New Roman" w:hAnsi="Times New Roman"/>
          <w:szCs w:val="21"/>
        </w:rPr>
        <w:t>Zr</w:t>
      </w:r>
      <w:r>
        <w:rPr>
          <w:rFonts w:ascii="Times New Roman" w:hAnsi="Times New Roman"/>
          <w:szCs w:val="21"/>
          <w:vertAlign w:val="superscript"/>
        </w:rPr>
        <w:t>16</w:t>
      </w:r>
      <w:r>
        <w:rPr>
          <w:rFonts w:ascii="Times New Roman" w:hAnsi="Times New Roman"/>
          <w:szCs w:val="21"/>
        </w:rPr>
        <w:t>O、</w:t>
      </w:r>
      <w:r>
        <w:rPr>
          <w:rFonts w:ascii="Times New Roman" w:hAnsi="Times New Roman"/>
          <w:szCs w:val="21"/>
          <w:vertAlign w:val="superscript"/>
        </w:rPr>
        <w:t>91</w:t>
      </w:r>
      <w:r>
        <w:rPr>
          <w:rFonts w:ascii="Times New Roman" w:hAnsi="Times New Roman"/>
          <w:szCs w:val="21"/>
        </w:rPr>
        <w:t>Zr</w:t>
      </w:r>
      <w:r>
        <w:rPr>
          <w:rFonts w:ascii="Times New Roman" w:hAnsi="Times New Roman"/>
          <w:szCs w:val="21"/>
          <w:vertAlign w:val="superscript"/>
        </w:rPr>
        <w:t>18</w:t>
      </w:r>
      <w:r>
        <w:rPr>
          <w:rFonts w:ascii="Times New Roman" w:hAnsi="Times New Roman"/>
          <w:szCs w:val="21"/>
        </w:rPr>
        <w:t>O的干扰；Pd的同位素</w:t>
      </w:r>
      <w:r>
        <w:rPr>
          <w:rFonts w:ascii="Times New Roman" w:hAnsi="Times New Roman"/>
          <w:szCs w:val="21"/>
          <w:vertAlign w:val="superscript"/>
        </w:rPr>
        <w:t>104</w:t>
      </w:r>
      <w:r>
        <w:rPr>
          <w:rFonts w:ascii="Times New Roman" w:hAnsi="Times New Roman"/>
          <w:szCs w:val="21"/>
        </w:rPr>
        <w:t>Pd、</w:t>
      </w:r>
      <w:r>
        <w:rPr>
          <w:rFonts w:ascii="Times New Roman" w:hAnsi="Times New Roman"/>
          <w:szCs w:val="21"/>
          <w:vertAlign w:val="superscript"/>
        </w:rPr>
        <w:t>105</w:t>
      </w:r>
      <w:r>
        <w:rPr>
          <w:rFonts w:ascii="Times New Roman" w:hAnsi="Times New Roman"/>
          <w:szCs w:val="21"/>
        </w:rPr>
        <w:t>Pd、</w:t>
      </w:r>
      <w:r>
        <w:rPr>
          <w:rFonts w:ascii="Times New Roman" w:hAnsi="Times New Roman"/>
          <w:szCs w:val="21"/>
          <w:vertAlign w:val="superscript"/>
        </w:rPr>
        <w:t>106</w:t>
      </w:r>
      <w:r>
        <w:rPr>
          <w:rFonts w:ascii="Times New Roman" w:hAnsi="Times New Roman"/>
          <w:szCs w:val="21"/>
        </w:rPr>
        <w:t>Pd、</w:t>
      </w:r>
      <w:r>
        <w:rPr>
          <w:rFonts w:ascii="Times New Roman" w:hAnsi="Times New Roman"/>
          <w:szCs w:val="21"/>
          <w:vertAlign w:val="superscript"/>
        </w:rPr>
        <w:t>108</w:t>
      </w:r>
      <w:r>
        <w:rPr>
          <w:rFonts w:ascii="Times New Roman" w:hAnsi="Times New Roman"/>
          <w:szCs w:val="21"/>
        </w:rPr>
        <w:t>Pd、</w:t>
      </w:r>
      <w:r>
        <w:rPr>
          <w:rFonts w:ascii="Times New Roman" w:hAnsi="Times New Roman"/>
          <w:szCs w:val="21"/>
          <w:vertAlign w:val="superscript"/>
        </w:rPr>
        <w:t>110</w:t>
      </w:r>
      <w:r>
        <w:rPr>
          <w:rFonts w:ascii="Times New Roman" w:hAnsi="Times New Roman"/>
          <w:szCs w:val="21"/>
        </w:rPr>
        <w:t>Pd分别受到</w:t>
      </w:r>
      <w:r>
        <w:rPr>
          <w:rFonts w:ascii="Times New Roman" w:hAnsi="Times New Roman"/>
          <w:szCs w:val="21"/>
          <w:vertAlign w:val="superscript"/>
        </w:rPr>
        <w:t>90</w:t>
      </w:r>
      <w:r>
        <w:rPr>
          <w:rFonts w:ascii="Times New Roman" w:hAnsi="Times New Roman"/>
          <w:szCs w:val="21"/>
        </w:rPr>
        <w:t>Zr</w:t>
      </w:r>
      <w:r>
        <w:rPr>
          <w:rFonts w:ascii="Times New Roman" w:hAnsi="Times New Roman"/>
          <w:szCs w:val="21"/>
          <w:vertAlign w:val="superscript"/>
        </w:rPr>
        <w:t>14</w:t>
      </w:r>
      <w:r>
        <w:rPr>
          <w:rFonts w:ascii="Times New Roman" w:hAnsi="Times New Roman"/>
          <w:szCs w:val="21"/>
        </w:rPr>
        <w:t>N、</w:t>
      </w:r>
      <w:r>
        <w:rPr>
          <w:rFonts w:ascii="Times New Roman" w:hAnsi="Times New Roman"/>
          <w:szCs w:val="21"/>
          <w:vertAlign w:val="superscript"/>
        </w:rPr>
        <w:t>90</w:t>
      </w:r>
      <w:r>
        <w:rPr>
          <w:rFonts w:ascii="Times New Roman" w:hAnsi="Times New Roman"/>
          <w:szCs w:val="21"/>
        </w:rPr>
        <w:t>Zr</w:t>
      </w:r>
      <w:r>
        <w:rPr>
          <w:rFonts w:ascii="Times New Roman" w:hAnsi="Times New Roman"/>
          <w:szCs w:val="21"/>
          <w:vertAlign w:val="superscript"/>
        </w:rPr>
        <w:t>15</w:t>
      </w:r>
      <w:r>
        <w:rPr>
          <w:rFonts w:ascii="Times New Roman" w:hAnsi="Times New Roman"/>
          <w:szCs w:val="21"/>
        </w:rPr>
        <w:t>N、</w:t>
      </w:r>
      <w:r>
        <w:rPr>
          <w:rFonts w:ascii="Times New Roman" w:hAnsi="Times New Roman"/>
          <w:szCs w:val="21"/>
          <w:vertAlign w:val="superscript"/>
        </w:rPr>
        <w:t>90</w:t>
      </w:r>
      <w:r>
        <w:rPr>
          <w:rFonts w:ascii="Times New Roman" w:hAnsi="Times New Roman"/>
          <w:szCs w:val="21"/>
        </w:rPr>
        <w:t>Zr</w:t>
      </w:r>
      <w:r>
        <w:rPr>
          <w:rFonts w:ascii="Times New Roman" w:hAnsi="Times New Roman"/>
          <w:szCs w:val="21"/>
          <w:vertAlign w:val="superscript"/>
        </w:rPr>
        <w:t>16</w:t>
      </w:r>
      <w:r>
        <w:rPr>
          <w:rFonts w:ascii="Times New Roman" w:hAnsi="Times New Roman"/>
          <w:szCs w:val="21"/>
        </w:rPr>
        <w:t>O、</w:t>
      </w:r>
      <w:r>
        <w:rPr>
          <w:rFonts w:ascii="Times New Roman" w:hAnsi="Times New Roman"/>
          <w:szCs w:val="21"/>
          <w:vertAlign w:val="superscript"/>
        </w:rPr>
        <w:t>92</w:t>
      </w:r>
      <w:r>
        <w:rPr>
          <w:rFonts w:ascii="Times New Roman" w:hAnsi="Times New Roman"/>
          <w:szCs w:val="21"/>
        </w:rPr>
        <w:t>Zr</w:t>
      </w:r>
      <w:r>
        <w:rPr>
          <w:rFonts w:ascii="Times New Roman" w:hAnsi="Times New Roman"/>
          <w:szCs w:val="21"/>
          <w:vertAlign w:val="superscript"/>
        </w:rPr>
        <w:t>16</w:t>
      </w:r>
      <w:r>
        <w:rPr>
          <w:rFonts w:ascii="Times New Roman" w:hAnsi="Times New Roman"/>
          <w:szCs w:val="21"/>
        </w:rPr>
        <w:t>O、</w:t>
      </w:r>
      <w:r>
        <w:rPr>
          <w:rFonts w:ascii="Times New Roman" w:hAnsi="Times New Roman"/>
          <w:szCs w:val="21"/>
          <w:vertAlign w:val="superscript"/>
        </w:rPr>
        <w:t>94</w:t>
      </w:r>
      <w:r>
        <w:rPr>
          <w:rFonts w:ascii="Times New Roman" w:hAnsi="Times New Roman"/>
          <w:szCs w:val="21"/>
        </w:rPr>
        <w:t>Zr</w:t>
      </w:r>
      <w:r>
        <w:rPr>
          <w:rFonts w:ascii="Times New Roman" w:hAnsi="Times New Roman"/>
          <w:szCs w:val="21"/>
          <w:vertAlign w:val="superscript"/>
        </w:rPr>
        <w:t>16</w:t>
      </w:r>
      <w:r>
        <w:rPr>
          <w:rFonts w:ascii="Times New Roman" w:hAnsi="Times New Roman"/>
          <w:szCs w:val="21"/>
        </w:rPr>
        <w:t xml:space="preserve">O 的干扰； </w:t>
      </w:r>
      <w:r>
        <w:rPr>
          <w:rFonts w:ascii="Times New Roman" w:hAnsi="Times New Roman"/>
          <w:szCs w:val="21"/>
          <w:vertAlign w:val="superscript"/>
        </w:rPr>
        <w:t>45</w:t>
      </w:r>
      <w:r>
        <w:rPr>
          <w:rFonts w:ascii="Times New Roman" w:hAnsi="Times New Roman"/>
          <w:szCs w:val="21"/>
        </w:rPr>
        <w:t>Sc受</w:t>
      </w:r>
      <w:r>
        <w:rPr>
          <w:rFonts w:ascii="Times New Roman" w:hAnsi="Times New Roman"/>
          <w:szCs w:val="21"/>
          <w:vertAlign w:val="superscript"/>
        </w:rPr>
        <w:t>90</w:t>
      </w:r>
      <w:r>
        <w:rPr>
          <w:rFonts w:ascii="Times New Roman" w:hAnsi="Times New Roman"/>
          <w:szCs w:val="21"/>
        </w:rPr>
        <w:t>Zr</w:t>
      </w:r>
      <w:r>
        <w:rPr>
          <w:rFonts w:ascii="Times New Roman" w:hAnsi="Times New Roman"/>
          <w:szCs w:val="21"/>
          <w:vertAlign w:val="superscript"/>
        </w:rPr>
        <w:t>2+</w:t>
      </w:r>
      <w:r>
        <w:rPr>
          <w:rFonts w:ascii="Times New Roman" w:hAnsi="Times New Roman"/>
          <w:szCs w:val="21"/>
        </w:rPr>
        <w:t>双电荷离子的影响，即使分辨率达到10000依然无法分开，无法采用GDMS测定。因此，Cd、Ag、Pd、Sc不包含在本方法中。Cd、Ag、Pd、Sc等杂质元素存在严重的基体干扰，因此最终确定本方法的测定元素为63种，具体见表3。</w:t>
      </w:r>
    </w:p>
    <w:p>
      <w:pPr>
        <w:autoSpaceDE w:val="0"/>
        <w:autoSpaceDN w:val="0"/>
        <w:adjustRightInd w:val="0"/>
        <w:spacing w:line="360" w:lineRule="auto"/>
        <w:jc w:val="center"/>
        <w:rPr>
          <w:rFonts w:ascii="黑体" w:hAnsi="黑体" w:eastAsia="黑体"/>
          <w:szCs w:val="21"/>
        </w:rPr>
      </w:pPr>
      <w:r>
        <w:rPr>
          <w:rFonts w:hint="eastAsia" w:ascii="黑体" w:hAnsi="黑体" w:eastAsia="黑体"/>
          <w:szCs w:val="21"/>
        </w:rPr>
        <w:t>表</w:t>
      </w:r>
      <w:r>
        <w:rPr>
          <w:rFonts w:ascii="黑体" w:hAnsi="黑体" w:eastAsia="黑体"/>
          <w:szCs w:val="21"/>
        </w:rPr>
        <w:t>3</w:t>
      </w:r>
      <w:r>
        <w:rPr>
          <w:rFonts w:hint="eastAsia" w:ascii="黑体" w:hAnsi="黑体" w:eastAsia="黑体"/>
          <w:szCs w:val="21"/>
        </w:rPr>
        <w:t xml:space="preserve"> 元素</w:t>
      </w:r>
      <w:r>
        <w:rPr>
          <w:rFonts w:ascii="黑体" w:hAnsi="黑体" w:eastAsia="黑体"/>
          <w:szCs w:val="21"/>
        </w:rPr>
        <w:t>种类</w:t>
      </w:r>
    </w:p>
    <w:tbl>
      <w:tblPr>
        <w:tblStyle w:val="106"/>
        <w:tblW w:w="973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17"/>
        <w:gridCol w:w="1218"/>
        <w:gridCol w:w="1218"/>
        <w:gridCol w:w="1217"/>
        <w:gridCol w:w="1217"/>
        <w:gridCol w:w="1217"/>
        <w:gridCol w:w="1217"/>
        <w:gridCol w:w="12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217" w:type="dxa"/>
            <w:vAlign w:val="center"/>
          </w:tcPr>
          <w:p>
            <w:pPr>
              <w:jc w:val="center"/>
              <w:rPr>
                <w:szCs w:val="21"/>
              </w:rPr>
            </w:pPr>
            <w:r>
              <w:rPr>
                <w:szCs w:val="21"/>
              </w:rPr>
              <w:t>Li</w:t>
            </w:r>
          </w:p>
        </w:tc>
        <w:tc>
          <w:tcPr>
            <w:tcW w:w="1218" w:type="dxa"/>
            <w:vAlign w:val="center"/>
          </w:tcPr>
          <w:p>
            <w:pPr>
              <w:jc w:val="center"/>
              <w:rPr>
                <w:szCs w:val="21"/>
              </w:rPr>
            </w:pPr>
            <w:r>
              <w:rPr>
                <w:szCs w:val="21"/>
              </w:rPr>
              <w:t>Cl</w:t>
            </w:r>
          </w:p>
        </w:tc>
        <w:tc>
          <w:tcPr>
            <w:tcW w:w="1218" w:type="dxa"/>
            <w:vAlign w:val="center"/>
          </w:tcPr>
          <w:p>
            <w:pPr>
              <w:jc w:val="center"/>
              <w:rPr>
                <w:szCs w:val="21"/>
              </w:rPr>
            </w:pPr>
            <w:r>
              <w:rPr>
                <w:szCs w:val="21"/>
              </w:rPr>
              <w:t>Co</w:t>
            </w:r>
          </w:p>
        </w:tc>
        <w:tc>
          <w:tcPr>
            <w:tcW w:w="1217" w:type="dxa"/>
            <w:vAlign w:val="center"/>
          </w:tcPr>
          <w:p>
            <w:pPr>
              <w:jc w:val="center"/>
              <w:rPr>
                <w:szCs w:val="21"/>
              </w:rPr>
            </w:pPr>
            <w:r>
              <w:rPr>
                <w:szCs w:val="21"/>
              </w:rPr>
              <w:t>Rb</w:t>
            </w:r>
          </w:p>
        </w:tc>
        <w:tc>
          <w:tcPr>
            <w:tcW w:w="1217" w:type="dxa"/>
            <w:vAlign w:val="center"/>
          </w:tcPr>
          <w:p>
            <w:pPr>
              <w:jc w:val="center"/>
              <w:rPr>
                <w:szCs w:val="21"/>
              </w:rPr>
            </w:pPr>
            <w:r>
              <w:rPr>
                <w:szCs w:val="21"/>
              </w:rPr>
              <w:t>Sb</w:t>
            </w:r>
          </w:p>
        </w:tc>
        <w:tc>
          <w:tcPr>
            <w:tcW w:w="1217" w:type="dxa"/>
            <w:vAlign w:val="center"/>
          </w:tcPr>
          <w:p>
            <w:pPr>
              <w:jc w:val="center"/>
              <w:rPr>
                <w:szCs w:val="21"/>
              </w:rPr>
            </w:pPr>
            <w:r>
              <w:rPr>
                <w:szCs w:val="21"/>
              </w:rPr>
              <w:t>Eu</w:t>
            </w:r>
          </w:p>
        </w:tc>
        <w:tc>
          <w:tcPr>
            <w:tcW w:w="1217" w:type="dxa"/>
            <w:vAlign w:val="center"/>
          </w:tcPr>
          <w:p>
            <w:pPr>
              <w:jc w:val="center"/>
              <w:rPr>
                <w:szCs w:val="21"/>
              </w:rPr>
            </w:pPr>
            <w:r>
              <w:rPr>
                <w:szCs w:val="21"/>
              </w:rPr>
              <w:t>Lu</w:t>
            </w:r>
          </w:p>
        </w:tc>
        <w:tc>
          <w:tcPr>
            <w:tcW w:w="1211" w:type="dxa"/>
            <w:vAlign w:val="center"/>
          </w:tcPr>
          <w:p>
            <w:pPr>
              <w:jc w:val="center"/>
              <w:rPr>
                <w:szCs w:val="21"/>
              </w:rPr>
            </w:pPr>
            <w:r>
              <w:rPr>
                <w:szCs w:val="21"/>
              </w:rPr>
              <w:t>Au</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217" w:type="dxa"/>
            <w:vAlign w:val="center"/>
          </w:tcPr>
          <w:p>
            <w:pPr>
              <w:jc w:val="center"/>
              <w:rPr>
                <w:szCs w:val="21"/>
              </w:rPr>
            </w:pPr>
            <w:r>
              <w:rPr>
                <w:szCs w:val="21"/>
              </w:rPr>
              <w:t>Be</w:t>
            </w:r>
          </w:p>
        </w:tc>
        <w:tc>
          <w:tcPr>
            <w:tcW w:w="1218" w:type="dxa"/>
            <w:vAlign w:val="center"/>
          </w:tcPr>
          <w:p>
            <w:pPr>
              <w:jc w:val="center"/>
              <w:rPr>
                <w:szCs w:val="21"/>
              </w:rPr>
            </w:pPr>
            <w:r>
              <w:rPr>
                <w:szCs w:val="21"/>
              </w:rPr>
              <w:t>K</w:t>
            </w:r>
          </w:p>
        </w:tc>
        <w:tc>
          <w:tcPr>
            <w:tcW w:w="1218" w:type="dxa"/>
            <w:vAlign w:val="center"/>
          </w:tcPr>
          <w:p>
            <w:pPr>
              <w:jc w:val="center"/>
              <w:rPr>
                <w:szCs w:val="21"/>
              </w:rPr>
            </w:pPr>
            <w:r>
              <w:rPr>
                <w:szCs w:val="21"/>
              </w:rPr>
              <w:t>Ni</w:t>
            </w:r>
          </w:p>
        </w:tc>
        <w:tc>
          <w:tcPr>
            <w:tcW w:w="1217" w:type="dxa"/>
            <w:vAlign w:val="center"/>
          </w:tcPr>
          <w:p>
            <w:pPr>
              <w:jc w:val="center"/>
              <w:rPr>
                <w:szCs w:val="21"/>
              </w:rPr>
            </w:pPr>
            <w:r>
              <w:rPr>
                <w:szCs w:val="21"/>
              </w:rPr>
              <w:t>Sr</w:t>
            </w:r>
          </w:p>
        </w:tc>
        <w:tc>
          <w:tcPr>
            <w:tcW w:w="1217" w:type="dxa"/>
            <w:vAlign w:val="center"/>
          </w:tcPr>
          <w:p>
            <w:pPr>
              <w:jc w:val="center"/>
              <w:rPr>
                <w:szCs w:val="21"/>
              </w:rPr>
            </w:pPr>
            <w:r>
              <w:rPr>
                <w:szCs w:val="21"/>
              </w:rPr>
              <w:t>Te</w:t>
            </w:r>
          </w:p>
        </w:tc>
        <w:tc>
          <w:tcPr>
            <w:tcW w:w="1217" w:type="dxa"/>
            <w:vAlign w:val="center"/>
          </w:tcPr>
          <w:p>
            <w:pPr>
              <w:jc w:val="center"/>
              <w:rPr>
                <w:szCs w:val="21"/>
              </w:rPr>
            </w:pPr>
            <w:r>
              <w:rPr>
                <w:szCs w:val="21"/>
              </w:rPr>
              <w:t>Gd</w:t>
            </w:r>
          </w:p>
        </w:tc>
        <w:tc>
          <w:tcPr>
            <w:tcW w:w="1217" w:type="dxa"/>
            <w:vAlign w:val="center"/>
          </w:tcPr>
          <w:p>
            <w:pPr>
              <w:jc w:val="center"/>
              <w:rPr>
                <w:szCs w:val="21"/>
              </w:rPr>
            </w:pPr>
            <w:r>
              <w:rPr>
                <w:szCs w:val="21"/>
              </w:rPr>
              <w:t>Hf</w:t>
            </w:r>
          </w:p>
        </w:tc>
        <w:tc>
          <w:tcPr>
            <w:tcW w:w="1211" w:type="dxa"/>
            <w:vAlign w:val="center"/>
          </w:tcPr>
          <w:p>
            <w:pPr>
              <w:jc w:val="center"/>
              <w:rPr>
                <w:szCs w:val="21"/>
              </w:rPr>
            </w:pPr>
            <w:r>
              <w:rPr>
                <w:szCs w:val="21"/>
              </w:rPr>
              <w:t>Hg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217" w:type="dxa"/>
            <w:vAlign w:val="center"/>
          </w:tcPr>
          <w:p>
            <w:pPr>
              <w:jc w:val="center"/>
              <w:rPr>
                <w:szCs w:val="21"/>
              </w:rPr>
            </w:pPr>
            <w:r>
              <w:rPr>
                <w:szCs w:val="21"/>
              </w:rPr>
              <w:t>B</w:t>
            </w:r>
          </w:p>
        </w:tc>
        <w:tc>
          <w:tcPr>
            <w:tcW w:w="1218" w:type="dxa"/>
            <w:vAlign w:val="center"/>
          </w:tcPr>
          <w:p>
            <w:pPr>
              <w:jc w:val="center"/>
              <w:rPr>
                <w:szCs w:val="21"/>
              </w:rPr>
            </w:pPr>
            <w:r>
              <w:rPr>
                <w:szCs w:val="21"/>
              </w:rPr>
              <w:t>Ca</w:t>
            </w:r>
          </w:p>
        </w:tc>
        <w:tc>
          <w:tcPr>
            <w:tcW w:w="1218" w:type="dxa"/>
            <w:vAlign w:val="center"/>
          </w:tcPr>
          <w:p>
            <w:pPr>
              <w:jc w:val="center"/>
              <w:rPr>
                <w:szCs w:val="21"/>
              </w:rPr>
            </w:pPr>
            <w:r>
              <w:rPr>
                <w:szCs w:val="21"/>
              </w:rPr>
              <w:t>Cu</w:t>
            </w:r>
          </w:p>
        </w:tc>
        <w:tc>
          <w:tcPr>
            <w:tcW w:w="1217" w:type="dxa"/>
            <w:vAlign w:val="center"/>
          </w:tcPr>
          <w:p>
            <w:pPr>
              <w:jc w:val="center"/>
              <w:rPr>
                <w:szCs w:val="21"/>
              </w:rPr>
            </w:pPr>
            <w:r>
              <w:rPr>
                <w:szCs w:val="21"/>
              </w:rPr>
              <w:t>Y</w:t>
            </w:r>
          </w:p>
        </w:tc>
        <w:tc>
          <w:tcPr>
            <w:tcW w:w="1217" w:type="dxa"/>
            <w:vAlign w:val="center"/>
          </w:tcPr>
          <w:p>
            <w:pPr>
              <w:jc w:val="center"/>
              <w:rPr>
                <w:szCs w:val="21"/>
              </w:rPr>
            </w:pPr>
            <w:r>
              <w:rPr>
                <w:szCs w:val="21"/>
              </w:rPr>
              <w:t>Ba</w:t>
            </w:r>
          </w:p>
        </w:tc>
        <w:tc>
          <w:tcPr>
            <w:tcW w:w="1217" w:type="dxa"/>
            <w:vAlign w:val="center"/>
          </w:tcPr>
          <w:p>
            <w:pPr>
              <w:jc w:val="center"/>
              <w:rPr>
                <w:szCs w:val="21"/>
              </w:rPr>
            </w:pPr>
            <w:r>
              <w:rPr>
                <w:szCs w:val="21"/>
              </w:rPr>
              <w:t>Tb</w:t>
            </w:r>
          </w:p>
        </w:tc>
        <w:tc>
          <w:tcPr>
            <w:tcW w:w="1217" w:type="dxa"/>
            <w:vAlign w:val="center"/>
          </w:tcPr>
          <w:p>
            <w:pPr>
              <w:jc w:val="center"/>
              <w:rPr>
                <w:szCs w:val="21"/>
              </w:rPr>
            </w:pPr>
            <w:r>
              <w:rPr>
                <w:szCs w:val="21"/>
              </w:rPr>
              <w:t>Ta</w:t>
            </w:r>
          </w:p>
        </w:tc>
        <w:tc>
          <w:tcPr>
            <w:tcW w:w="1211" w:type="dxa"/>
            <w:vAlign w:val="center"/>
          </w:tcPr>
          <w:p>
            <w:pPr>
              <w:jc w:val="center"/>
              <w:rPr>
                <w:szCs w:val="21"/>
              </w:rPr>
            </w:pPr>
            <w:r>
              <w:rPr>
                <w:szCs w:val="21"/>
              </w:rPr>
              <w:t>Tl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217" w:type="dxa"/>
            <w:vAlign w:val="center"/>
          </w:tcPr>
          <w:p>
            <w:pPr>
              <w:jc w:val="center"/>
              <w:rPr>
                <w:szCs w:val="21"/>
              </w:rPr>
            </w:pPr>
            <w:r>
              <w:rPr>
                <w:szCs w:val="21"/>
              </w:rPr>
              <w:t>Na</w:t>
            </w:r>
          </w:p>
        </w:tc>
        <w:tc>
          <w:tcPr>
            <w:tcW w:w="1218" w:type="dxa"/>
            <w:vAlign w:val="center"/>
          </w:tcPr>
          <w:p>
            <w:pPr>
              <w:jc w:val="center"/>
              <w:rPr>
                <w:szCs w:val="21"/>
              </w:rPr>
            </w:pPr>
            <w:r>
              <w:rPr>
                <w:szCs w:val="21"/>
              </w:rPr>
              <w:t>Ti</w:t>
            </w:r>
          </w:p>
        </w:tc>
        <w:tc>
          <w:tcPr>
            <w:tcW w:w="1218" w:type="dxa"/>
            <w:vAlign w:val="center"/>
          </w:tcPr>
          <w:p>
            <w:pPr>
              <w:jc w:val="center"/>
              <w:rPr>
                <w:szCs w:val="21"/>
              </w:rPr>
            </w:pPr>
            <w:r>
              <w:rPr>
                <w:szCs w:val="21"/>
              </w:rPr>
              <w:t>Zn</w:t>
            </w:r>
          </w:p>
        </w:tc>
        <w:tc>
          <w:tcPr>
            <w:tcW w:w="1217" w:type="dxa"/>
            <w:vAlign w:val="center"/>
          </w:tcPr>
          <w:p>
            <w:pPr>
              <w:jc w:val="center"/>
              <w:rPr>
                <w:szCs w:val="21"/>
              </w:rPr>
            </w:pPr>
            <w:r>
              <w:rPr>
                <w:szCs w:val="21"/>
              </w:rPr>
              <w:t>Nb</w:t>
            </w:r>
          </w:p>
        </w:tc>
        <w:tc>
          <w:tcPr>
            <w:tcW w:w="1217" w:type="dxa"/>
            <w:vAlign w:val="center"/>
          </w:tcPr>
          <w:p>
            <w:pPr>
              <w:jc w:val="center"/>
              <w:rPr>
                <w:szCs w:val="21"/>
              </w:rPr>
            </w:pPr>
            <w:r>
              <w:rPr>
                <w:szCs w:val="21"/>
              </w:rPr>
              <w:t>La</w:t>
            </w:r>
          </w:p>
        </w:tc>
        <w:tc>
          <w:tcPr>
            <w:tcW w:w="1217" w:type="dxa"/>
            <w:vAlign w:val="center"/>
          </w:tcPr>
          <w:p>
            <w:pPr>
              <w:jc w:val="center"/>
              <w:rPr>
                <w:szCs w:val="21"/>
              </w:rPr>
            </w:pPr>
            <w:r>
              <w:rPr>
                <w:szCs w:val="21"/>
              </w:rPr>
              <w:t>Dy</w:t>
            </w:r>
          </w:p>
        </w:tc>
        <w:tc>
          <w:tcPr>
            <w:tcW w:w="1217" w:type="dxa"/>
            <w:vAlign w:val="center"/>
          </w:tcPr>
          <w:p>
            <w:pPr>
              <w:jc w:val="center"/>
              <w:rPr>
                <w:szCs w:val="21"/>
              </w:rPr>
            </w:pPr>
            <w:r>
              <w:rPr>
                <w:szCs w:val="21"/>
              </w:rPr>
              <w:t>W</w:t>
            </w:r>
          </w:p>
        </w:tc>
        <w:tc>
          <w:tcPr>
            <w:tcW w:w="1211" w:type="dxa"/>
            <w:vAlign w:val="center"/>
          </w:tcPr>
          <w:p>
            <w:pPr>
              <w:jc w:val="center"/>
              <w:rPr>
                <w:szCs w:val="21"/>
              </w:rPr>
            </w:pPr>
            <w:r>
              <w:rPr>
                <w:szCs w:val="21"/>
              </w:rPr>
              <w:t>Pb</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217" w:type="dxa"/>
            <w:vAlign w:val="center"/>
          </w:tcPr>
          <w:p>
            <w:pPr>
              <w:jc w:val="center"/>
              <w:rPr>
                <w:szCs w:val="21"/>
              </w:rPr>
            </w:pPr>
            <w:r>
              <w:rPr>
                <w:szCs w:val="21"/>
              </w:rPr>
              <w:t>Mg</w:t>
            </w:r>
          </w:p>
        </w:tc>
        <w:tc>
          <w:tcPr>
            <w:tcW w:w="1218" w:type="dxa"/>
            <w:vAlign w:val="center"/>
          </w:tcPr>
          <w:p>
            <w:pPr>
              <w:jc w:val="center"/>
              <w:rPr>
                <w:szCs w:val="21"/>
              </w:rPr>
            </w:pPr>
            <w:r>
              <w:rPr>
                <w:szCs w:val="21"/>
              </w:rPr>
              <w:t>V</w:t>
            </w:r>
          </w:p>
        </w:tc>
        <w:tc>
          <w:tcPr>
            <w:tcW w:w="1218" w:type="dxa"/>
            <w:vAlign w:val="center"/>
          </w:tcPr>
          <w:p>
            <w:pPr>
              <w:jc w:val="center"/>
              <w:rPr>
                <w:szCs w:val="21"/>
              </w:rPr>
            </w:pPr>
            <w:r>
              <w:rPr>
                <w:szCs w:val="21"/>
              </w:rPr>
              <w:t>Ga</w:t>
            </w:r>
          </w:p>
        </w:tc>
        <w:tc>
          <w:tcPr>
            <w:tcW w:w="1217" w:type="dxa"/>
            <w:vAlign w:val="center"/>
          </w:tcPr>
          <w:p>
            <w:pPr>
              <w:jc w:val="center"/>
              <w:rPr>
                <w:szCs w:val="21"/>
              </w:rPr>
            </w:pPr>
            <w:r>
              <w:rPr>
                <w:szCs w:val="21"/>
              </w:rPr>
              <w:t>Mo</w:t>
            </w:r>
          </w:p>
        </w:tc>
        <w:tc>
          <w:tcPr>
            <w:tcW w:w="1217" w:type="dxa"/>
            <w:vAlign w:val="center"/>
          </w:tcPr>
          <w:p>
            <w:pPr>
              <w:jc w:val="center"/>
              <w:rPr>
                <w:szCs w:val="21"/>
              </w:rPr>
            </w:pPr>
            <w:r>
              <w:rPr>
                <w:szCs w:val="21"/>
              </w:rPr>
              <w:t>Ce</w:t>
            </w:r>
          </w:p>
        </w:tc>
        <w:tc>
          <w:tcPr>
            <w:tcW w:w="1217" w:type="dxa"/>
            <w:vAlign w:val="center"/>
          </w:tcPr>
          <w:p>
            <w:pPr>
              <w:jc w:val="center"/>
              <w:rPr>
                <w:szCs w:val="21"/>
              </w:rPr>
            </w:pPr>
            <w:r>
              <w:rPr>
                <w:szCs w:val="21"/>
              </w:rPr>
              <w:t>Ho</w:t>
            </w:r>
          </w:p>
        </w:tc>
        <w:tc>
          <w:tcPr>
            <w:tcW w:w="1217" w:type="dxa"/>
            <w:vAlign w:val="center"/>
          </w:tcPr>
          <w:p>
            <w:pPr>
              <w:jc w:val="center"/>
              <w:rPr>
                <w:szCs w:val="21"/>
              </w:rPr>
            </w:pPr>
            <w:r>
              <w:rPr>
                <w:szCs w:val="21"/>
              </w:rPr>
              <w:t>Re</w:t>
            </w:r>
          </w:p>
        </w:tc>
        <w:tc>
          <w:tcPr>
            <w:tcW w:w="1211" w:type="dxa"/>
            <w:vAlign w:val="center"/>
          </w:tcPr>
          <w:p>
            <w:pPr>
              <w:jc w:val="center"/>
              <w:rPr>
                <w:szCs w:val="21"/>
              </w:rPr>
            </w:pPr>
            <w:r>
              <w:rPr>
                <w:szCs w:val="21"/>
              </w:rPr>
              <w:t>Bi</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217" w:type="dxa"/>
            <w:vAlign w:val="center"/>
          </w:tcPr>
          <w:p>
            <w:pPr>
              <w:jc w:val="center"/>
              <w:rPr>
                <w:szCs w:val="21"/>
              </w:rPr>
            </w:pPr>
            <w:r>
              <w:rPr>
                <w:szCs w:val="21"/>
              </w:rPr>
              <w:t>Al</w:t>
            </w:r>
          </w:p>
        </w:tc>
        <w:tc>
          <w:tcPr>
            <w:tcW w:w="1218" w:type="dxa"/>
            <w:vAlign w:val="center"/>
          </w:tcPr>
          <w:p>
            <w:pPr>
              <w:jc w:val="center"/>
              <w:rPr>
                <w:szCs w:val="21"/>
              </w:rPr>
            </w:pPr>
            <w:r>
              <w:rPr>
                <w:szCs w:val="21"/>
              </w:rPr>
              <w:t>Cr</w:t>
            </w:r>
          </w:p>
        </w:tc>
        <w:tc>
          <w:tcPr>
            <w:tcW w:w="1218" w:type="dxa"/>
            <w:vAlign w:val="center"/>
          </w:tcPr>
          <w:p>
            <w:pPr>
              <w:jc w:val="center"/>
              <w:rPr>
                <w:szCs w:val="21"/>
              </w:rPr>
            </w:pPr>
            <w:r>
              <w:rPr>
                <w:szCs w:val="21"/>
              </w:rPr>
              <w:t>Ge</w:t>
            </w:r>
          </w:p>
        </w:tc>
        <w:tc>
          <w:tcPr>
            <w:tcW w:w="1217" w:type="dxa"/>
            <w:vAlign w:val="center"/>
          </w:tcPr>
          <w:p>
            <w:pPr>
              <w:jc w:val="center"/>
              <w:rPr>
                <w:szCs w:val="21"/>
              </w:rPr>
            </w:pPr>
            <w:r>
              <w:rPr>
                <w:szCs w:val="21"/>
              </w:rPr>
              <w:t>Ru</w:t>
            </w:r>
          </w:p>
        </w:tc>
        <w:tc>
          <w:tcPr>
            <w:tcW w:w="1217" w:type="dxa"/>
            <w:vAlign w:val="center"/>
          </w:tcPr>
          <w:p>
            <w:pPr>
              <w:jc w:val="center"/>
              <w:rPr>
                <w:szCs w:val="21"/>
              </w:rPr>
            </w:pPr>
            <w:r>
              <w:rPr>
                <w:szCs w:val="21"/>
              </w:rPr>
              <w:t>Pr</w:t>
            </w:r>
          </w:p>
        </w:tc>
        <w:tc>
          <w:tcPr>
            <w:tcW w:w="1217" w:type="dxa"/>
            <w:vAlign w:val="center"/>
          </w:tcPr>
          <w:p>
            <w:pPr>
              <w:jc w:val="center"/>
              <w:rPr>
                <w:szCs w:val="21"/>
              </w:rPr>
            </w:pPr>
            <w:r>
              <w:rPr>
                <w:szCs w:val="21"/>
              </w:rPr>
              <w:t>Er</w:t>
            </w:r>
          </w:p>
        </w:tc>
        <w:tc>
          <w:tcPr>
            <w:tcW w:w="1217" w:type="dxa"/>
            <w:vAlign w:val="center"/>
          </w:tcPr>
          <w:p>
            <w:pPr>
              <w:jc w:val="center"/>
              <w:rPr>
                <w:szCs w:val="21"/>
              </w:rPr>
            </w:pPr>
            <w:r>
              <w:rPr>
                <w:szCs w:val="21"/>
              </w:rPr>
              <w:t>Os</w:t>
            </w:r>
          </w:p>
        </w:tc>
        <w:tc>
          <w:tcPr>
            <w:tcW w:w="1211" w:type="dxa"/>
            <w:vAlign w:val="center"/>
          </w:tcPr>
          <w:p>
            <w:pPr>
              <w:jc w:val="center"/>
              <w:rPr>
                <w:szCs w:val="21"/>
              </w:rPr>
            </w:pPr>
            <w:r>
              <w:rPr>
                <w:szCs w:val="21"/>
              </w:rPr>
              <w:t>Th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217" w:type="dxa"/>
            <w:vAlign w:val="center"/>
          </w:tcPr>
          <w:p>
            <w:pPr>
              <w:jc w:val="center"/>
              <w:rPr>
                <w:szCs w:val="21"/>
              </w:rPr>
            </w:pPr>
            <w:r>
              <w:rPr>
                <w:szCs w:val="21"/>
              </w:rPr>
              <w:t>Si</w:t>
            </w:r>
          </w:p>
        </w:tc>
        <w:tc>
          <w:tcPr>
            <w:tcW w:w="1218" w:type="dxa"/>
            <w:vAlign w:val="center"/>
          </w:tcPr>
          <w:p>
            <w:pPr>
              <w:jc w:val="center"/>
              <w:rPr>
                <w:szCs w:val="21"/>
              </w:rPr>
            </w:pPr>
            <w:r>
              <w:rPr>
                <w:szCs w:val="21"/>
              </w:rPr>
              <w:t>Mn</w:t>
            </w:r>
          </w:p>
        </w:tc>
        <w:tc>
          <w:tcPr>
            <w:tcW w:w="1218" w:type="dxa"/>
            <w:vAlign w:val="center"/>
          </w:tcPr>
          <w:p>
            <w:pPr>
              <w:jc w:val="center"/>
              <w:rPr>
                <w:szCs w:val="21"/>
              </w:rPr>
            </w:pPr>
            <w:r>
              <w:rPr>
                <w:szCs w:val="21"/>
              </w:rPr>
              <w:t>As</w:t>
            </w:r>
          </w:p>
        </w:tc>
        <w:tc>
          <w:tcPr>
            <w:tcW w:w="1217" w:type="dxa"/>
            <w:vAlign w:val="center"/>
          </w:tcPr>
          <w:p>
            <w:pPr>
              <w:jc w:val="center"/>
              <w:rPr>
                <w:szCs w:val="21"/>
              </w:rPr>
            </w:pPr>
            <w:r>
              <w:rPr>
                <w:szCs w:val="21"/>
              </w:rPr>
              <w:t>In</w:t>
            </w:r>
          </w:p>
        </w:tc>
        <w:tc>
          <w:tcPr>
            <w:tcW w:w="1217" w:type="dxa"/>
            <w:vAlign w:val="center"/>
          </w:tcPr>
          <w:p>
            <w:pPr>
              <w:jc w:val="center"/>
              <w:rPr>
                <w:szCs w:val="21"/>
              </w:rPr>
            </w:pPr>
            <w:r>
              <w:rPr>
                <w:szCs w:val="21"/>
              </w:rPr>
              <w:t>Nd</w:t>
            </w:r>
          </w:p>
        </w:tc>
        <w:tc>
          <w:tcPr>
            <w:tcW w:w="1217" w:type="dxa"/>
            <w:vAlign w:val="center"/>
          </w:tcPr>
          <w:p>
            <w:pPr>
              <w:jc w:val="center"/>
              <w:rPr>
                <w:szCs w:val="21"/>
              </w:rPr>
            </w:pPr>
            <w:r>
              <w:rPr>
                <w:szCs w:val="21"/>
              </w:rPr>
              <w:t>Tm</w:t>
            </w:r>
          </w:p>
        </w:tc>
        <w:tc>
          <w:tcPr>
            <w:tcW w:w="1217" w:type="dxa"/>
            <w:vAlign w:val="center"/>
          </w:tcPr>
          <w:p>
            <w:pPr>
              <w:jc w:val="center"/>
              <w:rPr>
                <w:szCs w:val="21"/>
              </w:rPr>
            </w:pPr>
            <w:r>
              <w:rPr>
                <w:szCs w:val="21"/>
              </w:rPr>
              <w:t>Ir</w:t>
            </w:r>
          </w:p>
        </w:tc>
        <w:tc>
          <w:tcPr>
            <w:tcW w:w="1211" w:type="dxa"/>
            <w:vAlign w:val="center"/>
          </w:tcPr>
          <w:p>
            <w:pPr>
              <w:jc w:val="center"/>
              <w:rPr>
                <w:szCs w:val="21"/>
              </w:rPr>
            </w:pPr>
            <w:r>
              <w:rPr>
                <w:szCs w:val="21"/>
              </w:rPr>
              <w:t>U</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1217" w:type="dxa"/>
            <w:vAlign w:val="center"/>
          </w:tcPr>
          <w:p>
            <w:pPr>
              <w:jc w:val="center"/>
              <w:rPr>
                <w:szCs w:val="21"/>
              </w:rPr>
            </w:pPr>
            <w:r>
              <w:rPr>
                <w:szCs w:val="21"/>
              </w:rPr>
              <w:t>P</w:t>
            </w:r>
          </w:p>
        </w:tc>
        <w:tc>
          <w:tcPr>
            <w:tcW w:w="1218" w:type="dxa"/>
            <w:vAlign w:val="center"/>
          </w:tcPr>
          <w:p>
            <w:pPr>
              <w:jc w:val="center"/>
              <w:rPr>
                <w:szCs w:val="21"/>
              </w:rPr>
            </w:pPr>
            <w:r>
              <w:rPr>
                <w:szCs w:val="21"/>
              </w:rPr>
              <w:t>Fe</w:t>
            </w:r>
          </w:p>
        </w:tc>
        <w:tc>
          <w:tcPr>
            <w:tcW w:w="1218" w:type="dxa"/>
            <w:vAlign w:val="center"/>
          </w:tcPr>
          <w:p>
            <w:pPr>
              <w:jc w:val="center"/>
              <w:rPr>
                <w:szCs w:val="21"/>
              </w:rPr>
            </w:pPr>
            <w:r>
              <w:rPr>
                <w:szCs w:val="21"/>
              </w:rPr>
              <w:t>Se</w:t>
            </w:r>
          </w:p>
        </w:tc>
        <w:tc>
          <w:tcPr>
            <w:tcW w:w="1217" w:type="dxa"/>
            <w:vAlign w:val="center"/>
          </w:tcPr>
          <w:p>
            <w:pPr>
              <w:jc w:val="center"/>
              <w:rPr>
                <w:szCs w:val="21"/>
              </w:rPr>
            </w:pPr>
            <w:r>
              <w:rPr>
                <w:szCs w:val="21"/>
              </w:rPr>
              <w:t>Sn</w:t>
            </w:r>
          </w:p>
        </w:tc>
        <w:tc>
          <w:tcPr>
            <w:tcW w:w="1217" w:type="dxa"/>
            <w:vAlign w:val="center"/>
          </w:tcPr>
          <w:p>
            <w:pPr>
              <w:jc w:val="center"/>
              <w:rPr>
                <w:szCs w:val="21"/>
              </w:rPr>
            </w:pPr>
            <w:r>
              <w:rPr>
                <w:szCs w:val="21"/>
              </w:rPr>
              <w:t>Sm</w:t>
            </w:r>
          </w:p>
        </w:tc>
        <w:tc>
          <w:tcPr>
            <w:tcW w:w="1217" w:type="dxa"/>
            <w:vAlign w:val="center"/>
          </w:tcPr>
          <w:p>
            <w:pPr>
              <w:jc w:val="center"/>
              <w:rPr>
                <w:szCs w:val="21"/>
              </w:rPr>
            </w:pPr>
            <w:r>
              <w:rPr>
                <w:szCs w:val="21"/>
              </w:rPr>
              <w:t>Yb</w:t>
            </w:r>
          </w:p>
        </w:tc>
        <w:tc>
          <w:tcPr>
            <w:tcW w:w="1217" w:type="dxa"/>
            <w:vAlign w:val="center"/>
          </w:tcPr>
          <w:p>
            <w:pPr>
              <w:jc w:val="center"/>
              <w:rPr>
                <w:szCs w:val="21"/>
              </w:rPr>
            </w:pPr>
            <w:r>
              <w:rPr>
                <w:szCs w:val="21"/>
              </w:rPr>
              <w:t>Pt</w:t>
            </w:r>
          </w:p>
        </w:tc>
        <w:tc>
          <w:tcPr>
            <w:tcW w:w="1211" w:type="dxa"/>
            <w:vAlign w:val="center"/>
          </w:tcPr>
          <w:p>
            <w:pPr>
              <w:jc w:val="center"/>
              <w:rPr>
                <w:szCs w:val="21"/>
              </w:rPr>
            </w:pPr>
            <w:r>
              <w:rPr>
                <w:rFonts w:hint="eastAsia"/>
                <w:szCs w:val="21"/>
              </w:rPr>
              <w:t>—</w:t>
            </w:r>
          </w:p>
        </w:tc>
      </w:tr>
    </w:tbl>
    <w:p>
      <w:pPr>
        <w:pStyle w:val="120"/>
        <w:tabs>
          <w:tab w:val="clear" w:pos="675"/>
        </w:tabs>
        <w:spacing w:beforeLines="0" w:afterLines="0" w:line="300" w:lineRule="auto"/>
        <w:ind w:left="0" w:firstLine="0"/>
        <w:rPr>
          <w:rFonts w:hAnsi="黑体"/>
        </w:rPr>
      </w:pPr>
      <w:r>
        <w:rPr>
          <w:rFonts w:hint="eastAsia" w:hAnsi="黑体"/>
        </w:rPr>
        <w:t>2、元素测定范围</w:t>
      </w:r>
    </w:p>
    <w:p>
      <w:pPr>
        <w:tabs>
          <w:tab w:val="left" w:pos="1118"/>
        </w:tabs>
        <w:spacing w:line="300" w:lineRule="auto"/>
        <w:ind w:firstLine="405"/>
        <w:rPr>
          <w:rFonts w:ascii="宋体" w:cs="宋体"/>
          <w:szCs w:val="21"/>
        </w:rPr>
      </w:pPr>
      <w:r>
        <w:rPr>
          <w:rFonts w:hint="eastAsia" w:ascii="宋体" w:cs="宋体"/>
          <w:szCs w:val="21"/>
        </w:rPr>
        <w:t>各</w:t>
      </w:r>
      <w:r>
        <w:rPr>
          <w:rFonts w:ascii="宋体" w:cs="宋体"/>
          <w:szCs w:val="21"/>
        </w:rPr>
        <w:t>杂质元素的测定范围主要结合当前</w:t>
      </w:r>
      <w:r>
        <w:rPr>
          <w:rFonts w:hint="eastAsia" w:ascii="宋体" w:cs="宋体"/>
          <w:szCs w:val="21"/>
        </w:rPr>
        <w:t>高纯锆产品中</w:t>
      </w:r>
      <w:r>
        <w:rPr>
          <w:rFonts w:ascii="宋体" w:cs="宋体"/>
          <w:szCs w:val="21"/>
        </w:rPr>
        <w:t>杂质限量的要求</w:t>
      </w:r>
      <w:r>
        <w:rPr>
          <w:rFonts w:hint="eastAsia" w:ascii="宋体" w:cs="宋体"/>
          <w:szCs w:val="21"/>
        </w:rPr>
        <w:t>，当前</w:t>
      </w:r>
      <w:r>
        <w:rPr>
          <w:rFonts w:ascii="宋体" w:cs="宋体"/>
          <w:szCs w:val="21"/>
        </w:rPr>
        <w:t>高纯锆</w:t>
      </w:r>
      <w:r>
        <w:rPr>
          <w:rFonts w:hint="eastAsia" w:ascii="宋体" w:cs="宋体"/>
          <w:szCs w:val="21"/>
        </w:rPr>
        <w:t>产品纯度范围</w:t>
      </w:r>
      <w:r>
        <w:rPr>
          <w:szCs w:val="21"/>
        </w:rPr>
        <w:t>99.99%~99.999%</w:t>
      </w:r>
      <w:r>
        <w:rPr>
          <w:rFonts w:ascii="宋体" w:cs="宋体"/>
          <w:szCs w:val="21"/>
        </w:rPr>
        <w:t>，</w:t>
      </w:r>
      <w:r>
        <w:rPr>
          <w:rFonts w:hint="eastAsia" w:ascii="宋体" w:cs="宋体"/>
          <w:szCs w:val="21"/>
        </w:rPr>
        <w:t>尚</w:t>
      </w:r>
      <w:r>
        <w:rPr>
          <w:rFonts w:ascii="宋体" w:cs="宋体"/>
          <w:szCs w:val="21"/>
        </w:rPr>
        <w:t>达不到</w:t>
      </w:r>
      <w:r>
        <w:rPr>
          <w:rFonts w:hint="eastAsia" w:ascii="宋体" w:cs="宋体"/>
          <w:szCs w:val="21"/>
        </w:rPr>
        <w:t>6</w:t>
      </w:r>
      <w:r>
        <w:rPr>
          <w:rFonts w:ascii="宋体" w:cs="宋体"/>
          <w:szCs w:val="21"/>
        </w:rPr>
        <w:t>N，元素的测定下限</w:t>
      </w:r>
      <w:r>
        <w:rPr>
          <w:rFonts w:hint="eastAsia" w:ascii="宋体" w:cs="宋体"/>
          <w:szCs w:val="21"/>
        </w:rPr>
        <w:t>5</w:t>
      </w:r>
      <w:r>
        <w:rPr>
          <w:rFonts w:hint="eastAsia"/>
        </w:rPr>
        <w:t xml:space="preserve">0 </w:t>
      </w:r>
      <w:r>
        <w:t>µg/kg</w:t>
      </w:r>
      <w:r>
        <w:rPr>
          <w:rFonts w:hint="eastAsia"/>
        </w:rPr>
        <w:t>完全</w:t>
      </w:r>
      <w:r>
        <w:t>能够满足测试需求</w:t>
      </w:r>
      <w:r>
        <w:rPr>
          <w:rFonts w:hint="eastAsia"/>
        </w:rPr>
        <w:t>。同时</w:t>
      </w:r>
      <w:r>
        <w:t>，制定中的《</w:t>
      </w:r>
      <w:r>
        <w:rPr>
          <w:rFonts w:hint="eastAsia"/>
        </w:rPr>
        <w:t>高纯锆</w:t>
      </w:r>
      <w:r>
        <w:t>》</w:t>
      </w:r>
      <w:r>
        <w:rPr>
          <w:rFonts w:hint="eastAsia"/>
        </w:rPr>
        <w:t>产品</w:t>
      </w:r>
      <w:r>
        <w:t>标准</w:t>
      </w:r>
      <w:r>
        <w:rPr>
          <w:rFonts w:hint="eastAsia"/>
        </w:rPr>
        <w:t>待测</w:t>
      </w:r>
      <w:r>
        <w:t>元素上限</w:t>
      </w:r>
      <w:r>
        <w:rPr>
          <w:rFonts w:hint="eastAsia"/>
        </w:rPr>
        <w:t>多为0.00</w:t>
      </w:r>
      <w:r>
        <w:t>1%，</w:t>
      </w:r>
      <w:r>
        <w:rPr>
          <w:rFonts w:hint="eastAsia"/>
        </w:rPr>
        <w:t>考虑</w:t>
      </w:r>
      <w:r>
        <w:t>到</w:t>
      </w:r>
      <w:r>
        <w:rPr>
          <w:rFonts w:hint="eastAsia"/>
        </w:rPr>
        <w:t>高含量</w:t>
      </w:r>
      <w:r>
        <w:t>的杂质元素</w:t>
      </w:r>
      <w:r>
        <w:rPr>
          <w:rFonts w:hint="eastAsia"/>
        </w:rPr>
        <w:t>采用辉光放电</w:t>
      </w:r>
      <w:r>
        <w:t>质谱法误差较大，</w:t>
      </w:r>
      <w:r>
        <w:rPr>
          <w:rFonts w:hint="eastAsia"/>
        </w:rPr>
        <w:t>建议</w:t>
      </w:r>
      <w:r>
        <w:t xml:space="preserve">采用GB/T 13747.27-2020 </w:t>
      </w:r>
      <w:r>
        <w:rPr>
          <w:rFonts w:hint="eastAsia"/>
        </w:rPr>
        <w:t>《</w:t>
      </w:r>
      <w:r>
        <w:t>锆及锆合金化学分析方法</w:t>
      </w:r>
      <w:r>
        <w:rPr>
          <w:rFonts w:hint="eastAsia"/>
        </w:rPr>
        <w:t>》</w:t>
      </w:r>
      <w:r>
        <w:t>准确定量分析。</w:t>
      </w:r>
      <w:r>
        <w:rPr>
          <w:rFonts w:hint="eastAsia"/>
        </w:rPr>
        <w:t>因此</w:t>
      </w:r>
      <w:r>
        <w:t>，确定本方法的测定范围为0.050</w:t>
      </w:r>
      <w:r>
        <w:rPr>
          <w:rFonts w:hint="eastAsia"/>
        </w:rPr>
        <w:t xml:space="preserve"> </w:t>
      </w:r>
      <w:r>
        <w:t>mg/kg</w:t>
      </w:r>
      <w:r>
        <w:rPr>
          <w:rFonts w:hAnsi="宋体"/>
        </w:rPr>
        <w:t>～</w:t>
      </w:r>
      <w:r>
        <w:t>20</w:t>
      </w:r>
      <w:r>
        <w:rPr>
          <w:rFonts w:hint="eastAsia"/>
        </w:rPr>
        <w:t xml:space="preserve"> </w:t>
      </w:r>
      <w:r>
        <w:t>mg/kg</w:t>
      </w:r>
      <w:r>
        <w:rPr>
          <w:rFonts w:hint="eastAsia"/>
        </w:rPr>
        <w:t>，并采用可</w:t>
      </w:r>
      <w:r>
        <w:t>量值溯源的锆标样提高测试的准确性</w:t>
      </w:r>
      <w:r>
        <w:rPr>
          <w:rFonts w:hint="eastAsia"/>
        </w:rPr>
        <w:t>。当</w:t>
      </w:r>
      <w:r>
        <w:t>本标准</w:t>
      </w:r>
      <w:r>
        <w:rPr>
          <w:rFonts w:hint="eastAsia"/>
        </w:rPr>
        <w:t>的</w:t>
      </w:r>
      <w:r>
        <w:t>测定范围与GB/T 13747.27-2020</w:t>
      </w:r>
      <w:r>
        <w:rPr>
          <w:rFonts w:hint="eastAsia"/>
        </w:rPr>
        <w:t>重叠</w:t>
      </w:r>
      <w:r>
        <w:t>时，采用GB/T 13747.27-2020</w:t>
      </w:r>
      <w:r>
        <w:rPr>
          <w:rFonts w:hint="eastAsia"/>
        </w:rPr>
        <w:t>作为仲裁方法</w:t>
      </w:r>
      <w:r>
        <w:t>。</w:t>
      </w:r>
    </w:p>
    <w:p>
      <w:pPr>
        <w:pStyle w:val="120"/>
        <w:tabs>
          <w:tab w:val="clear" w:pos="675"/>
        </w:tabs>
        <w:spacing w:beforeLines="0" w:afterLines="0" w:line="300" w:lineRule="auto"/>
        <w:ind w:left="0" w:firstLine="0"/>
        <w:rPr>
          <w:rFonts w:hAnsi="黑体"/>
        </w:rPr>
      </w:pPr>
      <w:r>
        <w:rPr>
          <w:rFonts w:hint="eastAsia" w:hAnsi="黑体"/>
        </w:rPr>
        <w:t>3、样品前处理</w:t>
      </w:r>
    </w:p>
    <w:p>
      <w:pPr>
        <w:pStyle w:val="121"/>
        <w:tabs>
          <w:tab w:val="center" w:pos="4201"/>
          <w:tab w:val="right" w:leader="dot" w:pos="9298"/>
        </w:tabs>
        <w:spacing w:line="300" w:lineRule="auto"/>
        <w:ind w:firstLine="420"/>
        <w:rPr>
          <w:szCs w:val="21"/>
        </w:rPr>
      </w:pPr>
      <w:r>
        <w:rPr>
          <w:rFonts w:hint="eastAsia"/>
          <w:szCs w:val="21"/>
        </w:rPr>
        <w:tab/>
      </w:r>
      <w:r>
        <w:t>锆试样经机械切割加工成</w:t>
      </w:r>
      <w:r>
        <w:rPr>
          <w:rFonts w:hint="eastAsia"/>
        </w:rPr>
        <w:t>片状</w:t>
      </w:r>
      <w:r>
        <w:t>或</w:t>
      </w:r>
      <w:r>
        <w:rPr>
          <w:rFonts w:hint="eastAsia"/>
        </w:rPr>
        <w:t>棒状试样，要求至少有一个用于辉光放电的光滑平面。</w:t>
      </w:r>
      <w:r>
        <w:rPr>
          <w:rFonts w:hint="eastAsia"/>
          <w:szCs w:val="21"/>
        </w:rPr>
        <w:t>加工成合适尺寸的块状样品后，需要对样品的表面进行清洗。分别试验了（1）硝酸、（2）盐酸、（3）王水、（4）硝酸+氢氟酸、（5）各种浓度的氢氟酸洗液进行清洗。试验结果表明，采用氢氟酸（1+</w:t>
      </w:r>
      <w:r>
        <w:rPr>
          <w:szCs w:val="21"/>
        </w:rPr>
        <w:t>1</w:t>
      </w:r>
      <w:r>
        <w:rPr>
          <w:rFonts w:hint="eastAsia"/>
          <w:szCs w:val="21"/>
        </w:rPr>
        <w:t>9）对样品表面清洗效果最好，能够快速降低待测表面金属杂质元素的残留。因此样品前处理</w:t>
      </w:r>
      <w:r>
        <w:rPr>
          <w:szCs w:val="21"/>
        </w:rPr>
        <w:t>方法为：</w:t>
      </w:r>
      <w:r>
        <w:rPr>
          <w:rFonts w:hint="eastAsia"/>
        </w:rPr>
        <w:t>将试样</w:t>
      </w:r>
      <w:r>
        <w:t>浸入氢氟酸（</w:t>
      </w:r>
      <w:r>
        <w:rPr>
          <w:rFonts w:hint="eastAsia"/>
          <w:szCs w:val="21"/>
        </w:rPr>
        <w:t>1+</w:t>
      </w:r>
      <w:r>
        <w:rPr>
          <w:szCs w:val="21"/>
        </w:rPr>
        <w:t>1</w:t>
      </w:r>
      <w:r>
        <w:rPr>
          <w:rFonts w:hint="eastAsia"/>
          <w:szCs w:val="21"/>
        </w:rPr>
        <w:t>9</w:t>
      </w:r>
      <w:r>
        <w:t>）</w:t>
      </w:r>
      <w:r>
        <w:rPr>
          <w:rFonts w:hint="eastAsia"/>
        </w:rPr>
        <w:t>中腐蚀</w:t>
      </w:r>
      <w:r>
        <w:t>3min～5min，</w:t>
      </w:r>
      <w:r>
        <w:rPr>
          <w:rFonts w:hint="eastAsia"/>
        </w:rPr>
        <w:t>然后依次</w:t>
      </w:r>
      <w:r>
        <w:t>用去离子水</w:t>
      </w:r>
      <w:r>
        <w:rPr>
          <w:rFonts w:hint="eastAsia"/>
        </w:rPr>
        <w:t>和</w:t>
      </w:r>
      <w:r>
        <w:t>无水乙醇</w:t>
      </w:r>
      <w:r>
        <w:rPr>
          <w:rFonts w:hint="eastAsia"/>
        </w:rPr>
        <w:t>清洗</w:t>
      </w:r>
      <w:r>
        <w:t>，</w:t>
      </w:r>
      <w:r>
        <w:rPr>
          <w:rFonts w:hint="eastAsia"/>
        </w:rPr>
        <w:t>取出后用氩气</w:t>
      </w:r>
      <w:r>
        <w:t>或</w:t>
      </w:r>
      <w:r>
        <w:rPr>
          <w:rFonts w:hint="eastAsia"/>
        </w:rPr>
        <w:t>氮气</w:t>
      </w:r>
      <w:r>
        <w:t>吹干。</w:t>
      </w:r>
    </w:p>
    <w:p>
      <w:pPr>
        <w:pStyle w:val="120"/>
        <w:tabs>
          <w:tab w:val="clear" w:pos="675"/>
        </w:tabs>
        <w:spacing w:beforeLines="0" w:afterLines="0" w:line="300" w:lineRule="auto"/>
        <w:ind w:left="0" w:firstLine="0"/>
        <w:rPr>
          <w:rFonts w:hAnsi="黑体"/>
        </w:rPr>
      </w:pPr>
      <w:r>
        <w:rPr>
          <w:rFonts w:hint="eastAsia" w:hAnsi="黑体"/>
        </w:rPr>
        <w:t>4、 仪器工作参数的确定依据</w:t>
      </w:r>
    </w:p>
    <w:p>
      <w:pPr>
        <w:spacing w:line="300" w:lineRule="auto"/>
        <w:rPr>
          <w:kern w:val="0"/>
          <w:szCs w:val="20"/>
        </w:rPr>
      </w:pPr>
      <w:r>
        <w:rPr>
          <w:kern w:val="0"/>
          <w:szCs w:val="20"/>
        </w:rPr>
        <w:tab/>
      </w:r>
      <w:r>
        <w:rPr>
          <w:rFonts w:hint="eastAsia"/>
          <w:kern w:val="0"/>
          <w:szCs w:val="20"/>
        </w:rPr>
        <w:t>仪器</w:t>
      </w:r>
      <w:r>
        <w:rPr>
          <w:kern w:val="0"/>
          <w:szCs w:val="20"/>
        </w:rPr>
        <w:t>工作参数主要</w:t>
      </w:r>
      <w:r>
        <w:rPr>
          <w:rFonts w:hint="eastAsia"/>
          <w:kern w:val="0"/>
          <w:szCs w:val="20"/>
        </w:rPr>
        <w:t>包括</w:t>
      </w:r>
      <w:r>
        <w:rPr>
          <w:kern w:val="0"/>
          <w:szCs w:val="20"/>
        </w:rPr>
        <w:t>放电电流及</w:t>
      </w:r>
      <w:r>
        <w:rPr>
          <w:rFonts w:hint="eastAsia"/>
          <w:kern w:val="0"/>
          <w:szCs w:val="20"/>
        </w:rPr>
        <w:t>氩气</w:t>
      </w:r>
      <w:r>
        <w:rPr>
          <w:kern w:val="0"/>
          <w:szCs w:val="20"/>
        </w:rPr>
        <w:t>流量</w:t>
      </w:r>
      <w:r>
        <w:rPr>
          <w:rFonts w:hint="eastAsia"/>
          <w:kern w:val="0"/>
          <w:szCs w:val="20"/>
        </w:rPr>
        <w:t>等</w:t>
      </w:r>
      <w:r>
        <w:rPr>
          <w:kern w:val="0"/>
          <w:szCs w:val="20"/>
        </w:rPr>
        <w:t>。</w:t>
      </w:r>
      <w:r>
        <w:rPr>
          <w:rFonts w:hint="eastAsia"/>
          <w:kern w:val="0"/>
          <w:szCs w:val="20"/>
        </w:rPr>
        <w:t>通过</w:t>
      </w:r>
      <w:r>
        <w:rPr>
          <w:kern w:val="0"/>
          <w:szCs w:val="20"/>
        </w:rPr>
        <w:t>条件</w:t>
      </w:r>
      <w:r>
        <w:rPr>
          <w:rFonts w:hint="eastAsia"/>
          <w:kern w:val="0"/>
          <w:szCs w:val="20"/>
        </w:rPr>
        <w:t>试验</w:t>
      </w:r>
      <w:r>
        <w:rPr>
          <w:kern w:val="0"/>
          <w:szCs w:val="20"/>
        </w:rPr>
        <w:t>，可以找到最佳的氩气流速及合适的放电电流，</w:t>
      </w:r>
      <w:r>
        <w:rPr>
          <w:rFonts w:hint="eastAsia"/>
          <w:kern w:val="0"/>
          <w:szCs w:val="20"/>
        </w:rPr>
        <w:t>既</w:t>
      </w:r>
      <w:r>
        <w:rPr>
          <w:kern w:val="0"/>
          <w:szCs w:val="20"/>
        </w:rPr>
        <w:t>能保证</w:t>
      </w:r>
      <w:r>
        <w:rPr>
          <w:rFonts w:hint="eastAsia"/>
          <w:kern w:val="0"/>
          <w:szCs w:val="20"/>
        </w:rPr>
        <w:t>有</w:t>
      </w:r>
      <w:r>
        <w:rPr>
          <w:kern w:val="0"/>
          <w:szCs w:val="20"/>
        </w:rPr>
        <w:t>足够的</w:t>
      </w:r>
      <w:r>
        <w:rPr>
          <w:rFonts w:hint="eastAsia"/>
          <w:kern w:val="0"/>
          <w:szCs w:val="20"/>
        </w:rPr>
        <w:t>灵敏度</w:t>
      </w:r>
      <w:r>
        <w:rPr>
          <w:kern w:val="0"/>
          <w:szCs w:val="20"/>
        </w:rPr>
        <w:t>，又</w:t>
      </w:r>
      <w:r>
        <w:rPr>
          <w:rFonts w:hint="eastAsia"/>
          <w:kern w:val="0"/>
          <w:szCs w:val="20"/>
        </w:rPr>
        <w:t>不会因为</w:t>
      </w:r>
      <w:r>
        <w:rPr>
          <w:szCs w:val="21"/>
        </w:rPr>
        <w:t>电流太大</w:t>
      </w:r>
      <w:r>
        <w:rPr>
          <w:rFonts w:hint="eastAsia"/>
          <w:szCs w:val="21"/>
        </w:rPr>
        <w:t>而</w:t>
      </w:r>
      <w:r>
        <w:rPr>
          <w:szCs w:val="21"/>
        </w:rPr>
        <w:t>导致短路</w:t>
      </w:r>
      <w:r>
        <w:rPr>
          <w:rFonts w:hint="eastAsia"/>
          <w:szCs w:val="21"/>
        </w:rPr>
        <w:t>。</w:t>
      </w:r>
    </w:p>
    <w:p>
      <w:pPr>
        <w:spacing w:line="300" w:lineRule="auto"/>
        <w:rPr>
          <w:kern w:val="0"/>
          <w:szCs w:val="20"/>
        </w:rPr>
      </w:pPr>
      <w:r>
        <w:rPr>
          <w:sz w:val="24"/>
        </w:rPr>
        <w:pict>
          <v:shape id="_x0000_s1026" o:spid="_x0000_s1026" o:spt="75" type="#_x0000_t75" style="position:absolute;left:0pt;margin-left:288.35pt;margin-top:29.55pt;height:113.7pt;width:159.65pt;mso-wrap-distance-bottom:0pt;mso-wrap-distance-top:0pt;z-index:251659264;mso-width-relative:page;mso-height-relative:page;" filled="f" o:preferrelative="t" stroked="f" coordsize="21600,21600">
            <v:path/>
            <v:fill on="f" focussize="0,0"/>
            <v:stroke on="f" joinstyle="miter"/>
            <v:imagedata r:id="rId7" o:title=""/>
            <o:lock v:ext="edit" aspectratio="t"/>
            <w10:wrap type="topAndBottom"/>
          </v:shape>
        </w:pict>
      </w:r>
      <w:r>
        <w:drawing>
          <wp:anchor distT="0" distB="0" distL="114300" distR="114300" simplePos="0" relativeHeight="251658240" behindDoc="0" locked="0" layoutInCell="1" allowOverlap="1">
            <wp:simplePos x="0" y="0"/>
            <wp:positionH relativeFrom="column">
              <wp:posOffset>533400</wp:posOffset>
            </wp:positionH>
            <wp:positionV relativeFrom="paragraph">
              <wp:posOffset>389890</wp:posOffset>
            </wp:positionV>
            <wp:extent cx="2253615" cy="143891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53615" cy="1438910"/>
                    </a:xfrm>
                    <a:prstGeom prst="rect">
                      <a:avLst/>
                    </a:prstGeom>
                    <a:noFill/>
                    <a:ln>
                      <a:noFill/>
                    </a:ln>
                  </pic:spPr>
                </pic:pic>
              </a:graphicData>
            </a:graphic>
          </wp:anchor>
        </w:drawing>
      </w:r>
    </w:p>
    <w:p>
      <w:pPr>
        <w:autoSpaceDE w:val="0"/>
        <w:autoSpaceDN w:val="0"/>
        <w:adjustRightInd w:val="0"/>
        <w:spacing w:line="360" w:lineRule="auto"/>
        <w:rPr>
          <w:szCs w:val="21"/>
        </w:rPr>
      </w:pPr>
      <w:r>
        <w:rPr>
          <w:rFonts w:hint="eastAsia"/>
          <w:szCs w:val="21"/>
        </w:rPr>
        <w:t xml:space="preserve">                                               </w:t>
      </w:r>
    </w:p>
    <w:p>
      <w:pPr>
        <w:autoSpaceDE w:val="0"/>
        <w:autoSpaceDN w:val="0"/>
        <w:adjustRightInd w:val="0"/>
        <w:spacing w:line="360" w:lineRule="auto"/>
        <w:jc w:val="center"/>
        <w:rPr>
          <w:rFonts w:eastAsia="黑体"/>
          <w:szCs w:val="21"/>
        </w:rPr>
      </w:pPr>
      <w:r>
        <w:rPr>
          <w:rFonts w:eastAsia="黑体"/>
          <w:szCs w:val="21"/>
        </w:rPr>
        <w:t>图1  Ar流速的影响                             图2 放电电流的影响</w:t>
      </w:r>
    </w:p>
    <w:p>
      <w:pPr>
        <w:spacing w:line="300" w:lineRule="auto"/>
        <w:ind w:firstLine="420"/>
        <w:rPr>
          <w:rFonts w:hAnsi="宋体"/>
          <w:kern w:val="0"/>
          <w:szCs w:val="20"/>
        </w:rPr>
      </w:pPr>
      <w:r>
        <w:rPr>
          <w:rFonts w:hint="eastAsia"/>
          <w:kern w:val="0"/>
          <w:szCs w:val="20"/>
        </w:rPr>
        <w:t>通过通过</w:t>
      </w:r>
      <w:r>
        <w:rPr>
          <w:rFonts w:hAnsi="宋体"/>
          <w:kern w:val="0"/>
          <w:szCs w:val="20"/>
        </w:rPr>
        <w:t>仪器厂家不同，型号不同，所需的仪器参数不尽相同，但是在测试前必须通过调节满足灵敏度和分辨率的要求。研究结果表明</w:t>
      </w:r>
      <w:r>
        <w:rPr>
          <w:rFonts w:hint="eastAsia" w:hAnsi="宋体"/>
          <w:kern w:val="0"/>
          <w:szCs w:val="20"/>
        </w:rPr>
        <w:t>要想获得准确的测定结果，必须通过参数调节</w:t>
      </w:r>
      <w:r>
        <w:rPr>
          <w:rFonts w:hAnsi="宋体"/>
          <w:kern w:val="0"/>
          <w:szCs w:val="20"/>
        </w:rPr>
        <w:t>使</w:t>
      </w:r>
      <w:r>
        <w:rPr>
          <w:color w:val="000000"/>
          <w:vertAlign w:val="superscript"/>
        </w:rPr>
        <w:t>90</w:t>
      </w:r>
      <w:r>
        <w:rPr>
          <w:color w:val="000000"/>
        </w:rPr>
        <w:t>Zr的谱峰强度不小于5×10</w:t>
      </w:r>
      <w:r>
        <w:rPr>
          <w:color w:val="000000"/>
          <w:vertAlign w:val="superscript"/>
        </w:rPr>
        <w:t>9</w:t>
      </w:r>
      <w:r>
        <w:rPr>
          <w:rFonts w:hint="eastAsia"/>
          <w:color w:val="000000"/>
        </w:rPr>
        <w:t xml:space="preserve"> </w:t>
      </w:r>
      <w:r>
        <w:rPr>
          <w:color w:val="000000"/>
        </w:rPr>
        <w:t>cps</w:t>
      </w:r>
      <w:r>
        <w:rPr>
          <w:rFonts w:hAnsi="宋体"/>
          <w:kern w:val="0"/>
          <w:szCs w:val="20"/>
        </w:rPr>
        <w:t>，峰的对称性良好，且中分辨率达到</w:t>
      </w:r>
      <w:r>
        <w:rPr>
          <w:kern w:val="0"/>
          <w:szCs w:val="20"/>
        </w:rPr>
        <w:t>4000</w:t>
      </w:r>
      <w:r>
        <w:rPr>
          <w:rFonts w:hAnsi="宋体"/>
          <w:kern w:val="0"/>
          <w:szCs w:val="20"/>
        </w:rPr>
        <w:t>，高分辨率达到</w:t>
      </w:r>
      <w:r>
        <w:rPr>
          <w:kern w:val="0"/>
          <w:szCs w:val="20"/>
        </w:rPr>
        <w:t>10000</w:t>
      </w:r>
      <w:r>
        <w:rPr>
          <w:rFonts w:hAnsi="宋体"/>
          <w:kern w:val="0"/>
          <w:szCs w:val="20"/>
        </w:rPr>
        <w:t>左右。</w:t>
      </w:r>
    </w:p>
    <w:p>
      <w:pPr>
        <w:pStyle w:val="120"/>
        <w:tabs>
          <w:tab w:val="clear" w:pos="675"/>
        </w:tabs>
        <w:spacing w:beforeLines="0" w:afterLines="0" w:line="300" w:lineRule="auto"/>
        <w:ind w:left="0" w:firstLine="0"/>
        <w:rPr>
          <w:rFonts w:hAnsi="黑体"/>
        </w:rPr>
      </w:pPr>
      <w:r>
        <w:rPr>
          <w:rFonts w:hint="eastAsia" w:hAnsi="黑体"/>
        </w:rPr>
        <w:t>5、 预溅射时间</w:t>
      </w:r>
    </w:p>
    <w:p>
      <w:pPr>
        <w:spacing w:line="300" w:lineRule="auto"/>
      </w:pPr>
      <w:r>
        <w:rPr>
          <w:rFonts w:hint="eastAsia"/>
        </w:rPr>
        <w:tab/>
      </w:r>
      <w:r>
        <w:rPr>
          <w:rFonts w:hint="eastAsia"/>
        </w:rPr>
        <w:t>实验中发现，经过酸洗的样品表面在装样等操作步骤中仍然会导致钾、钠、硅、钙等元素偏高，需要经过一定时间的预溅射，才能使采集数据趋于稳定，因此本标准对预溅射进行了规定，可根据清洗的情况选择适当电流进行</w:t>
      </w:r>
      <w:r>
        <w:t>5</w:t>
      </w:r>
      <w:r>
        <w:rPr>
          <w:rFonts w:hint="eastAsia"/>
        </w:rPr>
        <w:t xml:space="preserve"> min~</w:t>
      </w:r>
      <w:r>
        <w:t>1</w:t>
      </w:r>
      <w:r>
        <w:rPr>
          <w:rFonts w:hint="eastAsia"/>
        </w:rPr>
        <w:t>0 min的预溅射。</w:t>
      </w:r>
    </w:p>
    <w:p>
      <w:pPr>
        <w:pStyle w:val="120"/>
        <w:tabs>
          <w:tab w:val="clear" w:pos="675"/>
        </w:tabs>
        <w:spacing w:beforeLines="0" w:afterLines="0" w:line="300" w:lineRule="auto"/>
        <w:ind w:left="0" w:firstLine="0"/>
        <w:rPr>
          <w:rFonts w:hAnsi="黑体"/>
        </w:rPr>
      </w:pPr>
      <w:r>
        <w:rPr>
          <w:rFonts w:hint="eastAsia" w:hAnsi="黑体"/>
        </w:rPr>
        <w:t>6、 元素同位素及分辨率的确定依据</w:t>
      </w:r>
    </w:p>
    <w:p>
      <w:pPr>
        <w:autoSpaceDE w:val="0"/>
        <w:autoSpaceDN w:val="0"/>
        <w:adjustRightInd w:val="0"/>
        <w:spacing w:line="300" w:lineRule="auto"/>
        <w:ind w:firstLine="420"/>
      </w:pPr>
      <w:r>
        <w:rPr>
          <w:rFonts w:hint="eastAsia"/>
        </w:rPr>
        <w:t>采用辉光放电质谱</w:t>
      </w:r>
      <w:r>
        <w:rPr>
          <w:rFonts w:hint="eastAsia"/>
          <w:szCs w:val="21"/>
        </w:rPr>
        <w:t>测定高纯锆样品，大多数元素不存在基体干扰，因此只需要在中分辨率下选择丰度高且</w:t>
      </w:r>
      <w:r>
        <w:rPr>
          <w:szCs w:val="21"/>
        </w:rPr>
        <w:t>无同量异位</w:t>
      </w:r>
      <w:r>
        <w:rPr>
          <w:rFonts w:hint="eastAsia"/>
          <w:szCs w:val="21"/>
        </w:rPr>
        <w:t>素</w:t>
      </w:r>
      <w:r>
        <w:rPr>
          <w:szCs w:val="21"/>
        </w:rPr>
        <w:t>干扰的</w:t>
      </w:r>
      <w:r>
        <w:rPr>
          <w:rFonts w:hint="eastAsia"/>
          <w:szCs w:val="21"/>
        </w:rPr>
        <w:t>质量数进行测定即可。但是有些元素受到放电气体（氩气）形成的单原子或多原子离子的干扰，如K、Se、As等。有些元素会受到基体Hf元素与其它元素形成的多原子离子的干扰，如</w:t>
      </w:r>
      <w:r>
        <w:rPr>
          <w:rFonts w:hint="eastAsia"/>
          <w:szCs w:val="21"/>
          <w:vertAlign w:val="superscript"/>
        </w:rPr>
        <w:t>180</w:t>
      </w:r>
      <w:r>
        <w:rPr>
          <w:rFonts w:hint="eastAsia"/>
          <w:szCs w:val="21"/>
        </w:rPr>
        <w:t>Hf</w:t>
      </w:r>
      <w:r>
        <w:rPr>
          <w:rFonts w:hint="eastAsia"/>
          <w:szCs w:val="21"/>
          <w:vertAlign w:val="superscript"/>
        </w:rPr>
        <w:t>1</w:t>
      </w:r>
      <w:r>
        <w:rPr>
          <w:rFonts w:hint="eastAsia"/>
          <w:szCs w:val="21"/>
        </w:rPr>
        <w:t>H对</w:t>
      </w:r>
      <w:r>
        <w:rPr>
          <w:rFonts w:hint="eastAsia"/>
          <w:szCs w:val="21"/>
          <w:vertAlign w:val="superscript"/>
        </w:rPr>
        <w:t>181</w:t>
      </w:r>
      <w:r>
        <w:rPr>
          <w:rFonts w:hint="eastAsia"/>
          <w:szCs w:val="21"/>
        </w:rPr>
        <w:t>Ta，</w:t>
      </w:r>
      <w:r>
        <w:rPr>
          <w:rFonts w:hint="eastAsia"/>
          <w:szCs w:val="21"/>
          <w:vertAlign w:val="superscript"/>
        </w:rPr>
        <w:t xml:space="preserve"> 180</w:t>
      </w:r>
      <w:r>
        <w:rPr>
          <w:rFonts w:hint="eastAsia"/>
          <w:szCs w:val="21"/>
        </w:rPr>
        <w:t>Hf</w:t>
      </w:r>
      <w:r>
        <w:rPr>
          <w:rFonts w:hint="eastAsia"/>
          <w:szCs w:val="21"/>
          <w:vertAlign w:val="superscript"/>
        </w:rPr>
        <w:t>13</w:t>
      </w:r>
      <w:r>
        <w:rPr>
          <w:rFonts w:hint="eastAsia"/>
          <w:szCs w:val="21"/>
        </w:rPr>
        <w:t>C对</w:t>
      </w:r>
      <w:r>
        <w:rPr>
          <w:rFonts w:hint="eastAsia"/>
          <w:szCs w:val="21"/>
          <w:vertAlign w:val="superscript"/>
        </w:rPr>
        <w:t>193</w:t>
      </w:r>
      <w:r>
        <w:rPr>
          <w:rFonts w:hint="eastAsia"/>
          <w:szCs w:val="21"/>
        </w:rPr>
        <w:t>Ir的干扰，</w:t>
      </w:r>
      <w:r>
        <w:rPr>
          <w:rFonts w:hint="eastAsia"/>
          <w:szCs w:val="21"/>
          <w:vertAlign w:val="superscript"/>
        </w:rPr>
        <w:t>179</w:t>
      </w:r>
      <w:r>
        <w:rPr>
          <w:rFonts w:hint="eastAsia"/>
          <w:szCs w:val="21"/>
        </w:rPr>
        <w:t>Hf</w:t>
      </w:r>
      <w:r>
        <w:rPr>
          <w:rFonts w:hint="eastAsia"/>
          <w:szCs w:val="21"/>
          <w:vertAlign w:val="superscript"/>
        </w:rPr>
        <w:t>16</w:t>
      </w:r>
      <w:r>
        <w:rPr>
          <w:rFonts w:hint="eastAsia"/>
          <w:szCs w:val="21"/>
        </w:rPr>
        <w:t>O对</w:t>
      </w:r>
      <w:r>
        <w:rPr>
          <w:rFonts w:hint="eastAsia"/>
          <w:szCs w:val="21"/>
          <w:vertAlign w:val="superscript"/>
        </w:rPr>
        <w:t>195</w:t>
      </w:r>
      <w:r>
        <w:rPr>
          <w:rFonts w:hint="eastAsia"/>
          <w:szCs w:val="21"/>
        </w:rPr>
        <w:t>Pt，</w:t>
      </w:r>
      <w:r>
        <w:rPr>
          <w:rFonts w:hint="eastAsia"/>
          <w:szCs w:val="21"/>
          <w:vertAlign w:val="superscript"/>
        </w:rPr>
        <w:t>179</w:t>
      </w:r>
      <w:r>
        <w:rPr>
          <w:rFonts w:hint="eastAsia"/>
          <w:szCs w:val="21"/>
        </w:rPr>
        <w:t>Hf</w:t>
      </w:r>
      <w:r>
        <w:rPr>
          <w:rFonts w:hint="eastAsia"/>
          <w:szCs w:val="21"/>
          <w:vertAlign w:val="superscript"/>
        </w:rPr>
        <w:t>18</w:t>
      </w:r>
      <w:r>
        <w:rPr>
          <w:rFonts w:hint="eastAsia"/>
          <w:szCs w:val="21"/>
        </w:rPr>
        <w:t>O对</w:t>
      </w:r>
      <w:r>
        <w:rPr>
          <w:rFonts w:hint="eastAsia"/>
          <w:szCs w:val="21"/>
          <w:vertAlign w:val="superscript"/>
        </w:rPr>
        <w:t>197</w:t>
      </w:r>
      <w:r>
        <w:rPr>
          <w:rFonts w:hint="eastAsia"/>
          <w:szCs w:val="21"/>
        </w:rPr>
        <w:t>Au的干扰。综上</w:t>
      </w:r>
      <w:r>
        <w:rPr>
          <w:rFonts w:hint="eastAsia"/>
        </w:rPr>
        <w:t>为</w:t>
      </w:r>
      <w:r>
        <w:t>避免质谱干扰，</w:t>
      </w:r>
      <w:r>
        <w:rPr>
          <w:rFonts w:hint="eastAsia"/>
        </w:rPr>
        <w:t>建议K</w:t>
      </w:r>
      <w:r>
        <w:t>、</w:t>
      </w:r>
      <w:r>
        <w:rPr>
          <w:rFonts w:hint="eastAsia"/>
        </w:rPr>
        <w:t>Ti</w:t>
      </w:r>
      <w:r>
        <w:t>、</w:t>
      </w:r>
      <w:r>
        <w:rPr>
          <w:rFonts w:hint="eastAsia"/>
        </w:rPr>
        <w:t>As</w:t>
      </w:r>
      <w:r>
        <w:t>、</w:t>
      </w:r>
      <w:r>
        <w:rPr>
          <w:rFonts w:hint="eastAsia"/>
        </w:rPr>
        <w:t>Se</w:t>
      </w:r>
      <w:r>
        <w:t>、</w:t>
      </w:r>
      <w:r>
        <w:rPr>
          <w:rFonts w:hint="eastAsia"/>
        </w:rPr>
        <w:t>Nb、In、Ir</w:t>
      </w:r>
      <w:r>
        <w:t>、</w:t>
      </w:r>
      <w:r>
        <w:rPr>
          <w:rFonts w:hint="eastAsia"/>
        </w:rPr>
        <w:t>Pt</w:t>
      </w:r>
      <w:r>
        <w:t>、</w:t>
      </w:r>
      <w:r>
        <w:rPr>
          <w:rFonts w:hint="eastAsia"/>
        </w:rPr>
        <w:t>Au在</w:t>
      </w:r>
      <w:r>
        <w:t>分辨率＞</w:t>
      </w:r>
      <w:r>
        <w:rPr>
          <w:rFonts w:hint="eastAsia"/>
        </w:rPr>
        <w:t>8000时</w:t>
      </w:r>
      <w:r>
        <w:t>测定</w:t>
      </w:r>
      <w:r>
        <w:rPr>
          <w:rFonts w:hint="eastAsia"/>
        </w:rPr>
        <w:t>，</w:t>
      </w:r>
      <w:r>
        <w:t>其余元素可中分辨率测定</w:t>
      </w:r>
      <w:r>
        <w:rPr>
          <w:rFonts w:hint="eastAsia"/>
        </w:rPr>
        <w:t>，</w:t>
      </w:r>
      <w:r>
        <w:rPr>
          <w:rFonts w:hint="eastAsia"/>
          <w:szCs w:val="21"/>
        </w:rPr>
        <w:t>各待测元素推荐</w:t>
      </w:r>
      <w:r>
        <w:rPr>
          <w:szCs w:val="21"/>
        </w:rPr>
        <w:t>选择</w:t>
      </w:r>
      <w:r>
        <w:rPr>
          <w:rFonts w:hint="eastAsia"/>
          <w:szCs w:val="21"/>
        </w:rPr>
        <w:t>的同位素质量数见</w:t>
      </w:r>
      <w:r>
        <w:rPr>
          <w:szCs w:val="21"/>
        </w:rPr>
        <w:t>表4</w:t>
      </w:r>
      <w:r>
        <w:t>。</w:t>
      </w:r>
    </w:p>
    <w:p>
      <w:pPr>
        <w:autoSpaceDE w:val="0"/>
        <w:autoSpaceDN w:val="0"/>
        <w:adjustRightInd w:val="0"/>
        <w:spacing w:line="300" w:lineRule="auto"/>
        <w:jc w:val="center"/>
        <w:rPr>
          <w:szCs w:val="21"/>
        </w:rPr>
      </w:pPr>
      <w:r>
        <w:rPr>
          <w:rFonts w:hint="eastAsia"/>
          <w:szCs w:val="21"/>
        </w:rPr>
        <w:t>表</w:t>
      </w:r>
      <w:r>
        <w:rPr>
          <w:szCs w:val="21"/>
        </w:rPr>
        <w:t>4</w:t>
      </w:r>
      <w:r>
        <w:rPr>
          <w:rFonts w:hint="eastAsia"/>
          <w:szCs w:val="21"/>
        </w:rPr>
        <w:t xml:space="preserve"> 测定同位素和分辨率选择</w:t>
      </w:r>
    </w:p>
    <w:tbl>
      <w:tblPr>
        <w:tblStyle w:val="106"/>
        <w:tblW w:w="9722" w:type="dxa"/>
        <w:tblInd w:w="0"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
      <w:tblGrid>
        <w:gridCol w:w="1218"/>
        <w:gridCol w:w="1218"/>
        <w:gridCol w:w="1217"/>
        <w:gridCol w:w="1215"/>
        <w:gridCol w:w="1215"/>
        <w:gridCol w:w="1215"/>
        <w:gridCol w:w="1215"/>
        <w:gridCol w:w="1209"/>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Ex>
        <w:tc>
          <w:tcPr>
            <w:tcW w:w="1218" w:type="dxa"/>
            <w:tcBorders>
              <w:top w:val="single" w:color="000000" w:sz="12" w:space="0"/>
              <w:bottom w:val="single" w:color="000000" w:sz="12" w:space="0"/>
              <w:right w:val="single" w:color="auto" w:sz="4" w:space="0"/>
            </w:tcBorders>
            <w:vAlign w:val="center"/>
          </w:tcPr>
          <w:p>
            <w:pPr>
              <w:jc w:val="center"/>
              <w:rPr>
                <w:szCs w:val="21"/>
              </w:rPr>
            </w:pPr>
            <w:r>
              <w:rPr>
                <w:szCs w:val="21"/>
              </w:rPr>
              <w:t>元 素</w:t>
            </w:r>
          </w:p>
        </w:tc>
        <w:tc>
          <w:tcPr>
            <w:tcW w:w="1218" w:type="dxa"/>
            <w:tcBorders>
              <w:top w:val="single" w:color="000000" w:sz="12" w:space="0"/>
              <w:left w:val="single" w:color="auto" w:sz="4" w:space="0"/>
              <w:bottom w:val="single" w:color="000000" w:sz="12" w:space="0"/>
              <w:right w:val="single" w:color="auto" w:sz="4" w:space="0"/>
            </w:tcBorders>
            <w:vAlign w:val="center"/>
          </w:tcPr>
          <w:p>
            <w:pPr>
              <w:jc w:val="center"/>
              <w:rPr>
                <w:szCs w:val="21"/>
              </w:rPr>
            </w:pPr>
            <w:r>
              <w:rPr>
                <w:szCs w:val="21"/>
              </w:rPr>
              <w:t>同位素</w:t>
            </w:r>
          </w:p>
          <w:p>
            <w:pPr>
              <w:jc w:val="center"/>
              <w:rPr>
                <w:szCs w:val="21"/>
              </w:rPr>
            </w:pPr>
            <w:r>
              <w:rPr>
                <w:szCs w:val="21"/>
              </w:rPr>
              <w:t>质量数</w:t>
            </w:r>
          </w:p>
        </w:tc>
        <w:tc>
          <w:tcPr>
            <w:tcW w:w="1217" w:type="dxa"/>
            <w:tcBorders>
              <w:top w:val="single" w:color="000000" w:sz="12" w:space="0"/>
              <w:left w:val="double" w:color="auto" w:sz="4" w:space="0"/>
              <w:bottom w:val="single" w:color="000000" w:sz="12" w:space="0"/>
              <w:right w:val="single" w:color="auto" w:sz="4" w:space="0"/>
            </w:tcBorders>
            <w:vAlign w:val="center"/>
          </w:tcPr>
          <w:p>
            <w:pPr>
              <w:jc w:val="center"/>
              <w:rPr>
                <w:szCs w:val="21"/>
              </w:rPr>
            </w:pPr>
            <w:r>
              <w:rPr>
                <w:szCs w:val="21"/>
              </w:rPr>
              <w:t>元 素</w:t>
            </w:r>
          </w:p>
        </w:tc>
        <w:tc>
          <w:tcPr>
            <w:tcW w:w="1215" w:type="dxa"/>
            <w:tcBorders>
              <w:top w:val="single" w:color="000000" w:sz="12" w:space="0"/>
              <w:left w:val="single" w:color="auto" w:sz="4" w:space="0"/>
              <w:bottom w:val="single" w:color="000000" w:sz="12" w:space="0"/>
              <w:right w:val="single" w:color="auto" w:sz="4" w:space="0"/>
            </w:tcBorders>
            <w:vAlign w:val="center"/>
          </w:tcPr>
          <w:p>
            <w:pPr>
              <w:jc w:val="center"/>
              <w:rPr>
                <w:szCs w:val="21"/>
              </w:rPr>
            </w:pPr>
            <w:r>
              <w:rPr>
                <w:szCs w:val="21"/>
              </w:rPr>
              <w:t>同位素</w:t>
            </w:r>
          </w:p>
          <w:p>
            <w:pPr>
              <w:jc w:val="center"/>
              <w:rPr>
                <w:szCs w:val="21"/>
              </w:rPr>
            </w:pPr>
            <w:r>
              <w:rPr>
                <w:szCs w:val="21"/>
              </w:rPr>
              <w:t>质量数</w:t>
            </w:r>
          </w:p>
        </w:tc>
        <w:tc>
          <w:tcPr>
            <w:tcW w:w="1215" w:type="dxa"/>
            <w:tcBorders>
              <w:top w:val="single" w:color="000000" w:sz="12" w:space="0"/>
              <w:left w:val="double" w:color="auto" w:sz="4" w:space="0"/>
              <w:bottom w:val="single" w:color="000000" w:sz="12" w:space="0"/>
              <w:right w:val="single" w:color="auto" w:sz="4" w:space="0"/>
            </w:tcBorders>
            <w:vAlign w:val="center"/>
          </w:tcPr>
          <w:p>
            <w:pPr>
              <w:jc w:val="center"/>
              <w:rPr>
                <w:szCs w:val="21"/>
              </w:rPr>
            </w:pPr>
            <w:r>
              <w:rPr>
                <w:szCs w:val="21"/>
              </w:rPr>
              <w:t>元 素</w:t>
            </w:r>
          </w:p>
        </w:tc>
        <w:tc>
          <w:tcPr>
            <w:tcW w:w="1215" w:type="dxa"/>
            <w:tcBorders>
              <w:top w:val="single" w:color="000000" w:sz="12" w:space="0"/>
              <w:left w:val="single" w:color="auto" w:sz="4" w:space="0"/>
              <w:bottom w:val="single" w:color="000000" w:sz="12" w:space="0"/>
              <w:right w:val="double" w:color="000000" w:sz="4" w:space="0"/>
            </w:tcBorders>
            <w:vAlign w:val="center"/>
          </w:tcPr>
          <w:p>
            <w:pPr>
              <w:jc w:val="center"/>
              <w:rPr>
                <w:szCs w:val="21"/>
              </w:rPr>
            </w:pPr>
            <w:r>
              <w:rPr>
                <w:szCs w:val="21"/>
              </w:rPr>
              <w:t>同位素</w:t>
            </w:r>
          </w:p>
          <w:p>
            <w:pPr>
              <w:jc w:val="center"/>
              <w:rPr>
                <w:szCs w:val="21"/>
              </w:rPr>
            </w:pPr>
            <w:r>
              <w:rPr>
                <w:szCs w:val="21"/>
              </w:rPr>
              <w:t>质量数</w:t>
            </w:r>
          </w:p>
        </w:tc>
        <w:tc>
          <w:tcPr>
            <w:tcW w:w="1215" w:type="dxa"/>
            <w:tcBorders>
              <w:top w:val="single" w:color="000000" w:sz="12" w:space="0"/>
              <w:left w:val="double" w:color="000000" w:sz="4" w:space="0"/>
              <w:bottom w:val="single" w:color="000000" w:sz="12" w:space="0"/>
              <w:right w:val="single" w:color="auto" w:sz="4" w:space="0"/>
            </w:tcBorders>
            <w:vAlign w:val="center"/>
          </w:tcPr>
          <w:p>
            <w:pPr>
              <w:jc w:val="center"/>
              <w:rPr>
                <w:szCs w:val="21"/>
              </w:rPr>
            </w:pPr>
            <w:r>
              <w:rPr>
                <w:szCs w:val="21"/>
              </w:rPr>
              <w:t>元 素</w:t>
            </w:r>
          </w:p>
        </w:tc>
        <w:tc>
          <w:tcPr>
            <w:tcW w:w="1209" w:type="dxa"/>
            <w:tcBorders>
              <w:top w:val="single" w:color="000000" w:sz="12" w:space="0"/>
              <w:left w:val="single" w:color="auto" w:sz="4" w:space="0"/>
              <w:bottom w:val="single" w:color="000000" w:sz="12" w:space="0"/>
              <w:right w:val="single" w:color="000000" w:sz="12" w:space="0"/>
            </w:tcBorders>
            <w:vAlign w:val="center"/>
          </w:tcPr>
          <w:p>
            <w:pPr>
              <w:jc w:val="center"/>
              <w:rPr>
                <w:szCs w:val="21"/>
              </w:rPr>
            </w:pPr>
            <w:r>
              <w:rPr>
                <w:szCs w:val="21"/>
              </w:rPr>
              <w:t>同位素</w:t>
            </w:r>
          </w:p>
          <w:p>
            <w:pPr>
              <w:jc w:val="center"/>
              <w:rPr>
                <w:szCs w:val="21"/>
              </w:rPr>
            </w:pPr>
            <w:r>
              <w:rPr>
                <w:szCs w:val="21"/>
              </w:rPr>
              <w:t>质量数</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Ex>
        <w:tc>
          <w:tcPr>
            <w:tcW w:w="1218" w:type="dxa"/>
            <w:tcBorders>
              <w:top w:val="single" w:color="000000" w:sz="12" w:space="0"/>
              <w:bottom w:val="single" w:color="000000" w:sz="2" w:space="0"/>
              <w:right w:val="single" w:color="auto" w:sz="4" w:space="0"/>
            </w:tcBorders>
            <w:vAlign w:val="center"/>
          </w:tcPr>
          <w:p>
            <w:pPr>
              <w:jc w:val="center"/>
              <w:rPr>
                <w:szCs w:val="21"/>
              </w:rPr>
            </w:pPr>
            <w:r>
              <w:rPr>
                <w:szCs w:val="21"/>
              </w:rPr>
              <w:t>Li</w:t>
            </w:r>
          </w:p>
        </w:tc>
        <w:tc>
          <w:tcPr>
            <w:tcW w:w="1218" w:type="dxa"/>
            <w:tcBorders>
              <w:top w:val="single" w:color="000000" w:sz="12" w:space="0"/>
              <w:left w:val="single" w:color="auto" w:sz="4" w:space="0"/>
              <w:bottom w:val="single" w:color="000000" w:sz="2" w:space="0"/>
              <w:right w:val="single" w:color="auto" w:sz="4" w:space="0"/>
            </w:tcBorders>
            <w:vAlign w:val="center"/>
          </w:tcPr>
          <w:p>
            <w:pPr>
              <w:jc w:val="center"/>
              <w:rPr>
                <w:szCs w:val="21"/>
              </w:rPr>
            </w:pPr>
            <w:r>
              <w:rPr>
                <w:szCs w:val="21"/>
              </w:rPr>
              <w:t>7</w:t>
            </w:r>
          </w:p>
        </w:tc>
        <w:tc>
          <w:tcPr>
            <w:tcW w:w="1217" w:type="dxa"/>
            <w:tcBorders>
              <w:top w:val="single" w:color="000000" w:sz="12" w:space="0"/>
              <w:left w:val="double" w:color="auto" w:sz="4" w:space="0"/>
              <w:bottom w:val="single" w:color="000000" w:sz="2" w:space="0"/>
              <w:right w:val="single" w:color="auto" w:sz="4" w:space="0"/>
            </w:tcBorders>
            <w:vAlign w:val="center"/>
          </w:tcPr>
          <w:p>
            <w:pPr>
              <w:jc w:val="center"/>
              <w:rPr>
                <w:szCs w:val="21"/>
              </w:rPr>
            </w:pPr>
            <w:r>
              <w:rPr>
                <w:szCs w:val="21"/>
              </w:rPr>
              <w:t>Co</w:t>
            </w:r>
          </w:p>
        </w:tc>
        <w:tc>
          <w:tcPr>
            <w:tcW w:w="1215" w:type="dxa"/>
            <w:tcBorders>
              <w:top w:val="single" w:color="000000" w:sz="12" w:space="0"/>
              <w:left w:val="single" w:color="auto" w:sz="4" w:space="0"/>
              <w:bottom w:val="single" w:color="000000" w:sz="2" w:space="0"/>
              <w:right w:val="single" w:color="auto" w:sz="4" w:space="0"/>
            </w:tcBorders>
            <w:vAlign w:val="center"/>
          </w:tcPr>
          <w:p>
            <w:pPr>
              <w:jc w:val="center"/>
              <w:rPr>
                <w:szCs w:val="21"/>
              </w:rPr>
            </w:pPr>
            <w:r>
              <w:rPr>
                <w:szCs w:val="21"/>
              </w:rPr>
              <w:t>59</w:t>
            </w:r>
          </w:p>
        </w:tc>
        <w:tc>
          <w:tcPr>
            <w:tcW w:w="1215" w:type="dxa"/>
            <w:tcBorders>
              <w:top w:val="single" w:color="000000" w:sz="12" w:space="0"/>
              <w:left w:val="double" w:color="auto" w:sz="4" w:space="0"/>
              <w:bottom w:val="single" w:color="000000" w:sz="2" w:space="0"/>
              <w:right w:val="single" w:color="auto" w:sz="4" w:space="0"/>
            </w:tcBorders>
            <w:vAlign w:val="center"/>
          </w:tcPr>
          <w:p>
            <w:pPr>
              <w:jc w:val="center"/>
              <w:rPr>
                <w:szCs w:val="21"/>
              </w:rPr>
            </w:pPr>
            <w:r>
              <w:rPr>
                <w:szCs w:val="21"/>
              </w:rPr>
              <w:t>Sb</w:t>
            </w:r>
          </w:p>
        </w:tc>
        <w:tc>
          <w:tcPr>
            <w:tcW w:w="1215" w:type="dxa"/>
            <w:tcBorders>
              <w:top w:val="single" w:color="000000" w:sz="12" w:space="0"/>
              <w:left w:val="single" w:color="auto" w:sz="4" w:space="0"/>
              <w:bottom w:val="single" w:color="000000" w:sz="2" w:space="0"/>
              <w:right w:val="double" w:color="000000" w:sz="4" w:space="0"/>
            </w:tcBorders>
            <w:vAlign w:val="center"/>
          </w:tcPr>
          <w:p>
            <w:pPr>
              <w:jc w:val="center"/>
              <w:rPr>
                <w:szCs w:val="21"/>
              </w:rPr>
            </w:pPr>
            <w:r>
              <w:rPr>
                <w:szCs w:val="21"/>
              </w:rPr>
              <w:t>121</w:t>
            </w:r>
          </w:p>
        </w:tc>
        <w:tc>
          <w:tcPr>
            <w:tcW w:w="1215" w:type="dxa"/>
            <w:tcBorders>
              <w:top w:val="single" w:color="000000" w:sz="12" w:space="0"/>
              <w:left w:val="double" w:color="000000" w:sz="4" w:space="0"/>
              <w:bottom w:val="single" w:color="000000" w:sz="2" w:space="0"/>
              <w:right w:val="single" w:color="auto" w:sz="4" w:space="0"/>
            </w:tcBorders>
            <w:vAlign w:val="center"/>
          </w:tcPr>
          <w:p>
            <w:pPr>
              <w:jc w:val="center"/>
              <w:rPr>
                <w:szCs w:val="21"/>
              </w:rPr>
            </w:pPr>
            <w:r>
              <w:rPr>
                <w:szCs w:val="21"/>
              </w:rPr>
              <w:t>Lu</w:t>
            </w:r>
          </w:p>
        </w:tc>
        <w:tc>
          <w:tcPr>
            <w:tcW w:w="1209" w:type="dxa"/>
            <w:tcBorders>
              <w:top w:val="single" w:color="000000" w:sz="12" w:space="0"/>
              <w:left w:val="single" w:color="auto" w:sz="4" w:space="0"/>
              <w:bottom w:val="single" w:color="000000" w:sz="2" w:space="0"/>
              <w:right w:val="single" w:color="000000" w:sz="12" w:space="0"/>
            </w:tcBorders>
            <w:vAlign w:val="center"/>
          </w:tcPr>
          <w:p>
            <w:pPr>
              <w:jc w:val="center"/>
              <w:rPr>
                <w:szCs w:val="21"/>
              </w:rPr>
            </w:pPr>
            <w:r>
              <w:rPr>
                <w:szCs w:val="21"/>
              </w:rPr>
              <w:t>175</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Ex>
        <w:tc>
          <w:tcPr>
            <w:tcW w:w="1218" w:type="dxa"/>
            <w:tcBorders>
              <w:top w:val="single" w:color="000000" w:sz="2" w:space="0"/>
              <w:bottom w:val="single" w:color="000000" w:sz="2" w:space="0"/>
              <w:right w:val="single" w:color="auto" w:sz="4" w:space="0"/>
            </w:tcBorders>
            <w:vAlign w:val="center"/>
          </w:tcPr>
          <w:p>
            <w:pPr>
              <w:jc w:val="center"/>
              <w:rPr>
                <w:szCs w:val="21"/>
              </w:rPr>
            </w:pPr>
            <w:r>
              <w:rPr>
                <w:szCs w:val="21"/>
              </w:rPr>
              <w:t>Be</w:t>
            </w:r>
          </w:p>
        </w:tc>
        <w:tc>
          <w:tcPr>
            <w:tcW w:w="1218"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9</w:t>
            </w:r>
          </w:p>
        </w:tc>
        <w:tc>
          <w:tcPr>
            <w:tcW w:w="1217"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Ni</w:t>
            </w:r>
          </w:p>
        </w:tc>
        <w:tc>
          <w:tcPr>
            <w:tcW w:w="1215"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60</w:t>
            </w:r>
          </w:p>
        </w:tc>
        <w:tc>
          <w:tcPr>
            <w:tcW w:w="1215"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Te</w:t>
            </w:r>
          </w:p>
        </w:tc>
        <w:tc>
          <w:tcPr>
            <w:tcW w:w="1215" w:type="dxa"/>
            <w:tcBorders>
              <w:top w:val="single" w:color="000000" w:sz="2" w:space="0"/>
              <w:left w:val="single" w:color="auto" w:sz="4" w:space="0"/>
              <w:bottom w:val="single" w:color="000000" w:sz="2" w:space="0"/>
              <w:right w:val="double" w:color="000000" w:sz="4" w:space="0"/>
            </w:tcBorders>
            <w:vAlign w:val="center"/>
          </w:tcPr>
          <w:p>
            <w:pPr>
              <w:jc w:val="center"/>
              <w:rPr>
                <w:szCs w:val="21"/>
              </w:rPr>
            </w:pPr>
            <w:r>
              <w:rPr>
                <w:szCs w:val="21"/>
              </w:rPr>
              <w:t>128</w:t>
            </w:r>
          </w:p>
        </w:tc>
        <w:tc>
          <w:tcPr>
            <w:tcW w:w="1215" w:type="dxa"/>
            <w:tcBorders>
              <w:top w:val="single" w:color="000000" w:sz="2" w:space="0"/>
              <w:left w:val="double" w:color="000000" w:sz="4" w:space="0"/>
              <w:bottom w:val="single" w:color="000000" w:sz="2" w:space="0"/>
              <w:right w:val="single" w:color="auto" w:sz="4" w:space="0"/>
            </w:tcBorders>
            <w:vAlign w:val="center"/>
          </w:tcPr>
          <w:p>
            <w:pPr>
              <w:jc w:val="center"/>
              <w:rPr>
                <w:szCs w:val="21"/>
              </w:rPr>
            </w:pPr>
            <w:r>
              <w:rPr>
                <w:szCs w:val="21"/>
              </w:rPr>
              <w:t>Hf</w:t>
            </w:r>
          </w:p>
        </w:tc>
        <w:tc>
          <w:tcPr>
            <w:tcW w:w="1209" w:type="dxa"/>
            <w:tcBorders>
              <w:top w:val="single" w:color="000000" w:sz="2" w:space="0"/>
              <w:left w:val="single" w:color="auto" w:sz="4" w:space="0"/>
              <w:bottom w:val="single" w:color="000000" w:sz="2" w:space="0"/>
              <w:right w:val="single" w:color="000000" w:sz="12" w:space="0"/>
            </w:tcBorders>
            <w:vAlign w:val="center"/>
          </w:tcPr>
          <w:p>
            <w:pPr>
              <w:jc w:val="center"/>
              <w:rPr>
                <w:szCs w:val="21"/>
              </w:rPr>
            </w:pPr>
            <w:r>
              <w:rPr>
                <w:szCs w:val="21"/>
              </w:rPr>
              <w:t>178</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Ex>
        <w:tc>
          <w:tcPr>
            <w:tcW w:w="1218" w:type="dxa"/>
            <w:tcBorders>
              <w:top w:val="single" w:color="000000" w:sz="2" w:space="0"/>
              <w:bottom w:val="single" w:color="000000" w:sz="2" w:space="0"/>
              <w:right w:val="single" w:color="auto" w:sz="4" w:space="0"/>
            </w:tcBorders>
            <w:vAlign w:val="center"/>
          </w:tcPr>
          <w:p>
            <w:pPr>
              <w:jc w:val="center"/>
              <w:rPr>
                <w:szCs w:val="21"/>
              </w:rPr>
            </w:pPr>
            <w:r>
              <w:rPr>
                <w:szCs w:val="21"/>
              </w:rPr>
              <w:t>B</w:t>
            </w:r>
          </w:p>
        </w:tc>
        <w:tc>
          <w:tcPr>
            <w:tcW w:w="1218"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11</w:t>
            </w:r>
          </w:p>
        </w:tc>
        <w:tc>
          <w:tcPr>
            <w:tcW w:w="1217"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Cu</w:t>
            </w:r>
          </w:p>
        </w:tc>
        <w:tc>
          <w:tcPr>
            <w:tcW w:w="1215"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63</w:t>
            </w:r>
          </w:p>
        </w:tc>
        <w:tc>
          <w:tcPr>
            <w:tcW w:w="1215"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Ba</w:t>
            </w:r>
          </w:p>
        </w:tc>
        <w:tc>
          <w:tcPr>
            <w:tcW w:w="1215" w:type="dxa"/>
            <w:tcBorders>
              <w:top w:val="single" w:color="000000" w:sz="2" w:space="0"/>
              <w:left w:val="single" w:color="auto" w:sz="4" w:space="0"/>
              <w:bottom w:val="single" w:color="000000" w:sz="2" w:space="0"/>
              <w:right w:val="double" w:color="000000" w:sz="4" w:space="0"/>
            </w:tcBorders>
            <w:vAlign w:val="center"/>
          </w:tcPr>
          <w:p>
            <w:pPr>
              <w:jc w:val="center"/>
              <w:rPr>
                <w:szCs w:val="21"/>
              </w:rPr>
            </w:pPr>
            <w:r>
              <w:rPr>
                <w:szCs w:val="21"/>
              </w:rPr>
              <w:t>138</w:t>
            </w:r>
          </w:p>
        </w:tc>
        <w:tc>
          <w:tcPr>
            <w:tcW w:w="1215" w:type="dxa"/>
            <w:tcBorders>
              <w:top w:val="single" w:color="000000" w:sz="2" w:space="0"/>
              <w:left w:val="double" w:color="000000" w:sz="4" w:space="0"/>
              <w:bottom w:val="single" w:color="000000" w:sz="2" w:space="0"/>
              <w:right w:val="single" w:color="auto" w:sz="4" w:space="0"/>
            </w:tcBorders>
            <w:vAlign w:val="center"/>
          </w:tcPr>
          <w:p>
            <w:pPr>
              <w:jc w:val="center"/>
              <w:rPr>
                <w:szCs w:val="21"/>
              </w:rPr>
            </w:pPr>
            <w:r>
              <w:rPr>
                <w:szCs w:val="21"/>
              </w:rPr>
              <w:t>Ta</w:t>
            </w:r>
          </w:p>
        </w:tc>
        <w:tc>
          <w:tcPr>
            <w:tcW w:w="1209" w:type="dxa"/>
            <w:tcBorders>
              <w:top w:val="single" w:color="000000" w:sz="2" w:space="0"/>
              <w:left w:val="single" w:color="auto" w:sz="4" w:space="0"/>
              <w:bottom w:val="single" w:color="000000" w:sz="2" w:space="0"/>
              <w:right w:val="single" w:color="000000" w:sz="12" w:space="0"/>
            </w:tcBorders>
            <w:vAlign w:val="center"/>
          </w:tcPr>
          <w:p>
            <w:pPr>
              <w:jc w:val="center"/>
              <w:rPr>
                <w:szCs w:val="21"/>
              </w:rPr>
            </w:pPr>
            <w:r>
              <w:rPr>
                <w:szCs w:val="21"/>
              </w:rPr>
              <w:t>181</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Ex>
        <w:tc>
          <w:tcPr>
            <w:tcW w:w="1218" w:type="dxa"/>
            <w:tcBorders>
              <w:top w:val="single" w:color="000000" w:sz="2" w:space="0"/>
              <w:bottom w:val="single" w:color="000000" w:sz="2" w:space="0"/>
              <w:right w:val="single" w:color="auto" w:sz="4" w:space="0"/>
            </w:tcBorders>
            <w:vAlign w:val="center"/>
          </w:tcPr>
          <w:p>
            <w:pPr>
              <w:jc w:val="center"/>
              <w:rPr>
                <w:szCs w:val="21"/>
              </w:rPr>
            </w:pPr>
            <w:r>
              <w:rPr>
                <w:szCs w:val="21"/>
              </w:rPr>
              <w:t>Na</w:t>
            </w:r>
          </w:p>
        </w:tc>
        <w:tc>
          <w:tcPr>
            <w:tcW w:w="1218"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23</w:t>
            </w:r>
          </w:p>
        </w:tc>
        <w:tc>
          <w:tcPr>
            <w:tcW w:w="1217"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Zn</w:t>
            </w:r>
          </w:p>
        </w:tc>
        <w:tc>
          <w:tcPr>
            <w:tcW w:w="1215"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66</w:t>
            </w:r>
          </w:p>
        </w:tc>
        <w:tc>
          <w:tcPr>
            <w:tcW w:w="1215"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La</w:t>
            </w:r>
          </w:p>
        </w:tc>
        <w:tc>
          <w:tcPr>
            <w:tcW w:w="1215" w:type="dxa"/>
            <w:tcBorders>
              <w:top w:val="single" w:color="000000" w:sz="2" w:space="0"/>
              <w:left w:val="single" w:color="auto" w:sz="4" w:space="0"/>
              <w:bottom w:val="single" w:color="000000" w:sz="2" w:space="0"/>
              <w:right w:val="double" w:color="000000" w:sz="4" w:space="0"/>
            </w:tcBorders>
            <w:vAlign w:val="center"/>
          </w:tcPr>
          <w:p>
            <w:pPr>
              <w:jc w:val="center"/>
              <w:rPr>
                <w:szCs w:val="21"/>
              </w:rPr>
            </w:pPr>
            <w:r>
              <w:rPr>
                <w:szCs w:val="21"/>
              </w:rPr>
              <w:t>139</w:t>
            </w:r>
          </w:p>
        </w:tc>
        <w:tc>
          <w:tcPr>
            <w:tcW w:w="1215" w:type="dxa"/>
            <w:tcBorders>
              <w:top w:val="single" w:color="000000" w:sz="2" w:space="0"/>
              <w:left w:val="double" w:color="000000" w:sz="4" w:space="0"/>
              <w:bottom w:val="single" w:color="000000" w:sz="2" w:space="0"/>
              <w:right w:val="single" w:color="auto" w:sz="4" w:space="0"/>
            </w:tcBorders>
            <w:vAlign w:val="center"/>
          </w:tcPr>
          <w:p>
            <w:pPr>
              <w:jc w:val="center"/>
              <w:rPr>
                <w:szCs w:val="21"/>
              </w:rPr>
            </w:pPr>
            <w:r>
              <w:rPr>
                <w:szCs w:val="21"/>
              </w:rPr>
              <w:t>W</w:t>
            </w:r>
          </w:p>
        </w:tc>
        <w:tc>
          <w:tcPr>
            <w:tcW w:w="1209" w:type="dxa"/>
            <w:tcBorders>
              <w:top w:val="single" w:color="000000" w:sz="2" w:space="0"/>
              <w:left w:val="single" w:color="auto" w:sz="4" w:space="0"/>
              <w:bottom w:val="single" w:color="000000" w:sz="2" w:space="0"/>
              <w:right w:val="single" w:color="000000" w:sz="12" w:space="0"/>
            </w:tcBorders>
            <w:vAlign w:val="center"/>
          </w:tcPr>
          <w:p>
            <w:pPr>
              <w:jc w:val="center"/>
              <w:rPr>
                <w:szCs w:val="21"/>
              </w:rPr>
            </w:pPr>
            <w:r>
              <w:rPr>
                <w:szCs w:val="21"/>
              </w:rPr>
              <w:t>182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Ex>
        <w:tc>
          <w:tcPr>
            <w:tcW w:w="1218" w:type="dxa"/>
            <w:tcBorders>
              <w:top w:val="single" w:color="000000" w:sz="2" w:space="0"/>
              <w:bottom w:val="single" w:color="000000" w:sz="2" w:space="0"/>
              <w:right w:val="single" w:color="auto" w:sz="4" w:space="0"/>
            </w:tcBorders>
            <w:vAlign w:val="center"/>
          </w:tcPr>
          <w:p>
            <w:pPr>
              <w:jc w:val="center"/>
              <w:rPr>
                <w:szCs w:val="21"/>
              </w:rPr>
            </w:pPr>
            <w:r>
              <w:rPr>
                <w:szCs w:val="21"/>
              </w:rPr>
              <w:t>Mg</w:t>
            </w:r>
          </w:p>
        </w:tc>
        <w:tc>
          <w:tcPr>
            <w:tcW w:w="1218"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24</w:t>
            </w:r>
          </w:p>
        </w:tc>
        <w:tc>
          <w:tcPr>
            <w:tcW w:w="1217"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Ga</w:t>
            </w:r>
          </w:p>
        </w:tc>
        <w:tc>
          <w:tcPr>
            <w:tcW w:w="1215"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69</w:t>
            </w:r>
          </w:p>
        </w:tc>
        <w:tc>
          <w:tcPr>
            <w:tcW w:w="1215"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Ce</w:t>
            </w:r>
          </w:p>
        </w:tc>
        <w:tc>
          <w:tcPr>
            <w:tcW w:w="1215" w:type="dxa"/>
            <w:tcBorders>
              <w:top w:val="single" w:color="000000" w:sz="2" w:space="0"/>
              <w:left w:val="single" w:color="auto" w:sz="4" w:space="0"/>
              <w:bottom w:val="single" w:color="000000" w:sz="2" w:space="0"/>
              <w:right w:val="double" w:color="000000" w:sz="4" w:space="0"/>
            </w:tcBorders>
            <w:vAlign w:val="center"/>
          </w:tcPr>
          <w:p>
            <w:pPr>
              <w:jc w:val="center"/>
              <w:rPr>
                <w:szCs w:val="21"/>
              </w:rPr>
            </w:pPr>
            <w:r>
              <w:rPr>
                <w:szCs w:val="21"/>
              </w:rPr>
              <w:t>140</w:t>
            </w:r>
          </w:p>
        </w:tc>
        <w:tc>
          <w:tcPr>
            <w:tcW w:w="1215" w:type="dxa"/>
            <w:tcBorders>
              <w:top w:val="single" w:color="000000" w:sz="2" w:space="0"/>
              <w:left w:val="double" w:color="000000" w:sz="4" w:space="0"/>
              <w:bottom w:val="single" w:color="000000" w:sz="2" w:space="0"/>
              <w:right w:val="single" w:color="auto" w:sz="4" w:space="0"/>
            </w:tcBorders>
            <w:vAlign w:val="center"/>
          </w:tcPr>
          <w:p>
            <w:pPr>
              <w:jc w:val="center"/>
              <w:rPr>
                <w:szCs w:val="21"/>
              </w:rPr>
            </w:pPr>
            <w:r>
              <w:rPr>
                <w:szCs w:val="21"/>
              </w:rPr>
              <w:t>Re</w:t>
            </w:r>
          </w:p>
        </w:tc>
        <w:tc>
          <w:tcPr>
            <w:tcW w:w="1209" w:type="dxa"/>
            <w:tcBorders>
              <w:top w:val="single" w:color="000000" w:sz="2" w:space="0"/>
              <w:left w:val="single" w:color="auto" w:sz="4" w:space="0"/>
              <w:bottom w:val="single" w:color="000000" w:sz="2" w:space="0"/>
              <w:right w:val="single" w:color="000000" w:sz="12" w:space="0"/>
            </w:tcBorders>
            <w:vAlign w:val="center"/>
          </w:tcPr>
          <w:p>
            <w:pPr>
              <w:jc w:val="center"/>
              <w:rPr>
                <w:szCs w:val="21"/>
              </w:rPr>
            </w:pPr>
            <w:r>
              <w:rPr>
                <w:szCs w:val="21"/>
              </w:rPr>
              <w:t>185</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Ex>
        <w:tc>
          <w:tcPr>
            <w:tcW w:w="1218" w:type="dxa"/>
            <w:tcBorders>
              <w:top w:val="single" w:color="000000" w:sz="2" w:space="0"/>
              <w:bottom w:val="single" w:color="000000" w:sz="2" w:space="0"/>
              <w:right w:val="single" w:color="auto" w:sz="4" w:space="0"/>
            </w:tcBorders>
            <w:vAlign w:val="center"/>
          </w:tcPr>
          <w:p>
            <w:pPr>
              <w:jc w:val="center"/>
              <w:rPr>
                <w:szCs w:val="21"/>
              </w:rPr>
            </w:pPr>
            <w:r>
              <w:rPr>
                <w:szCs w:val="21"/>
              </w:rPr>
              <w:t>Al</w:t>
            </w:r>
          </w:p>
        </w:tc>
        <w:tc>
          <w:tcPr>
            <w:tcW w:w="1218"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27</w:t>
            </w:r>
          </w:p>
        </w:tc>
        <w:tc>
          <w:tcPr>
            <w:tcW w:w="1217"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Ge</w:t>
            </w:r>
          </w:p>
        </w:tc>
        <w:tc>
          <w:tcPr>
            <w:tcW w:w="1215"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72</w:t>
            </w:r>
          </w:p>
        </w:tc>
        <w:tc>
          <w:tcPr>
            <w:tcW w:w="1215"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Pr</w:t>
            </w:r>
          </w:p>
        </w:tc>
        <w:tc>
          <w:tcPr>
            <w:tcW w:w="1215" w:type="dxa"/>
            <w:tcBorders>
              <w:top w:val="single" w:color="000000" w:sz="2" w:space="0"/>
              <w:left w:val="single" w:color="auto" w:sz="4" w:space="0"/>
              <w:bottom w:val="single" w:color="000000" w:sz="2" w:space="0"/>
              <w:right w:val="double" w:color="000000" w:sz="4" w:space="0"/>
            </w:tcBorders>
            <w:vAlign w:val="center"/>
          </w:tcPr>
          <w:p>
            <w:pPr>
              <w:jc w:val="center"/>
              <w:rPr>
                <w:szCs w:val="21"/>
              </w:rPr>
            </w:pPr>
            <w:r>
              <w:rPr>
                <w:szCs w:val="21"/>
              </w:rPr>
              <w:t>141</w:t>
            </w:r>
          </w:p>
        </w:tc>
        <w:tc>
          <w:tcPr>
            <w:tcW w:w="1215" w:type="dxa"/>
            <w:tcBorders>
              <w:top w:val="single" w:color="000000" w:sz="2" w:space="0"/>
              <w:left w:val="double" w:color="000000" w:sz="4" w:space="0"/>
              <w:bottom w:val="single" w:color="000000" w:sz="2" w:space="0"/>
              <w:right w:val="single" w:color="auto" w:sz="4" w:space="0"/>
            </w:tcBorders>
            <w:vAlign w:val="center"/>
          </w:tcPr>
          <w:p>
            <w:pPr>
              <w:jc w:val="center"/>
              <w:rPr>
                <w:szCs w:val="21"/>
              </w:rPr>
            </w:pPr>
            <w:r>
              <w:rPr>
                <w:szCs w:val="21"/>
              </w:rPr>
              <w:t>Os</w:t>
            </w:r>
          </w:p>
        </w:tc>
        <w:tc>
          <w:tcPr>
            <w:tcW w:w="1209" w:type="dxa"/>
            <w:tcBorders>
              <w:top w:val="single" w:color="000000" w:sz="2" w:space="0"/>
              <w:left w:val="single" w:color="auto" w:sz="4" w:space="0"/>
              <w:bottom w:val="single" w:color="000000" w:sz="2" w:space="0"/>
              <w:right w:val="single" w:color="000000" w:sz="12" w:space="0"/>
            </w:tcBorders>
            <w:vAlign w:val="center"/>
          </w:tcPr>
          <w:p>
            <w:pPr>
              <w:jc w:val="center"/>
              <w:rPr>
                <w:szCs w:val="21"/>
              </w:rPr>
            </w:pPr>
            <w:r>
              <w:rPr>
                <w:szCs w:val="21"/>
              </w:rPr>
              <w:t>189</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Ex>
        <w:tc>
          <w:tcPr>
            <w:tcW w:w="1218" w:type="dxa"/>
            <w:tcBorders>
              <w:top w:val="single" w:color="000000" w:sz="2" w:space="0"/>
              <w:bottom w:val="single" w:color="000000" w:sz="2" w:space="0"/>
              <w:right w:val="single" w:color="auto" w:sz="4" w:space="0"/>
            </w:tcBorders>
            <w:vAlign w:val="center"/>
          </w:tcPr>
          <w:p>
            <w:pPr>
              <w:jc w:val="center"/>
              <w:rPr>
                <w:szCs w:val="21"/>
              </w:rPr>
            </w:pPr>
            <w:r>
              <w:rPr>
                <w:szCs w:val="21"/>
              </w:rPr>
              <w:t>Si</w:t>
            </w:r>
          </w:p>
        </w:tc>
        <w:tc>
          <w:tcPr>
            <w:tcW w:w="1218"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28</w:t>
            </w:r>
          </w:p>
        </w:tc>
        <w:tc>
          <w:tcPr>
            <w:tcW w:w="1217"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As</w:t>
            </w:r>
          </w:p>
        </w:tc>
        <w:tc>
          <w:tcPr>
            <w:tcW w:w="1215"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75</w:t>
            </w:r>
          </w:p>
        </w:tc>
        <w:tc>
          <w:tcPr>
            <w:tcW w:w="1215"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Nd</w:t>
            </w:r>
          </w:p>
        </w:tc>
        <w:tc>
          <w:tcPr>
            <w:tcW w:w="1215" w:type="dxa"/>
            <w:tcBorders>
              <w:top w:val="single" w:color="000000" w:sz="2" w:space="0"/>
              <w:left w:val="single" w:color="auto" w:sz="4" w:space="0"/>
              <w:bottom w:val="single" w:color="000000" w:sz="2" w:space="0"/>
              <w:right w:val="double" w:color="000000" w:sz="4" w:space="0"/>
            </w:tcBorders>
            <w:vAlign w:val="center"/>
          </w:tcPr>
          <w:p>
            <w:pPr>
              <w:jc w:val="center"/>
              <w:rPr>
                <w:szCs w:val="21"/>
              </w:rPr>
            </w:pPr>
            <w:r>
              <w:rPr>
                <w:szCs w:val="21"/>
              </w:rPr>
              <w:t>146</w:t>
            </w:r>
          </w:p>
        </w:tc>
        <w:tc>
          <w:tcPr>
            <w:tcW w:w="1215" w:type="dxa"/>
            <w:tcBorders>
              <w:top w:val="single" w:color="000000" w:sz="2" w:space="0"/>
              <w:left w:val="double" w:color="000000" w:sz="4" w:space="0"/>
              <w:bottom w:val="single" w:color="000000" w:sz="2" w:space="0"/>
              <w:right w:val="single" w:color="auto" w:sz="4" w:space="0"/>
            </w:tcBorders>
            <w:vAlign w:val="center"/>
          </w:tcPr>
          <w:p>
            <w:pPr>
              <w:jc w:val="center"/>
              <w:rPr>
                <w:szCs w:val="21"/>
              </w:rPr>
            </w:pPr>
            <w:r>
              <w:rPr>
                <w:szCs w:val="21"/>
              </w:rPr>
              <w:t>Ir</w:t>
            </w:r>
          </w:p>
        </w:tc>
        <w:tc>
          <w:tcPr>
            <w:tcW w:w="1209" w:type="dxa"/>
            <w:tcBorders>
              <w:top w:val="single" w:color="000000" w:sz="2" w:space="0"/>
              <w:left w:val="single" w:color="auto" w:sz="4" w:space="0"/>
              <w:bottom w:val="single" w:color="000000" w:sz="2" w:space="0"/>
              <w:right w:val="single" w:color="000000" w:sz="12" w:space="0"/>
            </w:tcBorders>
            <w:vAlign w:val="center"/>
          </w:tcPr>
          <w:p>
            <w:pPr>
              <w:jc w:val="center"/>
              <w:rPr>
                <w:szCs w:val="21"/>
              </w:rPr>
            </w:pPr>
            <w:r>
              <w:rPr>
                <w:szCs w:val="21"/>
              </w:rPr>
              <w:t xml:space="preserve">191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Ex>
        <w:tc>
          <w:tcPr>
            <w:tcW w:w="1218" w:type="dxa"/>
            <w:tcBorders>
              <w:top w:val="single" w:color="000000" w:sz="2" w:space="0"/>
              <w:bottom w:val="single" w:color="000000" w:sz="2" w:space="0"/>
              <w:right w:val="single" w:color="auto" w:sz="4" w:space="0"/>
            </w:tcBorders>
            <w:vAlign w:val="center"/>
          </w:tcPr>
          <w:p>
            <w:pPr>
              <w:jc w:val="center"/>
              <w:rPr>
                <w:szCs w:val="21"/>
              </w:rPr>
            </w:pPr>
            <w:r>
              <w:rPr>
                <w:szCs w:val="21"/>
              </w:rPr>
              <w:t>P</w:t>
            </w:r>
          </w:p>
        </w:tc>
        <w:tc>
          <w:tcPr>
            <w:tcW w:w="1218"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31</w:t>
            </w:r>
          </w:p>
        </w:tc>
        <w:tc>
          <w:tcPr>
            <w:tcW w:w="1217"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Se</w:t>
            </w:r>
          </w:p>
        </w:tc>
        <w:tc>
          <w:tcPr>
            <w:tcW w:w="1215"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77</w:t>
            </w:r>
          </w:p>
        </w:tc>
        <w:tc>
          <w:tcPr>
            <w:tcW w:w="1215"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Sm</w:t>
            </w:r>
          </w:p>
        </w:tc>
        <w:tc>
          <w:tcPr>
            <w:tcW w:w="1215" w:type="dxa"/>
            <w:tcBorders>
              <w:top w:val="single" w:color="000000" w:sz="2" w:space="0"/>
              <w:left w:val="single" w:color="auto" w:sz="4" w:space="0"/>
              <w:bottom w:val="single" w:color="000000" w:sz="2" w:space="0"/>
              <w:right w:val="double" w:color="000000" w:sz="4" w:space="0"/>
            </w:tcBorders>
            <w:vAlign w:val="center"/>
          </w:tcPr>
          <w:p>
            <w:pPr>
              <w:jc w:val="center"/>
              <w:rPr>
                <w:szCs w:val="21"/>
              </w:rPr>
            </w:pPr>
            <w:r>
              <w:rPr>
                <w:szCs w:val="21"/>
              </w:rPr>
              <w:t>149</w:t>
            </w:r>
          </w:p>
        </w:tc>
        <w:tc>
          <w:tcPr>
            <w:tcW w:w="1215" w:type="dxa"/>
            <w:tcBorders>
              <w:top w:val="single" w:color="000000" w:sz="2" w:space="0"/>
              <w:left w:val="double" w:color="000000" w:sz="4" w:space="0"/>
              <w:bottom w:val="single" w:color="000000" w:sz="2" w:space="0"/>
              <w:right w:val="single" w:color="auto" w:sz="4" w:space="0"/>
            </w:tcBorders>
            <w:vAlign w:val="center"/>
          </w:tcPr>
          <w:p>
            <w:pPr>
              <w:jc w:val="center"/>
              <w:rPr>
                <w:szCs w:val="21"/>
              </w:rPr>
            </w:pPr>
            <w:r>
              <w:rPr>
                <w:szCs w:val="21"/>
              </w:rPr>
              <w:t>Pt</w:t>
            </w:r>
          </w:p>
        </w:tc>
        <w:tc>
          <w:tcPr>
            <w:tcW w:w="1209" w:type="dxa"/>
            <w:tcBorders>
              <w:top w:val="single" w:color="000000" w:sz="2" w:space="0"/>
              <w:left w:val="single" w:color="auto" w:sz="4" w:space="0"/>
              <w:bottom w:val="single" w:color="000000" w:sz="2" w:space="0"/>
              <w:right w:val="single" w:color="000000" w:sz="12" w:space="0"/>
            </w:tcBorders>
            <w:vAlign w:val="center"/>
          </w:tcPr>
          <w:p>
            <w:pPr>
              <w:jc w:val="center"/>
              <w:rPr>
                <w:szCs w:val="21"/>
              </w:rPr>
            </w:pPr>
            <w:r>
              <w:rPr>
                <w:szCs w:val="21"/>
              </w:rPr>
              <w:t>195</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Ex>
        <w:tc>
          <w:tcPr>
            <w:tcW w:w="1218" w:type="dxa"/>
            <w:tcBorders>
              <w:top w:val="single" w:color="000000" w:sz="2" w:space="0"/>
              <w:bottom w:val="single" w:color="000000" w:sz="2" w:space="0"/>
              <w:right w:val="single" w:color="auto" w:sz="4" w:space="0"/>
            </w:tcBorders>
            <w:vAlign w:val="center"/>
          </w:tcPr>
          <w:p>
            <w:pPr>
              <w:jc w:val="center"/>
              <w:rPr>
                <w:szCs w:val="21"/>
              </w:rPr>
            </w:pPr>
            <w:r>
              <w:rPr>
                <w:szCs w:val="21"/>
              </w:rPr>
              <w:t>Cl</w:t>
            </w:r>
          </w:p>
        </w:tc>
        <w:tc>
          <w:tcPr>
            <w:tcW w:w="1218"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35</w:t>
            </w:r>
          </w:p>
        </w:tc>
        <w:tc>
          <w:tcPr>
            <w:tcW w:w="1217"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Rb</w:t>
            </w:r>
          </w:p>
        </w:tc>
        <w:tc>
          <w:tcPr>
            <w:tcW w:w="1215"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85</w:t>
            </w:r>
          </w:p>
        </w:tc>
        <w:tc>
          <w:tcPr>
            <w:tcW w:w="1215"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Eu</w:t>
            </w:r>
          </w:p>
        </w:tc>
        <w:tc>
          <w:tcPr>
            <w:tcW w:w="1215" w:type="dxa"/>
            <w:tcBorders>
              <w:top w:val="single" w:color="000000" w:sz="2" w:space="0"/>
              <w:left w:val="single" w:color="auto" w:sz="4" w:space="0"/>
              <w:bottom w:val="single" w:color="000000" w:sz="2" w:space="0"/>
              <w:right w:val="double" w:color="000000" w:sz="4" w:space="0"/>
            </w:tcBorders>
            <w:vAlign w:val="center"/>
          </w:tcPr>
          <w:p>
            <w:pPr>
              <w:jc w:val="center"/>
              <w:rPr>
                <w:szCs w:val="21"/>
              </w:rPr>
            </w:pPr>
            <w:r>
              <w:rPr>
                <w:szCs w:val="21"/>
              </w:rPr>
              <w:t>151</w:t>
            </w:r>
          </w:p>
        </w:tc>
        <w:tc>
          <w:tcPr>
            <w:tcW w:w="1215" w:type="dxa"/>
            <w:tcBorders>
              <w:top w:val="single" w:color="000000" w:sz="2" w:space="0"/>
              <w:left w:val="double" w:color="000000" w:sz="4" w:space="0"/>
              <w:bottom w:val="single" w:color="000000" w:sz="2" w:space="0"/>
              <w:right w:val="single" w:color="auto" w:sz="4" w:space="0"/>
            </w:tcBorders>
            <w:vAlign w:val="center"/>
          </w:tcPr>
          <w:p>
            <w:pPr>
              <w:jc w:val="center"/>
              <w:rPr>
                <w:szCs w:val="21"/>
              </w:rPr>
            </w:pPr>
            <w:r>
              <w:rPr>
                <w:szCs w:val="21"/>
              </w:rPr>
              <w:t>Au</w:t>
            </w:r>
          </w:p>
        </w:tc>
        <w:tc>
          <w:tcPr>
            <w:tcW w:w="1209" w:type="dxa"/>
            <w:tcBorders>
              <w:top w:val="single" w:color="000000" w:sz="2" w:space="0"/>
              <w:left w:val="single" w:color="auto" w:sz="4" w:space="0"/>
              <w:bottom w:val="single" w:color="000000" w:sz="2" w:space="0"/>
              <w:right w:val="single" w:color="000000" w:sz="12" w:space="0"/>
            </w:tcBorders>
            <w:vAlign w:val="center"/>
          </w:tcPr>
          <w:p>
            <w:pPr>
              <w:jc w:val="center"/>
              <w:rPr>
                <w:szCs w:val="21"/>
              </w:rPr>
            </w:pPr>
            <w:r>
              <w:rPr>
                <w:szCs w:val="21"/>
              </w:rPr>
              <w:t>197</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Ex>
        <w:tc>
          <w:tcPr>
            <w:tcW w:w="1218" w:type="dxa"/>
            <w:tcBorders>
              <w:top w:val="single" w:color="000000" w:sz="2" w:space="0"/>
              <w:bottom w:val="single" w:color="000000" w:sz="2" w:space="0"/>
              <w:right w:val="single" w:color="auto" w:sz="4" w:space="0"/>
            </w:tcBorders>
            <w:vAlign w:val="center"/>
          </w:tcPr>
          <w:p>
            <w:pPr>
              <w:jc w:val="center"/>
              <w:rPr>
                <w:szCs w:val="21"/>
              </w:rPr>
            </w:pPr>
            <w:r>
              <w:rPr>
                <w:szCs w:val="21"/>
              </w:rPr>
              <w:t>K</w:t>
            </w:r>
          </w:p>
        </w:tc>
        <w:tc>
          <w:tcPr>
            <w:tcW w:w="1218"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39</w:t>
            </w:r>
          </w:p>
        </w:tc>
        <w:tc>
          <w:tcPr>
            <w:tcW w:w="1217"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Sr</w:t>
            </w:r>
          </w:p>
        </w:tc>
        <w:tc>
          <w:tcPr>
            <w:tcW w:w="1215"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88</w:t>
            </w:r>
          </w:p>
        </w:tc>
        <w:tc>
          <w:tcPr>
            <w:tcW w:w="1215"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Gd</w:t>
            </w:r>
          </w:p>
        </w:tc>
        <w:tc>
          <w:tcPr>
            <w:tcW w:w="1215" w:type="dxa"/>
            <w:tcBorders>
              <w:top w:val="single" w:color="000000" w:sz="2" w:space="0"/>
              <w:left w:val="single" w:color="auto" w:sz="4" w:space="0"/>
              <w:bottom w:val="single" w:color="000000" w:sz="2" w:space="0"/>
              <w:right w:val="double" w:color="000000" w:sz="4" w:space="0"/>
            </w:tcBorders>
            <w:vAlign w:val="center"/>
          </w:tcPr>
          <w:p>
            <w:pPr>
              <w:jc w:val="center"/>
              <w:rPr>
                <w:szCs w:val="21"/>
              </w:rPr>
            </w:pPr>
            <w:r>
              <w:rPr>
                <w:szCs w:val="21"/>
              </w:rPr>
              <w:t>157</w:t>
            </w:r>
          </w:p>
        </w:tc>
        <w:tc>
          <w:tcPr>
            <w:tcW w:w="1215" w:type="dxa"/>
            <w:tcBorders>
              <w:top w:val="single" w:color="000000" w:sz="2" w:space="0"/>
              <w:left w:val="double" w:color="000000" w:sz="4" w:space="0"/>
              <w:bottom w:val="single" w:color="000000" w:sz="2" w:space="0"/>
              <w:right w:val="single" w:color="auto" w:sz="4" w:space="0"/>
            </w:tcBorders>
            <w:vAlign w:val="center"/>
          </w:tcPr>
          <w:p>
            <w:pPr>
              <w:jc w:val="center"/>
              <w:rPr>
                <w:szCs w:val="21"/>
              </w:rPr>
            </w:pPr>
            <w:r>
              <w:rPr>
                <w:szCs w:val="21"/>
              </w:rPr>
              <w:t>Hg</w:t>
            </w:r>
          </w:p>
        </w:tc>
        <w:tc>
          <w:tcPr>
            <w:tcW w:w="1209" w:type="dxa"/>
            <w:tcBorders>
              <w:top w:val="single" w:color="000000" w:sz="2" w:space="0"/>
              <w:left w:val="single" w:color="auto" w:sz="4" w:space="0"/>
              <w:bottom w:val="single" w:color="000000" w:sz="2" w:space="0"/>
              <w:right w:val="single" w:color="000000" w:sz="12" w:space="0"/>
            </w:tcBorders>
            <w:vAlign w:val="center"/>
          </w:tcPr>
          <w:p>
            <w:pPr>
              <w:jc w:val="center"/>
              <w:rPr>
                <w:szCs w:val="21"/>
              </w:rPr>
            </w:pPr>
            <w:r>
              <w:rPr>
                <w:szCs w:val="21"/>
              </w:rPr>
              <w:t>202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Ex>
        <w:tc>
          <w:tcPr>
            <w:tcW w:w="1218" w:type="dxa"/>
            <w:tcBorders>
              <w:top w:val="single" w:color="000000" w:sz="2" w:space="0"/>
              <w:bottom w:val="single" w:color="000000" w:sz="2" w:space="0"/>
              <w:right w:val="single" w:color="auto" w:sz="4" w:space="0"/>
            </w:tcBorders>
            <w:vAlign w:val="center"/>
          </w:tcPr>
          <w:p>
            <w:pPr>
              <w:jc w:val="center"/>
              <w:rPr>
                <w:szCs w:val="21"/>
              </w:rPr>
            </w:pPr>
            <w:r>
              <w:rPr>
                <w:szCs w:val="21"/>
              </w:rPr>
              <w:t>Ca</w:t>
            </w:r>
          </w:p>
        </w:tc>
        <w:tc>
          <w:tcPr>
            <w:tcW w:w="1218"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44</w:t>
            </w:r>
          </w:p>
        </w:tc>
        <w:tc>
          <w:tcPr>
            <w:tcW w:w="1217"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Y</w:t>
            </w:r>
          </w:p>
        </w:tc>
        <w:tc>
          <w:tcPr>
            <w:tcW w:w="1215"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89</w:t>
            </w:r>
          </w:p>
        </w:tc>
        <w:tc>
          <w:tcPr>
            <w:tcW w:w="1215"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Tb</w:t>
            </w:r>
          </w:p>
        </w:tc>
        <w:tc>
          <w:tcPr>
            <w:tcW w:w="1215" w:type="dxa"/>
            <w:tcBorders>
              <w:top w:val="single" w:color="000000" w:sz="2" w:space="0"/>
              <w:left w:val="single" w:color="auto" w:sz="4" w:space="0"/>
              <w:bottom w:val="single" w:color="000000" w:sz="2" w:space="0"/>
              <w:right w:val="double" w:color="000000" w:sz="4" w:space="0"/>
            </w:tcBorders>
            <w:vAlign w:val="center"/>
          </w:tcPr>
          <w:p>
            <w:pPr>
              <w:jc w:val="center"/>
              <w:rPr>
                <w:szCs w:val="21"/>
              </w:rPr>
            </w:pPr>
            <w:r>
              <w:rPr>
                <w:szCs w:val="21"/>
              </w:rPr>
              <w:t>159</w:t>
            </w:r>
          </w:p>
        </w:tc>
        <w:tc>
          <w:tcPr>
            <w:tcW w:w="1215" w:type="dxa"/>
            <w:tcBorders>
              <w:top w:val="single" w:color="000000" w:sz="2" w:space="0"/>
              <w:left w:val="double" w:color="000000" w:sz="4" w:space="0"/>
              <w:bottom w:val="single" w:color="000000" w:sz="2" w:space="0"/>
              <w:right w:val="single" w:color="auto" w:sz="4" w:space="0"/>
            </w:tcBorders>
            <w:vAlign w:val="center"/>
          </w:tcPr>
          <w:p>
            <w:pPr>
              <w:jc w:val="center"/>
              <w:rPr>
                <w:szCs w:val="21"/>
              </w:rPr>
            </w:pPr>
            <w:r>
              <w:rPr>
                <w:szCs w:val="21"/>
              </w:rPr>
              <w:t>Tl</w:t>
            </w:r>
          </w:p>
        </w:tc>
        <w:tc>
          <w:tcPr>
            <w:tcW w:w="1209" w:type="dxa"/>
            <w:tcBorders>
              <w:top w:val="single" w:color="000000" w:sz="2" w:space="0"/>
              <w:left w:val="single" w:color="auto" w:sz="4" w:space="0"/>
              <w:bottom w:val="single" w:color="000000" w:sz="2" w:space="0"/>
              <w:right w:val="single" w:color="000000" w:sz="12" w:space="0"/>
            </w:tcBorders>
            <w:vAlign w:val="center"/>
          </w:tcPr>
          <w:p>
            <w:pPr>
              <w:jc w:val="center"/>
              <w:rPr>
                <w:szCs w:val="21"/>
              </w:rPr>
            </w:pPr>
            <w:r>
              <w:rPr>
                <w:szCs w:val="21"/>
              </w:rPr>
              <w:t>205</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Ex>
        <w:tc>
          <w:tcPr>
            <w:tcW w:w="1218" w:type="dxa"/>
            <w:tcBorders>
              <w:top w:val="single" w:color="000000" w:sz="2" w:space="0"/>
              <w:bottom w:val="single" w:color="000000" w:sz="2" w:space="0"/>
              <w:right w:val="single" w:color="auto" w:sz="4" w:space="0"/>
            </w:tcBorders>
            <w:vAlign w:val="center"/>
          </w:tcPr>
          <w:p>
            <w:pPr>
              <w:jc w:val="center"/>
              <w:rPr>
                <w:szCs w:val="21"/>
              </w:rPr>
            </w:pPr>
            <w:r>
              <w:rPr>
                <w:szCs w:val="21"/>
              </w:rPr>
              <w:t>Ti</w:t>
            </w:r>
          </w:p>
        </w:tc>
        <w:tc>
          <w:tcPr>
            <w:tcW w:w="1218"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49</w:t>
            </w:r>
          </w:p>
        </w:tc>
        <w:tc>
          <w:tcPr>
            <w:tcW w:w="1217"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Nb</w:t>
            </w:r>
          </w:p>
        </w:tc>
        <w:tc>
          <w:tcPr>
            <w:tcW w:w="1215"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93</w:t>
            </w:r>
          </w:p>
        </w:tc>
        <w:tc>
          <w:tcPr>
            <w:tcW w:w="1215"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Dy</w:t>
            </w:r>
          </w:p>
        </w:tc>
        <w:tc>
          <w:tcPr>
            <w:tcW w:w="1215" w:type="dxa"/>
            <w:tcBorders>
              <w:top w:val="single" w:color="000000" w:sz="2" w:space="0"/>
              <w:left w:val="single" w:color="auto" w:sz="4" w:space="0"/>
              <w:bottom w:val="single" w:color="000000" w:sz="2" w:space="0"/>
              <w:right w:val="double" w:color="000000" w:sz="4" w:space="0"/>
            </w:tcBorders>
            <w:vAlign w:val="center"/>
          </w:tcPr>
          <w:p>
            <w:pPr>
              <w:jc w:val="center"/>
              <w:rPr>
                <w:szCs w:val="21"/>
              </w:rPr>
            </w:pPr>
            <w:r>
              <w:rPr>
                <w:szCs w:val="21"/>
              </w:rPr>
              <w:t>163</w:t>
            </w:r>
          </w:p>
        </w:tc>
        <w:tc>
          <w:tcPr>
            <w:tcW w:w="1215" w:type="dxa"/>
            <w:tcBorders>
              <w:top w:val="single" w:color="000000" w:sz="2" w:space="0"/>
              <w:left w:val="double" w:color="000000" w:sz="4" w:space="0"/>
              <w:bottom w:val="single" w:color="000000" w:sz="2" w:space="0"/>
              <w:right w:val="single" w:color="auto" w:sz="4" w:space="0"/>
            </w:tcBorders>
            <w:vAlign w:val="center"/>
          </w:tcPr>
          <w:p>
            <w:pPr>
              <w:jc w:val="center"/>
              <w:rPr>
                <w:szCs w:val="21"/>
              </w:rPr>
            </w:pPr>
            <w:r>
              <w:rPr>
                <w:szCs w:val="21"/>
              </w:rPr>
              <w:t>Pb</w:t>
            </w:r>
          </w:p>
        </w:tc>
        <w:tc>
          <w:tcPr>
            <w:tcW w:w="1209" w:type="dxa"/>
            <w:tcBorders>
              <w:top w:val="single" w:color="000000" w:sz="2" w:space="0"/>
              <w:left w:val="single" w:color="auto" w:sz="4" w:space="0"/>
              <w:bottom w:val="single" w:color="000000" w:sz="2" w:space="0"/>
              <w:right w:val="single" w:color="000000" w:sz="12" w:space="0"/>
            </w:tcBorders>
            <w:vAlign w:val="center"/>
          </w:tcPr>
          <w:p>
            <w:pPr>
              <w:jc w:val="center"/>
              <w:rPr>
                <w:szCs w:val="21"/>
              </w:rPr>
            </w:pPr>
            <w:r>
              <w:rPr>
                <w:szCs w:val="21"/>
              </w:rPr>
              <w:t>208</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Ex>
        <w:tc>
          <w:tcPr>
            <w:tcW w:w="1218" w:type="dxa"/>
            <w:tcBorders>
              <w:top w:val="single" w:color="000000" w:sz="2" w:space="0"/>
              <w:bottom w:val="single" w:color="000000" w:sz="2" w:space="0"/>
              <w:right w:val="single" w:color="auto" w:sz="4" w:space="0"/>
            </w:tcBorders>
            <w:vAlign w:val="center"/>
          </w:tcPr>
          <w:p>
            <w:pPr>
              <w:jc w:val="center"/>
              <w:rPr>
                <w:szCs w:val="21"/>
              </w:rPr>
            </w:pPr>
            <w:r>
              <w:rPr>
                <w:szCs w:val="21"/>
              </w:rPr>
              <w:t>V</w:t>
            </w:r>
          </w:p>
        </w:tc>
        <w:tc>
          <w:tcPr>
            <w:tcW w:w="1218"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51</w:t>
            </w:r>
          </w:p>
        </w:tc>
        <w:tc>
          <w:tcPr>
            <w:tcW w:w="1217"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Mo</w:t>
            </w:r>
          </w:p>
        </w:tc>
        <w:tc>
          <w:tcPr>
            <w:tcW w:w="1215"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97</w:t>
            </w:r>
          </w:p>
        </w:tc>
        <w:tc>
          <w:tcPr>
            <w:tcW w:w="1215"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Ho</w:t>
            </w:r>
          </w:p>
        </w:tc>
        <w:tc>
          <w:tcPr>
            <w:tcW w:w="1215" w:type="dxa"/>
            <w:tcBorders>
              <w:top w:val="single" w:color="000000" w:sz="2" w:space="0"/>
              <w:left w:val="single" w:color="auto" w:sz="4" w:space="0"/>
              <w:bottom w:val="single" w:color="000000" w:sz="2" w:space="0"/>
              <w:right w:val="double" w:color="000000" w:sz="4" w:space="0"/>
            </w:tcBorders>
            <w:vAlign w:val="center"/>
          </w:tcPr>
          <w:p>
            <w:pPr>
              <w:jc w:val="center"/>
              <w:rPr>
                <w:szCs w:val="21"/>
              </w:rPr>
            </w:pPr>
            <w:r>
              <w:rPr>
                <w:szCs w:val="21"/>
              </w:rPr>
              <w:t>165</w:t>
            </w:r>
          </w:p>
        </w:tc>
        <w:tc>
          <w:tcPr>
            <w:tcW w:w="1215" w:type="dxa"/>
            <w:tcBorders>
              <w:top w:val="single" w:color="000000" w:sz="2" w:space="0"/>
              <w:left w:val="double" w:color="000000" w:sz="4" w:space="0"/>
              <w:bottom w:val="single" w:color="000000" w:sz="2" w:space="0"/>
              <w:right w:val="single" w:color="auto" w:sz="4" w:space="0"/>
            </w:tcBorders>
            <w:vAlign w:val="center"/>
          </w:tcPr>
          <w:p>
            <w:pPr>
              <w:jc w:val="center"/>
              <w:rPr>
                <w:szCs w:val="21"/>
              </w:rPr>
            </w:pPr>
            <w:r>
              <w:rPr>
                <w:szCs w:val="21"/>
              </w:rPr>
              <w:t>Bi</w:t>
            </w:r>
          </w:p>
        </w:tc>
        <w:tc>
          <w:tcPr>
            <w:tcW w:w="1209" w:type="dxa"/>
            <w:tcBorders>
              <w:top w:val="single" w:color="000000" w:sz="2" w:space="0"/>
              <w:left w:val="single" w:color="auto" w:sz="4" w:space="0"/>
              <w:bottom w:val="single" w:color="000000" w:sz="2" w:space="0"/>
              <w:right w:val="single" w:color="000000" w:sz="12" w:space="0"/>
            </w:tcBorders>
            <w:vAlign w:val="center"/>
          </w:tcPr>
          <w:p>
            <w:pPr>
              <w:jc w:val="center"/>
              <w:rPr>
                <w:szCs w:val="21"/>
              </w:rPr>
            </w:pPr>
            <w:r>
              <w:rPr>
                <w:szCs w:val="21"/>
              </w:rPr>
              <w:t>209</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Ex>
        <w:tc>
          <w:tcPr>
            <w:tcW w:w="1218" w:type="dxa"/>
            <w:tcBorders>
              <w:top w:val="single" w:color="000000" w:sz="2" w:space="0"/>
              <w:bottom w:val="single" w:color="000000" w:sz="2" w:space="0"/>
              <w:right w:val="single" w:color="auto" w:sz="4" w:space="0"/>
            </w:tcBorders>
            <w:vAlign w:val="center"/>
          </w:tcPr>
          <w:p>
            <w:pPr>
              <w:jc w:val="center"/>
              <w:rPr>
                <w:szCs w:val="21"/>
              </w:rPr>
            </w:pPr>
            <w:r>
              <w:rPr>
                <w:szCs w:val="21"/>
              </w:rPr>
              <w:t>Cr</w:t>
            </w:r>
          </w:p>
        </w:tc>
        <w:tc>
          <w:tcPr>
            <w:tcW w:w="1218"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52</w:t>
            </w:r>
          </w:p>
        </w:tc>
        <w:tc>
          <w:tcPr>
            <w:tcW w:w="1217"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Ru</w:t>
            </w:r>
          </w:p>
        </w:tc>
        <w:tc>
          <w:tcPr>
            <w:tcW w:w="1215"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101</w:t>
            </w:r>
          </w:p>
        </w:tc>
        <w:tc>
          <w:tcPr>
            <w:tcW w:w="1215"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Er</w:t>
            </w:r>
          </w:p>
        </w:tc>
        <w:tc>
          <w:tcPr>
            <w:tcW w:w="1215" w:type="dxa"/>
            <w:tcBorders>
              <w:top w:val="single" w:color="000000" w:sz="2" w:space="0"/>
              <w:left w:val="single" w:color="auto" w:sz="4" w:space="0"/>
              <w:bottom w:val="single" w:color="000000" w:sz="2" w:space="0"/>
              <w:right w:val="double" w:color="000000" w:sz="4" w:space="0"/>
            </w:tcBorders>
            <w:vAlign w:val="center"/>
          </w:tcPr>
          <w:p>
            <w:pPr>
              <w:jc w:val="center"/>
              <w:rPr>
                <w:szCs w:val="21"/>
              </w:rPr>
            </w:pPr>
            <w:r>
              <w:rPr>
                <w:szCs w:val="21"/>
              </w:rPr>
              <w:t>166</w:t>
            </w:r>
          </w:p>
        </w:tc>
        <w:tc>
          <w:tcPr>
            <w:tcW w:w="1215" w:type="dxa"/>
            <w:tcBorders>
              <w:top w:val="single" w:color="000000" w:sz="2" w:space="0"/>
              <w:left w:val="double" w:color="000000" w:sz="4" w:space="0"/>
              <w:bottom w:val="single" w:color="000000" w:sz="2" w:space="0"/>
              <w:right w:val="single" w:color="auto" w:sz="4" w:space="0"/>
            </w:tcBorders>
            <w:vAlign w:val="center"/>
          </w:tcPr>
          <w:p>
            <w:pPr>
              <w:jc w:val="center"/>
              <w:rPr>
                <w:szCs w:val="21"/>
              </w:rPr>
            </w:pPr>
            <w:r>
              <w:rPr>
                <w:szCs w:val="21"/>
              </w:rPr>
              <w:t>Th</w:t>
            </w:r>
          </w:p>
        </w:tc>
        <w:tc>
          <w:tcPr>
            <w:tcW w:w="1209" w:type="dxa"/>
            <w:tcBorders>
              <w:top w:val="single" w:color="000000" w:sz="2" w:space="0"/>
              <w:left w:val="single" w:color="auto" w:sz="4" w:space="0"/>
              <w:bottom w:val="single" w:color="000000" w:sz="2" w:space="0"/>
              <w:right w:val="single" w:color="000000" w:sz="12" w:space="0"/>
            </w:tcBorders>
            <w:vAlign w:val="center"/>
          </w:tcPr>
          <w:p>
            <w:pPr>
              <w:jc w:val="center"/>
              <w:rPr>
                <w:szCs w:val="21"/>
              </w:rPr>
            </w:pPr>
            <w:r>
              <w:rPr>
                <w:szCs w:val="21"/>
              </w:rPr>
              <w:t>232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Ex>
        <w:tc>
          <w:tcPr>
            <w:tcW w:w="1218" w:type="dxa"/>
            <w:tcBorders>
              <w:top w:val="single" w:color="000000" w:sz="2" w:space="0"/>
              <w:bottom w:val="single" w:color="000000" w:sz="2" w:space="0"/>
              <w:right w:val="single" w:color="auto" w:sz="4" w:space="0"/>
            </w:tcBorders>
            <w:vAlign w:val="center"/>
          </w:tcPr>
          <w:p>
            <w:pPr>
              <w:jc w:val="center"/>
              <w:rPr>
                <w:szCs w:val="21"/>
              </w:rPr>
            </w:pPr>
            <w:r>
              <w:rPr>
                <w:szCs w:val="21"/>
              </w:rPr>
              <w:t>Mn</w:t>
            </w:r>
          </w:p>
        </w:tc>
        <w:tc>
          <w:tcPr>
            <w:tcW w:w="1218"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55</w:t>
            </w:r>
          </w:p>
        </w:tc>
        <w:tc>
          <w:tcPr>
            <w:tcW w:w="1217"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In</w:t>
            </w:r>
          </w:p>
        </w:tc>
        <w:tc>
          <w:tcPr>
            <w:tcW w:w="1215"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115</w:t>
            </w:r>
          </w:p>
        </w:tc>
        <w:tc>
          <w:tcPr>
            <w:tcW w:w="1215"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Tm</w:t>
            </w:r>
          </w:p>
        </w:tc>
        <w:tc>
          <w:tcPr>
            <w:tcW w:w="1215" w:type="dxa"/>
            <w:tcBorders>
              <w:top w:val="single" w:color="000000" w:sz="2" w:space="0"/>
              <w:left w:val="single" w:color="auto" w:sz="4" w:space="0"/>
              <w:bottom w:val="single" w:color="000000" w:sz="2" w:space="0"/>
              <w:right w:val="double" w:color="000000" w:sz="4" w:space="0"/>
            </w:tcBorders>
            <w:vAlign w:val="center"/>
          </w:tcPr>
          <w:p>
            <w:pPr>
              <w:jc w:val="center"/>
              <w:rPr>
                <w:szCs w:val="21"/>
              </w:rPr>
            </w:pPr>
            <w:r>
              <w:rPr>
                <w:szCs w:val="21"/>
              </w:rPr>
              <w:t>169</w:t>
            </w:r>
          </w:p>
        </w:tc>
        <w:tc>
          <w:tcPr>
            <w:tcW w:w="1215" w:type="dxa"/>
            <w:tcBorders>
              <w:top w:val="single" w:color="000000" w:sz="2" w:space="0"/>
              <w:left w:val="double" w:color="000000" w:sz="4" w:space="0"/>
              <w:bottom w:val="single" w:color="000000" w:sz="2" w:space="0"/>
              <w:right w:val="single" w:color="auto" w:sz="4" w:space="0"/>
            </w:tcBorders>
            <w:vAlign w:val="center"/>
          </w:tcPr>
          <w:p>
            <w:pPr>
              <w:jc w:val="center"/>
              <w:rPr>
                <w:szCs w:val="21"/>
              </w:rPr>
            </w:pPr>
            <w:r>
              <w:rPr>
                <w:szCs w:val="21"/>
              </w:rPr>
              <w:t>U</w:t>
            </w:r>
          </w:p>
        </w:tc>
        <w:tc>
          <w:tcPr>
            <w:tcW w:w="1209" w:type="dxa"/>
            <w:tcBorders>
              <w:top w:val="single" w:color="000000" w:sz="2" w:space="0"/>
              <w:left w:val="single" w:color="auto" w:sz="4" w:space="0"/>
              <w:bottom w:val="single" w:color="000000" w:sz="2" w:space="0"/>
              <w:right w:val="single" w:color="000000" w:sz="12" w:space="0"/>
            </w:tcBorders>
            <w:vAlign w:val="center"/>
          </w:tcPr>
          <w:p>
            <w:pPr>
              <w:jc w:val="center"/>
              <w:rPr>
                <w:szCs w:val="21"/>
              </w:rPr>
            </w:pPr>
            <w:r>
              <w:rPr>
                <w:szCs w:val="21"/>
              </w:rPr>
              <w:t>238</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Ex>
        <w:tc>
          <w:tcPr>
            <w:tcW w:w="1218" w:type="dxa"/>
            <w:tcBorders>
              <w:top w:val="single" w:color="000000" w:sz="2" w:space="0"/>
              <w:bottom w:val="single" w:color="000000" w:sz="2" w:space="0"/>
              <w:right w:val="single" w:color="auto" w:sz="4" w:space="0"/>
            </w:tcBorders>
            <w:vAlign w:val="center"/>
          </w:tcPr>
          <w:p>
            <w:pPr>
              <w:jc w:val="center"/>
              <w:rPr>
                <w:szCs w:val="21"/>
              </w:rPr>
            </w:pPr>
            <w:r>
              <w:rPr>
                <w:szCs w:val="21"/>
              </w:rPr>
              <w:t>Fe</w:t>
            </w:r>
          </w:p>
        </w:tc>
        <w:tc>
          <w:tcPr>
            <w:tcW w:w="1218"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56</w:t>
            </w:r>
          </w:p>
        </w:tc>
        <w:tc>
          <w:tcPr>
            <w:tcW w:w="1217"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Sn</w:t>
            </w:r>
          </w:p>
        </w:tc>
        <w:tc>
          <w:tcPr>
            <w:tcW w:w="1215" w:type="dxa"/>
            <w:tcBorders>
              <w:top w:val="single" w:color="000000" w:sz="2" w:space="0"/>
              <w:left w:val="single" w:color="auto" w:sz="4" w:space="0"/>
              <w:bottom w:val="single" w:color="000000" w:sz="2" w:space="0"/>
              <w:right w:val="single" w:color="auto" w:sz="4" w:space="0"/>
            </w:tcBorders>
            <w:vAlign w:val="center"/>
          </w:tcPr>
          <w:p>
            <w:pPr>
              <w:jc w:val="center"/>
              <w:rPr>
                <w:szCs w:val="21"/>
              </w:rPr>
            </w:pPr>
            <w:r>
              <w:rPr>
                <w:szCs w:val="21"/>
              </w:rPr>
              <w:t>119</w:t>
            </w:r>
          </w:p>
        </w:tc>
        <w:tc>
          <w:tcPr>
            <w:tcW w:w="1215" w:type="dxa"/>
            <w:tcBorders>
              <w:top w:val="single" w:color="000000" w:sz="2" w:space="0"/>
              <w:left w:val="double" w:color="auto" w:sz="4" w:space="0"/>
              <w:bottom w:val="single" w:color="000000" w:sz="2" w:space="0"/>
              <w:right w:val="single" w:color="auto" w:sz="4" w:space="0"/>
            </w:tcBorders>
            <w:vAlign w:val="center"/>
          </w:tcPr>
          <w:p>
            <w:pPr>
              <w:jc w:val="center"/>
              <w:rPr>
                <w:szCs w:val="21"/>
              </w:rPr>
            </w:pPr>
            <w:r>
              <w:rPr>
                <w:szCs w:val="21"/>
              </w:rPr>
              <w:t>Yb</w:t>
            </w:r>
          </w:p>
        </w:tc>
        <w:tc>
          <w:tcPr>
            <w:tcW w:w="1215" w:type="dxa"/>
            <w:tcBorders>
              <w:top w:val="single" w:color="000000" w:sz="2" w:space="0"/>
              <w:left w:val="single" w:color="auto" w:sz="4" w:space="0"/>
              <w:bottom w:val="single" w:color="000000" w:sz="2" w:space="0"/>
              <w:right w:val="double" w:color="000000" w:sz="4" w:space="0"/>
            </w:tcBorders>
            <w:vAlign w:val="center"/>
          </w:tcPr>
          <w:p>
            <w:pPr>
              <w:jc w:val="center"/>
              <w:rPr>
                <w:szCs w:val="21"/>
              </w:rPr>
            </w:pPr>
            <w:r>
              <w:rPr>
                <w:szCs w:val="21"/>
              </w:rPr>
              <w:t>172</w:t>
            </w:r>
          </w:p>
        </w:tc>
        <w:tc>
          <w:tcPr>
            <w:tcW w:w="1215" w:type="dxa"/>
            <w:tcBorders>
              <w:top w:val="single" w:color="000000" w:sz="2" w:space="0"/>
              <w:left w:val="double" w:color="000000" w:sz="4" w:space="0"/>
              <w:bottom w:val="single" w:color="000000" w:sz="2" w:space="0"/>
              <w:right w:val="single" w:color="auto" w:sz="4" w:space="0"/>
            </w:tcBorders>
            <w:vAlign w:val="center"/>
          </w:tcPr>
          <w:p>
            <w:pPr>
              <w:jc w:val="center"/>
              <w:rPr>
                <w:szCs w:val="21"/>
              </w:rPr>
            </w:pPr>
            <w:r>
              <w:rPr>
                <w:rFonts w:hint="eastAsia"/>
                <w:szCs w:val="21"/>
              </w:rPr>
              <w:t>-</w:t>
            </w:r>
          </w:p>
        </w:tc>
        <w:tc>
          <w:tcPr>
            <w:tcW w:w="1209" w:type="dxa"/>
            <w:tcBorders>
              <w:top w:val="single" w:color="000000" w:sz="2" w:space="0"/>
              <w:left w:val="single" w:color="auto" w:sz="4" w:space="0"/>
              <w:bottom w:val="single" w:color="000000" w:sz="2" w:space="0"/>
              <w:right w:val="single" w:color="000000" w:sz="12" w:space="0"/>
            </w:tcBorders>
            <w:vAlign w:val="center"/>
          </w:tcPr>
          <w:p>
            <w:pPr>
              <w:jc w:val="center"/>
              <w:rPr>
                <w:szCs w:val="21"/>
              </w:rPr>
            </w:pPr>
            <w:r>
              <w:rPr>
                <w:rFonts w:hint="eastAsia"/>
                <w:szCs w:val="21"/>
              </w:rPr>
              <w:t>-</w:t>
            </w:r>
          </w:p>
        </w:tc>
      </w:tr>
    </w:tbl>
    <w:p>
      <w:pPr>
        <w:pStyle w:val="120"/>
        <w:tabs>
          <w:tab w:val="clear" w:pos="675"/>
        </w:tabs>
        <w:spacing w:before="312" w:afterLines="0" w:line="300" w:lineRule="auto"/>
        <w:ind w:left="0" w:firstLine="0"/>
        <w:rPr>
          <w:rFonts w:hAnsi="黑体"/>
        </w:rPr>
      </w:pPr>
      <w:r>
        <w:rPr>
          <w:rFonts w:hint="eastAsia" w:hAnsi="黑体"/>
        </w:rPr>
        <w:t>7、 精密度</w:t>
      </w:r>
    </w:p>
    <w:p>
      <w:pPr>
        <w:spacing w:line="300" w:lineRule="auto"/>
      </w:pPr>
      <w:r>
        <w:rPr>
          <w:rFonts w:hint="eastAsia"/>
        </w:rPr>
        <w:tab/>
      </w:r>
      <w:r>
        <w:rPr>
          <w:rFonts w:hint="eastAsia"/>
        </w:rPr>
        <w:t>本标准的</w:t>
      </w:r>
      <w:r>
        <w:t>公共样品</w:t>
      </w:r>
      <w:r>
        <w:rPr>
          <w:rFonts w:hint="eastAsia"/>
        </w:rPr>
        <w:t>为3个</w:t>
      </w:r>
      <w:r>
        <w:t>高纯锆锭</w:t>
      </w:r>
      <w:r>
        <w:rPr>
          <w:rFonts w:hint="eastAsia"/>
        </w:rPr>
        <w:t>，</w:t>
      </w:r>
      <w:r>
        <w:t>63</w:t>
      </w:r>
      <w:r>
        <w:rPr>
          <w:rFonts w:hint="eastAsia"/>
        </w:rPr>
        <w:t>个杂质元素平行</w:t>
      </w:r>
      <w:r>
        <w:t>测定</w:t>
      </w:r>
      <w:r>
        <w:rPr>
          <w:rFonts w:hint="eastAsia"/>
        </w:rPr>
        <w:t>7次，测定数据较多。为</w:t>
      </w:r>
      <w:r>
        <w:t>方便统计，且使</w:t>
      </w:r>
      <w:r>
        <w:rPr>
          <w:rFonts w:hint="eastAsia"/>
        </w:rPr>
        <w:t>统计</w:t>
      </w:r>
      <w:r>
        <w:t>数据具有代表性，</w:t>
      </w:r>
      <w:r>
        <w:rPr>
          <w:rFonts w:hint="eastAsia"/>
        </w:rPr>
        <w:t>将</w:t>
      </w:r>
      <w:r>
        <w:t>测定范围</w:t>
      </w:r>
      <w:r>
        <w:rPr>
          <w:rFonts w:hint="eastAsia"/>
        </w:rPr>
        <w:t>划分</w:t>
      </w:r>
      <w:r>
        <w:t>为四个</w:t>
      </w:r>
      <w:r>
        <w:rPr>
          <w:rFonts w:hint="eastAsia"/>
        </w:rPr>
        <w:t>水平，并对</w:t>
      </w:r>
      <w:r>
        <w:t>代表性</w:t>
      </w:r>
      <w:r>
        <w:rPr>
          <w:rFonts w:hint="eastAsia"/>
        </w:rPr>
        <w:t>数据进行分析。数据分别见表</w:t>
      </w:r>
      <w:r>
        <w:t>5</w:t>
      </w:r>
      <w:r>
        <w:rPr>
          <w:rFonts w:hint="eastAsia"/>
        </w:rPr>
        <w:t>~表</w:t>
      </w:r>
      <w:r>
        <w:t>25</w:t>
      </w:r>
      <w:r>
        <w:rPr>
          <w:rFonts w:hint="eastAsia"/>
        </w:rPr>
        <w:t>。</w:t>
      </w:r>
    </w:p>
    <w:p>
      <w:pPr>
        <w:spacing w:line="300" w:lineRule="auto"/>
        <w:jc w:val="center"/>
      </w:pPr>
      <w:bookmarkStart w:id="2" w:name="_GoBack"/>
      <w:bookmarkEnd w:id="2"/>
    </w:p>
    <w:p>
      <w:pPr>
        <w:spacing w:line="300" w:lineRule="auto"/>
        <w:jc w:val="center"/>
      </w:pPr>
      <w:r>
        <w:rPr>
          <w:rFonts w:hint="eastAsia"/>
        </w:rPr>
        <w:t>表</w:t>
      </w:r>
      <w:r>
        <w:t>5</w:t>
      </w:r>
      <w:r>
        <w:rPr>
          <w:rFonts w:hint="eastAsia"/>
        </w:rPr>
        <w:t xml:space="preserve"> 高纯锆</w:t>
      </w:r>
      <w:r>
        <w:t>1</w:t>
      </w:r>
      <w:r>
        <w:rPr>
          <w:rFonts w:hint="eastAsia"/>
        </w:rPr>
        <w:t>#样品</w:t>
      </w:r>
      <w:r>
        <w:t>Ni</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0.250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0.263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0.259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0.247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0.208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0.256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0.195</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0.240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11.2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0.344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0.246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0.190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0.308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0.340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0.271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0.356</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0.294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20.7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0.443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0.457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0.520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0.483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0.466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0.418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0.462</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0.464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6.9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0.200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0.240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0.230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0.220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0.220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0.230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0.250</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0.227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7.1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0.304</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0.322</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0.345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0.360</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0.318</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0.360</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0.329</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0.334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6.5 </w:t>
            </w:r>
          </w:p>
        </w:tc>
      </w:tr>
    </w:tbl>
    <w:p>
      <w:pPr>
        <w:spacing w:line="300" w:lineRule="auto"/>
        <w:jc w:val="center"/>
      </w:pPr>
    </w:p>
    <w:p>
      <w:pPr>
        <w:spacing w:line="300" w:lineRule="auto"/>
        <w:jc w:val="center"/>
      </w:pPr>
      <w:r>
        <w:rPr>
          <w:rFonts w:hint="eastAsia"/>
        </w:rPr>
        <w:t>表</w:t>
      </w:r>
      <w:r>
        <w:t>6</w:t>
      </w:r>
      <w:r>
        <w:rPr>
          <w:rFonts w:hint="eastAsia"/>
        </w:rPr>
        <w:t xml:space="preserve"> 高纯锆</w:t>
      </w:r>
      <w:r>
        <w:t>1</w:t>
      </w:r>
      <w:r>
        <w:rPr>
          <w:rFonts w:hint="eastAsia"/>
        </w:rPr>
        <w:t>#样品</w:t>
      </w:r>
      <w:r>
        <w:t>Cu</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0.239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0.193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0.189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0.197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0.219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0.156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0.186</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0.197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13.3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0.182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0.181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0.203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0.205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0.202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0.193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0.222</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0.198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7.2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0.380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0.356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0.324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0.281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0.308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0.329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0.359</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0.334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10.1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0.170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0.166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0.141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0.151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0.239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0.238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0.165</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0.181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22.2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0.289</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0.316</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0.309</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0.269</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0.293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0.306</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0.274</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0.294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6.1 </w:t>
            </w:r>
          </w:p>
        </w:tc>
      </w:tr>
    </w:tbl>
    <w:p>
      <w:pPr>
        <w:spacing w:line="300" w:lineRule="auto"/>
        <w:jc w:val="center"/>
      </w:pPr>
    </w:p>
    <w:p>
      <w:pPr>
        <w:spacing w:line="300" w:lineRule="auto"/>
        <w:jc w:val="center"/>
      </w:pPr>
      <w:r>
        <w:rPr>
          <w:rFonts w:hint="eastAsia"/>
        </w:rPr>
        <w:t>表</w:t>
      </w:r>
      <w:r>
        <w:t>7</w:t>
      </w:r>
      <w:r>
        <w:rPr>
          <w:rFonts w:hint="eastAsia"/>
        </w:rPr>
        <w:t xml:space="preserve"> 高纯锆</w:t>
      </w:r>
      <w:r>
        <w:t>2</w:t>
      </w:r>
      <w:r>
        <w:rPr>
          <w:rFonts w:hint="eastAsia"/>
        </w:rPr>
        <w:t>#样品</w:t>
      </w:r>
      <w:r>
        <w:t>Ni</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0.082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0.076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0.067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0.056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0.063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0.065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0.060</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0.067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13.7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0.069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0.117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0.165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0.129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0.108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0.151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0.120</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0.123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25.3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0.153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0.139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0.118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0.137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0.134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0.148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0.120</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0.136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9.6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0.100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0.097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0.056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0.091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0.086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0.063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0.056</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0.078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24.8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0.097</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0.065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0.121</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0.130</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0.118</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0.128</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0.090</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0.107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 xml:space="preserve">22.4 </w:t>
            </w:r>
          </w:p>
        </w:tc>
      </w:tr>
    </w:tbl>
    <w:p>
      <w:pPr>
        <w:spacing w:line="300" w:lineRule="auto"/>
        <w:jc w:val="center"/>
      </w:pPr>
    </w:p>
    <w:p>
      <w:pPr>
        <w:spacing w:line="300" w:lineRule="auto"/>
        <w:jc w:val="center"/>
      </w:pPr>
    </w:p>
    <w:p>
      <w:pPr>
        <w:spacing w:line="300" w:lineRule="auto"/>
        <w:jc w:val="center"/>
      </w:pPr>
      <w:r>
        <w:rPr>
          <w:rFonts w:hint="eastAsia"/>
        </w:rPr>
        <w:t>表</w:t>
      </w:r>
      <w:r>
        <w:t>8</w:t>
      </w:r>
      <w:r>
        <w:rPr>
          <w:rFonts w:hint="eastAsia"/>
        </w:rPr>
        <w:t xml:space="preserve"> 高纯锆</w:t>
      </w:r>
      <w:r>
        <w:t>2</w:t>
      </w:r>
      <w:r>
        <w:rPr>
          <w:rFonts w:hint="eastAsia"/>
        </w:rPr>
        <w:t>#样品</w:t>
      </w:r>
      <w:r>
        <w:t>Cl</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0.118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0.097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0.087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0.092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0.095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0.077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0.073</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0.091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16.5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0.108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0.091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0.117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0.106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0.144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0.103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0.086</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0.108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17.5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0.118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0.089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0.101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0.083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0.091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0.089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0.078</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0.093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14.3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0.059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0.092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0.056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0.042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0.034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0.085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0.054</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0.060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35.2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0.177</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0.153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0.155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0.124</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0.098</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0.098</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0.096</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0.129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25.8 </w:t>
            </w:r>
          </w:p>
        </w:tc>
      </w:tr>
    </w:tbl>
    <w:p>
      <w:pPr>
        <w:spacing w:line="300" w:lineRule="auto"/>
        <w:jc w:val="center"/>
      </w:pPr>
    </w:p>
    <w:p>
      <w:pPr>
        <w:spacing w:line="300" w:lineRule="auto"/>
        <w:jc w:val="center"/>
      </w:pPr>
      <w:r>
        <w:rPr>
          <w:rFonts w:hint="eastAsia"/>
        </w:rPr>
        <w:t>表</w:t>
      </w:r>
      <w:r>
        <w:t>9</w:t>
      </w:r>
      <w:r>
        <w:rPr>
          <w:rFonts w:hint="eastAsia"/>
        </w:rPr>
        <w:t xml:space="preserve"> 高纯锆3#样品</w:t>
      </w:r>
      <w:r>
        <w:t>Co</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30"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RSD/%</w:t>
            </w:r>
          </w:p>
        </w:tc>
      </w:tr>
      <w:tr>
        <w:tblPrEx>
          <w:tblLayout w:type="fixed"/>
          <w:tblCellMar>
            <w:top w:w="0" w:type="dxa"/>
            <w:left w:w="108" w:type="dxa"/>
            <w:bottom w:w="0" w:type="dxa"/>
            <w:right w:w="108" w:type="dxa"/>
          </w:tblCellMar>
        </w:tblPrEx>
        <w:trPr>
          <w:trHeight w:val="300"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0.107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0.098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0.090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0.096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0.088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0.099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0.080</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0.094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9.5 </w:t>
            </w:r>
          </w:p>
        </w:tc>
      </w:tr>
      <w:tr>
        <w:tblPrEx>
          <w:tblLayout w:type="fixed"/>
          <w:tblCellMar>
            <w:top w:w="0" w:type="dxa"/>
            <w:left w:w="108" w:type="dxa"/>
            <w:bottom w:w="0" w:type="dxa"/>
            <w:right w:w="108" w:type="dxa"/>
          </w:tblCellMar>
        </w:tblPrEx>
        <w:trPr>
          <w:trHeight w:val="300"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0.077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0.075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0.062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0.070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0.064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0.053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0.048</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0.064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16.9 </w:t>
            </w:r>
          </w:p>
        </w:tc>
      </w:tr>
      <w:tr>
        <w:tblPrEx>
          <w:tblLayout w:type="fixed"/>
          <w:tblCellMar>
            <w:top w:w="0" w:type="dxa"/>
            <w:left w:w="108" w:type="dxa"/>
            <w:bottom w:w="0" w:type="dxa"/>
            <w:right w:w="108" w:type="dxa"/>
          </w:tblCellMar>
        </w:tblPrEx>
        <w:trPr>
          <w:trHeight w:val="300"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0.119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0.110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0.100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0.101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0.100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0.121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0.111</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0.109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8.2 </w:t>
            </w:r>
          </w:p>
        </w:tc>
      </w:tr>
      <w:tr>
        <w:tblPrEx>
          <w:tblLayout w:type="fixed"/>
          <w:tblCellMar>
            <w:top w:w="0" w:type="dxa"/>
            <w:left w:w="108" w:type="dxa"/>
            <w:bottom w:w="0" w:type="dxa"/>
            <w:right w:w="108" w:type="dxa"/>
          </w:tblCellMar>
        </w:tblPrEx>
        <w:trPr>
          <w:trHeight w:val="300"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0.115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0.119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0.135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0.148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0.120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0.117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0.125</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0.126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9.5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0.101</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0.115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0.112</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0.101</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0.106</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0.106</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0.097</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0.105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6.1 </w:t>
            </w:r>
          </w:p>
        </w:tc>
      </w:tr>
    </w:tbl>
    <w:p>
      <w:pPr>
        <w:spacing w:line="300" w:lineRule="auto"/>
        <w:jc w:val="center"/>
      </w:pPr>
    </w:p>
    <w:p>
      <w:pPr>
        <w:spacing w:line="300" w:lineRule="auto"/>
        <w:jc w:val="center"/>
      </w:pPr>
    </w:p>
    <w:p>
      <w:pPr>
        <w:spacing w:line="300" w:lineRule="auto"/>
        <w:jc w:val="center"/>
      </w:pPr>
      <w:r>
        <w:rPr>
          <w:rFonts w:hint="eastAsia"/>
        </w:rPr>
        <w:t>表</w:t>
      </w:r>
      <w:r>
        <w:t>10</w:t>
      </w:r>
      <w:r>
        <w:rPr>
          <w:rFonts w:hint="eastAsia"/>
        </w:rPr>
        <w:t xml:space="preserve"> 高纯锆</w:t>
      </w:r>
      <w:r>
        <w:t>2</w:t>
      </w:r>
      <w:r>
        <w:rPr>
          <w:rFonts w:hint="eastAsia"/>
        </w:rPr>
        <w:t>#样品</w:t>
      </w:r>
      <w:r>
        <w:t>Fe</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0.480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0.393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0.453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0.465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0.449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0.433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0.428</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0.443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6.4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0.460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0.459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0.372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0.470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0.468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0.426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0.358</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0.430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10.9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0.685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0.697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0.813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0.712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0.705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0.715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0.714</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0.720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5.9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0.625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0.500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0.433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0.431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0.366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0.336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0.334</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0.432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24.1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0.573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0.628</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0.582</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0.614</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0.562</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0.583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0.571</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0.588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4.1 </w:t>
            </w:r>
          </w:p>
        </w:tc>
      </w:tr>
    </w:tbl>
    <w:p>
      <w:pPr>
        <w:spacing w:line="300" w:lineRule="auto"/>
        <w:jc w:val="center"/>
      </w:pPr>
    </w:p>
    <w:p>
      <w:pPr>
        <w:spacing w:line="300" w:lineRule="auto"/>
        <w:jc w:val="center"/>
      </w:pPr>
      <w:r>
        <w:rPr>
          <w:rFonts w:hint="eastAsia"/>
        </w:rPr>
        <w:t>表</w:t>
      </w:r>
      <w:r>
        <w:t>11</w:t>
      </w:r>
      <w:r>
        <w:rPr>
          <w:rFonts w:hint="eastAsia"/>
        </w:rPr>
        <w:t xml:space="preserve"> 高纯锆3#样品</w:t>
      </w:r>
      <w:r>
        <w:t>Zn</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0.379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0.330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0.330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0.372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0.245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0.309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0.247</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0.316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17.0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0.506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0.685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0.494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0.347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0.478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0.479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0.310</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0.471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25.8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0.451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0.470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0.511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0.519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0.511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0.463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0.438</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0.480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6.8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0.531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0.305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0.381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0.302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0.473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0.376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0.209</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0.368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29.6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0.403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0.433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0.407</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0.348</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0.315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0.401</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0.345</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0.379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11.3 </w:t>
            </w:r>
          </w:p>
        </w:tc>
      </w:tr>
    </w:tbl>
    <w:p>
      <w:pPr>
        <w:spacing w:line="300" w:lineRule="auto"/>
        <w:jc w:val="center"/>
      </w:pPr>
    </w:p>
    <w:p>
      <w:pPr>
        <w:spacing w:line="300" w:lineRule="auto"/>
        <w:jc w:val="center"/>
      </w:pPr>
      <w:r>
        <w:rPr>
          <w:rFonts w:hint="eastAsia"/>
        </w:rPr>
        <w:t>表</w:t>
      </w:r>
      <w:r>
        <w:t>12</w:t>
      </w:r>
      <w:r>
        <w:rPr>
          <w:rFonts w:hint="eastAsia"/>
        </w:rPr>
        <w:t xml:space="preserve"> 高纯锆3#样品</w:t>
      </w:r>
      <w:r>
        <w:t>Mo</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0.487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0.355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0.438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0.322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0.373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0.347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0.342</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0.381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15.7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0.625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0.476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0.438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0.474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0.435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0.424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0.504</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0.482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14.3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0.415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0.452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0.577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0.512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0.577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0.464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0.425</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0.489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13.9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0.417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0.476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0.484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0.465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0.469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0.369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0.494</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0.453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9.8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0.643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0.577</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0.608</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0.662</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0.665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0.601</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0.669</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0.632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5.8 </w:t>
            </w:r>
          </w:p>
        </w:tc>
      </w:tr>
    </w:tbl>
    <w:p>
      <w:pPr>
        <w:spacing w:line="300" w:lineRule="auto"/>
        <w:jc w:val="center"/>
      </w:pPr>
    </w:p>
    <w:p>
      <w:pPr>
        <w:spacing w:line="300" w:lineRule="auto"/>
        <w:jc w:val="center"/>
      </w:pPr>
      <w:r>
        <w:rPr>
          <w:rFonts w:hint="eastAsia"/>
        </w:rPr>
        <w:t>表</w:t>
      </w:r>
      <w:r>
        <w:t>13</w:t>
      </w:r>
      <w:r>
        <w:rPr>
          <w:rFonts w:hint="eastAsia"/>
        </w:rPr>
        <w:t xml:space="preserve"> 高纯锆</w:t>
      </w:r>
      <w:r>
        <w:t>1</w:t>
      </w:r>
      <w:r>
        <w:rPr>
          <w:rFonts w:hint="eastAsia"/>
        </w:rPr>
        <w:t>#样品</w:t>
      </w:r>
      <w:r>
        <w:t>Si</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1.43</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1.33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4.8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1.49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1.47</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1.55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4.1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3.38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3.01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3.12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3.15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3.09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3.01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3.14</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3.13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4.0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2.15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2.16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2.10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1.93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1.86</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1.99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7.0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2.31</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2.14</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2.30</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2.27</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2.09</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2.20</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2.16</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2.21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3.8 </w:t>
            </w:r>
          </w:p>
        </w:tc>
      </w:tr>
    </w:tbl>
    <w:p>
      <w:pPr>
        <w:spacing w:line="300" w:lineRule="auto"/>
        <w:jc w:val="center"/>
      </w:pPr>
    </w:p>
    <w:p>
      <w:pPr>
        <w:spacing w:line="300" w:lineRule="auto"/>
        <w:jc w:val="center"/>
      </w:pPr>
    </w:p>
    <w:p>
      <w:pPr>
        <w:spacing w:line="300" w:lineRule="auto"/>
        <w:jc w:val="center"/>
      </w:pPr>
      <w:r>
        <w:rPr>
          <w:rFonts w:hint="eastAsia"/>
        </w:rPr>
        <w:t>表</w:t>
      </w:r>
      <w:r>
        <w:t>14</w:t>
      </w:r>
      <w:r>
        <w:rPr>
          <w:rFonts w:hint="eastAsia"/>
        </w:rPr>
        <w:t xml:space="preserve"> 高纯锆</w:t>
      </w:r>
      <w:r>
        <w:t>1</w:t>
      </w:r>
      <w:r>
        <w:rPr>
          <w:rFonts w:hint="eastAsia"/>
        </w:rPr>
        <w:t>#样品</w:t>
      </w:r>
      <w:r>
        <w:t>Fe</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3.28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3.18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2.99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2.83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2.95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3.08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3.15</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3.07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5.0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2.65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2.78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2.57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2.71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2.58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2.69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2.76</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2.68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3.0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6.20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6.09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6.33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6.33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6.72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6.09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6.33</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6.30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3.4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3.04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2.95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2.96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2.95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3.01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2.92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2.90</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2.96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1.6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4.22</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4.24</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4.37</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4.43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4.14</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4.31</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4.24</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4.28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2.3 </w:t>
            </w:r>
          </w:p>
        </w:tc>
      </w:tr>
    </w:tbl>
    <w:p>
      <w:pPr>
        <w:spacing w:line="300" w:lineRule="auto"/>
        <w:jc w:val="center"/>
      </w:pPr>
    </w:p>
    <w:p>
      <w:pPr>
        <w:spacing w:line="300" w:lineRule="auto"/>
        <w:jc w:val="center"/>
      </w:pPr>
    </w:p>
    <w:p>
      <w:pPr>
        <w:spacing w:line="300" w:lineRule="auto"/>
        <w:jc w:val="center"/>
      </w:pPr>
      <w:r>
        <w:rPr>
          <w:rFonts w:hint="eastAsia"/>
        </w:rPr>
        <w:t>表</w:t>
      </w:r>
      <w:r>
        <w:t>15</w:t>
      </w:r>
      <w:r>
        <w:rPr>
          <w:rFonts w:hint="eastAsia"/>
        </w:rPr>
        <w:t xml:space="preserve"> 高纯锆</w:t>
      </w:r>
      <w:r>
        <w:t>1</w:t>
      </w:r>
      <w:r>
        <w:rPr>
          <w:rFonts w:hint="eastAsia"/>
        </w:rPr>
        <w:t>#样品</w:t>
      </w:r>
      <w:r>
        <w:t>Mo</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1.36</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1.36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9.0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1.45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1.35</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1.31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7.9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2.39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2.55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2.47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2.46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2.30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2.26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2.26</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2.38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4.8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1.18</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1.27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6.3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1.95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2.13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2.07</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2.14</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2.16</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2.04</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2.14</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2.09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3.7 </w:t>
            </w:r>
          </w:p>
        </w:tc>
      </w:tr>
    </w:tbl>
    <w:p>
      <w:pPr>
        <w:spacing w:line="300" w:lineRule="auto"/>
        <w:jc w:val="center"/>
      </w:pPr>
    </w:p>
    <w:p>
      <w:pPr>
        <w:spacing w:line="300" w:lineRule="auto"/>
        <w:jc w:val="center"/>
      </w:pPr>
      <w:r>
        <w:rPr>
          <w:rFonts w:hint="eastAsia"/>
        </w:rPr>
        <w:t>表</w:t>
      </w:r>
      <w:r>
        <w:t>16</w:t>
      </w:r>
      <w:r>
        <w:rPr>
          <w:rFonts w:hint="eastAsia"/>
        </w:rPr>
        <w:t xml:space="preserve"> 高纯锆</w:t>
      </w:r>
      <w:r>
        <w:t>2</w:t>
      </w:r>
      <w:r>
        <w:rPr>
          <w:rFonts w:hint="eastAsia"/>
        </w:rPr>
        <w:t>#样品</w:t>
      </w:r>
      <w:r>
        <w:t>Si</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2.11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1.72</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1.85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8.6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1.55</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1.62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4.0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1.94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1.95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2.02</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1.86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5.6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1.92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1.79</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1.75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9.0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2.09</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2.12</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2.08</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2.10</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2.10</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2.13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2.06</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2.10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1.1 </w:t>
            </w:r>
          </w:p>
        </w:tc>
      </w:tr>
    </w:tbl>
    <w:p>
      <w:pPr>
        <w:spacing w:line="300" w:lineRule="auto"/>
        <w:jc w:val="center"/>
      </w:pPr>
    </w:p>
    <w:p>
      <w:pPr>
        <w:spacing w:line="300" w:lineRule="auto"/>
        <w:jc w:val="center"/>
      </w:pPr>
      <w:r>
        <w:rPr>
          <w:rFonts w:hint="eastAsia"/>
        </w:rPr>
        <w:t>表</w:t>
      </w:r>
      <w:r>
        <w:t xml:space="preserve">17 </w:t>
      </w:r>
      <w:r>
        <w:rPr>
          <w:rFonts w:hint="eastAsia"/>
        </w:rPr>
        <w:t>高纯锆</w:t>
      </w:r>
      <w:r>
        <w:t>2</w:t>
      </w:r>
      <w:r>
        <w:rPr>
          <w:rFonts w:hint="eastAsia"/>
        </w:rPr>
        <w:t>#样品</w:t>
      </w:r>
      <w:r>
        <w:t>Mo</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3.36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3.79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3.24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3.08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2.89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2.58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2.65</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3.08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13.7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2.84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2.82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2.62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2.74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2.49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2.41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2.65</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2.65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6.1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4.20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4.23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4.44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4.38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4.48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4.55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4.65</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4.42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3.7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3.24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2.90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2.92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2.97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2.88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2.98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2.78</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2.95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4.8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4.05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4.20</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3.96</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4.15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4.07</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4.00</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4.01</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4.06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2.1 </w:t>
            </w:r>
          </w:p>
        </w:tc>
      </w:tr>
    </w:tbl>
    <w:p>
      <w:pPr>
        <w:spacing w:line="300" w:lineRule="auto"/>
        <w:jc w:val="center"/>
      </w:pPr>
    </w:p>
    <w:p>
      <w:pPr>
        <w:spacing w:line="300" w:lineRule="auto"/>
        <w:jc w:val="center"/>
      </w:pPr>
      <w:r>
        <w:rPr>
          <w:rFonts w:hint="eastAsia"/>
        </w:rPr>
        <w:t>表</w:t>
      </w:r>
      <w:r>
        <w:t xml:space="preserve">18 </w:t>
      </w:r>
      <w:r>
        <w:rPr>
          <w:rFonts w:hint="eastAsia"/>
        </w:rPr>
        <w:t>高纯锆</w:t>
      </w:r>
      <w:r>
        <w:t>3</w:t>
      </w:r>
      <w:r>
        <w:rPr>
          <w:rFonts w:hint="eastAsia"/>
        </w:rPr>
        <w:t>#样品</w:t>
      </w:r>
      <w:r>
        <w:t>Mg</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1.97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1.91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2.11</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1.93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6.3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1.48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1.51</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1.58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4.2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1.62</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1.66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4.2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1.79</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1.79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4.1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2.87</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3.23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3.01</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3.00</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2.93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2.84</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2.73</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2.94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5.4 </w:t>
            </w:r>
          </w:p>
        </w:tc>
      </w:tr>
    </w:tbl>
    <w:p>
      <w:pPr>
        <w:spacing w:line="300" w:lineRule="auto"/>
        <w:jc w:val="center"/>
      </w:pPr>
    </w:p>
    <w:p>
      <w:pPr>
        <w:spacing w:line="300" w:lineRule="auto"/>
        <w:jc w:val="center"/>
      </w:pPr>
      <w:r>
        <w:rPr>
          <w:rFonts w:hint="eastAsia"/>
        </w:rPr>
        <w:t>表</w:t>
      </w:r>
      <w:r>
        <w:t xml:space="preserve">19 </w:t>
      </w:r>
      <w:r>
        <w:rPr>
          <w:rFonts w:hint="eastAsia"/>
        </w:rPr>
        <w:t>高纯锆</w:t>
      </w:r>
      <w:r>
        <w:t>3</w:t>
      </w:r>
      <w:r>
        <w:rPr>
          <w:rFonts w:hint="eastAsia"/>
        </w:rPr>
        <w:t>#样品</w:t>
      </w:r>
      <w:r>
        <w:t>Ti</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1.16</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1.16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3.7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0.90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0.86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1.14</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1.07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14.5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1.10</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1.20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6.5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1.94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1.79</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1.72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7.8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1.45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1.51</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1.47</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1.52</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1.63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1.52</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1.47</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1.51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3.9 </w:t>
            </w:r>
          </w:p>
        </w:tc>
      </w:tr>
    </w:tbl>
    <w:p>
      <w:pPr>
        <w:spacing w:line="300" w:lineRule="auto"/>
        <w:jc w:val="center"/>
      </w:pPr>
    </w:p>
    <w:p>
      <w:pPr>
        <w:spacing w:line="300" w:lineRule="auto"/>
        <w:jc w:val="center"/>
      </w:pPr>
      <w:r>
        <w:rPr>
          <w:rFonts w:hint="eastAsia"/>
        </w:rPr>
        <w:t>表</w:t>
      </w:r>
      <w:r>
        <w:t xml:space="preserve">20 </w:t>
      </w:r>
      <w:r>
        <w:rPr>
          <w:rFonts w:hint="eastAsia"/>
        </w:rPr>
        <w:t>高纯锆</w:t>
      </w:r>
      <w:r>
        <w:t>3</w:t>
      </w:r>
      <w:r>
        <w:rPr>
          <w:rFonts w:hint="eastAsia"/>
        </w:rPr>
        <w:t>#样品</w:t>
      </w:r>
      <w:r>
        <w:t>Cu</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1.42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1.44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1.32</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1.33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6.4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1.14</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1.16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6.8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1.03</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1.20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11.1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1.13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0.96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1.03</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1.08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8.6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1.25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1.40</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1.43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1.34</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1.22</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1.29</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1.24</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1.31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6.3 </w:t>
            </w:r>
          </w:p>
        </w:tc>
      </w:tr>
    </w:tbl>
    <w:p>
      <w:pPr>
        <w:spacing w:line="300" w:lineRule="auto"/>
        <w:jc w:val="center"/>
      </w:pPr>
    </w:p>
    <w:p>
      <w:pPr>
        <w:spacing w:line="300" w:lineRule="auto"/>
        <w:jc w:val="center"/>
      </w:pPr>
      <w:r>
        <w:rPr>
          <w:rFonts w:hint="eastAsia"/>
        </w:rPr>
        <w:t>表</w:t>
      </w:r>
      <w:r>
        <w:t xml:space="preserve">21 </w:t>
      </w:r>
      <w:r>
        <w:rPr>
          <w:rFonts w:hint="eastAsia"/>
        </w:rPr>
        <w:t>高纯锆</w:t>
      </w:r>
      <w:r>
        <w:t>3</w:t>
      </w:r>
      <w:r>
        <w:rPr>
          <w:rFonts w:hint="eastAsia"/>
        </w:rPr>
        <w:t>#样品</w:t>
      </w:r>
      <w:r>
        <w:t>Sn</w:t>
      </w:r>
      <w:r>
        <w:rPr>
          <w:rFonts w:hint="eastAsia"/>
        </w:rPr>
        <w:t>数</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1.42</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1.58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6.8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1.48</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1.40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13.6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1.62</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1.70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4.8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1.93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1.78</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1.85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6.6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1.48</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1.24</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1.64</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1.14</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1.43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1.31</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1.30</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1.36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12.3 </w:t>
            </w:r>
          </w:p>
        </w:tc>
      </w:tr>
    </w:tbl>
    <w:p>
      <w:pPr>
        <w:spacing w:line="300" w:lineRule="auto"/>
        <w:jc w:val="center"/>
      </w:pPr>
    </w:p>
    <w:p>
      <w:pPr>
        <w:spacing w:line="300" w:lineRule="auto"/>
        <w:jc w:val="center"/>
      </w:pPr>
    </w:p>
    <w:p>
      <w:pPr>
        <w:spacing w:line="300" w:lineRule="auto"/>
        <w:jc w:val="center"/>
      </w:pPr>
      <w:r>
        <w:rPr>
          <w:rFonts w:hint="eastAsia"/>
        </w:rPr>
        <w:t>表</w:t>
      </w:r>
      <w:r>
        <w:t xml:space="preserve">22 </w:t>
      </w:r>
      <w:r>
        <w:rPr>
          <w:rFonts w:hint="eastAsia"/>
        </w:rPr>
        <w:t>高纯锆</w:t>
      </w:r>
      <w:r>
        <w:t>3</w:t>
      </w:r>
      <w:r>
        <w:rPr>
          <w:rFonts w:hint="eastAsia"/>
        </w:rPr>
        <w:t>#样品</w:t>
      </w:r>
      <w:r>
        <w:t>Ni</w:t>
      </w:r>
      <w:r>
        <w:rPr>
          <w:rFonts w:hint="eastAsia"/>
        </w:rPr>
        <w:t>数</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5.04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4.92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5.17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4.86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5.12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5.15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5.10</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5.05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2.4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4.28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4.66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4.91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5.16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4.87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5.02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5.21</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4.87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6.6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4.88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5.14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5.56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5.56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4.79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4.89</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5.12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6.3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6.13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6.37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6.38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6.59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6.24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6.24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6.59</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6.36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2.8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4.69</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5.26</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4.81</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4.78</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4.75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4.85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4.55</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4.81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4.6 </w:t>
            </w:r>
          </w:p>
        </w:tc>
      </w:tr>
    </w:tbl>
    <w:p>
      <w:pPr>
        <w:spacing w:line="300" w:lineRule="auto"/>
        <w:jc w:val="center"/>
      </w:pPr>
    </w:p>
    <w:p>
      <w:pPr>
        <w:spacing w:line="300" w:lineRule="auto"/>
        <w:jc w:val="center"/>
      </w:pPr>
      <w:r>
        <w:rPr>
          <w:rFonts w:hint="eastAsia"/>
        </w:rPr>
        <w:t>表</w:t>
      </w:r>
      <w:r>
        <w:t xml:space="preserve">23 </w:t>
      </w:r>
      <w:r>
        <w:rPr>
          <w:rFonts w:hint="eastAsia"/>
        </w:rPr>
        <w:t>高纯锆</w:t>
      </w:r>
      <w:r>
        <w:t>3</w:t>
      </w:r>
      <w:r>
        <w:rPr>
          <w:rFonts w:hint="eastAsia"/>
        </w:rPr>
        <w:t>#样品</w:t>
      </w:r>
      <w:r>
        <w:t>Mn</w:t>
      </w:r>
      <w:r>
        <w:rPr>
          <w:rFonts w:hint="eastAsia"/>
        </w:rPr>
        <w:t>数</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9.70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9.10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9.26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9.23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9.70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9.80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10.17</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9.57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4.0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8.30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8.50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8.44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8.55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8.02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8.24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8.27</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8.33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2.2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8.60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8.83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8.48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8.05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8.48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7.69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7.94</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8.30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4.9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10.30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10.33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10.64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10.73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10.30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10.46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10.50</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10.47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1.6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10.35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11.38</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10.60</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10.70</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10.42</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10.01</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9.79</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10.46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4.9 </w:t>
            </w:r>
          </w:p>
        </w:tc>
      </w:tr>
    </w:tbl>
    <w:p>
      <w:pPr>
        <w:spacing w:line="300" w:lineRule="auto"/>
        <w:jc w:val="center"/>
      </w:pPr>
    </w:p>
    <w:p>
      <w:pPr>
        <w:spacing w:line="300" w:lineRule="auto"/>
        <w:jc w:val="center"/>
      </w:pPr>
      <w:r>
        <w:rPr>
          <w:rFonts w:hint="eastAsia"/>
        </w:rPr>
        <w:t>表</w:t>
      </w:r>
      <w:r>
        <w:t xml:space="preserve">24 </w:t>
      </w:r>
      <w:r>
        <w:rPr>
          <w:rFonts w:hint="eastAsia"/>
        </w:rPr>
        <w:t>高纯锆</w:t>
      </w:r>
      <w:r>
        <w:t>2</w:t>
      </w:r>
      <w:r>
        <w:rPr>
          <w:rFonts w:hint="eastAsia"/>
        </w:rPr>
        <w:t>#样品</w:t>
      </w:r>
      <w:r>
        <w:t>Hf</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18.23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18.49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17.46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17.19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16.42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15.94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16.19</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17.13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5.8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17.04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17.85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18.76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17.99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17.78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17.54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17.84</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17.83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2.9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14.90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17.50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15.30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17.10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12.90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15.10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15.20</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15.43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9.9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19.26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19.56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16.54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18.27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16.33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15.82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15.44</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17.32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9.7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20.78</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20.92</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21.17</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21.48</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20.67</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21.16</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20.17</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20.91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2.0 </w:t>
            </w:r>
          </w:p>
        </w:tc>
      </w:tr>
    </w:tbl>
    <w:p>
      <w:pPr>
        <w:spacing w:line="300" w:lineRule="auto"/>
        <w:jc w:val="center"/>
      </w:pPr>
    </w:p>
    <w:p>
      <w:pPr>
        <w:spacing w:line="300" w:lineRule="auto"/>
        <w:jc w:val="center"/>
      </w:pPr>
      <w:r>
        <w:rPr>
          <w:rFonts w:hint="eastAsia"/>
        </w:rPr>
        <w:t>表</w:t>
      </w:r>
      <w:r>
        <w:t xml:space="preserve">25 </w:t>
      </w:r>
      <w:r>
        <w:rPr>
          <w:rFonts w:hint="eastAsia"/>
        </w:rPr>
        <w:t>高纯锆</w:t>
      </w:r>
      <w:r>
        <w:t>3</w:t>
      </w:r>
      <w:r>
        <w:rPr>
          <w:rFonts w:hint="eastAsia"/>
        </w:rPr>
        <w:t>#样品</w:t>
      </w:r>
      <w:r>
        <w:t>Cr</w:t>
      </w:r>
      <w:r>
        <w:rPr>
          <w:rFonts w:hint="eastAsia"/>
        </w:rPr>
        <w:t>数据</w:t>
      </w:r>
    </w:p>
    <w:tbl>
      <w:tblPr>
        <w:tblStyle w:val="106"/>
        <w:tblW w:w="9742" w:type="dxa"/>
        <w:tblInd w:w="0" w:type="dxa"/>
        <w:tblLayout w:type="fixed"/>
        <w:tblCellMar>
          <w:top w:w="0" w:type="dxa"/>
          <w:left w:w="108" w:type="dxa"/>
          <w:bottom w:w="0" w:type="dxa"/>
          <w:right w:w="108" w:type="dxa"/>
        </w:tblCellMar>
      </w:tblPr>
      <w:tblGrid>
        <w:gridCol w:w="943"/>
        <w:gridCol w:w="943"/>
        <w:gridCol w:w="943"/>
        <w:gridCol w:w="943"/>
        <w:gridCol w:w="943"/>
        <w:gridCol w:w="943"/>
        <w:gridCol w:w="943"/>
        <w:gridCol w:w="943"/>
        <w:gridCol w:w="1101"/>
        <w:gridCol w:w="1097"/>
      </w:tblGrid>
      <w:tr>
        <w:tblPrEx>
          <w:tblLayout w:type="fixed"/>
          <w:tblCellMar>
            <w:top w:w="0" w:type="dxa"/>
            <w:left w:w="108" w:type="dxa"/>
            <w:bottom w:w="0" w:type="dxa"/>
            <w:right w:w="108" w:type="dxa"/>
          </w:tblCellMar>
        </w:tblPrEx>
        <w:trPr>
          <w:trHeight w:val="315" w:hRule="atLeast"/>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实验室</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5</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6</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7</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平均值</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RSD/%</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21.07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20.10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20.31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20.10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20.53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20.53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21.12</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20.54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2.0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19.17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19.52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19.46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19.67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18.92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19.47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18.62</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19.26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2.0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22.20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22.40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21.90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21.20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21.90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20.30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20.50</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21.49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3.9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21.23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21.37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21.09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21.33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20.98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20.42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20.66</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21.01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1.7 </w:t>
            </w:r>
          </w:p>
        </w:tc>
      </w:tr>
      <w:tr>
        <w:tblPrEx>
          <w:tblLayout w:type="fixed"/>
          <w:tblCellMar>
            <w:top w:w="0" w:type="dxa"/>
            <w:left w:w="108" w:type="dxa"/>
            <w:bottom w:w="0" w:type="dxa"/>
            <w:right w:w="108" w:type="dxa"/>
          </w:tblCellMar>
        </w:tblPrEx>
        <w:trPr>
          <w:trHeight w:val="315" w:hRule="atLeast"/>
        </w:trPr>
        <w:tc>
          <w:tcPr>
            <w:tcW w:w="94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Cs w:val="21"/>
              </w:rPr>
            </w:pPr>
            <w:r>
              <w:rPr>
                <w:kern w:val="0"/>
                <w:szCs w:val="21"/>
              </w:rPr>
              <w:t>5</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24.33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27.04</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25.80</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24.47</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23.88</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25.42</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kern w:val="0"/>
                <w:szCs w:val="21"/>
              </w:rPr>
            </w:pPr>
            <w:r>
              <w:rPr>
                <w:kern w:val="0"/>
                <w:szCs w:val="21"/>
              </w:rPr>
              <w:t>23.45</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24.91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5.0 </w:t>
            </w:r>
          </w:p>
        </w:tc>
      </w:tr>
    </w:tbl>
    <w:p>
      <w:pPr>
        <w:autoSpaceDE w:val="0"/>
        <w:autoSpaceDN w:val="0"/>
        <w:adjustRightInd w:val="0"/>
        <w:spacing w:before="312" w:beforeLines="100" w:line="300" w:lineRule="auto"/>
        <w:ind w:firstLine="420"/>
        <w:rPr>
          <w:rFonts w:ascii="宋体" w:hAnsi="宋体"/>
          <w:szCs w:val="21"/>
        </w:rPr>
      </w:pPr>
      <w:r>
        <w:rPr>
          <w:rFonts w:hint="eastAsia" w:ascii="宋体" w:hAnsi="宋体"/>
          <w:szCs w:val="21"/>
        </w:rPr>
        <w:t>数据汇总分析见表</w:t>
      </w:r>
      <w:r>
        <w:rPr>
          <w:rFonts w:ascii="宋体" w:hAnsi="宋体"/>
          <w:szCs w:val="21"/>
        </w:rPr>
        <w:t>26</w:t>
      </w:r>
      <w:r>
        <w:rPr>
          <w:rFonts w:hint="eastAsia" w:ascii="宋体" w:hAnsi="宋体"/>
          <w:szCs w:val="21"/>
        </w:rPr>
        <w:t>，</w:t>
      </w:r>
      <w:r>
        <w:rPr>
          <w:rFonts w:ascii="宋体" w:hAnsi="宋体"/>
          <w:szCs w:val="21"/>
        </w:rPr>
        <w:t>其中离群值以*标注。</w:t>
      </w:r>
    </w:p>
    <w:p>
      <w:pPr>
        <w:spacing w:line="300" w:lineRule="auto"/>
        <w:jc w:val="center"/>
      </w:pPr>
      <w:r>
        <w:rPr>
          <w:rFonts w:hint="eastAsia"/>
        </w:rPr>
        <w:t>表</w:t>
      </w:r>
      <w:r>
        <w:t xml:space="preserve">26  </w:t>
      </w:r>
      <w:r>
        <w:rPr>
          <w:rFonts w:hint="eastAsia"/>
        </w:rPr>
        <w:t>数据分析结果</w:t>
      </w:r>
    </w:p>
    <w:tbl>
      <w:tblPr>
        <w:tblStyle w:val="106"/>
        <w:tblW w:w="9742" w:type="dxa"/>
        <w:tblInd w:w="0" w:type="dxa"/>
        <w:tblLayout w:type="fixed"/>
        <w:tblCellMar>
          <w:top w:w="0" w:type="dxa"/>
          <w:left w:w="108" w:type="dxa"/>
          <w:bottom w:w="0" w:type="dxa"/>
          <w:right w:w="108" w:type="dxa"/>
        </w:tblCellMar>
      </w:tblPr>
      <w:tblGrid>
        <w:gridCol w:w="1034"/>
        <w:gridCol w:w="1034"/>
        <w:gridCol w:w="1121"/>
        <w:gridCol w:w="1120"/>
        <w:gridCol w:w="1120"/>
        <w:gridCol w:w="1120"/>
        <w:gridCol w:w="1120"/>
        <w:gridCol w:w="2073"/>
      </w:tblGrid>
      <w:tr>
        <w:tblPrEx>
          <w:tblLayout w:type="fixed"/>
          <w:tblCellMar>
            <w:top w:w="0" w:type="dxa"/>
            <w:left w:w="108" w:type="dxa"/>
            <w:bottom w:w="0" w:type="dxa"/>
            <w:right w:w="108" w:type="dxa"/>
          </w:tblCellMar>
        </w:tblPrEx>
        <w:trPr>
          <w:trHeight w:val="270" w:hRule="atLeast"/>
        </w:trPr>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编号</w:t>
            </w:r>
          </w:p>
        </w:tc>
        <w:tc>
          <w:tcPr>
            <w:tcW w:w="10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元素</w:t>
            </w:r>
          </w:p>
        </w:tc>
        <w:tc>
          <w:tcPr>
            <w:tcW w:w="560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试验室数据平均值/(mg/kg),(n=7)</w:t>
            </w:r>
          </w:p>
        </w:tc>
        <w:tc>
          <w:tcPr>
            <w:tcW w:w="20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相对</w:t>
            </w:r>
            <w:r>
              <w:rPr>
                <w:rFonts w:ascii="宋体" w:hAnsi="宋体" w:cs="宋体"/>
                <w:color w:val="000000"/>
                <w:kern w:val="0"/>
                <w:szCs w:val="21"/>
              </w:rPr>
              <w:t>差</w:t>
            </w:r>
            <w:r>
              <w:rPr>
                <w:rFonts w:hint="eastAsia" w:ascii="宋体" w:hAnsi="宋体" w:cs="宋体"/>
                <w:color w:val="000000"/>
                <w:kern w:val="0"/>
                <w:szCs w:val="21"/>
              </w:rPr>
              <w:t>/%</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Ni</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0.240</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0.294</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0.464</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0.227</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0.334</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105.8</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Cu</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0.197</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0.198</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0.334</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0.181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0.294</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99.3</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Ni</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0.067</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0.123</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0.136</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0.078</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0.107</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106.9</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Cl</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0.091</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0.108</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0.093</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0.060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0.129</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148.7</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Co</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0.094</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0.064</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0.109</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0.126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0.105</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100.4</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Fe</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0.443</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0.430</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0.720</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0.432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0.588</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91.7</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Zn</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0.316</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0.471</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0.480</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0.368</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0.379</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118.0</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Mo</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0.381</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0.482</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0.489</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0.453</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0.632</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71.2</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Si</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1.33</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1.55</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 xml:space="preserve">  3.13 *</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1.99</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2.21</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60.5</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Fe</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3.07</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2.68</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 xml:space="preserve">  6.30 *</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2.96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4.28</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57.3</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Mo</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1.36</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1.31</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2.38</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1.27</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2.09</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83.4</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Si</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1.85</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1.62</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1.86</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1.75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2.10</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32.7</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Mo</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3.08</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2.65</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4.42</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2.95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4.06</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65.1</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Mg</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1.93</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1.58</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1.66</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1.79</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2.94</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88.4</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Ti</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1.16</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1.07</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1.20</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1.72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1.51</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81.5</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Cu</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1.33</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1.16</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1.20</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1.08</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1.31</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39.5</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Sn</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1.58</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1.40</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1.70</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1.85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1.36</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60.7</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Ni</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5.05</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4.87</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5.12</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6.36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4.81</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44.0</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Mn</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9.57</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8.33</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8.30</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10.47</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10.46</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39.1</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Hf</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17.13</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17.83</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15.43</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17.32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20.91</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48.4</w:t>
            </w:r>
          </w:p>
        </w:tc>
      </w:tr>
      <w:tr>
        <w:tblPrEx>
          <w:tblLayout w:type="fixed"/>
          <w:tblCellMar>
            <w:top w:w="0" w:type="dxa"/>
            <w:left w:w="108" w:type="dxa"/>
            <w:bottom w:w="0" w:type="dxa"/>
            <w:right w:w="108" w:type="dxa"/>
          </w:tblCellMar>
        </w:tblPrEx>
        <w:trPr>
          <w:trHeight w:val="300" w:hRule="atLeast"/>
        </w:trPr>
        <w:tc>
          <w:tcPr>
            <w:tcW w:w="103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Cr</w:t>
            </w:r>
          </w:p>
        </w:tc>
        <w:tc>
          <w:tcPr>
            <w:tcW w:w="1121"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20.54</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19.26</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21.49</w:t>
            </w:r>
          </w:p>
        </w:tc>
        <w:tc>
          <w:tcPr>
            <w:tcW w:w="1120" w:type="dxa"/>
            <w:tcBorders>
              <w:top w:val="nil"/>
              <w:left w:val="nil"/>
              <w:bottom w:val="single" w:color="auto" w:sz="4" w:space="0"/>
              <w:right w:val="nil"/>
            </w:tcBorders>
            <w:shd w:val="clear" w:color="auto" w:fill="auto"/>
            <w:vAlign w:val="center"/>
          </w:tcPr>
          <w:p>
            <w:pPr>
              <w:widowControl/>
              <w:jc w:val="center"/>
              <w:rPr>
                <w:kern w:val="0"/>
                <w:szCs w:val="21"/>
              </w:rPr>
            </w:pPr>
            <w:r>
              <w:rPr>
                <w:kern w:val="0"/>
                <w:szCs w:val="21"/>
              </w:rPr>
              <w:t>21.01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 xml:space="preserve">  24.91 *</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18.4</w:t>
            </w:r>
          </w:p>
        </w:tc>
      </w:tr>
    </w:tbl>
    <w:p>
      <w:pPr>
        <w:autoSpaceDE w:val="0"/>
        <w:autoSpaceDN w:val="0"/>
        <w:adjustRightInd w:val="0"/>
        <w:spacing w:before="312" w:beforeLines="100" w:line="300" w:lineRule="auto"/>
        <w:ind w:firstLine="420"/>
        <w:rPr>
          <w:kern w:val="0"/>
          <w:szCs w:val="21"/>
        </w:rPr>
      </w:pPr>
      <w:r>
        <w:rPr>
          <w:rFonts w:hint="eastAsia" w:ascii="宋体" w:hAnsi="宋体"/>
          <w:szCs w:val="21"/>
        </w:rPr>
        <w:t>在数据分析的基础上，给出实验室间分析结果允许的相对偏差，见表</w:t>
      </w:r>
      <w:r>
        <w:rPr>
          <w:rFonts w:ascii="宋体" w:hAnsi="宋体"/>
          <w:szCs w:val="21"/>
        </w:rPr>
        <w:t>27</w:t>
      </w:r>
      <w:r>
        <w:rPr>
          <w:rFonts w:hint="eastAsia" w:ascii="宋体" w:hAnsi="宋体"/>
          <w:szCs w:val="21"/>
        </w:rPr>
        <w:t>。</w:t>
      </w:r>
    </w:p>
    <w:p>
      <w:pPr>
        <w:spacing w:line="300" w:lineRule="auto"/>
        <w:jc w:val="center"/>
      </w:pPr>
      <w:r>
        <w:rPr>
          <w:rFonts w:hint="eastAsia"/>
        </w:rPr>
        <w:t>表</w:t>
      </w:r>
      <w:r>
        <w:t>27</w:t>
      </w:r>
      <w:r>
        <w:rPr>
          <w:rFonts w:hint="eastAsia"/>
        </w:rPr>
        <w:t xml:space="preserve"> </w:t>
      </w:r>
      <w:r>
        <w:t>允许相对偏差</w:t>
      </w:r>
    </w:p>
    <w:tbl>
      <w:tblPr>
        <w:tblStyle w:val="106"/>
        <w:tblW w:w="9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1"/>
        <w:gridCol w:w="4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1" w:type="dxa"/>
          </w:tcPr>
          <w:p>
            <w:pPr>
              <w:jc w:val="center"/>
              <w:rPr>
                <w:sz w:val="18"/>
                <w:szCs w:val="18"/>
              </w:rPr>
            </w:pPr>
            <w:r>
              <w:rPr>
                <w:rFonts w:hint="eastAsia"/>
                <w:sz w:val="18"/>
                <w:szCs w:val="18"/>
              </w:rPr>
              <w:t>元素含量范围</w:t>
            </w:r>
            <w:r>
              <w:rPr>
                <w:rFonts w:hint="eastAsia"/>
                <w:i/>
                <w:sz w:val="18"/>
                <w:szCs w:val="18"/>
              </w:rPr>
              <w:t>w/</w:t>
            </w:r>
            <w:r>
              <w:rPr>
                <w:rFonts w:hint="eastAsia"/>
                <w:sz w:val="18"/>
                <w:szCs w:val="18"/>
              </w:rPr>
              <w:t>(</w:t>
            </w:r>
            <w:r>
              <w:rPr>
                <w:sz w:val="18"/>
                <w:szCs w:val="18"/>
              </w:rPr>
              <w:t>m</w:t>
            </w:r>
            <w:r>
              <w:rPr>
                <w:rFonts w:hint="eastAsia"/>
                <w:sz w:val="18"/>
                <w:szCs w:val="18"/>
              </w:rPr>
              <w:t>g/kg)</w:t>
            </w:r>
          </w:p>
        </w:tc>
        <w:tc>
          <w:tcPr>
            <w:tcW w:w="4871" w:type="dxa"/>
          </w:tcPr>
          <w:p>
            <w:pPr>
              <w:jc w:val="center"/>
              <w:rPr>
                <w:rFonts w:ascii="宋体" w:hAnsi="宋体"/>
                <w:sz w:val="18"/>
                <w:szCs w:val="18"/>
              </w:rPr>
            </w:pPr>
            <w:r>
              <w:rPr>
                <w:rFonts w:hint="eastAsia" w:ascii="宋体" w:hAnsi="宋体"/>
                <w:sz w:val="18"/>
                <w:szCs w:val="18"/>
              </w:rPr>
              <w:t>相对偏差</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1" w:type="dxa"/>
            <w:vAlign w:val="center"/>
          </w:tcPr>
          <w:p>
            <w:pPr>
              <w:spacing w:line="360" w:lineRule="exact"/>
              <w:jc w:val="center"/>
              <w:rPr>
                <w:rFonts w:ascii="宋体" w:hAns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0.05</w:t>
            </w:r>
            <w:r>
              <w:rPr>
                <w:rFonts w:hint="eastAsia" w:ascii="宋体" w:hAnsi="宋体" w:cs="宋体-18030"/>
                <w:color w:val="000000"/>
                <w:sz w:val="18"/>
                <w:szCs w:val="18"/>
              </w:rPr>
              <w:t>～0.30</w:t>
            </w:r>
          </w:p>
        </w:tc>
        <w:tc>
          <w:tcPr>
            <w:tcW w:w="4871" w:type="dxa"/>
          </w:tcPr>
          <w:p>
            <w:pPr>
              <w:jc w:val="center"/>
              <w:rPr>
                <w:rFonts w:ascii="宋体" w:hAnsi="宋体"/>
                <w:sz w:val="18"/>
                <w:szCs w:val="18"/>
              </w:rPr>
            </w:pPr>
            <w:r>
              <w:rPr>
                <w:rFonts w:hint="eastAsia" w:ascii="宋体" w:hAnsi="宋体"/>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1"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＞0.30</w:t>
            </w:r>
            <w:r>
              <w:rPr>
                <w:rFonts w:hint="eastAsia" w:ascii="宋体" w:hAnsi="宋体" w:cs="宋体-18030"/>
                <w:color w:val="000000"/>
                <w:sz w:val="18"/>
                <w:szCs w:val="18"/>
              </w:rPr>
              <w:t>～</w:t>
            </w:r>
            <w:r>
              <w:rPr>
                <w:rFonts w:ascii="宋体" w:hAnsi="宋体"/>
                <w:color w:val="000000"/>
                <w:sz w:val="18"/>
                <w:szCs w:val="18"/>
              </w:rPr>
              <w:t>1.0</w:t>
            </w:r>
          </w:p>
        </w:tc>
        <w:tc>
          <w:tcPr>
            <w:tcW w:w="4871" w:type="dxa"/>
          </w:tcPr>
          <w:p>
            <w:pPr>
              <w:jc w:val="center"/>
              <w:rPr>
                <w:rFonts w:ascii="宋体" w:hAnsi="宋体"/>
                <w:sz w:val="18"/>
                <w:szCs w:val="18"/>
              </w:rPr>
            </w:pPr>
            <w:r>
              <w:rPr>
                <w:rFonts w:hint="eastAsia" w:ascii="宋体" w:hAnsi="宋体"/>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1" w:type="dxa"/>
            <w:vAlign w:val="center"/>
          </w:tcPr>
          <w:p>
            <w:pPr>
              <w:spacing w:line="360" w:lineRule="exact"/>
              <w:jc w:val="center"/>
              <w:rPr>
                <w:rFonts w:ascii="宋体" w:hAnsi="宋体"/>
                <w:color w:val="000000"/>
                <w:sz w:val="18"/>
                <w:szCs w:val="18"/>
              </w:rPr>
            </w:pPr>
            <w:r>
              <w:rPr>
                <w:rFonts w:ascii="宋体" w:hAnsi="宋体"/>
                <w:color w:val="000000"/>
                <w:sz w:val="18"/>
                <w:szCs w:val="18"/>
              </w:rPr>
              <w:t>＞1.0</w:t>
            </w:r>
            <w:r>
              <w:rPr>
                <w:rFonts w:hint="eastAsia" w:ascii="宋体" w:hAnsi="宋体" w:cs="宋体-18030"/>
                <w:color w:val="000000"/>
                <w:sz w:val="18"/>
                <w:szCs w:val="18"/>
              </w:rPr>
              <w:t>～</w:t>
            </w:r>
            <w:r>
              <w:rPr>
                <w:rFonts w:ascii="宋体" w:hAnsi="宋体"/>
                <w:color w:val="000000"/>
                <w:sz w:val="18"/>
                <w:szCs w:val="18"/>
              </w:rPr>
              <w:t>5.0</w:t>
            </w:r>
          </w:p>
        </w:tc>
        <w:tc>
          <w:tcPr>
            <w:tcW w:w="4871" w:type="dxa"/>
          </w:tcPr>
          <w:p>
            <w:pPr>
              <w:jc w:val="center"/>
              <w:rPr>
                <w:rFonts w:ascii="宋体" w:hAnsi="宋体"/>
                <w:sz w:val="18"/>
                <w:szCs w:val="18"/>
              </w:rPr>
            </w:pPr>
            <w:r>
              <w:rPr>
                <w:rFonts w:hint="eastAsia" w:ascii="宋体" w:hAnsi="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1"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＞5.0</w:t>
            </w:r>
            <w:r>
              <w:rPr>
                <w:rFonts w:hint="eastAsia" w:ascii="宋体" w:hAnsi="宋体" w:cs="宋体-18030"/>
                <w:color w:val="000000"/>
                <w:sz w:val="18"/>
                <w:szCs w:val="18"/>
              </w:rPr>
              <w:t>～</w:t>
            </w:r>
            <w:r>
              <w:rPr>
                <w:rFonts w:ascii="宋体" w:hAnsi="宋体"/>
                <w:color w:val="000000"/>
                <w:sz w:val="18"/>
                <w:szCs w:val="18"/>
              </w:rPr>
              <w:t>20.0</w:t>
            </w:r>
          </w:p>
        </w:tc>
        <w:tc>
          <w:tcPr>
            <w:tcW w:w="4871" w:type="dxa"/>
          </w:tcPr>
          <w:p>
            <w:pPr>
              <w:jc w:val="center"/>
              <w:rPr>
                <w:rFonts w:ascii="宋体" w:hAnsi="宋体"/>
                <w:sz w:val="18"/>
                <w:szCs w:val="18"/>
              </w:rPr>
            </w:pPr>
            <w:r>
              <w:rPr>
                <w:rFonts w:hint="eastAsia" w:ascii="宋体" w:hAnsi="宋体"/>
                <w:sz w:val="18"/>
                <w:szCs w:val="18"/>
              </w:rPr>
              <w:t>50</w:t>
            </w:r>
          </w:p>
        </w:tc>
      </w:tr>
    </w:tbl>
    <w:p>
      <w:pPr>
        <w:spacing w:before="312" w:beforeLines="100" w:after="156" w:afterLines="50" w:line="312" w:lineRule="auto"/>
        <w:rPr>
          <w:rFonts w:ascii="黑体" w:hAnsi="宋体" w:eastAsia="黑体"/>
          <w:bCs/>
          <w:sz w:val="24"/>
        </w:rPr>
      </w:pPr>
      <w:r>
        <w:rPr>
          <w:rFonts w:hint="eastAsia" w:ascii="黑体" w:hAnsi="宋体" w:eastAsia="黑体"/>
          <w:bCs/>
          <w:sz w:val="24"/>
        </w:rPr>
        <w:t>四</w:t>
      </w:r>
      <w:r>
        <w:rPr>
          <w:rFonts w:ascii="黑体" w:hAnsi="宋体" w:eastAsia="黑体"/>
          <w:bCs/>
          <w:sz w:val="24"/>
        </w:rPr>
        <w:t>、</w:t>
      </w:r>
      <w:r>
        <w:rPr>
          <w:rFonts w:hint="eastAsia" w:ascii="黑体" w:hAnsi="宋体" w:eastAsia="黑体"/>
          <w:bCs/>
          <w:sz w:val="24"/>
        </w:rPr>
        <w:t>标准中涉及专利的情况</w:t>
      </w:r>
    </w:p>
    <w:p>
      <w:pPr>
        <w:spacing w:before="156" w:beforeLines="50" w:after="156" w:afterLines="50" w:line="312" w:lineRule="auto"/>
        <w:ind w:firstLine="420" w:firstLineChars="200"/>
        <w:rPr>
          <w:rFonts w:hAnsi="宋体"/>
        </w:rPr>
      </w:pPr>
      <w:r>
        <w:rPr>
          <w:rFonts w:hint="eastAsia" w:hAnsi="宋体"/>
        </w:rPr>
        <w:t>本标准不涉及专利和知识产权问题。</w:t>
      </w:r>
    </w:p>
    <w:p>
      <w:pPr>
        <w:spacing w:before="156" w:beforeLines="50" w:after="156" w:afterLines="50" w:line="312" w:lineRule="auto"/>
        <w:rPr>
          <w:rFonts w:ascii="黑体" w:hAnsi="宋体" w:eastAsia="黑体"/>
          <w:bCs/>
          <w:sz w:val="24"/>
        </w:rPr>
      </w:pPr>
      <w:r>
        <w:rPr>
          <w:rFonts w:hint="eastAsia" w:ascii="黑体" w:hAnsi="宋体" w:eastAsia="黑体"/>
          <w:bCs/>
          <w:sz w:val="24"/>
        </w:rPr>
        <w:t>五</w:t>
      </w:r>
      <w:r>
        <w:rPr>
          <w:rFonts w:ascii="黑体" w:hAnsi="宋体" w:eastAsia="黑体"/>
          <w:bCs/>
          <w:sz w:val="24"/>
        </w:rPr>
        <w:t>、</w:t>
      </w:r>
      <w:r>
        <w:rPr>
          <w:rFonts w:hint="eastAsia" w:ascii="黑体" w:hAnsi="宋体" w:eastAsia="黑体"/>
          <w:bCs/>
          <w:sz w:val="24"/>
        </w:rPr>
        <w:t>预期达到的社会效益</w:t>
      </w:r>
    </w:p>
    <w:p>
      <w:pPr>
        <w:spacing w:before="156" w:beforeLines="50" w:after="156" w:afterLines="50" w:line="312" w:lineRule="auto"/>
        <w:rPr>
          <w:rFonts w:ascii="黑体" w:hAnsi="宋体" w:eastAsia="黑体"/>
          <w:bCs/>
          <w:sz w:val="24"/>
        </w:rPr>
      </w:pPr>
      <w:r>
        <w:rPr>
          <w:rFonts w:hint="eastAsia" w:ascii="黑体" w:hAnsi="宋体" w:eastAsia="黑体"/>
          <w:bCs/>
          <w:sz w:val="24"/>
        </w:rPr>
        <w:t>（一）项目的必要性</w:t>
      </w:r>
    </w:p>
    <w:p>
      <w:pPr>
        <w:spacing w:line="300" w:lineRule="auto"/>
        <w:ind w:firstLine="420"/>
      </w:pPr>
      <w:r>
        <w:t>锆作为重要的稀有金属，由于具有惊人的抗腐蚀性能，极高的熔点，超高的硬度和强度。由于锆的热中子俘获截面小，有突出的核性能，是发展原子能工业不可缺少的材料，可作反应堆芯结构材料。金属锆在化工、农药、印染等行业中可用来制造耐腐蚀的反应塔、泵、热交换器等，它还可作为炼钢过程中的脱氧、脱氮剂。高纯锆是在锆原材料基础上，对杂质元素进一步分离提纯得到的。高纯金属锆已进入《战略性新兴产业分类（2018）》的分类表（代码3.2.5.3），隶属锆铪材料制造类别。</w:t>
      </w:r>
      <w:r>
        <w:rPr>
          <w:rFonts w:hint="eastAsia"/>
        </w:rPr>
        <w:t>建立材料的评价体系对于提升产品质量、指导产品应用具有重要的意义。</w:t>
      </w:r>
    </w:p>
    <w:p>
      <w:pPr>
        <w:autoSpaceDE w:val="0"/>
        <w:autoSpaceDN w:val="0"/>
        <w:adjustRightInd w:val="0"/>
        <w:spacing w:line="300" w:lineRule="auto"/>
        <w:ind w:firstLine="420"/>
      </w:pPr>
      <w:r>
        <w:t>目前，国内相关单位已经开始制定高纯锆产品的行业标准</w:t>
      </w:r>
      <w:r>
        <w:rPr>
          <w:rFonts w:hint="eastAsia"/>
        </w:rPr>
        <w:t>《高纯锆锭》（计划编号</w:t>
      </w:r>
      <w:r>
        <w:t>：</w:t>
      </w:r>
      <w:r>
        <w:rPr>
          <w:rFonts w:hint="eastAsia" w:hAnsi="宋体"/>
          <w:szCs w:val="21"/>
        </w:rPr>
        <w:t>2020-0047T-YS</w:t>
      </w:r>
      <w:r>
        <w:rPr>
          <w:rFonts w:hint="eastAsia"/>
        </w:rPr>
        <w:t>）</w:t>
      </w:r>
      <w:r>
        <w:t>，</w:t>
      </w:r>
      <w:r>
        <w:rPr>
          <w:rFonts w:hint="eastAsia"/>
        </w:rPr>
        <w:t>Al</w:t>
      </w:r>
      <w:r>
        <w:t>、Ca、</w:t>
      </w:r>
      <w:r>
        <w:rPr>
          <w:rFonts w:hint="eastAsia"/>
        </w:rPr>
        <w:t>Co</w:t>
      </w:r>
      <w:r>
        <w:t>、</w:t>
      </w:r>
      <w:r>
        <w:rPr>
          <w:rFonts w:hint="eastAsia"/>
        </w:rPr>
        <w:t>Cr、</w:t>
      </w:r>
      <w:r>
        <w:t>Cu、</w:t>
      </w:r>
      <w:r>
        <w:rPr>
          <w:rFonts w:hint="eastAsia"/>
        </w:rPr>
        <w:t>Fe</w:t>
      </w:r>
      <w:r>
        <w:t>等杂质元素含量是产品</w:t>
      </w:r>
      <w:r>
        <w:rPr>
          <w:rFonts w:hint="eastAsia"/>
        </w:rPr>
        <w:t>等级</w:t>
      </w:r>
      <w:r>
        <w:t>的重要参数</w:t>
      </w:r>
      <w:r>
        <w:rPr>
          <w:rFonts w:hint="eastAsia"/>
        </w:rPr>
        <w:t>，杂质</w:t>
      </w:r>
      <w:r>
        <w:t>含量上限</w:t>
      </w:r>
      <w:r>
        <w:rPr>
          <w:rFonts w:hint="eastAsia"/>
        </w:rPr>
        <w:t>多为0.001</w:t>
      </w:r>
      <w:r>
        <w:t>%</w:t>
      </w:r>
      <w:r>
        <w:rPr>
          <w:rFonts w:hint="eastAsia"/>
        </w:rPr>
        <w:t>，因此</w:t>
      </w:r>
      <w:r>
        <w:t>建立健全高纯锆分析方法标准迫在眉睫。</w:t>
      </w:r>
    </w:p>
    <w:p>
      <w:pPr>
        <w:spacing w:line="300" w:lineRule="auto"/>
        <w:jc w:val="center"/>
      </w:pPr>
      <w:r>
        <w:rPr>
          <w:rFonts w:hint="eastAsia"/>
        </w:rPr>
        <w:t xml:space="preserve">表 </w:t>
      </w:r>
      <w:r>
        <w:t>28</w:t>
      </w:r>
      <w:r>
        <w:rPr>
          <w:rFonts w:hint="eastAsia"/>
        </w:rPr>
        <w:t xml:space="preserve"> 高纯锆锭的化学成分</w:t>
      </w:r>
    </w:p>
    <w:tbl>
      <w:tblPr>
        <w:tblStyle w:val="106"/>
        <w:tblW w:w="9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4"/>
        <w:gridCol w:w="3248"/>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6492" w:type="dxa"/>
            <w:gridSpan w:val="2"/>
            <w:vAlign w:val="center"/>
          </w:tcPr>
          <w:p>
            <w:pPr>
              <w:jc w:val="center"/>
              <w:rPr>
                <w:rFonts w:ascii="宋体" w:hAnsi="宋体"/>
                <w:sz w:val="18"/>
                <w:szCs w:val="18"/>
              </w:rPr>
            </w:pPr>
            <w:r>
              <w:rPr>
                <w:rFonts w:ascii="宋体" w:hAnsi="宋体"/>
                <w:sz w:val="18"/>
                <w:szCs w:val="18"/>
              </w:rPr>
              <w:t>元素</w:t>
            </w:r>
          </w:p>
        </w:tc>
        <w:tc>
          <w:tcPr>
            <w:tcW w:w="3250" w:type="dxa"/>
            <w:vAlign w:val="center"/>
          </w:tcPr>
          <w:p>
            <w:pPr>
              <w:jc w:val="center"/>
              <w:rPr>
                <w:rFonts w:ascii="宋体" w:hAnsi="宋体"/>
                <w:sz w:val="18"/>
                <w:szCs w:val="18"/>
              </w:rPr>
            </w:pPr>
            <w:r>
              <w:rPr>
                <w:rFonts w:hint="eastAsia" w:ascii="宋体" w:hAnsi="宋体"/>
                <w:sz w:val="18"/>
                <w:szCs w:val="18"/>
              </w:rPr>
              <w:t>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Align w:val="center"/>
          </w:tcPr>
          <w:p>
            <w:pPr>
              <w:jc w:val="center"/>
              <w:rPr>
                <w:rFonts w:ascii="宋体" w:hAnsi="宋体"/>
                <w:sz w:val="18"/>
                <w:szCs w:val="18"/>
              </w:rPr>
            </w:pPr>
            <w:r>
              <w:rPr>
                <w:rFonts w:hint="eastAsia" w:ascii="宋体" w:hAnsi="宋体"/>
                <w:sz w:val="18"/>
                <w:szCs w:val="18"/>
              </w:rPr>
              <w:t>主元素，不小于</w:t>
            </w:r>
          </w:p>
        </w:tc>
        <w:tc>
          <w:tcPr>
            <w:tcW w:w="3248" w:type="dxa"/>
            <w:vAlign w:val="center"/>
          </w:tcPr>
          <w:p>
            <w:pPr>
              <w:jc w:val="center"/>
              <w:rPr>
                <w:rFonts w:ascii="宋体" w:hAnsi="宋体"/>
                <w:sz w:val="18"/>
                <w:szCs w:val="18"/>
              </w:rPr>
            </w:pPr>
            <w:r>
              <w:rPr>
                <w:rFonts w:ascii="宋体" w:hAnsi="宋体"/>
                <w:sz w:val="18"/>
                <w:szCs w:val="18"/>
              </w:rPr>
              <w:t>Zr</w:t>
            </w:r>
            <w:r>
              <w:rPr>
                <w:rFonts w:hint="eastAsia" w:ascii="宋体" w:hAnsi="宋体"/>
                <w:sz w:val="18"/>
                <w:szCs w:val="18"/>
                <w:vertAlign w:val="superscript"/>
              </w:rPr>
              <w:t xml:space="preserve"> a</w:t>
            </w:r>
          </w:p>
        </w:tc>
        <w:tc>
          <w:tcPr>
            <w:tcW w:w="3250" w:type="dxa"/>
            <w:vAlign w:val="center"/>
          </w:tcPr>
          <w:p>
            <w:pPr>
              <w:jc w:val="center"/>
              <w:rPr>
                <w:rFonts w:ascii="宋体" w:hAnsi="宋体"/>
                <w:sz w:val="18"/>
                <w:szCs w:val="18"/>
              </w:rPr>
            </w:pPr>
            <w:r>
              <w:rPr>
                <w:rFonts w:ascii="宋体" w:hAnsi="宋体"/>
                <w:sz w:val="18"/>
                <w:szCs w:val="18"/>
              </w:rPr>
              <w:t>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restart"/>
            <w:vAlign w:val="center"/>
          </w:tcPr>
          <w:p>
            <w:pPr>
              <w:jc w:val="center"/>
              <w:rPr>
                <w:rFonts w:ascii="宋体" w:hAnsi="宋体"/>
                <w:sz w:val="18"/>
                <w:szCs w:val="18"/>
              </w:rPr>
            </w:pPr>
            <w:r>
              <w:rPr>
                <w:rFonts w:hint="eastAsia" w:ascii="宋体" w:hAnsi="宋体"/>
                <w:sz w:val="18"/>
                <w:szCs w:val="18"/>
              </w:rPr>
              <w:t>杂质元素，不大于</w:t>
            </w:r>
          </w:p>
        </w:tc>
        <w:tc>
          <w:tcPr>
            <w:tcW w:w="3248" w:type="dxa"/>
            <w:vAlign w:val="center"/>
          </w:tcPr>
          <w:p>
            <w:pPr>
              <w:jc w:val="center"/>
              <w:rPr>
                <w:rFonts w:ascii="宋体" w:hAnsi="宋体"/>
                <w:sz w:val="18"/>
                <w:szCs w:val="18"/>
              </w:rPr>
            </w:pPr>
            <w:r>
              <w:rPr>
                <w:rFonts w:ascii="宋体" w:hAnsi="宋体"/>
                <w:sz w:val="18"/>
                <w:szCs w:val="18"/>
              </w:rPr>
              <w:t>Hf</w:t>
            </w:r>
          </w:p>
        </w:tc>
        <w:tc>
          <w:tcPr>
            <w:tcW w:w="3250" w:type="dxa"/>
            <w:vAlign w:val="center"/>
          </w:tcPr>
          <w:p>
            <w:pPr>
              <w:jc w:val="center"/>
              <w:rPr>
                <w:rFonts w:ascii="宋体" w:hAnsi="宋体"/>
                <w:sz w:val="18"/>
                <w:szCs w:val="18"/>
              </w:rPr>
            </w:pPr>
            <w:r>
              <w:rPr>
                <w:rFonts w:ascii="宋体" w:hAnsi="宋体"/>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Al</w:t>
            </w:r>
          </w:p>
        </w:tc>
        <w:tc>
          <w:tcPr>
            <w:tcW w:w="3250" w:type="dxa"/>
            <w:vAlign w:val="center"/>
          </w:tcPr>
          <w:p>
            <w:pPr>
              <w:jc w:val="center"/>
              <w:rPr>
                <w:rFonts w:ascii="宋体" w:hAnsi="宋体"/>
                <w:sz w:val="18"/>
                <w:szCs w:val="18"/>
              </w:rPr>
            </w:pPr>
            <w:r>
              <w:rPr>
                <w:rFonts w:ascii="宋体"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Ca</w:t>
            </w:r>
          </w:p>
        </w:tc>
        <w:tc>
          <w:tcPr>
            <w:tcW w:w="3250" w:type="dxa"/>
            <w:vAlign w:val="center"/>
          </w:tcPr>
          <w:p>
            <w:pPr>
              <w:jc w:val="center"/>
              <w:rPr>
                <w:rFonts w:ascii="宋体" w:hAnsi="宋体"/>
                <w:sz w:val="18"/>
                <w:szCs w:val="18"/>
              </w:rPr>
            </w:pPr>
            <w:r>
              <w:rPr>
                <w:rFonts w:ascii="宋体"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Co</w:t>
            </w:r>
          </w:p>
        </w:tc>
        <w:tc>
          <w:tcPr>
            <w:tcW w:w="3250" w:type="dxa"/>
            <w:vAlign w:val="center"/>
          </w:tcPr>
          <w:p>
            <w:pPr>
              <w:jc w:val="center"/>
              <w:rPr>
                <w:rFonts w:ascii="宋体" w:hAnsi="宋体"/>
                <w:sz w:val="18"/>
                <w:szCs w:val="18"/>
              </w:rPr>
            </w:pPr>
            <w:r>
              <w:rPr>
                <w:rFonts w:ascii="宋体"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Cr</w:t>
            </w:r>
          </w:p>
        </w:tc>
        <w:tc>
          <w:tcPr>
            <w:tcW w:w="3250" w:type="dxa"/>
            <w:vAlign w:val="center"/>
          </w:tcPr>
          <w:p>
            <w:pPr>
              <w:jc w:val="center"/>
              <w:rPr>
                <w:rFonts w:ascii="宋体" w:hAnsi="宋体"/>
                <w:sz w:val="18"/>
                <w:szCs w:val="18"/>
              </w:rPr>
            </w:pPr>
            <w:r>
              <w:rPr>
                <w:rFonts w:ascii="宋体"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Cu</w:t>
            </w:r>
          </w:p>
        </w:tc>
        <w:tc>
          <w:tcPr>
            <w:tcW w:w="3250" w:type="dxa"/>
            <w:vAlign w:val="center"/>
          </w:tcPr>
          <w:p>
            <w:pPr>
              <w:jc w:val="center"/>
              <w:rPr>
                <w:rFonts w:ascii="宋体" w:hAnsi="宋体"/>
                <w:sz w:val="18"/>
                <w:szCs w:val="18"/>
              </w:rPr>
            </w:pPr>
            <w:r>
              <w:rPr>
                <w:rFonts w:ascii="宋体"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Fe</w:t>
            </w:r>
          </w:p>
        </w:tc>
        <w:tc>
          <w:tcPr>
            <w:tcW w:w="3250" w:type="dxa"/>
            <w:vAlign w:val="center"/>
          </w:tcPr>
          <w:p>
            <w:pPr>
              <w:jc w:val="center"/>
              <w:rPr>
                <w:rFonts w:ascii="宋体" w:hAnsi="宋体"/>
                <w:sz w:val="18"/>
                <w:szCs w:val="18"/>
              </w:rPr>
            </w:pPr>
            <w:r>
              <w:rPr>
                <w:rFonts w:ascii="宋体" w:hAnsi="宋体"/>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Mg</w:t>
            </w:r>
          </w:p>
        </w:tc>
        <w:tc>
          <w:tcPr>
            <w:tcW w:w="3250" w:type="dxa"/>
            <w:vAlign w:val="center"/>
          </w:tcPr>
          <w:p>
            <w:pPr>
              <w:jc w:val="center"/>
              <w:rPr>
                <w:rFonts w:ascii="宋体" w:hAnsi="宋体"/>
                <w:sz w:val="18"/>
                <w:szCs w:val="18"/>
              </w:rPr>
            </w:pPr>
            <w:r>
              <w:rPr>
                <w:rFonts w:ascii="宋体"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Mn</w:t>
            </w:r>
          </w:p>
        </w:tc>
        <w:tc>
          <w:tcPr>
            <w:tcW w:w="3250" w:type="dxa"/>
            <w:vAlign w:val="center"/>
          </w:tcPr>
          <w:p>
            <w:pPr>
              <w:jc w:val="center"/>
              <w:rPr>
                <w:rFonts w:ascii="宋体" w:hAnsi="宋体"/>
                <w:sz w:val="18"/>
                <w:szCs w:val="18"/>
              </w:rPr>
            </w:pPr>
            <w:r>
              <w:rPr>
                <w:rFonts w:ascii="宋体"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Mo</w:t>
            </w:r>
          </w:p>
        </w:tc>
        <w:tc>
          <w:tcPr>
            <w:tcW w:w="3250" w:type="dxa"/>
            <w:vAlign w:val="center"/>
          </w:tcPr>
          <w:p>
            <w:pPr>
              <w:jc w:val="center"/>
              <w:rPr>
                <w:rFonts w:ascii="宋体" w:hAnsi="宋体"/>
                <w:sz w:val="18"/>
                <w:szCs w:val="18"/>
              </w:rPr>
            </w:pPr>
            <w:r>
              <w:rPr>
                <w:rFonts w:ascii="宋体"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Na</w:t>
            </w:r>
          </w:p>
        </w:tc>
        <w:tc>
          <w:tcPr>
            <w:tcW w:w="3250" w:type="dxa"/>
            <w:vAlign w:val="center"/>
          </w:tcPr>
          <w:p>
            <w:pPr>
              <w:jc w:val="center"/>
              <w:rPr>
                <w:rFonts w:ascii="宋体" w:hAnsi="宋体"/>
                <w:sz w:val="18"/>
                <w:szCs w:val="18"/>
              </w:rPr>
            </w:pPr>
            <w:r>
              <w:rPr>
                <w:rFonts w:ascii="宋体"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Ni</w:t>
            </w:r>
          </w:p>
        </w:tc>
        <w:tc>
          <w:tcPr>
            <w:tcW w:w="3250" w:type="dxa"/>
            <w:vAlign w:val="center"/>
          </w:tcPr>
          <w:p>
            <w:pPr>
              <w:jc w:val="center"/>
              <w:rPr>
                <w:rFonts w:ascii="宋体" w:hAnsi="宋体"/>
                <w:sz w:val="18"/>
                <w:szCs w:val="18"/>
              </w:rPr>
            </w:pPr>
            <w:r>
              <w:rPr>
                <w:rFonts w:ascii="宋体"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Pb</w:t>
            </w:r>
          </w:p>
        </w:tc>
        <w:tc>
          <w:tcPr>
            <w:tcW w:w="3250" w:type="dxa"/>
            <w:vAlign w:val="center"/>
          </w:tcPr>
          <w:p>
            <w:pPr>
              <w:jc w:val="center"/>
              <w:rPr>
                <w:rFonts w:ascii="宋体" w:hAnsi="宋体"/>
                <w:sz w:val="18"/>
                <w:szCs w:val="18"/>
              </w:rPr>
            </w:pPr>
            <w:r>
              <w:rPr>
                <w:rFonts w:ascii="宋体"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Si</w:t>
            </w:r>
          </w:p>
        </w:tc>
        <w:tc>
          <w:tcPr>
            <w:tcW w:w="3250" w:type="dxa"/>
            <w:vAlign w:val="center"/>
          </w:tcPr>
          <w:p>
            <w:pPr>
              <w:jc w:val="center"/>
              <w:rPr>
                <w:rFonts w:ascii="宋体" w:hAnsi="宋体"/>
                <w:sz w:val="18"/>
                <w:szCs w:val="18"/>
              </w:rPr>
            </w:pPr>
            <w:r>
              <w:rPr>
                <w:rFonts w:ascii="宋体" w:hAnsi="宋体"/>
                <w:sz w:val="18"/>
                <w:szCs w:val="18"/>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Sn</w:t>
            </w:r>
          </w:p>
        </w:tc>
        <w:tc>
          <w:tcPr>
            <w:tcW w:w="3250" w:type="dxa"/>
            <w:vAlign w:val="center"/>
          </w:tcPr>
          <w:p>
            <w:pPr>
              <w:jc w:val="center"/>
              <w:rPr>
                <w:rFonts w:ascii="宋体" w:hAnsi="宋体"/>
                <w:sz w:val="18"/>
                <w:szCs w:val="18"/>
              </w:rPr>
            </w:pPr>
            <w:r>
              <w:rPr>
                <w:rFonts w:ascii="宋体"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Ti</w:t>
            </w:r>
          </w:p>
        </w:tc>
        <w:tc>
          <w:tcPr>
            <w:tcW w:w="3250" w:type="dxa"/>
            <w:vAlign w:val="center"/>
          </w:tcPr>
          <w:p>
            <w:pPr>
              <w:jc w:val="center"/>
              <w:rPr>
                <w:rFonts w:ascii="宋体" w:hAnsi="宋体"/>
                <w:sz w:val="18"/>
                <w:szCs w:val="18"/>
              </w:rPr>
            </w:pPr>
            <w:r>
              <w:rPr>
                <w:rFonts w:ascii="宋体"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V</w:t>
            </w:r>
          </w:p>
        </w:tc>
        <w:tc>
          <w:tcPr>
            <w:tcW w:w="3250" w:type="dxa"/>
            <w:vAlign w:val="center"/>
          </w:tcPr>
          <w:p>
            <w:pPr>
              <w:jc w:val="center"/>
              <w:rPr>
                <w:rFonts w:ascii="宋体" w:hAnsi="宋体"/>
                <w:sz w:val="18"/>
                <w:szCs w:val="18"/>
              </w:rPr>
            </w:pPr>
            <w:r>
              <w:rPr>
                <w:rFonts w:ascii="宋体"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W</w:t>
            </w:r>
          </w:p>
        </w:tc>
        <w:tc>
          <w:tcPr>
            <w:tcW w:w="3250" w:type="dxa"/>
            <w:vAlign w:val="center"/>
          </w:tcPr>
          <w:p>
            <w:pPr>
              <w:jc w:val="center"/>
              <w:rPr>
                <w:rFonts w:ascii="宋体" w:hAnsi="宋体"/>
                <w:sz w:val="18"/>
                <w:szCs w:val="18"/>
              </w:rPr>
            </w:pPr>
            <w:r>
              <w:rPr>
                <w:rFonts w:ascii="宋体"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Cl</w:t>
            </w:r>
          </w:p>
        </w:tc>
        <w:tc>
          <w:tcPr>
            <w:tcW w:w="3250" w:type="dxa"/>
            <w:vAlign w:val="center"/>
          </w:tcPr>
          <w:p>
            <w:pPr>
              <w:jc w:val="center"/>
              <w:rPr>
                <w:rFonts w:ascii="宋体" w:hAnsi="宋体"/>
                <w:sz w:val="18"/>
                <w:szCs w:val="18"/>
              </w:rPr>
            </w:pPr>
            <w:r>
              <w:rPr>
                <w:rFonts w:ascii="宋体"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C</w:t>
            </w:r>
          </w:p>
        </w:tc>
        <w:tc>
          <w:tcPr>
            <w:tcW w:w="3250" w:type="dxa"/>
            <w:vAlign w:val="center"/>
          </w:tcPr>
          <w:p>
            <w:pPr>
              <w:jc w:val="center"/>
              <w:rPr>
                <w:rFonts w:ascii="宋体" w:hAnsi="宋体"/>
                <w:sz w:val="18"/>
                <w:szCs w:val="18"/>
              </w:rPr>
            </w:pPr>
            <w:r>
              <w:rPr>
                <w:rFonts w:ascii="宋体" w:hAnsi="宋体"/>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H</w:t>
            </w:r>
          </w:p>
        </w:tc>
        <w:tc>
          <w:tcPr>
            <w:tcW w:w="3250" w:type="dxa"/>
            <w:vAlign w:val="center"/>
          </w:tcPr>
          <w:p>
            <w:pPr>
              <w:jc w:val="center"/>
              <w:rPr>
                <w:rFonts w:ascii="宋体" w:hAnsi="宋体"/>
                <w:sz w:val="18"/>
                <w:szCs w:val="18"/>
              </w:rPr>
            </w:pPr>
            <w:r>
              <w:rPr>
                <w:rFonts w:ascii="宋体" w:hAnsi="宋体"/>
                <w:sz w:val="18"/>
                <w:szCs w:val="18"/>
              </w:rPr>
              <w:t>0.002</w:t>
            </w:r>
          </w:p>
        </w:tc>
      </w:tr>
      <w:tr>
        <w:tblPrEx>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N</w:t>
            </w:r>
          </w:p>
        </w:tc>
        <w:tc>
          <w:tcPr>
            <w:tcW w:w="3250" w:type="dxa"/>
            <w:vAlign w:val="center"/>
          </w:tcPr>
          <w:p>
            <w:pPr>
              <w:jc w:val="center"/>
              <w:rPr>
                <w:rFonts w:ascii="宋体" w:hAnsi="宋体"/>
                <w:sz w:val="18"/>
                <w:szCs w:val="18"/>
              </w:rPr>
            </w:pPr>
            <w:r>
              <w:rPr>
                <w:rFonts w:ascii="宋体" w:hAnsi="宋体"/>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4" w:type="dxa"/>
            <w:vMerge w:val="continue"/>
            <w:vAlign w:val="center"/>
          </w:tcPr>
          <w:p>
            <w:pPr>
              <w:jc w:val="center"/>
              <w:rPr>
                <w:rFonts w:ascii="宋体" w:hAnsi="宋体"/>
                <w:sz w:val="18"/>
                <w:szCs w:val="18"/>
              </w:rPr>
            </w:pPr>
          </w:p>
        </w:tc>
        <w:tc>
          <w:tcPr>
            <w:tcW w:w="3248" w:type="dxa"/>
            <w:vAlign w:val="center"/>
          </w:tcPr>
          <w:p>
            <w:pPr>
              <w:jc w:val="center"/>
              <w:rPr>
                <w:rFonts w:ascii="宋体" w:hAnsi="宋体"/>
                <w:sz w:val="18"/>
                <w:szCs w:val="18"/>
              </w:rPr>
            </w:pPr>
            <w:r>
              <w:rPr>
                <w:rFonts w:ascii="宋体" w:hAnsi="宋体"/>
                <w:sz w:val="18"/>
                <w:szCs w:val="18"/>
              </w:rPr>
              <w:t>O</w:t>
            </w:r>
          </w:p>
        </w:tc>
        <w:tc>
          <w:tcPr>
            <w:tcW w:w="3250" w:type="dxa"/>
            <w:vAlign w:val="center"/>
          </w:tcPr>
          <w:p>
            <w:pPr>
              <w:jc w:val="center"/>
              <w:rPr>
                <w:rFonts w:ascii="宋体" w:hAnsi="宋体"/>
                <w:sz w:val="18"/>
                <w:szCs w:val="18"/>
              </w:rPr>
            </w:pPr>
            <w:r>
              <w:rPr>
                <w:rFonts w:ascii="宋体" w:hAnsi="宋体"/>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2" w:type="dxa"/>
            <w:gridSpan w:val="3"/>
            <w:vAlign w:val="center"/>
          </w:tcPr>
          <w:p>
            <w:pPr>
              <w:jc w:val="left"/>
              <w:rPr>
                <w:rFonts w:ascii="宋体" w:hAnsi="宋体"/>
                <w:sz w:val="18"/>
                <w:szCs w:val="18"/>
              </w:rPr>
            </w:pPr>
            <w:r>
              <w:rPr>
                <w:rFonts w:hint="eastAsia" w:ascii="宋体" w:hAnsi="宋体"/>
                <w:sz w:val="18"/>
                <w:szCs w:val="18"/>
                <w:vertAlign w:val="superscript"/>
              </w:rPr>
              <w:t>a</w:t>
            </w:r>
            <w:r>
              <w:rPr>
                <w:rFonts w:hint="eastAsia" w:ascii="宋体" w:hAnsi="宋体"/>
                <w:sz w:val="18"/>
                <w:szCs w:val="18"/>
              </w:rPr>
              <w:t>：锆含量为100%减去所列杂质元素（不含</w:t>
            </w:r>
            <w:r>
              <w:rPr>
                <w:rFonts w:ascii="宋体" w:hAnsi="宋体"/>
                <w:sz w:val="18"/>
                <w:szCs w:val="18"/>
              </w:rPr>
              <w:t>Cl</w:t>
            </w:r>
            <w:r>
              <w:rPr>
                <w:rFonts w:hint="eastAsia" w:ascii="宋体" w:hAnsi="宋体"/>
                <w:sz w:val="18"/>
                <w:szCs w:val="18"/>
              </w:rPr>
              <w:t>、</w:t>
            </w:r>
            <w:r>
              <w:rPr>
                <w:rFonts w:ascii="宋体" w:hAnsi="宋体"/>
                <w:sz w:val="18"/>
                <w:szCs w:val="18"/>
              </w:rPr>
              <w:t xml:space="preserve"> C</w:t>
            </w:r>
            <w:r>
              <w:rPr>
                <w:rFonts w:hint="eastAsia" w:ascii="宋体" w:hAnsi="宋体"/>
                <w:sz w:val="18"/>
                <w:szCs w:val="18"/>
              </w:rPr>
              <w:t>、</w:t>
            </w:r>
            <w:r>
              <w:rPr>
                <w:rFonts w:ascii="宋体" w:hAnsi="宋体"/>
                <w:sz w:val="18"/>
                <w:szCs w:val="18"/>
              </w:rPr>
              <w:t xml:space="preserve"> H </w:t>
            </w:r>
            <w:r>
              <w:rPr>
                <w:rFonts w:hint="eastAsia" w:ascii="宋体" w:hAnsi="宋体"/>
                <w:sz w:val="18"/>
                <w:szCs w:val="18"/>
              </w:rPr>
              <w:t>、</w:t>
            </w:r>
            <w:r>
              <w:rPr>
                <w:rFonts w:ascii="宋体" w:hAnsi="宋体"/>
                <w:sz w:val="18"/>
                <w:szCs w:val="18"/>
              </w:rPr>
              <w:t>N</w:t>
            </w:r>
            <w:r>
              <w:rPr>
                <w:rFonts w:hint="eastAsia" w:ascii="宋体" w:hAnsi="宋体"/>
                <w:sz w:val="18"/>
                <w:szCs w:val="18"/>
              </w:rPr>
              <w:t>、</w:t>
            </w:r>
            <w:r>
              <w:rPr>
                <w:rFonts w:ascii="宋体" w:hAnsi="宋体"/>
                <w:sz w:val="18"/>
                <w:szCs w:val="18"/>
              </w:rPr>
              <w:t xml:space="preserve"> O</w:t>
            </w:r>
            <w:r>
              <w:rPr>
                <w:rFonts w:hint="eastAsia" w:ascii="宋体" w:hAnsi="宋体"/>
                <w:sz w:val="18"/>
                <w:szCs w:val="18"/>
              </w:rPr>
              <w:t>）的余量。</w:t>
            </w:r>
          </w:p>
        </w:tc>
      </w:tr>
    </w:tbl>
    <w:p>
      <w:pPr>
        <w:autoSpaceDE w:val="0"/>
        <w:autoSpaceDN w:val="0"/>
        <w:adjustRightInd w:val="0"/>
        <w:spacing w:line="300" w:lineRule="auto"/>
      </w:pPr>
    </w:p>
    <w:p>
      <w:pPr>
        <w:spacing w:line="300" w:lineRule="auto"/>
        <w:ind w:firstLine="420"/>
      </w:pPr>
      <w:r>
        <w:t>已经颁布的 GB/T 13747《锆及锆合金化学分析方法》标准系列采用光度法、原子吸收光谱法、电感耦合等离子体质谱法、电感耦合等离子体发射光谱法等方法对锆及锆合金产品中杂质元素进行分析，然方法涉及元素仍不够全面，检出限也不能满足高纯锆的需求。而辉光放电质谱法在高纯金属的检测方面具有独特的优势，本标准旨在采用这一先进技术，对高纯锆中杂质元素进行全面的分析，弥补该领域的空白</w:t>
      </w:r>
      <w:r>
        <w:rPr>
          <w:rFonts w:hint="eastAsia"/>
        </w:rPr>
        <w:t>。</w:t>
      </w:r>
      <w:r>
        <w:t>本标准</w:t>
      </w:r>
      <w:r>
        <w:rPr>
          <w:rFonts w:hint="eastAsia"/>
        </w:rPr>
        <w:t>主要服务</w:t>
      </w:r>
      <w:r>
        <w:t>于《</w:t>
      </w:r>
      <w:r>
        <w:rPr>
          <w:rFonts w:hint="eastAsia"/>
        </w:rPr>
        <w:t>高纯</w:t>
      </w:r>
      <w:r>
        <w:t>锆锭》</w:t>
      </w:r>
      <w:r>
        <w:rPr>
          <w:rFonts w:hint="eastAsia"/>
        </w:rPr>
        <w:t>产品</w:t>
      </w:r>
      <w:r>
        <w:t>标准</w:t>
      </w:r>
      <w:r>
        <w:rPr>
          <w:rFonts w:hint="eastAsia"/>
        </w:rPr>
        <w:t>，</w:t>
      </w:r>
      <w:r>
        <w:t>有助于产品质量提升。</w:t>
      </w:r>
    </w:p>
    <w:p>
      <w:pPr>
        <w:spacing w:before="156" w:beforeLines="50" w:after="156" w:afterLines="50" w:line="312" w:lineRule="auto"/>
        <w:rPr>
          <w:rFonts w:ascii="黑体" w:hAnsi="宋体" w:eastAsia="黑体"/>
          <w:bCs/>
          <w:sz w:val="24"/>
        </w:rPr>
      </w:pPr>
      <w:r>
        <w:rPr>
          <w:rFonts w:hint="eastAsia" w:ascii="黑体" w:hAnsi="宋体" w:eastAsia="黑体"/>
          <w:bCs/>
          <w:sz w:val="24"/>
        </w:rPr>
        <w:t>（二）项目的可行性</w:t>
      </w:r>
    </w:p>
    <w:p>
      <w:pPr>
        <w:spacing w:line="312" w:lineRule="auto"/>
        <w:ind w:firstLine="420"/>
      </w:pPr>
      <w:r>
        <w:t>辉光放电质谱</w:t>
      </w:r>
      <w:r>
        <w:rPr>
          <w:rFonts w:hint="eastAsia"/>
        </w:rPr>
        <w:t>（GDMS）</w:t>
      </w:r>
      <w:r>
        <w:t>具有优越的检测限和宽动态线性范围，且样品制备简单、基体效应低，近20年来得到了快速发展，是高纯金属、半导体材料痕量杂质元素分析的</w:t>
      </w:r>
      <w:r>
        <w:rPr>
          <w:rFonts w:hint="eastAsia"/>
        </w:rPr>
        <w:t>重要</w:t>
      </w:r>
      <w:r>
        <w:t>手段，</w:t>
      </w:r>
      <w:r>
        <w:rPr>
          <w:rFonts w:hint="eastAsia"/>
        </w:rPr>
        <w:t>弥补</w:t>
      </w:r>
      <w:r>
        <w:t>了其它方法检出限无法满足测试需要的缺陷。目前采用辉光放电质谱法分析样品中痕量杂质已经具有成熟的经验，</w:t>
      </w:r>
      <w:r>
        <w:rPr>
          <w:rFonts w:hint="eastAsia"/>
        </w:rPr>
        <w:t>国内外均有</w:t>
      </w:r>
      <w:r>
        <w:t>GDMS</w:t>
      </w:r>
      <w:r>
        <w:rPr>
          <w:rFonts w:hint="eastAsia"/>
        </w:rPr>
        <w:t>分析方法标准的颁布</w:t>
      </w:r>
      <w:r>
        <w:t>。因此，</w:t>
      </w:r>
      <w:r>
        <w:rPr>
          <w:rFonts w:hint="eastAsia"/>
        </w:rPr>
        <w:t>采用GDMS测定</w:t>
      </w:r>
      <w:r>
        <w:t>高纯</w:t>
      </w:r>
      <w:r>
        <w:rPr>
          <w:rFonts w:hint="eastAsia"/>
        </w:rPr>
        <w:t>锆</w:t>
      </w:r>
      <w:r>
        <w:t>中痕量金属杂质</w:t>
      </w:r>
      <w:r>
        <w:rPr>
          <w:rFonts w:hint="eastAsia"/>
        </w:rPr>
        <w:t>在</w:t>
      </w:r>
      <w:r>
        <w:t>技术上</w:t>
      </w:r>
      <w:r>
        <w:rPr>
          <w:rFonts w:hint="eastAsia"/>
        </w:rPr>
        <w:t>是</w:t>
      </w:r>
      <w:r>
        <w:t>可行的</w:t>
      </w:r>
      <w:r>
        <w:rPr>
          <w:rFonts w:hint="eastAsia"/>
        </w:rPr>
        <w:t>。</w:t>
      </w:r>
    </w:p>
    <w:p>
      <w:pPr>
        <w:spacing w:line="312" w:lineRule="auto"/>
        <w:ind w:firstLine="420"/>
        <w:rPr>
          <w:highlight w:val="yellow"/>
        </w:rPr>
      </w:pPr>
      <w:r>
        <w:rPr>
          <w:rFonts w:hint="eastAsia"/>
        </w:rPr>
        <w:t>起草</w:t>
      </w:r>
      <w:r>
        <w:t>单位国合通用测试评价认证股份公司</w:t>
      </w:r>
      <w:r>
        <w:rPr>
          <w:rFonts w:hint="eastAsia"/>
        </w:rPr>
        <w:t>、</w:t>
      </w:r>
      <w:r>
        <w:t>国标（北京）检验认证有限公司</w:t>
      </w:r>
      <w:r>
        <w:rPr>
          <w:rFonts w:hint="eastAsia"/>
        </w:rPr>
        <w:t>具有</w:t>
      </w:r>
      <w:r>
        <w:t>成熟的技术基础，辉光放电质谱法测定高纯锆中痕量杂质元素</w:t>
      </w:r>
      <w:r>
        <w:rPr>
          <w:rFonts w:hint="eastAsia"/>
        </w:rPr>
        <w:t>作为</w:t>
      </w:r>
      <w:r>
        <w:t>企业</w:t>
      </w:r>
      <w:r>
        <w:rPr>
          <w:rFonts w:hint="eastAsia"/>
        </w:rPr>
        <w:t>内部</w:t>
      </w:r>
      <w:r>
        <w:t>已经应用多年</w:t>
      </w:r>
      <w:r>
        <w:rPr>
          <w:rFonts w:hint="eastAsia"/>
        </w:rPr>
        <w:t>，</w:t>
      </w:r>
      <w:r>
        <w:t>并于</w:t>
      </w:r>
      <w:r>
        <w:rPr>
          <w:rFonts w:hint="eastAsia"/>
        </w:rPr>
        <w:t>2019年</w:t>
      </w:r>
      <w:r>
        <w:t>发表中文核心期刊文章</w:t>
      </w:r>
      <w:r>
        <w:rPr>
          <w:rFonts w:hint="eastAsia"/>
        </w:rPr>
        <w:t>《辉光放电质谱法测定高纯锆中36种痕量杂质元素》。本项目</w:t>
      </w:r>
      <w:r>
        <w:t>将</w:t>
      </w:r>
      <w:r>
        <w:rPr>
          <w:rFonts w:hint="eastAsia"/>
        </w:rPr>
        <w:t>完成</w:t>
      </w:r>
      <w:r>
        <w:t>方法的标准化，同时</w:t>
      </w:r>
      <w:r>
        <w:rPr>
          <w:rFonts w:hint="eastAsia"/>
        </w:rPr>
        <w:t>通过方法</w:t>
      </w:r>
      <w:r>
        <w:t>比对、</w:t>
      </w:r>
      <w:r>
        <w:rPr>
          <w:rFonts w:hint="eastAsia"/>
        </w:rPr>
        <w:t>多家</w:t>
      </w:r>
      <w:r>
        <w:t>验证单位进行验证试验等</w:t>
      </w:r>
      <w:r>
        <w:rPr>
          <w:rFonts w:hint="eastAsia"/>
        </w:rPr>
        <w:t>充分验证方法</w:t>
      </w:r>
      <w:r>
        <w:t>的可靠性，</w:t>
      </w:r>
      <w:r>
        <w:rPr>
          <w:rFonts w:hint="eastAsia"/>
        </w:rPr>
        <w:t>也</w:t>
      </w:r>
      <w:r>
        <w:t>为方法日后推广打下基础。</w:t>
      </w:r>
    </w:p>
    <w:p>
      <w:pPr>
        <w:spacing w:before="156" w:beforeLines="50" w:after="156" w:afterLines="50" w:line="312" w:lineRule="auto"/>
        <w:rPr>
          <w:rFonts w:ascii="黑体" w:hAnsi="宋体" w:eastAsia="黑体"/>
          <w:bCs/>
          <w:sz w:val="24"/>
        </w:rPr>
      </w:pPr>
      <w:r>
        <w:rPr>
          <w:rFonts w:hint="eastAsia" w:ascii="黑体" w:hAnsi="宋体" w:eastAsia="黑体"/>
          <w:bCs/>
          <w:sz w:val="24"/>
        </w:rPr>
        <w:t>（三）标准预期的</w:t>
      </w:r>
      <w:r>
        <w:rPr>
          <w:rFonts w:ascii="黑体" w:hAnsi="宋体" w:eastAsia="黑体"/>
          <w:bCs/>
          <w:sz w:val="24"/>
        </w:rPr>
        <w:t>作用和</w:t>
      </w:r>
      <w:r>
        <w:rPr>
          <w:rFonts w:hint="eastAsia" w:ascii="黑体" w:hAnsi="宋体" w:eastAsia="黑体"/>
          <w:bCs/>
          <w:sz w:val="24"/>
        </w:rPr>
        <w:t>效益</w:t>
      </w:r>
    </w:p>
    <w:p>
      <w:pPr>
        <w:spacing w:line="312" w:lineRule="auto"/>
        <w:ind w:firstLine="420"/>
        <w:rPr>
          <w:szCs w:val="21"/>
        </w:rPr>
      </w:pPr>
      <w:r>
        <w:t>我国锆产业发展主要是兼顾民用锆和高纯锆的需求，建立高纯锆材的检测、评估及质保体系。由于锆突出的核</w:t>
      </w:r>
      <w:r>
        <w:rPr>
          <w:rFonts w:hint="eastAsia"/>
        </w:rPr>
        <w:t>性能</w:t>
      </w:r>
      <w:r>
        <w:t>，是发展原子能工业不可缺少材料，纯度大于99.99%高纯锆目前主要应用于军工科研单位。有研科技集团有限公司</w:t>
      </w:r>
      <w:r>
        <w:rPr>
          <w:rFonts w:hint="eastAsia"/>
        </w:rPr>
        <w:t>、</w:t>
      </w:r>
      <w:r>
        <w:t>国核宝钛锆业股份公司</w:t>
      </w:r>
      <w:r>
        <w:rPr>
          <w:rFonts w:hint="eastAsia"/>
        </w:rPr>
        <w:t>等单位均是</w:t>
      </w:r>
      <w:r>
        <w:t>高纯锆产品的主要生产单位。军工单位在产品性能方面具有更加严格的要求，高纯锆检测标准的制定必将为产品质量的把控起到关键性作用</w:t>
      </w:r>
      <w:r>
        <w:rPr>
          <w:rFonts w:hint="eastAsia"/>
        </w:rPr>
        <w:t>，</w:t>
      </w:r>
      <w:r>
        <w:rPr>
          <w:szCs w:val="21"/>
        </w:rPr>
        <w:t>能够好的推动</w:t>
      </w:r>
      <w:r>
        <w:rPr>
          <w:rFonts w:hint="eastAsia"/>
          <w:szCs w:val="21"/>
        </w:rPr>
        <w:t>锆</w:t>
      </w:r>
      <w:r>
        <w:rPr>
          <w:szCs w:val="21"/>
        </w:rPr>
        <w:t>产业的发展</w:t>
      </w:r>
      <w:r>
        <w:rPr>
          <w:rFonts w:hint="eastAsia"/>
          <w:szCs w:val="21"/>
        </w:rPr>
        <w:t>，带来更好的经济效益和社会效益。</w:t>
      </w:r>
    </w:p>
    <w:p>
      <w:pPr>
        <w:spacing w:line="312" w:lineRule="auto"/>
        <w:ind w:firstLine="420"/>
        <w:rPr>
          <w:szCs w:val="21"/>
        </w:rPr>
      </w:pPr>
      <w:r>
        <w:rPr>
          <w:kern w:val="0"/>
          <w:szCs w:val="20"/>
        </w:rPr>
        <w:t>本标准</w:t>
      </w:r>
      <w:r>
        <w:rPr>
          <w:rFonts w:hint="eastAsia"/>
          <w:kern w:val="0"/>
          <w:szCs w:val="20"/>
        </w:rPr>
        <w:t>属于分析</w:t>
      </w:r>
      <w:r>
        <w:rPr>
          <w:kern w:val="0"/>
          <w:szCs w:val="20"/>
        </w:rPr>
        <w:t>方法标准，服务于产品标准，</w:t>
      </w:r>
      <w:r>
        <w:rPr>
          <w:rFonts w:hint="eastAsia"/>
          <w:kern w:val="0"/>
          <w:szCs w:val="20"/>
        </w:rPr>
        <w:t>能够满足高纯锆产品的检测</w:t>
      </w:r>
      <w:r>
        <w:rPr>
          <w:kern w:val="0"/>
          <w:szCs w:val="20"/>
        </w:rPr>
        <w:t>需求</w:t>
      </w:r>
      <w:r>
        <w:rPr>
          <w:rFonts w:hint="eastAsia"/>
          <w:kern w:val="0"/>
          <w:szCs w:val="20"/>
        </w:rPr>
        <w:t>。</w:t>
      </w:r>
      <w:r>
        <w:rPr>
          <w:kern w:val="0"/>
          <w:szCs w:val="20"/>
        </w:rPr>
        <w:t>本部分是对</w:t>
      </w:r>
      <w:r>
        <w:t>GB/T 13747《锆及锆合金化学分析方法》</w:t>
      </w:r>
      <w:r>
        <w:rPr>
          <w:rFonts w:hint="eastAsia"/>
          <w:kern w:val="0"/>
          <w:szCs w:val="20"/>
        </w:rPr>
        <w:t>系列</w:t>
      </w:r>
      <w:r>
        <w:rPr>
          <w:kern w:val="0"/>
          <w:szCs w:val="20"/>
        </w:rPr>
        <w:t>的补充完善，</w:t>
      </w:r>
      <w:r>
        <w:rPr>
          <w:rFonts w:hint="eastAsia"/>
          <w:kern w:val="0"/>
          <w:szCs w:val="20"/>
        </w:rPr>
        <w:t>增加了</w:t>
      </w:r>
      <w:r>
        <w:rPr>
          <w:kern w:val="0"/>
          <w:szCs w:val="20"/>
        </w:rPr>
        <w:t>元素种类，扩大了检测范围。</w:t>
      </w:r>
      <w:r>
        <w:rPr>
          <w:szCs w:val="21"/>
        </w:rPr>
        <w:t>本标准的颁布实施</w:t>
      </w:r>
      <w:r>
        <w:rPr>
          <w:rFonts w:hint="eastAsia"/>
          <w:szCs w:val="21"/>
        </w:rPr>
        <w:t>有助于</w:t>
      </w:r>
      <w:r>
        <w:rPr>
          <w:szCs w:val="21"/>
        </w:rPr>
        <w:t>各检测机构</w:t>
      </w:r>
      <w:r>
        <w:rPr>
          <w:rFonts w:hint="eastAsia"/>
        </w:rPr>
        <w:t>统一</w:t>
      </w:r>
      <w:r>
        <w:t>标准，</w:t>
      </w:r>
      <w:r>
        <w:rPr>
          <w:szCs w:val="21"/>
        </w:rPr>
        <w:t>提高数据的准确度</w:t>
      </w:r>
      <w:r>
        <w:rPr>
          <w:rFonts w:hint="eastAsia"/>
          <w:szCs w:val="21"/>
        </w:rPr>
        <w:t>，助力锆产业</w:t>
      </w:r>
      <w:r>
        <w:rPr>
          <w:szCs w:val="21"/>
        </w:rPr>
        <w:t>健康发展。</w:t>
      </w:r>
    </w:p>
    <w:p>
      <w:pPr>
        <w:spacing w:before="156" w:beforeLines="50" w:after="156" w:afterLines="50" w:line="312" w:lineRule="auto"/>
        <w:rPr>
          <w:rFonts w:ascii="黑体" w:hAnsi="宋体" w:eastAsia="黑体"/>
          <w:bCs/>
          <w:sz w:val="24"/>
        </w:rPr>
      </w:pPr>
      <w:r>
        <w:rPr>
          <w:rFonts w:hint="eastAsia" w:ascii="黑体" w:hAnsi="宋体" w:eastAsia="黑体"/>
          <w:bCs/>
          <w:sz w:val="24"/>
        </w:rPr>
        <w:t>六</w:t>
      </w:r>
      <w:r>
        <w:rPr>
          <w:rFonts w:ascii="黑体" w:hAnsi="宋体" w:eastAsia="黑体"/>
          <w:bCs/>
          <w:sz w:val="24"/>
        </w:rPr>
        <w:t>、</w:t>
      </w:r>
      <w:r>
        <w:rPr>
          <w:rFonts w:hint="eastAsia" w:ascii="黑体" w:hAnsi="宋体" w:eastAsia="黑体"/>
          <w:bCs/>
          <w:sz w:val="24"/>
        </w:rPr>
        <w:t>采用国际标准和国外先进标准的情况</w:t>
      </w:r>
    </w:p>
    <w:p>
      <w:pPr>
        <w:spacing w:before="156" w:beforeLines="50" w:after="156" w:afterLines="50" w:line="300" w:lineRule="auto"/>
        <w:ind w:firstLine="420" w:firstLineChars="200"/>
        <w:rPr>
          <w:rFonts w:hAnsi="宋体"/>
        </w:rPr>
      </w:pPr>
      <w:r>
        <w:rPr>
          <w:rFonts w:hint="eastAsia"/>
        </w:rPr>
        <w:t>本文件为我国首次制定。</w:t>
      </w:r>
      <w:r>
        <w:rPr>
          <w:rFonts w:hint="eastAsia" w:hAnsi="宋体"/>
        </w:rPr>
        <w:t>经查</w:t>
      </w:r>
      <w:r>
        <w:rPr>
          <w:rFonts w:hAnsi="宋体"/>
        </w:rPr>
        <w:t>，</w:t>
      </w:r>
      <w:r>
        <w:rPr>
          <w:rFonts w:hint="eastAsia"/>
        </w:rPr>
        <w:t>本文件与国内外现行标准及制定中的标准无重复交叉情况。</w:t>
      </w:r>
      <w:r>
        <w:rPr>
          <w:rFonts w:hint="eastAsia" w:hAnsi="宋体"/>
        </w:rPr>
        <w:t>本标准</w:t>
      </w:r>
      <w:r>
        <w:rPr>
          <w:rFonts w:hAnsi="宋体"/>
        </w:rPr>
        <w:t>未</w:t>
      </w:r>
      <w:r>
        <w:rPr>
          <w:rFonts w:hint="eastAsia" w:hAnsi="宋体"/>
        </w:rPr>
        <w:t>采用（包括</w:t>
      </w:r>
      <w:r>
        <w:rPr>
          <w:rFonts w:hAnsi="宋体"/>
        </w:rPr>
        <w:t>等同采用、修改采用</w:t>
      </w:r>
      <w:r>
        <w:rPr>
          <w:rFonts w:hint="eastAsia" w:hAnsi="宋体"/>
        </w:rPr>
        <w:t>及</w:t>
      </w:r>
      <w:r>
        <w:rPr>
          <w:rFonts w:hAnsi="宋体"/>
        </w:rPr>
        <w:t>非等效采用</w:t>
      </w:r>
      <w:r>
        <w:rPr>
          <w:rFonts w:hint="eastAsia" w:hAnsi="宋体"/>
        </w:rPr>
        <w:t>）</w:t>
      </w:r>
      <w:r>
        <w:rPr>
          <w:rFonts w:hAnsi="宋体"/>
        </w:rPr>
        <w:t>国际标准或国外先进标准。</w:t>
      </w:r>
    </w:p>
    <w:p>
      <w:pPr>
        <w:spacing w:before="156" w:beforeLines="50" w:after="156" w:afterLines="50" w:line="312" w:lineRule="auto"/>
        <w:rPr>
          <w:rFonts w:ascii="黑体" w:hAnsi="宋体" w:eastAsia="黑体"/>
          <w:bCs/>
          <w:sz w:val="24"/>
        </w:rPr>
      </w:pPr>
      <w:r>
        <w:rPr>
          <w:rFonts w:hint="eastAsia" w:ascii="黑体" w:hAnsi="宋体" w:eastAsia="黑体"/>
          <w:bCs/>
          <w:sz w:val="24"/>
        </w:rPr>
        <w:t>七、与现行法律、法规、强制性国家标准及相关标准的关系</w:t>
      </w:r>
    </w:p>
    <w:p>
      <w:pPr>
        <w:widowControl/>
        <w:spacing w:line="300" w:lineRule="auto"/>
      </w:pPr>
      <w:r>
        <w:rPr>
          <w:rFonts w:hint="eastAsia"/>
        </w:rPr>
        <w:tab/>
      </w:r>
      <w:r>
        <w:rPr>
          <w:rFonts w:hint="eastAsia"/>
        </w:rPr>
        <w:t>本标准属于锆化学分析方法标准，领域内有</w:t>
      </w:r>
      <w:r>
        <w:t>GB/T 13747</w:t>
      </w:r>
      <w:r>
        <w:rPr>
          <w:rFonts w:hint="eastAsia"/>
        </w:rPr>
        <w:t>《</w:t>
      </w:r>
      <w:r>
        <w:t>锆及锆合金化学分析方法</w:t>
      </w:r>
      <w:r>
        <w:rPr>
          <w:rFonts w:hint="eastAsia"/>
        </w:rPr>
        <w:t>》系列</w:t>
      </w:r>
      <w:r>
        <w:t>标准，</w:t>
      </w:r>
      <w:r>
        <w:rPr>
          <w:rFonts w:hint="eastAsia"/>
        </w:rPr>
        <w:t>本标准</w:t>
      </w:r>
      <w:r>
        <w:t>主要</w:t>
      </w:r>
      <w:r>
        <w:rPr>
          <w:rFonts w:hint="eastAsia"/>
        </w:rPr>
        <w:t>分析</w:t>
      </w:r>
      <w:r>
        <w:t>对象为高纯锆产品</w:t>
      </w:r>
      <w:r>
        <w:rPr>
          <w:rFonts w:hint="eastAsia"/>
        </w:rPr>
        <w:t>，</w:t>
      </w:r>
      <w:r>
        <w:t>是GB/T 13747</w:t>
      </w:r>
      <w:r>
        <w:rPr>
          <w:rFonts w:hint="eastAsia"/>
        </w:rPr>
        <w:t>系列</w:t>
      </w:r>
      <w:r>
        <w:t>标准的有益补充，使锆分析方法更加完善，覆盖的产品系列更加全面。</w:t>
      </w:r>
      <w:r>
        <w:rPr>
          <w:rFonts w:hint="eastAsia"/>
        </w:rPr>
        <w:t>当</w:t>
      </w:r>
      <w:r>
        <w:t>本</w:t>
      </w:r>
      <w:r>
        <w:rPr>
          <w:rFonts w:hint="eastAsia"/>
        </w:rPr>
        <w:t>标准与</w:t>
      </w:r>
      <w:r>
        <w:t>GB/T 13747</w:t>
      </w:r>
      <w:r>
        <w:rPr>
          <w:rFonts w:hint="eastAsia"/>
        </w:rPr>
        <w:t>测定</w:t>
      </w:r>
      <w:r>
        <w:t>范围</w:t>
      </w:r>
      <w:r>
        <w:rPr>
          <w:rFonts w:hint="eastAsia"/>
        </w:rPr>
        <w:t>重叠时</w:t>
      </w:r>
      <w:r>
        <w:t>，</w:t>
      </w:r>
      <w:r>
        <w:rPr>
          <w:rFonts w:hint="eastAsia"/>
        </w:rPr>
        <w:t>以</w:t>
      </w:r>
      <w:r>
        <w:t>GB/T 13747</w:t>
      </w:r>
      <w:r>
        <w:rPr>
          <w:rFonts w:hint="eastAsia"/>
        </w:rPr>
        <w:t>中</w:t>
      </w:r>
      <w:r>
        <w:t>的方法</w:t>
      </w:r>
      <w:r>
        <w:rPr>
          <w:rFonts w:hint="eastAsia"/>
        </w:rPr>
        <w:t>为</w:t>
      </w:r>
      <w:r>
        <w:t>仲裁方法。</w:t>
      </w:r>
    </w:p>
    <w:p>
      <w:pPr>
        <w:widowControl/>
        <w:spacing w:line="300" w:lineRule="auto"/>
        <w:ind w:firstLine="420"/>
      </w:pPr>
      <w:r>
        <w:rPr>
          <w:rFonts w:hint="eastAsia"/>
        </w:rPr>
        <w:t>本标准服务于正在制定中的</w:t>
      </w:r>
      <w:r>
        <w:t>《</w:t>
      </w:r>
      <w:r>
        <w:rPr>
          <w:rFonts w:hint="eastAsia"/>
        </w:rPr>
        <w:t>高纯</w:t>
      </w:r>
      <w:r>
        <w:t>锆锭》</w:t>
      </w:r>
      <w:r>
        <w:rPr>
          <w:rFonts w:hint="eastAsia"/>
        </w:rPr>
        <w:t>产品</w:t>
      </w:r>
      <w:r>
        <w:t>标准</w:t>
      </w:r>
      <w:r>
        <w:rPr>
          <w:rFonts w:hint="eastAsia"/>
        </w:rPr>
        <w:t>。与现行法律、法规和相关标准相协调、无冲突。</w:t>
      </w:r>
    </w:p>
    <w:p>
      <w:pPr>
        <w:spacing w:before="156" w:beforeLines="50" w:after="156" w:afterLines="50" w:line="312" w:lineRule="auto"/>
        <w:rPr>
          <w:rFonts w:ascii="黑体" w:hAnsi="宋体" w:eastAsia="黑体"/>
          <w:bCs/>
          <w:sz w:val="24"/>
        </w:rPr>
      </w:pPr>
      <w:r>
        <w:rPr>
          <w:rFonts w:hint="eastAsia" w:ascii="黑体" w:hAnsi="宋体" w:eastAsia="黑体"/>
          <w:bCs/>
          <w:sz w:val="24"/>
        </w:rPr>
        <w:t>八、重大分歧意见的处理和依据</w:t>
      </w:r>
    </w:p>
    <w:p>
      <w:pPr>
        <w:spacing w:before="156" w:beforeLines="50" w:after="156" w:afterLines="50" w:line="312" w:lineRule="auto"/>
        <w:ind w:firstLine="420" w:firstLineChars="200"/>
        <w:rPr>
          <w:rFonts w:hAnsi="宋体"/>
        </w:rPr>
      </w:pPr>
      <w:r>
        <w:rPr>
          <w:rFonts w:hint="eastAsia" w:hAnsi="宋体"/>
        </w:rPr>
        <w:t>无重大分歧。</w:t>
      </w:r>
    </w:p>
    <w:p>
      <w:pPr>
        <w:spacing w:before="156" w:beforeLines="50" w:after="156" w:afterLines="50" w:line="312" w:lineRule="auto"/>
        <w:rPr>
          <w:rFonts w:ascii="黑体" w:hAnsi="宋体" w:eastAsia="黑体"/>
          <w:bCs/>
          <w:sz w:val="24"/>
        </w:rPr>
      </w:pPr>
      <w:r>
        <w:rPr>
          <w:rFonts w:hint="eastAsia" w:ascii="黑体" w:hAnsi="宋体" w:eastAsia="黑体"/>
          <w:bCs/>
          <w:sz w:val="24"/>
        </w:rPr>
        <w:t>九、标准作为强制性或推荐性国家（或行业）标准的建议</w:t>
      </w:r>
    </w:p>
    <w:p>
      <w:pPr>
        <w:pStyle w:val="121"/>
        <w:tabs>
          <w:tab w:val="center" w:pos="4201"/>
          <w:tab w:val="right" w:leader="dot" w:pos="9298"/>
        </w:tabs>
        <w:spacing w:line="312" w:lineRule="auto"/>
        <w:ind w:firstLine="420"/>
        <w:rPr>
          <w:rFonts w:ascii="黑体"/>
          <w:sz w:val="24"/>
        </w:rPr>
      </w:pPr>
      <w:r>
        <w:rPr>
          <w:rFonts w:hint="eastAsia"/>
        </w:rPr>
        <w:t>建议本标准为</w:t>
      </w:r>
      <w:r>
        <w:t>推荐</w:t>
      </w:r>
      <w:r>
        <w:rPr>
          <w:rFonts w:hint="eastAsia"/>
        </w:rPr>
        <w:t>性行业</w:t>
      </w:r>
      <w:r>
        <w:t>标准</w:t>
      </w:r>
      <w:r>
        <w:rPr>
          <w:rFonts w:hint="eastAsia"/>
        </w:rPr>
        <w:t>。</w:t>
      </w:r>
    </w:p>
    <w:p>
      <w:pPr>
        <w:spacing w:before="156" w:beforeLines="50" w:after="156" w:afterLines="50" w:line="312" w:lineRule="auto"/>
        <w:rPr>
          <w:rFonts w:ascii="黑体" w:hAnsi="宋体" w:eastAsia="黑体"/>
          <w:bCs/>
          <w:sz w:val="24"/>
        </w:rPr>
      </w:pPr>
      <w:r>
        <w:rPr>
          <w:rFonts w:hint="eastAsia" w:ascii="黑体" w:hAnsi="宋体" w:eastAsia="黑体"/>
          <w:bCs/>
          <w:sz w:val="24"/>
        </w:rPr>
        <w:t>十、贯彻标准的要求和措施建议</w:t>
      </w:r>
    </w:p>
    <w:p>
      <w:pPr>
        <w:spacing w:line="312" w:lineRule="auto"/>
        <w:ind w:firstLine="420" w:firstLineChars="200"/>
        <w:rPr>
          <w:rFonts w:ascii="宋体" w:hAnsi="宋体"/>
          <w:kern w:val="0"/>
          <w:szCs w:val="20"/>
        </w:rPr>
      </w:pPr>
      <w:r>
        <w:rPr>
          <w:rFonts w:hint="eastAsia"/>
          <w:kern w:val="0"/>
          <w:szCs w:val="20"/>
        </w:rPr>
        <w:t>本标准涉及高纯锆中痕量杂质</w:t>
      </w:r>
      <w:r>
        <w:rPr>
          <w:kern w:val="0"/>
          <w:szCs w:val="20"/>
        </w:rPr>
        <w:t>的</w:t>
      </w:r>
      <w:r>
        <w:rPr>
          <w:rFonts w:hint="eastAsia"/>
          <w:kern w:val="0"/>
          <w:szCs w:val="20"/>
        </w:rPr>
        <w:t>同时测定，采用的设备为辉光放电质谱仪。该设备目前的市场占有率在</w:t>
      </w:r>
      <w:r>
        <w:rPr>
          <w:kern w:val="0"/>
          <w:szCs w:val="20"/>
        </w:rPr>
        <w:t>逐步增加</w:t>
      </w:r>
      <w:r>
        <w:rPr>
          <w:rFonts w:hint="eastAsia" w:ascii="宋体" w:hAnsi="宋体"/>
          <w:kern w:val="0"/>
          <w:szCs w:val="20"/>
        </w:rPr>
        <w:t>。建议</w:t>
      </w:r>
      <w:r>
        <w:rPr>
          <w:rFonts w:hint="eastAsia"/>
          <w:kern w:val="0"/>
          <w:szCs w:val="20"/>
        </w:rPr>
        <w:t>高纯锆</w:t>
      </w:r>
      <w:r>
        <w:rPr>
          <w:rFonts w:hint="eastAsia" w:ascii="宋体" w:hAnsi="宋体"/>
          <w:kern w:val="0"/>
          <w:szCs w:val="20"/>
        </w:rPr>
        <w:t>产品的生产单位及各大检测机构积极组织本标准的学习与宣贯，并向企业、公司和科研院校（所）推荐本标准。标准</w:t>
      </w:r>
      <w:r>
        <w:rPr>
          <w:rFonts w:ascii="宋体" w:hAnsi="宋体"/>
          <w:kern w:val="0"/>
          <w:szCs w:val="20"/>
        </w:rPr>
        <w:t>使用过程中出现疑问，标准的起草单位</w:t>
      </w:r>
      <w:r>
        <w:rPr>
          <w:rFonts w:hint="eastAsia" w:ascii="宋体" w:hAnsi="宋体"/>
          <w:kern w:val="0"/>
          <w:szCs w:val="20"/>
        </w:rPr>
        <w:t>有</w:t>
      </w:r>
      <w:r>
        <w:rPr>
          <w:rFonts w:ascii="宋体" w:hAnsi="宋体"/>
          <w:kern w:val="0"/>
          <w:szCs w:val="20"/>
        </w:rPr>
        <w:t>义务进行必要的解释，可通过网络会议、讲座等形式进行标准</w:t>
      </w:r>
      <w:r>
        <w:rPr>
          <w:rFonts w:hint="eastAsia" w:ascii="宋体" w:hAnsi="宋体"/>
          <w:kern w:val="0"/>
          <w:szCs w:val="20"/>
        </w:rPr>
        <w:t>内容</w:t>
      </w:r>
      <w:r>
        <w:rPr>
          <w:rFonts w:ascii="宋体" w:hAnsi="宋体"/>
          <w:kern w:val="0"/>
          <w:szCs w:val="20"/>
        </w:rPr>
        <w:t>的讲解</w:t>
      </w:r>
      <w:r>
        <w:rPr>
          <w:rFonts w:hint="eastAsia" w:ascii="宋体" w:hAnsi="宋体"/>
          <w:kern w:val="0"/>
          <w:szCs w:val="20"/>
        </w:rPr>
        <w:t>。</w:t>
      </w:r>
      <w:r>
        <w:rPr>
          <w:rFonts w:ascii="宋体" w:hAnsi="宋体"/>
          <w:kern w:val="0"/>
          <w:szCs w:val="20"/>
        </w:rPr>
        <w:t>建议</w:t>
      </w:r>
      <w:r>
        <w:rPr>
          <w:rFonts w:hint="eastAsia" w:ascii="宋体" w:hAnsi="宋体"/>
          <w:kern w:val="0"/>
          <w:szCs w:val="20"/>
        </w:rPr>
        <w:t>标准</w:t>
      </w:r>
      <w:r>
        <w:rPr>
          <w:rFonts w:ascii="宋体" w:hAnsi="宋体"/>
          <w:kern w:val="0"/>
          <w:szCs w:val="20"/>
        </w:rPr>
        <w:t>发布</w:t>
      </w:r>
      <w:r>
        <w:rPr>
          <w:rFonts w:hint="eastAsia" w:ascii="宋体" w:hAnsi="宋体"/>
          <w:kern w:val="0"/>
          <w:szCs w:val="20"/>
        </w:rPr>
        <w:t>6个</w:t>
      </w:r>
      <w:r>
        <w:rPr>
          <w:rFonts w:ascii="宋体" w:hAnsi="宋体"/>
          <w:kern w:val="0"/>
          <w:szCs w:val="20"/>
        </w:rPr>
        <w:t>月后实施。</w:t>
      </w:r>
    </w:p>
    <w:p>
      <w:pPr>
        <w:spacing w:line="312" w:lineRule="auto"/>
        <w:ind w:firstLine="420" w:firstLineChars="200"/>
        <w:rPr>
          <w:rFonts w:ascii="宋体" w:hAnsi="宋体"/>
          <w:kern w:val="0"/>
          <w:szCs w:val="20"/>
        </w:rPr>
      </w:pPr>
      <w:r>
        <w:rPr>
          <w:rFonts w:hint="eastAsia" w:ascii="宋体" w:hAnsi="宋体"/>
          <w:kern w:val="0"/>
          <w:szCs w:val="20"/>
        </w:rPr>
        <w:t>同时</w:t>
      </w:r>
      <w:r>
        <w:rPr>
          <w:rFonts w:ascii="宋体" w:hAnsi="宋体"/>
          <w:kern w:val="0"/>
          <w:szCs w:val="20"/>
        </w:rPr>
        <w:t>，</w:t>
      </w:r>
      <w:r>
        <w:rPr>
          <w:rFonts w:hint="eastAsia" w:ascii="宋体" w:hAnsi="宋体"/>
          <w:kern w:val="0"/>
          <w:szCs w:val="20"/>
        </w:rPr>
        <w:t>标准</w:t>
      </w:r>
      <w:r>
        <w:rPr>
          <w:rFonts w:ascii="宋体" w:hAnsi="宋体"/>
          <w:kern w:val="0"/>
          <w:szCs w:val="20"/>
        </w:rPr>
        <w:t>要与时俱进，标准颁布实施后</w:t>
      </w:r>
      <w:r>
        <w:rPr>
          <w:rFonts w:hint="eastAsia" w:ascii="宋体" w:hAnsi="宋体"/>
          <w:kern w:val="0"/>
          <w:szCs w:val="20"/>
        </w:rPr>
        <w:t>要</w:t>
      </w:r>
      <w:r>
        <w:rPr>
          <w:rFonts w:ascii="宋体" w:hAnsi="宋体"/>
          <w:kern w:val="0"/>
          <w:szCs w:val="20"/>
        </w:rPr>
        <w:t>定期进行复审，必要时启动修订程序。</w:t>
      </w:r>
      <w:r>
        <w:rPr>
          <w:rFonts w:hint="eastAsia" w:ascii="宋体" w:hAnsi="宋体"/>
          <w:kern w:val="0"/>
          <w:szCs w:val="20"/>
        </w:rPr>
        <w:t>修订时可根据产业发展、标准运行情况，升级为国家标准。</w:t>
      </w:r>
    </w:p>
    <w:p>
      <w:pPr>
        <w:spacing w:before="156" w:beforeLines="50" w:after="156" w:afterLines="50" w:line="312" w:lineRule="auto"/>
        <w:rPr>
          <w:rFonts w:ascii="黑体" w:hAnsi="宋体" w:eastAsia="黑体"/>
          <w:bCs/>
          <w:sz w:val="24"/>
        </w:rPr>
      </w:pPr>
      <w:r>
        <w:rPr>
          <w:rFonts w:hint="eastAsia" w:ascii="黑体" w:hAnsi="宋体" w:eastAsia="黑体"/>
          <w:bCs/>
          <w:sz w:val="24"/>
        </w:rPr>
        <w:t>十一、废止现行有关标准的建议</w:t>
      </w:r>
    </w:p>
    <w:p>
      <w:pPr>
        <w:pStyle w:val="121"/>
        <w:spacing w:line="300" w:lineRule="auto"/>
        <w:ind w:firstLine="420"/>
      </w:pPr>
      <w:r>
        <w:rPr>
          <w:rFonts w:hint="eastAsia"/>
        </w:rPr>
        <w:t>本标准为首次制定，不涉及相关标准的废止。</w:t>
      </w:r>
    </w:p>
    <w:p>
      <w:pPr>
        <w:spacing w:before="156" w:beforeLines="50" w:after="156" w:afterLines="50" w:line="312" w:lineRule="auto"/>
        <w:rPr>
          <w:rFonts w:ascii="黑体" w:hAnsi="宋体" w:eastAsia="黑体"/>
          <w:bCs/>
          <w:sz w:val="24"/>
        </w:rPr>
      </w:pPr>
      <w:r>
        <w:rPr>
          <w:rFonts w:hint="eastAsia" w:ascii="黑体" w:hAnsi="宋体" w:eastAsia="黑体"/>
          <w:bCs/>
          <w:sz w:val="24"/>
        </w:rPr>
        <w:t>十二、其它应予说明的事项</w:t>
      </w:r>
    </w:p>
    <w:p>
      <w:pPr>
        <w:spacing w:line="300" w:lineRule="auto"/>
        <w:ind w:firstLine="480" w:firstLineChars="200"/>
        <w:rPr>
          <w:rFonts w:ascii="宋体" w:hAnsi="宋体"/>
          <w:kern w:val="0"/>
          <w:szCs w:val="20"/>
        </w:rPr>
      </w:pPr>
      <w:r>
        <w:rPr>
          <w:rFonts w:hint="eastAsia" w:ascii="黑体" w:eastAsia="黑体"/>
          <w:sz w:val="24"/>
        </w:rPr>
        <w:t>无。</w:t>
      </w:r>
    </w:p>
    <w:p>
      <w:pPr>
        <w:spacing w:line="300" w:lineRule="auto"/>
        <w:ind w:firstLine="420" w:firstLineChars="200"/>
        <w:jc w:val="right"/>
        <w:rPr>
          <w:szCs w:val="21"/>
        </w:rPr>
      </w:pPr>
      <w:r>
        <w:rPr>
          <w:rFonts w:hint="eastAsia" w:ascii="宋体" w:hAnsi="宋体"/>
          <w:kern w:val="0"/>
          <w:szCs w:val="20"/>
        </w:rPr>
        <w:t xml:space="preserve"> </w:t>
      </w:r>
    </w:p>
    <w:sectPr>
      <w:footerReference r:id="rId5" w:type="default"/>
      <w:pgSz w:w="11906" w:h="16838"/>
      <w:pgMar w:top="1134" w:right="1077" w:bottom="1213" w:left="107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宋体-18030">
    <w:altName w:val="Arial Unicode MS"/>
    <w:panose1 w:val="00000000000000000000"/>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6344"/>
      <w:docPartObj>
        <w:docPartGallery w:val="autotext"/>
      </w:docPartObj>
    </w:sdtPr>
    <w:sdtContent>
      <w:p>
        <w:pPr>
          <w:pStyle w:val="57"/>
          <w:jc w:val="center"/>
        </w:pPr>
      </w:p>
    </w:sdtContent>
  </w:sdt>
  <w:p>
    <w:pPr>
      <w:pStyle w:val="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pPr>
    <w:r>
      <w:fldChar w:fldCharType="begin"/>
    </w:r>
    <w:r>
      <w:instrText xml:space="preserve"> PAGE   \* MERGEFORMAT </w:instrText>
    </w:r>
    <w:r>
      <w:fldChar w:fldCharType="separate"/>
    </w:r>
    <w:r>
      <w:rPr>
        <w:lang w:val="zh-CN"/>
      </w:rPr>
      <w:t>13</w:t>
    </w:r>
    <w:r>
      <w:rPr>
        <w:lang w:val="zh-CN"/>
      </w:rPr>
      <w:fldChar w:fldCharType="end"/>
    </w:r>
  </w:p>
  <w:p>
    <w:pPr>
      <w:pStyle w:val="5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AB"/>
    <w:rsid w:val="000046B0"/>
    <w:rsid w:val="00006A40"/>
    <w:rsid w:val="00010180"/>
    <w:rsid w:val="000109A0"/>
    <w:rsid w:val="00014853"/>
    <w:rsid w:val="0002096F"/>
    <w:rsid w:val="0002121A"/>
    <w:rsid w:val="00021322"/>
    <w:rsid w:val="00022E56"/>
    <w:rsid w:val="00024B42"/>
    <w:rsid w:val="00026D78"/>
    <w:rsid w:val="000332A6"/>
    <w:rsid w:val="00035035"/>
    <w:rsid w:val="00036C57"/>
    <w:rsid w:val="00036E5E"/>
    <w:rsid w:val="00046620"/>
    <w:rsid w:val="00047BA4"/>
    <w:rsid w:val="00050C8D"/>
    <w:rsid w:val="00051831"/>
    <w:rsid w:val="000612A8"/>
    <w:rsid w:val="00061D34"/>
    <w:rsid w:val="00061D46"/>
    <w:rsid w:val="00062070"/>
    <w:rsid w:val="0006432D"/>
    <w:rsid w:val="0006477B"/>
    <w:rsid w:val="00073C3A"/>
    <w:rsid w:val="00081A9E"/>
    <w:rsid w:val="00083A57"/>
    <w:rsid w:val="000842C3"/>
    <w:rsid w:val="00091DD9"/>
    <w:rsid w:val="000A0C8C"/>
    <w:rsid w:val="000A0CA9"/>
    <w:rsid w:val="000A180E"/>
    <w:rsid w:val="000A1DCD"/>
    <w:rsid w:val="000A54AC"/>
    <w:rsid w:val="000A569E"/>
    <w:rsid w:val="000B14A6"/>
    <w:rsid w:val="000B3127"/>
    <w:rsid w:val="000B605E"/>
    <w:rsid w:val="000C44B2"/>
    <w:rsid w:val="000D6334"/>
    <w:rsid w:val="000D6A2A"/>
    <w:rsid w:val="000D7360"/>
    <w:rsid w:val="000E068C"/>
    <w:rsid w:val="000E37CA"/>
    <w:rsid w:val="000E6B9A"/>
    <w:rsid w:val="000E7ED5"/>
    <w:rsid w:val="000E7EDF"/>
    <w:rsid w:val="000F1FD1"/>
    <w:rsid w:val="000F224C"/>
    <w:rsid w:val="000F3489"/>
    <w:rsid w:val="0010034F"/>
    <w:rsid w:val="00110508"/>
    <w:rsid w:val="00112CBC"/>
    <w:rsid w:val="00113208"/>
    <w:rsid w:val="0011570F"/>
    <w:rsid w:val="00116D8F"/>
    <w:rsid w:val="00122903"/>
    <w:rsid w:val="001241A8"/>
    <w:rsid w:val="001345DA"/>
    <w:rsid w:val="00134D7F"/>
    <w:rsid w:val="00134E2D"/>
    <w:rsid w:val="00135E64"/>
    <w:rsid w:val="00136064"/>
    <w:rsid w:val="00137D4C"/>
    <w:rsid w:val="00152747"/>
    <w:rsid w:val="00154608"/>
    <w:rsid w:val="00156452"/>
    <w:rsid w:val="00161638"/>
    <w:rsid w:val="00171087"/>
    <w:rsid w:val="00176CA2"/>
    <w:rsid w:val="00181F19"/>
    <w:rsid w:val="00182D22"/>
    <w:rsid w:val="00191F5C"/>
    <w:rsid w:val="00192E96"/>
    <w:rsid w:val="00194EB2"/>
    <w:rsid w:val="00196C7C"/>
    <w:rsid w:val="001A02DA"/>
    <w:rsid w:val="001A0910"/>
    <w:rsid w:val="001A1A3D"/>
    <w:rsid w:val="001A78A3"/>
    <w:rsid w:val="001B5781"/>
    <w:rsid w:val="001C0EF1"/>
    <w:rsid w:val="001C4AB5"/>
    <w:rsid w:val="001D18F0"/>
    <w:rsid w:val="001D1A3E"/>
    <w:rsid w:val="001D24F0"/>
    <w:rsid w:val="001D57BC"/>
    <w:rsid w:val="001D588B"/>
    <w:rsid w:val="001D783C"/>
    <w:rsid w:val="001D7A87"/>
    <w:rsid w:val="001E7268"/>
    <w:rsid w:val="001F2FEA"/>
    <w:rsid w:val="001F4370"/>
    <w:rsid w:val="001F48F4"/>
    <w:rsid w:val="001F5F9B"/>
    <w:rsid w:val="001F65ED"/>
    <w:rsid w:val="001F6B47"/>
    <w:rsid w:val="001F7DA6"/>
    <w:rsid w:val="0020225C"/>
    <w:rsid w:val="002053A8"/>
    <w:rsid w:val="0021099A"/>
    <w:rsid w:val="00211453"/>
    <w:rsid w:val="0021153B"/>
    <w:rsid w:val="002119ED"/>
    <w:rsid w:val="002123C9"/>
    <w:rsid w:val="00220A49"/>
    <w:rsid w:val="00221A15"/>
    <w:rsid w:val="0022213B"/>
    <w:rsid w:val="00222AF0"/>
    <w:rsid w:val="002246A5"/>
    <w:rsid w:val="00224A26"/>
    <w:rsid w:val="002327CB"/>
    <w:rsid w:val="002344C3"/>
    <w:rsid w:val="00235CBB"/>
    <w:rsid w:val="00237934"/>
    <w:rsid w:val="002408F8"/>
    <w:rsid w:val="00242023"/>
    <w:rsid w:val="00242AAA"/>
    <w:rsid w:val="00243777"/>
    <w:rsid w:val="00245A31"/>
    <w:rsid w:val="0024636D"/>
    <w:rsid w:val="002464C4"/>
    <w:rsid w:val="00252865"/>
    <w:rsid w:val="002569A0"/>
    <w:rsid w:val="00257050"/>
    <w:rsid w:val="00257E31"/>
    <w:rsid w:val="00260031"/>
    <w:rsid w:val="002634A5"/>
    <w:rsid w:val="00264880"/>
    <w:rsid w:val="002658D8"/>
    <w:rsid w:val="00270709"/>
    <w:rsid w:val="00276D32"/>
    <w:rsid w:val="00277FC2"/>
    <w:rsid w:val="00283872"/>
    <w:rsid w:val="002842F4"/>
    <w:rsid w:val="002870EB"/>
    <w:rsid w:val="00292C1B"/>
    <w:rsid w:val="00294B68"/>
    <w:rsid w:val="00295954"/>
    <w:rsid w:val="002961B2"/>
    <w:rsid w:val="002A6909"/>
    <w:rsid w:val="002A7884"/>
    <w:rsid w:val="002B1448"/>
    <w:rsid w:val="002B1476"/>
    <w:rsid w:val="002B1E00"/>
    <w:rsid w:val="002B6D40"/>
    <w:rsid w:val="002B743A"/>
    <w:rsid w:val="002B7F73"/>
    <w:rsid w:val="002C0E03"/>
    <w:rsid w:val="002C5386"/>
    <w:rsid w:val="002C6032"/>
    <w:rsid w:val="002D4DC6"/>
    <w:rsid w:val="002D6A85"/>
    <w:rsid w:val="002D7674"/>
    <w:rsid w:val="002E0737"/>
    <w:rsid w:val="002E1898"/>
    <w:rsid w:val="002F3670"/>
    <w:rsid w:val="002F5D35"/>
    <w:rsid w:val="003017C7"/>
    <w:rsid w:val="00302CA7"/>
    <w:rsid w:val="00304984"/>
    <w:rsid w:val="00305AB4"/>
    <w:rsid w:val="003070AE"/>
    <w:rsid w:val="00311372"/>
    <w:rsid w:val="0031608B"/>
    <w:rsid w:val="00316DDE"/>
    <w:rsid w:val="00331DA0"/>
    <w:rsid w:val="003336E8"/>
    <w:rsid w:val="00333F1C"/>
    <w:rsid w:val="00336817"/>
    <w:rsid w:val="003371FA"/>
    <w:rsid w:val="00340092"/>
    <w:rsid w:val="003402ED"/>
    <w:rsid w:val="003406E3"/>
    <w:rsid w:val="003430B3"/>
    <w:rsid w:val="00363C9B"/>
    <w:rsid w:val="00370FF7"/>
    <w:rsid w:val="00372782"/>
    <w:rsid w:val="00374CED"/>
    <w:rsid w:val="00374E3D"/>
    <w:rsid w:val="00376DAF"/>
    <w:rsid w:val="00376F19"/>
    <w:rsid w:val="003861B9"/>
    <w:rsid w:val="00386212"/>
    <w:rsid w:val="003918BA"/>
    <w:rsid w:val="003922C1"/>
    <w:rsid w:val="00392AC9"/>
    <w:rsid w:val="003939C9"/>
    <w:rsid w:val="0039640D"/>
    <w:rsid w:val="003A3605"/>
    <w:rsid w:val="003A4040"/>
    <w:rsid w:val="003B3203"/>
    <w:rsid w:val="003B65F5"/>
    <w:rsid w:val="003B7E75"/>
    <w:rsid w:val="003B7F17"/>
    <w:rsid w:val="003C25C6"/>
    <w:rsid w:val="003C492E"/>
    <w:rsid w:val="003C5392"/>
    <w:rsid w:val="003C5F0B"/>
    <w:rsid w:val="003C7814"/>
    <w:rsid w:val="003D2507"/>
    <w:rsid w:val="003D422C"/>
    <w:rsid w:val="003D68D5"/>
    <w:rsid w:val="003D79E6"/>
    <w:rsid w:val="003E0A25"/>
    <w:rsid w:val="003E1178"/>
    <w:rsid w:val="003E2665"/>
    <w:rsid w:val="003E47D4"/>
    <w:rsid w:val="003E7121"/>
    <w:rsid w:val="003F03FD"/>
    <w:rsid w:val="003F34E7"/>
    <w:rsid w:val="003F5178"/>
    <w:rsid w:val="003F67B0"/>
    <w:rsid w:val="0040009E"/>
    <w:rsid w:val="00400ED1"/>
    <w:rsid w:val="00402FE6"/>
    <w:rsid w:val="00404E31"/>
    <w:rsid w:val="00405AFC"/>
    <w:rsid w:val="00411827"/>
    <w:rsid w:val="00415749"/>
    <w:rsid w:val="004169D7"/>
    <w:rsid w:val="00424F60"/>
    <w:rsid w:val="0043072C"/>
    <w:rsid w:val="00430FF8"/>
    <w:rsid w:val="00432918"/>
    <w:rsid w:val="00433247"/>
    <w:rsid w:val="00437F04"/>
    <w:rsid w:val="0044631C"/>
    <w:rsid w:val="0044747A"/>
    <w:rsid w:val="00450F5A"/>
    <w:rsid w:val="00453B87"/>
    <w:rsid w:val="00457738"/>
    <w:rsid w:val="00465D91"/>
    <w:rsid w:val="00474805"/>
    <w:rsid w:val="00480F24"/>
    <w:rsid w:val="00483671"/>
    <w:rsid w:val="004837ED"/>
    <w:rsid w:val="0048525E"/>
    <w:rsid w:val="0048575A"/>
    <w:rsid w:val="00486678"/>
    <w:rsid w:val="00487A03"/>
    <w:rsid w:val="00493E0A"/>
    <w:rsid w:val="0049424A"/>
    <w:rsid w:val="004961DA"/>
    <w:rsid w:val="004A0FD8"/>
    <w:rsid w:val="004A28AA"/>
    <w:rsid w:val="004A2C5B"/>
    <w:rsid w:val="004A3A2A"/>
    <w:rsid w:val="004A4C84"/>
    <w:rsid w:val="004A513C"/>
    <w:rsid w:val="004B272C"/>
    <w:rsid w:val="004B2F13"/>
    <w:rsid w:val="004B415A"/>
    <w:rsid w:val="004B41B0"/>
    <w:rsid w:val="004C144D"/>
    <w:rsid w:val="004C6DE0"/>
    <w:rsid w:val="004D1285"/>
    <w:rsid w:val="004E282E"/>
    <w:rsid w:val="004E6235"/>
    <w:rsid w:val="004F0AC8"/>
    <w:rsid w:val="004F59CD"/>
    <w:rsid w:val="00503416"/>
    <w:rsid w:val="00503CC1"/>
    <w:rsid w:val="005041BD"/>
    <w:rsid w:val="00505AB2"/>
    <w:rsid w:val="0050616B"/>
    <w:rsid w:val="00511935"/>
    <w:rsid w:val="00512455"/>
    <w:rsid w:val="005139E1"/>
    <w:rsid w:val="00514BE8"/>
    <w:rsid w:val="00515853"/>
    <w:rsid w:val="0051585A"/>
    <w:rsid w:val="0051616E"/>
    <w:rsid w:val="005164FF"/>
    <w:rsid w:val="00523835"/>
    <w:rsid w:val="00526898"/>
    <w:rsid w:val="005275AB"/>
    <w:rsid w:val="00535E44"/>
    <w:rsid w:val="00540267"/>
    <w:rsid w:val="0054331E"/>
    <w:rsid w:val="005469A5"/>
    <w:rsid w:val="005475AF"/>
    <w:rsid w:val="00551151"/>
    <w:rsid w:val="00554A02"/>
    <w:rsid w:val="00561BAB"/>
    <w:rsid w:val="005633E5"/>
    <w:rsid w:val="0056535D"/>
    <w:rsid w:val="005671B8"/>
    <w:rsid w:val="00570BC3"/>
    <w:rsid w:val="005731B4"/>
    <w:rsid w:val="00573F64"/>
    <w:rsid w:val="00577C22"/>
    <w:rsid w:val="00580A3C"/>
    <w:rsid w:val="00584110"/>
    <w:rsid w:val="0059018B"/>
    <w:rsid w:val="00590DF2"/>
    <w:rsid w:val="00591B99"/>
    <w:rsid w:val="00592A0B"/>
    <w:rsid w:val="00595C2D"/>
    <w:rsid w:val="005A2CB6"/>
    <w:rsid w:val="005A433E"/>
    <w:rsid w:val="005A51D8"/>
    <w:rsid w:val="005A7FAD"/>
    <w:rsid w:val="005B16F8"/>
    <w:rsid w:val="005B2B1D"/>
    <w:rsid w:val="005B3B2F"/>
    <w:rsid w:val="005B4F50"/>
    <w:rsid w:val="005B602A"/>
    <w:rsid w:val="005C04B7"/>
    <w:rsid w:val="005C0D74"/>
    <w:rsid w:val="005C2AE2"/>
    <w:rsid w:val="005C6623"/>
    <w:rsid w:val="005C6E0A"/>
    <w:rsid w:val="005D255E"/>
    <w:rsid w:val="005D5B2C"/>
    <w:rsid w:val="005D6109"/>
    <w:rsid w:val="005D7867"/>
    <w:rsid w:val="005E030E"/>
    <w:rsid w:val="005E22BB"/>
    <w:rsid w:val="005E2C35"/>
    <w:rsid w:val="005E48F0"/>
    <w:rsid w:val="005E578E"/>
    <w:rsid w:val="005F4CC4"/>
    <w:rsid w:val="00605566"/>
    <w:rsid w:val="00607C62"/>
    <w:rsid w:val="00607F6D"/>
    <w:rsid w:val="00610273"/>
    <w:rsid w:val="006102D3"/>
    <w:rsid w:val="00613007"/>
    <w:rsid w:val="006237B0"/>
    <w:rsid w:val="0063066B"/>
    <w:rsid w:val="0063380C"/>
    <w:rsid w:val="0063508A"/>
    <w:rsid w:val="00636F2E"/>
    <w:rsid w:val="006437BE"/>
    <w:rsid w:val="00645CDE"/>
    <w:rsid w:val="00646F53"/>
    <w:rsid w:val="00653DEA"/>
    <w:rsid w:val="006555BA"/>
    <w:rsid w:val="006619E4"/>
    <w:rsid w:val="0066318E"/>
    <w:rsid w:val="00664ADA"/>
    <w:rsid w:val="006664F9"/>
    <w:rsid w:val="00666745"/>
    <w:rsid w:val="00666B24"/>
    <w:rsid w:val="00673F33"/>
    <w:rsid w:val="00674D40"/>
    <w:rsid w:val="006773F1"/>
    <w:rsid w:val="00677B56"/>
    <w:rsid w:val="006815E1"/>
    <w:rsid w:val="00681710"/>
    <w:rsid w:val="006845ED"/>
    <w:rsid w:val="00685707"/>
    <w:rsid w:val="006905BF"/>
    <w:rsid w:val="006A070E"/>
    <w:rsid w:val="006A1058"/>
    <w:rsid w:val="006A1E3C"/>
    <w:rsid w:val="006A6B27"/>
    <w:rsid w:val="006A6C0C"/>
    <w:rsid w:val="006A71CE"/>
    <w:rsid w:val="006B3ECC"/>
    <w:rsid w:val="006B7418"/>
    <w:rsid w:val="006C194E"/>
    <w:rsid w:val="006C26B4"/>
    <w:rsid w:val="006C3F70"/>
    <w:rsid w:val="006D0BE5"/>
    <w:rsid w:val="006D0D18"/>
    <w:rsid w:val="006D1A4B"/>
    <w:rsid w:val="006D1AD2"/>
    <w:rsid w:val="006D1EBD"/>
    <w:rsid w:val="006D251E"/>
    <w:rsid w:val="006D253F"/>
    <w:rsid w:val="006D34A7"/>
    <w:rsid w:val="006D356F"/>
    <w:rsid w:val="006D42C7"/>
    <w:rsid w:val="006D4A00"/>
    <w:rsid w:val="006D7755"/>
    <w:rsid w:val="006D7CDB"/>
    <w:rsid w:val="006E02B1"/>
    <w:rsid w:val="006E059D"/>
    <w:rsid w:val="006E1891"/>
    <w:rsid w:val="006E2ACE"/>
    <w:rsid w:val="006E500D"/>
    <w:rsid w:val="006E7C18"/>
    <w:rsid w:val="006F17C9"/>
    <w:rsid w:val="006F27D4"/>
    <w:rsid w:val="006F48F9"/>
    <w:rsid w:val="006F6673"/>
    <w:rsid w:val="006F720F"/>
    <w:rsid w:val="00700E3B"/>
    <w:rsid w:val="007011A5"/>
    <w:rsid w:val="00704897"/>
    <w:rsid w:val="00712513"/>
    <w:rsid w:val="00713AC2"/>
    <w:rsid w:val="00716A87"/>
    <w:rsid w:val="0071761A"/>
    <w:rsid w:val="00717801"/>
    <w:rsid w:val="007218C6"/>
    <w:rsid w:val="0072307F"/>
    <w:rsid w:val="00723AF6"/>
    <w:rsid w:val="00723B32"/>
    <w:rsid w:val="00723CFC"/>
    <w:rsid w:val="007255D5"/>
    <w:rsid w:val="00726914"/>
    <w:rsid w:val="00726C2F"/>
    <w:rsid w:val="00727AB4"/>
    <w:rsid w:val="00735913"/>
    <w:rsid w:val="007415D6"/>
    <w:rsid w:val="007436BB"/>
    <w:rsid w:val="00746EF3"/>
    <w:rsid w:val="00747E57"/>
    <w:rsid w:val="00750CFC"/>
    <w:rsid w:val="00752FB4"/>
    <w:rsid w:val="00764446"/>
    <w:rsid w:val="00771198"/>
    <w:rsid w:val="0077459D"/>
    <w:rsid w:val="00774705"/>
    <w:rsid w:val="00790EBF"/>
    <w:rsid w:val="00793736"/>
    <w:rsid w:val="007967ED"/>
    <w:rsid w:val="00796FFE"/>
    <w:rsid w:val="007A16E2"/>
    <w:rsid w:val="007A3FC1"/>
    <w:rsid w:val="007A7E53"/>
    <w:rsid w:val="007B1B7D"/>
    <w:rsid w:val="007B5DB0"/>
    <w:rsid w:val="007B688D"/>
    <w:rsid w:val="007B7D0F"/>
    <w:rsid w:val="007C2A43"/>
    <w:rsid w:val="007C35DE"/>
    <w:rsid w:val="007C5B98"/>
    <w:rsid w:val="007D27BC"/>
    <w:rsid w:val="007D75D0"/>
    <w:rsid w:val="007E17FF"/>
    <w:rsid w:val="007E2137"/>
    <w:rsid w:val="007E5723"/>
    <w:rsid w:val="007E5B7A"/>
    <w:rsid w:val="007F335B"/>
    <w:rsid w:val="00801948"/>
    <w:rsid w:val="008036B5"/>
    <w:rsid w:val="008043CF"/>
    <w:rsid w:val="008063E0"/>
    <w:rsid w:val="00807ACA"/>
    <w:rsid w:val="008130E4"/>
    <w:rsid w:val="008148E9"/>
    <w:rsid w:val="00822777"/>
    <w:rsid w:val="008227BF"/>
    <w:rsid w:val="00825D21"/>
    <w:rsid w:val="008260E1"/>
    <w:rsid w:val="00831393"/>
    <w:rsid w:val="0083190B"/>
    <w:rsid w:val="00832C10"/>
    <w:rsid w:val="00835BDA"/>
    <w:rsid w:val="00845260"/>
    <w:rsid w:val="0084568C"/>
    <w:rsid w:val="008459EE"/>
    <w:rsid w:val="0084647D"/>
    <w:rsid w:val="00851111"/>
    <w:rsid w:val="00854C07"/>
    <w:rsid w:val="00855935"/>
    <w:rsid w:val="008643BB"/>
    <w:rsid w:val="00880BF7"/>
    <w:rsid w:val="00881B81"/>
    <w:rsid w:val="008A2C8F"/>
    <w:rsid w:val="008A3C8F"/>
    <w:rsid w:val="008A3FF9"/>
    <w:rsid w:val="008A4E27"/>
    <w:rsid w:val="008B105E"/>
    <w:rsid w:val="008B6805"/>
    <w:rsid w:val="008B79E5"/>
    <w:rsid w:val="008C306D"/>
    <w:rsid w:val="008C6A2D"/>
    <w:rsid w:val="008C73F2"/>
    <w:rsid w:val="008C751C"/>
    <w:rsid w:val="008C754F"/>
    <w:rsid w:val="008D3F5C"/>
    <w:rsid w:val="008D4991"/>
    <w:rsid w:val="008E1C30"/>
    <w:rsid w:val="008E22B8"/>
    <w:rsid w:val="008E2B02"/>
    <w:rsid w:val="008F2540"/>
    <w:rsid w:val="008F58FF"/>
    <w:rsid w:val="008F5C0C"/>
    <w:rsid w:val="0091772E"/>
    <w:rsid w:val="0092194B"/>
    <w:rsid w:val="009227CD"/>
    <w:rsid w:val="009254EF"/>
    <w:rsid w:val="009256A5"/>
    <w:rsid w:val="00927C5A"/>
    <w:rsid w:val="009322D7"/>
    <w:rsid w:val="00937C2A"/>
    <w:rsid w:val="009514E6"/>
    <w:rsid w:val="00952E60"/>
    <w:rsid w:val="00954F1C"/>
    <w:rsid w:val="009579E5"/>
    <w:rsid w:val="0096152F"/>
    <w:rsid w:val="00963674"/>
    <w:rsid w:val="00964A13"/>
    <w:rsid w:val="00965EFF"/>
    <w:rsid w:val="00974F87"/>
    <w:rsid w:val="00977009"/>
    <w:rsid w:val="00977426"/>
    <w:rsid w:val="0098380E"/>
    <w:rsid w:val="00983DA9"/>
    <w:rsid w:val="00984BB9"/>
    <w:rsid w:val="009855CE"/>
    <w:rsid w:val="009855F9"/>
    <w:rsid w:val="00986743"/>
    <w:rsid w:val="00987010"/>
    <w:rsid w:val="00990368"/>
    <w:rsid w:val="00991812"/>
    <w:rsid w:val="00991880"/>
    <w:rsid w:val="00996ADD"/>
    <w:rsid w:val="00997A34"/>
    <w:rsid w:val="009A2C15"/>
    <w:rsid w:val="009A48B0"/>
    <w:rsid w:val="009A4F20"/>
    <w:rsid w:val="009B2597"/>
    <w:rsid w:val="009B2744"/>
    <w:rsid w:val="009B717A"/>
    <w:rsid w:val="009C5117"/>
    <w:rsid w:val="009C76E1"/>
    <w:rsid w:val="009D2729"/>
    <w:rsid w:val="009E2219"/>
    <w:rsid w:val="009E3323"/>
    <w:rsid w:val="009E40D2"/>
    <w:rsid w:val="009E4222"/>
    <w:rsid w:val="009E437C"/>
    <w:rsid w:val="009E47AE"/>
    <w:rsid w:val="009E4EC4"/>
    <w:rsid w:val="009E532E"/>
    <w:rsid w:val="009E7658"/>
    <w:rsid w:val="009F30D4"/>
    <w:rsid w:val="009F479E"/>
    <w:rsid w:val="009F5055"/>
    <w:rsid w:val="00A01650"/>
    <w:rsid w:val="00A0169F"/>
    <w:rsid w:val="00A02009"/>
    <w:rsid w:val="00A042AD"/>
    <w:rsid w:val="00A06E40"/>
    <w:rsid w:val="00A1283A"/>
    <w:rsid w:val="00A12D11"/>
    <w:rsid w:val="00A15C2D"/>
    <w:rsid w:val="00A17980"/>
    <w:rsid w:val="00A248DD"/>
    <w:rsid w:val="00A25709"/>
    <w:rsid w:val="00A33A0E"/>
    <w:rsid w:val="00A34DF3"/>
    <w:rsid w:val="00A40CF0"/>
    <w:rsid w:val="00A4164F"/>
    <w:rsid w:val="00A41EFF"/>
    <w:rsid w:val="00A44F99"/>
    <w:rsid w:val="00A4553D"/>
    <w:rsid w:val="00A46447"/>
    <w:rsid w:val="00A46810"/>
    <w:rsid w:val="00A468C1"/>
    <w:rsid w:val="00A47E2B"/>
    <w:rsid w:val="00A52235"/>
    <w:rsid w:val="00A551AC"/>
    <w:rsid w:val="00A56CCD"/>
    <w:rsid w:val="00A579D7"/>
    <w:rsid w:val="00A57DF1"/>
    <w:rsid w:val="00A60FC6"/>
    <w:rsid w:val="00A64FD9"/>
    <w:rsid w:val="00A66175"/>
    <w:rsid w:val="00A72A11"/>
    <w:rsid w:val="00A73517"/>
    <w:rsid w:val="00A73569"/>
    <w:rsid w:val="00A7390F"/>
    <w:rsid w:val="00A77438"/>
    <w:rsid w:val="00A7773A"/>
    <w:rsid w:val="00A77C1A"/>
    <w:rsid w:val="00A8120B"/>
    <w:rsid w:val="00A81341"/>
    <w:rsid w:val="00A82F63"/>
    <w:rsid w:val="00A847A8"/>
    <w:rsid w:val="00A84C6B"/>
    <w:rsid w:val="00A976FA"/>
    <w:rsid w:val="00A97C9F"/>
    <w:rsid w:val="00AA0746"/>
    <w:rsid w:val="00AA235A"/>
    <w:rsid w:val="00AA2645"/>
    <w:rsid w:val="00AA265A"/>
    <w:rsid w:val="00AA540B"/>
    <w:rsid w:val="00AA580F"/>
    <w:rsid w:val="00AB10A7"/>
    <w:rsid w:val="00AB640E"/>
    <w:rsid w:val="00AC1627"/>
    <w:rsid w:val="00AC475D"/>
    <w:rsid w:val="00AC5F01"/>
    <w:rsid w:val="00AD0DDB"/>
    <w:rsid w:val="00AD0ED3"/>
    <w:rsid w:val="00AD13CB"/>
    <w:rsid w:val="00AD2E9B"/>
    <w:rsid w:val="00AE134B"/>
    <w:rsid w:val="00AE3993"/>
    <w:rsid w:val="00AE6AD2"/>
    <w:rsid w:val="00AE7126"/>
    <w:rsid w:val="00AE7275"/>
    <w:rsid w:val="00AE728B"/>
    <w:rsid w:val="00AF4851"/>
    <w:rsid w:val="00B01873"/>
    <w:rsid w:val="00B01E95"/>
    <w:rsid w:val="00B02AD7"/>
    <w:rsid w:val="00B06042"/>
    <w:rsid w:val="00B072E8"/>
    <w:rsid w:val="00B12D43"/>
    <w:rsid w:val="00B13F4A"/>
    <w:rsid w:val="00B1517C"/>
    <w:rsid w:val="00B154A8"/>
    <w:rsid w:val="00B252AA"/>
    <w:rsid w:val="00B25B50"/>
    <w:rsid w:val="00B269C0"/>
    <w:rsid w:val="00B27EB5"/>
    <w:rsid w:val="00B27F54"/>
    <w:rsid w:val="00B335EA"/>
    <w:rsid w:val="00B33660"/>
    <w:rsid w:val="00B3625D"/>
    <w:rsid w:val="00B4737D"/>
    <w:rsid w:val="00B508A5"/>
    <w:rsid w:val="00B510D2"/>
    <w:rsid w:val="00B54159"/>
    <w:rsid w:val="00B5610F"/>
    <w:rsid w:val="00B563D6"/>
    <w:rsid w:val="00B57954"/>
    <w:rsid w:val="00B57E4C"/>
    <w:rsid w:val="00B60049"/>
    <w:rsid w:val="00B62071"/>
    <w:rsid w:val="00B623AB"/>
    <w:rsid w:val="00B6433D"/>
    <w:rsid w:val="00B66F49"/>
    <w:rsid w:val="00B6789F"/>
    <w:rsid w:val="00B73279"/>
    <w:rsid w:val="00B774DF"/>
    <w:rsid w:val="00B77D4E"/>
    <w:rsid w:val="00B84471"/>
    <w:rsid w:val="00B853E0"/>
    <w:rsid w:val="00B860E9"/>
    <w:rsid w:val="00B86346"/>
    <w:rsid w:val="00B86C55"/>
    <w:rsid w:val="00B879D0"/>
    <w:rsid w:val="00B917FC"/>
    <w:rsid w:val="00B974DF"/>
    <w:rsid w:val="00BA16C8"/>
    <w:rsid w:val="00BA1787"/>
    <w:rsid w:val="00BA17DA"/>
    <w:rsid w:val="00BB29B0"/>
    <w:rsid w:val="00BB6830"/>
    <w:rsid w:val="00BB7322"/>
    <w:rsid w:val="00BC0EEC"/>
    <w:rsid w:val="00BC5814"/>
    <w:rsid w:val="00BC677B"/>
    <w:rsid w:val="00BC7247"/>
    <w:rsid w:val="00BD0E1F"/>
    <w:rsid w:val="00BD3108"/>
    <w:rsid w:val="00BD3E12"/>
    <w:rsid w:val="00BE07C9"/>
    <w:rsid w:val="00BE7122"/>
    <w:rsid w:val="00BF013A"/>
    <w:rsid w:val="00BF1244"/>
    <w:rsid w:val="00BF2C84"/>
    <w:rsid w:val="00BF44EF"/>
    <w:rsid w:val="00BF592D"/>
    <w:rsid w:val="00C027EA"/>
    <w:rsid w:val="00C1097A"/>
    <w:rsid w:val="00C1197F"/>
    <w:rsid w:val="00C16FCF"/>
    <w:rsid w:val="00C17DCE"/>
    <w:rsid w:val="00C22C6B"/>
    <w:rsid w:val="00C24CA2"/>
    <w:rsid w:val="00C2763A"/>
    <w:rsid w:val="00C317D1"/>
    <w:rsid w:val="00C33B55"/>
    <w:rsid w:val="00C35B3E"/>
    <w:rsid w:val="00C35D4C"/>
    <w:rsid w:val="00C417FC"/>
    <w:rsid w:val="00C4266B"/>
    <w:rsid w:val="00C4277A"/>
    <w:rsid w:val="00C560B3"/>
    <w:rsid w:val="00C57F39"/>
    <w:rsid w:val="00C63201"/>
    <w:rsid w:val="00C659BF"/>
    <w:rsid w:val="00C65B29"/>
    <w:rsid w:val="00C66710"/>
    <w:rsid w:val="00C6792B"/>
    <w:rsid w:val="00C76442"/>
    <w:rsid w:val="00C76B98"/>
    <w:rsid w:val="00C831AB"/>
    <w:rsid w:val="00C8440D"/>
    <w:rsid w:val="00C85A32"/>
    <w:rsid w:val="00C96A7D"/>
    <w:rsid w:val="00CA2FD9"/>
    <w:rsid w:val="00CA383D"/>
    <w:rsid w:val="00CA3E13"/>
    <w:rsid w:val="00CA454A"/>
    <w:rsid w:val="00CB10E8"/>
    <w:rsid w:val="00CB39F2"/>
    <w:rsid w:val="00CB7BE6"/>
    <w:rsid w:val="00CC543A"/>
    <w:rsid w:val="00CC57B8"/>
    <w:rsid w:val="00CC7D45"/>
    <w:rsid w:val="00CD25A3"/>
    <w:rsid w:val="00CD4D8F"/>
    <w:rsid w:val="00CD6A5A"/>
    <w:rsid w:val="00CD6CCF"/>
    <w:rsid w:val="00CE4947"/>
    <w:rsid w:val="00CE4D8F"/>
    <w:rsid w:val="00CE51DF"/>
    <w:rsid w:val="00CE6DB0"/>
    <w:rsid w:val="00CE7929"/>
    <w:rsid w:val="00CF14FE"/>
    <w:rsid w:val="00CF423F"/>
    <w:rsid w:val="00CF66E5"/>
    <w:rsid w:val="00D00049"/>
    <w:rsid w:val="00D0344B"/>
    <w:rsid w:val="00D052FF"/>
    <w:rsid w:val="00D053A8"/>
    <w:rsid w:val="00D05572"/>
    <w:rsid w:val="00D059BD"/>
    <w:rsid w:val="00D10123"/>
    <w:rsid w:val="00D14B3A"/>
    <w:rsid w:val="00D167B1"/>
    <w:rsid w:val="00D228BA"/>
    <w:rsid w:val="00D23C7C"/>
    <w:rsid w:val="00D24020"/>
    <w:rsid w:val="00D2514B"/>
    <w:rsid w:val="00D27EEC"/>
    <w:rsid w:val="00D30245"/>
    <w:rsid w:val="00D31B5D"/>
    <w:rsid w:val="00D3293E"/>
    <w:rsid w:val="00D348C1"/>
    <w:rsid w:val="00D364E8"/>
    <w:rsid w:val="00D368CB"/>
    <w:rsid w:val="00D37E79"/>
    <w:rsid w:val="00D5684E"/>
    <w:rsid w:val="00D60CF1"/>
    <w:rsid w:val="00D61821"/>
    <w:rsid w:val="00D61D4E"/>
    <w:rsid w:val="00D627A0"/>
    <w:rsid w:val="00D62B80"/>
    <w:rsid w:val="00D62BBB"/>
    <w:rsid w:val="00D63D6E"/>
    <w:rsid w:val="00D64543"/>
    <w:rsid w:val="00D66FE0"/>
    <w:rsid w:val="00D77C0E"/>
    <w:rsid w:val="00D81811"/>
    <w:rsid w:val="00D81A5C"/>
    <w:rsid w:val="00D92B70"/>
    <w:rsid w:val="00D9464C"/>
    <w:rsid w:val="00D979B0"/>
    <w:rsid w:val="00DA0918"/>
    <w:rsid w:val="00DA23E0"/>
    <w:rsid w:val="00DA2967"/>
    <w:rsid w:val="00DA43A9"/>
    <w:rsid w:val="00DA4676"/>
    <w:rsid w:val="00DA582E"/>
    <w:rsid w:val="00DB3A5B"/>
    <w:rsid w:val="00DB402E"/>
    <w:rsid w:val="00DC03EC"/>
    <w:rsid w:val="00DC60EE"/>
    <w:rsid w:val="00DC7DD9"/>
    <w:rsid w:val="00DD3BAF"/>
    <w:rsid w:val="00DD70C1"/>
    <w:rsid w:val="00DE2AFA"/>
    <w:rsid w:val="00DE401A"/>
    <w:rsid w:val="00DE68A7"/>
    <w:rsid w:val="00DE6BD9"/>
    <w:rsid w:val="00DF4E97"/>
    <w:rsid w:val="00DF5FCA"/>
    <w:rsid w:val="00E01E44"/>
    <w:rsid w:val="00E06F2D"/>
    <w:rsid w:val="00E0711F"/>
    <w:rsid w:val="00E16860"/>
    <w:rsid w:val="00E16B6F"/>
    <w:rsid w:val="00E172AB"/>
    <w:rsid w:val="00E17AC3"/>
    <w:rsid w:val="00E203A5"/>
    <w:rsid w:val="00E22DE0"/>
    <w:rsid w:val="00E23F95"/>
    <w:rsid w:val="00E27E4C"/>
    <w:rsid w:val="00E3074A"/>
    <w:rsid w:val="00E329CF"/>
    <w:rsid w:val="00E338F5"/>
    <w:rsid w:val="00E340A6"/>
    <w:rsid w:val="00E344A8"/>
    <w:rsid w:val="00E45521"/>
    <w:rsid w:val="00E50610"/>
    <w:rsid w:val="00E50944"/>
    <w:rsid w:val="00E51658"/>
    <w:rsid w:val="00E51966"/>
    <w:rsid w:val="00E5367E"/>
    <w:rsid w:val="00E5542E"/>
    <w:rsid w:val="00E60000"/>
    <w:rsid w:val="00E635E0"/>
    <w:rsid w:val="00E6441D"/>
    <w:rsid w:val="00E66542"/>
    <w:rsid w:val="00E66906"/>
    <w:rsid w:val="00E73FAC"/>
    <w:rsid w:val="00E74078"/>
    <w:rsid w:val="00E75019"/>
    <w:rsid w:val="00E80068"/>
    <w:rsid w:val="00E81302"/>
    <w:rsid w:val="00E84EF8"/>
    <w:rsid w:val="00E9072B"/>
    <w:rsid w:val="00E93A44"/>
    <w:rsid w:val="00E966A3"/>
    <w:rsid w:val="00E97A93"/>
    <w:rsid w:val="00EA0DB2"/>
    <w:rsid w:val="00EA22FB"/>
    <w:rsid w:val="00EA545B"/>
    <w:rsid w:val="00EA5E1E"/>
    <w:rsid w:val="00EA6D1C"/>
    <w:rsid w:val="00EA7123"/>
    <w:rsid w:val="00EB304B"/>
    <w:rsid w:val="00EB4EEB"/>
    <w:rsid w:val="00EB4F8A"/>
    <w:rsid w:val="00EB6C07"/>
    <w:rsid w:val="00EC2BC3"/>
    <w:rsid w:val="00EC3811"/>
    <w:rsid w:val="00EC4C53"/>
    <w:rsid w:val="00EC6F1C"/>
    <w:rsid w:val="00ED0334"/>
    <w:rsid w:val="00ED3C81"/>
    <w:rsid w:val="00ED4979"/>
    <w:rsid w:val="00EE207A"/>
    <w:rsid w:val="00EE32C3"/>
    <w:rsid w:val="00EE37FC"/>
    <w:rsid w:val="00EE4D8B"/>
    <w:rsid w:val="00EE7CB8"/>
    <w:rsid w:val="00EF1FFC"/>
    <w:rsid w:val="00EF2502"/>
    <w:rsid w:val="00EF26B7"/>
    <w:rsid w:val="00EF6149"/>
    <w:rsid w:val="00F04B73"/>
    <w:rsid w:val="00F0551F"/>
    <w:rsid w:val="00F10465"/>
    <w:rsid w:val="00F10BF7"/>
    <w:rsid w:val="00F115A4"/>
    <w:rsid w:val="00F16864"/>
    <w:rsid w:val="00F173C9"/>
    <w:rsid w:val="00F2098A"/>
    <w:rsid w:val="00F20BBA"/>
    <w:rsid w:val="00F23EC6"/>
    <w:rsid w:val="00F25D6D"/>
    <w:rsid w:val="00F26C05"/>
    <w:rsid w:val="00F27C33"/>
    <w:rsid w:val="00F355C3"/>
    <w:rsid w:val="00F35782"/>
    <w:rsid w:val="00F40404"/>
    <w:rsid w:val="00F4067F"/>
    <w:rsid w:val="00F4125D"/>
    <w:rsid w:val="00F43590"/>
    <w:rsid w:val="00F46975"/>
    <w:rsid w:val="00F46BF3"/>
    <w:rsid w:val="00F51D56"/>
    <w:rsid w:val="00F525E0"/>
    <w:rsid w:val="00F56A99"/>
    <w:rsid w:val="00F6030D"/>
    <w:rsid w:val="00F63F99"/>
    <w:rsid w:val="00F64BF1"/>
    <w:rsid w:val="00F65E63"/>
    <w:rsid w:val="00F66868"/>
    <w:rsid w:val="00F73967"/>
    <w:rsid w:val="00F82451"/>
    <w:rsid w:val="00F83590"/>
    <w:rsid w:val="00F85869"/>
    <w:rsid w:val="00F85B7E"/>
    <w:rsid w:val="00F86BC9"/>
    <w:rsid w:val="00F87499"/>
    <w:rsid w:val="00F87729"/>
    <w:rsid w:val="00F92A5D"/>
    <w:rsid w:val="00F93070"/>
    <w:rsid w:val="00F95351"/>
    <w:rsid w:val="00FA2949"/>
    <w:rsid w:val="00FA3AD1"/>
    <w:rsid w:val="00FA53F9"/>
    <w:rsid w:val="00FB7CDE"/>
    <w:rsid w:val="00FC010D"/>
    <w:rsid w:val="00FC1558"/>
    <w:rsid w:val="00FC2746"/>
    <w:rsid w:val="00FC4C72"/>
    <w:rsid w:val="00FC6D39"/>
    <w:rsid w:val="00FD01B2"/>
    <w:rsid w:val="00FD1EA7"/>
    <w:rsid w:val="00FD27A1"/>
    <w:rsid w:val="00FD4668"/>
    <w:rsid w:val="00FD684E"/>
    <w:rsid w:val="00FE2D3E"/>
    <w:rsid w:val="00FE3922"/>
    <w:rsid w:val="00FE4F13"/>
    <w:rsid w:val="00FE5C90"/>
    <w:rsid w:val="00FE6B87"/>
    <w:rsid w:val="00FE73DE"/>
    <w:rsid w:val="00FF595B"/>
    <w:rsid w:val="00FF7B8D"/>
    <w:rsid w:val="057959A2"/>
    <w:rsid w:val="0B2C6497"/>
    <w:rsid w:val="10547C52"/>
    <w:rsid w:val="11017140"/>
    <w:rsid w:val="154A097C"/>
    <w:rsid w:val="22AB2787"/>
    <w:rsid w:val="23DB6655"/>
    <w:rsid w:val="26B826D3"/>
    <w:rsid w:val="2DD05572"/>
    <w:rsid w:val="2FC942CD"/>
    <w:rsid w:val="3E9B746A"/>
    <w:rsid w:val="522912E3"/>
    <w:rsid w:val="5A550FA9"/>
    <w:rsid w:val="5D6027F5"/>
    <w:rsid w:val="668E1A52"/>
    <w:rsid w:val="66A13C99"/>
    <w:rsid w:val="790C2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10"/>
    <w:qFormat/>
    <w:uiPriority w:val="0"/>
    <w:pPr>
      <w:keepNext/>
      <w:keepLines/>
      <w:spacing w:before="260" w:after="260" w:line="416" w:lineRule="auto"/>
      <w:outlineLvl w:val="2"/>
    </w:pPr>
    <w:rPr>
      <w:b/>
      <w:bCs/>
      <w:sz w:val="32"/>
      <w:szCs w:val="32"/>
    </w:rPr>
  </w:style>
  <w:style w:type="paragraph" w:styleId="5">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12"/>
    <w:qFormat/>
    <w:uiPriority w:val="0"/>
    <w:pPr>
      <w:keepNext/>
      <w:keepLines/>
      <w:spacing w:before="280" w:after="290" w:line="376" w:lineRule="auto"/>
      <w:outlineLvl w:val="4"/>
    </w:pPr>
    <w:rPr>
      <w:b/>
      <w:bCs/>
      <w:sz w:val="28"/>
      <w:szCs w:val="28"/>
    </w:rPr>
  </w:style>
  <w:style w:type="paragraph" w:styleId="7">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114"/>
    <w:qFormat/>
    <w:uiPriority w:val="0"/>
    <w:pPr>
      <w:keepNext/>
      <w:keepLines/>
      <w:spacing w:before="240" w:after="64" w:line="320" w:lineRule="auto"/>
      <w:outlineLvl w:val="6"/>
    </w:pPr>
    <w:rPr>
      <w:b/>
      <w:bCs/>
      <w:sz w:val="24"/>
    </w:rPr>
  </w:style>
  <w:style w:type="paragraph" w:styleId="9">
    <w:name w:val="heading 8"/>
    <w:basedOn w:val="1"/>
    <w:next w:val="1"/>
    <w:link w:val="115"/>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88">
    <w:name w:val="Default Paragraph Font"/>
    <w:semiHidden/>
    <w:unhideWhenUsed/>
    <w:qFormat/>
    <w:uiPriority w:val="1"/>
  </w:style>
  <w:style w:type="table" w:default="1" w:styleId="106">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annotation subject"/>
    <w:basedOn w:val="13"/>
    <w:next w:val="13"/>
    <w:link w:val="134"/>
    <w:qFormat/>
    <w:uiPriority w:val="0"/>
    <w:rPr>
      <w:b/>
      <w:bCs/>
      <w:szCs w:val="24"/>
    </w:rPr>
  </w:style>
  <w:style w:type="paragraph" w:styleId="13">
    <w:name w:val="annotation text"/>
    <w:basedOn w:val="1"/>
    <w:link w:val="122"/>
    <w:unhideWhenUsed/>
    <w:qFormat/>
    <w:uiPriority w:val="0"/>
    <w:pPr>
      <w:jc w:val="left"/>
    </w:pPr>
    <w:rPr>
      <w:szCs w:val="21"/>
    </w:rPr>
  </w:style>
  <w:style w:type="paragraph" w:styleId="14">
    <w:name w:val="toc 7"/>
    <w:basedOn w:val="1"/>
    <w:next w:val="1"/>
    <w:qFormat/>
    <w:uiPriority w:val="0"/>
    <w:pPr>
      <w:ind w:left="2520" w:leftChars="1200"/>
    </w:pPr>
  </w:style>
  <w:style w:type="paragraph" w:styleId="15">
    <w:name w:val="Body Text First Indent"/>
    <w:basedOn w:val="16"/>
    <w:link w:val="156"/>
    <w:qFormat/>
    <w:uiPriority w:val="0"/>
    <w:pPr>
      <w:ind w:firstLine="420" w:firstLineChars="100"/>
    </w:pPr>
  </w:style>
  <w:style w:type="paragraph" w:styleId="16">
    <w:name w:val="Body Text"/>
    <w:basedOn w:val="1"/>
    <w:link w:val="155"/>
    <w:qFormat/>
    <w:uiPriority w:val="0"/>
    <w:pPr>
      <w:spacing w:after="120"/>
    </w:pPr>
  </w:style>
  <w:style w:type="paragraph" w:styleId="17">
    <w:name w:val="List Number 2"/>
    <w:basedOn w:val="1"/>
    <w:qFormat/>
    <w:uiPriority w:val="0"/>
    <w:pPr>
      <w:tabs>
        <w:tab w:val="left" w:pos="675"/>
        <w:tab w:val="left" w:pos="780"/>
      </w:tabs>
      <w:ind w:left="675" w:hanging="360"/>
    </w:pPr>
  </w:style>
  <w:style w:type="paragraph" w:styleId="18">
    <w:name w:val="table of authorities"/>
    <w:basedOn w:val="1"/>
    <w:next w:val="1"/>
    <w:qFormat/>
    <w:uiPriority w:val="0"/>
    <w:pPr>
      <w:ind w:left="420" w:leftChars="200"/>
    </w:pPr>
  </w:style>
  <w:style w:type="paragraph" w:styleId="19">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166"/>
    <w:qFormat/>
    <w:uiPriority w:val="0"/>
    <w:pPr>
      <w:jc w:val="center"/>
    </w:pPr>
  </w:style>
  <w:style w:type="paragraph" w:styleId="21">
    <w:name w:val="List Bullet 4"/>
    <w:basedOn w:val="1"/>
    <w:qFormat/>
    <w:uiPriority w:val="0"/>
    <w:pPr>
      <w:tabs>
        <w:tab w:val="left" w:pos="750"/>
        <w:tab w:val="left" w:pos="1620"/>
      </w:tabs>
      <w:ind w:left="750" w:hanging="750"/>
    </w:pPr>
  </w:style>
  <w:style w:type="paragraph" w:styleId="22">
    <w:name w:val="index 8"/>
    <w:basedOn w:val="1"/>
    <w:next w:val="1"/>
    <w:qFormat/>
    <w:uiPriority w:val="0"/>
    <w:pPr>
      <w:ind w:left="1400" w:leftChars="1400"/>
    </w:pPr>
  </w:style>
  <w:style w:type="paragraph" w:styleId="23">
    <w:name w:val="E-mail Signature"/>
    <w:basedOn w:val="1"/>
    <w:link w:val="163"/>
    <w:qFormat/>
    <w:uiPriority w:val="0"/>
  </w:style>
  <w:style w:type="paragraph" w:styleId="24">
    <w:name w:val="List Number"/>
    <w:basedOn w:val="1"/>
    <w:qFormat/>
    <w:uiPriority w:val="0"/>
    <w:pPr>
      <w:tabs>
        <w:tab w:val="left" w:pos="360"/>
        <w:tab w:val="left" w:pos="720"/>
      </w:tabs>
      <w:ind w:left="720" w:hanging="720"/>
    </w:pPr>
  </w:style>
  <w:style w:type="paragraph" w:styleId="25">
    <w:name w:val="Normal Indent"/>
    <w:basedOn w:val="1"/>
    <w:unhideWhenUsed/>
    <w:qFormat/>
    <w:uiPriority w:val="0"/>
    <w:pPr>
      <w:ind w:firstLine="420" w:firstLineChars="200"/>
    </w:pPr>
  </w:style>
  <w:style w:type="paragraph" w:styleId="26">
    <w:name w:val="caption"/>
    <w:basedOn w:val="1"/>
    <w:next w:val="1"/>
    <w:qFormat/>
    <w:uiPriority w:val="0"/>
    <w:pPr>
      <w:jc w:val="center"/>
    </w:pPr>
    <w:rPr>
      <w:rFonts w:ascii="Arial" w:hAnsi="Arial" w:eastAsia="黑体" w:cs="Arial"/>
      <w:sz w:val="24"/>
      <w:szCs w:val="20"/>
    </w:rPr>
  </w:style>
  <w:style w:type="paragraph" w:styleId="27">
    <w:name w:val="index 5"/>
    <w:basedOn w:val="1"/>
    <w:next w:val="1"/>
    <w:qFormat/>
    <w:uiPriority w:val="0"/>
    <w:pPr>
      <w:ind w:left="800" w:leftChars="800"/>
    </w:pPr>
  </w:style>
  <w:style w:type="paragraph" w:styleId="28">
    <w:name w:val="List Bullet"/>
    <w:basedOn w:val="1"/>
    <w:uiPriority w:val="0"/>
    <w:pPr>
      <w:tabs>
        <w:tab w:val="left" w:pos="360"/>
        <w:tab w:val="left" w:pos="720"/>
      </w:tabs>
      <w:ind w:left="720" w:hanging="720"/>
    </w:pPr>
  </w:style>
  <w:style w:type="paragraph" w:styleId="29">
    <w:name w:val="envelope address"/>
    <w:basedOn w:val="1"/>
    <w:qFormat/>
    <w:uiPriority w:val="0"/>
    <w:pPr>
      <w:snapToGrid w:val="0"/>
      <w:ind w:left="100" w:leftChars="1400"/>
    </w:pPr>
    <w:rPr>
      <w:rFonts w:ascii="Arial" w:hAnsi="Arial" w:cs="Arial"/>
      <w:sz w:val="24"/>
    </w:rPr>
  </w:style>
  <w:style w:type="paragraph" w:styleId="30">
    <w:name w:val="Document Map"/>
    <w:basedOn w:val="1"/>
    <w:link w:val="159"/>
    <w:qFormat/>
    <w:uiPriority w:val="0"/>
    <w:pPr>
      <w:shd w:val="clear" w:color="auto" w:fill="000080"/>
    </w:pPr>
  </w:style>
  <w:style w:type="paragraph" w:styleId="31">
    <w:name w:val="toa heading"/>
    <w:basedOn w:val="1"/>
    <w:next w:val="1"/>
    <w:uiPriority w:val="0"/>
    <w:pPr>
      <w:spacing w:before="120"/>
    </w:pPr>
    <w:rPr>
      <w:rFonts w:ascii="Arial" w:hAnsi="Arial" w:cs="Arial"/>
      <w:sz w:val="24"/>
    </w:rPr>
  </w:style>
  <w:style w:type="paragraph" w:styleId="32">
    <w:name w:val="index 6"/>
    <w:basedOn w:val="1"/>
    <w:next w:val="1"/>
    <w:qFormat/>
    <w:uiPriority w:val="0"/>
    <w:pPr>
      <w:ind w:left="1000" w:leftChars="1000"/>
    </w:pPr>
  </w:style>
  <w:style w:type="paragraph" w:styleId="33">
    <w:name w:val="Salutation"/>
    <w:basedOn w:val="1"/>
    <w:next w:val="1"/>
    <w:link w:val="168"/>
    <w:uiPriority w:val="0"/>
  </w:style>
  <w:style w:type="paragraph" w:styleId="34">
    <w:name w:val="Body Text 3"/>
    <w:basedOn w:val="1"/>
    <w:link w:val="160"/>
    <w:qFormat/>
    <w:uiPriority w:val="0"/>
    <w:pPr>
      <w:spacing w:after="120"/>
    </w:pPr>
    <w:rPr>
      <w:sz w:val="16"/>
      <w:szCs w:val="16"/>
    </w:rPr>
  </w:style>
  <w:style w:type="paragraph" w:styleId="35">
    <w:name w:val="Closing"/>
    <w:basedOn w:val="1"/>
    <w:link w:val="170"/>
    <w:qFormat/>
    <w:uiPriority w:val="0"/>
    <w:pPr>
      <w:ind w:left="100" w:leftChars="2100"/>
    </w:pPr>
  </w:style>
  <w:style w:type="paragraph" w:styleId="36">
    <w:name w:val="List Bullet 3"/>
    <w:basedOn w:val="1"/>
    <w:qFormat/>
    <w:uiPriority w:val="0"/>
    <w:pPr>
      <w:tabs>
        <w:tab w:val="left" w:pos="480"/>
        <w:tab w:val="left" w:pos="1200"/>
      </w:tabs>
      <w:ind w:left="480" w:hanging="480"/>
    </w:pPr>
  </w:style>
  <w:style w:type="paragraph" w:styleId="37">
    <w:name w:val="Body Text Indent"/>
    <w:basedOn w:val="1"/>
    <w:link w:val="157"/>
    <w:qFormat/>
    <w:uiPriority w:val="0"/>
    <w:pPr>
      <w:spacing w:after="120"/>
      <w:ind w:left="420" w:leftChars="200"/>
    </w:pPr>
  </w:style>
  <w:style w:type="paragraph" w:styleId="38">
    <w:name w:val="List Number 3"/>
    <w:basedOn w:val="1"/>
    <w:qFormat/>
    <w:uiPriority w:val="0"/>
    <w:pPr>
      <w:tabs>
        <w:tab w:val="left" w:pos="360"/>
        <w:tab w:val="left" w:pos="1200"/>
      </w:tabs>
      <w:ind w:left="360" w:hanging="360"/>
    </w:pPr>
  </w:style>
  <w:style w:type="paragraph" w:styleId="39">
    <w:name w:val="List 2"/>
    <w:basedOn w:val="1"/>
    <w:qFormat/>
    <w:uiPriority w:val="0"/>
    <w:pPr>
      <w:ind w:left="100" w:leftChars="200" w:hanging="200" w:hangingChars="200"/>
      <w:contextualSpacing/>
    </w:pPr>
  </w:style>
  <w:style w:type="paragraph" w:styleId="40">
    <w:name w:val="List Continue"/>
    <w:basedOn w:val="1"/>
    <w:qFormat/>
    <w:uiPriority w:val="0"/>
    <w:pPr>
      <w:spacing w:after="120"/>
      <w:ind w:left="420" w:leftChars="200"/>
    </w:pPr>
  </w:style>
  <w:style w:type="paragraph" w:styleId="41">
    <w:name w:val="Block Text"/>
    <w:basedOn w:val="1"/>
    <w:uiPriority w:val="0"/>
    <w:pPr>
      <w:spacing w:after="120"/>
      <w:ind w:left="1440" w:leftChars="700" w:right="1440" w:rightChars="700"/>
    </w:pPr>
  </w:style>
  <w:style w:type="paragraph" w:styleId="42">
    <w:name w:val="List Bullet 2"/>
    <w:basedOn w:val="1"/>
    <w:qFormat/>
    <w:uiPriority w:val="0"/>
    <w:pPr>
      <w:tabs>
        <w:tab w:val="left" w:pos="720"/>
        <w:tab w:val="left" w:pos="780"/>
      </w:tabs>
      <w:ind w:left="720" w:hanging="360"/>
    </w:pPr>
  </w:style>
  <w:style w:type="paragraph" w:styleId="43">
    <w:name w:val="HTML Address"/>
    <w:basedOn w:val="1"/>
    <w:link w:val="161"/>
    <w:qFormat/>
    <w:uiPriority w:val="0"/>
    <w:rPr>
      <w:i/>
      <w:iCs/>
    </w:rPr>
  </w:style>
  <w:style w:type="paragraph" w:styleId="44">
    <w:name w:val="index 4"/>
    <w:basedOn w:val="1"/>
    <w:next w:val="1"/>
    <w:qFormat/>
    <w:uiPriority w:val="0"/>
    <w:pPr>
      <w:ind w:left="600" w:leftChars="600"/>
    </w:pPr>
  </w:style>
  <w:style w:type="paragraph" w:styleId="45">
    <w:name w:val="toc 5"/>
    <w:basedOn w:val="1"/>
    <w:next w:val="1"/>
    <w:qFormat/>
    <w:uiPriority w:val="0"/>
    <w:pPr>
      <w:ind w:left="1680" w:leftChars="800"/>
    </w:pPr>
  </w:style>
  <w:style w:type="paragraph" w:styleId="46">
    <w:name w:val="toc 3"/>
    <w:basedOn w:val="1"/>
    <w:next w:val="1"/>
    <w:qFormat/>
    <w:uiPriority w:val="0"/>
    <w:pPr>
      <w:tabs>
        <w:tab w:val="right" w:leader="dot" w:pos="8296"/>
      </w:tabs>
      <w:spacing w:line="312" w:lineRule="auto"/>
      <w:ind w:left="400" w:leftChars="400"/>
    </w:pPr>
    <w:rPr>
      <w:sz w:val="24"/>
    </w:rPr>
  </w:style>
  <w:style w:type="paragraph" w:styleId="47">
    <w:name w:val="Plain Text"/>
    <w:basedOn w:val="1"/>
    <w:link w:val="133"/>
    <w:qFormat/>
    <w:uiPriority w:val="0"/>
    <w:rPr>
      <w:rFonts w:ascii="宋体" w:hAnsi="Courier New" w:cs="Courier New"/>
      <w:szCs w:val="21"/>
    </w:rPr>
  </w:style>
  <w:style w:type="paragraph" w:styleId="48">
    <w:name w:val="List Bullet 5"/>
    <w:basedOn w:val="1"/>
    <w:qFormat/>
    <w:uiPriority w:val="0"/>
    <w:pPr>
      <w:tabs>
        <w:tab w:val="left" w:pos="840"/>
        <w:tab w:val="left" w:pos="2040"/>
      </w:tabs>
      <w:ind w:left="840" w:hanging="420"/>
    </w:pPr>
  </w:style>
  <w:style w:type="paragraph" w:styleId="49">
    <w:name w:val="List Number 4"/>
    <w:basedOn w:val="1"/>
    <w:uiPriority w:val="0"/>
    <w:pPr>
      <w:tabs>
        <w:tab w:val="left" w:pos="960"/>
        <w:tab w:val="left" w:pos="1620"/>
      </w:tabs>
      <w:ind w:left="960" w:hanging="720"/>
    </w:pPr>
  </w:style>
  <w:style w:type="paragraph" w:styleId="50">
    <w:name w:val="toc 8"/>
    <w:basedOn w:val="1"/>
    <w:next w:val="1"/>
    <w:qFormat/>
    <w:uiPriority w:val="0"/>
    <w:pPr>
      <w:ind w:left="2940" w:leftChars="1400"/>
    </w:pPr>
  </w:style>
  <w:style w:type="paragraph" w:styleId="51">
    <w:name w:val="index 3"/>
    <w:basedOn w:val="1"/>
    <w:next w:val="1"/>
    <w:uiPriority w:val="0"/>
    <w:pPr>
      <w:ind w:left="400" w:leftChars="400"/>
    </w:pPr>
  </w:style>
  <w:style w:type="paragraph" w:styleId="52">
    <w:name w:val="Date"/>
    <w:basedOn w:val="1"/>
    <w:next w:val="1"/>
    <w:link w:val="131"/>
    <w:uiPriority w:val="0"/>
    <w:pPr>
      <w:ind w:left="100" w:leftChars="2500"/>
    </w:pPr>
  </w:style>
  <w:style w:type="paragraph" w:styleId="53">
    <w:name w:val="Body Text Indent 2"/>
    <w:basedOn w:val="1"/>
    <w:link w:val="171"/>
    <w:uiPriority w:val="0"/>
    <w:pPr>
      <w:spacing w:after="120" w:line="480" w:lineRule="auto"/>
      <w:ind w:left="420" w:leftChars="200"/>
    </w:pPr>
  </w:style>
  <w:style w:type="paragraph" w:styleId="54">
    <w:name w:val="endnote text"/>
    <w:basedOn w:val="1"/>
    <w:link w:val="169"/>
    <w:qFormat/>
    <w:uiPriority w:val="0"/>
    <w:pPr>
      <w:snapToGrid w:val="0"/>
      <w:jc w:val="left"/>
    </w:pPr>
  </w:style>
  <w:style w:type="paragraph" w:styleId="55">
    <w:name w:val="List Continue 5"/>
    <w:basedOn w:val="1"/>
    <w:uiPriority w:val="0"/>
    <w:pPr>
      <w:spacing w:after="120"/>
      <w:ind w:left="2100" w:leftChars="1000"/>
    </w:pPr>
  </w:style>
  <w:style w:type="paragraph" w:styleId="56">
    <w:name w:val="Balloon Text"/>
    <w:basedOn w:val="1"/>
    <w:link w:val="135"/>
    <w:uiPriority w:val="0"/>
    <w:rPr>
      <w:sz w:val="18"/>
      <w:szCs w:val="18"/>
    </w:rPr>
  </w:style>
  <w:style w:type="paragraph" w:styleId="57">
    <w:name w:val="footer"/>
    <w:basedOn w:val="1"/>
    <w:link w:val="124"/>
    <w:qFormat/>
    <w:uiPriority w:val="99"/>
    <w:pPr>
      <w:tabs>
        <w:tab w:val="center" w:pos="4153"/>
        <w:tab w:val="right" w:pos="8306"/>
      </w:tabs>
      <w:snapToGrid w:val="0"/>
      <w:jc w:val="left"/>
    </w:pPr>
    <w:rPr>
      <w:sz w:val="18"/>
    </w:rPr>
  </w:style>
  <w:style w:type="paragraph" w:styleId="58">
    <w:name w:val="envelope return"/>
    <w:basedOn w:val="1"/>
    <w:qFormat/>
    <w:uiPriority w:val="0"/>
    <w:pPr>
      <w:snapToGrid w:val="0"/>
    </w:pPr>
    <w:rPr>
      <w:rFonts w:ascii="Arial" w:hAnsi="Arial" w:cs="Arial"/>
    </w:rPr>
  </w:style>
  <w:style w:type="paragraph" w:styleId="59">
    <w:name w:val="Body Text First Indent 2"/>
    <w:basedOn w:val="37"/>
    <w:link w:val="158"/>
    <w:qFormat/>
    <w:uiPriority w:val="0"/>
    <w:pPr>
      <w:ind w:firstLine="420" w:firstLineChars="200"/>
    </w:pPr>
  </w:style>
  <w:style w:type="paragraph" w:styleId="60">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1">
    <w:name w:val="Signature"/>
    <w:basedOn w:val="1"/>
    <w:link w:val="164"/>
    <w:qFormat/>
    <w:uiPriority w:val="0"/>
    <w:pPr>
      <w:ind w:left="100" w:leftChars="2100"/>
    </w:pPr>
  </w:style>
  <w:style w:type="paragraph" w:styleId="62">
    <w:name w:val="toc 1"/>
    <w:basedOn w:val="1"/>
    <w:next w:val="1"/>
    <w:qFormat/>
    <w:uiPriority w:val="0"/>
    <w:pPr>
      <w:tabs>
        <w:tab w:val="right" w:leader="dot" w:pos="8296"/>
      </w:tabs>
      <w:spacing w:line="312" w:lineRule="auto"/>
    </w:pPr>
    <w:rPr>
      <w:sz w:val="24"/>
    </w:rPr>
  </w:style>
  <w:style w:type="paragraph" w:styleId="63">
    <w:name w:val="List Continue 4"/>
    <w:basedOn w:val="1"/>
    <w:qFormat/>
    <w:uiPriority w:val="0"/>
    <w:pPr>
      <w:spacing w:after="120"/>
      <w:ind w:left="1680" w:leftChars="800"/>
    </w:pPr>
  </w:style>
  <w:style w:type="paragraph" w:styleId="64">
    <w:name w:val="toc 4"/>
    <w:basedOn w:val="1"/>
    <w:next w:val="1"/>
    <w:qFormat/>
    <w:uiPriority w:val="0"/>
    <w:pPr>
      <w:ind w:left="1260" w:leftChars="600"/>
    </w:pPr>
  </w:style>
  <w:style w:type="paragraph" w:styleId="65">
    <w:name w:val="index heading"/>
    <w:basedOn w:val="1"/>
    <w:next w:val="66"/>
    <w:qFormat/>
    <w:uiPriority w:val="0"/>
    <w:rPr>
      <w:rFonts w:ascii="Arial" w:hAnsi="Arial" w:cs="Arial"/>
      <w:b/>
      <w:bCs/>
    </w:rPr>
  </w:style>
  <w:style w:type="paragraph" w:styleId="66">
    <w:name w:val="index 1"/>
    <w:basedOn w:val="1"/>
    <w:next w:val="1"/>
    <w:qFormat/>
    <w:uiPriority w:val="0"/>
  </w:style>
  <w:style w:type="paragraph" w:styleId="67">
    <w:name w:val="Subtitle"/>
    <w:basedOn w:val="1"/>
    <w:link w:val="172"/>
    <w:qFormat/>
    <w:uiPriority w:val="0"/>
    <w:pPr>
      <w:spacing w:before="240" w:after="60" w:line="312" w:lineRule="auto"/>
      <w:jc w:val="center"/>
      <w:outlineLvl w:val="1"/>
    </w:pPr>
    <w:rPr>
      <w:rFonts w:ascii="Arial" w:hAnsi="Arial" w:cs="Arial"/>
      <w:b/>
      <w:bCs/>
      <w:kern w:val="28"/>
      <w:sz w:val="32"/>
      <w:szCs w:val="32"/>
    </w:rPr>
  </w:style>
  <w:style w:type="paragraph" w:styleId="68">
    <w:name w:val="List Number 5"/>
    <w:basedOn w:val="1"/>
    <w:qFormat/>
    <w:uiPriority w:val="0"/>
    <w:pPr>
      <w:tabs>
        <w:tab w:val="left" w:pos="2040"/>
      </w:tabs>
    </w:pPr>
  </w:style>
  <w:style w:type="paragraph" w:styleId="69">
    <w:name w:val="List"/>
    <w:basedOn w:val="1"/>
    <w:qFormat/>
    <w:uiPriority w:val="0"/>
    <w:pPr>
      <w:ind w:left="200" w:hanging="200" w:hangingChars="200"/>
    </w:pPr>
  </w:style>
  <w:style w:type="paragraph" w:styleId="70">
    <w:name w:val="footnote text"/>
    <w:basedOn w:val="1"/>
    <w:link w:val="165"/>
    <w:qFormat/>
    <w:uiPriority w:val="0"/>
    <w:pPr>
      <w:snapToGrid w:val="0"/>
      <w:jc w:val="left"/>
    </w:pPr>
    <w:rPr>
      <w:sz w:val="18"/>
      <w:szCs w:val="18"/>
    </w:rPr>
  </w:style>
  <w:style w:type="paragraph" w:styleId="71">
    <w:name w:val="toc 6"/>
    <w:basedOn w:val="1"/>
    <w:next w:val="1"/>
    <w:qFormat/>
    <w:uiPriority w:val="0"/>
    <w:pPr>
      <w:ind w:left="2100" w:leftChars="1000"/>
    </w:pPr>
  </w:style>
  <w:style w:type="paragraph" w:styleId="72">
    <w:name w:val="List 5"/>
    <w:basedOn w:val="1"/>
    <w:qFormat/>
    <w:uiPriority w:val="0"/>
    <w:pPr>
      <w:ind w:left="100" w:leftChars="800" w:hanging="200" w:hangingChars="200"/>
    </w:pPr>
  </w:style>
  <w:style w:type="paragraph" w:styleId="73">
    <w:name w:val="Body Text Indent 3"/>
    <w:basedOn w:val="1"/>
    <w:link w:val="162"/>
    <w:qFormat/>
    <w:uiPriority w:val="0"/>
    <w:pPr>
      <w:spacing w:after="120"/>
      <w:ind w:left="420" w:leftChars="200"/>
    </w:pPr>
    <w:rPr>
      <w:sz w:val="16"/>
      <w:szCs w:val="16"/>
    </w:rPr>
  </w:style>
  <w:style w:type="paragraph" w:styleId="74">
    <w:name w:val="index 7"/>
    <w:basedOn w:val="1"/>
    <w:next w:val="1"/>
    <w:qFormat/>
    <w:uiPriority w:val="0"/>
    <w:pPr>
      <w:ind w:left="1200" w:leftChars="1200"/>
    </w:pPr>
  </w:style>
  <w:style w:type="paragraph" w:styleId="75">
    <w:name w:val="index 9"/>
    <w:basedOn w:val="1"/>
    <w:next w:val="1"/>
    <w:qFormat/>
    <w:uiPriority w:val="0"/>
    <w:pPr>
      <w:ind w:left="1600" w:leftChars="1600"/>
    </w:pPr>
  </w:style>
  <w:style w:type="paragraph" w:styleId="76">
    <w:name w:val="table of figures"/>
    <w:basedOn w:val="1"/>
    <w:next w:val="1"/>
    <w:qFormat/>
    <w:uiPriority w:val="0"/>
    <w:pPr>
      <w:ind w:left="200" w:leftChars="200" w:hanging="200" w:hangingChars="200"/>
    </w:pPr>
  </w:style>
  <w:style w:type="paragraph" w:styleId="77">
    <w:name w:val="toc 2"/>
    <w:basedOn w:val="1"/>
    <w:next w:val="1"/>
    <w:qFormat/>
    <w:uiPriority w:val="0"/>
    <w:pPr>
      <w:tabs>
        <w:tab w:val="right" w:leader="dot" w:pos="8296"/>
      </w:tabs>
      <w:spacing w:line="312" w:lineRule="auto"/>
      <w:ind w:left="420" w:leftChars="200"/>
    </w:pPr>
    <w:rPr>
      <w:sz w:val="24"/>
    </w:rPr>
  </w:style>
  <w:style w:type="paragraph" w:styleId="78">
    <w:name w:val="toc 9"/>
    <w:basedOn w:val="1"/>
    <w:next w:val="1"/>
    <w:qFormat/>
    <w:uiPriority w:val="0"/>
    <w:pPr>
      <w:ind w:left="3360" w:leftChars="1600"/>
    </w:pPr>
  </w:style>
  <w:style w:type="paragraph" w:styleId="79">
    <w:name w:val="Body Text 2"/>
    <w:basedOn w:val="1"/>
    <w:link w:val="167"/>
    <w:qFormat/>
    <w:uiPriority w:val="0"/>
    <w:pPr>
      <w:spacing w:after="120" w:line="480" w:lineRule="auto"/>
    </w:pPr>
  </w:style>
  <w:style w:type="paragraph" w:styleId="80">
    <w:name w:val="List 4"/>
    <w:basedOn w:val="1"/>
    <w:qFormat/>
    <w:uiPriority w:val="0"/>
    <w:pPr>
      <w:ind w:left="100" w:leftChars="600" w:hanging="200" w:hangingChars="200"/>
    </w:pPr>
  </w:style>
  <w:style w:type="paragraph" w:styleId="81">
    <w:name w:val="List Continue 2"/>
    <w:basedOn w:val="1"/>
    <w:qFormat/>
    <w:uiPriority w:val="0"/>
    <w:pPr>
      <w:spacing w:after="120"/>
      <w:ind w:left="840" w:leftChars="400"/>
    </w:pPr>
  </w:style>
  <w:style w:type="paragraph" w:styleId="82">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3">
    <w:name w:val="HTML Preformatted"/>
    <w:basedOn w:val="1"/>
    <w:link w:val="13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5">
    <w:name w:val="List Continue 3"/>
    <w:basedOn w:val="1"/>
    <w:qFormat/>
    <w:uiPriority w:val="0"/>
    <w:pPr>
      <w:spacing w:after="120"/>
      <w:ind w:left="1260" w:leftChars="600"/>
    </w:pPr>
  </w:style>
  <w:style w:type="paragraph" w:styleId="86">
    <w:name w:val="index 2"/>
    <w:basedOn w:val="1"/>
    <w:next w:val="1"/>
    <w:qFormat/>
    <w:uiPriority w:val="0"/>
    <w:pPr>
      <w:ind w:left="200" w:leftChars="200"/>
    </w:pPr>
  </w:style>
  <w:style w:type="paragraph" w:styleId="87">
    <w:name w:val="Title"/>
    <w:basedOn w:val="1"/>
    <w:link w:val="127"/>
    <w:qFormat/>
    <w:uiPriority w:val="0"/>
    <w:pPr>
      <w:spacing w:before="240" w:after="60"/>
      <w:jc w:val="center"/>
      <w:outlineLvl w:val="0"/>
    </w:pPr>
    <w:rPr>
      <w:rFonts w:ascii="Arial" w:hAnsi="Arial" w:cs="Arial"/>
      <w:b/>
      <w:bCs/>
      <w:sz w:val="32"/>
      <w:szCs w:val="32"/>
    </w:rPr>
  </w:style>
  <w:style w:type="character" w:styleId="89">
    <w:name w:val="Strong"/>
    <w:basedOn w:val="88"/>
    <w:qFormat/>
    <w:uiPriority w:val="22"/>
    <w:rPr>
      <w:b/>
      <w:bCs/>
    </w:rPr>
  </w:style>
  <w:style w:type="character" w:styleId="90">
    <w:name w:val="endnote reference"/>
    <w:qFormat/>
    <w:uiPriority w:val="0"/>
    <w:rPr>
      <w:vertAlign w:val="superscript"/>
    </w:rPr>
  </w:style>
  <w:style w:type="character" w:styleId="91">
    <w:name w:val="page number"/>
    <w:basedOn w:val="88"/>
    <w:unhideWhenUsed/>
    <w:qFormat/>
    <w:uiPriority w:val="0"/>
    <w:rPr>
      <w:rFonts w:ascii="Times New Roman" w:hAnsi="Times New Roman" w:eastAsia="宋体"/>
      <w:sz w:val="18"/>
    </w:rPr>
  </w:style>
  <w:style w:type="character" w:styleId="92">
    <w:name w:val="FollowedHyperlink"/>
    <w:basedOn w:val="88"/>
    <w:qFormat/>
    <w:uiPriority w:val="99"/>
    <w:rPr>
      <w:color w:val="800080" w:themeColor="followedHyperlink"/>
      <w:u w:val="single"/>
      <w14:textFill>
        <w14:solidFill>
          <w14:schemeClr w14:val="folHlink"/>
        </w14:solidFill>
      </w14:textFill>
    </w:rPr>
  </w:style>
  <w:style w:type="character" w:styleId="93">
    <w:name w:val="Emphasis"/>
    <w:qFormat/>
    <w:uiPriority w:val="20"/>
    <w:rPr>
      <w:i/>
      <w:iCs/>
    </w:rPr>
  </w:style>
  <w:style w:type="character" w:styleId="94">
    <w:name w:val="line number"/>
    <w:basedOn w:val="88"/>
    <w:qFormat/>
    <w:uiPriority w:val="0"/>
  </w:style>
  <w:style w:type="character" w:styleId="95">
    <w:name w:val="HTML Definition"/>
    <w:qFormat/>
    <w:uiPriority w:val="0"/>
    <w:rPr>
      <w:i/>
      <w:iCs/>
    </w:rPr>
  </w:style>
  <w:style w:type="character" w:styleId="96">
    <w:name w:val="HTML Typewriter"/>
    <w:qFormat/>
    <w:uiPriority w:val="0"/>
    <w:rPr>
      <w:rFonts w:ascii="Courier New" w:hAnsi="Courier New" w:cs="Courier New"/>
      <w:sz w:val="20"/>
      <w:szCs w:val="20"/>
    </w:rPr>
  </w:style>
  <w:style w:type="character" w:styleId="97">
    <w:name w:val="HTML Acronym"/>
    <w:basedOn w:val="88"/>
    <w:qFormat/>
    <w:uiPriority w:val="0"/>
  </w:style>
  <w:style w:type="character" w:styleId="98">
    <w:name w:val="HTML Variable"/>
    <w:qFormat/>
    <w:uiPriority w:val="0"/>
    <w:rPr>
      <w:i/>
      <w:iCs/>
    </w:rPr>
  </w:style>
  <w:style w:type="character" w:styleId="99">
    <w:name w:val="Hyperlink"/>
    <w:basedOn w:val="88"/>
    <w:qFormat/>
    <w:uiPriority w:val="99"/>
    <w:rPr>
      <w:color w:val="0000FF"/>
      <w:u w:val="single"/>
    </w:rPr>
  </w:style>
  <w:style w:type="character" w:styleId="100">
    <w:name w:val="HTML Code"/>
    <w:qFormat/>
    <w:uiPriority w:val="0"/>
    <w:rPr>
      <w:rFonts w:ascii="Courier New" w:hAnsi="Courier New" w:cs="Courier New"/>
      <w:sz w:val="20"/>
      <w:szCs w:val="20"/>
    </w:rPr>
  </w:style>
  <w:style w:type="character" w:styleId="101">
    <w:name w:val="annotation reference"/>
    <w:basedOn w:val="88"/>
    <w:qFormat/>
    <w:uiPriority w:val="0"/>
    <w:rPr>
      <w:sz w:val="21"/>
      <w:szCs w:val="21"/>
    </w:rPr>
  </w:style>
  <w:style w:type="character" w:styleId="102">
    <w:name w:val="HTML Cite"/>
    <w:qFormat/>
    <w:uiPriority w:val="0"/>
    <w:rPr>
      <w:i/>
      <w:iCs/>
    </w:rPr>
  </w:style>
  <w:style w:type="character" w:styleId="103">
    <w:name w:val="footnote reference"/>
    <w:qFormat/>
    <w:uiPriority w:val="0"/>
    <w:rPr>
      <w:vertAlign w:val="superscript"/>
    </w:rPr>
  </w:style>
  <w:style w:type="character" w:styleId="104">
    <w:name w:val="HTML Keyboard"/>
    <w:qFormat/>
    <w:uiPriority w:val="0"/>
    <w:rPr>
      <w:rFonts w:ascii="Courier New" w:hAnsi="Courier New" w:cs="Courier New"/>
      <w:sz w:val="20"/>
      <w:szCs w:val="20"/>
    </w:rPr>
  </w:style>
  <w:style w:type="character" w:styleId="105">
    <w:name w:val="HTML Sample"/>
    <w:qFormat/>
    <w:uiPriority w:val="0"/>
    <w:rPr>
      <w:rFonts w:ascii="Courier New" w:hAnsi="Courier New" w:cs="Courier New"/>
    </w:rPr>
  </w:style>
  <w:style w:type="table" w:styleId="107">
    <w:name w:val="Table Grid"/>
    <w:basedOn w:val="10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8">
    <w:name w:val="标题 1 字符"/>
    <w:basedOn w:val="88"/>
    <w:link w:val="2"/>
    <w:qFormat/>
    <w:uiPriority w:val="0"/>
    <w:rPr>
      <w:b/>
      <w:bCs/>
      <w:kern w:val="44"/>
      <w:sz w:val="44"/>
      <w:szCs w:val="44"/>
    </w:rPr>
  </w:style>
  <w:style w:type="character" w:customStyle="1" w:styleId="109">
    <w:name w:val="标题 2 字符"/>
    <w:basedOn w:val="88"/>
    <w:link w:val="3"/>
    <w:qFormat/>
    <w:uiPriority w:val="0"/>
    <w:rPr>
      <w:rFonts w:ascii="Arial" w:hAnsi="Arial" w:eastAsia="黑体"/>
      <w:b/>
      <w:bCs/>
      <w:kern w:val="2"/>
      <w:sz w:val="32"/>
      <w:szCs w:val="32"/>
    </w:rPr>
  </w:style>
  <w:style w:type="character" w:customStyle="1" w:styleId="110">
    <w:name w:val="标题 3 字符"/>
    <w:basedOn w:val="88"/>
    <w:link w:val="4"/>
    <w:qFormat/>
    <w:uiPriority w:val="0"/>
    <w:rPr>
      <w:b/>
      <w:bCs/>
      <w:kern w:val="2"/>
      <w:sz w:val="32"/>
      <w:szCs w:val="32"/>
    </w:rPr>
  </w:style>
  <w:style w:type="character" w:customStyle="1" w:styleId="111">
    <w:name w:val="标题 4 字符"/>
    <w:basedOn w:val="88"/>
    <w:link w:val="5"/>
    <w:qFormat/>
    <w:uiPriority w:val="0"/>
    <w:rPr>
      <w:rFonts w:ascii="Arial" w:hAnsi="Arial" w:eastAsia="黑体"/>
      <w:b/>
      <w:bCs/>
      <w:kern w:val="2"/>
      <w:sz w:val="28"/>
      <w:szCs w:val="28"/>
    </w:rPr>
  </w:style>
  <w:style w:type="character" w:customStyle="1" w:styleId="112">
    <w:name w:val="标题 5 字符"/>
    <w:basedOn w:val="88"/>
    <w:link w:val="6"/>
    <w:qFormat/>
    <w:uiPriority w:val="0"/>
    <w:rPr>
      <w:b/>
      <w:bCs/>
      <w:kern w:val="2"/>
      <w:sz w:val="28"/>
      <w:szCs w:val="28"/>
    </w:rPr>
  </w:style>
  <w:style w:type="character" w:customStyle="1" w:styleId="113">
    <w:name w:val="标题 6 字符"/>
    <w:basedOn w:val="88"/>
    <w:link w:val="7"/>
    <w:qFormat/>
    <w:uiPriority w:val="0"/>
    <w:rPr>
      <w:rFonts w:ascii="Arial" w:hAnsi="Arial" w:eastAsia="黑体"/>
      <w:b/>
      <w:bCs/>
      <w:kern w:val="2"/>
      <w:sz w:val="24"/>
      <w:szCs w:val="24"/>
    </w:rPr>
  </w:style>
  <w:style w:type="character" w:customStyle="1" w:styleId="114">
    <w:name w:val="标题 7 字符"/>
    <w:basedOn w:val="88"/>
    <w:link w:val="8"/>
    <w:qFormat/>
    <w:uiPriority w:val="0"/>
    <w:rPr>
      <w:b/>
      <w:bCs/>
      <w:kern w:val="2"/>
      <w:sz w:val="24"/>
      <w:szCs w:val="24"/>
    </w:rPr>
  </w:style>
  <w:style w:type="character" w:customStyle="1" w:styleId="115">
    <w:name w:val="标题 8 字符"/>
    <w:basedOn w:val="88"/>
    <w:link w:val="9"/>
    <w:qFormat/>
    <w:uiPriority w:val="0"/>
    <w:rPr>
      <w:rFonts w:ascii="Arial" w:hAnsi="Arial" w:eastAsia="黑体"/>
      <w:kern w:val="2"/>
      <w:sz w:val="24"/>
      <w:szCs w:val="24"/>
    </w:rPr>
  </w:style>
  <w:style w:type="character" w:customStyle="1" w:styleId="116">
    <w:name w:val="标题 9 字符"/>
    <w:basedOn w:val="88"/>
    <w:link w:val="10"/>
    <w:qFormat/>
    <w:uiPriority w:val="0"/>
    <w:rPr>
      <w:rFonts w:ascii="Arial" w:hAnsi="Arial" w:eastAsia="黑体"/>
      <w:kern w:val="2"/>
      <w:sz w:val="21"/>
      <w:szCs w:val="21"/>
    </w:rPr>
  </w:style>
  <w:style w:type="paragraph" w:customStyle="1" w:styleId="11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8">
    <w:name w:val="标准"/>
    <w:basedOn w:val="1"/>
    <w:qFormat/>
    <w:uiPriority w:val="0"/>
    <w:pPr>
      <w:adjustRightInd w:val="0"/>
      <w:spacing w:line="312" w:lineRule="atLeast"/>
      <w:jc w:val="center"/>
      <w:textAlignment w:val="baseline"/>
    </w:pPr>
    <w:rPr>
      <w:kern w:val="0"/>
      <w:szCs w:val="20"/>
    </w:rPr>
  </w:style>
  <w:style w:type="paragraph" w:customStyle="1" w:styleId="119">
    <w:name w:val="封面标准号2"/>
    <w:basedOn w:val="1"/>
    <w:qFormat/>
    <w:uiPriority w:val="0"/>
  </w:style>
  <w:style w:type="paragraph" w:customStyle="1" w:styleId="120">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1">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22">
    <w:name w:val="批注文字 字符"/>
    <w:basedOn w:val="88"/>
    <w:link w:val="13"/>
    <w:qFormat/>
    <w:uiPriority w:val="0"/>
    <w:rPr>
      <w:kern w:val="2"/>
      <w:sz w:val="21"/>
      <w:szCs w:val="21"/>
    </w:rPr>
  </w:style>
  <w:style w:type="character" w:customStyle="1" w:styleId="123">
    <w:name w:val="页眉 字符"/>
    <w:basedOn w:val="88"/>
    <w:link w:val="60"/>
    <w:qFormat/>
    <w:uiPriority w:val="0"/>
    <w:rPr>
      <w:kern w:val="2"/>
      <w:sz w:val="18"/>
      <w:szCs w:val="24"/>
    </w:rPr>
  </w:style>
  <w:style w:type="character" w:customStyle="1" w:styleId="124">
    <w:name w:val="页脚 字符"/>
    <w:basedOn w:val="88"/>
    <w:link w:val="57"/>
    <w:qFormat/>
    <w:uiPriority w:val="99"/>
    <w:rPr>
      <w:kern w:val="2"/>
      <w:sz w:val="18"/>
      <w:szCs w:val="24"/>
    </w:rPr>
  </w:style>
  <w:style w:type="paragraph" w:customStyle="1" w:styleId="125">
    <w:name w:val="列出段落1"/>
    <w:basedOn w:val="1"/>
    <w:qFormat/>
    <w:uiPriority w:val="0"/>
    <w:pPr>
      <w:ind w:firstLine="420" w:firstLineChars="20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字符"/>
    <w:basedOn w:val="88"/>
    <w:link w:val="87"/>
    <w:qFormat/>
    <w:uiPriority w:val="0"/>
    <w:rPr>
      <w:rFonts w:ascii="Arial" w:hAnsi="Arial" w:cs="Arial"/>
      <w:b/>
      <w:bCs/>
      <w:kern w:val="2"/>
      <w:sz w:val="32"/>
      <w:szCs w:val="32"/>
    </w:rPr>
  </w:style>
  <w:style w:type="character" w:customStyle="1" w:styleId="128">
    <w:name w:val="t_tag"/>
    <w:basedOn w:val="88"/>
    <w:qFormat/>
    <w:uiPriority w:val="0"/>
  </w:style>
  <w:style w:type="character" w:customStyle="1" w:styleId="129">
    <w:name w:val="apple-converted-space"/>
    <w:basedOn w:val="88"/>
    <w:qFormat/>
    <w:uiPriority w:val="0"/>
  </w:style>
  <w:style w:type="character" w:customStyle="1" w:styleId="130">
    <w:name w:val="apple-style-span"/>
    <w:basedOn w:val="88"/>
    <w:qFormat/>
    <w:uiPriority w:val="0"/>
  </w:style>
  <w:style w:type="character" w:customStyle="1" w:styleId="131">
    <w:name w:val="日期 字符"/>
    <w:basedOn w:val="88"/>
    <w:link w:val="52"/>
    <w:qFormat/>
    <w:uiPriority w:val="0"/>
    <w:rPr>
      <w:kern w:val="2"/>
      <w:sz w:val="21"/>
      <w:szCs w:val="24"/>
    </w:rPr>
  </w:style>
  <w:style w:type="character" w:customStyle="1" w:styleId="132">
    <w:name w:val="HTML 预设格式 字符"/>
    <w:basedOn w:val="88"/>
    <w:link w:val="83"/>
    <w:qFormat/>
    <w:uiPriority w:val="0"/>
    <w:rPr>
      <w:rFonts w:ascii="宋体" w:hAnsi="宋体" w:cs="宋体"/>
      <w:sz w:val="24"/>
      <w:szCs w:val="24"/>
    </w:rPr>
  </w:style>
  <w:style w:type="character" w:customStyle="1" w:styleId="133">
    <w:name w:val="纯文本 字符"/>
    <w:basedOn w:val="88"/>
    <w:link w:val="47"/>
    <w:qFormat/>
    <w:uiPriority w:val="0"/>
    <w:rPr>
      <w:rFonts w:ascii="宋体" w:hAnsi="Courier New" w:cs="Courier New"/>
      <w:kern w:val="2"/>
      <w:sz w:val="21"/>
      <w:szCs w:val="21"/>
    </w:rPr>
  </w:style>
  <w:style w:type="character" w:customStyle="1" w:styleId="134">
    <w:name w:val="批注主题 字符"/>
    <w:basedOn w:val="122"/>
    <w:link w:val="12"/>
    <w:qFormat/>
    <w:uiPriority w:val="0"/>
    <w:rPr>
      <w:b/>
      <w:bCs/>
      <w:kern w:val="2"/>
      <w:sz w:val="21"/>
      <w:szCs w:val="24"/>
    </w:rPr>
  </w:style>
  <w:style w:type="character" w:customStyle="1" w:styleId="135">
    <w:name w:val="批注框文本 字符"/>
    <w:basedOn w:val="88"/>
    <w:link w:val="56"/>
    <w:qFormat/>
    <w:uiPriority w:val="0"/>
    <w:rPr>
      <w:kern w:val="2"/>
      <w:sz w:val="18"/>
      <w:szCs w:val="18"/>
    </w:rPr>
  </w:style>
  <w:style w:type="paragraph" w:styleId="136">
    <w:name w:val="List Paragraph"/>
    <w:basedOn w:val="1"/>
    <w:qFormat/>
    <w:uiPriority w:val="34"/>
    <w:pPr>
      <w:ind w:firstLine="420" w:firstLineChars="200"/>
    </w:pPr>
  </w:style>
  <w:style w:type="character" w:customStyle="1" w:styleId="137">
    <w:name w:val="段 Char Char"/>
    <w:basedOn w:val="88"/>
    <w:link w:val="121"/>
    <w:qFormat/>
    <w:uiPriority w:val="0"/>
    <w:rPr>
      <w:rFonts w:ascii="宋体" w:hAnsi="宋体"/>
      <w:sz w:val="21"/>
    </w:rPr>
  </w:style>
  <w:style w:type="character" w:customStyle="1" w:styleId="138">
    <w:name w:val="short_text1"/>
    <w:basedOn w:val="88"/>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line="312" w:lineRule="auto"/>
      <w:ind w:firstLine="200" w:firstLineChars="200"/>
    </w:pPr>
    <w:rPr>
      <w:rFonts w:cs="宋体"/>
      <w:sz w:val="24"/>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字符"/>
    <w:basedOn w:val="88"/>
    <w:link w:val="19"/>
    <w:qFormat/>
    <w:uiPriority w:val="0"/>
    <w:rPr>
      <w:rFonts w:ascii="Courier New" w:hAnsi="Courier New" w:cs="Courier New"/>
      <w:kern w:val="2"/>
      <w:sz w:val="24"/>
      <w:szCs w:val="24"/>
    </w:rPr>
  </w:style>
  <w:style w:type="character" w:customStyle="1" w:styleId="155">
    <w:name w:val="正文文本 字符"/>
    <w:basedOn w:val="88"/>
    <w:link w:val="16"/>
    <w:qFormat/>
    <w:uiPriority w:val="0"/>
    <w:rPr>
      <w:kern w:val="2"/>
      <w:sz w:val="21"/>
      <w:szCs w:val="24"/>
    </w:rPr>
  </w:style>
  <w:style w:type="character" w:customStyle="1" w:styleId="156">
    <w:name w:val="正文首行缩进 字符"/>
    <w:basedOn w:val="155"/>
    <w:link w:val="15"/>
    <w:qFormat/>
    <w:uiPriority w:val="0"/>
    <w:rPr>
      <w:kern w:val="2"/>
      <w:sz w:val="21"/>
      <w:szCs w:val="24"/>
    </w:rPr>
  </w:style>
  <w:style w:type="character" w:customStyle="1" w:styleId="157">
    <w:name w:val="正文文本缩进 字符"/>
    <w:basedOn w:val="88"/>
    <w:link w:val="37"/>
    <w:qFormat/>
    <w:uiPriority w:val="0"/>
    <w:rPr>
      <w:kern w:val="2"/>
      <w:sz w:val="21"/>
      <w:szCs w:val="24"/>
    </w:rPr>
  </w:style>
  <w:style w:type="character" w:customStyle="1" w:styleId="158">
    <w:name w:val="正文首行缩进 2 字符"/>
    <w:basedOn w:val="157"/>
    <w:link w:val="59"/>
    <w:qFormat/>
    <w:uiPriority w:val="0"/>
    <w:rPr>
      <w:kern w:val="2"/>
      <w:sz w:val="21"/>
      <w:szCs w:val="24"/>
    </w:rPr>
  </w:style>
  <w:style w:type="character" w:customStyle="1" w:styleId="159">
    <w:name w:val="文档结构图 字符"/>
    <w:basedOn w:val="88"/>
    <w:link w:val="30"/>
    <w:qFormat/>
    <w:uiPriority w:val="0"/>
    <w:rPr>
      <w:kern w:val="2"/>
      <w:sz w:val="21"/>
      <w:szCs w:val="24"/>
      <w:shd w:val="clear" w:color="auto" w:fill="000080"/>
    </w:rPr>
  </w:style>
  <w:style w:type="character" w:customStyle="1" w:styleId="160">
    <w:name w:val="正文文本 3 字符"/>
    <w:basedOn w:val="88"/>
    <w:link w:val="34"/>
    <w:qFormat/>
    <w:uiPriority w:val="0"/>
    <w:rPr>
      <w:kern w:val="2"/>
      <w:sz w:val="16"/>
      <w:szCs w:val="16"/>
    </w:rPr>
  </w:style>
  <w:style w:type="character" w:customStyle="1" w:styleId="161">
    <w:name w:val="HTML 地址 字符"/>
    <w:basedOn w:val="88"/>
    <w:link w:val="43"/>
    <w:qFormat/>
    <w:uiPriority w:val="0"/>
    <w:rPr>
      <w:i/>
      <w:iCs/>
      <w:kern w:val="2"/>
      <w:sz w:val="21"/>
      <w:szCs w:val="24"/>
    </w:rPr>
  </w:style>
  <w:style w:type="character" w:customStyle="1" w:styleId="162">
    <w:name w:val="正文文本缩进 3 字符"/>
    <w:basedOn w:val="88"/>
    <w:link w:val="73"/>
    <w:qFormat/>
    <w:uiPriority w:val="0"/>
    <w:rPr>
      <w:kern w:val="2"/>
      <w:sz w:val="16"/>
      <w:szCs w:val="16"/>
    </w:rPr>
  </w:style>
  <w:style w:type="character" w:customStyle="1" w:styleId="163">
    <w:name w:val="电子邮件签名 字符"/>
    <w:basedOn w:val="88"/>
    <w:link w:val="23"/>
    <w:qFormat/>
    <w:uiPriority w:val="0"/>
    <w:rPr>
      <w:kern w:val="2"/>
      <w:sz w:val="21"/>
      <w:szCs w:val="24"/>
    </w:rPr>
  </w:style>
  <w:style w:type="character" w:customStyle="1" w:styleId="164">
    <w:name w:val="签名 字符"/>
    <w:basedOn w:val="88"/>
    <w:link w:val="61"/>
    <w:qFormat/>
    <w:uiPriority w:val="0"/>
    <w:rPr>
      <w:kern w:val="2"/>
      <w:sz w:val="21"/>
      <w:szCs w:val="24"/>
    </w:rPr>
  </w:style>
  <w:style w:type="character" w:customStyle="1" w:styleId="165">
    <w:name w:val="脚注文本 字符"/>
    <w:basedOn w:val="88"/>
    <w:link w:val="70"/>
    <w:uiPriority w:val="0"/>
    <w:rPr>
      <w:kern w:val="2"/>
      <w:sz w:val="18"/>
      <w:szCs w:val="18"/>
    </w:rPr>
  </w:style>
  <w:style w:type="character" w:customStyle="1" w:styleId="166">
    <w:name w:val="注释标题 字符"/>
    <w:basedOn w:val="88"/>
    <w:link w:val="20"/>
    <w:qFormat/>
    <w:uiPriority w:val="0"/>
    <w:rPr>
      <w:kern w:val="2"/>
      <w:sz w:val="21"/>
      <w:szCs w:val="24"/>
    </w:rPr>
  </w:style>
  <w:style w:type="character" w:customStyle="1" w:styleId="167">
    <w:name w:val="正文文本 2 字符"/>
    <w:basedOn w:val="88"/>
    <w:link w:val="79"/>
    <w:qFormat/>
    <w:uiPriority w:val="0"/>
    <w:rPr>
      <w:kern w:val="2"/>
      <w:sz w:val="21"/>
      <w:szCs w:val="24"/>
    </w:rPr>
  </w:style>
  <w:style w:type="character" w:customStyle="1" w:styleId="168">
    <w:name w:val="称呼 字符"/>
    <w:basedOn w:val="88"/>
    <w:link w:val="33"/>
    <w:qFormat/>
    <w:uiPriority w:val="0"/>
    <w:rPr>
      <w:kern w:val="2"/>
      <w:sz w:val="21"/>
      <w:szCs w:val="24"/>
    </w:rPr>
  </w:style>
  <w:style w:type="character" w:customStyle="1" w:styleId="169">
    <w:name w:val="尾注文本 字符"/>
    <w:basedOn w:val="88"/>
    <w:link w:val="54"/>
    <w:qFormat/>
    <w:uiPriority w:val="0"/>
    <w:rPr>
      <w:kern w:val="2"/>
      <w:sz w:val="21"/>
      <w:szCs w:val="24"/>
    </w:rPr>
  </w:style>
  <w:style w:type="character" w:customStyle="1" w:styleId="170">
    <w:name w:val="结束语 字符"/>
    <w:basedOn w:val="88"/>
    <w:link w:val="35"/>
    <w:qFormat/>
    <w:uiPriority w:val="0"/>
    <w:rPr>
      <w:kern w:val="2"/>
      <w:sz w:val="21"/>
      <w:szCs w:val="24"/>
    </w:rPr>
  </w:style>
  <w:style w:type="character" w:customStyle="1" w:styleId="171">
    <w:name w:val="正文文本缩进 2 字符"/>
    <w:basedOn w:val="88"/>
    <w:link w:val="53"/>
    <w:qFormat/>
    <w:uiPriority w:val="0"/>
    <w:rPr>
      <w:kern w:val="2"/>
      <w:sz w:val="21"/>
      <w:szCs w:val="24"/>
    </w:rPr>
  </w:style>
  <w:style w:type="character" w:customStyle="1" w:styleId="172">
    <w:name w:val="副标题 字符"/>
    <w:basedOn w:val="88"/>
    <w:link w:val="67"/>
    <w:qFormat/>
    <w:uiPriority w:val="0"/>
    <w:rPr>
      <w:rFonts w:ascii="Arial" w:hAnsi="Arial" w:cs="Arial"/>
      <w:b/>
      <w:bCs/>
      <w:kern w:val="28"/>
      <w:sz w:val="32"/>
      <w:szCs w:val="32"/>
    </w:rPr>
  </w:style>
  <w:style w:type="character" w:customStyle="1" w:styleId="173">
    <w:name w:val="信息标题 字符"/>
    <w:basedOn w:val="88"/>
    <w:link w:val="82"/>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16"/>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16"/>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121"/>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21"/>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21"/>
    <w:qFormat/>
    <w:uiPriority w:val="0"/>
    <w:pPr>
      <w:tabs>
        <w:tab w:val="left" w:pos="1680"/>
        <w:tab w:val="left" w:pos="2100"/>
        <w:tab w:val="left" w:pos="2520"/>
      </w:tabs>
      <w:ind w:left="2520"/>
      <w:outlineLvl w:val="4"/>
    </w:pPr>
  </w:style>
  <w:style w:type="paragraph" w:customStyle="1" w:styleId="182">
    <w:name w:val="二级条标题"/>
    <w:basedOn w:val="183"/>
    <w:next w:val="121"/>
    <w:qFormat/>
    <w:uiPriority w:val="0"/>
    <w:pPr>
      <w:tabs>
        <w:tab w:val="left" w:pos="1680"/>
        <w:tab w:val="left" w:pos="2100"/>
      </w:tabs>
      <w:ind w:left="2100"/>
      <w:outlineLvl w:val="3"/>
    </w:pPr>
  </w:style>
  <w:style w:type="paragraph" w:customStyle="1" w:styleId="183">
    <w:name w:val="一级条标题"/>
    <w:basedOn w:val="120"/>
    <w:next w:val="121"/>
    <w:qFormat/>
    <w:uiPriority w:val="0"/>
    <w:pPr>
      <w:tabs>
        <w:tab w:val="left" w:pos="1680"/>
        <w:tab w:val="clear" w:pos="675"/>
      </w:tabs>
      <w:spacing w:beforeLines="0" w:afterLines="0"/>
      <w:ind w:left="1680" w:hanging="420"/>
      <w:outlineLvl w:val="2"/>
    </w:pPr>
  </w:style>
  <w:style w:type="paragraph" w:customStyle="1" w:styleId="184">
    <w:name w:val="附录"/>
    <w:basedOn w:val="2"/>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2"/>
    <w:next w:val="150"/>
    <w:qFormat/>
    <w:uiPriority w:val="0"/>
    <w:pPr>
      <w:spacing w:line="576" w:lineRule="auto"/>
      <w:jc w:val="center"/>
    </w:pPr>
    <w:rPr>
      <w:rFonts w:eastAsia="黑体"/>
      <w:sz w:val="30"/>
    </w:rPr>
  </w:style>
  <w:style w:type="paragraph" w:customStyle="1" w:styleId="189">
    <w:name w:val="基准页脚样式"/>
    <w:basedOn w:val="16"/>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2"/>
    <w:qFormat/>
    <w:uiPriority w:val="0"/>
    <w:pPr>
      <w:spacing w:line="576" w:lineRule="auto"/>
    </w:pPr>
  </w:style>
  <w:style w:type="paragraph" w:customStyle="1" w:styleId="194">
    <w:name w:val="u正文2级标题"/>
    <w:basedOn w:val="3"/>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16"/>
    <w:next w:val="16"/>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2"/>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16"/>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4"/>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6"/>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88"/>
    <w:semiHidden/>
    <w:qFormat/>
    <w:uiPriority w:val="99"/>
    <w:rPr>
      <w:color w:val="808080"/>
    </w:rPr>
  </w:style>
  <w:style w:type="character" w:customStyle="1" w:styleId="244">
    <w:name w:val="段 Char"/>
    <w:basedOn w:val="88"/>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B8C2B7-DFD3-4C44-8C65-CA6CE39F6F13}">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14</Pages>
  <Words>8335</Words>
  <Characters>7548</Characters>
  <Lines>62</Lines>
  <Paragraphs>31</Paragraphs>
  <TotalTime>0</TotalTime>
  <ScaleCrop>false</ScaleCrop>
  <LinksUpToDate>false</LinksUpToDate>
  <CharactersWithSpaces>15852</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2022-02-28T05:50:00Z</dcterms:created>
  <dc:creator>zljy05</dc:creator>
  <cp:lastModifiedBy>ZZGANG</cp:lastModifiedBy>
  <cp:lastPrinted>2018-08-20T12:57:00Z</cp:lastPrinted>
  <dcterms:modified xsi:type="dcterms:W3CDTF">2022-06-01T08:40:45Z</dcterms:modified>
  <dc:title>再生锌化学分析方法</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