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黑体"/>
          <w:sz w:val="32"/>
          <w:szCs w:val="32"/>
        </w:rPr>
      </w:pPr>
      <w:r>
        <w:rPr>
          <w:rFonts w:hint="eastAsia" w:ascii="黑体" w:hAnsi="黑体" w:eastAsia="黑体" w:cs="黑体"/>
          <w:w w:val="90"/>
          <w:sz w:val="32"/>
          <w:szCs w:val="32"/>
        </w:rPr>
        <w:t>稀土行业标准</w:t>
      </w:r>
      <w:r>
        <w:rPr>
          <w:rFonts w:ascii="黑体" w:hAnsi="黑体" w:eastAsia="黑体" w:cs="黑体"/>
          <w:w w:val="90"/>
          <w:sz w:val="32"/>
          <w:szCs w:val="32"/>
        </w:rPr>
        <w:t>《</w:t>
      </w:r>
      <w:r>
        <w:rPr>
          <w:rFonts w:hint="eastAsia" w:ascii="黑体" w:hAnsi="黑体" w:eastAsia="黑体" w:cs="黑体"/>
          <w:w w:val="90"/>
          <w:sz w:val="32"/>
          <w:szCs w:val="32"/>
        </w:rPr>
        <w:t>稀土火法冶炼回收料化学分析方法</w:t>
      </w:r>
      <w:r>
        <w:rPr>
          <w:rFonts w:hint="eastAsia" w:ascii="宋体" w:hAnsi="宋体" w:eastAsia="宋体" w:cs="宋体"/>
          <w:w w:val="90"/>
          <w:sz w:val="32"/>
          <w:szCs w:val="32"/>
        </w:rPr>
        <w:t>　</w:t>
      </w:r>
      <w:r>
        <w:rPr>
          <w:rFonts w:ascii="黑体" w:hAnsi="黑体" w:eastAsia="黑体" w:cs="黑体"/>
          <w:w w:val="90"/>
          <w:sz w:val="32"/>
          <w:szCs w:val="32"/>
        </w:rPr>
        <w:t>第</w:t>
      </w:r>
      <w:r>
        <w:rPr>
          <w:rFonts w:hint="eastAsia" w:ascii="黑体" w:hAnsi="黑体" w:eastAsia="黑体" w:cs="黑体"/>
          <w:w w:val="90"/>
          <w:sz w:val="32"/>
          <w:szCs w:val="32"/>
        </w:rPr>
        <w:t>1</w:t>
      </w:r>
      <w:r>
        <w:rPr>
          <w:rFonts w:ascii="黑体" w:hAnsi="黑体" w:eastAsia="黑体" w:cs="黑体"/>
          <w:w w:val="90"/>
          <w:sz w:val="32"/>
          <w:szCs w:val="32"/>
        </w:rPr>
        <w:t>部分：</w:t>
      </w:r>
      <w:r>
        <w:rPr>
          <w:rFonts w:hint="eastAsia" w:ascii="黑体" w:hAnsi="黑体" w:eastAsia="黑体" w:cs="黑体"/>
          <w:w w:val="90"/>
          <w:sz w:val="32"/>
          <w:szCs w:val="32"/>
        </w:rPr>
        <w:t>稀土总量的测定</w:t>
      </w:r>
      <w:r>
        <w:rPr>
          <w:rFonts w:hint="eastAsia" w:ascii="宋体" w:hAnsi="宋体" w:eastAsia="宋体" w:cs="宋体"/>
          <w:w w:val="90"/>
          <w:sz w:val="32"/>
          <w:szCs w:val="32"/>
        </w:rPr>
        <w:t>　</w:t>
      </w:r>
      <w:r>
        <w:rPr>
          <w:rFonts w:hint="eastAsia" w:ascii="黑体" w:hAnsi="黑体" w:eastAsia="黑体" w:cs="黑体"/>
          <w:w w:val="90"/>
          <w:sz w:val="32"/>
          <w:szCs w:val="32"/>
        </w:rPr>
        <w:t>方法1草酸盐重量法</w:t>
      </w:r>
      <w:r>
        <w:rPr>
          <w:rFonts w:ascii="黑体" w:hAnsi="黑体" w:eastAsia="黑体" w:cs="黑体"/>
          <w:w w:val="90"/>
          <w:sz w:val="32"/>
          <w:szCs w:val="32"/>
        </w:rPr>
        <w:t>》</w:t>
      </w:r>
      <w:r>
        <w:rPr>
          <w:rFonts w:hint="eastAsia" w:ascii="黑体" w:hAnsi="黑体" w:eastAsia="黑体" w:cs="黑体"/>
          <w:w w:val="90"/>
          <w:sz w:val="32"/>
          <w:szCs w:val="32"/>
        </w:rPr>
        <w:t>（征求意见稿Ⅰ）</w:t>
      </w:r>
      <w:r>
        <w:rPr>
          <w:rFonts w:ascii="黑体" w:hAnsi="黑体" w:eastAsia="黑体" w:cs="黑体"/>
          <w:w w:val="90"/>
          <w:sz w:val="32"/>
          <w:szCs w:val="32"/>
        </w:rPr>
        <w:t>编制说明</w:t>
      </w:r>
    </w:p>
    <w:p/>
    <w:p>
      <w:pPr>
        <w:spacing w:beforeLines="100" w:afterLines="100" w:line="312" w:lineRule="auto"/>
        <w:rPr>
          <w:rFonts w:ascii="黑体" w:hAnsi="宋体" w:eastAsia="黑体"/>
          <w:bCs/>
          <w:sz w:val="24"/>
        </w:rPr>
      </w:pPr>
      <w:r>
        <w:rPr>
          <w:rFonts w:hint="eastAsia" w:ascii="黑体" w:hAnsi="宋体" w:eastAsia="黑体"/>
          <w:bCs/>
          <w:sz w:val="24"/>
        </w:rPr>
        <w:t>一、工作简况</w:t>
      </w:r>
    </w:p>
    <w:p>
      <w:pPr>
        <w:pStyle w:val="11"/>
        <w:tabs>
          <w:tab w:val="clear" w:pos="675"/>
        </w:tabs>
        <w:spacing w:beforeLines="50" w:afterLines="50" w:line="312" w:lineRule="auto"/>
        <w:ind w:left="0" w:firstLine="0"/>
        <w:rPr>
          <w:rFonts w:hAnsi="黑体"/>
          <w:bCs/>
        </w:rPr>
      </w:pPr>
      <w:r>
        <w:rPr>
          <w:rFonts w:hint="eastAsia" w:hAnsi="黑体"/>
          <w:bCs/>
        </w:rPr>
        <w:t>（一）</w:t>
      </w:r>
      <w:r>
        <w:rPr>
          <w:rFonts w:hAnsi="黑体"/>
          <w:bCs/>
        </w:rPr>
        <w:t>任务来源</w:t>
      </w:r>
    </w:p>
    <w:p>
      <w:pPr>
        <w:spacing w:beforeLines="50" w:afterLines="50" w:line="312" w:lineRule="auto"/>
        <w:rPr>
          <w:rFonts w:ascii="黑体" w:hAnsi="黑体" w:eastAsia="黑体"/>
          <w:bCs/>
          <w:highlight w:val="yellow"/>
        </w:rPr>
      </w:pPr>
      <w:r>
        <w:rPr>
          <w:rFonts w:hint="eastAsia" w:ascii="黑体" w:hAnsi="黑体" w:eastAsia="黑体"/>
          <w:bCs/>
        </w:rPr>
        <w:t>1、计划批复</w:t>
      </w:r>
    </w:p>
    <w:p>
      <w:pPr>
        <w:spacing w:line="312" w:lineRule="auto"/>
        <w:ind w:firstLine="420" w:firstLineChars="200"/>
        <w:rPr>
          <w:rFonts w:ascii="宋体" w:hAnsi="宋体" w:eastAsia="宋体" w:cs="宋体"/>
          <w:szCs w:val="21"/>
        </w:rPr>
      </w:pPr>
      <w:r>
        <w:rPr>
          <w:rFonts w:hint="eastAsia" w:ascii="宋体" w:hAnsi="宋体" w:eastAsia="宋体" w:cs="宋体"/>
          <w:szCs w:val="21"/>
        </w:rPr>
        <w:t xml:space="preserve">根据稀土标委[2020]45号关于印发《金属氢化物-镍电池负极用稀土贮氢合金材料电化学性能的测试 三电极体系测试法》等 16 项国家、行业标准和国家标准外文版计划任务落实会议纪要的通知要求，由江西南方稀土高技术股份有限公司负责对《稀土熔盐电解回收料化学分析方法 第 </w:t>
      </w:r>
      <w:r>
        <w:rPr>
          <w:rFonts w:ascii="宋体" w:hAnsi="宋体" w:eastAsia="宋体" w:cs="宋体"/>
          <w:szCs w:val="21"/>
        </w:rPr>
        <w:t xml:space="preserve">1 </w:t>
      </w:r>
      <w:r>
        <w:rPr>
          <w:rFonts w:hint="eastAsia" w:ascii="宋体" w:hAnsi="宋体" w:eastAsia="宋体" w:cs="宋体"/>
          <w:szCs w:val="21"/>
        </w:rPr>
        <w:t>部分：稀土总量的测定 重量法》牵头起草工作。标准由全国稀土标准化技术委员会（SAC/TC 229）提出并归口，确定标准项目计划编号为2020-0734T-XB。研制周期为18个月。</w:t>
      </w:r>
    </w:p>
    <w:p>
      <w:pPr>
        <w:spacing w:line="312" w:lineRule="auto"/>
        <w:ind w:firstLine="420" w:firstLineChars="200"/>
        <w:rPr>
          <w:rFonts w:ascii="宋体" w:hAnsi="宋体" w:eastAsia="宋体" w:cs="宋体"/>
          <w:szCs w:val="21"/>
        </w:rPr>
      </w:pPr>
      <w:r>
        <w:rPr>
          <w:rFonts w:hint="eastAsia" w:ascii="宋体" w:hAnsi="宋体" w:eastAsia="宋体" w:cs="宋体"/>
          <w:szCs w:val="21"/>
        </w:rPr>
        <w:t>2021年12月24日根据稀土标委</w:t>
      </w:r>
      <w:r>
        <w:rPr>
          <w:rFonts w:ascii="宋体" w:hAnsi="宋体" w:eastAsia="宋体" w:cs="宋体"/>
          <w:szCs w:val="21"/>
        </w:rPr>
        <w:t xml:space="preserve">[2021]52 </w:t>
      </w:r>
      <w:r>
        <w:rPr>
          <w:rFonts w:hint="eastAsia" w:ascii="宋体" w:hAnsi="宋体" w:eastAsia="宋体" w:cs="宋体"/>
          <w:szCs w:val="21"/>
        </w:rPr>
        <w:t>号关于系列行业标准《稀土熔盐电解回收料化学分析方法》名称、检测方法与进度调整的通知要求，对系列行业标准《稀土熔盐电解回收料化学分析方法》的名称、检测方法与研制度进行调整。将本部分标准名称调整为《稀土火法冶炼回收料化学分析方法 第1部分：稀土总量的测定》，内容由方法1草酸盐重量法与方法2ICP-OES法组成（新增加），此文件为方法1草酸盐重量法的编制说明。</w:t>
      </w:r>
    </w:p>
    <w:p>
      <w:pPr>
        <w:spacing w:beforeLines="50" w:afterLines="50" w:line="312" w:lineRule="auto"/>
        <w:rPr>
          <w:rFonts w:ascii="黑体" w:hAnsi="黑体" w:eastAsia="黑体"/>
        </w:rPr>
      </w:pPr>
      <w:r>
        <w:rPr>
          <w:rFonts w:hint="eastAsia" w:ascii="黑体" w:hAnsi="黑体" w:eastAsia="黑体"/>
        </w:rPr>
        <w:t>2、项目编制组单位及变化情况</w:t>
      </w:r>
    </w:p>
    <w:p>
      <w:pPr>
        <w:spacing w:line="312" w:lineRule="auto"/>
        <w:ind w:firstLine="420" w:firstLineChars="200"/>
        <w:rPr>
          <w:rFonts w:ascii="宋体" w:hAnsi="宋体" w:eastAsia="宋体" w:cs="宋体"/>
          <w:szCs w:val="21"/>
        </w:rPr>
      </w:pPr>
      <w:r>
        <w:rPr>
          <w:rFonts w:hint="eastAsia" w:ascii="宋体" w:hAnsi="宋体" w:eastAsia="宋体" w:cs="宋体"/>
          <w:szCs w:val="21"/>
        </w:rPr>
        <w:t>项目编制组由江西南方稀土高技术股份有限公司、国标（北京）检验认证有限公司、虔东稀土集团股份有限公司、福建省长汀金龙稀土有限公司、中稀天马新材料科技股份有限公司、赣州湛海新材料科技有限公司、赣州晨光稀土新材料股份有限公司，共7个单位组成。</w:t>
      </w:r>
    </w:p>
    <w:p>
      <w:pPr>
        <w:pStyle w:val="11"/>
        <w:tabs>
          <w:tab w:val="clear" w:pos="675"/>
        </w:tabs>
        <w:spacing w:beforeLines="50" w:afterLines="50" w:line="312" w:lineRule="auto"/>
        <w:ind w:left="0" w:firstLine="0"/>
        <w:rPr>
          <w:rFonts w:hAnsi="黑体"/>
          <w:highlight w:val="yellow"/>
        </w:rPr>
      </w:pPr>
      <w:r>
        <w:rPr>
          <w:rFonts w:hint="eastAsia" w:hAnsi="黑体"/>
        </w:rPr>
        <w:t>（二）</w:t>
      </w:r>
      <w:bookmarkStart w:id="0" w:name="_Toc451633880"/>
      <w:r>
        <w:rPr>
          <w:rFonts w:hint="eastAsia" w:hAnsi="黑体"/>
        </w:rPr>
        <w:t>主要参加单位和工作成员及其所做的工作</w:t>
      </w:r>
      <w:bookmarkEnd w:id="0"/>
    </w:p>
    <w:p>
      <w:pPr>
        <w:spacing w:beforeLines="50" w:afterLines="50" w:line="312" w:lineRule="auto"/>
        <w:rPr>
          <w:rFonts w:ascii="宋体" w:hAnsi="宋体" w:eastAsia="宋体" w:cs="宋体"/>
        </w:rPr>
      </w:pPr>
      <w:bookmarkStart w:id="1" w:name="_Toc451633881"/>
      <w:r>
        <w:rPr>
          <w:rFonts w:hint="eastAsia" w:ascii="黑体" w:hAnsi="黑体" w:eastAsia="黑体" w:cs="黑体"/>
        </w:rPr>
        <w:t>1、主要参加单位情况</w:t>
      </w:r>
      <w:bookmarkEnd w:id="1"/>
    </w:p>
    <w:p>
      <w:pPr>
        <w:spacing w:line="312" w:lineRule="auto"/>
        <w:ind w:firstLine="420" w:firstLineChars="200"/>
        <w:rPr>
          <w:szCs w:val="21"/>
        </w:rPr>
      </w:pPr>
      <w:r>
        <w:rPr>
          <w:rFonts w:hint="eastAsia"/>
          <w:szCs w:val="21"/>
        </w:rPr>
        <w:t>本文件分别由江西南方稀土高技术股份有限公司、国标（北京）检验认证有限公司、虔东稀土集团股份有限公司、福建省长汀金龙稀土有限公司、中稀天马新材料科技股份有限公司、赣州湛海新材料</w:t>
      </w:r>
      <w:r>
        <w:rPr>
          <w:rFonts w:hint="eastAsia" w:ascii="宋体" w:hAnsi="宋体" w:eastAsia="宋体" w:cs="宋体"/>
          <w:szCs w:val="21"/>
        </w:rPr>
        <w:t>科技</w:t>
      </w:r>
      <w:r>
        <w:rPr>
          <w:rFonts w:hint="eastAsia"/>
          <w:szCs w:val="21"/>
        </w:rPr>
        <w:t>有限公司、赣州晨光稀土新材料股份有限公司，共7家单位共同编制。各单位及分工情况介绍如下：</w:t>
      </w:r>
    </w:p>
    <w:p>
      <w:pPr>
        <w:spacing w:line="312" w:lineRule="auto"/>
        <w:ind w:firstLine="422" w:firstLineChars="200"/>
        <w:rPr>
          <w:rFonts w:ascii="宋体" w:hAnsi="宋体" w:eastAsia="宋体" w:cs="宋体"/>
          <w:szCs w:val="21"/>
        </w:rPr>
      </w:pPr>
      <w:r>
        <w:rPr>
          <w:rFonts w:hint="eastAsia" w:ascii="宋体" w:hAnsi="宋体" w:eastAsia="宋体" w:cs="宋体"/>
          <w:b/>
          <w:bCs/>
          <w:szCs w:val="21"/>
        </w:rPr>
        <w:t>江西南方稀土高技术股份有限公司</w:t>
      </w:r>
      <w:r>
        <w:rPr>
          <w:rFonts w:hint="eastAsia" w:ascii="宋体" w:hAnsi="宋体" w:eastAsia="宋体" w:cs="宋体"/>
          <w:szCs w:val="21"/>
        </w:rPr>
        <w:t>（以下简称“公司”），公司成立于2001年，是以赣州有色冶金研究所为主发起人（56%），联合湖南稀土金属材料研究院（15%）,赣州南方稀土矿冶有限责任公司（15%），中科三环高技术股份有限公司（8%），中国有色金属进出口江西公司（2%），中铝金属贸易有限公司（2%），中国有色金属工业科技开发交流中心（2%）六家共同发起设立的国有控股股份有限公司。公司致力于稀土产品的开发研究，取得了多项重大成果，获得了国家、省部级奖励17项，完成国家、省部级科研项目34项，申请了多项专利技术，成为国内外稀土行业具有相当影响力和竞争力的企业之一。</w:t>
      </w:r>
    </w:p>
    <w:p>
      <w:pPr>
        <w:spacing w:line="312" w:lineRule="auto"/>
        <w:ind w:firstLine="420" w:firstLineChars="200"/>
        <w:rPr>
          <w:rFonts w:ascii="宋体" w:hAnsi="宋体" w:eastAsia="宋体" w:cs="宋体"/>
          <w:szCs w:val="21"/>
        </w:rPr>
      </w:pPr>
      <w:r>
        <w:rPr>
          <w:rFonts w:hint="eastAsia" w:ascii="宋体" w:hAnsi="宋体" w:eastAsia="宋体" w:cs="宋体"/>
          <w:szCs w:val="21"/>
        </w:rPr>
        <w:t>江西南方稀土高技术股份有限公司是本项目的牵头起草单位，在标准制定过程中负责提出标准制定的试验方案、完成试验报告编制、组织协调开展各验证工作、统一样品的提供、研制与发放、各精密度数据检验、筛查与汇总，随后与编制组成员单位共同形成标准征求意见稿，负责组织进行了广泛的意见征集，整理形成了标准预审稿、标准编制说明等。</w:t>
      </w:r>
    </w:p>
    <w:p>
      <w:pPr>
        <w:spacing w:line="312"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国标（北京）检验认证有限公司</w:t>
      </w:r>
      <w:r>
        <w:rPr>
          <w:rFonts w:hint="eastAsia" w:asciiTheme="minorEastAsia" w:hAnsiTheme="minorEastAsia" w:cstheme="minorEastAsia"/>
          <w:szCs w:val="21"/>
        </w:rPr>
        <w:t>，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国标（北京）检验认证有限公司是本项目的一级验证单位，在标准制定过程中按照试验报告的要求对各条件试验开展了验证工作，对各试验条件给出了结论，对统一样品进行了分析，提供了精密度数据，对标准的适用性与准确性给出了结论。在整个标准的起草过程中发挥了非常重要的作用。</w:t>
      </w:r>
    </w:p>
    <w:p>
      <w:pPr>
        <w:spacing w:line="312"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虔东稀土集团股份有限公司</w:t>
      </w:r>
      <w:r>
        <w:rPr>
          <w:rFonts w:hint="eastAsia" w:asciiTheme="minorEastAsia" w:hAnsiTheme="minorEastAsia" w:cstheme="minorEastAsia"/>
          <w:szCs w:val="21"/>
        </w:rPr>
        <w:t>(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虔东稀土集团股份有限公司是本项目的一级验证单位，在标准制定过程中按照试验报告的要求对各条件试验开展了验证工作，对各试验条件给出了结论，对统一样品进行了分析，提供了精密度数据，对标准的适用性与准确性给出了结论。在整个标准的起草过程中发挥了非常重要的作用。</w:t>
      </w:r>
    </w:p>
    <w:p>
      <w:pPr>
        <w:spacing w:line="312"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福建省长汀金龙稀土有限公司</w:t>
      </w:r>
      <w:r>
        <w:rPr>
          <w:rFonts w:hint="eastAsia" w:asciiTheme="minorEastAsia" w:hAnsiTheme="minorEastAsia" w:cstheme="minorEastAsia"/>
          <w:szCs w:val="21"/>
        </w:rPr>
        <w:t>（以下简称“金龙稀土”），是厦门钨业全资子公司，拥有从稀土矿开采—稀土分离—稀土金属—精深加工（荧光粉、磁性材料）等较为完整的产业链优势，主要从事稀土分离、稀土精深加工以及稀土功能材料的研发与应用。主导、参与制订标准18项，其中国标6项；获评国家级绿色工厂、福建省战略性新兴产业骨干企业、福建省科技型企业等荣誉。金龙稀土检测中心实验室面积2400平方米，涉及的检测领域有成分分析、物理性能分析、磁性能分析、可靠性分析、清洁度分析等，拥有一系列国内外先进的精密分析仪器如X射线衍射仪、X射线荧光光谱仪、扫描电子显微镜、电感耦合等离子体质谱仪、电感耦合等离子体发射光谱仪、超高矫顽力永磁测量仪、冷热冲击试验机、永磁磁滞回线测量仪等共80多台，固定资产总值超过2000万元。</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福建省长汀金龙稀土有限公司是本项目的二级验证单位，在标准制定过程中按照试验报告提供的方法对统一样品进行了分析，提供了精密度数据，对标准的适用性与准确性给出了结论。在整个标准的起草过程中发挥了比较重要的作用。</w:t>
      </w:r>
    </w:p>
    <w:p>
      <w:pPr>
        <w:spacing w:line="312"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中稀天马新材料科技股份有限公司</w:t>
      </w:r>
      <w:r>
        <w:rPr>
          <w:rFonts w:hint="eastAsia" w:asciiTheme="minorEastAsia" w:hAnsiTheme="minorEastAsia" w:cstheme="minorEastAsia"/>
          <w:szCs w:val="21"/>
        </w:rPr>
        <w:t>（以下简称“公司”），公司成立于2010年，位于山东省梁山县境内，是国家级高新技术企业，主营钕铁硼废料稀土资源、“城市矿产”等二次资源的循环综合回收利用，属于国家产业政策鼓励的资源综合利用产业，主要产品为国家战略资源氧化镨钕、氧化镝、氧化铽、氧化钆、氧化钬等稀土氧化物及其合金，年生产加工各类稀土氧化物、稀土金属及其合金4000余吨，其产值可达20亿之多。</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公司是山东省瞪羚企业发展促进会理事单位、山东环境科学学会理事单位、中国稀土行业协会理事单位、山东稀土行业协会理事单位、中国再生资源回收利用协会理事单位，是全国稀土标准化技术委员会委员单位，3A级信用企业。公司是2020年山东绿色产业与环境安全创新创业共同体、国家技术标准创新基地（稀土）的创建单位，这些为公司的发展奠定了强有力的基础。公司通过了ISO9001质量管理体系认证、ISO14001环境管理体系认证、OHS18001职业健康安全管理体系认证；建立了专门的研发机构，拥有济宁市、山东省等研发平台6个。获得授权发明专利6项、实用新型专利31项。公司获得了2019年山东省十佳瞪羚企业的称号、山东省资源综合利用先进单位等资质荣誉，2020年获得了第四批山东省制造业单项冠军的称号，济宁市2020年两化融合重点项目单位。《富铈钕铁硼废料清洁高效回收稀土金属新技术》2020年获得济宁市首届工业“十佳”新技术称号；《钕铁硼废料资源高效环保循环综合利用》项目获得2020年度山东省科学技术奖科技进步三等奖。</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中稀天马新材料科技股份有限公司是本项目的二级验证单位，在标准制定过程中按照试验报告提供的方法对统一样品进行了分析，提供了精密度数据，对标准的适用性与准确性给出了结论。在整个标准的起草过程中发挥了比较重要的作用。</w:t>
      </w:r>
    </w:p>
    <w:p>
      <w:pPr>
        <w:spacing w:line="312"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赣州湛海新材料</w:t>
      </w:r>
      <w:r>
        <w:rPr>
          <w:rFonts w:hint="eastAsia" w:ascii="宋体" w:hAnsi="宋体" w:eastAsia="宋体" w:cs="宋体"/>
          <w:b/>
          <w:bCs/>
          <w:szCs w:val="21"/>
        </w:rPr>
        <w:t>科技</w:t>
      </w:r>
      <w:r>
        <w:rPr>
          <w:rFonts w:hint="eastAsia" w:asciiTheme="minorEastAsia" w:hAnsiTheme="minorEastAsia" w:cstheme="minorEastAsia"/>
          <w:b/>
          <w:bCs/>
          <w:szCs w:val="21"/>
        </w:rPr>
        <w:t>有限公司</w:t>
      </w:r>
      <w:r>
        <w:rPr>
          <w:rFonts w:hint="eastAsia" w:asciiTheme="minorEastAsia" w:hAnsiTheme="minorEastAsia" w:cstheme="minorEastAsia"/>
          <w:szCs w:val="21"/>
        </w:rPr>
        <w:t>（以下简称“公司”），公司成立于2001年，2008年按照“招拍挂”程序在赣州市水西有色冶金基地取得生产用地；2010年8月股东转换并施工生产建设；2012年公司完成生产线及相应环保、办公、生活等设施建设，形成年产稀土氧化物684吨的生产能力。2019年公司由赣州湛海工贸有限公司更名为赣州湛海新材料科技有限公司。近年来公司积极响应国家产业转型升级战略部署，结合企业实际，主动转变发展模式，大力研究和开发超高纯度及特殊物性指标的纳米特性稀土系列产品。产品主要应用于功能晶体、集成电路、红外探测、燃料电池、陶瓷电容器、新能源材料、原子能和军工、合金、特种玻璃、发光材料、5G新材料等领域。产品质量稳定、承担氧化钆等多个产品的国家行业标准。</w:t>
      </w:r>
    </w:p>
    <w:p>
      <w:pPr>
        <w:spacing w:line="312"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赣州湛海新材料</w:t>
      </w:r>
      <w:r>
        <w:rPr>
          <w:rFonts w:hint="eastAsia" w:ascii="宋体" w:hAnsi="宋体" w:eastAsia="宋体" w:cs="宋体"/>
          <w:szCs w:val="21"/>
        </w:rPr>
        <w:t>科技</w:t>
      </w:r>
      <w:r>
        <w:rPr>
          <w:rFonts w:hint="eastAsia" w:asciiTheme="minorEastAsia" w:hAnsiTheme="minorEastAsia" w:cstheme="minorEastAsia"/>
          <w:szCs w:val="21"/>
        </w:rPr>
        <w:t>有限公司是本项目的二级验证单位，在标准制定过程中按照试验报告提供的方法对统一样品进行了分析，提供了精密度数据，对标准的适用性与准确性给出了结论。在整个标准的起草过程中发挥了比较重要的作用。</w:t>
      </w:r>
    </w:p>
    <w:p>
      <w:pPr>
        <w:spacing w:line="312" w:lineRule="auto"/>
        <w:ind w:firstLine="422" w:firstLineChars="200"/>
        <w:rPr>
          <w:rFonts w:ascii="宋体" w:hAnsi="宋体" w:eastAsia="宋体" w:cs="宋体"/>
          <w:szCs w:val="21"/>
        </w:rPr>
      </w:pPr>
      <w:r>
        <w:rPr>
          <w:rFonts w:hint="eastAsia" w:asciiTheme="minorEastAsia" w:hAnsiTheme="minorEastAsia" w:cstheme="minorEastAsia"/>
          <w:b/>
          <w:bCs/>
          <w:szCs w:val="21"/>
        </w:rPr>
        <w:t>赣州晨光稀土新材料股份有限公司</w:t>
      </w:r>
      <w:r>
        <w:rPr>
          <w:rFonts w:hint="eastAsia" w:asciiTheme="minorEastAsia" w:hAnsiTheme="minorEastAsia" w:cstheme="minorEastAsia"/>
          <w:szCs w:val="21"/>
        </w:rPr>
        <w:t>(简称“晨光稀土”)，晨光稀土1997年成立的江西省赣南晨光稀土金属冶炼厂，2017年与盛和资源控股股份有限公司（简称“盛和资源”，股票代码600392）完成重大资产重组，成为上市公司盛和资源的全资子公司。晨光稀土以金属事业部为母体，下辖全南县新资源稀土有限责任公司、赣州步莱铽新资源有限公司两家子公司，注册资本3.6亿元，现有员工近1000人。晨光稀土专业生产各种稀土氧化物、稀土金属、混合稀土金属、稀土合金等系列稀土产品及配套产</w:t>
      </w:r>
      <w:r>
        <w:rPr>
          <w:rFonts w:hint="eastAsia" w:ascii="宋体" w:hAnsi="宋体" w:eastAsia="宋体" w:cs="宋体"/>
          <w:szCs w:val="21"/>
        </w:rPr>
        <w:t>品，拥有集稀土“分离——冶炼——回收”为一体的产业链，是目前国内稀土冶炼、分离技术最先进的企业之一。晨光稀土坚持稳健经营、防范风险的原则，积极开拓市场，开展自产自销、来料加工、贸易等多种经营方式，取得了较好的经营业绩成果，2020年营业收入达43亿元，利润1.3亿元，纳税总额近亿元。晨光稀土是国家高新技术企业，省级企业技术中心，全国稀土标准化技术委员会单位会员，国家技术标准创新基地（稀土）副理事长单位，国家新材料测试评价平台稀土行业中心理事单位，江西省稀标委会员，国家知识产权优势企业。公司被省政府、市政府先后授予“赣州市市长质量奖”、“江西省百强企业”、“江西省优秀企业”、“江西省质量管理先进单位”、“江西省质量信用AAA级企业”、“江西省著名商标”、“出口重点企业”等荣誉称号，多个产品被评为“江西省名牌产品”，金属铽同时荣获“苏浙皖赣沪名牌产品50佳”。晨光稀土重视通过管理体系建设提升管理水平。2000年2月通过了ISO9001质量管理体系，2012年通过了ISO14001环境管理体系，导入卓越绩效管理模式，成立了实施卓越绩效管理模式领导小组，2016年行业首家通过两化融合管理体系。同时充分利用现代的管理理念（如六西格玛、全面质量管理、精细化管理等）加强过程质量控制，强调领导作用、全员参与、持续改进等质量管理原则，确保体系实施的有效性。</w:t>
      </w:r>
    </w:p>
    <w:p>
      <w:pPr>
        <w:spacing w:line="312" w:lineRule="auto"/>
        <w:ind w:firstLine="420" w:firstLineChars="200"/>
        <w:rPr>
          <w:rFonts w:ascii="宋体" w:hAnsi="宋体" w:eastAsia="宋体" w:cs="宋体"/>
          <w:szCs w:val="21"/>
        </w:rPr>
      </w:pPr>
      <w:r>
        <w:rPr>
          <w:rFonts w:hint="eastAsia" w:ascii="宋体" w:hAnsi="宋体" w:eastAsia="宋体" w:cs="宋体"/>
          <w:szCs w:val="21"/>
        </w:rPr>
        <w:t>赣州晨光稀土新材料股份有限公司是本项目的二级验证单位，在标准制定过程中按照试验报告提供的方法对统一样品进行了分析，提供了精密度数据，对标准的适用性与准确性给出了结论。在整个标准的起草过程中发挥了比较重要的作用。</w:t>
      </w:r>
    </w:p>
    <w:p>
      <w:pPr>
        <w:numPr>
          <w:ilvl w:val="0"/>
          <w:numId w:val="1"/>
        </w:numPr>
        <w:spacing w:beforeLines="50" w:afterLines="50" w:line="360" w:lineRule="exact"/>
        <w:jc w:val="left"/>
        <w:rPr>
          <w:rFonts w:ascii="黑体" w:hAnsi="黑体" w:eastAsia="黑体" w:cs="黑体"/>
        </w:rPr>
      </w:pPr>
      <w:r>
        <w:rPr>
          <w:rFonts w:hint="eastAsia" w:ascii="黑体" w:hAnsi="黑体" w:eastAsia="黑体" w:cs="黑体"/>
        </w:rPr>
        <w:t>主要工作成员及承担工作情况</w:t>
      </w:r>
    </w:p>
    <w:p>
      <w:pPr>
        <w:spacing w:line="312" w:lineRule="auto"/>
        <w:ind w:firstLine="420" w:firstLineChars="200"/>
        <w:jc w:val="left"/>
        <w:rPr>
          <w:rFonts w:ascii="Times New Roman" w:cs="Times New Roman"/>
        </w:rPr>
      </w:pPr>
      <w:r>
        <w:rPr>
          <w:rFonts w:hint="eastAsia" w:ascii="Times New Roman" w:cs="Times New Roman"/>
        </w:rPr>
        <w:t>本标准主要起草人及</w:t>
      </w:r>
      <w:r>
        <w:rPr>
          <w:rFonts w:hint="eastAsia" w:ascii="宋体" w:hAnsi="宋体" w:eastAsia="宋体" w:cs="宋体"/>
        </w:rPr>
        <w:t>承担</w:t>
      </w:r>
      <w:r>
        <w:rPr>
          <w:rFonts w:hint="eastAsia" w:ascii="Times New Roman" w:cs="Times New Roman"/>
        </w:rPr>
        <w:t>工作情况见表1。</w:t>
      </w:r>
    </w:p>
    <w:p>
      <w:pPr>
        <w:spacing w:beforeLines="50" w:line="360" w:lineRule="exact"/>
        <w:ind w:firstLine="420" w:firstLineChars="200"/>
        <w:jc w:val="center"/>
        <w:rPr>
          <w:rFonts w:ascii="Times New Roman" w:cs="Times New Roman"/>
          <w:sz w:val="18"/>
          <w:szCs w:val="18"/>
        </w:rPr>
      </w:pPr>
      <w:r>
        <w:rPr>
          <w:rFonts w:hint="eastAsia" w:ascii="黑体" w:hAnsi="黑体" w:eastAsia="黑体" w:cs="黑体"/>
          <w:szCs w:val="21"/>
        </w:rPr>
        <w:t>表1 主要起草人及承担工作情况</w:t>
      </w:r>
    </w:p>
    <w:tbl>
      <w:tblPr>
        <w:tblStyle w:val="9"/>
        <w:tblW w:w="9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1898"/>
        <w:gridCol w:w="55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tcBorders>
              <w:tl2br w:val="nil"/>
              <w:tr2bl w:val="nil"/>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参与起草单位</w:t>
            </w:r>
          </w:p>
        </w:tc>
        <w:tc>
          <w:tcPr>
            <w:tcW w:w="1898" w:type="dxa"/>
            <w:tcBorders>
              <w:tl2br w:val="nil"/>
              <w:tr2bl w:val="nil"/>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起草人</w:t>
            </w:r>
          </w:p>
        </w:tc>
        <w:tc>
          <w:tcPr>
            <w:tcW w:w="5586" w:type="dxa"/>
            <w:tcBorders>
              <w:tl2br w:val="nil"/>
              <w:tr2bl w:val="nil"/>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工作情况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restart"/>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江西南方稀土高技术股份有限公司</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continue"/>
            <w:tcBorders>
              <w:tl2br w:val="nil"/>
              <w:tr2bl w:val="nil"/>
            </w:tcBorders>
            <w:vAlign w:val="center"/>
          </w:tcPr>
          <w:p>
            <w:pPr>
              <w:spacing w:line="240" w:lineRule="exact"/>
              <w:jc w:val="center"/>
              <w:rPr>
                <w:rFonts w:ascii="宋体" w:hAnsi="宋体" w:eastAsia="宋体" w:cs="宋体"/>
                <w:sz w:val="18"/>
                <w:szCs w:val="18"/>
              </w:rPr>
            </w:pP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continue"/>
            <w:tcBorders>
              <w:tl2br w:val="nil"/>
              <w:tr2bl w:val="nil"/>
            </w:tcBorders>
            <w:vAlign w:val="center"/>
          </w:tcPr>
          <w:p>
            <w:pPr>
              <w:spacing w:line="240" w:lineRule="exact"/>
              <w:jc w:val="center"/>
              <w:rPr>
                <w:rFonts w:ascii="宋体" w:hAnsi="宋体" w:eastAsia="宋体" w:cs="宋体"/>
                <w:sz w:val="18"/>
                <w:szCs w:val="18"/>
              </w:rPr>
            </w:pP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restart"/>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国标（北京）检验认证有限公司（一验）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continue"/>
            <w:tcBorders>
              <w:tl2br w:val="nil"/>
              <w:tr2bl w:val="nil"/>
            </w:tcBorders>
            <w:vAlign w:val="center"/>
          </w:tcPr>
          <w:p>
            <w:pPr>
              <w:spacing w:line="240" w:lineRule="exact"/>
              <w:jc w:val="center"/>
              <w:rPr>
                <w:rFonts w:ascii="宋体" w:hAnsi="宋体" w:eastAsia="宋体" w:cs="宋体"/>
                <w:sz w:val="18"/>
                <w:szCs w:val="18"/>
              </w:rPr>
            </w:pP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restart"/>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虔东稀土集团股份有限公司（一验）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870" w:type="dxa"/>
            <w:vMerge w:val="continue"/>
            <w:tcBorders>
              <w:tl2br w:val="nil"/>
              <w:tr2bl w:val="nil"/>
            </w:tcBorders>
            <w:vAlign w:val="center"/>
          </w:tcPr>
          <w:p>
            <w:pPr>
              <w:spacing w:line="240" w:lineRule="exact"/>
              <w:jc w:val="center"/>
              <w:rPr>
                <w:rFonts w:ascii="宋体" w:hAnsi="宋体" w:eastAsia="宋体" w:cs="宋体"/>
                <w:sz w:val="18"/>
                <w:szCs w:val="18"/>
              </w:rPr>
            </w:pP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870" w:type="dxa"/>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福建省长汀金龙稀土有限公司（二验）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1870" w:type="dxa"/>
            <w:vMerge w:val="restart"/>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中稀天马新材料科技股份有限公司（二验）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870" w:type="dxa"/>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赣州湛海新材料科技有限公司（二验）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870" w:type="dxa"/>
            <w:tcBorders>
              <w:tl2br w:val="nil"/>
              <w:tr2bl w:val="nil"/>
            </w:tcBorders>
            <w:vAlign w:val="center"/>
          </w:tcPr>
          <w:p>
            <w:pPr>
              <w:tabs>
                <w:tab w:val="left" w:pos="492"/>
              </w:tabs>
              <w:spacing w:line="240" w:lineRule="exact"/>
              <w:jc w:val="center"/>
              <w:rPr>
                <w:rFonts w:ascii="宋体" w:hAnsi="宋体" w:eastAsia="宋体" w:cs="宋体"/>
                <w:sz w:val="18"/>
                <w:szCs w:val="18"/>
              </w:rPr>
            </w:pPr>
            <w:r>
              <w:rPr>
                <w:rFonts w:hint="eastAsia" w:ascii="宋体" w:hAnsi="宋体" w:eastAsia="宋体" w:cs="宋体"/>
                <w:sz w:val="18"/>
                <w:szCs w:val="18"/>
              </w:rPr>
              <w:t>赣州晨光稀土新材料股份有限公司（二验）</w:t>
            </w:r>
          </w:p>
        </w:tc>
        <w:tc>
          <w:tcPr>
            <w:tcW w:w="1898" w:type="dxa"/>
            <w:tcBorders>
              <w:tl2br w:val="nil"/>
              <w:tr2bl w:val="nil"/>
            </w:tcBorders>
            <w:vAlign w:val="center"/>
          </w:tcPr>
          <w:p>
            <w:pPr>
              <w:spacing w:line="240" w:lineRule="exact"/>
              <w:jc w:val="center"/>
              <w:rPr>
                <w:rFonts w:ascii="宋体" w:hAnsi="宋体" w:eastAsia="宋体" w:cs="宋体"/>
                <w:sz w:val="18"/>
                <w:szCs w:val="18"/>
              </w:rPr>
            </w:pPr>
          </w:p>
        </w:tc>
        <w:tc>
          <w:tcPr>
            <w:tcW w:w="5586" w:type="dxa"/>
            <w:tcBorders>
              <w:tl2br w:val="nil"/>
              <w:tr2bl w:val="nil"/>
            </w:tcBorders>
            <w:vAlign w:val="center"/>
          </w:tcPr>
          <w:p>
            <w:pPr>
              <w:spacing w:line="240" w:lineRule="exact"/>
              <w:jc w:val="center"/>
              <w:rPr>
                <w:rFonts w:ascii="宋体" w:hAnsi="宋体" w:eastAsia="宋体" w:cs="宋体"/>
                <w:sz w:val="18"/>
                <w:szCs w:val="18"/>
              </w:rPr>
            </w:pPr>
          </w:p>
        </w:tc>
      </w:tr>
    </w:tbl>
    <w:p>
      <w:pPr>
        <w:pStyle w:val="11"/>
        <w:numPr>
          <w:ilvl w:val="0"/>
          <w:numId w:val="2"/>
        </w:numPr>
        <w:tabs>
          <w:tab w:val="clear" w:pos="675"/>
        </w:tabs>
        <w:spacing w:before="312" w:afterLines="50" w:line="312" w:lineRule="auto"/>
        <w:ind w:left="0" w:firstLine="0"/>
        <w:rPr>
          <w:rFonts w:hAnsi="黑体"/>
          <w:szCs w:val="22"/>
        </w:rPr>
      </w:pPr>
      <w:r>
        <w:rPr>
          <w:rFonts w:hint="eastAsia" w:hAnsi="黑体"/>
          <w:szCs w:val="22"/>
        </w:rPr>
        <w:t>研制背景</w:t>
      </w:r>
    </w:p>
    <w:p>
      <w:pPr>
        <w:numPr>
          <w:ilvl w:val="0"/>
          <w:numId w:val="3"/>
        </w:numPr>
        <w:spacing w:beforeLines="50" w:afterLines="50" w:line="312" w:lineRule="auto"/>
        <w:rPr>
          <w:rFonts w:ascii="黑体" w:hAnsi="黑体" w:eastAsia="黑体"/>
        </w:rPr>
      </w:pPr>
      <w:r>
        <w:rPr>
          <w:rFonts w:hint="eastAsia" w:ascii="黑体" w:hAnsi="黑体" w:eastAsia="黑体"/>
        </w:rPr>
        <w:t>项目的必要性简述</w:t>
      </w:r>
    </w:p>
    <w:p>
      <w:pPr>
        <w:spacing w:line="312" w:lineRule="auto"/>
        <w:ind w:firstLine="420" w:firstLineChars="200"/>
        <w:rPr>
          <w:rFonts w:ascii="宋体" w:hAnsi="宋体" w:eastAsia="宋体" w:cs="宋体"/>
          <w:szCs w:val="21"/>
        </w:rPr>
      </w:pPr>
      <w:r>
        <w:rPr>
          <w:rFonts w:hint="eastAsia" w:ascii="宋体" w:hAnsi="宋体" w:eastAsia="宋体" w:cs="宋体"/>
          <w:szCs w:val="21"/>
        </w:rPr>
        <w:t>目前国内采用电解工艺生产稀土金属的年产量在35000～45000吨左右，产出的稀土电解渣每年约2200吨左右；采用钙热还原工艺生产稀土金属的年产量约260吨左右，产出的还原渣每年约250吨左右；采用镧热还原蒸馏工艺生产稀土金属的年产量约850吨左右，产出的还原渣每年约800吨左右。此份数据结合调研以及全国稀土金属产量，根据现有工艺水平保守估算。稀土火法冶炼回收料是稀土金属及其合金在稀土火法冶炼生产过程中，不可避免的副产物。在冶炼工艺不改变的情况下，稀土金属及其合金的的产量增大，它也将随之增大。</w:t>
      </w:r>
    </w:p>
    <w:p>
      <w:pPr>
        <w:spacing w:line="312" w:lineRule="auto"/>
        <w:ind w:firstLine="420" w:firstLineChars="200"/>
        <w:rPr>
          <w:rFonts w:ascii="宋体" w:hAnsi="宋体" w:eastAsia="宋体" w:cs="宋体"/>
          <w:szCs w:val="21"/>
        </w:rPr>
      </w:pPr>
      <w:r>
        <w:rPr>
          <w:rFonts w:hint="eastAsia" w:ascii="宋体" w:hAnsi="宋体" w:eastAsia="宋体" w:cs="宋体"/>
          <w:szCs w:val="21"/>
        </w:rPr>
        <w:t>随着这些年国家对稀土这一不可再生矿产资源的重视，为贯彻落实《国务院关于促进稀土行业持续健康发展的若干意见》要求，针对稀土火法冶炼回收料（电解渣、还原渣）国内早已形成贸易、回收加工产业链，主要用于稀土元素的回收再利用。目前为止没有任何相关的产品标准来规范、指导该产业的健康发展，没有相配套的分析标准来扶持产业稳健前行。以往都是照搬照套其它的分析标准，容易造成适用面不全、准确性不够，给产业链供需双方带来很大的不便，阻碍了不可再生矿产资源的回收再利用。同时有些不法商人还在电解渣中掺入电镀泥等危废，使回收加工企业存在环保问题。</w:t>
      </w:r>
    </w:p>
    <w:p>
      <w:pPr>
        <w:spacing w:line="312" w:lineRule="auto"/>
        <w:ind w:firstLine="420" w:firstLineChars="200"/>
        <w:rPr>
          <w:rFonts w:ascii="宋体" w:hAnsi="宋体" w:eastAsia="宋体" w:cs="宋体"/>
          <w:szCs w:val="21"/>
        </w:rPr>
      </w:pPr>
      <w:r>
        <w:rPr>
          <w:rFonts w:hint="eastAsia" w:ascii="宋体" w:hAnsi="宋体" w:eastAsia="宋体" w:cs="宋体"/>
          <w:szCs w:val="21"/>
        </w:rPr>
        <w:t>因此，该系列标准（产品标准、分析标准）的建立将进一步完善我国稀土标准体系，给产业链供需双方带来方便，促进不可再生矿产资源的回收再利用，完善环保措施，同时也为稀土金属及其合金发展解决后顾之忧，对国内、国外该类产品的质量提供一个可借鉴的标准参照。</w:t>
      </w:r>
    </w:p>
    <w:p>
      <w:pPr>
        <w:spacing w:line="312" w:lineRule="auto"/>
        <w:ind w:firstLine="420" w:firstLineChars="200"/>
        <w:rPr>
          <w:rFonts w:ascii="宋体" w:hAnsi="宋体" w:eastAsia="宋体" w:cs="宋体"/>
          <w:szCs w:val="21"/>
        </w:rPr>
      </w:pPr>
      <w:r>
        <w:rPr>
          <w:rFonts w:hint="eastAsia" w:ascii="宋体" w:hAnsi="宋体" w:eastAsia="宋体" w:cs="宋体"/>
          <w:szCs w:val="21"/>
        </w:rPr>
        <w:t>稀土总量的测定方法属于该系列标准中的分析标准，其指标为衡量该产业链价值的最重要指标之一。准确的稀土总量数据不仅为回收、交易、计价提供了重要依据、还为回收提取工艺提供了重要参数，更为稀土这一不可再生矿产资源的合理、有效回收再利用提供了保障。它在给产业链供需双方带来很大的方便的同时也促进不可再生矿产资源的绿色健康发展。目前，国内暂无、国外暂未发现与该产品完全配套的稀土总量分析标准。因此，不管是从生产、贸易、回收企业，还是从国家对稀土这一不可再生资源的绿色健康发展都需要有一套科学、合理、配套的稀土总量测定标准来帮助、指导、促进其快速稳健发展。</w:t>
      </w:r>
    </w:p>
    <w:p>
      <w:pPr>
        <w:numPr>
          <w:ilvl w:val="0"/>
          <w:numId w:val="3"/>
        </w:numPr>
        <w:spacing w:beforeLines="50" w:afterLines="50" w:line="312" w:lineRule="auto"/>
        <w:rPr>
          <w:rFonts w:ascii="黑体" w:hAnsi="黑体" w:eastAsia="黑体"/>
        </w:rPr>
      </w:pPr>
      <w:r>
        <w:rPr>
          <w:rFonts w:hint="eastAsia" w:ascii="黑体" w:hAnsi="黑体" w:eastAsia="黑体"/>
        </w:rPr>
        <w:t>项目的可行性简述</w:t>
      </w:r>
    </w:p>
    <w:p>
      <w:pPr>
        <w:spacing w:line="312" w:lineRule="auto"/>
        <w:ind w:firstLine="420" w:firstLineChars="200"/>
        <w:rPr>
          <w:rFonts w:ascii="宋体" w:hAnsi="宋体" w:eastAsia="宋体" w:cs="宋体"/>
          <w:szCs w:val="21"/>
        </w:rPr>
      </w:pPr>
      <w:r>
        <w:rPr>
          <w:rFonts w:hint="eastAsia" w:ascii="宋体" w:hAnsi="宋体" w:eastAsia="宋体" w:cs="宋体"/>
          <w:szCs w:val="21"/>
        </w:rPr>
        <w:t>1)国内稀土火法冶炼回收料根据工艺不同主要来源于两个方面，一是稀土金属熔盐电解生产工艺（俗称电解渣）；二是稀土金属热还原，其中热还原工艺又可分为稀土金属镝、铽、钆、钬、钇等钙热还原工艺和稀土金属钐、铕、镱等镧热还原蒸馏工艺（俗称还原渣）。稀土金属熔盐电解生产工艺绝大部分是采取稀土氟化物体系中稀土氧化物电解，稀土电解渣，其成分主要以REO、REF3、RE等形式存在，并且含有石墨、筑炉材料、铁等杂质；稀土金属镝、铽、钆、钬、钇等钙热还原生产过程中产生的还原渣主要成分是 CaF</w:t>
      </w:r>
      <w:r>
        <w:rPr>
          <w:rFonts w:hint="eastAsia" w:ascii="宋体" w:hAnsi="宋体" w:eastAsia="宋体" w:cs="宋体"/>
          <w:szCs w:val="21"/>
          <w:vertAlign w:val="subscript"/>
        </w:rPr>
        <w:t>2</w:t>
      </w:r>
      <w:r>
        <w:rPr>
          <w:rFonts w:hint="eastAsia" w:ascii="宋体" w:hAnsi="宋体" w:eastAsia="宋体" w:cs="宋体"/>
          <w:szCs w:val="21"/>
        </w:rPr>
        <w:t>、CaO、REO、REF</w:t>
      </w:r>
      <w:r>
        <w:rPr>
          <w:rFonts w:hint="eastAsia" w:ascii="宋体" w:hAnsi="宋体" w:eastAsia="宋体" w:cs="宋体"/>
          <w:szCs w:val="21"/>
          <w:vertAlign w:val="subscript"/>
        </w:rPr>
        <w:t>3</w:t>
      </w:r>
      <w:r>
        <w:rPr>
          <w:rFonts w:hint="eastAsia" w:ascii="宋体" w:hAnsi="宋体" w:eastAsia="宋体" w:cs="宋体"/>
          <w:szCs w:val="21"/>
        </w:rPr>
        <w:t>、RE等，稀土金属钐、铕、镱等镧热还原蒸馏过程中产生的还原渣主要成分是REO。生产统计数据显示，稀土熔盐电解过程中有2%～7%的稀土元素量进入了熔盐电解渣中，电解渣中相关元素含量主要是：REO（20～75%）、Si（0.02～3.0%）、F（3.0～30.0%）、Fe（&lt;7.0%）、Li（&lt;6.0%）、Ca（0.02～1.0%）、A1（&lt;0.8%）。稀土热还原过程中约6%左右的稀土元素量进入了还原渣中(金属钇的热还原过程中约20%的稀土元素量进入了还原渣)，渣中REO含量约为7%左右。稀土金属钐、铕、镱等镧热还原蒸馏过程中仅有5%左右的钐、铕、镱元素进入到渣中，都以稀土氧化物形式存在于还原渣中，渣中除主要元素La</w:t>
      </w:r>
      <w:r>
        <w:rPr>
          <w:rFonts w:hint="eastAsia" w:ascii="宋体" w:hAnsi="宋体" w:eastAsia="宋体" w:cs="宋体"/>
          <w:szCs w:val="21"/>
          <w:vertAlign w:val="subscript"/>
        </w:rPr>
        <w:t>2</w:t>
      </w:r>
      <w:r>
        <w:rPr>
          <w:rFonts w:hint="eastAsia" w:ascii="宋体" w:hAnsi="宋体" w:eastAsia="宋体" w:cs="宋体"/>
          <w:szCs w:val="21"/>
        </w:rPr>
        <w:t>0</w:t>
      </w:r>
      <w:r>
        <w:rPr>
          <w:rFonts w:hint="eastAsia" w:ascii="宋体" w:hAnsi="宋体" w:eastAsia="宋体" w:cs="宋体"/>
          <w:szCs w:val="21"/>
          <w:vertAlign w:val="subscript"/>
        </w:rPr>
        <w:t>3</w:t>
      </w:r>
      <w:r>
        <w:rPr>
          <w:rFonts w:hint="eastAsia" w:ascii="宋体" w:hAnsi="宋体" w:eastAsia="宋体" w:cs="宋体"/>
          <w:szCs w:val="21"/>
        </w:rPr>
        <w:t>外，其它REO含量约5%左右。</w:t>
      </w:r>
    </w:p>
    <w:p>
      <w:pPr>
        <w:spacing w:line="312" w:lineRule="auto"/>
        <w:ind w:firstLine="420" w:firstLineChars="200"/>
        <w:rPr>
          <w:rFonts w:ascii="宋体" w:hAnsi="宋体" w:eastAsia="宋体" w:cs="宋体"/>
          <w:szCs w:val="21"/>
        </w:rPr>
      </w:pPr>
      <w:r>
        <w:rPr>
          <w:rFonts w:hint="eastAsia" w:ascii="宋体" w:hAnsi="宋体" w:eastAsia="宋体" w:cs="宋体"/>
          <w:szCs w:val="21"/>
        </w:rPr>
        <w:t>2)根据稀土火法冶炼回收料的基本组成特性，本项目主要研制采用化学分析方法即草酸盐重量法，来实现对稀土火法冶炼回收料中稀土总量REO（5%～90%）的测定。草酸盐重量法通过试验条件的优化，能很好的解决稀土火法冶炼回收料中稀土元素与非稀土杂质元素（目前产品中出现的最高含量）的分离。采用本方法，针对各非稀土杂质元素含量与稀土总量具有代表性的稀土火法冶炼回收料进行试验，稀土与杂质的分离效果可达到99.8%以上，稀土元素回收率在99.41%～103.10%之间，能完全实现稀土火法冶炼回收料中稀土总量REO（5%～90%）的测定。</w:t>
      </w:r>
    </w:p>
    <w:p>
      <w:pPr>
        <w:spacing w:line="312" w:lineRule="auto"/>
        <w:ind w:firstLine="420" w:firstLineChars="200"/>
        <w:rPr>
          <w:rFonts w:ascii="宋体" w:hAnsi="宋体" w:eastAsia="宋体" w:cs="宋体"/>
          <w:color w:val="0070C0"/>
          <w:szCs w:val="21"/>
        </w:rPr>
      </w:pPr>
      <w:r>
        <w:rPr>
          <w:rFonts w:hint="eastAsia" w:ascii="宋体" w:hAnsi="宋体" w:eastAsia="宋体" w:cs="宋体"/>
          <w:szCs w:val="21"/>
        </w:rPr>
        <w:t>3)草酸盐重量法是测定稀土总量的经典方法，目前采用草酸盐重量法测定稀土总量的标准有很多，例如：GB/T14635 《稀土金属及其化合物化学分析方法　稀土总量的测定》方法1草酸盐重量法、GB/T18114.1 《稀土精矿化学分析方法 第1部分：稀土氧化物总量的测定　重量法》、GB/T23594.1 《钐铕钆富集物化学分析方法 第1部分：稀土氧化物总量的测定　重量法》以及刚刚通过审定的</w:t>
      </w:r>
      <w:r>
        <w:rPr>
          <w:rFonts w:hint="eastAsia" w:ascii="宋体" w:hAnsi="宋体" w:cs="宋体"/>
          <w:kern w:val="0"/>
          <w:szCs w:val="20"/>
        </w:rPr>
        <w:t>GB/T26416.1</w:t>
      </w:r>
      <w:r>
        <w:rPr>
          <w:rFonts w:hint="eastAsia" w:ascii="宋体" w:hAnsi="宋体" w:eastAsia="宋体" w:cs="宋体"/>
          <w:szCs w:val="21"/>
        </w:rPr>
        <w:t>《稀土铁合金化学分析方法 第1部分：稀土总量的测定》等等。</w:t>
      </w:r>
      <w:r>
        <w:rPr>
          <w:rFonts w:hint="eastAsia" w:ascii="宋体" w:hAnsi="宋体" w:eastAsia="宋体" w:cs="宋体"/>
          <w:b w:val="0"/>
          <w:bCs w:val="0"/>
          <w:szCs w:val="21"/>
          <w:lang w:val="en-US" w:eastAsia="zh-CN"/>
        </w:rPr>
        <w:t>因此，采用草酸盐重量法测定稀土火法冶炼回收料中的稀土总量，只要充分的对试验条件进行优化，并可以实现稀土总量的测定。该方法对常量稀土的测定，虽然比较费事，但其准确度、精密度和适用性均超过其他方法，因此也被广泛采用。</w:t>
      </w:r>
    </w:p>
    <w:p>
      <w:pPr>
        <w:pStyle w:val="11"/>
        <w:numPr>
          <w:ilvl w:val="0"/>
          <w:numId w:val="2"/>
        </w:numPr>
        <w:tabs>
          <w:tab w:val="clear" w:pos="675"/>
        </w:tabs>
        <w:spacing w:beforeLines="50" w:afterLines="50"/>
        <w:ind w:left="0" w:firstLine="0"/>
        <w:rPr>
          <w:rFonts w:hAnsi="黑体"/>
          <w:szCs w:val="22"/>
        </w:rPr>
      </w:pPr>
      <w:r>
        <w:rPr>
          <w:rFonts w:hint="eastAsia" w:hAnsi="黑体"/>
          <w:szCs w:val="22"/>
        </w:rPr>
        <w:t>主要工作过程</w:t>
      </w:r>
    </w:p>
    <w:p>
      <w:pPr>
        <w:spacing w:beforeLines="50" w:afterLines="50" w:line="360" w:lineRule="exact"/>
        <w:rPr>
          <w:rFonts w:ascii="黑体" w:hAnsi="黑体" w:eastAsia="黑体"/>
          <w:highlight w:val="yellow"/>
        </w:rPr>
      </w:pPr>
      <w:r>
        <w:rPr>
          <w:rFonts w:hint="eastAsia" w:ascii="黑体" w:hAnsi="黑体" w:eastAsia="黑体"/>
        </w:rPr>
        <w:t>1、预研阶段</w:t>
      </w:r>
    </w:p>
    <w:p>
      <w:pPr>
        <w:spacing w:line="312" w:lineRule="auto"/>
        <w:ind w:firstLine="420" w:firstLineChars="200"/>
        <w:rPr>
          <w:rFonts w:ascii="宋体" w:hAnsi="宋体" w:eastAsia="宋体" w:cs="宋体"/>
        </w:rPr>
      </w:pPr>
      <w:r>
        <w:rPr>
          <w:rFonts w:hint="eastAsia" w:ascii="宋体" w:hAnsi="宋体" w:eastAsia="宋体" w:cs="宋体"/>
        </w:rPr>
        <w:t>本项目计划为新制定项目，2019年3月牵头单位对本项目组织了调研，广泛征集了用户企业与生产企业等单位意见，确定了项目的必要性以及制定方案，并通过初步试验形成了草案稿，证明了本项目制定方案的可行性，同时完成了立项论证报告及项目建议书的编写。</w:t>
      </w:r>
    </w:p>
    <w:p>
      <w:pPr>
        <w:spacing w:beforeLines="50" w:afterLines="50" w:line="360" w:lineRule="exact"/>
        <w:rPr>
          <w:rFonts w:ascii="黑体" w:hAnsi="黑体" w:eastAsia="黑体"/>
        </w:rPr>
      </w:pPr>
      <w:r>
        <w:rPr>
          <w:rFonts w:hint="eastAsia" w:ascii="黑体" w:hAnsi="黑体" w:eastAsia="黑体"/>
        </w:rPr>
        <w:t>2、立项阶段</w:t>
      </w:r>
    </w:p>
    <w:p>
      <w:pPr>
        <w:spacing w:line="312" w:lineRule="auto"/>
        <w:ind w:firstLine="420" w:firstLineChars="200"/>
        <w:rPr>
          <w:rFonts w:ascii="宋体" w:hAnsi="宋体" w:eastAsia="宋体" w:cs="宋体"/>
        </w:rPr>
      </w:pPr>
      <w:r>
        <w:rPr>
          <w:rFonts w:hint="eastAsia" w:ascii="宋体" w:hAnsi="宋体" w:eastAsia="宋体" w:cs="宋体"/>
        </w:rPr>
        <w:t>2019年10月向稀标委秘书处递交了本项目的项《项目建议书》、《立项论证报告》、《草案稿》正式申请立项。稀土标委会对本项目立项进行了意见征集并组织了全体委员进行投票，最终通过了本项目的立项请求，并报国家工业和信息化部批复。2020年8月21日通过全国稀土标准化技术委员会印发稀土标委[2020]39号文件《关于召开 2020 年第五次稀土标准工作会议的通知》，确定本项目已获批复计划号为：2020-0734T-XB；项目名称为：稀土熔盐电解回收料化学分析方法 第 1 部分：稀土总量的测定 重量法；归口单位为：全国稀土标准化技术委员会；项目周期为18个月。</w:t>
      </w:r>
    </w:p>
    <w:p>
      <w:pPr>
        <w:spacing w:line="312" w:lineRule="auto"/>
        <w:ind w:firstLine="420" w:firstLineChars="200"/>
        <w:rPr>
          <w:rFonts w:ascii="宋体" w:hAnsi="宋体" w:eastAsia="宋体" w:cs="宋体"/>
        </w:rPr>
      </w:pPr>
      <w:r>
        <w:rPr>
          <w:rFonts w:hint="eastAsia" w:ascii="宋体" w:hAnsi="宋体" w:eastAsia="宋体" w:cs="宋体"/>
        </w:rPr>
        <w:t>2020年9月10日～9月12日，全国稀土标准化技术委员会组织在陕西省西安市召开2020年第五次稀土标准工作会议，对本项目进行任务落实。会议确定负责起草单位为江西南方稀土高技术股份有限公司、国标（北京）检验认证有限公司、虔东稀土集团股份有限公司、福建省长汀金龙稀土有限公司、中稀天马新材料科技股份有限公司、赣州湛海新材料</w:t>
      </w:r>
      <w:r>
        <w:rPr>
          <w:rFonts w:hint="eastAsia" w:ascii="宋体" w:hAnsi="宋体" w:eastAsia="宋体" w:cs="宋体"/>
          <w:szCs w:val="21"/>
        </w:rPr>
        <w:t>科技</w:t>
      </w:r>
      <w:r>
        <w:rPr>
          <w:rFonts w:hint="eastAsia" w:ascii="宋体" w:hAnsi="宋体" w:eastAsia="宋体" w:cs="宋体"/>
        </w:rPr>
        <w:t>有限公司、赣州晨光稀土新材料股份有限公司。任务落实会上，确定了江西南方稀土高技术股份有限公司为本项目牵头单位，并负责统一样品的提供，会议还确定了项目的时间进度安排等。</w:t>
      </w:r>
    </w:p>
    <w:p>
      <w:pPr>
        <w:spacing w:beforeLines="50" w:afterLines="50" w:line="360" w:lineRule="exact"/>
        <w:rPr>
          <w:rFonts w:ascii="黑体" w:hAnsi="黑体" w:eastAsia="黑体"/>
        </w:rPr>
      </w:pPr>
      <w:r>
        <w:rPr>
          <w:rFonts w:hint="eastAsia" w:ascii="黑体" w:hAnsi="黑体" w:eastAsia="黑体"/>
        </w:rPr>
        <w:t>3、起草阶段</w:t>
      </w:r>
    </w:p>
    <w:p>
      <w:pPr>
        <w:spacing w:line="312" w:lineRule="auto"/>
        <w:rPr>
          <w:rFonts w:asciiTheme="minorEastAsia" w:hAnsiTheme="minorEastAsia" w:cstheme="minorEastAsia"/>
        </w:rPr>
      </w:pPr>
      <w:r>
        <w:rPr>
          <w:rFonts w:hint="eastAsia" w:asciiTheme="minorEastAsia" w:hAnsiTheme="minorEastAsia" w:cstheme="minorEastAsia"/>
        </w:rPr>
        <w:t>3.1 简要过程</w:t>
      </w:r>
    </w:p>
    <w:p>
      <w:pPr>
        <w:spacing w:line="312" w:lineRule="auto"/>
        <w:rPr>
          <w:rFonts w:asciiTheme="minorEastAsia" w:hAnsiTheme="minorEastAsia" w:cstheme="minorEastAsia"/>
        </w:rPr>
      </w:pPr>
      <w:r>
        <w:rPr>
          <w:rFonts w:hint="eastAsia" w:asciiTheme="minorEastAsia" w:hAnsiTheme="minorEastAsia" w:cstheme="minorEastAsia"/>
        </w:rPr>
        <w:t xml:space="preserve">    编制组起草阶段工作，简要过程如下：</w:t>
      </w:r>
    </w:p>
    <w:p>
      <w:pPr>
        <w:spacing w:line="312" w:lineRule="auto"/>
        <w:ind w:firstLine="420"/>
        <w:rPr>
          <w:rFonts w:asciiTheme="minorEastAsia" w:hAnsiTheme="minorEastAsia" w:cstheme="minorEastAsia"/>
        </w:rPr>
      </w:pPr>
      <w:r>
        <w:rPr>
          <w:rFonts w:hint="eastAsia" w:asciiTheme="minorEastAsia" w:hAnsiTheme="minorEastAsia" w:cstheme="minorEastAsia"/>
        </w:rPr>
        <w:t>2020年9月24日由虔东稀土集团股份有限公司、江西南方稀土高技术股份有限公司、赣州冶金有色研究所、包头稀土研究院（因疫情，包头院不方便现场参会，后电话沟通。）四家牵头单位共8位专家。于赣州冶金研究所分析检测中心召开就关于“稀土火法冶炼回收料”系列分析标准制定，试验用统一样品的确定研讨会。会议确定了系列分析标准试验用统一样品的种类、以及主要研制并提供单位为江西南方稀土高技术股份有限公司。</w:t>
      </w:r>
    </w:p>
    <w:p>
      <w:pPr>
        <w:spacing w:line="312" w:lineRule="auto"/>
        <w:ind w:firstLine="420"/>
        <w:rPr>
          <w:rFonts w:asciiTheme="minorEastAsia" w:hAnsiTheme="minorEastAsia" w:cstheme="minorEastAsia"/>
        </w:rPr>
      </w:pPr>
      <w:r>
        <w:rPr>
          <w:rFonts w:hint="eastAsia" w:asciiTheme="minorEastAsia" w:hAnsiTheme="minorEastAsia" w:cstheme="minorEastAsia"/>
        </w:rPr>
        <w:t>2020年11月10日，在所有共同起草单位协作下，完成了本项目任务落实书的填写；</w:t>
      </w:r>
    </w:p>
    <w:p>
      <w:pPr>
        <w:spacing w:line="312" w:lineRule="auto"/>
        <w:ind w:firstLine="420"/>
        <w:rPr>
          <w:rFonts w:asciiTheme="minorEastAsia" w:hAnsiTheme="minorEastAsia" w:cstheme="minorEastAsia"/>
        </w:rPr>
      </w:pPr>
      <w:r>
        <w:rPr>
          <w:rFonts w:hint="eastAsia" w:asciiTheme="minorEastAsia" w:hAnsiTheme="minorEastAsia" w:cstheme="minorEastAsia"/>
        </w:rPr>
        <w:t>2020年12月04日，完成了系列标准用统一样品的研制工作，并寄往各牵头起草单位（用于系列标准其它项目）；</w:t>
      </w:r>
    </w:p>
    <w:p>
      <w:pPr>
        <w:spacing w:line="312" w:lineRule="auto"/>
        <w:ind w:firstLine="420"/>
        <w:rPr>
          <w:rFonts w:asciiTheme="minorEastAsia" w:hAnsiTheme="minorEastAsia" w:cstheme="minorEastAsia"/>
        </w:rPr>
      </w:pPr>
      <w:r>
        <w:rPr>
          <w:rFonts w:hint="eastAsia" w:asciiTheme="minorEastAsia" w:hAnsiTheme="minorEastAsia" w:cstheme="minorEastAsia"/>
        </w:rPr>
        <w:t>2021年01月15日，牵头起草单位完成了本项目用，统一样品的制备工作；</w:t>
      </w:r>
    </w:p>
    <w:p>
      <w:pPr>
        <w:spacing w:line="312" w:lineRule="auto"/>
        <w:ind w:firstLine="420"/>
        <w:rPr>
          <w:rFonts w:asciiTheme="minorEastAsia" w:hAnsiTheme="minorEastAsia" w:cstheme="minorEastAsia"/>
        </w:rPr>
      </w:pPr>
      <w:r>
        <w:rPr>
          <w:rFonts w:hint="eastAsia" w:asciiTheme="minorEastAsia" w:hAnsiTheme="minorEastAsia" w:cstheme="minorEastAsia"/>
        </w:rPr>
        <w:t>2021年03月中旬，牵头起草单位，开始各条件试验的准备工作；</w:t>
      </w:r>
    </w:p>
    <w:p>
      <w:pPr>
        <w:spacing w:line="312" w:lineRule="auto"/>
        <w:ind w:firstLine="420"/>
        <w:rPr>
          <w:rFonts w:asciiTheme="minorEastAsia" w:hAnsiTheme="minorEastAsia" w:cstheme="minorEastAsia"/>
        </w:rPr>
      </w:pPr>
      <w:r>
        <w:rPr>
          <w:rFonts w:hint="eastAsia" w:asciiTheme="minorEastAsia" w:hAnsiTheme="minorEastAsia" w:cstheme="minorEastAsia"/>
        </w:rPr>
        <w:t>2021年08月30日，牵头起草单位完成了部分条件试验（因4、5、6、7月生产工作任务重，试验断断续续进行。）；</w:t>
      </w:r>
    </w:p>
    <w:p>
      <w:pPr>
        <w:spacing w:line="312" w:lineRule="auto"/>
        <w:ind w:firstLine="420"/>
        <w:rPr>
          <w:rFonts w:asciiTheme="minorEastAsia" w:hAnsiTheme="minorEastAsia" w:cstheme="minorEastAsia"/>
        </w:rPr>
      </w:pPr>
      <w:r>
        <w:rPr>
          <w:rFonts w:hint="eastAsia" w:asciiTheme="minorEastAsia" w:hAnsiTheme="minorEastAsia" w:cstheme="minorEastAsia"/>
        </w:rPr>
        <w:t>2021年09月14日，牵头起草单位完成了本项目用统一样品的邮寄工作（邮寄到各验证单位，均反馈收到。）；</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2021年10月底，牵头起草单位完成了所有条件试验；</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11月15日，牵头起草单位完成了完整试验报告的编写，并将试验报告发送至一验及二验单位（均确认，回复收到。因牵头起草单位缘故，导致本项目时间比较紧张，所以此次验证为一验、二验同时进行，另一方面也考虑到草酸盐重量法为经典的稀土总量测定分析方法，方法比较成熟。）；</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2021年12月01日，收到了二验单位晨光稀土的验证报告；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2021年12月03日，收到了二验单位中稀天马的验证报告（精密度数据个别还需要补充）；</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2021年12月04日，收到了一验单位虔东稀土集团的验证报告（部分条件数据还在整理）；</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2021年12月06日，收到了二验单位赣州湛海新材料</w:t>
      </w:r>
      <w:r>
        <w:rPr>
          <w:rFonts w:hint="eastAsia" w:ascii="宋体" w:hAnsi="宋体" w:eastAsia="宋体" w:cs="宋体"/>
          <w:szCs w:val="21"/>
        </w:rPr>
        <w:t>科技</w:t>
      </w:r>
      <w:r>
        <w:rPr>
          <w:rFonts w:hint="eastAsia" w:asciiTheme="minorEastAsia" w:hAnsiTheme="minorEastAsia" w:cstheme="minorEastAsia"/>
        </w:rPr>
        <w:t>的验证报告；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2021年12月17日，收到了二验单位长汀金龙的验证报告；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2021年12月20日，收到了二验单位中稀天马的完整验证报告；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2021年12月21日，牵头起草单位在数据统计时，发现长汀金龙统一样品结果均偏低于现其它几家单位结果，于是将信息反馈于长汀金龙验证人员，建议其查找原因；</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2022年1月3日，收到国标（北京）检验认证有限公司条件试验结论反馈（条件试验基本与主报告一致）；</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2022年1月6日，收到国标（北京）检验认证有限公司完整验证报告；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2022年1月6日，牵头起草单位反馈给验证单位验证报告中精密度数需多保留一位，由于牵头单位未在主报中明确；</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2022年1月7日，收到二验单位中稀天马与晨光稀土补充精密度小数位数后完整验证报告；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2022年1月10日，收到一验单位虔东稀土集团完整条件试验，包括补充精密度小数位数后完整验证报告；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2022年1月10日，收到国标（北京）检验认证有限公司补充精密度小数位数后完整验证报告。</w:t>
      </w:r>
    </w:p>
    <w:p>
      <w:pPr>
        <w:spacing w:line="312" w:lineRule="auto"/>
        <w:ind w:firstLine="420"/>
        <w:rPr>
          <w:rFonts w:asciiTheme="minorEastAsia" w:hAnsiTheme="minorEastAsia" w:cstheme="minorEastAsia"/>
        </w:rPr>
      </w:pPr>
      <w:r>
        <w:rPr>
          <w:rFonts w:hint="eastAsia" w:asciiTheme="minorEastAsia" w:hAnsiTheme="minorEastAsia" w:cstheme="minorEastAsia"/>
        </w:rPr>
        <w:t>2022年1月17日，收到二验单位长汀金龙的验证报告（复测），找到引起的原因为：样品溶解温度过高，导致酸的利用率降低，样品溶解不全，造成稀土总量损失。</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在标准的起草过程中，各单位广泛提出了自己的意见，鼎力配合。截止2021年1月18日，各验证单位完成所有标准的验证工作，并返回所有验证报告，形成了完整的试验报告汇总。</w:t>
      </w:r>
    </w:p>
    <w:p>
      <w:pPr>
        <w:spacing w:line="312" w:lineRule="auto"/>
        <w:rPr>
          <w:rFonts w:asciiTheme="minorEastAsia" w:hAnsiTheme="minorEastAsia" w:cstheme="minorEastAsia"/>
        </w:rPr>
      </w:pPr>
      <w:r>
        <w:rPr>
          <w:rFonts w:hint="eastAsia" w:asciiTheme="minorEastAsia" w:hAnsiTheme="minorEastAsia" w:cstheme="minorEastAsia"/>
        </w:rPr>
        <w:t>3.2 验证情况</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各验证单位验证情况如下：</w:t>
      </w:r>
    </w:p>
    <w:p>
      <w:pPr>
        <w:numPr>
          <w:ilvl w:val="0"/>
          <w:numId w:val="4"/>
        </w:numPr>
        <w:spacing w:line="312" w:lineRule="auto"/>
        <w:ind w:firstLine="422" w:firstLineChars="200"/>
        <w:rPr>
          <w:rFonts w:ascii="宋体" w:hAnsi="宋体" w:eastAsia="宋体" w:cs="宋体"/>
          <w:b/>
          <w:bCs/>
        </w:rPr>
      </w:pPr>
      <w:r>
        <w:rPr>
          <w:rFonts w:hint="eastAsia" w:ascii="宋体" w:hAnsi="宋体" w:eastAsia="宋体" w:cs="宋体"/>
          <w:b/>
          <w:bCs/>
        </w:rPr>
        <w:t>国标（北京）检验认证有限公司</w:t>
      </w:r>
    </w:p>
    <w:p>
      <w:pPr>
        <w:numPr>
          <w:ilvl w:val="0"/>
          <w:numId w:val="5"/>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提出的建议或意见：A、熔盐电解回收料可以采用硝酸+高氯酸（H</w:t>
      </w:r>
      <w:r>
        <w:rPr>
          <w:rFonts w:hint="eastAsia" w:asciiTheme="minorEastAsia" w:hAnsiTheme="minorEastAsia" w:cstheme="minorEastAsia"/>
          <w:vertAlign w:val="subscript"/>
        </w:rPr>
        <w:t>2</w:t>
      </w:r>
      <w:r>
        <w:rPr>
          <w:rFonts w:hint="eastAsia" w:asciiTheme="minorEastAsia" w:hAnsiTheme="minorEastAsia" w:cstheme="minorEastAsia"/>
        </w:rPr>
        <w:t>O</w:t>
      </w:r>
      <w:r>
        <w:rPr>
          <w:rFonts w:hint="eastAsia" w:asciiTheme="minorEastAsia" w:hAnsiTheme="minorEastAsia" w:cstheme="minorEastAsia"/>
          <w:vertAlign w:val="subscript"/>
        </w:rPr>
        <w:t>2</w:t>
      </w:r>
      <w:r>
        <w:rPr>
          <w:rFonts w:hint="eastAsia" w:asciiTheme="minorEastAsia" w:hAnsiTheme="minorEastAsia" w:cstheme="minorEastAsia"/>
        </w:rPr>
        <w:t>助溶）的方式溶解。镧热还原回收料采用盐酸（H</w:t>
      </w:r>
      <w:r>
        <w:rPr>
          <w:rFonts w:hint="eastAsia" w:asciiTheme="minorEastAsia" w:hAnsiTheme="minorEastAsia" w:cstheme="minorEastAsia"/>
          <w:vertAlign w:val="subscript"/>
        </w:rPr>
        <w:t>2</w:t>
      </w:r>
      <w:r>
        <w:rPr>
          <w:rFonts w:hint="eastAsia" w:asciiTheme="minorEastAsia" w:hAnsiTheme="minorEastAsia" w:cstheme="minorEastAsia"/>
        </w:rPr>
        <w:t>O</w:t>
      </w:r>
      <w:r>
        <w:rPr>
          <w:rFonts w:hint="eastAsia" w:asciiTheme="minorEastAsia" w:hAnsiTheme="minorEastAsia" w:cstheme="minorEastAsia"/>
          <w:vertAlign w:val="subscript"/>
        </w:rPr>
        <w:t>2</w:t>
      </w:r>
      <w:r>
        <w:rPr>
          <w:rFonts w:hint="eastAsia" w:asciiTheme="minorEastAsia" w:hAnsiTheme="minorEastAsia" w:cstheme="minorEastAsia"/>
        </w:rPr>
        <w:t>助溶）或者硝酸（H</w:t>
      </w:r>
      <w:r>
        <w:rPr>
          <w:rFonts w:hint="eastAsia" w:asciiTheme="minorEastAsia" w:hAnsiTheme="minorEastAsia" w:cstheme="minorEastAsia"/>
          <w:vertAlign w:val="subscript"/>
        </w:rPr>
        <w:t>2</w:t>
      </w:r>
      <w:r>
        <w:rPr>
          <w:rFonts w:hint="eastAsia" w:asciiTheme="minorEastAsia" w:hAnsiTheme="minorEastAsia" w:cstheme="minorEastAsia"/>
        </w:rPr>
        <w:t>O</w:t>
      </w:r>
      <w:r>
        <w:rPr>
          <w:rFonts w:hint="eastAsia" w:asciiTheme="minorEastAsia" w:hAnsiTheme="minorEastAsia" w:cstheme="minorEastAsia"/>
          <w:vertAlign w:val="subscript"/>
        </w:rPr>
        <w:t>2</w:t>
      </w:r>
      <w:r>
        <w:rPr>
          <w:rFonts w:hint="eastAsia" w:asciiTheme="minorEastAsia" w:hAnsiTheme="minorEastAsia" w:cstheme="minorEastAsia"/>
        </w:rPr>
        <w:t>助溶）时，无肉眼可见不溶物；但硝酸+高氯酸溶解样品时，当样品量为2.5g时，高氯酸冒烟后的溶液中漂浮少量白色漂浮物；而称样量为1.0g时，则无肉眼可见不溶物。综合来看，可以选定采用硝酸+H</w:t>
      </w:r>
      <w:r>
        <w:rPr>
          <w:rFonts w:hint="eastAsia" w:asciiTheme="minorEastAsia" w:hAnsiTheme="minorEastAsia" w:cstheme="minorEastAsia"/>
          <w:vertAlign w:val="subscript"/>
        </w:rPr>
        <w:t>2</w:t>
      </w:r>
      <w:r>
        <w:rPr>
          <w:rFonts w:hint="eastAsia" w:asciiTheme="minorEastAsia" w:hAnsiTheme="minorEastAsia" w:cstheme="minorEastAsia"/>
        </w:rPr>
        <w:t>O</w:t>
      </w:r>
      <w:r>
        <w:rPr>
          <w:rFonts w:hint="eastAsia" w:asciiTheme="minorEastAsia" w:hAnsiTheme="minorEastAsia" w:cstheme="minorEastAsia"/>
          <w:vertAlign w:val="subscript"/>
        </w:rPr>
        <w:t>2</w:t>
      </w:r>
      <w:r>
        <w:rPr>
          <w:rFonts w:hint="eastAsia" w:asciiTheme="minorEastAsia" w:hAnsiTheme="minorEastAsia" w:cstheme="minorEastAsia"/>
        </w:rPr>
        <w:t>+HCLO</w:t>
      </w:r>
      <w:r>
        <w:rPr>
          <w:rFonts w:hint="eastAsia" w:asciiTheme="minorEastAsia" w:hAnsiTheme="minorEastAsia" w:cstheme="minorEastAsia"/>
          <w:vertAlign w:val="subscript"/>
        </w:rPr>
        <w:t>4</w:t>
      </w:r>
      <w:r>
        <w:rPr>
          <w:rFonts w:hint="eastAsia" w:asciiTheme="minorEastAsia" w:hAnsiTheme="minorEastAsia" w:cstheme="minorEastAsia"/>
        </w:rPr>
        <w:t>溶解试样。</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处理意见：采纳。</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B、20HoFe02FH和20LaF01FH样品在称样质量为0.30g，1.0g和2.50g时，稀土总量测定结果没有较大差异。但20TbDy01FH的稀土总量在7%左右，如果称样量为0.3g，则最终质量改变量较小，对结果影响反而较大；且实验过程发现，称样量为2.5g时，草沉后因沉淀量较多，过滤步骤不好操作。同时需考虑到稀土火法冶炼回收料在实际过程中的均匀性问题存在。因此，对于10%以下的样品，建议称取2.0g样品，全量测定；而10%以上的样品，建议称取2.5g，再分取测定。</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处理意见：采纳。</w:t>
      </w:r>
    </w:p>
    <w:p>
      <w:pPr>
        <w:numPr>
          <w:ilvl w:val="0"/>
          <w:numId w:val="6"/>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ICP-AES补差试验中的元素推荐谱线,建议增加Ho 345.600 nm分析谱线。</w:t>
      </w:r>
    </w:p>
    <w:p>
      <w:pPr>
        <w:spacing w:line="312" w:lineRule="auto"/>
        <w:rPr>
          <w:rFonts w:asciiTheme="minorEastAsia" w:hAnsiTheme="minorEastAsia" w:cstheme="minorEastAsia"/>
        </w:rPr>
      </w:pPr>
      <w:r>
        <w:rPr>
          <w:rFonts w:hint="eastAsia" w:asciiTheme="minorEastAsia" w:hAnsiTheme="minorEastAsia" w:cstheme="minorEastAsia"/>
        </w:rPr>
        <w:t xml:space="preserve">    处理意见：采纳。</w:t>
      </w:r>
    </w:p>
    <w:p>
      <w:pPr>
        <w:numPr>
          <w:ilvl w:val="0"/>
          <w:numId w:val="6"/>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其它条件试验：与主报告基本一致。</w:t>
      </w:r>
    </w:p>
    <w:p>
      <w:pPr>
        <w:numPr>
          <w:ilvl w:val="0"/>
          <w:numId w:val="5"/>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精密度数据情况：</w:t>
      </w:r>
      <w:r>
        <w:rPr>
          <w:rFonts w:hint="eastAsia" w:asciiTheme="minorEastAsia" w:hAnsiTheme="minorEastAsia" w:cstheme="minorEastAsia"/>
          <w:kern w:val="0"/>
          <w:szCs w:val="20"/>
        </w:rPr>
        <w:t>统一样品精密度RSD为0.14%～1.44，</w:t>
      </w:r>
      <w:r>
        <w:rPr>
          <w:rFonts w:hint="eastAsia" w:asciiTheme="minorEastAsia" w:hAnsiTheme="minorEastAsia" w:cstheme="minorEastAsia"/>
        </w:rPr>
        <w:t>精密度良好。</w:t>
      </w:r>
    </w:p>
    <w:p>
      <w:pPr>
        <w:numPr>
          <w:ilvl w:val="0"/>
          <w:numId w:val="4"/>
        </w:num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虔东稀土集团股份有限公司</w:t>
      </w:r>
    </w:p>
    <w:p>
      <w:pPr>
        <w:numPr>
          <w:ilvl w:val="0"/>
          <w:numId w:val="7"/>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提出的建议或意见：</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A、钙热还原回收试料在氨水分离时，“加入2g固体氯化铵及20～30 mL氨水（3.10）”进行一次氨分离，不能将Ca完全分离干净。建议二次氨分离除钙。</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处理意见：采纳。牵头起草单位对于钙热还原回收试料在试验过程中“加入2g固体氯化铵及20～30 mL氨水（3.10）进行一次氨分离”与“二次氨分离除钙”进行了对比试验结果基本一致，但一次氨分离除钙对于操作细节更为严格特别是洗涤氢氧化稀土，但考虑方法从可操作性强、结果稳定性好的角度，因此采纳此建议。</w:t>
      </w:r>
    </w:p>
    <w:p>
      <w:pPr>
        <w:numPr>
          <w:ilvl w:val="0"/>
          <w:numId w:val="8"/>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对于镧热还原回收料，如果用同样的酸可行，那么建议不必要单独考虑再其它酸。原因：</w:t>
      </w:r>
      <w:r>
        <w:rPr>
          <w:rFonts w:hint="eastAsia" w:ascii="宋体" w:hAnsi="宋体" w:eastAsia="宋体" w:cs="宋体"/>
        </w:rPr>
        <w:t>①</w:t>
      </w:r>
      <w:r>
        <w:rPr>
          <w:rFonts w:hint="eastAsia" w:asciiTheme="minorEastAsia" w:hAnsiTheme="minorEastAsia" w:cstheme="minorEastAsia"/>
        </w:rPr>
        <w:t>比较统一简单；</w:t>
      </w:r>
      <w:r>
        <w:rPr>
          <w:rFonts w:hint="eastAsia" w:ascii="宋体" w:hAnsi="宋体" w:eastAsia="宋体" w:cs="宋体"/>
        </w:rPr>
        <w:t>②</w:t>
      </w:r>
      <w:r>
        <w:rPr>
          <w:rFonts w:hint="eastAsia" w:asciiTheme="minorEastAsia" w:hAnsiTheme="minorEastAsia" w:cstheme="minorEastAsia"/>
        </w:rPr>
        <w:t>考虑万一沾污或含有氟样品混入，对于方法的适用更为可靠。</w:t>
      </w:r>
    </w:p>
    <w:p>
      <w:pPr>
        <w:spacing w:line="312" w:lineRule="auto"/>
        <w:rPr>
          <w:rFonts w:asciiTheme="minorEastAsia" w:hAnsiTheme="minorEastAsia" w:cstheme="minorEastAsia"/>
        </w:rPr>
      </w:pPr>
      <w:r>
        <w:rPr>
          <w:rFonts w:hint="eastAsia" w:asciiTheme="minorEastAsia" w:hAnsiTheme="minorEastAsia" w:cstheme="minorEastAsia"/>
        </w:rPr>
        <w:t xml:space="preserve">    处理意见：采纳。对于试验中统一样品而言，硝酸+高氯酸（过氧化氢）与硝酸（过氧化氢）均可以将样品分解，稀土总量基本无差别。试验中确定为采用20</w:t>
      </w:r>
      <w:r>
        <w:rPr>
          <w:rFonts w:hint="eastAsia" w:asciiTheme="minorEastAsia" w:hAnsiTheme="minorEastAsia" w:cstheme="minorEastAsia"/>
          <w:vertAlign w:val="subscript"/>
        </w:rPr>
        <w:t xml:space="preserve"> </w:t>
      </w:r>
      <w:r>
        <w:rPr>
          <w:rFonts w:hint="eastAsia" w:asciiTheme="minorEastAsia" w:hAnsiTheme="minorEastAsia" w:cstheme="minorEastAsia"/>
        </w:rPr>
        <w:t>mL硝酸（1+1）+过氧化氢溶解镧热还原回收料，主要综合考虑到试验成本和安全因素，未考虑回收料的复杂如沾污等问题，因此从方法的适用性更为可靠角度，赞同采纳了此建议。</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2）其它条件试验：验证结果与主报告一致。</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3）精密度数据情况：稳定性较好。</w:t>
      </w:r>
    </w:p>
    <w:p>
      <w:pPr>
        <w:numPr>
          <w:ilvl w:val="0"/>
          <w:numId w:val="4"/>
        </w:num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福建省长汀金龙稀土有限公司</w:t>
      </w:r>
    </w:p>
    <w:p>
      <w:pPr>
        <w:numPr>
          <w:ilvl w:val="0"/>
          <w:numId w:val="9"/>
        </w:numPr>
        <w:spacing w:line="312" w:lineRule="auto"/>
        <w:rPr>
          <w:rFonts w:asciiTheme="minorEastAsia" w:hAnsiTheme="minorEastAsia" w:cstheme="minorEastAsia"/>
        </w:rPr>
      </w:pPr>
      <w:r>
        <w:rPr>
          <w:rFonts w:hint="eastAsia" w:asciiTheme="minorEastAsia" w:hAnsiTheme="minorEastAsia" w:cstheme="minorEastAsia"/>
        </w:rPr>
        <w:t>提出的建议或意见：</w:t>
      </w:r>
    </w:p>
    <w:p>
      <w:pPr>
        <w:spacing w:line="312" w:lineRule="auto"/>
        <w:ind w:left="420"/>
        <w:rPr>
          <w:rFonts w:asciiTheme="minorEastAsia" w:hAnsiTheme="minorEastAsia" w:cstheme="minorEastAsia"/>
        </w:rPr>
      </w:pPr>
      <w:r>
        <w:rPr>
          <w:rFonts w:hint="eastAsia" w:asciiTheme="minorEastAsia" w:hAnsiTheme="minorEastAsia" w:cstheme="minorEastAsia"/>
        </w:rPr>
        <w:t xml:space="preserve"> A、“6.4.3.2中按表2浓度，用氧化钬、氧化镱、氧化钇标准溶液（3.25～3.27）分别配制成各对应补正试验用系列标准溶液，介质为5 %的盐酸，”实际3.25为氧化钇标准溶液（50μg/mL）、3.26为氩气、无3.27；建议改为“表2浓度，用氧化钬、氧化镱、氧化钇标准贮存溶液（3.20～3.22）和氧化钬、氧化镱、氧化钇标准溶液（2.23～3.25）分别配制成各对应补正试验用系列标准溶液，介质为5 %的盐酸。”</w:t>
      </w:r>
    </w:p>
    <w:p>
      <w:pPr>
        <w:spacing w:line="312" w:lineRule="auto"/>
        <w:ind w:left="420"/>
        <w:rPr>
          <w:rFonts w:asciiTheme="minorEastAsia" w:hAnsiTheme="minorEastAsia" w:cstheme="minorEastAsia"/>
        </w:rPr>
      </w:pPr>
      <w:r>
        <w:rPr>
          <w:rFonts w:hint="eastAsia" w:asciiTheme="minorEastAsia" w:hAnsiTheme="minorEastAsia" w:cstheme="minorEastAsia"/>
        </w:rPr>
        <w:t>处理意见：采纳，报告书写错误，已改正。</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B、建议扩大分析试液用系列标准溶液浓度，或者增加一句：关于滤液的补正测试，若滤液中稀土的含量超出范围可进行酌情稀释。</w:t>
      </w:r>
    </w:p>
    <w:p>
      <w:pPr>
        <w:spacing w:line="312" w:lineRule="auto"/>
        <w:rPr>
          <w:rFonts w:asciiTheme="minorEastAsia" w:hAnsiTheme="minorEastAsia" w:cstheme="minorEastAsia"/>
        </w:rPr>
      </w:pPr>
      <w:r>
        <w:rPr>
          <w:rFonts w:hint="eastAsia" w:asciiTheme="minorEastAsia" w:hAnsiTheme="minorEastAsia" w:cstheme="minorEastAsia"/>
        </w:rPr>
        <w:t xml:space="preserve">    处理意见：采纳。</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2）精密度数据情况：精密度试验结果表明，满足分析要求。</w:t>
      </w:r>
    </w:p>
    <w:p>
      <w:pPr>
        <w:numPr>
          <w:ilvl w:val="0"/>
          <w:numId w:val="4"/>
        </w:num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中稀天马新材料科技股份有限公司</w:t>
      </w:r>
    </w:p>
    <w:p>
      <w:pPr>
        <w:numPr>
          <w:ilvl w:val="0"/>
          <w:numId w:val="10"/>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提出的建议或意见：未提出建议或意见。</w:t>
      </w:r>
    </w:p>
    <w:p>
      <w:pPr>
        <w:numPr>
          <w:ilvl w:val="0"/>
          <w:numId w:val="10"/>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精密度数据情况：从该单位反馈的精密度数据看，精密度数据较好。</w:t>
      </w:r>
    </w:p>
    <w:p>
      <w:p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5、赣州湛海新材料科技有限公司</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1）提出的建议或意见：原文中滤液补差公式有误，没有考虑最初的取样稀释过程，需要改正。</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处理意见：采纳。报告书写错误，已改正。</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2）精密度数据情况：方法的精密度高，重现性好。</w:t>
      </w:r>
    </w:p>
    <w:p>
      <w:p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6、赣州晨光稀土新材料股份有限公司</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1）提出的意见或建议：未提出建议或意见。</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2）精密度数据情况：精密度良好，方法稳定可靠。</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综合各验证单位反馈的验证结论与建议或意见，形成了XB/T XXX.1-XXX《稀土火法冶炼回收料 化学分析方法 第1部分：稀土总量的测定 重量法》的《草案讨论稿》与《草案讨论稿编制说明》。</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2022年2月9日，</w:t>
      </w:r>
      <w:r>
        <w:rPr>
          <w:rFonts w:hint="eastAsia" w:ascii="宋体" w:hAnsi="宋体" w:eastAsia="宋体" w:cs="宋体"/>
        </w:rPr>
        <w:t>将《草案讨论稿》</w:t>
      </w:r>
      <w:r>
        <w:rPr>
          <w:rFonts w:hint="eastAsia" w:asciiTheme="minorEastAsia" w:hAnsiTheme="minorEastAsia" w:cstheme="minorEastAsia"/>
        </w:rPr>
        <w:t>与《草案讨论稿编制说明》</w:t>
      </w:r>
      <w:r>
        <w:rPr>
          <w:rFonts w:hint="eastAsia" w:ascii="宋体" w:hAnsi="宋体" w:eastAsia="宋体" w:cs="宋体"/>
        </w:rPr>
        <w:t>反馈至各参与起草单位，通过网络（微信群）形式组织召开了第一次工作会议，形成了如下修改建议：</w:t>
      </w:r>
    </w:p>
    <w:p>
      <w:pPr>
        <w:numPr>
          <w:ilvl w:val="0"/>
          <w:numId w:val="11"/>
        </w:num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编制说明</w:t>
      </w:r>
    </w:p>
    <w:p>
      <w:pPr>
        <w:numPr>
          <w:ilvl w:val="0"/>
          <w:numId w:val="12"/>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公司名称由“赣州湛海新材料有限公司”更正为“赣州湛海新材料科技有限公司”；</w:t>
      </w:r>
    </w:p>
    <w:p>
      <w:pPr>
        <w:numPr>
          <w:ilvl w:val="0"/>
          <w:numId w:val="12"/>
        </w:numPr>
        <w:spacing w:line="312" w:lineRule="auto"/>
        <w:ind w:firstLine="420" w:firstLineChars="200"/>
        <w:rPr>
          <w:rFonts w:asciiTheme="minorEastAsia" w:hAnsiTheme="minorEastAsia" w:cstheme="minorEastAsia"/>
        </w:rPr>
      </w:pPr>
      <w:r>
        <w:rPr>
          <w:rFonts w:hint="eastAsia" w:asciiTheme="minorEastAsia" w:hAnsiTheme="minorEastAsia" w:cstheme="minorEastAsia"/>
        </w:rPr>
        <w:t>项目必要性简述进行了修改。</w:t>
      </w:r>
    </w:p>
    <w:p>
      <w:pPr>
        <w:spacing w:line="312" w:lineRule="auto"/>
        <w:ind w:firstLine="422" w:firstLineChars="200"/>
        <w:rPr>
          <w:rFonts w:asciiTheme="minorEastAsia" w:hAnsiTheme="minorEastAsia" w:cstheme="minorEastAsia"/>
          <w:b/>
          <w:bCs/>
        </w:rPr>
      </w:pPr>
      <w:r>
        <w:rPr>
          <w:rFonts w:hint="eastAsia" w:asciiTheme="minorEastAsia" w:hAnsiTheme="minorEastAsia" w:cstheme="minorEastAsia"/>
          <w:b/>
          <w:bCs/>
        </w:rPr>
        <w:t>2、标准文本</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1）4.1方法提要：需补正试验重稀土元素增加了“镝”；</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2）4.2试剂或材料：增加了氧化镝标准贮存溶液及标准溶液的配制；</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3）4.3仪器设备： 增加了坩埚及说明即“瓷坩埚或铂坩埚</w:t>
      </w:r>
      <w:r>
        <w:rPr>
          <w:rFonts w:hint="eastAsia" w:ascii="宋体" w:hAnsi="宋体" w:cs="宋体"/>
          <w:color w:val="000000"/>
          <w:kern w:val="0"/>
          <w:szCs w:val="21"/>
        </w:rPr>
        <w:t>950</w:t>
      </w:r>
      <w:r>
        <w:rPr>
          <w:rFonts w:hAnsi="宋体"/>
          <w:color w:val="000000"/>
        </w:rPr>
        <w:t> </w:t>
      </w:r>
      <w:r>
        <w:rPr>
          <w:rFonts w:hint="eastAsia" w:ascii="宋体" w:hAnsi="宋体" w:cs="宋体"/>
          <w:color w:val="000000"/>
          <w:kern w:val="0"/>
          <w:szCs w:val="21"/>
        </w:rPr>
        <w:t>℃灼烧至质量恒定</w:t>
      </w:r>
      <w:r>
        <w:rPr>
          <w:rFonts w:hint="eastAsia" w:asciiTheme="minorEastAsia" w:hAnsiTheme="minorEastAsia" w:cstheme="minorEastAsia"/>
        </w:rPr>
        <w:t>”；</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4）4.5.3空白试验：删除了空白试验。</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5）4.6.1试料的溶解：“...</w:t>
      </w:r>
      <w:r>
        <w:rPr>
          <w:rFonts w:hint="eastAsia" w:ascii="宋体" w:hAnsi="宋体" w:cs="宋体"/>
          <w:kern w:val="0"/>
          <w:szCs w:val="20"/>
        </w:rPr>
        <w:t>加入15</w:t>
      </w:r>
      <w:r>
        <w:rPr>
          <w:rFonts w:hAnsi="宋体"/>
          <w:color w:val="000000"/>
        </w:rPr>
        <w:t> </w:t>
      </w:r>
      <w:r>
        <w:rPr>
          <w:rFonts w:hint="eastAsia" w:ascii="宋体" w:hAnsi="宋体" w:cs="宋体"/>
          <w:kern w:val="0"/>
          <w:szCs w:val="20"/>
        </w:rPr>
        <w:t>mL硝酸（4.2.3），</w:t>
      </w:r>
      <w:r>
        <w:rPr>
          <w:rFonts w:hint="eastAsia" w:ascii="宋体" w:hAnsi="宋体" w:cs="宋体"/>
          <w:szCs w:val="21"/>
        </w:rPr>
        <w:t>1</w:t>
      </w:r>
      <w:r>
        <w:rPr>
          <w:rFonts w:hAnsi="宋体"/>
          <w:color w:val="000000"/>
        </w:rPr>
        <w:t> </w:t>
      </w:r>
      <w:r>
        <w:rPr>
          <w:rFonts w:hint="eastAsia" w:ascii="宋体" w:hAnsi="宋体" w:cs="宋体"/>
          <w:kern w:val="0"/>
          <w:szCs w:val="20"/>
        </w:rPr>
        <w:t>mL过氧化氢（4.2.5），低温加热...</w:t>
      </w:r>
      <w:r>
        <w:rPr>
          <w:rFonts w:hint="eastAsia" w:asciiTheme="minorEastAsia" w:hAnsiTheme="minorEastAsia" w:cstheme="minorEastAsia"/>
        </w:rPr>
        <w:t>”中对低温加热的程度及时间进行了规定。</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6）4.6.2试液的制备：对全量与分取量试液的制备所参照的稀土总量进行了修改。</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7）4.6.3.3与4.6.3.4对操作步骤描述进行了调整。</w:t>
      </w:r>
    </w:p>
    <w:p>
      <w:pPr>
        <w:spacing w:line="312" w:lineRule="auto"/>
        <w:ind w:firstLine="420" w:firstLineChars="200"/>
        <w:rPr>
          <w:rFonts w:ascii="宋体" w:hAnsi="宋体" w:cs="宋体"/>
          <w:kern w:val="0"/>
          <w:szCs w:val="21"/>
        </w:rPr>
      </w:pPr>
      <w:r>
        <w:rPr>
          <w:rFonts w:hint="eastAsia" w:asciiTheme="minorEastAsia" w:hAnsiTheme="minorEastAsia" w:cstheme="minorEastAsia"/>
        </w:rPr>
        <w:t>8）4.6.4</w:t>
      </w:r>
      <w:r>
        <w:rPr>
          <w:rFonts w:hint="eastAsia" w:ascii="宋体" w:hAnsi="宋体" w:cs="宋体"/>
          <w:kern w:val="0"/>
          <w:szCs w:val="21"/>
        </w:rPr>
        <w:t>草沉滤液中重稀土含量的补正试验（电感耦合等离子体发射光谱法）：均增加了“镝”元素。</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9）4.7试验数据处理：计算结果保留位数的描述进行了修改，计算公式中删除了空白试验。</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综合各参与起草单位反馈的建议或意见，对草案讨论稿进行了完善，形成了XB/T XXX.1-XXX《稀土火法冶炼回收料 化学分析方法 第1部分：稀土总量的测定 重量法》的《征求意见稿</w:t>
      </w:r>
      <w:r>
        <w:rPr>
          <w:rFonts w:hint="eastAsia" w:ascii="宋体" w:hAnsi="宋体" w:eastAsia="宋体" w:cs="宋体"/>
        </w:rPr>
        <w:t>Ⅰ</w:t>
      </w:r>
      <w:r>
        <w:rPr>
          <w:rFonts w:hint="eastAsia" w:asciiTheme="minorEastAsia" w:hAnsiTheme="minorEastAsia" w:cstheme="minorEastAsia"/>
        </w:rPr>
        <w:t>》与《征求意见稿</w:t>
      </w:r>
      <w:r>
        <w:rPr>
          <w:rFonts w:hint="eastAsia" w:ascii="宋体" w:hAnsi="宋体" w:eastAsia="宋体" w:cs="宋体"/>
        </w:rPr>
        <w:t>Ⅰ</w:t>
      </w:r>
      <w:r>
        <w:rPr>
          <w:rFonts w:hint="eastAsia" w:asciiTheme="minorEastAsia" w:hAnsiTheme="minorEastAsia" w:cstheme="minorEastAsia"/>
        </w:rPr>
        <w:t>编制说明》。</w:t>
      </w:r>
    </w:p>
    <w:p>
      <w:pPr>
        <w:spacing w:beforeLines="50" w:afterLines="50" w:line="360" w:lineRule="exact"/>
        <w:rPr>
          <w:rFonts w:ascii="黑体" w:hAnsi="黑体" w:eastAsia="黑体"/>
        </w:rPr>
      </w:pPr>
      <w:r>
        <w:rPr>
          <w:rFonts w:hint="eastAsia" w:ascii="黑体" w:hAnsi="黑体" w:eastAsia="黑体"/>
        </w:rPr>
        <w:t>4、征求意见阶段</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2022年2月23日，将形成的《征求意见稿</w:t>
      </w:r>
      <w:r>
        <w:rPr>
          <w:rFonts w:hint="eastAsia" w:ascii="宋体" w:hAnsi="宋体" w:eastAsia="宋体" w:cs="宋体"/>
        </w:rPr>
        <w:t>Ⅰ</w:t>
      </w:r>
      <w:r>
        <w:rPr>
          <w:rFonts w:hint="eastAsia" w:asciiTheme="minorEastAsia" w:hAnsiTheme="minorEastAsia" w:cstheme="minorEastAsia"/>
        </w:rPr>
        <w:t>》与《征求意见稿</w:t>
      </w:r>
      <w:r>
        <w:rPr>
          <w:rFonts w:hint="eastAsia" w:ascii="宋体" w:hAnsi="宋体" w:eastAsia="宋体" w:cs="宋体"/>
        </w:rPr>
        <w:t>Ⅰ</w:t>
      </w:r>
      <w:r>
        <w:rPr>
          <w:rFonts w:hint="eastAsia" w:asciiTheme="minorEastAsia" w:hAnsiTheme="minorEastAsia" w:cstheme="minorEastAsia"/>
        </w:rPr>
        <w:t>编制说明》发送给编制组外其他单位进意见征集，征集的意见或建议及处理意见，见《征求意见稿Ⅰ意见征集汇总处理表》。</w:t>
      </w:r>
    </w:p>
    <w:p>
      <w:pPr>
        <w:spacing w:line="312" w:lineRule="auto"/>
        <w:ind w:firstLine="420" w:firstLineChars="200"/>
        <w:rPr>
          <w:rFonts w:asciiTheme="minorEastAsia" w:hAnsiTheme="minorEastAsia" w:cstheme="minorEastAsia"/>
        </w:rPr>
      </w:pPr>
      <w:r>
        <w:rPr>
          <w:rFonts w:hint="eastAsia" w:asciiTheme="minorEastAsia" w:hAnsiTheme="minorEastAsia" w:cstheme="minorEastAsia"/>
        </w:rPr>
        <w:t>2022年3月10日，主起草单位在审核标准文本过程中，对4.6.3.1，“......</w:t>
      </w:r>
      <w:r>
        <w:rPr>
          <w:rFonts w:hint="eastAsia" w:ascii="宋体" w:hAnsi="宋体" w:cs="宋体"/>
          <w:kern w:val="0"/>
          <w:szCs w:val="20"/>
        </w:rPr>
        <w:t>加入20</w:t>
      </w:r>
      <w:r>
        <w:rPr>
          <w:rFonts w:hAnsi="宋体"/>
        </w:rPr>
        <w:t> </w:t>
      </w:r>
      <w:r>
        <w:rPr>
          <w:rFonts w:hint="eastAsia" w:ascii="宋体" w:hAnsi="宋体" w:cs="宋体"/>
          <w:kern w:val="0"/>
          <w:szCs w:val="20"/>
        </w:rPr>
        <w:t>mL氨水（4.2.8），</w:t>
      </w:r>
      <w:r>
        <w:rPr>
          <w:rFonts w:hint="eastAsia" w:ascii="宋体" w:hAnsi="宋体" w:cs="宋体"/>
          <w:szCs w:val="21"/>
        </w:rPr>
        <w:t>1</w:t>
      </w:r>
      <w:r>
        <w:rPr>
          <w:rFonts w:hAnsi="宋体"/>
        </w:rPr>
        <w:t> </w:t>
      </w:r>
      <w:r>
        <w:rPr>
          <w:rFonts w:hint="eastAsia" w:ascii="宋体" w:hAnsi="宋体" w:cs="宋体"/>
          <w:kern w:val="0"/>
          <w:szCs w:val="20"/>
        </w:rPr>
        <w:t>mL过氧化氢（4.2.5）</w:t>
      </w:r>
      <w:r>
        <w:rPr>
          <w:rFonts w:hint="eastAsia" w:asciiTheme="minorEastAsia" w:hAnsiTheme="minorEastAsia" w:cstheme="minorEastAsia"/>
        </w:rPr>
        <w:t>”中“</w:t>
      </w:r>
      <w:r>
        <w:rPr>
          <w:rFonts w:hint="eastAsia" w:ascii="宋体" w:hAnsi="宋体" w:cs="宋体"/>
          <w:szCs w:val="21"/>
        </w:rPr>
        <w:t>1</w:t>
      </w:r>
      <w:r>
        <w:rPr>
          <w:rFonts w:hAnsi="宋体"/>
        </w:rPr>
        <w:t> </w:t>
      </w:r>
      <w:r>
        <w:rPr>
          <w:rFonts w:hint="eastAsia" w:ascii="宋体" w:hAnsi="宋体" w:cs="宋体"/>
          <w:kern w:val="0"/>
          <w:szCs w:val="20"/>
        </w:rPr>
        <w:t>mL过氧化氢</w:t>
      </w:r>
      <w:r>
        <w:rPr>
          <w:rFonts w:hint="eastAsia" w:asciiTheme="minorEastAsia" w:hAnsiTheme="minorEastAsia" w:cstheme="minorEastAsia"/>
        </w:rPr>
        <w:t>”更改为“</w:t>
      </w:r>
      <w:r>
        <w:rPr>
          <w:rFonts w:hint="eastAsia" w:ascii="宋体" w:hAnsi="宋体" w:cs="宋体"/>
          <w:szCs w:val="21"/>
        </w:rPr>
        <w:t>0.2</w:t>
      </w:r>
      <w:r>
        <w:rPr>
          <w:rFonts w:hAnsi="宋体"/>
        </w:rPr>
        <w:t> </w:t>
      </w:r>
      <w:r>
        <w:rPr>
          <w:rFonts w:hint="eastAsia" w:ascii="宋体" w:hAnsi="宋体" w:cs="宋体"/>
          <w:kern w:val="0"/>
          <w:szCs w:val="20"/>
        </w:rPr>
        <w:t>mL过氧化氢</w:t>
      </w:r>
      <w:r>
        <w:rPr>
          <w:rFonts w:hint="eastAsia" w:asciiTheme="minorEastAsia" w:hAnsiTheme="minorEastAsia" w:cstheme="minorEastAsia"/>
        </w:rPr>
        <w:t>”。原因：由于书写笔误，经核对试验报告实际试验为</w:t>
      </w:r>
      <w:r>
        <w:rPr>
          <w:rFonts w:hint="eastAsia" w:ascii="宋体" w:hAnsi="宋体" w:cs="宋体"/>
          <w:szCs w:val="21"/>
        </w:rPr>
        <w:t>0.2</w:t>
      </w:r>
      <w:r>
        <w:rPr>
          <w:rFonts w:hAnsi="宋体"/>
        </w:rPr>
        <w:t> </w:t>
      </w:r>
      <w:r>
        <w:rPr>
          <w:rFonts w:hint="eastAsia" w:ascii="宋体" w:hAnsi="宋体" w:cs="宋体"/>
          <w:kern w:val="0"/>
          <w:szCs w:val="20"/>
        </w:rPr>
        <w:t>mL过氧化氢。</w:t>
      </w:r>
    </w:p>
    <w:p>
      <w:pPr>
        <w:spacing w:beforeLines="50" w:afterLines="50" w:line="360" w:lineRule="exact"/>
        <w:rPr>
          <w:rFonts w:ascii="黑体" w:hAnsi="黑体" w:eastAsia="黑体" w:cs="黑体"/>
        </w:rPr>
      </w:pPr>
      <w:r>
        <w:rPr>
          <w:rFonts w:hint="eastAsia" w:ascii="黑体" w:hAnsi="黑体" w:eastAsia="黑体" w:cs="黑体"/>
        </w:rPr>
        <w:t>4.1预审会</w:t>
      </w:r>
    </w:p>
    <w:p>
      <w:pPr>
        <w:spacing w:beforeLines="50" w:afterLines="50" w:line="360" w:lineRule="exact"/>
        <w:rPr>
          <w:rFonts w:ascii="黑体" w:hAnsi="黑体" w:eastAsia="黑体" w:cs="黑体"/>
        </w:rPr>
      </w:pPr>
      <w:r>
        <w:rPr>
          <w:rFonts w:hint="eastAsia" w:ascii="黑体" w:hAnsi="黑体" w:eastAsia="黑体" w:cs="黑体"/>
        </w:rPr>
        <w:t>4.2预审会后征求意见</w:t>
      </w:r>
    </w:p>
    <w:p>
      <w:pPr>
        <w:spacing w:beforeLines="50" w:afterLines="50" w:line="360" w:lineRule="exact"/>
        <w:rPr>
          <w:rFonts w:ascii="黑体" w:hAnsi="黑体" w:eastAsia="黑体"/>
        </w:rPr>
      </w:pPr>
      <w:r>
        <w:rPr>
          <w:rFonts w:hint="eastAsia" w:ascii="黑体" w:hAnsi="黑体" w:eastAsia="黑体"/>
        </w:rPr>
        <w:t>5、审查阶段</w:t>
      </w:r>
    </w:p>
    <w:p>
      <w:pPr>
        <w:spacing w:beforeLines="50" w:afterLines="50" w:line="360" w:lineRule="exact"/>
        <w:rPr>
          <w:rFonts w:ascii="黑体" w:hAnsi="黑体" w:eastAsia="黑体"/>
        </w:rPr>
      </w:pPr>
      <w:r>
        <w:rPr>
          <w:rFonts w:hint="eastAsia" w:ascii="黑体" w:hAnsi="黑体" w:eastAsia="黑体"/>
        </w:rPr>
        <w:t>6、报批阶段</w:t>
      </w:r>
    </w:p>
    <w:p>
      <w:pPr>
        <w:spacing w:beforeLines="100" w:afterLines="100" w:line="312" w:lineRule="auto"/>
        <w:rPr>
          <w:rFonts w:ascii="黑体" w:hAnsi="宋体" w:eastAsia="黑体"/>
          <w:bCs/>
          <w:sz w:val="24"/>
        </w:rPr>
      </w:pPr>
      <w:r>
        <w:rPr>
          <w:rFonts w:hint="eastAsia" w:ascii="黑体" w:hAnsi="宋体" w:eastAsia="黑体"/>
          <w:bCs/>
          <w:sz w:val="24"/>
        </w:rPr>
        <w:t>二、标准编制原则、主要内容及其确定依据。</w:t>
      </w:r>
    </w:p>
    <w:p>
      <w:pPr>
        <w:spacing w:beforeLines="50" w:afterLines="50" w:line="312" w:lineRule="auto"/>
        <w:rPr>
          <w:rFonts w:ascii="黑体" w:hAnsi="黑体" w:eastAsia="黑体" w:cs="黑体"/>
        </w:rPr>
      </w:pPr>
      <w:r>
        <w:rPr>
          <w:rFonts w:hint="eastAsia" w:ascii="黑体" w:hAnsi="黑体" w:eastAsia="黑体" w:cs="黑体"/>
        </w:rPr>
        <w:t>1、编制原则：</w:t>
      </w:r>
    </w:p>
    <w:p>
      <w:pPr>
        <w:tabs>
          <w:tab w:val="center" w:pos="5086"/>
        </w:tabs>
        <w:spacing w:line="312" w:lineRule="auto"/>
        <w:rPr>
          <w:rFonts w:asciiTheme="minorEastAsia" w:hAnsiTheme="minorEastAsia" w:cstheme="minorEastAsia"/>
        </w:rPr>
      </w:pPr>
      <w:r>
        <w:rPr>
          <w:rFonts w:hint="eastAsia" w:asciiTheme="minorEastAsia" w:hAnsiTheme="minorEastAsia" w:cstheme="minorEastAsia"/>
        </w:rPr>
        <w:t>（一）合法合规性原则：本标准的制定充分</w:t>
      </w:r>
      <w:r>
        <w:rPr>
          <w:rFonts w:hint="eastAsia" w:asciiTheme="minorEastAsia" w:hAnsiTheme="minorEastAsia" w:cstheme="minorEastAsia"/>
          <w:szCs w:val="21"/>
        </w:rPr>
        <w:t>考虑了国家法律、安全、卫生、环保法规的要求，全文均在各项法律、法规的规定范围内进行编制；</w:t>
      </w:r>
    </w:p>
    <w:p>
      <w:pPr>
        <w:tabs>
          <w:tab w:val="center" w:pos="5086"/>
        </w:tabs>
        <w:spacing w:line="312" w:lineRule="auto"/>
        <w:rPr>
          <w:rFonts w:asciiTheme="minorEastAsia" w:hAnsiTheme="minorEastAsia" w:cstheme="minorEastAsia"/>
          <w:szCs w:val="21"/>
        </w:rPr>
      </w:pPr>
      <w:r>
        <w:rPr>
          <w:rFonts w:hint="eastAsia" w:asciiTheme="minorEastAsia" w:hAnsiTheme="minorEastAsia" w:cstheme="minorEastAsia"/>
        </w:rPr>
        <w:t>（二）适用性原则：本标准的制定充分考虑了使用要求。稀土火法冶炼回收料是稀土冶炼产生中的附产物，其组成与稀土原矿产品或稀土金属产品不同，受工艺性质以及人为因素影响，其成分较为复杂。套用原有的较为单一或专属产品制定的稀土总量测定标准，难以满足全产品链的准确运用。本标准制定中充分考虑了稀土回收料的全产品链特性，包括工艺因素（工艺限定稀土火法冶炼回收料稀土元素的组成，对应工艺相关辅材决定非稀土杂质引入）或潜在的人为因素（贸易混料、掺杂等等）而制定。除此之外，还考虑了各种能力实验室的运用，着重于准确、简单、快速、成本低的特点，能更好的满足</w:t>
      </w:r>
      <w:r>
        <w:rPr>
          <w:rFonts w:hint="eastAsia" w:asciiTheme="minorEastAsia" w:hAnsiTheme="minorEastAsia" w:cstheme="minorEastAsia"/>
          <w:szCs w:val="20"/>
        </w:rPr>
        <w:t>客户及操作人员的要求；</w:t>
      </w:r>
    </w:p>
    <w:p>
      <w:pPr>
        <w:tabs>
          <w:tab w:val="center" w:pos="5086"/>
        </w:tabs>
        <w:spacing w:line="312" w:lineRule="auto"/>
        <w:rPr>
          <w:rFonts w:asciiTheme="minorEastAsia" w:hAnsiTheme="minorEastAsia" w:cstheme="minorEastAsia"/>
        </w:rPr>
      </w:pPr>
      <w:r>
        <w:rPr>
          <w:rFonts w:hint="eastAsia" w:asciiTheme="minorEastAsia" w:hAnsiTheme="minorEastAsia" w:cstheme="minorEastAsia"/>
        </w:rPr>
        <w:t>（三）规范性原则：为保证标准编写的规范，从起草开始到随后的所有阶段，均根据GB/T 1.1-2020《标准化工作导则 第1部分：标准化文件的结构和起草规则》和GB/T 20001.4-2015《标准编写规则 第4部分：试验方法标准》的要求进行编写的；</w:t>
      </w:r>
    </w:p>
    <w:p>
      <w:pPr>
        <w:tabs>
          <w:tab w:val="center" w:pos="5086"/>
        </w:tabs>
        <w:spacing w:line="312" w:lineRule="auto"/>
        <w:rPr>
          <w:rFonts w:asciiTheme="minorEastAsia" w:hAnsiTheme="minorEastAsia" w:cstheme="minorEastAsia"/>
        </w:rPr>
      </w:pPr>
      <w:r>
        <w:rPr>
          <w:rFonts w:hint="eastAsia" w:asciiTheme="minorEastAsia" w:hAnsiTheme="minorEastAsia" w:cstheme="minorEastAsia"/>
        </w:rPr>
        <w:t>（四）先进性原则：本标准的制定根据稀土火法冶炼回收料的特性，采用经典化学分析方法—草酸盐重量法，巧妙的优化调整各项分析参数和指标，从而达到稀土火法冶炼回收料全产品链稀土总量的测定要求。实现一套标准满足稀土总量（REO）5%～90%大跨度的准确测定。将更好的服务稀土火法冶炼回收料的回收再利用，促进不可再生资源的健康发展，与此同时对国内稀土火法冶炼生产企业及相关行业的技术进步产生起到积极的促进作用。因此不管是从经典化学分析方法的巧妙运用，还是从促进宝贵的稀土资源健康发展，标准的制定都具有重大的意义，它凸显了经典化学分析方法在稀土火法冶炼回收产业链中的运用价值。</w:t>
      </w:r>
    </w:p>
    <w:p>
      <w:pPr>
        <w:pStyle w:val="11"/>
        <w:tabs>
          <w:tab w:val="clear" w:pos="675"/>
        </w:tabs>
        <w:spacing w:beforeLines="50" w:afterLines="50" w:line="360" w:lineRule="exact"/>
        <w:ind w:left="0" w:firstLine="0"/>
        <w:rPr>
          <w:rFonts w:hAnsi="黑体"/>
        </w:rPr>
      </w:pPr>
      <w:r>
        <w:rPr>
          <w:rFonts w:hint="eastAsia" w:hAnsi="黑体"/>
        </w:rPr>
        <w:t>2、主要技术内容及其确定的依据：</w:t>
      </w:r>
    </w:p>
    <w:p>
      <w:pPr>
        <w:spacing w:beforeLines="50" w:afterLines="50" w:line="312" w:lineRule="auto"/>
        <w:rPr>
          <w:rFonts w:ascii="黑体" w:hAnsi="宋体" w:eastAsia="黑体"/>
          <w:bCs/>
          <w:sz w:val="24"/>
        </w:rPr>
      </w:pPr>
      <w:r>
        <w:rPr>
          <w:rFonts w:hint="eastAsia" w:ascii="黑体" w:hAnsi="宋体" w:eastAsia="黑体"/>
          <w:bCs/>
          <w:szCs w:val="21"/>
        </w:rPr>
        <w:t>本标准主要技术内容及确认依据如下：</w:t>
      </w:r>
    </w:p>
    <w:p>
      <w:pPr>
        <w:pStyle w:val="11"/>
        <w:tabs>
          <w:tab w:val="clear" w:pos="675"/>
        </w:tabs>
        <w:spacing w:beforeLines="50" w:afterLines="50" w:line="360" w:lineRule="exact"/>
        <w:ind w:left="0" w:firstLine="0"/>
        <w:rPr>
          <w:rFonts w:hAnsi="黑体"/>
        </w:rPr>
      </w:pPr>
      <w:r>
        <w:rPr>
          <w:rFonts w:hint="eastAsia" w:hAnsi="黑体"/>
        </w:rPr>
        <w:t>2.1测</w:t>
      </w:r>
      <w:r>
        <w:rPr>
          <w:rFonts w:hint="eastAsia" w:hAnsi="黑体"/>
          <w:szCs w:val="22"/>
        </w:rPr>
        <w:t>定范围</w:t>
      </w:r>
    </w:p>
    <w:p>
      <w:pPr>
        <w:numPr>
          <w:ilvl w:val="0"/>
          <w:numId w:val="13"/>
        </w:numPr>
        <w:spacing w:line="312" w:lineRule="auto"/>
        <w:rPr>
          <w:rFonts w:asciiTheme="minorEastAsia" w:hAnsiTheme="minorEastAsia" w:cstheme="minorEastAsia"/>
        </w:rPr>
      </w:pPr>
      <w:r>
        <w:rPr>
          <w:rFonts w:hint="eastAsia" w:asciiTheme="minorEastAsia" w:hAnsiTheme="minorEastAsia" w:cstheme="minorEastAsia"/>
        </w:rPr>
        <w:t>依据了《稀土火法冶炼回收料》产品标准中各回收料稀土总量（REO）参考范围（0.5%～90%）；</w:t>
      </w:r>
    </w:p>
    <w:p>
      <w:pPr>
        <w:numPr>
          <w:ilvl w:val="0"/>
          <w:numId w:val="13"/>
        </w:numPr>
        <w:spacing w:line="312" w:lineRule="auto"/>
        <w:rPr>
          <w:rFonts w:asciiTheme="minorEastAsia" w:hAnsiTheme="minorEastAsia" w:cstheme="minorEastAsia"/>
        </w:rPr>
      </w:pPr>
      <w:r>
        <w:rPr>
          <w:rFonts w:hint="eastAsia" w:asciiTheme="minorEastAsia" w:hAnsiTheme="minorEastAsia" w:cstheme="minorEastAsia"/>
        </w:rPr>
        <w:t>依据了稀土火法冶炼回收料的各项特性，并结合草酸盐重量法在稀土总量测定中的适用范围，通过准确度与标加回收率试验确定本标准稀土总量（REO）的测定范围（5%～90%）。</w:t>
      </w:r>
    </w:p>
    <w:p>
      <w:pPr>
        <w:pStyle w:val="11"/>
        <w:tabs>
          <w:tab w:val="clear" w:pos="675"/>
        </w:tabs>
        <w:spacing w:beforeLines="50" w:afterLines="50" w:line="312" w:lineRule="auto"/>
        <w:ind w:left="0" w:firstLine="0"/>
        <w:rPr>
          <w:rFonts w:hAnsi="黑体"/>
          <w:szCs w:val="22"/>
        </w:rPr>
      </w:pPr>
      <w:r>
        <w:rPr>
          <w:rFonts w:hint="eastAsia" w:hAnsi="黑体"/>
          <w:szCs w:val="22"/>
        </w:rPr>
        <w:t>2.2样品溶解试剂及用量选择</w:t>
      </w:r>
    </w:p>
    <w:p>
      <w:pPr>
        <w:numPr>
          <w:ilvl w:val="0"/>
          <w:numId w:val="13"/>
        </w:numPr>
        <w:spacing w:line="312" w:lineRule="auto"/>
        <w:rPr>
          <w:rFonts w:ascii="宋体" w:hAnsi="宋体" w:eastAsia="宋体" w:cs="宋体"/>
        </w:rPr>
      </w:pPr>
      <w:r>
        <w:rPr>
          <w:rFonts w:hint="eastAsia" w:asciiTheme="minorEastAsia" w:hAnsiTheme="minorEastAsia" w:cstheme="minorEastAsia"/>
        </w:rPr>
        <w:t>依据了稀土火</w:t>
      </w:r>
      <w:r>
        <w:rPr>
          <w:rFonts w:hint="eastAsia" w:ascii="宋体" w:hAnsi="宋体" w:eastAsia="宋体" w:cs="宋体"/>
        </w:rPr>
        <w:t>法冶炼回收料的溶解性质，选择稀土火法冶炼回收料中有代表性（包含工艺代表性）且较为难溶解的样品（</w:t>
      </w:r>
      <w:r>
        <w:rPr>
          <w:rFonts w:hint="eastAsia" w:ascii="宋体" w:hAnsi="宋体" w:eastAsia="宋体" w:cs="宋体"/>
          <w:kern w:val="0"/>
          <w:szCs w:val="21"/>
        </w:rPr>
        <w:t>20PrNd01FD、20TbDy01FH、20LaF01FH</w:t>
      </w:r>
      <w:r>
        <w:rPr>
          <w:rFonts w:hint="eastAsia" w:ascii="宋体" w:hAnsi="宋体" w:eastAsia="宋体" w:cs="宋体"/>
        </w:rPr>
        <w:t>）进行样品溶解试验；</w:t>
      </w:r>
    </w:p>
    <w:p>
      <w:pPr>
        <w:numPr>
          <w:ilvl w:val="0"/>
          <w:numId w:val="13"/>
        </w:numPr>
        <w:spacing w:line="312" w:lineRule="auto"/>
        <w:rPr>
          <w:rFonts w:ascii="宋体" w:hAnsi="宋体" w:eastAsia="宋体" w:cs="宋体"/>
        </w:rPr>
      </w:pPr>
      <w:r>
        <w:rPr>
          <w:rFonts w:hint="eastAsia" w:ascii="宋体" w:hAnsi="宋体" w:eastAsia="宋体" w:cs="宋体"/>
        </w:rPr>
        <w:t>按照优先较为安全、环保性试剂或试剂组合的原则，采用不同的用量进行分组溶解样品试验，通过考察是否溶解完全及如不能完全溶解情况下残渣中稀土量小于测定影响值等指标，最终确定试剂及其用量。试剂用量还考虑了节能及经济性综合指标。</w:t>
      </w:r>
    </w:p>
    <w:p>
      <w:pPr>
        <w:pStyle w:val="11"/>
        <w:tabs>
          <w:tab w:val="clear" w:pos="675"/>
        </w:tabs>
        <w:spacing w:beforeLines="50" w:afterLines="50" w:line="312" w:lineRule="auto"/>
        <w:ind w:left="0" w:firstLine="0"/>
        <w:rPr>
          <w:rFonts w:hAnsi="黑体"/>
          <w:szCs w:val="22"/>
        </w:rPr>
      </w:pPr>
      <w:r>
        <w:rPr>
          <w:rFonts w:hint="eastAsia" w:hAnsi="黑体"/>
          <w:szCs w:val="22"/>
        </w:rPr>
        <w:t>2.3样品称取量的选择</w:t>
      </w:r>
    </w:p>
    <w:p>
      <w:pPr>
        <w:spacing w:line="312" w:lineRule="auto"/>
        <w:rPr>
          <w:rFonts w:ascii="宋体" w:hAnsi="宋体" w:eastAsia="宋体" w:cs="宋体"/>
          <w:szCs w:val="21"/>
        </w:rPr>
      </w:pPr>
      <w:r>
        <w:rPr>
          <w:rFonts w:hint="eastAsia" w:ascii="宋体" w:hAnsi="宋体" w:eastAsia="宋体" w:cs="宋体"/>
        </w:rPr>
        <w:t>1）</w:t>
      </w:r>
      <w:r>
        <w:rPr>
          <w:rFonts w:hint="eastAsia" w:ascii="宋体" w:hAnsi="宋体" w:eastAsia="宋体" w:cs="宋体"/>
          <w:szCs w:val="21"/>
        </w:rPr>
        <w:t>依据了稀土火法冶炼回收料的均匀性特点，选择稀土火法冶炼回收料中均匀性较差（包含工艺代表性）的样品（</w:t>
      </w:r>
      <w:r>
        <w:rPr>
          <w:rFonts w:hint="eastAsia" w:ascii="宋体" w:hAnsi="宋体" w:eastAsia="宋体" w:cs="宋体"/>
          <w:kern w:val="0"/>
          <w:szCs w:val="21"/>
        </w:rPr>
        <w:t>20HoFe02FD、20LaF01FH</w:t>
      </w:r>
      <w:r>
        <w:rPr>
          <w:rFonts w:hint="eastAsia" w:ascii="宋体" w:hAnsi="宋体" w:eastAsia="宋体" w:cs="宋体"/>
          <w:szCs w:val="21"/>
        </w:rPr>
        <w:t>）进行试验；</w:t>
      </w:r>
    </w:p>
    <w:p>
      <w:pPr>
        <w:spacing w:line="312" w:lineRule="auto"/>
        <w:rPr>
          <w:rFonts w:ascii="宋体" w:hAnsi="宋体" w:eastAsia="宋体" w:cs="宋体"/>
          <w:szCs w:val="21"/>
        </w:rPr>
      </w:pPr>
      <w:r>
        <w:rPr>
          <w:rFonts w:hint="eastAsia" w:ascii="宋体" w:hAnsi="宋体" w:eastAsia="宋体" w:cs="宋体"/>
          <w:szCs w:val="21"/>
        </w:rPr>
        <w:t>2）按照由低到高不同的样品称取量进行稀土总量稳定性试验（稀土总量波动越小对应样品称取量优先考虑），最终结合样品的溶解性试验条件以及以往稀土火法冶炼回收料全产业链产品的均匀性经验评判，确定本标准样品称取量。</w:t>
      </w:r>
    </w:p>
    <w:p>
      <w:pPr>
        <w:spacing w:beforeLines="50" w:afterLines="50" w:line="312" w:lineRule="auto"/>
        <w:rPr>
          <w:rFonts w:ascii="黑体" w:hAnsi="黑体" w:eastAsia="黑体" w:cs="Times New Roman"/>
          <w:kern w:val="0"/>
          <w:szCs w:val="22"/>
        </w:rPr>
      </w:pPr>
      <w:r>
        <w:rPr>
          <w:rFonts w:hint="eastAsia" w:ascii="黑体" w:hAnsi="黑体" w:eastAsia="黑体" w:cs="Times New Roman"/>
          <w:kern w:val="0"/>
          <w:szCs w:val="22"/>
        </w:rPr>
        <w:t>2.4氨水及草酸用量的确定</w:t>
      </w:r>
    </w:p>
    <w:p>
      <w:pPr>
        <w:numPr>
          <w:ilvl w:val="0"/>
          <w:numId w:val="14"/>
        </w:numPr>
        <w:spacing w:line="312" w:lineRule="auto"/>
        <w:rPr>
          <w:rFonts w:ascii="宋体" w:hAnsi="宋体" w:eastAsia="宋体" w:cs="宋体"/>
          <w:szCs w:val="21"/>
        </w:rPr>
      </w:pPr>
      <w:r>
        <w:rPr>
          <w:rFonts w:hint="eastAsia" w:ascii="宋体" w:hAnsi="宋体" w:eastAsia="宋体" w:cs="宋体"/>
          <w:szCs w:val="21"/>
        </w:rPr>
        <w:t>选择稀土火法冶炼回收料钙热还原渣样品（</w:t>
      </w:r>
      <w:r>
        <w:rPr>
          <w:rFonts w:hint="eastAsia" w:ascii="宋体" w:hAnsi="宋体" w:eastAsia="宋体" w:cs="宋体"/>
          <w:kern w:val="0"/>
          <w:szCs w:val="21"/>
        </w:rPr>
        <w:t>20TbDy01FH，</w:t>
      </w:r>
      <w:r>
        <w:rPr>
          <w:rFonts w:hint="eastAsia" w:ascii="宋体" w:hAnsi="宋体" w:eastAsia="宋体" w:cs="宋体"/>
          <w:szCs w:val="21"/>
        </w:rPr>
        <w:t>CaO&gt;70%）在固定氯化铵加入量2g（参考了现有相关类似标准使用量）前提下，进行不同氨水除钙、镁等试验；</w:t>
      </w:r>
    </w:p>
    <w:p>
      <w:pPr>
        <w:spacing w:line="312" w:lineRule="auto"/>
        <w:ind w:firstLine="210" w:firstLineChars="100"/>
        <w:rPr>
          <w:rFonts w:ascii="宋体" w:hAnsi="宋体" w:eastAsia="宋体" w:cs="宋体"/>
          <w:szCs w:val="21"/>
        </w:rPr>
      </w:pPr>
      <w:r>
        <w:rPr>
          <w:rFonts w:hint="eastAsia" w:ascii="宋体" w:hAnsi="宋体" w:eastAsia="宋体" w:cs="宋体"/>
          <w:szCs w:val="21"/>
        </w:rPr>
        <w:t>选择稀土火法冶炼回收料中铁（电解工艺）、铝（还原工艺筑炉材料）等工艺代表性突出的样品（</w:t>
      </w:r>
      <w:r>
        <w:rPr>
          <w:rFonts w:hint="eastAsia" w:ascii="宋体" w:hAnsi="宋体" w:eastAsia="宋体" w:cs="宋体"/>
          <w:kern w:val="0"/>
          <w:szCs w:val="21"/>
        </w:rPr>
        <w:t>20DyFe01DF、20PrNd02FD、20LaF01FH</w:t>
      </w:r>
      <w:r>
        <w:rPr>
          <w:rFonts w:hint="eastAsia" w:ascii="宋体" w:hAnsi="宋体" w:eastAsia="宋体" w:cs="宋体"/>
          <w:szCs w:val="21"/>
        </w:rPr>
        <w:t>），在草酸浓度固定前提下（参考了现有相关类似标准使用浓度），进行不同草酸用量试验；</w:t>
      </w:r>
    </w:p>
    <w:p>
      <w:pPr>
        <w:numPr>
          <w:ilvl w:val="0"/>
          <w:numId w:val="14"/>
        </w:numPr>
        <w:spacing w:line="312" w:lineRule="auto"/>
        <w:rPr>
          <w:rFonts w:ascii="宋体" w:hAnsi="宋体" w:eastAsia="宋体" w:cs="宋体"/>
          <w:szCs w:val="21"/>
        </w:rPr>
      </w:pPr>
      <w:r>
        <w:rPr>
          <w:rFonts w:hint="eastAsia" w:ascii="宋体" w:hAnsi="宋体" w:eastAsia="宋体" w:cs="宋体"/>
          <w:szCs w:val="21"/>
        </w:rPr>
        <w:t>依据氨滤液与草酸滤液中稀土总量（REO）小于0.1%（大于需要进行滤液补差或另选用量等条件）、着重考察灼烧后氧化稀土中非稀土杂质小于测定要求等指标,从而最终确定氨水与草酸的用量。</w:t>
      </w:r>
    </w:p>
    <w:p>
      <w:pPr>
        <w:spacing w:beforeLines="50" w:afterLines="50" w:line="312" w:lineRule="auto"/>
        <w:rPr>
          <w:rFonts w:ascii="黑体" w:hAnsi="黑体" w:eastAsia="黑体" w:cs="Times New Roman"/>
          <w:kern w:val="0"/>
          <w:szCs w:val="22"/>
        </w:rPr>
      </w:pPr>
      <w:r>
        <w:rPr>
          <w:rFonts w:hint="eastAsia" w:ascii="黑体" w:hAnsi="黑体" w:eastAsia="黑体" w:cs="Times New Roman"/>
          <w:kern w:val="0"/>
          <w:szCs w:val="22"/>
        </w:rPr>
        <w:t>2.5草酸沉淀PH值、陈化时间及灼烧温度、灼烧时间的选取</w:t>
      </w:r>
    </w:p>
    <w:p>
      <w:pPr>
        <w:spacing w:beforeLines="50" w:afterLines="50" w:line="312" w:lineRule="auto"/>
        <w:ind w:firstLine="420" w:firstLineChars="200"/>
        <w:rPr>
          <w:rFonts w:ascii="宋体" w:hAnsi="宋体" w:cs="宋体"/>
          <w:kern w:val="0"/>
          <w:szCs w:val="20"/>
        </w:rPr>
      </w:pPr>
      <w:r>
        <w:rPr>
          <w:rFonts w:hint="eastAsia" w:ascii="宋体" w:hAnsi="宋体" w:cs="宋体"/>
          <w:kern w:val="0"/>
          <w:szCs w:val="20"/>
        </w:rPr>
        <w:t>草酸盐重量法测定稀土总量是经典化学分析方法，其中草酸沉淀PH值、陈化时间及灼烧温度、灼烧时间目前采用此方法测定稀土总量的标准基本变化不大。为了节省试验成本与时间，在结合起草组讨论后决定本方法直接参考了国家标准GB/T14635、GB/T26416.1中规定的草酸沉淀PH值、陈化时间及灼烧温度、灼烧时间，同时相关条件试验也侧面验证了其可行性。</w:t>
      </w:r>
    </w:p>
    <w:p>
      <w:pPr>
        <w:spacing w:beforeLines="50" w:afterLines="50" w:line="312" w:lineRule="auto"/>
        <w:rPr>
          <w:rFonts w:ascii="黑体" w:hAnsi="黑体" w:eastAsia="黑体" w:cs="Times New Roman"/>
          <w:kern w:val="0"/>
          <w:szCs w:val="22"/>
        </w:rPr>
      </w:pPr>
      <w:r>
        <w:rPr>
          <w:rFonts w:hint="eastAsia" w:ascii="黑体" w:hAnsi="黑体" w:eastAsia="黑体" w:cs="Times New Roman"/>
          <w:kern w:val="0"/>
          <w:szCs w:val="22"/>
        </w:rPr>
        <w:t>2.6非稀土杂质干扰与准确度试验</w:t>
      </w:r>
    </w:p>
    <w:p>
      <w:pPr>
        <w:numPr>
          <w:ilvl w:val="0"/>
          <w:numId w:val="15"/>
        </w:numPr>
        <w:spacing w:line="312" w:lineRule="auto"/>
        <w:rPr>
          <w:rFonts w:ascii="宋体" w:hAnsi="宋体" w:eastAsia="宋体" w:cs="宋体"/>
          <w:kern w:val="0"/>
          <w:szCs w:val="21"/>
        </w:rPr>
      </w:pPr>
      <w:r>
        <w:rPr>
          <w:rFonts w:hint="eastAsia" w:ascii="宋体" w:hAnsi="宋体" w:eastAsia="宋体" w:cs="宋体"/>
          <w:kern w:val="0"/>
          <w:szCs w:val="21"/>
        </w:rPr>
        <w:t>根据各稀土火法冶炼回收料中可能出现非稀土杂质的最高含量，按稀土总量（REO）5%（本方法设计测定下限）模拟样品进行了非稀土杂质单元素与合量干扰试验；</w:t>
      </w:r>
    </w:p>
    <w:p>
      <w:pPr>
        <w:numPr>
          <w:ilvl w:val="0"/>
          <w:numId w:val="15"/>
        </w:numPr>
        <w:spacing w:line="312" w:lineRule="auto"/>
        <w:rPr>
          <w:rFonts w:ascii="宋体" w:hAnsi="宋体" w:eastAsia="宋体" w:cs="宋体"/>
          <w:kern w:val="0"/>
          <w:szCs w:val="21"/>
        </w:rPr>
      </w:pPr>
      <w:r>
        <w:rPr>
          <w:rFonts w:hint="eastAsia" w:ascii="宋体" w:hAnsi="宋体" w:eastAsia="宋体" w:cs="宋体"/>
          <w:kern w:val="0"/>
          <w:szCs w:val="21"/>
        </w:rPr>
        <w:t>采用统一样品（20PrNd01FD、20TbDy01FH、20LaF01FH、20DyFe01DF）参照稀土配分比例，按稀土总量低、中、高进行实际样品加标准确度试验；</w:t>
      </w:r>
    </w:p>
    <w:p>
      <w:pPr>
        <w:numPr>
          <w:ilvl w:val="0"/>
          <w:numId w:val="15"/>
        </w:numPr>
        <w:spacing w:line="312" w:lineRule="auto"/>
        <w:rPr>
          <w:rFonts w:ascii="宋体" w:hAnsi="宋体" w:eastAsia="宋体" w:cs="宋体"/>
          <w:kern w:val="0"/>
          <w:szCs w:val="21"/>
        </w:rPr>
      </w:pPr>
      <w:r>
        <w:rPr>
          <w:rFonts w:hint="eastAsia" w:ascii="宋体" w:hAnsi="宋体" w:eastAsia="宋体" w:cs="宋体"/>
          <w:kern w:val="0"/>
          <w:szCs w:val="21"/>
        </w:rPr>
        <w:t>均依据回收率指标来评价非稀土杂质干扰情况与方法的准确程度。</w:t>
      </w:r>
    </w:p>
    <w:p>
      <w:pPr>
        <w:spacing w:beforeLines="50" w:afterLines="50" w:line="312" w:lineRule="auto"/>
        <w:rPr>
          <w:rFonts w:ascii="黑体" w:hAnsi="黑体" w:eastAsia="黑体" w:cs="Times New Roman"/>
          <w:kern w:val="0"/>
          <w:szCs w:val="22"/>
        </w:rPr>
      </w:pPr>
      <w:r>
        <w:rPr>
          <w:rFonts w:hint="eastAsia" w:ascii="黑体" w:hAnsi="黑体" w:eastAsia="黑体" w:cs="Times New Roman"/>
          <w:kern w:val="0"/>
          <w:szCs w:val="22"/>
        </w:rPr>
        <w:t>2.7精密度数据的确定依据</w:t>
      </w:r>
    </w:p>
    <w:p>
      <w:pPr>
        <w:spacing w:beforeLines="50" w:line="312" w:lineRule="auto"/>
        <w:rPr>
          <w:rFonts w:ascii="黑体" w:hAnsi="黑体" w:eastAsia="黑体" w:cs="Times New Roman"/>
          <w:kern w:val="0"/>
          <w:szCs w:val="22"/>
        </w:rPr>
      </w:pPr>
      <w:r>
        <w:rPr>
          <w:rFonts w:hint="eastAsia" w:cs="宋体"/>
          <w:position w:val="-4"/>
          <w:szCs w:val="21"/>
        </w:rPr>
        <w:t>以下及附件中各实验室编号是根据本项目任务落实顺序依次按实验室1、2、3、4、5、6、7序号而编。</w:t>
      </w:r>
    </w:p>
    <w:p>
      <w:pPr>
        <w:pStyle w:val="12"/>
        <w:spacing w:line="312"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szCs w:val="21"/>
        </w:rPr>
        <w:t>1）精密度数据</w:t>
      </w:r>
      <w:r>
        <w:rPr>
          <w:rFonts w:hint="eastAsia" w:asciiTheme="minorEastAsia" w:hAnsiTheme="minorEastAsia" w:eastAsiaTheme="minorEastAsia" w:cstheme="minorEastAsia"/>
        </w:rPr>
        <w:t>是在2021年由7个试验室对稀土火法冶炼回收料统一样品稀土总量（REO）的7个不同水平进行共同试验确定的。每个实验室对每个水平的稀土总量（REO）重复性条件下独立测定11次，首先对每个试验室内各单元数据进行了</w:t>
      </w:r>
      <w:r>
        <w:rPr>
          <w:rFonts w:hint="eastAsia" w:cs="宋体"/>
          <w:szCs w:val="21"/>
        </w:rPr>
        <w:t>格拉布斯（</w:t>
      </w:r>
      <w:r>
        <w:rPr>
          <w:rFonts w:ascii="Times New Roman" w:hAnsi="Times New Roman"/>
          <w:szCs w:val="21"/>
        </w:rPr>
        <w:t>Grubbs</w:t>
      </w:r>
      <w:r>
        <w:rPr>
          <w:rFonts w:hint="eastAsia" w:cs="宋体"/>
          <w:szCs w:val="21"/>
        </w:rPr>
        <w:t>）检验，除实验室3水平1最大值歧离外其它实验室内数据均为正常，对实验室3水平1数据进行了保留。</w:t>
      </w:r>
    </w:p>
    <w:p>
      <w:pPr>
        <w:pStyle w:val="12"/>
        <w:spacing w:line="312"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2）各原始数据列于附件表 A.1、A.1（续）中，以质量百分数[%（m/m）]表示，没有任何一个数据有特殊标记。</w:t>
      </w:r>
    </w:p>
    <w:p>
      <w:pPr>
        <w:pStyle w:val="12"/>
        <w:spacing w:line="312" w:lineRule="auto"/>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color w:val="auto"/>
        </w:rPr>
        <w:t>各实验室单元平均值按公式（1）计算分别列于附件表A.2中，单位为[%（m/m）]。</w:t>
      </w:r>
    </w:p>
    <w:p>
      <w:pPr>
        <w:pStyle w:val="12"/>
        <w:spacing w:line="312" w:lineRule="auto"/>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position w:val="-28"/>
        </w:rPr>
        <w:object>
          <v:shape id="_x0000_i1025" o:spt="75" type="#_x0000_t75" style="height:31.5pt;width:58.5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asciiTheme="minorEastAsia" w:hAnsiTheme="minorEastAsia" w:eastAsiaTheme="minorEastAsia" w:cstheme="minorEastAsia"/>
          <w:color w:val="auto"/>
        </w:rPr>
        <w:t>..............................</w:t>
      </w:r>
      <w:r>
        <w:rPr>
          <w:rFonts w:hint="eastAsia" w:eastAsiaTheme="minorEastAsia"/>
          <w:color w:val="auto"/>
          <w:szCs w:val="21"/>
        </w:rPr>
        <w:t>.....</w:t>
      </w:r>
      <w:r>
        <w:rPr>
          <w:rFonts w:hint="eastAsia" w:asciiTheme="minorEastAsia" w:hAnsiTheme="minorEastAsia" w:eastAsiaTheme="minorEastAsia" w:cstheme="minorEastAsia"/>
          <w:color w:val="auto"/>
        </w:rPr>
        <w:t>（1）</w:t>
      </w:r>
    </w:p>
    <w:p>
      <w:pPr>
        <w:pStyle w:val="12"/>
        <w:spacing w:beforeLines="50" w:line="312" w:lineRule="auto"/>
        <w:ind w:firstLine="0" w:firstLineChars="0"/>
        <w:rPr>
          <w:rFonts w:cs="宋体"/>
          <w:color w:val="auto"/>
          <w:szCs w:val="21"/>
        </w:rPr>
      </w:pPr>
      <w:r>
        <w:rPr>
          <w:rFonts w:hint="eastAsia" w:cs="宋体"/>
          <w:color w:val="auto"/>
          <w:szCs w:val="21"/>
        </w:rPr>
        <w:t xml:space="preserve">4）各实验室单元标准差按（2）计算各列于表 </w:t>
      </w:r>
      <w:r>
        <w:rPr>
          <w:rFonts w:hint="eastAsia" w:asciiTheme="minorEastAsia" w:hAnsiTheme="minorEastAsia" w:eastAsiaTheme="minorEastAsia" w:cstheme="minorEastAsia"/>
          <w:color w:val="auto"/>
        </w:rPr>
        <w:t>A.3中，单位为</w:t>
      </w:r>
      <w:r>
        <w:rPr>
          <w:rFonts w:hint="eastAsia" w:cs="宋体"/>
          <w:color w:val="auto"/>
        </w:rPr>
        <w:t>[%（m/m）]</w:t>
      </w:r>
      <w:r>
        <w:rPr>
          <w:rFonts w:hint="eastAsia" w:asciiTheme="minorEastAsia" w:hAnsiTheme="minorEastAsia" w:eastAsiaTheme="minorEastAsia" w:cstheme="minorEastAsia"/>
          <w:color w:val="auto"/>
        </w:rPr>
        <w:t>。</w:t>
      </w:r>
    </w:p>
    <w:p>
      <w:pPr>
        <w:pStyle w:val="12"/>
        <w:spacing w:line="360" w:lineRule="auto"/>
        <w:ind w:firstLine="2100" w:firstLineChars="1000"/>
        <w:rPr>
          <w:rFonts w:cs="宋体" w:eastAsiaTheme="minorEastAsia"/>
          <w:szCs w:val="21"/>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position w:val="-30"/>
        </w:rPr>
        <w:object>
          <v:shape id="_x0000_i1026" o:spt="75" type="#_x0000_t75" style="height:28.5pt;width:84.75pt;" o:ole="t" filled="f" o:preferrelative="t" stroked="f" coordsize="21600,21600">
            <v:path/>
            <v:fill on="f" focussize="0,0"/>
            <v:stroke on="f" joinstyle="miter"/>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eastAsiaTheme="minorEastAsia"/>
          <w:szCs w:val="21"/>
        </w:rPr>
        <w:t>.............................</w:t>
      </w:r>
      <w:r>
        <w:rPr>
          <w:rFonts w:hint="eastAsia" w:eastAsiaTheme="minorEastAsia"/>
          <w:szCs w:val="21"/>
          <w:vertAlign w:val="subscript"/>
        </w:rPr>
        <w:t xml:space="preserve"> </w:t>
      </w:r>
      <w:r>
        <w:rPr>
          <w:rFonts w:hint="eastAsia" w:eastAsiaTheme="minorEastAsia"/>
          <w:szCs w:val="21"/>
        </w:rPr>
        <w:t>（2）</w:t>
      </w:r>
    </w:p>
    <w:p>
      <w:pPr>
        <w:pStyle w:val="12"/>
        <w:numPr>
          <w:ilvl w:val="0"/>
          <w:numId w:val="13"/>
        </w:numPr>
        <w:spacing w:beforeLines="50" w:line="312" w:lineRule="auto"/>
        <w:ind w:firstLine="0" w:firstLineChars="0"/>
        <w:rPr>
          <w:rFonts w:cs="宋体"/>
          <w:szCs w:val="21"/>
        </w:rPr>
      </w:pPr>
      <w:r>
        <w:rPr>
          <w:rFonts w:hint="eastAsia" w:cs="宋体"/>
          <w:szCs w:val="21"/>
        </w:rPr>
        <w:t>一致性和离群值的检查</w:t>
      </w:r>
    </w:p>
    <w:p>
      <w:pPr>
        <w:pStyle w:val="12"/>
        <w:spacing w:line="360" w:lineRule="auto"/>
        <w:ind w:firstLine="0" w:firstLineChars="0"/>
        <w:rPr>
          <w:rFonts w:cs="宋体"/>
          <w:szCs w:val="21"/>
        </w:rPr>
      </w:pPr>
      <w:r>
        <w:rPr>
          <w:rFonts w:hint="eastAsia" w:cs="宋体"/>
          <w:szCs w:val="21"/>
        </w:rPr>
        <w:t>A、柯克伦（</w:t>
      </w:r>
      <w:r>
        <w:rPr>
          <w:rFonts w:ascii="Times New Roman" w:hAnsi="Times New Roman"/>
          <w:szCs w:val="21"/>
        </w:rPr>
        <w:t>Cochran</w:t>
      </w:r>
      <w:r>
        <w:rPr>
          <w:rFonts w:hint="eastAsia" w:cs="宋体"/>
          <w:szCs w:val="21"/>
        </w:rPr>
        <w:t>）检验</w:t>
      </w:r>
    </w:p>
    <w:p>
      <w:pPr>
        <w:pStyle w:val="12"/>
        <w:spacing w:line="312" w:lineRule="auto"/>
        <w:ind w:firstLine="420"/>
        <w:rPr>
          <w:rFonts w:cs="宋体" w:eastAsiaTheme="minorEastAsia"/>
          <w:szCs w:val="21"/>
        </w:rPr>
      </w:pPr>
      <w:r>
        <w:rPr>
          <w:rFonts w:hint="eastAsia" w:cs="宋体"/>
          <w:szCs w:val="21"/>
        </w:rPr>
        <w:t>柯克伦检验统计量 C 按公式（3）计算，检验（仅对标准差中的最大值检验即为单侧离群值检验；如果检验统计量小于或等于5%临界值，则接受被检验的项目为正确值；如果检验统计量大于5%临界值，但小于或等于1%临界值，则称被检验的项目称为歧离值，且用单星号“</w:t>
      </w:r>
      <w:r>
        <w:rPr>
          <w:rFonts w:hint="eastAsia" w:cs="宋体"/>
          <w:szCs w:val="21"/>
          <w:vertAlign w:val="superscript"/>
        </w:rPr>
        <w:t>*</w:t>
      </w:r>
      <w:r>
        <w:rPr>
          <w:rFonts w:hint="eastAsia" w:cs="宋体"/>
          <w:szCs w:val="21"/>
        </w:rPr>
        <w:t>”标出；如果检验统计量大于1%临界值，则被检验的项目称为统计离群值，且用双星号“</w:t>
      </w:r>
      <w:r>
        <w:rPr>
          <w:rFonts w:hint="eastAsia" w:cs="宋体"/>
          <w:szCs w:val="21"/>
          <w:vertAlign w:val="superscript"/>
        </w:rPr>
        <w:t>**</w:t>
      </w:r>
      <w:r>
        <w:rPr>
          <w:rFonts w:hint="eastAsia" w:cs="宋体"/>
          <w:szCs w:val="21"/>
        </w:rPr>
        <w:t>”标出。）结论列于附件表</w:t>
      </w:r>
      <w:r>
        <w:rPr>
          <w:rFonts w:hint="eastAsia" w:asciiTheme="minorEastAsia" w:hAnsiTheme="minorEastAsia" w:eastAsiaTheme="minorEastAsia" w:cstheme="minorEastAsia"/>
        </w:rPr>
        <w:t>A.4中。</w:t>
      </w:r>
    </w:p>
    <w:p>
      <w:pPr>
        <w:pStyle w:val="12"/>
        <w:spacing w:line="312" w:lineRule="auto"/>
        <w:ind w:firstLine="1890" w:firstLineChars="900"/>
        <w:rPr>
          <w:rFonts w:eastAsiaTheme="minorEastAsia"/>
          <w:szCs w:val="21"/>
        </w:rPr>
      </w:pPr>
      <w:r>
        <w:rPr>
          <w:rFonts w:hint="eastAsia" w:asciiTheme="minorEastAsia" w:hAnsiTheme="minorEastAsia" w:eastAsiaTheme="minorEastAsia" w:cstheme="minorEastAsia"/>
          <w:position w:val="-60"/>
        </w:rPr>
        <w:t xml:space="preserve"> </w:t>
      </w:r>
      <w:r>
        <w:rPr>
          <w:rFonts w:asciiTheme="minorEastAsia" w:hAnsiTheme="minorEastAsia" w:eastAsiaTheme="minorEastAsia" w:cstheme="minorEastAsia"/>
          <w:position w:val="-60"/>
        </w:rPr>
        <w:object>
          <v:shape id="_x0000_i1027" o:spt="75" type="#_x0000_t75" style="height:45pt;width:45pt;" o:ole="t" filled="f" o:preferrelative="t" stroked="f" coordsize="21600,21600">
            <v:path/>
            <v:fill on="f" focussize="0,0"/>
            <v:stroke on="f" joinstyle="miter"/>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asciiTheme="minorEastAsia" w:hAnsiTheme="minorEastAsia" w:eastAsiaTheme="minorEastAsia" w:cstheme="minorEastAsia"/>
          <w:position w:val="-60"/>
        </w:rPr>
        <w:t xml:space="preserve"> </w:t>
      </w:r>
      <w:r>
        <w:rPr>
          <w:rFonts w:hint="eastAsia" w:eastAsiaTheme="minorEastAsia"/>
          <w:szCs w:val="21"/>
        </w:rPr>
        <w:t xml:space="preserve">....................................（3）     </w:t>
      </w:r>
    </w:p>
    <w:p>
      <w:pPr>
        <w:pStyle w:val="12"/>
        <w:spacing w:beforeLines="50" w:line="312" w:lineRule="auto"/>
        <w:ind w:firstLine="0" w:firstLineChars="0"/>
        <w:rPr>
          <w:rFonts w:cs="宋体"/>
          <w:szCs w:val="21"/>
        </w:rPr>
      </w:pPr>
      <w:r>
        <w:rPr>
          <w:rFonts w:hint="eastAsia" w:cs="宋体"/>
          <w:szCs w:val="21"/>
        </w:rPr>
        <w:t>B、格拉布斯（</w:t>
      </w:r>
      <w:r>
        <w:rPr>
          <w:rFonts w:ascii="Times New Roman" w:hAnsi="Times New Roman"/>
          <w:szCs w:val="21"/>
        </w:rPr>
        <w:t>Grubbs</w:t>
      </w:r>
      <w:r>
        <w:rPr>
          <w:rFonts w:hint="eastAsia" w:cs="宋体"/>
          <w:szCs w:val="21"/>
        </w:rPr>
        <w:t>）检验</w:t>
      </w:r>
    </w:p>
    <w:p>
      <w:pPr>
        <w:pStyle w:val="12"/>
        <w:spacing w:afterLines="50" w:line="312" w:lineRule="auto"/>
        <w:ind w:firstLine="420" w:firstLineChars="0"/>
        <w:rPr>
          <w:rFonts w:cs="宋体"/>
          <w:szCs w:val="21"/>
        </w:rPr>
      </w:pPr>
      <w:r>
        <w:rPr>
          <w:rFonts w:hint="eastAsia" w:cs="宋体"/>
          <w:szCs w:val="21"/>
        </w:rPr>
        <w:t>格拉布斯统计量 G</w:t>
      </w:r>
      <w:r>
        <w:rPr>
          <w:rFonts w:hint="eastAsia" w:cs="宋体"/>
          <w:i/>
          <w:iCs/>
          <w:szCs w:val="21"/>
          <w:vertAlign w:val="subscript"/>
        </w:rPr>
        <w:t>p</w:t>
      </w:r>
      <w:r>
        <w:rPr>
          <w:rFonts w:hint="eastAsia" w:cs="宋体"/>
          <w:szCs w:val="21"/>
          <w:vertAlign w:val="subscript"/>
        </w:rPr>
        <w:t xml:space="preserve"> </w:t>
      </w:r>
      <w:r>
        <w:rPr>
          <w:rFonts w:hint="eastAsia" w:cs="宋体"/>
          <w:szCs w:val="21"/>
        </w:rPr>
        <w:t>与 G</w:t>
      </w:r>
      <w:r>
        <w:rPr>
          <w:rFonts w:hint="eastAsia" w:cs="宋体"/>
          <w:szCs w:val="21"/>
          <w:vertAlign w:val="subscript"/>
        </w:rPr>
        <w:t xml:space="preserve">1 </w:t>
      </w:r>
      <w:r>
        <w:rPr>
          <w:rFonts w:hint="eastAsia" w:cs="宋体"/>
          <w:szCs w:val="21"/>
        </w:rPr>
        <w:t>按公式（4）与（5）计算，检验（对实验室间单元平均值中的一个最大值与一个最小值检验即为一个离群观测值检验；如果检验统计量小于或等于5%临界值，则接受被检验的项目为正确值；如果检验统计量大于5%临界值，但小于或等于1%临界值，则称被检验的项目称为歧离值，且用单星号“</w:t>
      </w:r>
      <w:r>
        <w:rPr>
          <w:rFonts w:hint="eastAsia" w:cs="宋体"/>
          <w:szCs w:val="21"/>
          <w:vertAlign w:val="superscript"/>
        </w:rPr>
        <w:t>*</w:t>
      </w:r>
      <w:r>
        <w:rPr>
          <w:rFonts w:hint="eastAsia" w:cs="宋体"/>
          <w:szCs w:val="21"/>
        </w:rPr>
        <w:t>”标出；如果检验统计量大于1%临界值，则被检验的项目称为统计离群值，且用双星号“</w:t>
      </w:r>
      <w:r>
        <w:rPr>
          <w:rFonts w:hint="eastAsia" w:cs="宋体"/>
          <w:szCs w:val="21"/>
          <w:vertAlign w:val="superscript"/>
        </w:rPr>
        <w:t>**</w:t>
      </w:r>
      <w:r>
        <w:rPr>
          <w:rFonts w:hint="eastAsia" w:cs="宋体"/>
          <w:szCs w:val="21"/>
        </w:rPr>
        <w:t>”标出。）结论列于附件表</w:t>
      </w:r>
      <w:r>
        <w:rPr>
          <w:rFonts w:hint="eastAsia" w:asciiTheme="minorEastAsia" w:hAnsiTheme="minorEastAsia" w:eastAsiaTheme="minorEastAsia" w:cstheme="minorEastAsia"/>
        </w:rPr>
        <w:t>A.5中。</w:t>
      </w:r>
    </w:p>
    <w:p>
      <w:pPr>
        <w:pStyle w:val="12"/>
        <w:ind w:firstLine="1890" w:firstLineChars="900"/>
        <w:rPr>
          <w:rFonts w:cs="宋体"/>
          <w:szCs w:val="21"/>
        </w:rPr>
      </w:pPr>
      <w:r>
        <w:rPr>
          <w:rFonts w:hint="eastAsia" w:cs="宋体"/>
          <w:szCs w:val="21"/>
        </w:rPr>
        <w:t xml:space="preserve"> </w:t>
      </w:r>
      <w:r>
        <w:rPr>
          <w:rFonts w:hint="eastAsia" w:cs="宋体"/>
          <w:position w:val="-14"/>
          <w:szCs w:val="21"/>
        </w:rPr>
        <w:object>
          <v:shape id="_x0000_i1028" o:spt="75" type="#_x0000_t75" style="height:19.5pt;width:87.75pt;" o:ole="t" filled="f" o:preferrelative="t" stroked="f" coordsize="21600,21600">
            <v:path/>
            <v:fill on="f" focussize="0,0"/>
            <v:stroke on="f" joinstyle="miter"/>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szCs w:val="21"/>
        </w:rPr>
        <w:t>.............................</w:t>
      </w:r>
      <w:r>
        <w:rPr>
          <w:rFonts w:hint="eastAsia" w:cs="宋体"/>
          <w:szCs w:val="21"/>
        </w:rPr>
        <w:t>（4）</w:t>
      </w:r>
    </w:p>
    <w:p>
      <w:pPr>
        <w:pStyle w:val="12"/>
        <w:ind w:firstLine="420" w:firstLineChars="0"/>
        <w:rPr>
          <w:rFonts w:cs="宋体"/>
          <w:szCs w:val="21"/>
        </w:rPr>
      </w:pPr>
      <w:r>
        <w:rPr>
          <w:rFonts w:hint="eastAsia" w:cs="宋体"/>
          <w:szCs w:val="21"/>
        </w:rPr>
        <w:t xml:space="preserve">               </w:t>
      </w:r>
      <w:r>
        <w:rPr>
          <w:rFonts w:hint="eastAsia" w:cs="宋体"/>
          <w:position w:val="-14"/>
          <w:szCs w:val="21"/>
        </w:rPr>
        <w:object>
          <v:shape id="_x0000_i1029" o:spt="75" type="#_x0000_t75" style="height:19.5pt;width:82.5pt;" o:ole="t" filled="f" o:preferrelative="t" stroked="f" coordsize="21600,21600">
            <v:path/>
            <v:fill on="f" focussize="0,0"/>
            <v:stroke on="f" joinstyle="miter"/>
            <v:imagedata r:id="rId22" o:title=""/>
            <o:lock v:ext="edit" aspectratio="t"/>
            <w10:wrap type="none"/>
            <w10:anchorlock/>
          </v:shape>
          <o:OLEObject Type="Embed" ProgID="Equation.KSEE3" ShapeID="_x0000_i1029" DrawAspect="Content" ObjectID="_1468075729" r:id="rId21">
            <o:LockedField>false</o:LockedField>
          </o:OLEObject>
        </w:object>
      </w:r>
      <w:r>
        <w:rPr>
          <w:rFonts w:hint="eastAsia" w:cs="宋体"/>
          <w:szCs w:val="21"/>
        </w:rPr>
        <w:t>...........................</w:t>
      </w:r>
      <w:r>
        <w:rPr>
          <w:rFonts w:hint="eastAsia"/>
          <w:szCs w:val="21"/>
        </w:rPr>
        <w:t>.</w:t>
      </w:r>
      <w:r>
        <w:rPr>
          <w:rFonts w:hint="eastAsia" w:cs="宋体"/>
          <w:szCs w:val="21"/>
        </w:rPr>
        <w:t>.</w:t>
      </w:r>
      <w:r>
        <w:rPr>
          <w:rFonts w:hint="eastAsia"/>
          <w:szCs w:val="21"/>
        </w:rPr>
        <w:t>.</w:t>
      </w:r>
      <w:r>
        <w:rPr>
          <w:rFonts w:hint="eastAsia" w:cs="宋体"/>
          <w:szCs w:val="21"/>
        </w:rPr>
        <w:t>（5）</w:t>
      </w:r>
    </w:p>
    <w:p>
      <w:pPr>
        <w:pStyle w:val="12"/>
        <w:spacing w:line="312" w:lineRule="auto"/>
        <w:ind w:firstLine="0" w:firstLineChars="0"/>
        <w:rPr>
          <w:rFonts w:cs="宋体"/>
          <w:szCs w:val="21"/>
        </w:rPr>
      </w:pPr>
      <w:r>
        <w:rPr>
          <w:rFonts w:hint="eastAsia" w:cs="宋体"/>
          <w:szCs w:val="21"/>
        </w:rPr>
        <w:t xml:space="preserve"> 6）</w:t>
      </w:r>
      <w:r>
        <w:rPr>
          <w:rFonts w:hint="eastAsia" w:cs="宋体"/>
          <w:position w:val="-10"/>
          <w:szCs w:val="21"/>
        </w:rPr>
        <w:object>
          <v:shape id="_x0000_i1030" o:spt="75" type="#_x0000_t75" style="height:18pt;width:12.75pt;" o:ole="t" filled="f" o:preferrelative="t" stroked="f" coordsize="21600,21600">
            <v:path/>
            <v:fill on="f" focussize="0,0"/>
            <v:stroke on="f" joinstyle="miter"/>
            <v:imagedata r:id="rId24" o:title=""/>
            <o:lock v:ext="edit" aspectratio="t"/>
            <w10:wrap type="none"/>
            <w10:anchorlock/>
          </v:shape>
          <o:OLEObject Type="Embed" ProgID="Equation.KSEE3" ShapeID="_x0000_i1030" DrawAspect="Content" ObjectID="_1468075730" r:id="rId23">
            <o:LockedField>false</o:LockedField>
          </o:OLEObject>
        </w:object>
      </w:r>
      <w:r>
        <w:rPr>
          <w:rFonts w:hint="eastAsia" w:cs="宋体"/>
          <w:szCs w:val="21"/>
        </w:rPr>
        <w:t>,</w:t>
      </w:r>
      <w:r>
        <w:rPr>
          <w:rFonts w:hint="eastAsia" w:cs="宋体"/>
          <w:position w:val="-10"/>
          <w:szCs w:val="21"/>
        </w:rPr>
        <w:object>
          <v:shape id="_x0000_i1031" o:spt="75" type="#_x0000_t75" style="height:18pt;width:13.5pt;" o:ole="t" filled="f" o:preferrelative="t" stroked="f" coordsize="21600,21600">
            <v:path/>
            <v:fill on="f" focussize="0,0"/>
            <v:stroke on="f" joinstyle="miter"/>
            <v:imagedata r:id="rId26" o:title=""/>
            <o:lock v:ext="edit" aspectratio="t"/>
            <w10:wrap type="none"/>
            <w10:anchorlock/>
          </v:shape>
          <o:OLEObject Type="Embed" ProgID="Equation.KSEE3" ShapeID="_x0000_i1031" DrawAspect="Content" ObjectID="_1468075731" r:id="rId25">
            <o:LockedField>false</o:LockedField>
          </o:OLEObject>
        </w:object>
      </w:r>
      <w:r>
        <w:rPr>
          <w:rFonts w:hint="eastAsia" w:cs="宋体"/>
          <w:szCs w:val="21"/>
        </w:rPr>
        <w:t>,</w:t>
      </w:r>
      <w:r>
        <w:rPr>
          <w:rFonts w:hint="eastAsia" w:cs="宋体"/>
          <w:position w:val="-4"/>
          <w:szCs w:val="21"/>
        </w:rPr>
        <w:object>
          <v:shape id="_x0000_i1032" o:spt="75" type="#_x0000_t75" style="height:9.75pt;width:9pt;" o:ole="t" filled="f" o:preferrelative="t" stroked="f" coordsize="21600,21600">
            <v:path/>
            <v:fill on="f" focussize="0,0"/>
            <v:stroke on="f" joinstyle="miter"/>
            <v:imagedata r:id="rId28" o:title=""/>
            <o:lock v:ext="edit" aspectratio="t"/>
            <w10:wrap type="none"/>
            <w10:anchorlock/>
          </v:shape>
          <o:OLEObject Type="Embed" ProgID="Equation.KSEE3" ShapeID="_x0000_i1032" DrawAspect="Content" ObjectID="_1468075732" r:id="rId27">
            <o:LockedField>false</o:LockedField>
          </o:OLEObject>
        </w:object>
      </w:r>
      <w:r>
        <w:rPr>
          <w:rFonts w:hint="eastAsia" w:cs="宋体"/>
          <w:szCs w:val="21"/>
        </w:rPr>
        <w:t>与</w:t>
      </w:r>
      <w:r>
        <w:rPr>
          <w:rFonts w:hint="eastAsia" w:cs="宋体"/>
          <w:position w:val="-4"/>
          <w:szCs w:val="21"/>
        </w:rPr>
        <w:object>
          <v:shape id="_x0000_i1033" o:spt="75" type="#_x0000_t75" style="height:12.75pt;width:12pt;" o:ole="t" filled="f" o:preferrelative="t" stroked="f" coordsize="21600,21600">
            <v:path/>
            <v:fill on="f" focussize="0,0"/>
            <v:stroke on="f" joinstyle="miter"/>
            <v:imagedata r:id="rId30" o:title=""/>
            <o:lock v:ext="edit" aspectratio="t"/>
            <w10:wrap type="none"/>
            <w10:anchorlock/>
          </v:shape>
          <o:OLEObject Type="Embed" ProgID="Equation.KSEE3" ShapeID="_x0000_i1033" DrawAspect="Content" ObjectID="_1468075733" r:id="rId29">
            <o:LockedField>false</o:LockedField>
          </o:OLEObject>
        </w:object>
      </w:r>
      <w:r>
        <w:rPr>
          <w:rFonts w:hint="eastAsia" w:cs="宋体"/>
          <w:szCs w:val="21"/>
        </w:rPr>
        <w:t>的计算</w:t>
      </w:r>
    </w:p>
    <w:p>
      <w:pPr>
        <w:pStyle w:val="12"/>
        <w:spacing w:line="360" w:lineRule="exact"/>
        <w:ind w:firstLine="420" w:firstLineChars="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各水平</w:t>
      </w:r>
      <w:r>
        <w:rPr>
          <w:rFonts w:hint="eastAsia" w:cs="宋体"/>
          <w:position w:val="-10"/>
          <w:szCs w:val="21"/>
        </w:rPr>
        <w:object>
          <v:shape id="_x0000_i1034" o:spt="75" type="#_x0000_t75" style="height:18pt;width:12.75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31">
            <o:LockedField>false</o:LockedField>
          </o:OLEObject>
        </w:object>
      </w:r>
      <w:r>
        <w:rPr>
          <w:rFonts w:hint="eastAsia" w:cs="宋体"/>
          <w:szCs w:val="21"/>
        </w:rPr>
        <w:t>,</w:t>
      </w:r>
      <w:r>
        <w:rPr>
          <w:rFonts w:hint="eastAsia" w:cs="宋体"/>
          <w:position w:val="-10"/>
          <w:szCs w:val="21"/>
        </w:rPr>
        <w:object>
          <v:shape id="_x0000_i1035" o:spt="75" type="#_x0000_t75" style="height:18pt;width:13.5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32">
            <o:LockedField>false</o:LockedField>
          </o:OLEObject>
        </w:object>
      </w:r>
      <w:r>
        <w:rPr>
          <w:rFonts w:hint="eastAsia" w:cs="宋体"/>
          <w:szCs w:val="21"/>
        </w:rPr>
        <w:t>,</w:t>
      </w:r>
      <w:r>
        <w:rPr>
          <w:rFonts w:hint="eastAsia" w:cs="宋体"/>
          <w:position w:val="-4"/>
          <w:szCs w:val="21"/>
        </w:rPr>
        <w:object>
          <v:shape id="_x0000_i1036" o:spt="75" type="#_x0000_t75" style="height:9.75pt;width:9pt;" o:ole="t" filled="f" o:preferrelative="t" stroked="f" coordsize="21600,21600">
            <v:path/>
            <v:fill on="f" focussize="0,0"/>
            <v:stroke on="f" joinstyle="miter"/>
            <v:imagedata r:id="rId28" o:title=""/>
            <o:lock v:ext="edit" aspectratio="t"/>
            <w10:wrap type="none"/>
            <w10:anchorlock/>
          </v:shape>
          <o:OLEObject Type="Embed" ProgID="Equation.KSEE3" ShapeID="_x0000_i1036" DrawAspect="Content" ObjectID="_1468075736" r:id="rId33">
            <o:LockedField>false</o:LockedField>
          </o:OLEObject>
        </w:object>
      </w:r>
      <w:r>
        <w:rPr>
          <w:rFonts w:hint="eastAsia" w:cs="宋体"/>
          <w:szCs w:val="21"/>
        </w:rPr>
        <w:t>与</w:t>
      </w:r>
      <w:r>
        <w:rPr>
          <w:rFonts w:hint="eastAsia" w:cs="宋体"/>
          <w:position w:val="-4"/>
          <w:szCs w:val="21"/>
        </w:rPr>
        <w:object>
          <v:shape id="_x0000_i1037" o:spt="75" type="#_x0000_t75" style="height:12.75pt;width:12pt;" o:ole="t" filled="f" o:preferrelative="t" stroked="f" coordsize="21600,21600">
            <v:path/>
            <v:fill on="f" focussize="0,0"/>
            <v:stroke on="f" joinstyle="miter"/>
            <v:imagedata r:id="rId30" o:title=""/>
            <o:lock v:ext="edit" aspectratio="t"/>
            <w10:wrap type="none"/>
            <w10:anchorlock/>
          </v:shape>
          <o:OLEObject Type="Embed" ProgID="Equation.KSEE3" ShapeID="_x0000_i1037" DrawAspect="Content" ObjectID="_1468075737" r:id="rId34">
            <o:LockedField>false</o:LockedField>
          </o:OLEObject>
        </w:object>
      </w:r>
      <w:r>
        <w:rPr>
          <w:rFonts w:hint="eastAsia" w:asciiTheme="minorEastAsia" w:hAnsiTheme="minorEastAsia" w:eastAsiaTheme="minorEastAsia" w:cstheme="minorEastAsia"/>
          <w:szCs w:val="22"/>
        </w:rPr>
        <w:t>按系列公式（6）计算，结果列于附件表</w:t>
      </w:r>
      <w:r>
        <w:rPr>
          <w:rFonts w:hint="eastAsia" w:asciiTheme="minorEastAsia" w:hAnsiTheme="minorEastAsia" w:eastAsiaTheme="minorEastAsia" w:cstheme="minorEastAsia"/>
        </w:rPr>
        <w:t>A.6中。</w:t>
      </w:r>
    </w:p>
    <w:p>
      <w:pPr>
        <w:pStyle w:val="12"/>
        <w:ind w:firstLine="0" w:firstLineChars="0"/>
        <w:jc w:val="center"/>
        <w:rPr>
          <w:rFonts w:cs="宋体"/>
          <w:szCs w:val="21"/>
        </w:rPr>
      </w:pPr>
      <w:r>
        <w:rPr>
          <w:rFonts w:hint="eastAsia" w:cs="宋体"/>
          <w:position w:val="-14"/>
          <w:szCs w:val="21"/>
        </w:rPr>
        <w:object>
          <v:shape id="_x0000_i1038" o:spt="75" type="#_x0000_t75" style="height:17.25pt;width:47.25pt;" o:ole="t" filled="f" o:preferrelative="t" stroked="f" coordsize="21600,21600">
            <v:path/>
            <v:fill on="f" focussize="0,0"/>
            <v:stroke on="f" joinstyle="miter"/>
            <v:imagedata r:id="rId36" o:title=""/>
            <o:lock v:ext="edit" aspectratio="t"/>
            <w10:wrap type="none"/>
            <w10:anchorlock/>
          </v:shape>
          <o:OLEObject Type="Embed" ProgID="Equation.KSEE3" ShapeID="_x0000_i1038" DrawAspect="Content" ObjectID="_1468075738" r:id="rId35">
            <o:LockedField>false</o:LockedField>
          </o:OLEObject>
        </w:object>
      </w:r>
      <w:r>
        <w:rPr>
          <w:rFonts w:hint="eastAsia" w:cs="宋体"/>
          <w:szCs w:val="21"/>
        </w:rPr>
        <w:t xml:space="preserve"> ，</w:t>
      </w:r>
      <w:r>
        <w:rPr>
          <w:rFonts w:hint="eastAsia" w:cs="宋体"/>
          <w:position w:val="-14"/>
          <w:szCs w:val="21"/>
        </w:rPr>
        <w:object>
          <v:shape id="_x0000_i1039" o:spt="75" type="#_x0000_t75" style="height:17.25pt;width:59.25pt;" o:ole="t" filled="f" o:preferrelative="t" stroked="f" coordsize="21600,21600">
            <v:path/>
            <v:fill on="f" focussize="0,0"/>
            <v:stroke on="f" joinstyle="miter"/>
            <v:imagedata r:id="rId38" o:title=""/>
            <o:lock v:ext="edit" aspectratio="t"/>
            <w10:wrap type="none"/>
            <w10:anchorlock/>
          </v:shape>
          <o:OLEObject Type="Embed" ProgID="Equation.KSEE3" ShapeID="_x0000_i1039" DrawAspect="Content" ObjectID="_1468075739" r:id="rId37">
            <o:LockedField>false</o:LockedField>
          </o:OLEObject>
        </w:object>
      </w:r>
      <w:r>
        <w:rPr>
          <w:rFonts w:hint="eastAsia" w:cs="宋体"/>
          <w:szCs w:val="21"/>
        </w:rPr>
        <w:t>，</w:t>
      </w:r>
      <w:r>
        <w:rPr>
          <w:rFonts w:hint="eastAsia" w:cs="宋体"/>
          <w:position w:val="-14"/>
          <w:szCs w:val="21"/>
        </w:rPr>
        <w:object>
          <v:shape id="_x0000_i1040" o:spt="75" type="#_x0000_t75" style="height:17.25pt;width:42pt;" o:ole="t" filled="f" o:preferrelative="t" stroked="f" coordsize="21600,21600">
            <v:path/>
            <v:fill on="f" focussize="0,0"/>
            <v:stroke on="f" joinstyle="miter"/>
            <v:imagedata r:id="rId40" o:title=""/>
            <o:lock v:ext="edit" aspectratio="t"/>
            <w10:wrap type="none"/>
            <w10:anchorlock/>
          </v:shape>
          <o:OLEObject Type="Embed" ProgID="Equation.KSEE3" ShapeID="_x0000_i1040" DrawAspect="Content" ObjectID="_1468075740" r:id="rId39">
            <o:LockedField>false</o:LockedField>
          </o:OLEObject>
        </w:object>
      </w:r>
      <w:r>
        <w:rPr>
          <w:rFonts w:hint="eastAsia" w:cs="宋体"/>
          <w:szCs w:val="21"/>
        </w:rPr>
        <w:t>，</w:t>
      </w:r>
      <w:r>
        <w:rPr>
          <w:rFonts w:hint="eastAsia" w:cs="宋体"/>
          <w:position w:val="-14"/>
          <w:szCs w:val="21"/>
        </w:rPr>
        <w:object>
          <v:shape id="_x0000_i1041" o:spt="75" type="#_x0000_t75" style="height:17.25pt;width:44.25pt;" o:ole="t" filled="f" o:preferrelative="t" stroked="f" coordsize="21600,21600">
            <v:path/>
            <v:fill on="f" focussize="0,0"/>
            <v:stroke on="f" joinstyle="miter"/>
            <v:imagedata r:id="rId42" o:title=""/>
            <o:lock v:ext="edit" aspectratio="t"/>
            <w10:wrap type="none"/>
            <w10:anchorlock/>
          </v:shape>
          <o:OLEObject Type="Embed" ProgID="Equation.KSEE3" ShapeID="_x0000_i1041" DrawAspect="Content" ObjectID="_1468075741" r:id="rId41">
            <o:LockedField>false</o:LockedField>
          </o:OLEObject>
        </w:object>
      </w:r>
      <w:r>
        <w:rPr>
          <w:rFonts w:hint="eastAsia" w:cs="宋体"/>
          <w:szCs w:val="21"/>
        </w:rPr>
        <w:t>，</w:t>
      </w:r>
      <w:r>
        <w:rPr>
          <w:rFonts w:hint="eastAsia" w:cs="宋体"/>
          <w:position w:val="-14"/>
          <w:szCs w:val="21"/>
        </w:rPr>
        <w:object>
          <v:shape id="_x0000_i1042" o:spt="75" type="#_x0000_t75" style="height:17.25pt;width:69pt;" o:ole="t" filled="f" o:preferrelative="t" stroked="f" coordsize="21600,21600">
            <v:path/>
            <v:fill on="f" focussize="0,0"/>
            <v:stroke on="f" joinstyle="miter"/>
            <v:imagedata r:id="rId44" o:title=""/>
            <o:lock v:ext="edit" aspectratio="t"/>
            <w10:wrap type="none"/>
            <w10:anchorlock/>
          </v:shape>
          <o:OLEObject Type="Embed" ProgID="Equation.KSEE3" ShapeID="_x0000_i1042" DrawAspect="Content" ObjectID="_1468075742" r:id="rId43">
            <o:LockedField>false</o:LockedField>
          </o:OLEObject>
        </w:object>
      </w:r>
      <w:r>
        <w:rPr>
          <w:rFonts w:hint="eastAsia" w:cs="宋体"/>
          <w:szCs w:val="21"/>
        </w:rPr>
        <w:t>，</w:t>
      </w:r>
      <w:r>
        <w:rPr>
          <w:rFonts w:hint="eastAsia" w:cs="宋体"/>
          <w:position w:val="-30"/>
          <w:szCs w:val="21"/>
        </w:rPr>
        <w:object>
          <v:shape id="_x0000_i1043" o:spt="75" type="#_x0000_t75" style="height:31.5pt;width:51.75pt;" o:ole="t" filled="f" o:preferrelative="t" stroked="f" coordsize="21600,21600">
            <v:path/>
            <v:fill on="f" focussize="0,0"/>
            <v:stroke on="f" joinstyle="miter"/>
            <v:imagedata r:id="rId46" o:title=""/>
            <o:lock v:ext="edit" aspectratio="t"/>
            <w10:wrap type="none"/>
            <w10:anchorlock/>
          </v:shape>
          <o:OLEObject Type="Embed" ProgID="Equation.KSEE3" ShapeID="_x0000_i1043" DrawAspect="Content" ObjectID="_1468075743" r:id="rId45">
            <o:LockedField>false</o:LockedField>
          </o:OLEObject>
        </w:object>
      </w:r>
    </w:p>
    <w:p>
      <w:pPr>
        <w:pStyle w:val="12"/>
        <w:ind w:firstLine="420"/>
        <w:rPr>
          <w:rFonts w:cs="宋体"/>
          <w:szCs w:val="21"/>
        </w:rPr>
      </w:pPr>
      <w:r>
        <w:rPr>
          <w:rFonts w:hint="eastAsia" w:cs="宋体"/>
          <w:position w:val="-32"/>
          <w:szCs w:val="21"/>
        </w:rPr>
        <w:object>
          <v:shape id="_x0000_i1044" o:spt="75" type="#_x0000_t75" style="height:31.5pt;width:129pt;" o:ole="t" filled="f" o:preferrelative="t" stroked="f" coordsize="21600,21600">
            <v:path/>
            <v:fill on="f" focussize="0,0"/>
            <v:stroke on="f" joinstyle="miter"/>
            <v:imagedata r:id="rId48" o:title=""/>
            <o:lock v:ext="edit" aspectratio="t"/>
            <w10:wrap type="none"/>
            <w10:anchorlock/>
          </v:shape>
          <o:OLEObject Type="Embed" ProgID="Equation.KSEE3" ShapeID="_x0000_i1044" DrawAspect="Content" ObjectID="_1468075744" r:id="rId47">
            <o:LockedField>false</o:LockedField>
          </o:OLEObject>
        </w:object>
      </w:r>
      <w:r>
        <w:rPr>
          <w:rFonts w:hint="eastAsia" w:cs="宋体"/>
          <w:szCs w:val="21"/>
        </w:rPr>
        <w:t>，</w:t>
      </w:r>
      <w:r>
        <w:rPr>
          <w:rFonts w:hint="eastAsia" w:cs="宋体"/>
          <w:position w:val="-10"/>
          <w:szCs w:val="21"/>
        </w:rPr>
        <w:object>
          <v:shape id="_x0000_i1045" o:spt="75" type="#_x0000_t75" style="height:17.25pt;width:54pt;" o:ole="t" filled="f" o:preferrelative="t" stroked="f" coordsize="21600,21600">
            <v:path/>
            <v:fill on="f" focussize="0,0"/>
            <v:stroke on="f" joinstyle="miter"/>
            <v:imagedata r:id="rId50" o:title=""/>
            <o:lock v:ext="edit" aspectratio="t"/>
            <w10:wrap type="none"/>
            <w10:anchorlock/>
          </v:shape>
          <o:OLEObject Type="Embed" ProgID="Equation.KSEE3" ShapeID="_x0000_i1045" DrawAspect="Content" ObjectID="_1468075745" r:id="rId49">
            <o:LockedField>false</o:LockedField>
          </o:OLEObject>
        </w:object>
      </w:r>
      <w:r>
        <w:rPr>
          <w:rFonts w:hint="eastAsia" w:cs="宋体"/>
          <w:szCs w:val="21"/>
        </w:rPr>
        <w:t>，</w:t>
      </w:r>
      <w:r>
        <w:rPr>
          <w:rFonts w:hint="eastAsia" w:cs="宋体"/>
          <w:position w:val="-12"/>
          <w:szCs w:val="21"/>
        </w:rPr>
        <w:object>
          <v:shape id="_x0000_i1046" o:spt="75" type="#_x0000_t75" style="height:19.5pt;width:39.75pt;" o:ole="t" filled="f" o:preferrelative="t" stroked="f" coordsize="21600,21600">
            <v:path/>
            <v:fill on="f" focussize="0,0"/>
            <v:stroke on="f" joinstyle="miter"/>
            <v:imagedata r:id="rId52" o:title=""/>
            <o:lock v:ext="edit" aspectratio="t"/>
            <w10:wrap type="none"/>
            <w10:anchorlock/>
          </v:shape>
          <o:OLEObject Type="Embed" ProgID="Equation.KSEE3" ShapeID="_x0000_i1046" DrawAspect="Content" ObjectID="_1468075746" r:id="rId51">
            <o:LockedField>false</o:LockedField>
          </o:OLEObject>
        </w:object>
      </w:r>
      <w:r>
        <w:rPr>
          <w:rFonts w:hint="eastAsia" w:cs="宋体"/>
          <w:szCs w:val="21"/>
        </w:rPr>
        <w:t>，</w:t>
      </w:r>
      <w:r>
        <w:rPr>
          <w:rFonts w:hint="eastAsia" w:cs="宋体"/>
          <w:position w:val="-12"/>
          <w:szCs w:val="21"/>
        </w:rPr>
        <w:object>
          <v:shape id="_x0000_i1047" o:spt="75" type="#_x0000_t75" style="height:19.5pt;width:41.25pt;" o:ole="t" filled="f" o:preferrelative="t" stroked="f" coordsize="21600,21600">
            <v:path/>
            <v:fill on="f" focussize="0,0"/>
            <v:stroke on="f" joinstyle="miter"/>
            <v:imagedata r:id="rId54" o:title=""/>
            <o:lock v:ext="edit" aspectratio="t"/>
            <w10:wrap type="none"/>
            <w10:anchorlock/>
          </v:shape>
          <o:OLEObject Type="Embed" ProgID="Equation.KSEE3" ShapeID="_x0000_i1047" DrawAspect="Content" ObjectID="_1468075747" r:id="rId53">
            <o:LockedField>false</o:LockedField>
          </o:OLEObject>
        </w:object>
      </w:r>
      <w:r>
        <w:rPr>
          <w:rFonts w:hint="eastAsia" w:cs="宋体"/>
          <w:szCs w:val="21"/>
        </w:rPr>
        <w:t>，</w:t>
      </w:r>
      <w:r>
        <w:rPr>
          <w:rFonts w:hint="eastAsia" w:cs="宋体"/>
          <w:position w:val="-10"/>
          <w:szCs w:val="21"/>
        </w:rPr>
        <w:object>
          <v:shape id="_x0000_i1048" o:spt="75" type="#_x0000_t75" style="height:14.25pt;width:36.75pt;" o:ole="t" filled="f" o:preferrelative="t" stroked="f" coordsize="21600,21600">
            <v:path/>
            <v:fill on="f" focussize="0,0"/>
            <v:stroke on="f" joinstyle="miter"/>
            <v:imagedata r:id="rId56" o:title=""/>
            <o:lock v:ext="edit" aspectratio="t"/>
            <w10:wrap type="none"/>
            <w10:anchorlock/>
          </v:shape>
          <o:OLEObject Type="Embed" ProgID="Equation.KSEE3" ShapeID="_x0000_i1048" DrawAspect="Content" ObjectID="_1468075748" r:id="rId55">
            <o:LockedField>false</o:LockedField>
          </o:OLEObject>
        </w:object>
      </w:r>
    </w:p>
    <w:p>
      <w:pPr>
        <w:pStyle w:val="12"/>
        <w:ind w:firstLine="420"/>
        <w:rPr>
          <w:rFonts w:cs="宋体"/>
          <w:szCs w:val="21"/>
        </w:rPr>
      </w:pPr>
      <w:r>
        <w:rPr>
          <w:rFonts w:hint="eastAsia" w:cs="宋体"/>
          <w:szCs w:val="21"/>
        </w:rPr>
        <w:t>，</w:t>
      </w:r>
      <w:r>
        <w:rPr>
          <w:rFonts w:hint="eastAsia" w:cs="宋体"/>
          <w:position w:val="-10"/>
          <w:szCs w:val="21"/>
        </w:rPr>
        <w:object>
          <v:shape id="_x0000_i1049" o:spt="75" type="#_x0000_t75" style="height:14.25pt;width:40.5pt;" o:ole="t" filled="f" o:preferrelative="t" stroked="f" coordsize="21600,21600">
            <v:path/>
            <v:fill on="f" focussize="0,0"/>
            <v:stroke on="f" joinstyle="miter"/>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szCs w:val="21"/>
        </w:rPr>
        <w:t>..................................................</w:t>
      </w:r>
      <w:r>
        <w:rPr>
          <w:rFonts w:hint="eastAsia" w:eastAsiaTheme="minorEastAsia"/>
          <w:szCs w:val="21"/>
        </w:rPr>
        <w:t>.</w:t>
      </w:r>
      <w:r>
        <w:rPr>
          <w:rFonts w:hint="eastAsia" w:cs="宋体"/>
          <w:szCs w:val="21"/>
        </w:rPr>
        <w:t>（6）</w:t>
      </w:r>
    </w:p>
    <w:p>
      <w:pPr>
        <w:pStyle w:val="12"/>
        <w:keepNext w:val="0"/>
        <w:keepLines w:val="0"/>
        <w:pageBreakBefore w:val="0"/>
        <w:widowControl/>
        <w:kinsoku/>
        <w:wordWrap/>
        <w:overflowPunct/>
        <w:topLinePunct w:val="0"/>
        <w:autoSpaceDE w:val="0"/>
        <w:autoSpaceDN w:val="0"/>
        <w:bidi w:val="0"/>
        <w:adjustRightInd/>
        <w:snapToGrid/>
        <w:spacing w:beforeLines="50" w:line="312" w:lineRule="auto"/>
        <w:ind w:firstLine="420"/>
        <w:textAlignment w:val="auto"/>
        <w:rPr>
          <w:rFonts w:cs="宋体"/>
          <w:szCs w:val="21"/>
        </w:rPr>
      </w:pPr>
      <w:r>
        <w:rPr>
          <w:rFonts w:hint="eastAsia" w:cs="宋体"/>
          <w:szCs w:val="21"/>
        </w:rPr>
        <w:t>精密度数据由每个实验室，对7个水平在重复性条件下提供77个原始数据，各原始数据首先进行实验室内单元离群值检测，在确定均为正确值或正常值情况下再计算各实验室各单元平均值与标准差。分别对各实验室各单元平均值与标准差进行检验（</w:t>
      </w:r>
      <w:r>
        <w:rPr>
          <w:rFonts w:ascii="Times New Roman" w:hAnsi="Times New Roman"/>
          <w:szCs w:val="21"/>
        </w:rPr>
        <w:t>Cochran</w:t>
      </w:r>
      <w:r>
        <w:rPr>
          <w:rFonts w:hint="eastAsia" w:ascii="Times New Roman" w:hAnsi="Times New Roman"/>
          <w:szCs w:val="21"/>
        </w:rPr>
        <w:t>、</w:t>
      </w:r>
      <w:r>
        <w:rPr>
          <w:rFonts w:ascii="Times New Roman" w:hAnsi="Times New Roman"/>
          <w:szCs w:val="21"/>
        </w:rPr>
        <w:t>Grubbs</w:t>
      </w:r>
      <w:r>
        <w:rPr>
          <w:rFonts w:hint="eastAsia" w:cs="宋体"/>
          <w:szCs w:val="21"/>
        </w:rPr>
        <w:t>），检验均为正确值或正常情况下再进行</w:t>
      </w:r>
      <w:r>
        <w:rPr>
          <w:rFonts w:hint="eastAsia" w:cs="宋体"/>
          <w:b/>
          <w:bCs/>
          <w:szCs w:val="21"/>
        </w:rPr>
        <w:t>S</w:t>
      </w:r>
      <w:r>
        <w:rPr>
          <w:rFonts w:hint="eastAsia" w:cs="宋体"/>
          <w:b/>
          <w:bCs/>
          <w:szCs w:val="21"/>
          <w:vertAlign w:val="subscript"/>
        </w:rPr>
        <w:t>r</w:t>
      </w:r>
      <w:r>
        <w:rPr>
          <w:rFonts w:hint="eastAsia" w:cs="宋体"/>
          <w:szCs w:val="21"/>
        </w:rPr>
        <w:t>,</w:t>
      </w:r>
      <w:r>
        <w:rPr>
          <w:rFonts w:hint="eastAsia" w:cs="宋体"/>
          <w:b/>
          <w:bCs/>
          <w:szCs w:val="21"/>
        </w:rPr>
        <w:t>S</w:t>
      </w:r>
      <w:r>
        <w:rPr>
          <w:rFonts w:hint="eastAsia" w:cs="宋体"/>
          <w:b/>
          <w:bCs/>
          <w:szCs w:val="21"/>
          <w:vertAlign w:val="subscript"/>
        </w:rPr>
        <w:t>R</w:t>
      </w:r>
      <w:r>
        <w:rPr>
          <w:rFonts w:hint="eastAsia" w:cs="宋体"/>
          <w:szCs w:val="21"/>
        </w:rPr>
        <w:t>,</w:t>
      </w:r>
      <w:r>
        <w:rPr>
          <w:rFonts w:hint="eastAsia" w:cs="宋体"/>
          <w:b/>
          <w:bCs/>
          <w:szCs w:val="21"/>
        </w:rPr>
        <w:t>r</w:t>
      </w:r>
      <w:r>
        <w:rPr>
          <w:rFonts w:hint="eastAsia" w:cs="宋体"/>
          <w:szCs w:val="21"/>
        </w:rPr>
        <w:t>与</w:t>
      </w:r>
      <w:r>
        <w:rPr>
          <w:rFonts w:hint="eastAsia" w:cs="宋体"/>
          <w:b/>
          <w:bCs/>
          <w:szCs w:val="21"/>
        </w:rPr>
        <w:t>R</w:t>
      </w:r>
      <w:r>
        <w:rPr>
          <w:rFonts w:hint="eastAsia" w:cs="宋体"/>
          <w:position w:val="-4"/>
          <w:szCs w:val="21"/>
        </w:rPr>
        <w:t>计算。</w:t>
      </w:r>
    </w:p>
    <w:p>
      <w:pPr>
        <w:numPr>
          <w:ilvl w:val="0"/>
          <w:numId w:val="16"/>
        </w:numPr>
        <w:spacing w:beforeLines="100" w:afterLines="100" w:line="312" w:lineRule="auto"/>
        <w:rPr>
          <w:rFonts w:ascii="黑体" w:hAnsi="宋体" w:eastAsia="黑体"/>
          <w:bCs/>
          <w:sz w:val="24"/>
        </w:rPr>
      </w:pPr>
      <w:r>
        <w:rPr>
          <w:rFonts w:hint="eastAsia" w:ascii="黑体" w:hAnsi="宋体" w:eastAsia="黑体"/>
          <w:bCs/>
          <w:sz w:val="24"/>
        </w:rPr>
        <w:t>试验验证的分析、综述报告，技术经济论证，预期的经济效果</w:t>
      </w:r>
    </w:p>
    <w:p>
      <w:pPr>
        <w:numPr>
          <w:ilvl w:val="0"/>
          <w:numId w:val="17"/>
        </w:numPr>
        <w:spacing w:beforeLines="50" w:afterLines="50" w:line="312" w:lineRule="auto"/>
        <w:rPr>
          <w:rFonts w:ascii="黑体" w:hAnsi="宋体" w:eastAsia="黑体"/>
          <w:bCs/>
          <w:sz w:val="24"/>
        </w:rPr>
      </w:pPr>
      <w:r>
        <w:rPr>
          <w:rFonts w:hint="eastAsia" w:ascii="黑体" w:hAnsi="宋体" w:eastAsia="黑体"/>
          <w:bCs/>
          <w:sz w:val="24"/>
        </w:rPr>
        <w:t>试验验证的分析、综述报告</w:t>
      </w:r>
    </w:p>
    <w:p>
      <w:pPr>
        <w:numPr>
          <w:ilvl w:val="0"/>
          <w:numId w:val="18"/>
        </w:numPr>
        <w:spacing w:beforeLines="50" w:afterLines="50" w:line="312" w:lineRule="auto"/>
        <w:rPr>
          <w:rFonts w:ascii="黑体" w:hAnsi="黑体" w:eastAsia="黑体" w:cs="黑体"/>
          <w:szCs w:val="22"/>
        </w:rPr>
      </w:pPr>
      <w:r>
        <w:rPr>
          <w:rFonts w:hint="eastAsia" w:ascii="黑体" w:hAnsi="黑体" w:eastAsia="黑体" w:cs="黑体"/>
          <w:szCs w:val="22"/>
        </w:rPr>
        <w:t>样品溶解试剂及用量选择试验</w:t>
      </w:r>
    </w:p>
    <w:p>
      <w:pPr>
        <w:widowControl/>
        <w:spacing w:line="312" w:lineRule="auto"/>
        <w:jc w:val="left"/>
        <w:rPr>
          <w:rFonts w:ascii="黑体" w:hAnsi="黑体" w:eastAsia="黑体" w:cs="黑体"/>
          <w:kern w:val="0"/>
          <w:szCs w:val="21"/>
        </w:rPr>
      </w:pPr>
      <w:r>
        <w:rPr>
          <w:rFonts w:hint="eastAsia" w:ascii="黑体" w:hAnsi="黑体" w:eastAsia="黑体" w:cs="黑体"/>
          <w:kern w:val="0"/>
          <w:szCs w:val="21"/>
        </w:rPr>
        <w:t>A、溶解试剂的选择试验</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ascii="宋体" w:hAnsi="宋体" w:eastAsia="宋体" w:cs="宋体"/>
          <w:color w:val="auto"/>
          <w:kern w:val="0"/>
          <w:szCs w:val="21"/>
        </w:rPr>
      </w:pPr>
      <w:r>
        <w:rPr>
          <w:rFonts w:hint="eastAsia" w:ascii="宋体" w:hAnsi="宋体" w:eastAsia="宋体" w:cs="宋体"/>
          <w:color w:val="auto"/>
          <w:kern w:val="0"/>
          <w:szCs w:val="21"/>
        </w:rPr>
        <w:t>根据稀土火法冶炼回收料的成分性质，熔盐电解回收料及钙热还原回收料采用硝酸（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）；王水+过氧化氢（30%）+高氯酸（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）的溶解方式进行溶解试验，镧热还原回收料采用盐酸（</w:t>
      </w:r>
      <w:r>
        <w:rPr>
          <w:rFonts w:ascii="Times New Roman" w:hAnsi="Times New Roman"/>
          <w:color w:val="auto"/>
          <w:szCs w:val="21"/>
        </w:rPr>
        <w:t>1+1</w:t>
      </w:r>
      <w:r>
        <w:rPr>
          <w:rFonts w:hint="eastAsia" w:ascii="宋体" w:hAnsi="宋体" w:eastAsia="宋体" w:cs="宋体"/>
          <w:color w:val="auto"/>
          <w:kern w:val="0"/>
          <w:szCs w:val="21"/>
        </w:rPr>
        <w:t>）+过氧化氢（30%）；硝酸（</w:t>
      </w:r>
      <w:r>
        <w:rPr>
          <w:rFonts w:ascii="Times New Roman" w:hAnsi="Times New Roman"/>
          <w:color w:val="auto"/>
          <w:szCs w:val="21"/>
        </w:rPr>
        <w:t>1+1</w:t>
      </w:r>
      <w:r>
        <w:rPr>
          <w:rFonts w:hint="eastAsia" w:ascii="宋体" w:hAnsi="宋体" w:eastAsia="宋体" w:cs="宋体"/>
          <w:color w:val="auto"/>
          <w:kern w:val="0"/>
          <w:szCs w:val="21"/>
        </w:rPr>
        <w:t>）+过氧化氢（30%）；硝酸（</w:t>
      </w:r>
      <w:r>
        <w:rPr>
          <w:rFonts w:ascii="Times New Roman" w:hAnsi="Times New Roman"/>
          <w:color w:val="auto"/>
          <w:szCs w:val="21"/>
        </w:rPr>
        <w:t>1+1</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）进行溶解试验。称取统一样20PrNd01FD (熔盐电解回收料）、20TbDy01FH(钙热还原回收料) 20LaF01FH (镧热还原回收料)2.50 g，精确至0.0001 g，按表2加入酸试剂，按试验报告步骤进行试验。</w:t>
      </w:r>
    </w:p>
    <w:p>
      <w:pPr>
        <w:spacing w:beforeLines="50"/>
        <w:jc w:val="center"/>
        <w:rPr>
          <w:rFonts w:ascii="黑体" w:hAnsi="黑体" w:eastAsia="黑体" w:cs="黑体"/>
          <w:kern w:val="0"/>
          <w:szCs w:val="21"/>
        </w:rPr>
      </w:pPr>
      <w:r>
        <w:rPr>
          <w:rFonts w:hint="eastAsia" w:ascii="黑体" w:hAnsi="黑体" w:eastAsia="黑体" w:cs="黑体"/>
          <w:kern w:val="0"/>
          <w:szCs w:val="21"/>
          <w:lang w:eastAsia="en-US"/>
        </w:rPr>
        <w:t>表</w:t>
      </w:r>
      <w:r>
        <w:rPr>
          <w:rFonts w:hint="eastAsia" w:ascii="黑体" w:hAnsi="黑体" w:eastAsia="黑体" w:cs="黑体"/>
          <w:kern w:val="0"/>
          <w:szCs w:val="21"/>
        </w:rPr>
        <w:t>2</w:t>
      </w:r>
      <w:r>
        <w:rPr>
          <w:rFonts w:hint="eastAsia" w:ascii="黑体" w:hAnsi="黑体" w:eastAsia="黑体" w:cs="黑体"/>
          <w:kern w:val="0"/>
          <w:szCs w:val="21"/>
          <w:lang w:eastAsia="en-US"/>
        </w:rPr>
        <w:t xml:space="preserve">  </w:t>
      </w:r>
      <w:r>
        <w:rPr>
          <w:rFonts w:hint="eastAsia" w:ascii="黑体" w:hAnsi="黑体" w:eastAsia="黑体" w:cs="黑体"/>
          <w:kern w:val="0"/>
          <w:szCs w:val="21"/>
        </w:rPr>
        <w:t>样品溶解酸试剂选择试验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578"/>
        <w:gridCol w:w="2250"/>
        <w:gridCol w:w="2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tcBorders>
              <w:bottom w:val="single" w:color="auto" w:sz="8" w:space="0"/>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试验样品编号</w:t>
            </w:r>
          </w:p>
        </w:tc>
        <w:tc>
          <w:tcPr>
            <w:tcW w:w="1937" w:type="pct"/>
            <w:tcBorders>
              <w:bottom w:val="single" w:color="auto" w:sz="8" w:space="0"/>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加入试剂及用量</w:t>
            </w:r>
          </w:p>
        </w:tc>
        <w:tc>
          <w:tcPr>
            <w:tcW w:w="1218" w:type="pct"/>
            <w:tcBorders>
              <w:bottom w:val="single" w:color="auto" w:sz="8" w:space="0"/>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稀土总量REO%</w:t>
            </w:r>
          </w:p>
        </w:tc>
        <w:tc>
          <w:tcPr>
            <w:tcW w:w="1228" w:type="pct"/>
            <w:tcBorders>
              <w:bottom w:val="single" w:color="auto" w:sz="8" w:space="0"/>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现 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restart"/>
            <w:tcBorders>
              <w:top w:val="single" w:color="auto" w:sz="8" w:space="0"/>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20PrNd01FD</w:t>
            </w:r>
          </w:p>
        </w:tc>
        <w:tc>
          <w:tcPr>
            <w:tcW w:w="1937" w:type="pct"/>
            <w:tcBorders>
              <w:top w:val="single" w:color="auto" w:sz="8" w:space="0"/>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王水（15mL）+H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p>
            <w:pPr>
              <w:jc w:val="center"/>
              <w:rPr>
                <w:rFonts w:ascii="宋体" w:hAnsi="宋体" w:eastAsia="宋体" w:cs="宋体"/>
                <w:kern w:val="0"/>
                <w:sz w:val="18"/>
                <w:szCs w:val="18"/>
              </w:rPr>
            </w:pPr>
          </w:p>
        </w:tc>
        <w:tc>
          <w:tcPr>
            <w:tcW w:w="1218" w:type="pct"/>
            <w:tcBorders>
              <w:top w:val="single" w:color="auto" w:sz="8" w:space="0"/>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27.19、27.41、27.54</w:t>
            </w:r>
          </w:p>
        </w:tc>
        <w:tc>
          <w:tcPr>
            <w:tcW w:w="1228" w:type="pct"/>
            <w:tcBorders>
              <w:top w:val="single" w:color="auto" w:sz="8" w:space="0"/>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反应剧烈不能完全溶解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continue"/>
            <w:tcBorders>
              <w:tl2br w:val="nil"/>
              <w:tr2bl w:val="nil"/>
            </w:tcBorders>
            <w:vAlign w:val="center"/>
          </w:tcPr>
          <w:p>
            <w:pPr>
              <w:jc w:val="center"/>
              <w:rPr>
                <w:rFonts w:ascii="宋体" w:hAnsi="宋体" w:eastAsia="宋体" w:cs="宋体"/>
                <w:kern w:val="0"/>
                <w:sz w:val="18"/>
                <w:szCs w:val="18"/>
              </w:rPr>
            </w:pP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tc>
        <w:tc>
          <w:tcPr>
            <w:tcW w:w="121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27.55、27.47、27.44</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反应平稳不能完全溶解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restar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20TbDy01FH</w:t>
            </w: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王水（15mL）+H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p>
            <w:pPr>
              <w:jc w:val="center"/>
              <w:rPr>
                <w:rFonts w:ascii="宋体" w:hAnsi="宋体" w:eastAsia="宋体" w:cs="宋体"/>
                <w:kern w:val="0"/>
                <w:sz w:val="18"/>
                <w:szCs w:val="18"/>
              </w:rPr>
            </w:pPr>
          </w:p>
        </w:tc>
        <w:tc>
          <w:tcPr>
            <w:tcW w:w="121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7.10、7.05、7.18</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不能完全溶解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continue"/>
            <w:tcBorders>
              <w:tl2br w:val="nil"/>
              <w:tr2bl w:val="nil"/>
            </w:tcBorders>
            <w:vAlign w:val="center"/>
          </w:tcPr>
          <w:p>
            <w:pPr>
              <w:jc w:val="center"/>
              <w:rPr>
                <w:rFonts w:ascii="宋体" w:hAnsi="宋体" w:eastAsia="宋体" w:cs="宋体"/>
                <w:kern w:val="0"/>
                <w:sz w:val="18"/>
                <w:szCs w:val="18"/>
              </w:rPr>
            </w:pP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p>
            <w:pPr>
              <w:jc w:val="center"/>
              <w:rPr>
                <w:rFonts w:ascii="宋体" w:hAnsi="宋体" w:eastAsia="宋体" w:cs="宋体"/>
                <w:kern w:val="0"/>
                <w:sz w:val="18"/>
                <w:szCs w:val="18"/>
              </w:rPr>
            </w:pPr>
          </w:p>
        </w:tc>
        <w:tc>
          <w:tcPr>
            <w:tcW w:w="121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7.08、7.04、7.12</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不能完全溶解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restar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20LaF01FH</w:t>
            </w: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 xml:space="preserve">3 </w:t>
            </w:r>
            <w:r>
              <w:rPr>
                <w:rFonts w:hint="eastAsia" w:ascii="宋体" w:hAnsi="宋体" w:eastAsia="宋体" w:cs="宋体"/>
                <w:kern w:val="0"/>
                <w:sz w:val="18"/>
                <w:szCs w:val="18"/>
              </w:rPr>
              <w:t>(20mL)+ 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 xml:space="preserve"> 2</w:t>
            </w:r>
            <w:r>
              <w:rPr>
                <w:rFonts w:hint="eastAsia" w:ascii="宋体" w:hAnsi="宋体" w:eastAsia="宋体" w:cs="宋体"/>
                <w:kern w:val="0"/>
                <w:sz w:val="18"/>
                <w:szCs w:val="18"/>
              </w:rPr>
              <w:t>（1mL）</w:t>
            </w:r>
          </w:p>
        </w:tc>
        <w:tc>
          <w:tcPr>
            <w:tcW w:w="1218" w:type="pct"/>
            <w:tcBorders>
              <w:tl2br w:val="nil"/>
              <w:tr2bl w:val="nil"/>
            </w:tcBorders>
            <w:vAlign w:val="center"/>
          </w:tcPr>
          <w:p>
            <w:pPr>
              <w:rPr>
                <w:rFonts w:ascii="宋体" w:hAnsi="宋体" w:eastAsia="宋体" w:cs="宋体"/>
                <w:kern w:val="0"/>
                <w:sz w:val="18"/>
                <w:szCs w:val="18"/>
              </w:rPr>
            </w:pPr>
            <w:r>
              <w:rPr>
                <w:rFonts w:hint="eastAsia" w:ascii="宋体" w:hAnsi="宋体" w:eastAsia="宋体" w:cs="宋体"/>
                <w:kern w:val="0"/>
                <w:sz w:val="18"/>
                <w:szCs w:val="18"/>
              </w:rPr>
              <w:t xml:space="preserve">  87.97、87.51、88.01</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能完全溶解</w:t>
            </w:r>
          </w:p>
          <w:p>
            <w:pPr>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continue"/>
            <w:tcBorders>
              <w:tl2br w:val="nil"/>
              <w:tr2bl w:val="nil"/>
            </w:tcBorders>
            <w:vAlign w:val="center"/>
          </w:tcPr>
          <w:p>
            <w:pPr>
              <w:jc w:val="center"/>
              <w:rPr>
                <w:rFonts w:ascii="宋体" w:hAnsi="宋体" w:eastAsia="宋体" w:cs="宋体"/>
                <w:kern w:val="0"/>
                <w:sz w:val="18"/>
                <w:szCs w:val="18"/>
              </w:rPr>
            </w:pP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HCL</w:t>
            </w:r>
            <w:r>
              <w:rPr>
                <w:rFonts w:hint="eastAsia" w:ascii="宋体" w:hAnsi="宋体" w:eastAsia="宋体" w:cs="宋体"/>
                <w:kern w:val="0"/>
                <w:sz w:val="18"/>
                <w:szCs w:val="18"/>
                <w:vertAlign w:val="subscript"/>
              </w:rPr>
              <w:t xml:space="preserve"> </w:t>
            </w:r>
            <w:r>
              <w:rPr>
                <w:rFonts w:hint="eastAsia" w:ascii="宋体" w:hAnsi="宋体" w:eastAsia="宋体" w:cs="宋体"/>
                <w:kern w:val="0"/>
                <w:sz w:val="18"/>
                <w:szCs w:val="18"/>
              </w:rPr>
              <w:t>(20mL)+ 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 xml:space="preserve"> 2</w:t>
            </w:r>
            <w:r>
              <w:rPr>
                <w:rFonts w:hint="eastAsia" w:ascii="宋体" w:hAnsi="宋体" w:eastAsia="宋体" w:cs="宋体"/>
                <w:kern w:val="0"/>
                <w:sz w:val="18"/>
                <w:szCs w:val="18"/>
              </w:rPr>
              <w:t>（1mL）</w:t>
            </w:r>
          </w:p>
        </w:tc>
        <w:tc>
          <w:tcPr>
            <w:tcW w:w="121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87.48、87.81、87.66</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能完全溶解</w:t>
            </w:r>
          </w:p>
          <w:p>
            <w:pPr>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14" w:type="pct"/>
            <w:vMerge w:val="continue"/>
            <w:tcBorders>
              <w:tl2br w:val="nil"/>
              <w:tr2bl w:val="nil"/>
            </w:tcBorders>
            <w:vAlign w:val="center"/>
          </w:tcPr>
          <w:p>
            <w:pPr>
              <w:jc w:val="center"/>
              <w:rPr>
                <w:rFonts w:ascii="宋体" w:hAnsi="宋体" w:eastAsia="宋体" w:cs="宋体"/>
                <w:kern w:val="0"/>
                <w:sz w:val="18"/>
                <w:szCs w:val="18"/>
              </w:rPr>
            </w:pPr>
          </w:p>
        </w:tc>
        <w:tc>
          <w:tcPr>
            <w:tcW w:w="1937"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tc>
        <w:tc>
          <w:tcPr>
            <w:tcW w:w="121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87.65、87.52、87.74</w:t>
            </w:r>
          </w:p>
        </w:tc>
        <w:tc>
          <w:tcPr>
            <w:tcW w:w="1228" w:type="pc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能完全溶解</w:t>
            </w:r>
          </w:p>
          <w:p>
            <w:pPr>
              <w:jc w:val="center"/>
              <w:rPr>
                <w:rFonts w:ascii="宋体" w:hAnsi="宋体" w:eastAsia="宋体" w:cs="宋体"/>
                <w:kern w:val="0"/>
                <w:sz w:val="18"/>
                <w:szCs w:val="18"/>
              </w:rPr>
            </w:pPr>
          </w:p>
        </w:tc>
      </w:tr>
    </w:tbl>
    <w:p>
      <w:pPr>
        <w:widowControl/>
        <w:spacing w:beforeLines="50" w:line="312" w:lineRule="auto"/>
        <w:ind w:firstLine="420"/>
        <w:jc w:val="left"/>
        <w:rPr>
          <w:rFonts w:ascii="宋体" w:hAnsi="宋体" w:eastAsia="宋体" w:cs="宋体"/>
          <w:color w:val="auto"/>
          <w:kern w:val="0"/>
          <w:szCs w:val="21"/>
        </w:rPr>
      </w:pPr>
      <w:r>
        <w:rPr>
          <w:rFonts w:hint="eastAsia" w:ascii="宋体" w:hAnsi="宋体" w:eastAsia="宋体" w:cs="宋体"/>
          <w:kern w:val="0"/>
          <w:szCs w:val="21"/>
        </w:rPr>
        <w:t>由表1可知，采用不同的酸试剂溶解样品对稀土总量的结果差别不大。因熔盐电解回收料用</w:t>
      </w:r>
      <w:r>
        <w:rPr>
          <w:rFonts w:hint="eastAsia" w:ascii="宋体" w:hAnsi="宋体" w:eastAsia="宋体" w:cs="宋体"/>
          <w:color w:val="auto"/>
          <w:kern w:val="0"/>
          <w:szCs w:val="21"/>
        </w:rPr>
        <w:t>王水+过氧化氢（30%）+高氯酸（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）溶解时反应剧烈，容易溢出，以硝酸（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）溶解较平稳，样品中有少许不溶物残渣生成，（将未溶残渣经过滤、</w:t>
      </w:r>
      <w:r>
        <w:rPr>
          <w:rFonts w:hint="eastAsia" w:ascii="宋体" w:hAnsi="宋体" w:eastAsia="宋体" w:cs="宋体"/>
          <w:color w:val="auto"/>
          <w:kern w:val="0"/>
          <w:szCs w:val="20"/>
        </w:rPr>
        <w:t>盐酸洗液（</w:t>
      </w:r>
      <w:r>
        <w:rPr>
          <w:rFonts w:hint="eastAsia" w:ascii="宋体" w:hAnsi="宋体" w:eastAsia="宋体" w:cs="宋体"/>
          <w:color w:val="auto"/>
          <w:kern w:val="0"/>
          <w:szCs w:val="21"/>
        </w:rPr>
        <w:t>2+98</w:t>
      </w:r>
      <w:r>
        <w:rPr>
          <w:rFonts w:hint="eastAsia" w:ascii="宋体" w:hAnsi="宋体" w:eastAsia="宋体" w:cs="宋体"/>
          <w:color w:val="auto"/>
          <w:kern w:val="0"/>
          <w:szCs w:val="20"/>
        </w:rPr>
        <w:t>）洗涤残渣和滤纸8</w:t>
      </w:r>
      <w:r>
        <w:rPr>
          <w:rFonts w:hint="eastAsia" w:ascii="宋体" w:hAnsi="宋体" w:eastAsia="宋体" w:cs="宋体"/>
          <w:color w:val="auto"/>
          <w:kern w:val="0"/>
          <w:sz w:val="18"/>
          <w:szCs w:val="18"/>
        </w:rPr>
        <w:t>～</w:t>
      </w:r>
      <w:r>
        <w:rPr>
          <w:rFonts w:hint="eastAsia" w:ascii="宋体" w:hAnsi="宋体" w:eastAsia="宋体" w:cs="宋体"/>
          <w:color w:val="auto"/>
          <w:kern w:val="0"/>
          <w:szCs w:val="20"/>
        </w:rPr>
        <w:t>9次，</w:t>
      </w:r>
      <w:r>
        <w:rPr>
          <w:rFonts w:hint="eastAsia" w:ascii="宋体" w:hAnsi="宋体" w:eastAsia="宋体" w:cs="宋体"/>
          <w:color w:val="auto"/>
          <w:kern w:val="0"/>
          <w:szCs w:val="21"/>
        </w:rPr>
        <w:t>置于镍坩埚中，在电炉上加热碳化后，在750℃高温炉灼烧15～20分钟，取出冷却后加入氢氧化钠（固体）2～3克，过氧化钠（固体）1～2克，先在电炉上烘烤至熔化（摇动坩埚，使试样散开），盖好坩埚盖，在750℃高温炉熔融15～20分钟，取出稍冷，将坩埚置于50 mL热水的300 mL烧杯中浸取，加入1～2 mL盐酸（</w:t>
      </w:r>
      <w:r>
        <w:rPr>
          <w:rFonts w:ascii="Times New Roman" w:hAnsi="Times New Roman"/>
          <w:color w:val="auto"/>
          <w:szCs w:val="21"/>
        </w:rPr>
        <w:t>1+1</w:t>
      </w:r>
      <w:r>
        <w:rPr>
          <w:rFonts w:hint="eastAsia" w:ascii="宋体" w:hAnsi="宋体" w:eastAsia="宋体" w:cs="宋体"/>
          <w:color w:val="auto"/>
          <w:kern w:val="0"/>
          <w:szCs w:val="21"/>
        </w:rPr>
        <w:t>）洗涤坩埚内壁，用水洗净并取出坩埚，将溶液煮沸，稍冷，用中速定量滤纸过滤，沉淀和滤纸加10 mL硝酸(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)，5 mL高氯酸（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），冒烟尽干，加5 mL盐酸（</w:t>
      </w:r>
      <w:r>
        <w:rPr>
          <w:rFonts w:ascii="Times New Roman" w:hAnsi="Times New Roman"/>
          <w:color w:val="auto"/>
          <w:szCs w:val="21"/>
        </w:rPr>
        <w:t>1+1</w:t>
      </w:r>
      <w:r>
        <w:rPr>
          <w:rFonts w:hint="eastAsia" w:ascii="宋体" w:hAnsi="宋体" w:eastAsia="宋体" w:cs="宋体"/>
          <w:color w:val="auto"/>
          <w:kern w:val="0"/>
          <w:szCs w:val="21"/>
        </w:rPr>
        <w:t>），用水冲洗杯壁，加热定容50 mL容量瓶，混匀，待测）经ICP-AES测其残渣REO含量&lt;0.1%。因此，本实验选定硝酸（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）溶解熔盐电解回收料及钙热还原回收料。镧热还原回收料采用盐酸（1+1）+过氧化氢（30%）、硝酸（1+1）+过氧化氢（30%）、硝酸（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）溶解样品分别进行了试验。通过试验数据可知三种配合溶样方式基本相差不大，但综合考虑试验过程中选择了硝酸（1+1）+过氧化氢（30%）作为镧热还原回收料的溶解试剂。</w:t>
      </w:r>
    </w:p>
    <w:p>
      <w:pPr>
        <w:widowControl/>
        <w:spacing w:line="312" w:lineRule="auto"/>
        <w:ind w:firstLine="420"/>
        <w:jc w:val="left"/>
        <w:rPr>
          <w:rFonts w:ascii="宋体" w:hAnsi="宋体" w:eastAsia="宋体" w:cs="宋体"/>
          <w:color w:val="auto"/>
          <w:kern w:val="0"/>
          <w:szCs w:val="21"/>
        </w:rPr>
      </w:pPr>
      <w:r>
        <w:rPr>
          <w:rFonts w:hint="eastAsia" w:ascii="宋体" w:hAnsi="宋体" w:eastAsia="宋体" w:cs="宋体"/>
          <w:color w:val="auto"/>
          <w:kern w:val="0"/>
          <w:szCs w:val="21"/>
        </w:rPr>
        <w:t>注：但镧热还原回收料，试剂种类的确定此项指标最终参考了共同起草单位的建议：选择了硝酸（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）溶解样品。原因：考虑到方法的简洁统一性和回收料的复杂（可能沾污或混入氟化稀土），造成方法适用上的局限。</w:t>
      </w:r>
    </w:p>
    <w:p>
      <w:pPr>
        <w:widowControl/>
        <w:spacing w:line="312" w:lineRule="auto"/>
        <w:jc w:val="left"/>
        <w:rPr>
          <w:rFonts w:ascii="黑体" w:hAnsi="黑体" w:eastAsia="黑体" w:cs="黑体"/>
          <w:color w:val="auto"/>
          <w:kern w:val="0"/>
          <w:szCs w:val="21"/>
        </w:rPr>
      </w:pPr>
      <w:r>
        <w:rPr>
          <w:rFonts w:hint="eastAsia" w:ascii="黑体" w:hAnsi="黑体" w:eastAsia="黑体" w:cs="黑体"/>
          <w:color w:val="auto"/>
          <w:kern w:val="0"/>
          <w:szCs w:val="21"/>
        </w:rPr>
        <w:t>B、试剂用量的选择试验</w:t>
      </w:r>
    </w:p>
    <w:p>
      <w:pPr>
        <w:widowControl/>
        <w:spacing w:line="312" w:lineRule="auto"/>
        <w:ind w:firstLine="420"/>
        <w:jc w:val="left"/>
        <w:rPr>
          <w:rFonts w:ascii="宋体" w:hAnsi="宋体" w:eastAsia="宋体" w:cs="宋体"/>
          <w:kern w:val="0"/>
          <w:szCs w:val="21"/>
        </w:rPr>
      </w:pPr>
      <w:r>
        <w:rPr>
          <w:rFonts w:hint="eastAsia" w:ascii="宋体" w:hAnsi="宋体" w:eastAsia="宋体" w:cs="宋体"/>
          <w:kern w:val="0"/>
          <w:szCs w:val="21"/>
        </w:rPr>
        <w:t>称取统一样20HoFe01FH(熔盐电解回收料）、20LaF01FH（</w:t>
      </w:r>
      <w:r>
        <w:rPr>
          <w:rFonts w:hint="eastAsia" w:ascii="宋体" w:hAnsi="宋体" w:eastAsia="宋体" w:cs="宋体"/>
          <w:kern w:val="0"/>
          <w:szCs w:val="20"/>
        </w:rPr>
        <w:t>镧热还原回收试料）</w:t>
      </w:r>
      <w:r>
        <w:rPr>
          <w:rFonts w:hint="eastAsia" w:ascii="宋体" w:hAnsi="宋体" w:eastAsia="宋体" w:cs="宋体"/>
          <w:kern w:val="0"/>
          <w:szCs w:val="21"/>
        </w:rPr>
        <w:t>、20TbDy01FH(钙热还原回收试料) 2.50 g，精确至0.0001 g,按表3、表3续分别加入不同量的酸试剂，按试验报告步骤进行试验。</w:t>
      </w:r>
    </w:p>
    <w:p>
      <w:pPr>
        <w:spacing w:beforeLines="50" w:line="312" w:lineRule="auto"/>
        <w:jc w:val="center"/>
        <w:rPr>
          <w:rFonts w:eastAsia="黑体"/>
          <w:kern w:val="0"/>
          <w:szCs w:val="21"/>
        </w:rPr>
      </w:pPr>
      <w:r>
        <w:rPr>
          <w:rFonts w:hint="eastAsia" w:ascii="黑体" w:hAnsi="黑体" w:eastAsia="黑体" w:cs="黑体"/>
          <w:kern w:val="0"/>
          <w:szCs w:val="21"/>
          <w:lang w:eastAsia="en-US"/>
        </w:rPr>
        <w:t>表</w:t>
      </w:r>
      <w:r>
        <w:rPr>
          <w:rFonts w:hint="eastAsia" w:ascii="黑体" w:hAnsi="黑体" w:eastAsia="黑体" w:cs="黑体"/>
          <w:kern w:val="0"/>
          <w:szCs w:val="21"/>
        </w:rPr>
        <w:t>3  试剂用量试验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4282"/>
        <w:gridCol w:w="2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tcBorders>
              <w:bottom w:val="single" w:color="auto" w:sz="8" w:space="0"/>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样品编号</w:t>
            </w:r>
          </w:p>
        </w:tc>
        <w:tc>
          <w:tcPr>
            <w:tcW w:w="4282" w:type="dxa"/>
            <w:tcBorders>
              <w:bottom w:val="single" w:color="auto" w:sz="8" w:space="0"/>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酸用量</w:t>
            </w:r>
          </w:p>
        </w:tc>
        <w:tc>
          <w:tcPr>
            <w:tcW w:w="2765" w:type="dxa"/>
            <w:tcBorders>
              <w:bottom w:val="single" w:color="auto" w:sz="8" w:space="0"/>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稀土总量REO%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restart"/>
            <w:tcBorders>
              <w:top w:val="single" w:color="auto" w:sz="8" w:space="0"/>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20HoFe02FD</w:t>
            </w:r>
          </w:p>
        </w:tc>
        <w:tc>
          <w:tcPr>
            <w:tcW w:w="4282" w:type="dxa"/>
            <w:tcBorders>
              <w:top w:val="single" w:color="auto" w:sz="8" w:space="0"/>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（10mL）+H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（10mL）</w:t>
            </w:r>
          </w:p>
        </w:tc>
        <w:tc>
          <w:tcPr>
            <w:tcW w:w="2765" w:type="dxa"/>
            <w:tcBorders>
              <w:top w:val="single" w:color="auto" w:sz="8" w:space="0"/>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74.56、74.33、74.68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continue"/>
            <w:tcBorders>
              <w:tl2br w:val="nil"/>
              <w:tr2bl w:val="nil"/>
            </w:tcBorders>
            <w:vAlign w:val="center"/>
          </w:tcPr>
          <w:p>
            <w:pPr>
              <w:widowControl/>
              <w:tabs>
                <w:tab w:val="center" w:pos="4791"/>
              </w:tabs>
              <w:jc w:val="center"/>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74.73、74.81、74.56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continue"/>
            <w:tcBorders>
              <w:tl2br w:val="nil"/>
              <w:tr2bl w:val="nil"/>
            </w:tcBorders>
            <w:vAlign w:val="center"/>
          </w:tcPr>
          <w:p>
            <w:pPr>
              <w:widowControl/>
              <w:tabs>
                <w:tab w:val="center" w:pos="4791"/>
              </w:tabs>
              <w:jc w:val="center"/>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（20mL）+H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（20mL）</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74.67、74.88、74.51</w:t>
            </w:r>
          </w:p>
        </w:tc>
      </w:tr>
    </w:tbl>
    <w:p>
      <w:pPr>
        <w:jc w:val="center"/>
        <w:rPr>
          <w:rFonts w:hint="eastAsia" w:ascii="黑体" w:hAnsi="黑体" w:eastAsia="黑体" w:cs="黑体"/>
          <w:kern w:val="0"/>
          <w:szCs w:val="21"/>
          <w:lang w:eastAsia="en-US"/>
        </w:rPr>
      </w:pPr>
    </w:p>
    <w:p>
      <w:pPr>
        <w:jc w:val="center"/>
        <w:rPr>
          <w:rFonts w:hint="eastAsia" w:ascii="黑体" w:hAnsi="黑体" w:eastAsia="黑体" w:cs="黑体"/>
          <w:kern w:val="0"/>
          <w:szCs w:val="21"/>
          <w:lang w:eastAsia="en-US"/>
        </w:rPr>
      </w:pPr>
    </w:p>
    <w:p>
      <w:pPr>
        <w:jc w:val="center"/>
      </w:pPr>
      <w:r>
        <w:rPr>
          <w:rFonts w:hint="eastAsia" w:ascii="黑体" w:hAnsi="黑体" w:eastAsia="黑体" w:cs="黑体"/>
          <w:kern w:val="0"/>
          <w:szCs w:val="21"/>
          <w:lang w:eastAsia="en-US"/>
        </w:rPr>
        <w:t>表</w:t>
      </w:r>
      <w:r>
        <w:rPr>
          <w:rFonts w:hint="eastAsia" w:ascii="黑体" w:hAnsi="黑体" w:eastAsia="黑体" w:cs="黑体"/>
          <w:kern w:val="0"/>
          <w:szCs w:val="21"/>
        </w:rPr>
        <w:t>3  试剂用量试验</w:t>
      </w:r>
      <w:r>
        <w:rPr>
          <w:rFonts w:hint="eastAsia" w:ascii="宋体" w:hAnsi="宋体" w:eastAsia="宋体" w:cs="宋体"/>
          <w:kern w:val="0"/>
          <w:szCs w:val="21"/>
        </w:rPr>
        <w:t>（续）</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4282"/>
        <w:gridCol w:w="2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样品编号</w:t>
            </w:r>
          </w:p>
        </w:tc>
        <w:tc>
          <w:tcPr>
            <w:tcW w:w="4282"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酸用量</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稀土总量REO%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restart"/>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20TbDy01FH</w:t>
            </w: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（10mL）+H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（10mL）</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7.06、7.10、7.02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continue"/>
            <w:tcBorders>
              <w:tl2br w:val="nil"/>
              <w:tr2bl w:val="nil"/>
            </w:tcBorders>
            <w:vAlign w:val="center"/>
          </w:tcPr>
          <w:p>
            <w:pPr>
              <w:widowControl/>
              <w:tabs>
                <w:tab w:val="center" w:pos="4791"/>
              </w:tabs>
              <w:jc w:val="center"/>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（15mL）+H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（15mL）</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7.12、7.08、7.10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continue"/>
            <w:tcBorders>
              <w:tl2br w:val="nil"/>
              <w:tr2bl w:val="nil"/>
            </w:tcBorders>
            <w:vAlign w:val="center"/>
          </w:tcPr>
          <w:p>
            <w:pPr>
              <w:widowControl/>
              <w:tabs>
                <w:tab w:val="center" w:pos="4791"/>
              </w:tabs>
              <w:jc w:val="center"/>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（20mL）+H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（1mL）+HCLO</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（20mL）</w:t>
            </w:r>
          </w:p>
        </w:tc>
        <w:tc>
          <w:tcPr>
            <w:tcW w:w="2765" w:type="dxa"/>
            <w:tcBorders>
              <w:tl2br w:val="nil"/>
              <w:tr2bl w:val="nil"/>
            </w:tcBorders>
            <w:vAlign w:val="center"/>
          </w:tcPr>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7.07、7.15、7.09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2183" w:type="dxa"/>
            <w:vMerge w:val="restart"/>
            <w:tcBorders>
              <w:tl2br w:val="nil"/>
              <w:tr2bl w:val="nil"/>
            </w:tcBorders>
            <w:vAlign w:val="center"/>
          </w:tcPr>
          <w:p>
            <w:pPr>
              <w:widowControl/>
              <w:tabs>
                <w:tab w:val="center" w:pos="4791"/>
              </w:tabs>
              <w:jc w:val="center"/>
              <w:rPr>
                <w:rFonts w:ascii="宋体" w:hAnsi="宋体" w:eastAsia="宋体" w:cs="宋体"/>
                <w:kern w:val="0"/>
                <w:sz w:val="18"/>
                <w:szCs w:val="18"/>
              </w:rPr>
            </w:pPr>
          </w:p>
          <w:p>
            <w:pPr>
              <w:widowControl/>
              <w:tabs>
                <w:tab w:val="center" w:pos="4791"/>
              </w:tabs>
              <w:jc w:val="center"/>
              <w:rPr>
                <w:rFonts w:ascii="宋体" w:hAnsi="宋体" w:eastAsia="宋体" w:cs="宋体"/>
                <w:kern w:val="0"/>
                <w:sz w:val="18"/>
                <w:szCs w:val="18"/>
              </w:rPr>
            </w:pPr>
            <w:r>
              <w:rPr>
                <w:rFonts w:hint="eastAsia" w:ascii="宋体" w:hAnsi="宋体" w:eastAsia="宋体" w:cs="宋体"/>
                <w:kern w:val="0"/>
                <w:sz w:val="18"/>
                <w:szCs w:val="18"/>
              </w:rPr>
              <w:t>20LaF01FH</w:t>
            </w:r>
          </w:p>
          <w:p>
            <w:pPr>
              <w:widowControl/>
              <w:tabs>
                <w:tab w:val="center" w:pos="4791"/>
              </w:tabs>
              <w:ind w:firstLine="900" w:firstLineChars="500"/>
              <w:jc w:val="center"/>
              <w:rPr>
                <w:rFonts w:ascii="宋体" w:hAnsi="宋体" w:eastAsia="宋体" w:cs="宋体"/>
                <w:kern w:val="0"/>
                <w:sz w:val="18"/>
                <w:szCs w:val="18"/>
              </w:rPr>
            </w:pPr>
          </w:p>
          <w:p>
            <w:pPr>
              <w:widowControl/>
              <w:tabs>
                <w:tab w:val="center" w:pos="4791"/>
              </w:tabs>
              <w:jc w:val="center"/>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 xml:space="preserve">3 </w:t>
            </w:r>
            <w:r>
              <w:rPr>
                <w:rFonts w:hint="eastAsia" w:ascii="宋体" w:hAnsi="宋体" w:eastAsia="宋体" w:cs="宋体"/>
                <w:kern w:val="0"/>
                <w:sz w:val="18"/>
                <w:szCs w:val="18"/>
              </w:rPr>
              <w:t>(10mL)+ 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 xml:space="preserve"> 2</w:t>
            </w:r>
            <w:r>
              <w:rPr>
                <w:rFonts w:hint="eastAsia" w:ascii="宋体" w:hAnsi="宋体" w:eastAsia="宋体" w:cs="宋体"/>
                <w:kern w:val="0"/>
                <w:sz w:val="18"/>
                <w:szCs w:val="18"/>
              </w:rPr>
              <w:t>（1mL）</w:t>
            </w:r>
          </w:p>
        </w:tc>
        <w:tc>
          <w:tcPr>
            <w:tcW w:w="2765" w:type="dxa"/>
            <w:tcBorders>
              <w:tl2br w:val="nil"/>
              <w:tr2bl w:val="nil"/>
            </w:tcBorders>
            <w:vAlign w:val="center"/>
          </w:tcPr>
          <w:p>
            <w:pPr>
              <w:widowControl/>
              <w:tabs>
                <w:tab w:val="center" w:pos="4791"/>
              </w:tabs>
              <w:spacing w:afterLines="50"/>
              <w:jc w:val="center"/>
              <w:rPr>
                <w:rFonts w:ascii="宋体" w:hAnsi="宋体" w:eastAsia="宋体" w:cs="宋体"/>
                <w:kern w:val="0"/>
                <w:sz w:val="18"/>
                <w:szCs w:val="18"/>
              </w:rPr>
            </w:pPr>
            <w:r>
              <w:rPr>
                <w:rFonts w:hint="eastAsia" w:ascii="宋体" w:hAnsi="宋体" w:eastAsia="宋体" w:cs="宋体"/>
                <w:kern w:val="0"/>
                <w:sz w:val="18"/>
                <w:szCs w:val="18"/>
              </w:rPr>
              <w:t>87.59、87.48、87.62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 w:hRule="exact"/>
          <w:jc w:val="center"/>
        </w:trPr>
        <w:tc>
          <w:tcPr>
            <w:tcW w:w="2183" w:type="dxa"/>
            <w:vMerge w:val="continue"/>
            <w:tcBorders>
              <w:tl2br w:val="nil"/>
              <w:tr2bl w:val="nil"/>
            </w:tcBorders>
          </w:tcPr>
          <w:p>
            <w:pPr>
              <w:widowControl/>
              <w:tabs>
                <w:tab w:val="center" w:pos="4791"/>
              </w:tabs>
              <w:spacing w:afterLines="50"/>
              <w:jc w:val="left"/>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 xml:space="preserve">3 </w:t>
            </w:r>
            <w:r>
              <w:rPr>
                <w:rFonts w:hint="eastAsia" w:ascii="宋体" w:hAnsi="宋体" w:eastAsia="宋体" w:cs="宋体"/>
                <w:kern w:val="0"/>
                <w:sz w:val="18"/>
                <w:szCs w:val="18"/>
              </w:rPr>
              <w:t>(20mL)+ 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 xml:space="preserve"> 2</w:t>
            </w:r>
            <w:r>
              <w:rPr>
                <w:rFonts w:hint="eastAsia" w:ascii="宋体" w:hAnsi="宋体" w:eastAsia="宋体" w:cs="宋体"/>
                <w:kern w:val="0"/>
                <w:sz w:val="18"/>
                <w:szCs w:val="18"/>
              </w:rPr>
              <w:t>（1mL）</w:t>
            </w:r>
          </w:p>
        </w:tc>
        <w:tc>
          <w:tcPr>
            <w:tcW w:w="2765" w:type="dxa"/>
            <w:tcBorders>
              <w:tl2br w:val="nil"/>
              <w:tr2bl w:val="nil"/>
            </w:tcBorders>
            <w:vAlign w:val="center"/>
          </w:tcPr>
          <w:p>
            <w:pPr>
              <w:widowControl/>
              <w:tabs>
                <w:tab w:val="center" w:pos="4791"/>
              </w:tabs>
              <w:spacing w:afterLines="50"/>
              <w:jc w:val="center"/>
              <w:rPr>
                <w:rFonts w:ascii="宋体" w:hAnsi="宋体" w:eastAsia="宋体" w:cs="宋体"/>
                <w:kern w:val="0"/>
                <w:sz w:val="18"/>
                <w:szCs w:val="18"/>
              </w:rPr>
            </w:pPr>
            <w:r>
              <w:rPr>
                <w:rFonts w:hint="eastAsia" w:ascii="宋体" w:hAnsi="宋体" w:eastAsia="宋体" w:cs="宋体"/>
                <w:kern w:val="0"/>
                <w:sz w:val="18"/>
                <w:szCs w:val="18"/>
              </w:rPr>
              <w:t>87.65、87.79、87.89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2" w:hRule="exact"/>
          <w:jc w:val="center"/>
        </w:trPr>
        <w:tc>
          <w:tcPr>
            <w:tcW w:w="2183" w:type="dxa"/>
            <w:vMerge w:val="continue"/>
            <w:tcBorders>
              <w:tl2br w:val="nil"/>
              <w:tr2bl w:val="nil"/>
            </w:tcBorders>
          </w:tcPr>
          <w:p>
            <w:pPr>
              <w:widowControl/>
              <w:tabs>
                <w:tab w:val="center" w:pos="4791"/>
              </w:tabs>
              <w:spacing w:afterLines="50"/>
              <w:jc w:val="left"/>
              <w:rPr>
                <w:rFonts w:ascii="宋体" w:hAnsi="宋体" w:eastAsia="宋体" w:cs="宋体"/>
                <w:kern w:val="0"/>
                <w:sz w:val="18"/>
                <w:szCs w:val="18"/>
              </w:rPr>
            </w:pPr>
          </w:p>
        </w:tc>
        <w:tc>
          <w:tcPr>
            <w:tcW w:w="4282" w:type="dxa"/>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HNO</w:t>
            </w:r>
            <w:r>
              <w:rPr>
                <w:rFonts w:hint="eastAsia" w:ascii="宋体" w:hAnsi="宋体" w:eastAsia="宋体" w:cs="宋体"/>
                <w:kern w:val="0"/>
                <w:sz w:val="18"/>
                <w:szCs w:val="18"/>
                <w:vertAlign w:val="subscript"/>
              </w:rPr>
              <w:t xml:space="preserve">3 </w:t>
            </w:r>
            <w:r>
              <w:rPr>
                <w:rFonts w:hint="eastAsia" w:ascii="宋体" w:hAnsi="宋体" w:eastAsia="宋体" w:cs="宋体"/>
                <w:kern w:val="0"/>
                <w:sz w:val="18"/>
                <w:szCs w:val="18"/>
              </w:rPr>
              <w:t>(30mL)+ H</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 xml:space="preserve"> 2</w:t>
            </w:r>
            <w:r>
              <w:rPr>
                <w:rFonts w:hint="eastAsia" w:ascii="宋体" w:hAnsi="宋体" w:eastAsia="宋体" w:cs="宋体"/>
                <w:kern w:val="0"/>
                <w:sz w:val="18"/>
                <w:szCs w:val="18"/>
              </w:rPr>
              <w:t>（1mL）</w:t>
            </w:r>
          </w:p>
        </w:tc>
        <w:tc>
          <w:tcPr>
            <w:tcW w:w="2765" w:type="dxa"/>
            <w:tcBorders>
              <w:tl2br w:val="nil"/>
              <w:tr2bl w:val="nil"/>
            </w:tcBorders>
            <w:vAlign w:val="center"/>
          </w:tcPr>
          <w:p>
            <w:pPr>
              <w:widowControl/>
              <w:tabs>
                <w:tab w:val="center" w:pos="4791"/>
              </w:tabs>
              <w:spacing w:afterLines="50"/>
              <w:jc w:val="center"/>
              <w:rPr>
                <w:rFonts w:ascii="宋体" w:hAnsi="宋体" w:eastAsia="宋体" w:cs="宋体"/>
                <w:kern w:val="0"/>
                <w:sz w:val="18"/>
                <w:szCs w:val="18"/>
              </w:rPr>
            </w:pPr>
            <w:r>
              <w:rPr>
                <w:rFonts w:hint="eastAsia" w:ascii="宋体" w:hAnsi="宋体" w:eastAsia="宋体" w:cs="宋体"/>
                <w:kern w:val="0"/>
                <w:sz w:val="18"/>
                <w:szCs w:val="18"/>
              </w:rPr>
              <w:t>87.70、87.61、87.91</w:t>
            </w:r>
          </w:p>
          <w:p>
            <w:pPr>
              <w:widowControl/>
              <w:tabs>
                <w:tab w:val="center" w:pos="4791"/>
              </w:tabs>
              <w:spacing w:afterLines="50"/>
              <w:ind w:firstLine="900" w:firstLineChars="500"/>
              <w:jc w:val="center"/>
              <w:rPr>
                <w:rFonts w:ascii="宋体" w:hAnsi="宋体" w:eastAsia="宋体" w:cs="宋体"/>
                <w:kern w:val="0"/>
                <w:sz w:val="18"/>
                <w:szCs w:val="18"/>
              </w:rPr>
            </w:pPr>
          </w:p>
        </w:tc>
      </w:tr>
    </w:tbl>
    <w:p>
      <w:pPr>
        <w:widowControl/>
        <w:wordWrap w:val="0"/>
        <w:adjustRightInd w:val="0"/>
        <w:snapToGrid w:val="0"/>
        <w:spacing w:beforeLines="50" w:line="312" w:lineRule="auto"/>
        <w:ind w:firstLine="420" w:firstLineChars="200"/>
        <w:rPr>
          <w:rFonts w:ascii="宋体" w:hAnsi="宋体" w:cs="宋体"/>
          <w:kern w:val="0"/>
          <w:szCs w:val="21"/>
        </w:rPr>
      </w:pPr>
      <w:r>
        <w:rPr>
          <w:rFonts w:hint="eastAsia" w:ascii="宋体" w:hAnsi="宋体" w:cs="宋体"/>
          <w:kern w:val="0"/>
          <w:szCs w:val="21"/>
        </w:rPr>
        <w:t>由表2可知，15mL～20 mL硝酸（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w:t>
      </w:r>
      <w:r>
        <w:rPr>
          <w:rFonts w:hint="eastAsia" w:ascii="Times New Roman" w:hAnsi="Times New Roman"/>
          <w:szCs w:val="21"/>
        </w:rPr>
        <w:t>42</w:t>
      </w:r>
      <w:r>
        <w:rPr>
          <w:rFonts w:ascii="Times New Roman" w:hAnsi="Times New Roman"/>
          <w:szCs w:val="21"/>
        </w:rPr>
        <w:t>g/mL</w:t>
      </w:r>
      <w:r>
        <w:rPr>
          <w:rFonts w:hint="eastAsia" w:ascii="宋体" w:hAnsi="宋体" w:cs="宋体"/>
          <w:kern w:val="0"/>
          <w:szCs w:val="21"/>
        </w:rPr>
        <w:t>）+15mL～20 mL 高氯酸（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1.67g/mL</w:t>
      </w:r>
      <w:r>
        <w:rPr>
          <w:rFonts w:hint="eastAsia" w:ascii="宋体" w:hAnsi="宋体" w:cs="宋体"/>
          <w:kern w:val="0"/>
          <w:szCs w:val="21"/>
        </w:rPr>
        <w:t>）的加入量对熔盐电解回收料及钙热还原回收试料总量测定极差较小，本实验选择采用15</w:t>
      </w:r>
      <w:r>
        <w:rPr>
          <w:rFonts w:hint="eastAsia" w:ascii="宋体" w:hAnsi="宋体" w:cs="宋体"/>
          <w:kern w:val="0"/>
          <w:szCs w:val="21"/>
          <w:vertAlign w:val="subscript"/>
        </w:rPr>
        <w:t xml:space="preserve"> </w:t>
      </w:r>
      <w:r>
        <w:rPr>
          <w:rFonts w:hint="eastAsia" w:ascii="宋体" w:hAnsi="宋体" w:cs="宋体"/>
          <w:kern w:val="0"/>
          <w:szCs w:val="21"/>
        </w:rPr>
        <w:t>mL硝酸（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w:t>
      </w:r>
      <w:r>
        <w:rPr>
          <w:rFonts w:hint="eastAsia" w:ascii="Times New Roman" w:hAnsi="Times New Roman"/>
          <w:szCs w:val="21"/>
        </w:rPr>
        <w:t>42</w:t>
      </w:r>
      <w:r>
        <w:rPr>
          <w:rFonts w:ascii="Times New Roman" w:hAnsi="Times New Roman"/>
          <w:szCs w:val="21"/>
        </w:rPr>
        <w:t>g/mL</w:t>
      </w:r>
      <w:r>
        <w:rPr>
          <w:rFonts w:hint="eastAsia" w:ascii="宋体" w:hAnsi="宋体" w:cs="宋体"/>
          <w:kern w:val="0"/>
          <w:szCs w:val="21"/>
        </w:rPr>
        <w:t>）+1</w:t>
      </w:r>
      <w:r>
        <w:rPr>
          <w:rFonts w:hint="eastAsia" w:ascii="宋体" w:hAnsi="宋体" w:cs="宋体"/>
          <w:kern w:val="0"/>
          <w:szCs w:val="21"/>
          <w:vertAlign w:val="subscript"/>
        </w:rPr>
        <w:t xml:space="preserve"> </w:t>
      </w:r>
      <w:r>
        <w:rPr>
          <w:rFonts w:hint="eastAsia" w:ascii="宋体" w:hAnsi="宋体" w:cs="宋体"/>
          <w:kern w:val="0"/>
          <w:szCs w:val="21"/>
        </w:rPr>
        <w:t>mL</w:t>
      </w:r>
      <w:r>
        <w:rPr>
          <w:rFonts w:hint="eastAsia" w:ascii="宋体" w:hAnsi="宋体" w:cs="宋体"/>
          <w:color w:val="auto"/>
          <w:kern w:val="0"/>
          <w:szCs w:val="21"/>
        </w:rPr>
        <w:t>过氧化氢助溶（</w:t>
      </w:r>
      <w:r>
        <w:rPr>
          <w:rFonts w:hint="eastAsia" w:ascii="宋体" w:hAnsi="宋体" w:eastAsia="宋体" w:cs="宋体"/>
          <w:color w:val="auto"/>
          <w:kern w:val="0"/>
          <w:szCs w:val="21"/>
        </w:rPr>
        <w:t>30%</w:t>
      </w:r>
      <w:r>
        <w:rPr>
          <w:rFonts w:hint="eastAsia" w:ascii="宋体" w:hAnsi="宋体" w:cs="宋体"/>
          <w:color w:val="auto"/>
          <w:kern w:val="0"/>
          <w:szCs w:val="21"/>
        </w:rPr>
        <w:t>）+15 mL高氯</w:t>
      </w:r>
      <w:r>
        <w:rPr>
          <w:rFonts w:hint="eastAsia" w:ascii="宋体" w:hAnsi="宋体" w:cs="宋体"/>
          <w:kern w:val="0"/>
          <w:szCs w:val="21"/>
        </w:rPr>
        <w:t>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1.67g/mL</w:t>
      </w:r>
      <w:r>
        <w:rPr>
          <w:rFonts w:ascii="宋体" w:hAnsi="宋体" w:cs="宋体"/>
          <w:kern w:val="0"/>
          <w:szCs w:val="21"/>
        </w:rPr>
        <w:t>）</w:t>
      </w:r>
      <w:r>
        <w:rPr>
          <w:rFonts w:hint="eastAsia" w:ascii="宋体" w:hAnsi="宋体" w:cs="宋体"/>
          <w:kern w:val="0"/>
          <w:szCs w:val="21"/>
        </w:rPr>
        <w:t>作为溶解熔盐电解回收料及钙热还原回收试料的酸用量。镧热还原回收试料硝酸(1+1) 加入量20mL～30 mL 均可，本实验采用20 mL 硝酸(1+1)溶解试样。</w:t>
      </w:r>
    </w:p>
    <w:p>
      <w:pPr>
        <w:widowControl/>
        <w:wordWrap w:val="0"/>
        <w:adjustRightInd w:val="0"/>
        <w:snapToGrid w:val="0"/>
        <w:spacing w:beforeLines="50" w:line="312" w:lineRule="auto"/>
        <w:ind w:firstLine="420" w:firstLineChars="200"/>
        <w:rPr>
          <w:rFonts w:ascii="宋体" w:hAnsi="宋体" w:cs="宋体"/>
          <w:color w:val="auto"/>
          <w:kern w:val="0"/>
          <w:szCs w:val="21"/>
        </w:rPr>
      </w:pPr>
      <w:r>
        <w:rPr>
          <w:rFonts w:hint="eastAsia" w:ascii="宋体" w:hAnsi="宋体" w:cs="宋体"/>
          <w:color w:val="auto"/>
          <w:kern w:val="0"/>
          <w:szCs w:val="21"/>
        </w:rPr>
        <w:t>注：但对于镧热还原回收料，试剂用量此指标最终参考了共同起草单位的建议：采用了与其它回收料一致的</w:t>
      </w:r>
      <w:r>
        <w:rPr>
          <w:rFonts w:hint="eastAsia" w:ascii="宋体" w:hAnsi="宋体" w:eastAsia="宋体" w:cs="宋体"/>
          <w:color w:val="auto"/>
          <w:kern w:val="0"/>
          <w:szCs w:val="21"/>
        </w:rPr>
        <w:t>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eastAsia="宋体" w:cs="宋体"/>
          <w:color w:val="auto"/>
          <w:kern w:val="0"/>
          <w:szCs w:val="21"/>
        </w:rPr>
        <w:t>）+过氧化氢（30%）+高氯酸（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eastAsia="宋体" w:cs="宋体"/>
          <w:color w:val="auto"/>
          <w:kern w:val="0"/>
          <w:szCs w:val="21"/>
        </w:rPr>
        <w:t>）溶解样品。用量确定为：</w:t>
      </w:r>
      <w:r>
        <w:rPr>
          <w:rFonts w:hint="eastAsia" w:ascii="宋体" w:hAnsi="宋体" w:cs="宋体"/>
          <w:color w:val="auto"/>
          <w:kern w:val="0"/>
          <w:szCs w:val="21"/>
        </w:rPr>
        <w:t>15 mL硝酸（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w:t>
      </w:r>
      <w:r>
        <w:rPr>
          <w:rFonts w:hint="eastAsia" w:ascii="Times New Roman" w:hAnsi="Times New Roman"/>
          <w:color w:val="auto"/>
          <w:szCs w:val="21"/>
        </w:rPr>
        <w:t>42</w:t>
      </w:r>
      <w:r>
        <w:rPr>
          <w:rFonts w:ascii="Times New Roman" w:hAnsi="Times New Roman"/>
          <w:color w:val="auto"/>
          <w:szCs w:val="21"/>
        </w:rPr>
        <w:t>g/mL</w:t>
      </w:r>
      <w:r>
        <w:rPr>
          <w:rFonts w:hint="eastAsia" w:ascii="宋体" w:hAnsi="宋体" w:cs="宋体"/>
          <w:color w:val="auto"/>
          <w:kern w:val="0"/>
          <w:szCs w:val="21"/>
        </w:rPr>
        <w:t>）+ 1</w:t>
      </w:r>
      <w:r>
        <w:rPr>
          <w:rFonts w:hint="eastAsia" w:ascii="宋体" w:hAnsi="宋体" w:cs="宋体"/>
          <w:color w:val="auto"/>
          <w:kern w:val="0"/>
          <w:szCs w:val="21"/>
          <w:vertAlign w:val="subscript"/>
        </w:rPr>
        <w:t xml:space="preserve"> </w:t>
      </w:r>
      <w:r>
        <w:rPr>
          <w:rFonts w:hint="eastAsia" w:ascii="宋体" w:hAnsi="宋体" w:cs="宋体"/>
          <w:color w:val="auto"/>
          <w:kern w:val="0"/>
          <w:szCs w:val="21"/>
        </w:rPr>
        <w:t>mL过氧化氢助溶（</w:t>
      </w:r>
      <w:r>
        <w:rPr>
          <w:rFonts w:hint="eastAsia" w:ascii="宋体" w:hAnsi="宋体" w:eastAsia="宋体" w:cs="宋体"/>
          <w:color w:val="auto"/>
          <w:kern w:val="0"/>
          <w:szCs w:val="21"/>
        </w:rPr>
        <w:t>30%</w:t>
      </w:r>
      <w:r>
        <w:rPr>
          <w:rFonts w:hint="eastAsia" w:ascii="宋体" w:hAnsi="宋体" w:cs="宋体"/>
          <w:color w:val="auto"/>
          <w:kern w:val="0"/>
          <w:szCs w:val="21"/>
        </w:rPr>
        <w:t>）+ 5 mL高氯酸（</w:t>
      </w:r>
      <w:r>
        <w:rPr>
          <w:rFonts w:ascii="Times New Roman" w:hAnsi="Times New Roman"/>
          <w:color w:val="auto"/>
          <w:szCs w:val="21"/>
        </w:rPr>
        <w:t>ρ</w:t>
      </w:r>
      <w:r>
        <w:rPr>
          <w:rFonts w:hint="eastAsia" w:ascii="Times New Roman" w:hAnsi="Times New Roman"/>
          <w:color w:val="auto"/>
          <w:szCs w:val="21"/>
        </w:rPr>
        <w:t xml:space="preserve"> </w:t>
      </w:r>
      <w:r>
        <w:rPr>
          <w:rFonts w:ascii="Times New Roman" w:hAnsi="Times New Roman"/>
          <w:color w:val="auto"/>
          <w:szCs w:val="21"/>
        </w:rPr>
        <w:t>1.67g/mL</w:t>
      </w:r>
      <w:r>
        <w:rPr>
          <w:rFonts w:hint="eastAsia" w:ascii="宋体" w:hAnsi="宋体" w:cs="宋体"/>
          <w:color w:val="auto"/>
          <w:kern w:val="0"/>
          <w:szCs w:val="21"/>
        </w:rPr>
        <w:t>）</w:t>
      </w:r>
    </w:p>
    <w:p>
      <w:pPr>
        <w:widowControl/>
        <w:numPr>
          <w:ilvl w:val="0"/>
          <w:numId w:val="18"/>
        </w:numPr>
        <w:wordWrap w:val="0"/>
        <w:adjustRightInd w:val="0"/>
        <w:snapToGrid w:val="0"/>
        <w:spacing w:beforeLines="50" w:afterLines="50" w:line="312" w:lineRule="auto"/>
        <w:rPr>
          <w:rFonts w:ascii="黑体" w:hAnsi="黑体" w:eastAsia="黑体" w:cs="黑体"/>
          <w:kern w:val="0"/>
          <w:szCs w:val="22"/>
        </w:rPr>
      </w:pPr>
      <w:r>
        <w:rPr>
          <w:rFonts w:hint="eastAsia" w:ascii="黑体" w:hAnsi="黑体" w:eastAsia="黑体" w:cs="黑体"/>
          <w:kern w:val="0"/>
          <w:szCs w:val="22"/>
        </w:rPr>
        <w:t>样品称取量的选择试验</w:t>
      </w:r>
    </w:p>
    <w:p>
      <w:pPr>
        <w:widowControl/>
        <w:tabs>
          <w:tab w:val="center" w:pos="4791"/>
        </w:tabs>
        <w:spacing w:line="312" w:lineRule="auto"/>
        <w:ind w:firstLine="420" w:firstLineChars="200"/>
        <w:rPr>
          <w:rFonts w:ascii="宋体" w:hAnsi="宋体" w:eastAsia="宋体" w:cs="宋体"/>
          <w:kern w:val="0"/>
          <w:szCs w:val="21"/>
        </w:rPr>
      </w:pPr>
      <w:r>
        <w:rPr>
          <w:rFonts w:hint="eastAsia" w:ascii="宋体" w:hAnsi="宋体" w:eastAsia="宋体" w:cs="宋体"/>
          <w:kern w:val="0"/>
          <w:szCs w:val="21"/>
        </w:rPr>
        <w:t>按稀土火法冶炼回收料分类，以电解回收料</w:t>
      </w:r>
      <w:r>
        <w:rPr>
          <w:rFonts w:hint="eastAsia" w:ascii="宋体" w:hAnsi="宋体" w:eastAsia="宋体" w:cs="宋体"/>
          <w:kern w:val="0"/>
          <w:szCs w:val="20"/>
        </w:rPr>
        <w:t>20HoFe02FH及热还原回收试料</w:t>
      </w:r>
      <w:r>
        <w:rPr>
          <w:rFonts w:hint="eastAsia" w:ascii="宋体" w:hAnsi="宋体" w:eastAsia="宋体" w:cs="宋体"/>
          <w:kern w:val="0"/>
          <w:szCs w:val="21"/>
        </w:rPr>
        <w:t>20LaF01FH为代表，按试验报告分析步骤进行测定，考察样品称样量。由表4可知，称样质量在1.0g～2.50g时，稀土总量测定结果极差较小，但考虑到稀土火法冶炼回收料在实际过程中均匀性问题存在，本实验选择称样量为2.5 0g。</w:t>
      </w:r>
    </w:p>
    <w:p>
      <w:pPr>
        <w:widowControl/>
        <w:tabs>
          <w:tab w:val="center" w:pos="4791"/>
        </w:tabs>
        <w:spacing w:line="312" w:lineRule="auto"/>
        <w:ind w:firstLine="420" w:firstLineChars="200"/>
        <w:rPr>
          <w:rFonts w:ascii="宋体" w:hAnsi="宋体" w:eastAsia="宋体" w:cs="宋体"/>
          <w:kern w:val="0"/>
          <w:szCs w:val="21"/>
        </w:rPr>
      </w:pPr>
      <w:r>
        <w:rPr>
          <w:rFonts w:hint="eastAsia" w:ascii="宋体" w:hAnsi="宋体" w:eastAsia="宋体" w:cs="宋体"/>
          <w:kern w:val="0"/>
          <w:szCs w:val="21"/>
        </w:rPr>
        <w:t>注：对于稀土总量</w:t>
      </w:r>
      <w:r>
        <w:rPr>
          <w:rFonts w:hint="eastAsia" w:ascii="宋体" w:hAnsi="宋体" w:cs="宋体"/>
          <w:sz w:val="18"/>
          <w:szCs w:val="18"/>
        </w:rPr>
        <w:t>   5%</w:t>
      </w:r>
      <w:r>
        <w:rPr>
          <w:rFonts w:hint="eastAsia" w:ascii="宋体" w:hAnsi="宋体" w:cs="宋体"/>
          <w:kern w:val="0"/>
          <w:sz w:val="18"/>
          <w:szCs w:val="18"/>
        </w:rPr>
        <w:t>～</w:t>
      </w:r>
      <w:r>
        <w:rPr>
          <w:rFonts w:hint="eastAsia" w:ascii="宋体" w:hAnsi="宋体" w:cs="宋体"/>
          <w:sz w:val="18"/>
          <w:szCs w:val="18"/>
        </w:rPr>
        <w:t>10%样品参考了共同起草单位建议最终确定为称取样品量为2.00</w:t>
      </w:r>
      <w:r>
        <w:rPr>
          <w:rFonts w:hint="eastAsia" w:ascii="宋体" w:hAnsi="宋体" w:eastAsia="宋体" w:cs="宋体"/>
          <w:kern w:val="0"/>
          <w:szCs w:val="21"/>
        </w:rPr>
        <w:t>g。</w:t>
      </w:r>
    </w:p>
    <w:p>
      <w:pPr>
        <w:widowControl/>
        <w:tabs>
          <w:tab w:val="center" w:pos="4791"/>
        </w:tabs>
        <w:spacing w:beforeLines="50" w:line="312" w:lineRule="auto"/>
        <w:ind w:firstLine="420" w:firstLineChars="200"/>
        <w:jc w:val="center"/>
        <w:rPr>
          <w:rFonts w:ascii="宋体" w:hAnsi="宋体" w:eastAsia="黑体" w:cs="宋体"/>
          <w:kern w:val="0"/>
          <w:szCs w:val="21"/>
        </w:rPr>
      </w:pPr>
      <w:r>
        <w:rPr>
          <w:rFonts w:hint="eastAsia" w:ascii="黑体" w:hAnsi="黑体" w:eastAsia="黑体" w:cs="黑体"/>
          <w:kern w:val="0"/>
          <w:szCs w:val="21"/>
          <w:lang w:eastAsia="en-US"/>
        </w:rPr>
        <w:t>表</w:t>
      </w:r>
      <w:r>
        <w:rPr>
          <w:rFonts w:hint="eastAsia" w:ascii="黑体" w:hAnsi="黑体" w:eastAsia="黑体" w:cs="黑体"/>
          <w:kern w:val="0"/>
          <w:szCs w:val="21"/>
        </w:rPr>
        <w:t>4  称样量的确定试验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286"/>
        <w:gridCol w:w="2291"/>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tcBorders>
              <w:bottom w:val="single" w:color="auto" w:sz="8" w:space="0"/>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样品编号</w:t>
            </w:r>
          </w:p>
        </w:tc>
        <w:tc>
          <w:tcPr>
            <w:tcW w:w="2286" w:type="dxa"/>
            <w:tcBorders>
              <w:bottom w:val="single" w:color="auto" w:sz="8" w:space="0"/>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称样量（g）</w:t>
            </w:r>
          </w:p>
        </w:tc>
        <w:tc>
          <w:tcPr>
            <w:tcW w:w="2291" w:type="dxa"/>
            <w:tcBorders>
              <w:bottom w:val="single" w:color="auto" w:sz="8" w:space="0"/>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分取比例</w:t>
            </w:r>
          </w:p>
        </w:tc>
        <w:tc>
          <w:tcPr>
            <w:tcW w:w="2300" w:type="dxa"/>
            <w:tcBorders>
              <w:bottom w:val="single" w:color="auto" w:sz="8" w:space="0"/>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测定值REO%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vMerge w:val="restart"/>
            <w:tcBorders>
              <w:top w:val="single" w:color="auto" w:sz="8" w:space="0"/>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20HoFe02FD</w:t>
            </w:r>
          </w:p>
        </w:tc>
        <w:tc>
          <w:tcPr>
            <w:tcW w:w="2286" w:type="dxa"/>
            <w:tcBorders>
              <w:top w:val="single" w:color="auto" w:sz="8" w:space="0"/>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0.30</w:t>
            </w:r>
          </w:p>
        </w:tc>
        <w:tc>
          <w:tcPr>
            <w:tcW w:w="2291" w:type="dxa"/>
            <w:tcBorders>
              <w:top w:val="single" w:color="auto" w:sz="8" w:space="0"/>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全量</w:t>
            </w:r>
          </w:p>
        </w:tc>
        <w:tc>
          <w:tcPr>
            <w:tcW w:w="2300" w:type="dxa"/>
            <w:tcBorders>
              <w:top w:val="single" w:color="auto" w:sz="8" w:space="0"/>
              <w:tl2br w:val="nil"/>
              <w:tr2bl w:val="nil"/>
            </w:tcBorders>
          </w:tcPr>
          <w:p>
            <w:pPr>
              <w:widowControl/>
              <w:tabs>
                <w:tab w:val="center" w:pos="4791"/>
              </w:tabs>
              <w:jc w:val="center"/>
              <w:rPr>
                <w:rFonts w:ascii="宋体" w:hAnsi="宋体" w:eastAsia="宋体" w:cs="宋体"/>
                <w:kern w:val="0"/>
                <w:sz w:val="18"/>
                <w:szCs w:val="18"/>
              </w:rPr>
            </w:pPr>
            <w:r>
              <w:rPr>
                <w:rFonts w:hint="eastAsia" w:ascii="宋体" w:hAnsi="宋体" w:cs="宋体"/>
                <w:kern w:val="0"/>
                <w:sz w:val="18"/>
                <w:szCs w:val="18"/>
              </w:rPr>
              <w:t>74.36、74.99、74.57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vMerge w:val="continue"/>
            <w:tcBorders>
              <w:tl2br w:val="nil"/>
              <w:tr2bl w:val="nil"/>
            </w:tcBorders>
            <w:vAlign w:val="center"/>
          </w:tcPr>
          <w:p>
            <w:pPr>
              <w:widowControl/>
              <w:tabs>
                <w:tab w:val="center" w:pos="4791"/>
              </w:tabs>
              <w:jc w:val="center"/>
              <w:rPr>
                <w:rFonts w:ascii="宋体" w:hAnsi="宋体" w:cs="宋体"/>
                <w:kern w:val="0"/>
                <w:sz w:val="18"/>
                <w:szCs w:val="18"/>
              </w:rPr>
            </w:pPr>
          </w:p>
        </w:tc>
        <w:tc>
          <w:tcPr>
            <w:tcW w:w="2286"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1.0</w:t>
            </w:r>
          </w:p>
        </w:tc>
        <w:tc>
          <w:tcPr>
            <w:tcW w:w="2291"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20/100</w:t>
            </w:r>
          </w:p>
        </w:tc>
        <w:tc>
          <w:tcPr>
            <w:tcW w:w="2300" w:type="dxa"/>
            <w:tcBorders>
              <w:tl2br w:val="nil"/>
              <w:tr2bl w:val="nil"/>
            </w:tcBorders>
          </w:tcPr>
          <w:p>
            <w:pPr>
              <w:widowControl/>
              <w:tabs>
                <w:tab w:val="center" w:pos="4791"/>
              </w:tabs>
              <w:jc w:val="center"/>
              <w:rPr>
                <w:rFonts w:ascii="宋体" w:hAnsi="宋体" w:eastAsia="宋体" w:cs="宋体"/>
                <w:kern w:val="0"/>
                <w:sz w:val="18"/>
                <w:szCs w:val="18"/>
              </w:rPr>
            </w:pPr>
            <w:r>
              <w:rPr>
                <w:rFonts w:hint="eastAsia" w:ascii="宋体" w:hAnsi="宋体" w:cs="宋体"/>
                <w:kern w:val="0"/>
                <w:sz w:val="18"/>
                <w:szCs w:val="18"/>
              </w:rPr>
              <w:t>74.65、74.57、74.90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vMerge w:val="continue"/>
            <w:tcBorders>
              <w:tl2br w:val="nil"/>
              <w:tr2bl w:val="nil"/>
            </w:tcBorders>
            <w:vAlign w:val="center"/>
          </w:tcPr>
          <w:p>
            <w:pPr>
              <w:widowControl/>
              <w:tabs>
                <w:tab w:val="center" w:pos="4791"/>
              </w:tabs>
              <w:jc w:val="center"/>
              <w:rPr>
                <w:rFonts w:ascii="宋体" w:hAnsi="宋体" w:cs="宋体"/>
                <w:kern w:val="0"/>
                <w:sz w:val="18"/>
                <w:szCs w:val="18"/>
              </w:rPr>
            </w:pPr>
          </w:p>
        </w:tc>
        <w:tc>
          <w:tcPr>
            <w:tcW w:w="2286"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2.50</w:t>
            </w:r>
          </w:p>
        </w:tc>
        <w:tc>
          <w:tcPr>
            <w:tcW w:w="2291"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10/100</w:t>
            </w:r>
          </w:p>
        </w:tc>
        <w:tc>
          <w:tcPr>
            <w:tcW w:w="2300" w:type="dxa"/>
            <w:tcBorders>
              <w:tl2br w:val="nil"/>
              <w:tr2bl w:val="nil"/>
            </w:tcBorders>
          </w:tcPr>
          <w:p>
            <w:pPr>
              <w:widowControl/>
              <w:tabs>
                <w:tab w:val="center" w:pos="4791"/>
              </w:tabs>
              <w:jc w:val="center"/>
              <w:rPr>
                <w:rFonts w:ascii="宋体" w:hAnsi="宋体" w:eastAsia="宋体" w:cs="宋体"/>
                <w:kern w:val="0"/>
                <w:sz w:val="18"/>
                <w:szCs w:val="18"/>
              </w:rPr>
            </w:pPr>
            <w:r>
              <w:rPr>
                <w:rFonts w:hint="eastAsia" w:ascii="宋体" w:hAnsi="宋体" w:cs="宋体"/>
                <w:kern w:val="0"/>
                <w:sz w:val="18"/>
                <w:szCs w:val="18"/>
              </w:rPr>
              <w:t>74.90、74.67、74.86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2353" w:type="dxa"/>
            <w:vMerge w:val="restart"/>
            <w:tcBorders>
              <w:tl2br w:val="nil"/>
              <w:tr2bl w:val="nil"/>
            </w:tcBorders>
            <w:vAlign w:val="center"/>
          </w:tcPr>
          <w:p>
            <w:pPr>
              <w:widowControl/>
              <w:tabs>
                <w:tab w:val="center" w:pos="4791"/>
              </w:tabs>
              <w:ind w:firstLine="630" w:firstLineChars="350"/>
              <w:rPr>
                <w:rFonts w:ascii="宋体" w:hAnsi="宋体" w:cs="宋体"/>
                <w:kern w:val="0"/>
                <w:sz w:val="18"/>
                <w:szCs w:val="18"/>
              </w:rPr>
            </w:pPr>
            <w:r>
              <w:rPr>
                <w:rFonts w:hint="eastAsia" w:ascii="宋体" w:hAnsi="宋体" w:cs="宋体"/>
                <w:kern w:val="0"/>
                <w:sz w:val="18"/>
                <w:szCs w:val="18"/>
              </w:rPr>
              <w:t>20LaF01FH</w:t>
            </w:r>
          </w:p>
        </w:tc>
        <w:tc>
          <w:tcPr>
            <w:tcW w:w="2286"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0.30</w:t>
            </w:r>
          </w:p>
        </w:tc>
        <w:tc>
          <w:tcPr>
            <w:tcW w:w="2291"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全量</w:t>
            </w:r>
          </w:p>
        </w:tc>
        <w:tc>
          <w:tcPr>
            <w:tcW w:w="2300" w:type="dxa"/>
            <w:tcBorders>
              <w:tl2br w:val="nil"/>
              <w:tr2bl w:val="nil"/>
            </w:tcBorders>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88.15、87.61、87.47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vMerge w:val="continue"/>
            <w:tcBorders>
              <w:tl2br w:val="nil"/>
              <w:tr2bl w:val="nil"/>
            </w:tcBorders>
          </w:tcPr>
          <w:p>
            <w:pPr>
              <w:widowControl/>
              <w:tabs>
                <w:tab w:val="center" w:pos="4791"/>
              </w:tabs>
              <w:rPr>
                <w:rFonts w:ascii="宋体" w:hAnsi="宋体" w:cs="宋体"/>
                <w:kern w:val="0"/>
                <w:sz w:val="18"/>
                <w:szCs w:val="18"/>
              </w:rPr>
            </w:pPr>
          </w:p>
        </w:tc>
        <w:tc>
          <w:tcPr>
            <w:tcW w:w="2286"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1.0</w:t>
            </w:r>
          </w:p>
        </w:tc>
        <w:tc>
          <w:tcPr>
            <w:tcW w:w="2291"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20/100</w:t>
            </w:r>
          </w:p>
        </w:tc>
        <w:tc>
          <w:tcPr>
            <w:tcW w:w="2300" w:type="dxa"/>
            <w:tcBorders>
              <w:tl2br w:val="nil"/>
              <w:tr2bl w:val="nil"/>
            </w:tcBorders>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87.56、87.83、87.62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3" w:type="dxa"/>
            <w:vMerge w:val="continue"/>
            <w:tcBorders>
              <w:tl2br w:val="nil"/>
              <w:tr2bl w:val="nil"/>
            </w:tcBorders>
          </w:tcPr>
          <w:p>
            <w:pPr>
              <w:widowControl/>
              <w:tabs>
                <w:tab w:val="center" w:pos="4791"/>
              </w:tabs>
              <w:rPr>
                <w:rFonts w:ascii="宋体" w:hAnsi="宋体" w:cs="宋体"/>
                <w:kern w:val="0"/>
                <w:sz w:val="18"/>
                <w:szCs w:val="18"/>
              </w:rPr>
            </w:pPr>
          </w:p>
        </w:tc>
        <w:tc>
          <w:tcPr>
            <w:tcW w:w="2286"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 xml:space="preserve"> 2.50</w:t>
            </w:r>
          </w:p>
        </w:tc>
        <w:tc>
          <w:tcPr>
            <w:tcW w:w="2291" w:type="dxa"/>
            <w:tcBorders>
              <w:tl2br w:val="nil"/>
              <w:tr2bl w:val="nil"/>
            </w:tcBorders>
            <w:vAlign w:val="center"/>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10/100</w:t>
            </w:r>
          </w:p>
        </w:tc>
        <w:tc>
          <w:tcPr>
            <w:tcW w:w="2300" w:type="dxa"/>
            <w:tcBorders>
              <w:tl2br w:val="nil"/>
              <w:tr2bl w:val="nil"/>
            </w:tcBorders>
          </w:tcPr>
          <w:p>
            <w:pPr>
              <w:widowControl/>
              <w:tabs>
                <w:tab w:val="center" w:pos="4791"/>
              </w:tabs>
              <w:jc w:val="center"/>
              <w:rPr>
                <w:rFonts w:ascii="宋体" w:hAnsi="宋体" w:cs="宋体"/>
                <w:kern w:val="0"/>
                <w:sz w:val="18"/>
                <w:szCs w:val="18"/>
              </w:rPr>
            </w:pPr>
            <w:r>
              <w:rPr>
                <w:rFonts w:hint="eastAsia" w:ascii="宋体" w:hAnsi="宋体" w:cs="宋体"/>
                <w:kern w:val="0"/>
                <w:sz w:val="18"/>
                <w:szCs w:val="18"/>
              </w:rPr>
              <w:t>87.52、87.74、87.81</w:t>
            </w:r>
          </w:p>
          <w:p>
            <w:pPr>
              <w:widowControl/>
              <w:tabs>
                <w:tab w:val="center" w:pos="4791"/>
              </w:tabs>
              <w:jc w:val="center"/>
              <w:rPr>
                <w:rFonts w:ascii="宋体" w:hAnsi="宋体" w:cs="宋体"/>
                <w:kern w:val="0"/>
                <w:sz w:val="18"/>
                <w:szCs w:val="18"/>
              </w:rPr>
            </w:pPr>
          </w:p>
        </w:tc>
      </w:tr>
    </w:tbl>
    <w:p>
      <w:pPr>
        <w:widowControl/>
        <w:numPr>
          <w:ilvl w:val="0"/>
          <w:numId w:val="18"/>
        </w:numPr>
        <w:wordWrap w:val="0"/>
        <w:adjustRightInd w:val="0"/>
        <w:snapToGrid w:val="0"/>
        <w:spacing w:beforeLines="100" w:line="312" w:lineRule="auto"/>
        <w:rPr>
          <w:rFonts w:ascii="黑体" w:hAnsi="黑体" w:eastAsia="黑体" w:cs="黑体"/>
          <w:kern w:val="0"/>
          <w:szCs w:val="22"/>
        </w:rPr>
      </w:pPr>
      <w:r>
        <w:rPr>
          <w:rFonts w:hint="eastAsia" w:ascii="黑体" w:hAnsi="黑体" w:eastAsia="黑体" w:cs="黑体"/>
          <w:kern w:val="0"/>
          <w:szCs w:val="22"/>
        </w:rPr>
        <w:t>氨水及草酸用量的确定试验</w:t>
      </w:r>
    </w:p>
    <w:p>
      <w:pPr>
        <w:widowControl/>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钙热还原是钙热还原稀土金属氟化物制取稀土金属的方法，其稀土总量测定的主要干扰元素为钙，由于</w:t>
      </w:r>
      <w:r>
        <w:rPr>
          <w:rFonts w:hint="eastAsia" w:ascii="宋体" w:hAnsi="宋体" w:eastAsia="宋体" w:cs="宋体"/>
          <w:kern w:val="0"/>
          <w:szCs w:val="20"/>
        </w:rPr>
        <w:t>统一样20TbDy01FH样品中，钙含量已达到产品标准的上限，因此钙热还原回收料以20TbDy01FH样品为代表实验即可。称取20TbDy01FH样品2.50</w:t>
      </w:r>
      <w:r>
        <w:rPr>
          <w:rFonts w:hint="eastAsia" w:ascii="宋体" w:hAnsi="宋体" w:eastAsia="宋体" w:cs="宋体"/>
          <w:kern w:val="0"/>
          <w:szCs w:val="21"/>
        </w:rPr>
        <w:t xml:space="preserve"> g</w:t>
      </w:r>
      <w:r>
        <w:rPr>
          <w:rFonts w:hint="eastAsia" w:ascii="宋体" w:hAnsi="宋体" w:eastAsia="宋体" w:cs="宋体"/>
          <w:kern w:val="0"/>
          <w:szCs w:val="20"/>
        </w:rPr>
        <w:t>，</w:t>
      </w:r>
      <w:r>
        <w:rPr>
          <w:rFonts w:hint="eastAsia" w:ascii="宋体" w:hAnsi="宋体" w:eastAsia="宋体" w:cs="宋体"/>
          <w:kern w:val="0"/>
          <w:szCs w:val="21"/>
        </w:rPr>
        <w:t>精确至0.0001</w:t>
      </w:r>
      <w:r>
        <w:rPr>
          <w:rFonts w:hint="eastAsia" w:ascii="宋体" w:hAnsi="宋体" w:eastAsia="宋体" w:cs="宋体"/>
          <w:kern w:val="0"/>
          <w:szCs w:val="21"/>
          <w:vertAlign w:val="subscript"/>
        </w:rPr>
        <w:t xml:space="preserve"> </w:t>
      </w:r>
      <w:r>
        <w:rPr>
          <w:rFonts w:hint="eastAsia" w:ascii="宋体" w:hAnsi="宋体" w:eastAsia="宋体" w:cs="宋体"/>
          <w:szCs w:val="21"/>
        </w:rPr>
        <w:t>g</w:t>
      </w:r>
      <w:r>
        <w:rPr>
          <w:rFonts w:hint="eastAsia" w:ascii="宋体" w:hAnsi="宋体" w:eastAsia="宋体" w:cs="宋体"/>
          <w:kern w:val="0"/>
          <w:szCs w:val="20"/>
        </w:rPr>
        <w:t>，按表5分别加入不同量的氨水，按试验报告步骤进行操作，氨沉滤液收集于250mL容量瓶中，用水稀至刻度，混匀。分取50.00mL滤液于300mL烧杯中，加入10 mL硝酸（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w:t>
      </w:r>
      <w:r>
        <w:rPr>
          <w:rFonts w:hint="eastAsia" w:ascii="Times New Roman" w:hAnsi="Times New Roman"/>
          <w:szCs w:val="21"/>
        </w:rPr>
        <w:t>42</w:t>
      </w:r>
      <w:r>
        <w:rPr>
          <w:rFonts w:ascii="Times New Roman" w:hAnsi="Times New Roman"/>
          <w:szCs w:val="21"/>
        </w:rPr>
        <w:t>g/mL</w:t>
      </w:r>
      <w:r>
        <w:rPr>
          <w:rFonts w:hint="eastAsia" w:ascii="宋体" w:hAnsi="宋体" w:eastAsia="宋体" w:cs="宋体"/>
          <w:kern w:val="0"/>
          <w:szCs w:val="20"/>
        </w:rPr>
        <w:t>），5 mL高氯酸（</w:t>
      </w:r>
      <w:r>
        <w:rPr>
          <w:rFonts w:ascii="Times New Roman" w:hAnsi="Times New Roman"/>
          <w:szCs w:val="21"/>
        </w:rPr>
        <w:t>ρ</w:t>
      </w:r>
      <w:r>
        <w:rPr>
          <w:rFonts w:hint="eastAsia" w:ascii="Times New Roman" w:hAnsi="Times New Roman"/>
          <w:szCs w:val="21"/>
        </w:rPr>
        <w:t xml:space="preserve"> </w:t>
      </w:r>
      <w:r>
        <w:rPr>
          <w:rFonts w:ascii="Times New Roman" w:hAnsi="Times New Roman"/>
          <w:szCs w:val="21"/>
        </w:rPr>
        <w:t>1.67g/mL</w:t>
      </w:r>
      <w:r>
        <w:rPr>
          <w:rFonts w:hint="eastAsia" w:ascii="宋体" w:hAnsi="宋体" w:eastAsia="宋体" w:cs="宋体"/>
          <w:kern w:val="0"/>
          <w:szCs w:val="20"/>
        </w:rPr>
        <w:t>），蒸至近干，补加5 mL盐酸（1+1）定容50mL容量瓶中，用</w:t>
      </w:r>
      <w:r>
        <w:rPr>
          <w:rFonts w:hint="eastAsia" w:ascii="宋体" w:hAnsi="宋体" w:eastAsia="宋体" w:cs="宋体"/>
          <w:kern w:val="0"/>
          <w:szCs w:val="21"/>
        </w:rPr>
        <w:t>电感耦合等离子发射光谱法测定滤液中稀土量和灼烧后稀土氧化物中的钙量</w:t>
      </w:r>
      <w:r>
        <w:rPr>
          <w:rFonts w:hint="eastAsia" w:ascii="宋体" w:hAnsi="宋体" w:eastAsia="宋体" w:cs="宋体"/>
          <w:kern w:val="0"/>
          <w:szCs w:val="20"/>
        </w:rPr>
        <w:t>由表6可知，在氨水分离时，加入2g</w:t>
      </w:r>
      <w:r>
        <w:rPr>
          <w:rFonts w:hint="eastAsia" w:ascii="宋体" w:hAnsi="宋体" w:eastAsia="宋体" w:cs="宋体"/>
          <w:kern w:val="0"/>
          <w:szCs w:val="21"/>
        </w:rPr>
        <w:t>固体氯化铵及20～30</w:t>
      </w:r>
      <w:r>
        <w:rPr>
          <w:rFonts w:hint="eastAsia" w:ascii="宋体" w:hAnsi="宋体" w:eastAsia="宋体" w:cs="宋体"/>
          <w:kern w:val="0"/>
          <w:szCs w:val="20"/>
        </w:rPr>
        <w:t xml:space="preserve"> mL</w:t>
      </w:r>
      <w:r>
        <w:rPr>
          <w:rFonts w:hint="eastAsia" w:ascii="宋体" w:hAnsi="宋体" w:eastAsia="宋体" w:cs="宋体"/>
          <w:kern w:val="0"/>
          <w:szCs w:val="21"/>
        </w:rPr>
        <w:t>氨水（1+1）进行一次氨分离，即可将</w:t>
      </w:r>
      <w:r>
        <w:rPr>
          <w:rFonts w:hint="eastAsia" w:ascii="宋体" w:hAnsi="宋体" w:eastAsia="宋体" w:cs="宋体"/>
          <w:kern w:val="0"/>
          <w:szCs w:val="20"/>
        </w:rPr>
        <w:t>钙分离干净。本实验选择一次氨分离，2g</w:t>
      </w:r>
      <w:r>
        <w:rPr>
          <w:rFonts w:hint="eastAsia" w:ascii="宋体" w:hAnsi="宋体" w:eastAsia="宋体" w:cs="宋体"/>
          <w:kern w:val="0"/>
          <w:szCs w:val="21"/>
        </w:rPr>
        <w:t>固体氯化铵及20</w:t>
      </w:r>
      <w:r>
        <w:rPr>
          <w:rFonts w:hint="eastAsia" w:ascii="宋体" w:hAnsi="宋体" w:eastAsia="宋体" w:cs="宋体"/>
          <w:kern w:val="0"/>
          <w:szCs w:val="20"/>
        </w:rPr>
        <w:t xml:space="preserve"> mL</w:t>
      </w:r>
      <w:r>
        <w:rPr>
          <w:rFonts w:hint="eastAsia" w:ascii="宋体" w:hAnsi="宋体" w:eastAsia="宋体" w:cs="宋体"/>
          <w:kern w:val="0"/>
          <w:szCs w:val="21"/>
        </w:rPr>
        <w:t>氨水（1+1）用量。</w:t>
      </w:r>
    </w:p>
    <w:p>
      <w:pPr>
        <w:widowControl/>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注：氨水分离次数最终参考了共同起草单位建议：钙、镁为主成分时采用二次氨分离。</w:t>
      </w:r>
    </w:p>
    <w:p>
      <w:pPr>
        <w:widowControl/>
        <w:spacing w:beforeLines="50" w:line="312" w:lineRule="auto"/>
        <w:ind w:firstLine="3780" w:firstLineChars="1800"/>
        <w:jc w:val="left"/>
        <w:rPr>
          <w:rFonts w:ascii="黑体" w:hAnsi="黑体" w:eastAsia="黑体" w:cs="黑体"/>
          <w:kern w:val="0"/>
          <w:szCs w:val="21"/>
        </w:rPr>
      </w:pPr>
      <w:r>
        <w:rPr>
          <w:rFonts w:hint="eastAsia" w:ascii="黑体" w:hAnsi="黑体" w:eastAsia="黑体" w:cs="黑体"/>
          <w:kern w:val="0"/>
          <w:szCs w:val="21"/>
          <w:lang w:eastAsia="en-US"/>
        </w:rPr>
        <w:t>表</w:t>
      </w:r>
      <w:r>
        <w:rPr>
          <w:rFonts w:hint="eastAsia" w:ascii="黑体" w:hAnsi="黑体" w:eastAsia="黑体" w:cs="黑体"/>
          <w:kern w:val="0"/>
          <w:szCs w:val="21"/>
        </w:rPr>
        <w:t>5  氨水用量的选择试验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214"/>
        <w:gridCol w:w="2214"/>
        <w:gridCol w:w="22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587" w:type="dxa"/>
            <w:tcBorders>
              <w:right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氯化铵加入量（g）</w:t>
            </w:r>
          </w:p>
        </w:tc>
        <w:tc>
          <w:tcPr>
            <w:tcW w:w="2214" w:type="dxa"/>
            <w:tcBorders>
              <w:left w:val="single" w:color="auto" w:sz="8" w:space="0"/>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214"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215"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587" w:type="dxa"/>
            <w:tcBorders>
              <w:right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氨水加入量（mL）</w:t>
            </w:r>
          </w:p>
        </w:tc>
        <w:tc>
          <w:tcPr>
            <w:tcW w:w="2214" w:type="dxa"/>
            <w:tcBorders>
              <w:left w:val="single" w:color="auto" w:sz="8" w:space="0"/>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214"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215"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587" w:type="dxa"/>
            <w:tcBorders>
              <w:right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滤液中稀土量%</w:t>
            </w:r>
          </w:p>
        </w:tc>
        <w:tc>
          <w:tcPr>
            <w:tcW w:w="2214" w:type="dxa"/>
            <w:tcBorders>
              <w:left w:val="single" w:color="auto" w:sz="8" w:space="0"/>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&lt;0.1</w:t>
            </w:r>
          </w:p>
        </w:tc>
        <w:tc>
          <w:tcPr>
            <w:tcW w:w="2214"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&lt;0.1</w:t>
            </w:r>
          </w:p>
        </w:tc>
        <w:tc>
          <w:tcPr>
            <w:tcW w:w="2215"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&lt;0.1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587" w:type="dxa"/>
            <w:tcBorders>
              <w:right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灼烧后稀土氧化物的钙量%</w:t>
            </w:r>
          </w:p>
        </w:tc>
        <w:tc>
          <w:tcPr>
            <w:tcW w:w="2214" w:type="dxa"/>
            <w:tcBorders>
              <w:left w:val="single" w:color="auto" w:sz="8" w:space="0"/>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0.013</w:t>
            </w:r>
          </w:p>
        </w:tc>
        <w:tc>
          <w:tcPr>
            <w:tcW w:w="2214"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2215"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&lt;0.01</w:t>
            </w:r>
          </w:p>
        </w:tc>
      </w:tr>
    </w:tbl>
    <w:p>
      <w:pPr>
        <w:widowControl/>
        <w:spacing w:beforeLines="50" w:line="312" w:lineRule="auto"/>
        <w:ind w:firstLine="3780" w:firstLineChars="1800"/>
        <w:jc w:val="left"/>
        <w:rPr>
          <w:rFonts w:ascii="黑体" w:hAnsi="黑体" w:eastAsia="黑体" w:cs="黑体"/>
          <w:kern w:val="0"/>
          <w:szCs w:val="21"/>
        </w:rPr>
      </w:pPr>
      <w:r>
        <w:rPr>
          <w:rFonts w:hint="eastAsia" w:ascii="黑体" w:hAnsi="黑体" w:eastAsia="黑体" w:cs="黑体"/>
          <w:kern w:val="0"/>
          <w:szCs w:val="21"/>
        </w:rPr>
        <w:t>表6  草酸用量的选择试验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975"/>
        <w:gridCol w:w="2098"/>
        <w:gridCol w:w="1110"/>
        <w:gridCol w:w="1114"/>
        <w:gridCol w:w="2544"/>
        <w:gridCol w:w="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restart"/>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样品编号</w:t>
            </w:r>
          </w:p>
        </w:tc>
        <w:tc>
          <w:tcPr>
            <w:tcW w:w="528" w:type="pct"/>
            <w:vMerge w:val="restart"/>
            <w:tcBorders>
              <w:bottom w:val="single" w:color="auto" w:sz="8" w:space="0"/>
            </w:tcBorders>
            <w:vAlign w:val="center"/>
          </w:tcPr>
          <w:p>
            <w:pPr>
              <w:widowControl/>
              <w:spacing w:line="220" w:lineRule="exact"/>
              <w:jc w:val="center"/>
              <w:rPr>
                <w:rFonts w:ascii="宋体" w:hAnsi="宋体" w:eastAsia="宋体" w:cs="宋体"/>
                <w:kern w:val="0"/>
                <w:sz w:val="18"/>
                <w:szCs w:val="18"/>
              </w:rPr>
            </w:pPr>
            <w:r>
              <w:rPr>
                <w:rFonts w:hint="eastAsia" w:ascii="宋体" w:hAnsi="宋体" w:eastAsia="宋体" w:cs="宋体"/>
                <w:sz w:val="18"/>
                <w:szCs w:val="18"/>
              </w:rPr>
              <w:t>草酸用量</w:t>
            </w:r>
            <w:r>
              <w:rPr>
                <w:rFonts w:hint="eastAsia" w:ascii="宋体" w:hAnsi="宋体" w:eastAsia="宋体" w:cs="宋体"/>
                <w:kern w:val="0"/>
                <w:sz w:val="18"/>
                <w:szCs w:val="18"/>
              </w:rPr>
              <w:t>(mL)</w:t>
            </w:r>
          </w:p>
        </w:tc>
        <w:tc>
          <w:tcPr>
            <w:tcW w:w="1136" w:type="pct"/>
            <w:vMerge w:val="restart"/>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草沉结果/REO(%)</w:t>
            </w:r>
          </w:p>
        </w:tc>
        <w:tc>
          <w:tcPr>
            <w:tcW w:w="1204" w:type="pct"/>
            <w:gridSpan w:val="2"/>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草酸沉淀中铝、铁含量</w:t>
            </w:r>
          </w:p>
        </w:tc>
        <w:tc>
          <w:tcPr>
            <w:tcW w:w="1380" w:type="pct"/>
            <w:gridSpan w:val="2"/>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草沉滤液补正结果/REO(%)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sz w:val="18"/>
                <w:szCs w:val="18"/>
              </w:rPr>
            </w:pPr>
          </w:p>
        </w:tc>
        <w:tc>
          <w:tcPr>
            <w:tcW w:w="528" w:type="pct"/>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sz w:val="18"/>
                <w:szCs w:val="18"/>
              </w:rPr>
            </w:pPr>
          </w:p>
        </w:tc>
        <w:tc>
          <w:tcPr>
            <w:tcW w:w="1136" w:type="pct"/>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sz w:val="18"/>
                <w:szCs w:val="18"/>
              </w:rPr>
            </w:pPr>
          </w:p>
        </w:tc>
        <w:tc>
          <w:tcPr>
            <w:tcW w:w="601" w:type="pct"/>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Al</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0</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tc>
        <w:tc>
          <w:tcPr>
            <w:tcW w:w="603" w:type="pct"/>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Fe</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tc>
        <w:tc>
          <w:tcPr>
            <w:tcW w:w="1380" w:type="pct"/>
            <w:gridSpan w:val="2"/>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restart"/>
            <w:tcBorders>
              <w:top w:val="single" w:color="auto" w:sz="8" w:space="0"/>
              <w:tl2br w:val="nil"/>
              <w:tr2bl w:val="nil"/>
            </w:tcBorders>
            <w:vAlign w:val="center"/>
          </w:tcPr>
          <w:p>
            <w:pPr>
              <w:jc w:val="center"/>
              <w:rPr>
                <w:rFonts w:ascii="宋体" w:hAnsi="宋体" w:eastAsia="宋体" w:cs="宋体"/>
                <w:sz w:val="18"/>
                <w:szCs w:val="18"/>
              </w:rPr>
            </w:pPr>
          </w:p>
          <w:p>
            <w:pPr>
              <w:ind w:firstLine="90" w:firstLineChars="50"/>
              <w:jc w:val="center"/>
              <w:rPr>
                <w:rFonts w:ascii="宋体" w:hAnsi="宋体" w:eastAsia="宋体" w:cs="宋体"/>
                <w:kern w:val="0"/>
                <w:sz w:val="18"/>
                <w:szCs w:val="18"/>
              </w:rPr>
            </w:pPr>
            <w:r>
              <w:rPr>
                <w:rFonts w:hint="eastAsia" w:ascii="宋体" w:hAnsi="宋体" w:eastAsia="宋体" w:cs="宋体"/>
                <w:kern w:val="0"/>
                <w:sz w:val="18"/>
                <w:szCs w:val="18"/>
              </w:rPr>
              <w:t>20DyFe01DF</w:t>
            </w:r>
          </w:p>
        </w:tc>
        <w:tc>
          <w:tcPr>
            <w:tcW w:w="528" w:type="pct"/>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136" w:type="pct"/>
            <w:tcBorders>
              <w:top w:val="single" w:color="auto" w:sz="8" w:space="0"/>
              <w:tl2br w:val="nil"/>
              <w:tr2bl w:val="nil"/>
            </w:tcBorders>
            <w:vAlign w:val="center"/>
          </w:tcPr>
          <w:p>
            <w:pPr>
              <w:widowControl/>
              <w:ind w:firstLine="180" w:firstLineChars="100"/>
              <w:rPr>
                <w:rFonts w:ascii="宋体" w:hAnsi="宋体" w:eastAsia="宋体" w:cs="宋体"/>
                <w:kern w:val="0"/>
                <w:sz w:val="18"/>
                <w:szCs w:val="18"/>
              </w:rPr>
            </w:pPr>
            <w:r>
              <w:rPr>
                <w:rFonts w:hint="eastAsia" w:ascii="宋体" w:hAnsi="宋体" w:eastAsia="宋体" w:cs="宋体"/>
                <w:kern w:val="0"/>
                <w:sz w:val="18"/>
                <w:szCs w:val="18"/>
              </w:rPr>
              <w:t>66.00、65.80、65.76</w:t>
            </w:r>
          </w:p>
        </w:tc>
        <w:tc>
          <w:tcPr>
            <w:tcW w:w="601" w:type="pct"/>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0.015</w:t>
            </w:r>
          </w:p>
        </w:tc>
        <w:tc>
          <w:tcPr>
            <w:tcW w:w="1380" w:type="pct"/>
            <w:gridSpan w:val="2"/>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continue"/>
            <w:tcBorders>
              <w:tl2br w:val="nil"/>
              <w:tr2bl w:val="nil"/>
            </w:tcBorders>
            <w:vAlign w:val="center"/>
          </w:tcPr>
          <w:p>
            <w:pPr>
              <w:jc w:val="center"/>
              <w:rPr>
                <w:rFonts w:ascii="宋体" w:hAnsi="宋体" w:eastAsia="宋体" w:cs="宋体"/>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136" w:type="pct"/>
            <w:tcBorders>
              <w:tl2br w:val="nil"/>
              <w:tr2bl w:val="nil"/>
            </w:tcBorders>
            <w:vAlign w:val="center"/>
          </w:tcPr>
          <w:p>
            <w:pPr>
              <w:widowControl/>
              <w:ind w:firstLine="180" w:firstLineChars="100"/>
              <w:rPr>
                <w:rFonts w:ascii="宋体" w:hAnsi="宋体" w:eastAsia="宋体" w:cs="宋体"/>
                <w:kern w:val="0"/>
                <w:sz w:val="18"/>
                <w:szCs w:val="18"/>
              </w:rPr>
            </w:pPr>
            <w:r>
              <w:rPr>
                <w:rFonts w:hint="eastAsia" w:ascii="宋体" w:hAnsi="宋体" w:eastAsia="宋体" w:cs="宋体"/>
                <w:kern w:val="0"/>
                <w:sz w:val="18"/>
                <w:szCs w:val="18"/>
              </w:rPr>
              <w:t>65.91、65.80、66.18</w:t>
            </w:r>
          </w:p>
          <w:p>
            <w:pPr>
              <w:widowControl/>
              <w:rPr>
                <w:rFonts w:ascii="宋体" w:hAnsi="宋体" w:eastAsia="宋体" w:cs="宋体"/>
                <w:kern w:val="0"/>
                <w:sz w:val="18"/>
                <w:szCs w:val="18"/>
              </w:rPr>
            </w:pP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80" w:type="pct"/>
            <w:gridSpan w:val="2"/>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0.25</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136" w:type="pct"/>
            <w:tcBorders>
              <w:tl2br w:val="nil"/>
              <w:tr2bl w:val="nil"/>
            </w:tcBorders>
            <w:vAlign w:val="center"/>
          </w:tcPr>
          <w:p>
            <w:pPr>
              <w:widowControl/>
              <w:ind w:firstLine="180" w:firstLineChars="100"/>
              <w:rPr>
                <w:rFonts w:ascii="宋体" w:hAnsi="宋体" w:eastAsia="宋体" w:cs="宋体"/>
                <w:kern w:val="0"/>
                <w:sz w:val="18"/>
                <w:szCs w:val="18"/>
              </w:rPr>
            </w:pPr>
            <w:r>
              <w:rPr>
                <w:rFonts w:hint="eastAsia" w:ascii="宋体" w:hAnsi="宋体" w:eastAsia="宋体" w:cs="宋体"/>
                <w:kern w:val="0"/>
                <w:sz w:val="18"/>
                <w:szCs w:val="18"/>
              </w:rPr>
              <w:t>65.88、65.96、66.12</w:t>
            </w:r>
          </w:p>
          <w:p>
            <w:pPr>
              <w:widowControl/>
              <w:rPr>
                <w:rFonts w:ascii="宋体" w:hAnsi="宋体" w:eastAsia="宋体" w:cs="宋体"/>
                <w:kern w:val="0"/>
                <w:sz w:val="18"/>
                <w:szCs w:val="18"/>
              </w:rPr>
            </w:pP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80" w:type="pct"/>
            <w:gridSpan w:val="2"/>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0.28</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65.72、66.00、65.93</w:t>
            </w:r>
          </w:p>
          <w:p>
            <w:pPr>
              <w:widowControl/>
              <w:jc w:val="center"/>
              <w:rPr>
                <w:rFonts w:ascii="宋体" w:hAnsi="宋体" w:eastAsia="宋体" w:cs="宋体"/>
                <w:kern w:val="0"/>
                <w:sz w:val="18"/>
                <w:szCs w:val="18"/>
              </w:rPr>
            </w:pP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80" w:type="pct"/>
            <w:gridSpan w:val="2"/>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0.36</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restart"/>
            <w:tcBorders>
              <w:tl2br w:val="nil"/>
              <w:tr2bl w:val="nil"/>
            </w:tcBorders>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20PrNd02FD</w:t>
            </w: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35.06、34.96、34.88</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35.38、35.48、35.56</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0.059</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35.62、35.54、35.74</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0.069</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35.58、35.54、35.66</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0.081</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restart"/>
            <w:tcBorders>
              <w:tl2br w:val="nil"/>
              <w:tr2bl w:val="nil"/>
            </w:tcBorders>
            <w:vAlign w:val="center"/>
          </w:tcPr>
          <w:p>
            <w:pPr>
              <w:jc w:val="center"/>
              <w:rPr>
                <w:rFonts w:ascii="宋体" w:hAnsi="宋体" w:eastAsia="宋体" w:cs="宋体"/>
                <w:kern w:val="0"/>
                <w:sz w:val="18"/>
                <w:szCs w:val="18"/>
              </w:rPr>
            </w:pPr>
          </w:p>
          <w:p>
            <w:pPr>
              <w:ind w:firstLine="180" w:firstLineChars="100"/>
              <w:rPr>
                <w:rFonts w:ascii="宋体" w:hAnsi="宋体" w:eastAsia="宋体" w:cs="宋体"/>
                <w:kern w:val="0"/>
                <w:sz w:val="18"/>
                <w:szCs w:val="18"/>
              </w:rPr>
            </w:pPr>
            <w:r>
              <w:rPr>
                <w:rFonts w:hint="eastAsia" w:ascii="宋体" w:hAnsi="宋体" w:eastAsia="宋体" w:cs="宋体"/>
                <w:kern w:val="0"/>
                <w:sz w:val="18"/>
                <w:szCs w:val="18"/>
              </w:rPr>
              <w:t>20LaF01FH</w:t>
            </w:r>
          </w:p>
          <w:p>
            <w:pPr>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136" w:type="pct"/>
            <w:tcBorders>
              <w:tl2br w:val="nil"/>
              <w:tr2bl w:val="nil"/>
            </w:tcBorders>
            <w:vAlign w:val="center"/>
          </w:tcPr>
          <w:p>
            <w:pPr>
              <w:widowControl/>
              <w:ind w:firstLine="180" w:firstLineChars="100"/>
              <w:rPr>
                <w:rFonts w:ascii="宋体" w:hAnsi="宋体" w:eastAsia="宋体" w:cs="宋体"/>
                <w:kern w:val="0"/>
                <w:sz w:val="18"/>
                <w:szCs w:val="18"/>
              </w:rPr>
            </w:pPr>
            <w:r>
              <w:rPr>
                <w:rFonts w:hint="eastAsia" w:ascii="宋体" w:hAnsi="宋体" w:eastAsia="宋体" w:cs="宋体"/>
                <w:kern w:val="0"/>
                <w:sz w:val="18"/>
                <w:szCs w:val="18"/>
              </w:rPr>
              <w:t>86.26、86.69、86.46</w:t>
            </w:r>
          </w:p>
          <w:p>
            <w:pPr>
              <w:widowControl/>
              <w:jc w:val="center"/>
              <w:rPr>
                <w:rFonts w:ascii="宋体" w:hAnsi="宋体" w:eastAsia="宋体" w:cs="宋体"/>
                <w:kern w:val="0"/>
                <w:sz w:val="18"/>
                <w:szCs w:val="18"/>
              </w:rPr>
            </w:pP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0.011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0.86（Yb</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0</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jc w:val="center"/>
              <w:rPr>
                <w:rFonts w:ascii="宋体" w:hAnsi="宋体" w:eastAsia="宋体" w:cs="宋体"/>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87.02、86.90、86.68</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1.02（Yb</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0</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86.82、86.80、86.78</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1.49（Yb</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0</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p>
            <w:pPr>
              <w:widowControl/>
              <w:jc w:val="center"/>
              <w:rPr>
                <w:rFonts w:ascii="宋体" w:hAnsi="宋体" w:eastAsia="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12" w:hRule="exact"/>
          <w:jc w:val="center"/>
        </w:trPr>
        <w:tc>
          <w:tcPr>
            <w:tcW w:w="749" w:type="pct"/>
            <w:vMerge w:val="continue"/>
            <w:tcBorders>
              <w:tl2br w:val="nil"/>
              <w:tr2bl w:val="nil"/>
            </w:tcBorders>
            <w:vAlign w:val="center"/>
          </w:tcPr>
          <w:p>
            <w:pPr>
              <w:widowControl/>
              <w:jc w:val="center"/>
              <w:rPr>
                <w:rFonts w:ascii="宋体" w:hAnsi="宋体" w:eastAsia="宋体" w:cs="宋体"/>
                <w:kern w:val="0"/>
                <w:sz w:val="18"/>
                <w:szCs w:val="18"/>
              </w:rPr>
            </w:pPr>
          </w:p>
        </w:tc>
        <w:tc>
          <w:tcPr>
            <w:tcW w:w="528"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1136"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86.16、86.52、86.34</w:t>
            </w:r>
          </w:p>
        </w:tc>
        <w:tc>
          <w:tcPr>
            <w:tcW w:w="601"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603"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&lt;0.01</w:t>
            </w:r>
          </w:p>
        </w:tc>
        <w:tc>
          <w:tcPr>
            <w:tcW w:w="1377" w:type="pc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1.73（Yb</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0</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w:t>
            </w:r>
          </w:p>
          <w:p>
            <w:pPr>
              <w:widowControl/>
              <w:rPr>
                <w:rFonts w:ascii="宋体" w:hAnsi="宋体" w:eastAsia="宋体" w:cs="宋体"/>
                <w:kern w:val="0"/>
                <w:sz w:val="18"/>
                <w:szCs w:val="18"/>
              </w:rPr>
            </w:pPr>
          </w:p>
        </w:tc>
      </w:tr>
    </w:tbl>
    <w:p>
      <w:pPr>
        <w:widowControl/>
        <w:wordWrap w:val="0"/>
        <w:adjustRightInd w:val="0"/>
        <w:snapToGrid w:val="0"/>
        <w:spacing w:beforeLines="50" w:line="312" w:lineRule="auto"/>
        <w:ind w:firstLine="420" w:firstLineChars="200"/>
        <w:rPr>
          <w:rFonts w:ascii="宋体" w:hAnsi="宋体" w:eastAsia="宋体" w:cs="宋体"/>
          <w:kern w:val="0"/>
          <w:szCs w:val="22"/>
        </w:rPr>
      </w:pPr>
      <w:r>
        <w:rPr>
          <w:rFonts w:hint="eastAsia" w:ascii="宋体" w:hAnsi="宋体" w:eastAsia="宋体" w:cs="宋体"/>
          <w:kern w:val="0"/>
          <w:szCs w:val="21"/>
        </w:rPr>
        <w:t>由表6可知，1、沉淀剂</w:t>
      </w:r>
      <w:r>
        <w:rPr>
          <w:rFonts w:hint="eastAsia" w:ascii="宋体" w:hAnsi="宋体" w:eastAsia="宋体" w:cs="宋体"/>
          <w:szCs w:val="21"/>
        </w:rPr>
        <w:t>（100 g/L草酸）</w:t>
      </w:r>
      <w:r>
        <w:rPr>
          <w:rFonts w:hint="eastAsia" w:ascii="宋体" w:hAnsi="宋体" w:eastAsia="宋体" w:cs="宋体"/>
          <w:kern w:val="0"/>
          <w:szCs w:val="21"/>
        </w:rPr>
        <w:t>加入量为20 mL时稀土基本沉淀完全，且可络合绝大部分铁、铝（沉淀中的铁、铝、稀土量用ICP-AES法测得）,本实验选择30 mL草酸用量。2、草沉滤液中ICP-AES法</w:t>
      </w:r>
      <w:r>
        <w:rPr>
          <w:rFonts w:hint="eastAsia" w:ascii="宋体" w:hAnsi="宋体" w:eastAsia="宋体" w:cs="宋体"/>
          <w:szCs w:val="21"/>
        </w:rPr>
        <w:t>均能检测到不同程度的稀土含量，试验中重稀土</w:t>
      </w:r>
      <w:r>
        <w:rPr>
          <w:rFonts w:hint="eastAsia" w:ascii="宋体" w:hAnsi="宋体" w:eastAsia="宋体" w:cs="宋体"/>
          <w:kern w:val="0"/>
          <w:szCs w:val="21"/>
        </w:rPr>
        <w:t>草沉滤液中稀土损失量较大，因此有必要用ICP-AES法测定草沉滤液中</w:t>
      </w:r>
      <w:r>
        <w:rPr>
          <w:rFonts w:hint="eastAsia" w:ascii="宋体" w:hAnsi="宋体" w:eastAsia="宋体" w:cs="宋体"/>
          <w:szCs w:val="21"/>
        </w:rPr>
        <w:t>重稀土</w:t>
      </w:r>
      <w:r>
        <w:rPr>
          <w:rFonts w:hint="eastAsia" w:ascii="宋体" w:hAnsi="宋体" w:eastAsia="宋体" w:cs="宋体"/>
          <w:kern w:val="0"/>
          <w:szCs w:val="21"/>
        </w:rPr>
        <w:t>的稀土量，对测定结果进行补正。</w:t>
      </w:r>
    </w:p>
    <w:p>
      <w:pPr>
        <w:widowControl/>
        <w:numPr>
          <w:ilvl w:val="0"/>
          <w:numId w:val="18"/>
        </w:numPr>
        <w:wordWrap w:val="0"/>
        <w:adjustRightInd w:val="0"/>
        <w:snapToGrid w:val="0"/>
        <w:spacing w:beforeLines="50" w:afterLines="50" w:line="360" w:lineRule="auto"/>
        <w:rPr>
          <w:rFonts w:ascii="黑体" w:hAnsi="黑体" w:eastAsia="黑体" w:cs="黑体"/>
          <w:kern w:val="0"/>
          <w:szCs w:val="22"/>
        </w:rPr>
      </w:pPr>
      <w:r>
        <w:rPr>
          <w:rFonts w:hint="eastAsia" w:ascii="黑体" w:hAnsi="黑体" w:eastAsia="黑体" w:cs="黑体"/>
          <w:kern w:val="0"/>
          <w:szCs w:val="22"/>
        </w:rPr>
        <w:t>非稀土杂质干扰与准确度试验</w:t>
      </w:r>
    </w:p>
    <w:p>
      <w:pPr>
        <w:widowControl/>
        <w:spacing w:line="312" w:lineRule="auto"/>
        <w:jc w:val="left"/>
        <w:rPr>
          <w:rFonts w:ascii="黑体" w:hAnsi="黑体" w:eastAsia="黑体" w:cs="黑体"/>
          <w:kern w:val="0"/>
          <w:szCs w:val="21"/>
        </w:rPr>
      </w:pPr>
      <w:r>
        <w:rPr>
          <w:rFonts w:hint="eastAsia" w:ascii="黑体" w:hAnsi="黑体" w:eastAsia="黑体" w:cs="黑体"/>
          <w:kern w:val="0"/>
          <w:szCs w:val="21"/>
        </w:rPr>
        <w:t>A、非稀土杂质干扰试验</w:t>
      </w:r>
    </w:p>
    <w:p>
      <w:pPr>
        <w:widowControl/>
        <w:wordWrap w:val="0"/>
        <w:spacing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依据稀土火法冶炼回收料中熔盐电解回收料和钙热还原回收料存在的干扰元素及方法质量分数范围，稀土元素按最低质量分数5%，干扰元素按最高质量分数上限分别加入进行试验，将La</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(REO&gt;99.5%)、Pr</w:t>
      </w:r>
      <w:r>
        <w:rPr>
          <w:rFonts w:hint="eastAsia" w:ascii="宋体" w:hAnsi="宋体" w:eastAsia="宋体" w:cs="宋体"/>
          <w:kern w:val="0"/>
          <w:szCs w:val="21"/>
          <w:vertAlign w:val="subscript"/>
        </w:rPr>
        <w:t>6</w:t>
      </w:r>
      <w:r>
        <w:rPr>
          <w:rFonts w:hint="eastAsia" w:ascii="宋体" w:hAnsi="宋体" w:eastAsia="宋体" w:cs="宋体"/>
          <w:kern w:val="0"/>
          <w:szCs w:val="21"/>
        </w:rPr>
        <w:t>O</w:t>
      </w:r>
      <w:r>
        <w:rPr>
          <w:rFonts w:hint="eastAsia" w:ascii="宋体" w:hAnsi="宋体" w:eastAsia="宋体" w:cs="宋体"/>
          <w:kern w:val="0"/>
          <w:szCs w:val="21"/>
          <w:vertAlign w:val="subscript"/>
        </w:rPr>
        <w:t>11</w:t>
      </w:r>
      <w:r>
        <w:rPr>
          <w:rFonts w:hint="eastAsia" w:ascii="宋体" w:hAnsi="宋体" w:eastAsia="宋体" w:cs="宋体"/>
          <w:kern w:val="0"/>
          <w:szCs w:val="21"/>
        </w:rPr>
        <w:t>(REO&gt;99.5%)、 Nd</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(REO&gt;99.5%)、 Dy</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 xml:space="preserve"> (REO&gt;99.5%)灼烧1h,冷却至室温，按照统一样20PrNd01FD 配分的大致比例加入La</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（0.0065</w:t>
      </w:r>
      <w:r>
        <w:rPr>
          <w:rFonts w:hint="eastAsia" w:ascii="宋体" w:hAnsi="宋体" w:eastAsia="宋体" w:cs="宋体"/>
          <w:kern w:val="0"/>
          <w:szCs w:val="21"/>
          <w:vertAlign w:val="subscript"/>
        </w:rPr>
        <w:t xml:space="preserve"> </w:t>
      </w:r>
      <w:r>
        <w:rPr>
          <w:rFonts w:hint="eastAsia" w:ascii="宋体" w:hAnsi="宋体" w:eastAsia="宋体" w:cs="宋体"/>
          <w:kern w:val="0"/>
          <w:szCs w:val="21"/>
        </w:rPr>
        <w:t>g）、 Pr</w:t>
      </w:r>
      <w:r>
        <w:rPr>
          <w:rFonts w:hint="eastAsia" w:ascii="宋体" w:hAnsi="宋体" w:eastAsia="宋体" w:cs="宋体"/>
          <w:kern w:val="0"/>
          <w:szCs w:val="21"/>
          <w:vertAlign w:val="subscript"/>
        </w:rPr>
        <w:t>6</w:t>
      </w:r>
      <w:r>
        <w:rPr>
          <w:rFonts w:hint="eastAsia" w:ascii="宋体" w:hAnsi="宋体" w:eastAsia="宋体" w:cs="宋体"/>
          <w:kern w:val="0"/>
          <w:szCs w:val="21"/>
        </w:rPr>
        <w:t>O</w:t>
      </w:r>
      <w:r>
        <w:rPr>
          <w:rFonts w:hint="eastAsia" w:ascii="宋体" w:hAnsi="宋体" w:eastAsia="宋体" w:cs="宋体"/>
          <w:kern w:val="0"/>
          <w:szCs w:val="21"/>
          <w:vertAlign w:val="subscript"/>
        </w:rPr>
        <w:t>11</w:t>
      </w:r>
      <w:r>
        <w:rPr>
          <w:rFonts w:hint="eastAsia" w:ascii="宋体" w:hAnsi="宋体" w:eastAsia="宋体" w:cs="宋体"/>
          <w:kern w:val="0"/>
          <w:szCs w:val="21"/>
        </w:rPr>
        <w:t>（0.0220</w:t>
      </w:r>
      <w:r>
        <w:rPr>
          <w:rFonts w:hint="eastAsia" w:ascii="宋体" w:hAnsi="宋体" w:eastAsia="宋体" w:cs="宋体"/>
          <w:kern w:val="0"/>
          <w:szCs w:val="21"/>
          <w:vertAlign w:val="subscript"/>
        </w:rPr>
        <w:t xml:space="preserve"> </w:t>
      </w:r>
      <w:r>
        <w:rPr>
          <w:rFonts w:hint="eastAsia" w:ascii="宋体" w:hAnsi="宋体" w:eastAsia="宋体" w:cs="宋体"/>
          <w:kern w:val="0"/>
          <w:szCs w:val="21"/>
        </w:rPr>
        <w:t>g）、 Nd</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（0.0925</w:t>
      </w:r>
      <w:r>
        <w:rPr>
          <w:rFonts w:hint="eastAsia" w:ascii="宋体" w:hAnsi="宋体" w:eastAsia="宋体" w:cs="宋体"/>
          <w:kern w:val="0"/>
          <w:szCs w:val="21"/>
          <w:vertAlign w:val="subscript"/>
        </w:rPr>
        <w:t xml:space="preserve"> </w:t>
      </w:r>
      <w:r>
        <w:rPr>
          <w:rFonts w:hint="eastAsia" w:ascii="宋体" w:hAnsi="宋体" w:eastAsia="宋体" w:cs="宋体"/>
          <w:kern w:val="0"/>
          <w:szCs w:val="21"/>
        </w:rPr>
        <w:t>g） 、Dy</w:t>
      </w:r>
      <w:r>
        <w:rPr>
          <w:rFonts w:hint="eastAsia" w:ascii="宋体" w:hAnsi="宋体" w:eastAsia="宋体" w:cs="宋体"/>
          <w:kern w:val="0"/>
          <w:szCs w:val="21"/>
          <w:vertAlign w:val="subscript"/>
        </w:rPr>
        <w:t>2</w:t>
      </w:r>
      <w:r>
        <w:rPr>
          <w:rFonts w:hint="eastAsia" w:ascii="宋体" w:hAnsi="宋体" w:eastAsia="宋体" w:cs="宋体"/>
          <w:kern w:val="0"/>
          <w:szCs w:val="21"/>
        </w:rPr>
        <w:t>O</w:t>
      </w:r>
      <w:r>
        <w:rPr>
          <w:rFonts w:hint="eastAsia" w:ascii="宋体" w:hAnsi="宋体" w:eastAsia="宋体" w:cs="宋体"/>
          <w:kern w:val="0"/>
          <w:szCs w:val="21"/>
          <w:vertAlign w:val="subscript"/>
        </w:rPr>
        <w:t>3</w:t>
      </w:r>
      <w:r>
        <w:rPr>
          <w:rFonts w:hint="eastAsia" w:ascii="宋体" w:hAnsi="宋体" w:eastAsia="宋体" w:cs="宋体"/>
          <w:kern w:val="0"/>
          <w:szCs w:val="21"/>
        </w:rPr>
        <w:t>（0.0040</w:t>
      </w:r>
      <w:r>
        <w:rPr>
          <w:rFonts w:hint="eastAsia" w:ascii="宋体" w:hAnsi="宋体" w:eastAsia="宋体" w:cs="宋体"/>
          <w:kern w:val="0"/>
          <w:szCs w:val="21"/>
          <w:vertAlign w:val="subscript"/>
        </w:rPr>
        <w:t xml:space="preserve"> </w:t>
      </w:r>
      <w:r>
        <w:rPr>
          <w:rFonts w:hint="eastAsia" w:ascii="宋体" w:hAnsi="宋体" w:eastAsia="宋体" w:cs="宋体"/>
          <w:kern w:val="0"/>
          <w:szCs w:val="21"/>
        </w:rPr>
        <w:t>g）于五个300</w:t>
      </w:r>
      <w:r>
        <w:rPr>
          <w:rFonts w:hint="eastAsia" w:ascii="宋体" w:hAnsi="宋体" w:eastAsia="宋体" w:cs="宋体"/>
          <w:kern w:val="0"/>
          <w:szCs w:val="20"/>
        </w:rPr>
        <w:t>mL烧杯中</w:t>
      </w:r>
      <w:r>
        <w:rPr>
          <w:rFonts w:hint="eastAsia" w:ascii="宋体" w:hAnsi="宋体" w:eastAsia="宋体" w:cs="宋体"/>
          <w:szCs w:val="21"/>
        </w:rPr>
        <w:t>，</w:t>
      </w:r>
      <w:r>
        <w:rPr>
          <w:rFonts w:hint="eastAsia" w:ascii="宋体" w:hAnsi="宋体" w:eastAsia="宋体" w:cs="宋体"/>
          <w:kern w:val="0"/>
          <w:szCs w:val="21"/>
        </w:rPr>
        <w:t xml:space="preserve">依次分别标加下列各干扰元素，按实验步骤进行，测定灼烧后氧化物质量，计算其回收率，数据见表7。   </w:t>
      </w:r>
    </w:p>
    <w:p>
      <w:pPr>
        <w:widowControl/>
        <w:wordWrap w:val="0"/>
        <w:spacing w:beforeLines="50" w:line="312" w:lineRule="auto"/>
        <w:ind w:firstLine="420" w:firstLineChars="200"/>
        <w:jc w:val="center"/>
        <w:rPr>
          <w:rFonts w:ascii="宋体" w:hAnsi="宋体" w:eastAsia="黑体" w:cs="宋体"/>
          <w:kern w:val="0"/>
          <w:szCs w:val="21"/>
        </w:rPr>
      </w:pPr>
      <w:r>
        <w:rPr>
          <w:rFonts w:hint="eastAsia" w:ascii="黑体" w:hAnsi="黑体" w:eastAsia="黑体" w:cs="黑体"/>
          <w:kern w:val="0"/>
          <w:szCs w:val="21"/>
        </w:rPr>
        <w:t>表7  单一非稀土杂质元素干扰试验</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846"/>
        <w:gridCol w:w="1846"/>
        <w:gridCol w:w="184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bottom w:val="single" w:color="auto" w:sz="8"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干扰元素</w:t>
            </w:r>
          </w:p>
        </w:tc>
        <w:tc>
          <w:tcPr>
            <w:tcW w:w="1846" w:type="dxa"/>
            <w:tcBorders>
              <w:bottom w:val="single" w:color="auto" w:sz="8"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最大干扰量%</w:t>
            </w:r>
          </w:p>
        </w:tc>
        <w:tc>
          <w:tcPr>
            <w:tcW w:w="1846" w:type="dxa"/>
            <w:tcBorders>
              <w:bottom w:val="single" w:color="auto" w:sz="8"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标加量/ mg</w:t>
            </w:r>
          </w:p>
        </w:tc>
        <w:tc>
          <w:tcPr>
            <w:tcW w:w="1846" w:type="dxa"/>
            <w:tcBorders>
              <w:bottom w:val="single" w:color="auto" w:sz="8"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稀土回收量/ mg</w:t>
            </w:r>
          </w:p>
        </w:tc>
        <w:tc>
          <w:tcPr>
            <w:tcW w:w="1846" w:type="dxa"/>
            <w:tcBorders>
              <w:bottom w:val="single" w:color="auto" w:sz="8"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回收率%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top w:val="single" w:color="auto" w:sz="8" w:space="0"/>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Al</w:t>
            </w:r>
          </w:p>
        </w:tc>
        <w:tc>
          <w:tcPr>
            <w:tcW w:w="1846" w:type="dxa"/>
            <w:tcBorders>
              <w:top w:val="single" w:color="auto" w:sz="8" w:space="0"/>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846" w:type="dxa"/>
            <w:tcBorders>
              <w:top w:val="single" w:color="auto" w:sz="8" w:space="0"/>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37.5</w:t>
            </w:r>
          </w:p>
        </w:tc>
        <w:tc>
          <w:tcPr>
            <w:tcW w:w="1846" w:type="dxa"/>
            <w:tcBorders>
              <w:top w:val="single" w:color="auto" w:sz="8" w:space="0"/>
              <w:tl2br w:val="nil"/>
              <w:tr2bl w:val="nil"/>
            </w:tcBorders>
          </w:tcPr>
          <w:p>
            <w:pPr>
              <w:widowControl/>
              <w:spacing w:line="240" w:lineRule="exact"/>
              <w:ind w:firstLine="540" w:firstLineChars="300"/>
              <w:jc w:val="left"/>
              <w:rPr>
                <w:rFonts w:ascii="宋体" w:hAnsi="宋体" w:eastAsia="宋体" w:cs="宋体"/>
                <w:kern w:val="0"/>
                <w:sz w:val="18"/>
                <w:szCs w:val="18"/>
              </w:rPr>
            </w:pPr>
            <w:r>
              <w:rPr>
                <w:rFonts w:hint="eastAsia" w:ascii="宋体" w:hAnsi="宋体" w:cs="宋体"/>
                <w:kern w:val="0"/>
                <w:sz w:val="18"/>
                <w:szCs w:val="18"/>
              </w:rPr>
              <w:t>124.5</w:t>
            </w:r>
          </w:p>
        </w:tc>
        <w:tc>
          <w:tcPr>
            <w:tcW w:w="1846" w:type="dxa"/>
            <w:tcBorders>
              <w:top w:val="single" w:color="auto" w:sz="8" w:space="0"/>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Fe</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175</w:t>
            </w:r>
          </w:p>
        </w:tc>
        <w:tc>
          <w:tcPr>
            <w:tcW w:w="1846" w:type="dxa"/>
            <w:tcBorders>
              <w:tl2br w:val="nil"/>
              <w:tr2bl w:val="nil"/>
            </w:tcBorders>
          </w:tcPr>
          <w:p>
            <w:pPr>
              <w:widowControl/>
              <w:spacing w:line="240" w:lineRule="exact"/>
              <w:jc w:val="left"/>
              <w:rPr>
                <w:rFonts w:ascii="宋体" w:hAnsi="宋体" w:eastAsia="宋体" w:cs="宋体"/>
                <w:kern w:val="0"/>
                <w:sz w:val="18"/>
                <w:szCs w:val="18"/>
              </w:rPr>
            </w:pPr>
            <w:r>
              <w:rPr>
                <w:rFonts w:hint="eastAsia" w:ascii="宋体" w:hAnsi="宋体" w:cs="宋体"/>
                <w:kern w:val="0"/>
                <w:sz w:val="18"/>
                <w:szCs w:val="18"/>
              </w:rPr>
              <w:t xml:space="preserve">      124.5</w:t>
            </w:r>
          </w:p>
        </w:tc>
        <w:tc>
          <w:tcPr>
            <w:tcW w:w="1846"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Si</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1846" w:type="dxa"/>
            <w:tcBorders>
              <w:tl2br w:val="nil"/>
              <w:tr2bl w:val="nil"/>
            </w:tcBorders>
          </w:tcPr>
          <w:p>
            <w:pPr>
              <w:widowControl/>
              <w:spacing w:line="240" w:lineRule="exact"/>
              <w:ind w:firstLine="540" w:firstLineChars="300"/>
              <w:jc w:val="left"/>
              <w:rPr>
                <w:rFonts w:ascii="宋体" w:hAnsi="宋体" w:eastAsia="宋体" w:cs="宋体"/>
                <w:kern w:val="0"/>
                <w:sz w:val="18"/>
                <w:szCs w:val="18"/>
              </w:rPr>
            </w:pPr>
            <w:r>
              <w:rPr>
                <w:rFonts w:hint="eastAsia" w:ascii="宋体" w:hAnsi="宋体" w:cs="宋体"/>
                <w:kern w:val="0"/>
                <w:sz w:val="18"/>
                <w:szCs w:val="18"/>
              </w:rPr>
              <w:t>124.6</w:t>
            </w:r>
          </w:p>
        </w:tc>
        <w:tc>
          <w:tcPr>
            <w:tcW w:w="1846"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99.68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Li</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150</w:t>
            </w:r>
          </w:p>
        </w:tc>
        <w:tc>
          <w:tcPr>
            <w:tcW w:w="1846" w:type="dxa"/>
            <w:tcBorders>
              <w:tl2br w:val="nil"/>
              <w:tr2bl w:val="nil"/>
            </w:tcBorders>
          </w:tcPr>
          <w:p>
            <w:pPr>
              <w:widowControl/>
              <w:spacing w:line="240" w:lineRule="exact"/>
              <w:ind w:firstLine="540" w:firstLineChars="300"/>
              <w:jc w:val="left"/>
              <w:rPr>
                <w:rFonts w:ascii="宋体" w:hAnsi="宋体" w:cs="宋体"/>
                <w:kern w:val="0"/>
                <w:sz w:val="18"/>
                <w:szCs w:val="18"/>
              </w:rPr>
            </w:pPr>
            <w:r>
              <w:rPr>
                <w:rFonts w:hint="eastAsia" w:ascii="宋体" w:hAnsi="宋体" w:cs="宋体"/>
                <w:kern w:val="0"/>
                <w:sz w:val="18"/>
                <w:szCs w:val="18"/>
              </w:rPr>
              <w:t>124.7</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Mg</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846" w:type="dxa"/>
            <w:tcBorders>
              <w:tl2br w:val="nil"/>
              <w:tr2bl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w:t>
            </w:r>
          </w:p>
        </w:tc>
        <w:tc>
          <w:tcPr>
            <w:tcW w:w="1846" w:type="dxa"/>
            <w:tcBorders>
              <w:tl2br w:val="nil"/>
              <w:tr2bl w:val="nil"/>
            </w:tcBorders>
          </w:tcPr>
          <w:p>
            <w:pPr>
              <w:widowControl/>
              <w:spacing w:line="240" w:lineRule="exact"/>
              <w:jc w:val="left"/>
              <w:rPr>
                <w:rFonts w:ascii="宋体" w:hAnsi="宋体" w:eastAsia="宋体" w:cs="宋体"/>
                <w:kern w:val="0"/>
                <w:sz w:val="18"/>
                <w:szCs w:val="18"/>
              </w:rPr>
            </w:pPr>
            <w:r>
              <w:rPr>
                <w:rFonts w:hint="eastAsia" w:ascii="宋体" w:hAnsi="宋体" w:cs="宋体"/>
                <w:kern w:val="0"/>
                <w:sz w:val="18"/>
                <w:szCs w:val="18"/>
              </w:rPr>
              <w:t xml:space="preserve">      125.4</w:t>
            </w:r>
          </w:p>
        </w:tc>
        <w:tc>
          <w:tcPr>
            <w:tcW w:w="1846" w:type="dxa"/>
            <w:tcBorders>
              <w:tl2br w:val="nil"/>
              <w:tr2bl w:val="nil"/>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100.32</w:t>
            </w:r>
          </w:p>
        </w:tc>
      </w:tr>
    </w:tbl>
    <w:p>
      <w:pPr>
        <w:widowControl/>
        <w:spacing w:beforeLines="50" w:afterLines="50"/>
        <w:jc w:val="left"/>
        <w:rPr>
          <w:rFonts w:ascii="黑体" w:hAnsi="黑体" w:eastAsia="黑体" w:cs="黑体"/>
          <w:kern w:val="0"/>
          <w:sz w:val="18"/>
          <w:szCs w:val="18"/>
          <w:shd w:val="clear" w:color="FFFFFF" w:fill="D9D9D9"/>
        </w:rPr>
      </w:pPr>
      <w:r>
        <w:rPr>
          <w:rFonts w:hint="eastAsia" w:ascii="黑体" w:hAnsi="黑体" w:eastAsia="黑体" w:cs="黑体"/>
          <w:kern w:val="0"/>
          <w:sz w:val="18"/>
          <w:szCs w:val="18"/>
        </w:rPr>
        <w:t>备注：已做Ca上限干扰实验，所以不再重复。</w:t>
      </w:r>
    </w:p>
    <w:p>
      <w:pPr>
        <w:widowControl/>
        <w:spacing w:beforeLines="50" w:line="312" w:lineRule="auto"/>
        <w:jc w:val="center"/>
        <w:rPr>
          <w:rFonts w:ascii="黑体" w:hAnsi="黑体" w:eastAsia="黑体" w:cs="黑体"/>
          <w:kern w:val="0"/>
          <w:szCs w:val="21"/>
        </w:rPr>
      </w:pPr>
      <w:r>
        <w:rPr>
          <w:rFonts w:hint="eastAsia" w:ascii="黑体" w:hAnsi="黑体" w:eastAsia="黑体" w:cs="黑体"/>
          <w:kern w:val="0"/>
          <w:szCs w:val="21"/>
        </w:rPr>
        <w:t>表8  混合非稀土杂质元素干扰试验（电解工艺）</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18"/>
        <w:gridCol w:w="818"/>
        <w:gridCol w:w="821"/>
        <w:gridCol w:w="655"/>
        <w:gridCol w:w="655"/>
        <w:gridCol w:w="655"/>
        <w:gridCol w:w="655"/>
        <w:gridCol w:w="656"/>
        <w:gridCol w:w="1650"/>
        <w:gridCol w:w="1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275" w:type="dxa"/>
            <w:gridSpan w:val="4"/>
            <w:tcBorders>
              <w:bottom w:val="single" w:color="auto" w:sz="8" w:space="0"/>
            </w:tcBorders>
            <w:vAlign w:val="center"/>
          </w:tcPr>
          <w:p>
            <w:pPr>
              <w:widowControl/>
              <w:ind w:firstLine="360" w:firstLineChars="200"/>
              <w:jc w:val="center"/>
              <w:rPr>
                <w:rFonts w:ascii="宋体" w:hAnsi="宋体" w:eastAsia="宋体" w:cs="宋体"/>
                <w:kern w:val="0"/>
                <w:sz w:val="18"/>
                <w:szCs w:val="18"/>
              </w:rPr>
            </w:pPr>
            <w:r>
              <w:rPr>
                <w:rFonts w:hint="eastAsia" w:ascii="宋体" w:hAnsi="宋体" w:eastAsia="宋体" w:cs="宋体"/>
                <w:kern w:val="0"/>
                <w:sz w:val="18"/>
                <w:szCs w:val="18"/>
              </w:rPr>
              <w:t>稀土标准加入量（mg）</w:t>
            </w:r>
          </w:p>
        </w:tc>
        <w:tc>
          <w:tcPr>
            <w:tcW w:w="3276" w:type="dxa"/>
            <w:gridSpan w:val="5"/>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加入杂质量（mg）</w:t>
            </w:r>
          </w:p>
        </w:tc>
        <w:tc>
          <w:tcPr>
            <w:tcW w:w="1650" w:type="dxa"/>
            <w:tcBorders>
              <w:bottom w:val="single" w:color="auto" w:sz="8" w:space="0"/>
            </w:tcBorders>
            <w:vAlign w:val="center"/>
          </w:tcPr>
          <w:p>
            <w:pPr>
              <w:widowControl/>
              <w:ind w:left="180" w:hanging="180" w:hangingChars="100"/>
              <w:jc w:val="center"/>
              <w:rPr>
                <w:rFonts w:ascii="宋体" w:hAnsi="宋体" w:eastAsia="宋体" w:cs="宋体"/>
                <w:kern w:val="0"/>
                <w:sz w:val="18"/>
                <w:szCs w:val="18"/>
              </w:rPr>
            </w:pPr>
            <w:r>
              <w:rPr>
                <w:rFonts w:hint="eastAsia" w:ascii="宋体" w:hAnsi="宋体" w:eastAsia="宋体" w:cs="宋体"/>
                <w:kern w:val="0"/>
                <w:sz w:val="18"/>
                <w:szCs w:val="18"/>
              </w:rPr>
              <w:t>稀土回收量（mg）</w:t>
            </w:r>
          </w:p>
        </w:tc>
        <w:tc>
          <w:tcPr>
            <w:tcW w:w="1029"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18"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La</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p>
        </w:tc>
        <w:tc>
          <w:tcPr>
            <w:tcW w:w="818"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Pr</w:t>
            </w:r>
            <w:r>
              <w:rPr>
                <w:rFonts w:hint="eastAsia" w:ascii="宋体" w:hAnsi="宋体" w:eastAsia="宋体" w:cs="宋体"/>
                <w:kern w:val="0"/>
                <w:sz w:val="18"/>
                <w:szCs w:val="18"/>
                <w:vertAlign w:val="subscript"/>
              </w:rPr>
              <w:t>6</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11</w:t>
            </w:r>
          </w:p>
        </w:tc>
        <w:tc>
          <w:tcPr>
            <w:tcW w:w="818"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Nd</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p>
        </w:tc>
        <w:tc>
          <w:tcPr>
            <w:tcW w:w="821"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Dy</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p>
        </w:tc>
        <w:tc>
          <w:tcPr>
            <w:tcW w:w="655"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Al</w:t>
            </w:r>
          </w:p>
        </w:tc>
        <w:tc>
          <w:tcPr>
            <w:tcW w:w="655"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Fe</w:t>
            </w:r>
          </w:p>
        </w:tc>
        <w:tc>
          <w:tcPr>
            <w:tcW w:w="655"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Si</w:t>
            </w:r>
          </w:p>
        </w:tc>
        <w:tc>
          <w:tcPr>
            <w:tcW w:w="655"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Li</w:t>
            </w:r>
          </w:p>
        </w:tc>
        <w:tc>
          <w:tcPr>
            <w:tcW w:w="656"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Ca</w:t>
            </w:r>
          </w:p>
        </w:tc>
        <w:tc>
          <w:tcPr>
            <w:tcW w:w="1650" w:type="dxa"/>
            <w:tcBorders>
              <w:top w:val="single" w:color="auto" w:sz="8" w:space="0"/>
              <w:tl2br w:val="nil"/>
              <w:tr2bl w:val="nil"/>
            </w:tcBorders>
            <w:vAlign w:val="center"/>
          </w:tcPr>
          <w:p>
            <w:pPr>
              <w:widowControl/>
              <w:ind w:firstLine="180" w:firstLineChars="100"/>
              <w:jc w:val="center"/>
              <w:rPr>
                <w:rFonts w:ascii="宋体" w:hAnsi="宋体" w:eastAsia="宋体" w:cs="宋体"/>
                <w:kern w:val="0"/>
                <w:sz w:val="18"/>
                <w:szCs w:val="18"/>
              </w:rPr>
            </w:pPr>
            <w:r>
              <w:rPr>
                <w:rFonts w:hint="eastAsia" w:ascii="宋体" w:hAnsi="宋体" w:eastAsia="宋体" w:cs="宋体"/>
                <w:kern w:val="0"/>
                <w:sz w:val="18"/>
                <w:szCs w:val="18"/>
              </w:rPr>
              <w:t>REO</w:t>
            </w:r>
          </w:p>
        </w:tc>
        <w:tc>
          <w:tcPr>
            <w:tcW w:w="1029"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18"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818"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818"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92.5</w:t>
            </w:r>
          </w:p>
        </w:tc>
        <w:tc>
          <w:tcPr>
            <w:tcW w:w="821"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655"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655"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655"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655"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65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6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124.0</w:t>
            </w:r>
          </w:p>
        </w:tc>
        <w:tc>
          <w:tcPr>
            <w:tcW w:w="1029"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99.20</w:t>
            </w:r>
          </w:p>
        </w:tc>
      </w:tr>
    </w:tbl>
    <w:p>
      <w:pPr>
        <w:widowControl/>
        <w:spacing w:beforeLines="50"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根据</w:t>
      </w:r>
      <w:r>
        <w:rPr>
          <w:rFonts w:hint="eastAsia" w:ascii="宋体" w:hAnsi="宋体" w:eastAsia="宋体" w:cs="宋体"/>
          <w:kern w:val="0"/>
          <w:szCs w:val="20"/>
        </w:rPr>
        <w:t xml:space="preserve">钙热还原回收试料（20TbDy01FH）稀土配分的大致比例,稀土元素按最低质量分数5%，共存元素Al </w:t>
      </w:r>
      <w:r>
        <w:rPr>
          <w:rFonts w:hint="eastAsia" w:ascii="宋体" w:hAnsi="宋体" w:eastAsia="宋体" w:cs="宋体"/>
          <w:szCs w:val="22"/>
        </w:rPr>
        <w:t>、</w:t>
      </w:r>
      <w:r>
        <w:rPr>
          <w:rFonts w:hint="eastAsia" w:ascii="宋体" w:hAnsi="宋体" w:eastAsia="宋体" w:cs="宋体"/>
          <w:kern w:val="0"/>
          <w:szCs w:val="20"/>
        </w:rPr>
        <w:t xml:space="preserve">Fe </w:t>
      </w:r>
      <w:r>
        <w:rPr>
          <w:rFonts w:hint="eastAsia" w:ascii="宋体" w:hAnsi="宋体" w:eastAsia="宋体" w:cs="宋体"/>
          <w:szCs w:val="22"/>
        </w:rPr>
        <w:t>、</w:t>
      </w:r>
      <w:r>
        <w:rPr>
          <w:rFonts w:hint="eastAsia" w:ascii="宋体" w:hAnsi="宋体" w:eastAsia="宋体" w:cs="宋体"/>
          <w:kern w:val="0"/>
          <w:szCs w:val="20"/>
        </w:rPr>
        <w:t>Si按最高质量分数加入进行试验（Cr</w:t>
      </w:r>
      <w:r>
        <w:rPr>
          <w:rFonts w:hint="eastAsia" w:ascii="宋体" w:hAnsi="宋体" w:eastAsia="宋体" w:cs="宋体"/>
          <w:kern w:val="0"/>
          <w:szCs w:val="21"/>
        </w:rPr>
        <w:t>、</w:t>
      </w:r>
      <w:r>
        <w:rPr>
          <w:rFonts w:hint="eastAsia" w:ascii="宋体" w:hAnsi="宋体" w:eastAsia="宋体" w:cs="宋体"/>
          <w:kern w:val="0"/>
          <w:szCs w:val="20"/>
        </w:rPr>
        <w:t xml:space="preserve"> Zn</w:t>
      </w:r>
      <w:r>
        <w:rPr>
          <w:rFonts w:hint="eastAsia" w:ascii="宋体" w:hAnsi="宋体" w:eastAsia="宋体" w:cs="宋体"/>
          <w:kern w:val="0"/>
          <w:szCs w:val="21"/>
        </w:rPr>
        <w:t>、</w:t>
      </w:r>
      <w:r>
        <w:rPr>
          <w:rFonts w:hint="eastAsia" w:ascii="宋体" w:hAnsi="宋体" w:eastAsia="宋体" w:cs="宋体"/>
          <w:kern w:val="0"/>
          <w:szCs w:val="20"/>
        </w:rPr>
        <w:t>Ni的含量均小于&lt;0.05%，干扰影响可忽略）按</w:t>
      </w:r>
      <w:r>
        <w:rPr>
          <w:rFonts w:hint="eastAsia" w:ascii="宋体" w:hAnsi="宋体" w:eastAsia="宋体" w:cs="宋体"/>
          <w:kern w:val="0"/>
          <w:szCs w:val="21"/>
        </w:rPr>
        <w:t>试验报告步骤</w:t>
      </w:r>
      <w:r>
        <w:rPr>
          <w:rFonts w:hint="eastAsia" w:ascii="宋体" w:hAnsi="宋体" w:eastAsia="宋体" w:cs="宋体"/>
          <w:kern w:val="0"/>
          <w:szCs w:val="20"/>
        </w:rPr>
        <w:t>进行，测定</w:t>
      </w:r>
      <w:r>
        <w:rPr>
          <w:rFonts w:hint="eastAsia" w:ascii="宋体" w:hAnsi="宋体" w:eastAsia="宋体" w:cs="宋体"/>
          <w:kern w:val="0"/>
          <w:szCs w:val="21"/>
        </w:rPr>
        <w:t xml:space="preserve">灼烧后氧化物质量，数据见表9。 </w:t>
      </w:r>
    </w:p>
    <w:p>
      <w:pPr>
        <w:widowControl/>
        <w:spacing w:beforeLines="50" w:line="312" w:lineRule="auto"/>
        <w:jc w:val="center"/>
        <w:rPr>
          <w:rFonts w:ascii="黑体" w:hAnsi="黑体" w:eastAsia="黑体" w:cs="黑体"/>
          <w:kern w:val="0"/>
          <w:szCs w:val="21"/>
        </w:rPr>
      </w:pPr>
      <w:r>
        <w:rPr>
          <w:rFonts w:hint="eastAsia" w:ascii="黑体" w:hAnsi="黑体" w:eastAsia="黑体" w:cs="黑体"/>
          <w:kern w:val="0"/>
          <w:szCs w:val="21"/>
        </w:rPr>
        <w:t>表9  混合非稀土杂质元素干扰试验（钙热还原工艺）</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817"/>
        <w:gridCol w:w="819"/>
        <w:gridCol w:w="817"/>
        <w:gridCol w:w="817"/>
        <w:gridCol w:w="817"/>
        <w:gridCol w:w="819"/>
        <w:gridCol w:w="1673"/>
        <w:gridCol w:w="1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270" w:type="dxa"/>
            <w:gridSpan w:val="4"/>
            <w:tcBorders>
              <w:bottom w:val="single" w:color="auto" w:sz="8" w:space="0"/>
            </w:tcBorders>
            <w:vAlign w:val="center"/>
          </w:tcPr>
          <w:p>
            <w:pPr>
              <w:widowControl/>
              <w:ind w:firstLine="360" w:firstLineChars="200"/>
              <w:jc w:val="center"/>
              <w:rPr>
                <w:rFonts w:ascii="宋体" w:hAnsi="宋体" w:eastAsia="宋体" w:cs="宋体"/>
                <w:kern w:val="0"/>
                <w:sz w:val="18"/>
                <w:szCs w:val="18"/>
              </w:rPr>
            </w:pPr>
            <w:r>
              <w:rPr>
                <w:rFonts w:hint="eastAsia" w:ascii="宋体" w:hAnsi="宋体" w:eastAsia="宋体" w:cs="宋体"/>
                <w:kern w:val="0"/>
                <w:sz w:val="18"/>
                <w:szCs w:val="18"/>
              </w:rPr>
              <w:t>稀土标准加入量（mg）</w:t>
            </w:r>
          </w:p>
        </w:tc>
        <w:tc>
          <w:tcPr>
            <w:tcW w:w="3270" w:type="dxa"/>
            <w:gridSpan w:val="4"/>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加入杂质量（mg）</w:t>
            </w:r>
          </w:p>
        </w:tc>
        <w:tc>
          <w:tcPr>
            <w:tcW w:w="1673" w:type="dxa"/>
            <w:tcBorders>
              <w:bottom w:val="single" w:color="auto" w:sz="8" w:space="0"/>
            </w:tcBorders>
            <w:vAlign w:val="center"/>
          </w:tcPr>
          <w:p>
            <w:pPr>
              <w:widowControl/>
              <w:ind w:left="180" w:hanging="180" w:hangingChars="100"/>
              <w:jc w:val="center"/>
              <w:rPr>
                <w:rFonts w:ascii="宋体" w:hAnsi="宋体" w:eastAsia="宋体" w:cs="宋体"/>
                <w:kern w:val="0"/>
                <w:sz w:val="18"/>
                <w:szCs w:val="18"/>
              </w:rPr>
            </w:pPr>
            <w:r>
              <w:rPr>
                <w:rFonts w:hint="eastAsia" w:ascii="宋体" w:hAnsi="宋体" w:eastAsia="宋体" w:cs="宋体"/>
                <w:kern w:val="0"/>
                <w:sz w:val="18"/>
                <w:szCs w:val="18"/>
              </w:rPr>
              <w:t>稀土回收量（mg）</w:t>
            </w:r>
          </w:p>
        </w:tc>
        <w:tc>
          <w:tcPr>
            <w:tcW w:w="1017"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Pr</w:t>
            </w:r>
            <w:r>
              <w:rPr>
                <w:rFonts w:hint="eastAsia" w:ascii="宋体" w:hAnsi="宋体" w:eastAsia="宋体" w:cs="宋体"/>
                <w:kern w:val="0"/>
                <w:sz w:val="18"/>
                <w:szCs w:val="18"/>
                <w:vertAlign w:val="subscript"/>
              </w:rPr>
              <w:t>6</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11</w:t>
            </w:r>
          </w:p>
        </w:tc>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Nd</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p>
        </w:tc>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Tb</w:t>
            </w:r>
            <w:r>
              <w:rPr>
                <w:rFonts w:hint="eastAsia" w:ascii="宋体" w:hAnsi="宋体" w:eastAsia="宋体" w:cs="宋体"/>
                <w:kern w:val="0"/>
                <w:sz w:val="18"/>
                <w:szCs w:val="18"/>
                <w:vertAlign w:val="subscript"/>
              </w:rPr>
              <w:t>4</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7</w:t>
            </w:r>
          </w:p>
        </w:tc>
        <w:tc>
          <w:tcPr>
            <w:tcW w:w="819"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Dy</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p>
        </w:tc>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Al</w:t>
            </w:r>
          </w:p>
        </w:tc>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Fe</w:t>
            </w:r>
          </w:p>
        </w:tc>
        <w:tc>
          <w:tcPr>
            <w:tcW w:w="81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Si</w:t>
            </w:r>
          </w:p>
        </w:tc>
        <w:tc>
          <w:tcPr>
            <w:tcW w:w="819"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Ca</w:t>
            </w:r>
          </w:p>
        </w:tc>
        <w:tc>
          <w:tcPr>
            <w:tcW w:w="1673" w:type="dxa"/>
            <w:tcBorders>
              <w:top w:val="single" w:color="auto" w:sz="8" w:space="0"/>
              <w:tl2br w:val="nil"/>
              <w:tr2bl w:val="nil"/>
            </w:tcBorders>
            <w:vAlign w:val="center"/>
          </w:tcPr>
          <w:p>
            <w:pPr>
              <w:widowControl/>
              <w:ind w:firstLine="180" w:firstLineChars="100"/>
              <w:jc w:val="center"/>
              <w:rPr>
                <w:rFonts w:ascii="宋体" w:hAnsi="宋体" w:eastAsia="宋体" w:cs="宋体"/>
                <w:kern w:val="0"/>
                <w:sz w:val="18"/>
                <w:szCs w:val="18"/>
              </w:rPr>
            </w:pPr>
            <w:r>
              <w:rPr>
                <w:rFonts w:hint="eastAsia" w:ascii="宋体" w:hAnsi="宋体" w:eastAsia="宋体" w:cs="宋体"/>
                <w:kern w:val="0"/>
                <w:sz w:val="18"/>
                <w:szCs w:val="18"/>
              </w:rPr>
              <w:t>REO</w:t>
            </w:r>
          </w:p>
        </w:tc>
        <w:tc>
          <w:tcPr>
            <w:tcW w:w="1017" w:type="dxa"/>
            <w:tcBorders>
              <w:top w:val="single" w:color="auto" w:sz="8" w:space="0"/>
              <w:tl2br w:val="nil"/>
              <w:tr2bl w:val="nil"/>
            </w:tcBorders>
            <w:vAlign w:val="center"/>
          </w:tcPr>
          <w:p>
            <w:pPr>
              <w:widowControl/>
              <w:ind w:firstLine="180" w:firstLineChars="100"/>
              <w:jc w:val="center"/>
              <w:rPr>
                <w:rFonts w:ascii="宋体" w:hAnsi="宋体" w:eastAsia="宋体" w:cs="宋体"/>
                <w:kern w:val="0"/>
                <w:sz w:val="18"/>
                <w:szCs w:val="18"/>
              </w:rPr>
            </w:pPr>
            <w:r>
              <w:rPr>
                <w:rFonts w:hint="eastAsia" w:ascii="宋体" w:hAnsi="宋体" w:eastAsia="宋体" w:cs="宋体"/>
                <w:kern w:val="0"/>
                <w:sz w:val="18"/>
                <w:szCs w:val="18"/>
              </w:rPr>
              <w:t>REO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19"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8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819"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1250</w:t>
            </w:r>
          </w:p>
        </w:tc>
        <w:tc>
          <w:tcPr>
            <w:tcW w:w="1673"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125.8</w:t>
            </w:r>
          </w:p>
        </w:tc>
        <w:tc>
          <w:tcPr>
            <w:tcW w:w="101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100.64</w:t>
            </w:r>
          </w:p>
        </w:tc>
      </w:tr>
    </w:tbl>
    <w:p>
      <w:pPr>
        <w:widowControl/>
        <w:wordWrap w:val="0"/>
        <w:adjustRightInd w:val="0"/>
        <w:snapToGrid w:val="0"/>
        <w:spacing w:beforeLines="50" w:line="312" w:lineRule="auto"/>
        <w:rPr>
          <w:rFonts w:ascii="宋体" w:hAnsi="宋体" w:cs="宋体"/>
          <w:kern w:val="0"/>
          <w:szCs w:val="21"/>
        </w:rPr>
      </w:pPr>
      <w:r>
        <w:rPr>
          <w:rFonts w:hint="eastAsia" w:ascii="宋体" w:hAnsi="宋体" w:cs="宋体"/>
          <w:kern w:val="0"/>
          <w:szCs w:val="21"/>
        </w:rPr>
        <w:t>结论：由表7、8、9可见，各加入的干扰元素上限量，在本实验测定条件下，都进行了很好的去除，不影响总量值的测定。</w:t>
      </w:r>
    </w:p>
    <w:p>
      <w:pPr>
        <w:widowControl/>
        <w:numPr>
          <w:ilvl w:val="0"/>
          <w:numId w:val="19"/>
        </w:numPr>
        <w:wordWrap w:val="0"/>
        <w:adjustRightInd w:val="0"/>
        <w:snapToGrid w:val="0"/>
        <w:spacing w:line="312" w:lineRule="auto"/>
        <w:rPr>
          <w:rFonts w:ascii="黑体" w:hAnsi="黑体" w:eastAsia="黑体" w:cs="黑体"/>
          <w:kern w:val="0"/>
          <w:szCs w:val="21"/>
        </w:rPr>
      </w:pPr>
      <w:r>
        <w:rPr>
          <w:rFonts w:hint="eastAsia" w:ascii="黑体" w:hAnsi="黑体" w:eastAsia="黑体" w:cs="黑体"/>
          <w:kern w:val="0"/>
          <w:szCs w:val="21"/>
        </w:rPr>
        <w:t>准确度试验</w:t>
      </w:r>
    </w:p>
    <w:p>
      <w:pPr>
        <w:widowControl/>
        <w:spacing w:line="312" w:lineRule="auto"/>
        <w:ind w:firstLine="420" w:firstLineChars="200"/>
        <w:jc w:val="left"/>
        <w:rPr>
          <w:rFonts w:ascii="宋体" w:hAnsi="宋体" w:eastAsia="宋体" w:cs="宋体"/>
          <w:kern w:val="0"/>
          <w:szCs w:val="20"/>
        </w:rPr>
      </w:pPr>
      <w:r>
        <w:rPr>
          <w:rFonts w:hint="eastAsia" w:ascii="宋体" w:hAnsi="宋体" w:eastAsia="宋体" w:cs="宋体"/>
          <w:kern w:val="0"/>
          <w:szCs w:val="21"/>
        </w:rPr>
        <w:t>称取统一样</w:t>
      </w:r>
      <w:r>
        <w:rPr>
          <w:rFonts w:hint="eastAsia" w:ascii="宋体" w:hAnsi="宋体" w:eastAsia="宋体" w:cs="宋体"/>
          <w:kern w:val="0"/>
          <w:szCs w:val="20"/>
        </w:rPr>
        <w:t>20PrNd01FD</w:t>
      </w:r>
      <w:r>
        <w:rPr>
          <w:rFonts w:hint="eastAsia" w:ascii="宋体" w:hAnsi="宋体" w:eastAsia="宋体" w:cs="宋体"/>
          <w:kern w:val="0"/>
          <w:szCs w:val="21"/>
        </w:rPr>
        <w:t>、</w:t>
      </w:r>
      <w:r>
        <w:rPr>
          <w:rFonts w:hint="eastAsia" w:ascii="宋体" w:hAnsi="宋体" w:eastAsia="宋体" w:cs="宋体"/>
          <w:kern w:val="0"/>
          <w:szCs w:val="20"/>
        </w:rPr>
        <w:t>20TbDy01FH</w:t>
      </w:r>
      <w:r>
        <w:rPr>
          <w:rFonts w:hint="eastAsia" w:ascii="宋体" w:hAnsi="宋体" w:eastAsia="宋体" w:cs="宋体"/>
          <w:kern w:val="0"/>
          <w:szCs w:val="21"/>
        </w:rPr>
        <w:t>、</w:t>
      </w:r>
      <w:r>
        <w:rPr>
          <w:rFonts w:hint="eastAsia" w:ascii="宋体" w:hAnsi="宋体" w:eastAsia="宋体" w:cs="宋体"/>
          <w:kern w:val="0"/>
          <w:szCs w:val="20"/>
        </w:rPr>
        <w:t>20LaF01FH</w:t>
      </w:r>
      <w:r>
        <w:rPr>
          <w:rFonts w:hint="eastAsia" w:ascii="宋体" w:hAnsi="宋体" w:eastAsia="宋体" w:cs="宋体"/>
          <w:kern w:val="0"/>
          <w:szCs w:val="21"/>
        </w:rPr>
        <w:t>、</w:t>
      </w:r>
      <w:r>
        <w:rPr>
          <w:rFonts w:hint="eastAsia" w:ascii="宋体" w:hAnsi="宋体" w:eastAsia="宋体" w:cs="宋体"/>
          <w:kern w:val="0"/>
          <w:szCs w:val="20"/>
        </w:rPr>
        <w:t>20DyFe01DF，按照试验报告步骤进行试验，根据稀土含量按试验报告中表1移取相应体积的试液于300烧杯中，按照试料中各主要稀土元素的大致比例，分别加入相应量的稀土氧化物，以下按试验报告步骤进行回收率试验，计算回收率。</w:t>
      </w:r>
    </w:p>
    <w:p>
      <w:pPr>
        <w:widowControl/>
        <w:spacing w:beforeLines="50" w:line="312" w:lineRule="auto"/>
        <w:ind w:firstLine="3675" w:firstLineChars="1750"/>
        <w:jc w:val="left"/>
        <w:rPr>
          <w:rFonts w:ascii="黑体" w:hAnsi="黑体" w:eastAsia="黑体" w:cs="黑体"/>
          <w:kern w:val="0"/>
          <w:szCs w:val="20"/>
        </w:rPr>
      </w:pPr>
      <w:r>
        <w:rPr>
          <w:rFonts w:hint="eastAsia" w:ascii="黑体" w:hAnsi="黑体" w:eastAsia="黑体" w:cs="黑体"/>
          <w:kern w:val="0"/>
          <w:szCs w:val="20"/>
        </w:rPr>
        <w:t>表10  统一样标加回收试验数据</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050"/>
        <w:gridCol w:w="1622"/>
        <w:gridCol w:w="183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试料编号</w:t>
            </w:r>
          </w:p>
        </w:tc>
        <w:tc>
          <w:tcPr>
            <w:tcW w:w="2050"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氧化物标准加入量（mg）</w:t>
            </w:r>
          </w:p>
        </w:tc>
        <w:tc>
          <w:tcPr>
            <w:tcW w:w="1622"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1836"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1837" w:type="dxa"/>
            <w:tcBorders>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restart"/>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20PrNd01FD</w:t>
            </w:r>
          </w:p>
        </w:tc>
        <w:tc>
          <w:tcPr>
            <w:tcW w:w="2050" w:type="dxa"/>
            <w:tcBorders>
              <w:top w:val="single" w:color="auto" w:sz="8" w:space="0"/>
              <w:tl2br w:val="nil"/>
              <w:tr2bl w:val="nil"/>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氧化镧标准加入量mg</w:t>
            </w:r>
          </w:p>
        </w:tc>
        <w:tc>
          <w:tcPr>
            <w:tcW w:w="1622"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836"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83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氧化镨标准加入量mg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氧化钕标准加入量mg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氧化镝标准加入量mg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试料中原有稀土量mg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138.2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138.2</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加标后稀土测得量mg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172.4</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206.3</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100.59</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100.15</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restart"/>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20DyFe01DF</w:t>
            </w: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氧化物标准加入量（mg）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氧化镝标准加入量（mg）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试料中原有稀土量（mg）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165.5</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165.5</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加标后稀土测得量（mg）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208.8</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250.6</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103.10</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101.31</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restart"/>
            <w:tcBorders>
              <w:top w:val="single" w:color="auto" w:sz="8" w:space="0"/>
              <w:bottom w:val="single" w:color="auto" w:sz="8" w:space="0"/>
            </w:tcBorders>
            <w:vAlign w:val="center"/>
          </w:tcPr>
          <w:p>
            <w:pPr>
              <w:widowControl/>
              <w:ind w:firstLine="180" w:firstLineChars="100"/>
              <w:jc w:val="center"/>
              <w:rPr>
                <w:rFonts w:ascii="宋体" w:hAnsi="宋体" w:eastAsia="宋体" w:cs="宋体"/>
                <w:kern w:val="0"/>
                <w:sz w:val="18"/>
                <w:szCs w:val="18"/>
              </w:rPr>
            </w:pPr>
            <w:r>
              <w:rPr>
                <w:rFonts w:hint="eastAsia" w:ascii="宋体" w:hAnsi="宋体" w:eastAsia="宋体" w:cs="宋体"/>
                <w:kern w:val="0"/>
                <w:sz w:val="18"/>
                <w:szCs w:val="18"/>
              </w:rPr>
              <w:t>20LaF01FH</w:t>
            </w:r>
          </w:p>
        </w:tc>
        <w:tc>
          <w:tcPr>
            <w:tcW w:w="2050"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氧化物标准加入量（mg）</w:t>
            </w:r>
          </w:p>
        </w:tc>
        <w:tc>
          <w:tcPr>
            <w:tcW w:w="1622"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1836"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1837"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氧化镧标准加入量（mg）</w:t>
            </w:r>
          </w:p>
        </w:tc>
        <w:tc>
          <w:tcPr>
            <w:tcW w:w="1622"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1836"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183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氧化镱标准加入量（mg）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试料中原有稀土量mg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219.3</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219.3</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加标后稀土测得量mg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264.2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330.7</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441.0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bottom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c>
          <w:tcPr>
            <w:tcW w:w="1622" w:type="dxa"/>
            <w:tcBorders>
              <w:bottom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102.05</w:t>
            </w:r>
          </w:p>
        </w:tc>
        <w:tc>
          <w:tcPr>
            <w:tcW w:w="1836" w:type="dxa"/>
            <w:tcBorders>
              <w:bottom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101.27</w:t>
            </w:r>
          </w:p>
        </w:tc>
        <w:tc>
          <w:tcPr>
            <w:tcW w:w="1837" w:type="dxa"/>
            <w:tcBorders>
              <w:bottom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restart"/>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20TbDy01FH</w:t>
            </w:r>
          </w:p>
        </w:tc>
        <w:tc>
          <w:tcPr>
            <w:tcW w:w="2050"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氧化物标准加入量（mg）</w:t>
            </w:r>
          </w:p>
        </w:tc>
        <w:tc>
          <w:tcPr>
            <w:tcW w:w="1622"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1836"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1837" w:type="dxa"/>
            <w:tcBorders>
              <w:top w:val="single" w:color="auto" w:sz="8" w:space="0"/>
              <w:bottom w:val="single" w:color="auto"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氧化镨标准加入量（mg）</w:t>
            </w:r>
          </w:p>
        </w:tc>
        <w:tc>
          <w:tcPr>
            <w:tcW w:w="1622"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836"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837" w:type="dxa"/>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氧化钕标准加入量（mg）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氧化镝标准加入量（mg）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r>
    </w:tbl>
    <w:p>
      <w:pPr>
        <w:widowControl/>
        <w:spacing w:beforeLines="50" w:line="312" w:lineRule="auto"/>
        <w:ind w:firstLine="3675" w:firstLineChars="1750"/>
        <w:jc w:val="left"/>
        <w:rPr>
          <w:rFonts w:ascii="黑体" w:hAnsi="黑体" w:eastAsia="黑体" w:cs="黑体"/>
          <w:kern w:val="0"/>
          <w:szCs w:val="20"/>
        </w:rPr>
      </w:pPr>
      <w:bookmarkStart w:id="7" w:name="_GoBack"/>
      <w:bookmarkEnd w:id="7"/>
      <w:r>
        <w:rPr>
          <w:rFonts w:hint="eastAsia" w:ascii="黑体" w:hAnsi="黑体" w:eastAsia="黑体" w:cs="黑体"/>
          <w:kern w:val="0"/>
          <w:szCs w:val="20"/>
        </w:rPr>
        <w:t>表10  统一样标加回收试验数据</w:t>
      </w:r>
      <w:r>
        <w:rPr>
          <w:rFonts w:hint="eastAsia" w:ascii="宋体" w:hAnsi="宋体" w:eastAsia="宋体" w:cs="宋体"/>
          <w:kern w:val="0"/>
          <w:szCs w:val="20"/>
        </w:rPr>
        <w:t>（续）</w:t>
      </w:r>
    </w:p>
    <w:tbl>
      <w:tblPr>
        <w:tblStyle w:val="8"/>
        <w:tblW w:w="92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050"/>
        <w:gridCol w:w="1622"/>
        <w:gridCol w:w="183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restart"/>
            <w:tcBorders>
              <w:top w:val="single" w:color="auto" w:sz="8" w:space="0"/>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20TbDy01FH</w:t>
            </w: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氧化铽标准加入量（mg）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试料中原有稀土量mg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177.2</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177.2</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加标后稀土测得量mg</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208.5</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242.0</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885" w:type="dxa"/>
            <w:vMerge w:val="continue"/>
            <w:tcBorders>
              <w:top w:val="single" w:color="auto" w:sz="8" w:space="0"/>
              <w:bottom w:val="single" w:color="auto" w:sz="8" w:space="0"/>
              <w:tl2br w:val="nil"/>
              <w:tr2bl w:val="nil"/>
            </w:tcBorders>
            <w:vAlign w:val="center"/>
          </w:tcPr>
          <w:p>
            <w:pPr>
              <w:widowControl/>
              <w:jc w:val="center"/>
              <w:rPr>
                <w:rFonts w:ascii="宋体" w:hAnsi="宋体" w:eastAsia="宋体" w:cs="宋体"/>
                <w:kern w:val="0"/>
                <w:sz w:val="18"/>
                <w:szCs w:val="18"/>
              </w:rPr>
            </w:pPr>
          </w:p>
        </w:tc>
        <w:tc>
          <w:tcPr>
            <w:tcW w:w="2050"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回收率（%）</w:t>
            </w:r>
          </w:p>
        </w:tc>
        <w:tc>
          <w:tcPr>
            <w:tcW w:w="1622"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100.97</w:t>
            </w:r>
          </w:p>
        </w:tc>
        <w:tc>
          <w:tcPr>
            <w:tcW w:w="1836"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101.25</w:t>
            </w:r>
          </w:p>
        </w:tc>
        <w:tc>
          <w:tcPr>
            <w:tcW w:w="1837" w:type="dxa"/>
            <w:tcBorders>
              <w:tl2br w:val="nil"/>
              <w:tr2bl w:val="nil"/>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101.60</w:t>
            </w:r>
          </w:p>
        </w:tc>
      </w:tr>
    </w:tbl>
    <w:p>
      <w:pPr>
        <w:widowControl/>
        <w:spacing w:beforeLines="50" w:line="312" w:lineRule="auto"/>
        <w:ind w:firstLine="420" w:firstLineChars="200"/>
        <w:jc w:val="left"/>
        <w:rPr>
          <w:rFonts w:ascii="宋体" w:hAnsi="宋体" w:eastAsia="宋体" w:cs="宋体"/>
          <w:kern w:val="0"/>
          <w:szCs w:val="20"/>
        </w:rPr>
      </w:pPr>
      <w:r>
        <w:rPr>
          <w:rFonts w:hint="eastAsia" w:ascii="宋体" w:hAnsi="宋体" w:eastAsia="宋体" w:cs="宋体"/>
          <w:kern w:val="0"/>
          <w:szCs w:val="20"/>
        </w:rPr>
        <w:t>由表10可知，标加回收率在99.41%～103.10%之间，本方法准确度可靠，实验方法可行。</w:t>
      </w:r>
    </w:p>
    <w:p>
      <w:pPr>
        <w:widowControl/>
        <w:spacing w:beforeLines="50" w:afterLines="50" w:line="312" w:lineRule="auto"/>
        <w:ind w:firstLine="420" w:firstLineChars="200"/>
        <w:jc w:val="left"/>
        <w:rPr>
          <w:rFonts w:ascii="宋体" w:hAnsi="宋体" w:eastAsia="宋体" w:cs="宋体"/>
          <w:kern w:val="0"/>
          <w:szCs w:val="20"/>
        </w:rPr>
      </w:pPr>
      <w:r>
        <w:rPr>
          <w:rFonts w:hint="eastAsia" w:ascii="宋体" w:hAnsi="宋体" w:eastAsia="宋体" w:cs="宋体"/>
          <w:kern w:val="0"/>
          <w:szCs w:val="20"/>
        </w:rPr>
        <w:t>注：两家一验单位对以上各条件试验的验证结论基本与主报告保持一致。</w:t>
      </w:r>
    </w:p>
    <w:p>
      <w:pPr>
        <w:widowControl/>
        <w:wordWrap w:val="0"/>
        <w:adjustRightInd w:val="0"/>
        <w:snapToGrid w:val="0"/>
        <w:spacing w:beforeLines="50" w:afterLines="50" w:line="312" w:lineRule="auto"/>
        <w:rPr>
          <w:rFonts w:cs="宋体" w:asciiTheme="minorEastAsia" w:hAnsiTheme="minorEastAsia"/>
          <w:szCs w:val="21"/>
        </w:rPr>
      </w:pPr>
      <w:r>
        <w:rPr>
          <w:rFonts w:hint="eastAsia" w:ascii="黑体" w:hAnsi="宋体" w:eastAsia="黑体"/>
          <w:bCs/>
          <w:sz w:val="24"/>
        </w:rPr>
        <w:t>2、技术经济论证，预期的经济效果</w:t>
      </w:r>
    </w:p>
    <w:p>
      <w:pPr>
        <w:widowControl/>
        <w:spacing w:line="312" w:lineRule="auto"/>
        <w:ind w:firstLine="420" w:firstLineChars="200"/>
        <w:jc w:val="left"/>
        <w:rPr>
          <w:rFonts w:ascii="宋体" w:hAnsi="宋体" w:eastAsia="宋体" w:cs="宋体"/>
          <w:szCs w:val="21"/>
        </w:rPr>
      </w:pPr>
      <w:r>
        <w:rPr>
          <w:rFonts w:hint="eastAsia" w:ascii="宋体" w:hAnsi="宋体" w:eastAsia="宋体" w:cs="宋体"/>
          <w:kern w:val="0"/>
          <w:szCs w:val="20"/>
        </w:rPr>
        <w:t>稀土总量是衡量稀土火法冶炼回收料价值的重要依据之一。经典化学分析方法（草酸盐重量法）</w:t>
      </w:r>
      <w:r>
        <w:rPr>
          <w:rFonts w:hint="eastAsia" w:ascii="宋体" w:hAnsi="宋体" w:eastAsia="宋体" w:cs="宋体"/>
          <w:szCs w:val="21"/>
        </w:rPr>
        <w:t>对常量稀土的测定，虽然比较费事，但其准确度、精密度和适用性均超过其他方法，检测成本也是非常低廉（特别是针对稀土火法冶炼回收料产品而言）。</w:t>
      </w:r>
    </w:p>
    <w:p>
      <w:pPr>
        <w:widowControl/>
        <w:spacing w:line="312" w:lineRule="auto"/>
        <w:ind w:firstLine="420" w:firstLineChars="200"/>
        <w:jc w:val="left"/>
        <w:rPr>
          <w:rFonts w:ascii="宋体" w:hAnsi="宋体" w:eastAsia="宋体" w:cs="宋体"/>
          <w:kern w:val="0"/>
          <w:szCs w:val="20"/>
        </w:rPr>
      </w:pPr>
      <w:r>
        <w:rPr>
          <w:rFonts w:hint="eastAsia" w:ascii="宋体" w:hAnsi="宋体" w:eastAsia="宋体" w:cs="宋体"/>
          <w:kern w:val="0"/>
          <w:szCs w:val="20"/>
        </w:rPr>
        <w:t>稀土是不可再生的矿产资源，随着稀土应用领域的拓展，稀土金属及其合金种类日益增多，市场需求越来越大。伴随产出的稀土火法冶炼回收料（电解渣、还原渣）的量也将越来越多，国内采用电解工艺生产稀土金属的年产量在35000～45000吨左右，产出的稀土电解渣每年约2200吨左右；采用钙热还原工艺生产稀土金属的年产量约260吨左右，产出的还原渣每年约250吨左右；采用镧热还原蒸馏工艺生产稀土金属的年产量约850吨左右，产出的还原渣每年约800吨左右，实际产量应该远远不止。</w:t>
      </w:r>
    </w:p>
    <w:p>
      <w:pPr>
        <w:widowControl/>
        <w:spacing w:line="312" w:lineRule="auto"/>
        <w:ind w:firstLine="420" w:firstLineChars="200"/>
        <w:jc w:val="left"/>
        <w:rPr>
          <w:rFonts w:ascii="宋体" w:hAnsi="宋体" w:eastAsia="宋体" w:cs="宋体"/>
          <w:kern w:val="0"/>
          <w:szCs w:val="20"/>
        </w:rPr>
      </w:pPr>
      <w:r>
        <w:rPr>
          <w:rFonts w:hint="eastAsia" w:ascii="宋体" w:hAnsi="宋体" w:eastAsia="宋体" w:cs="宋体"/>
          <w:kern w:val="0"/>
          <w:szCs w:val="20"/>
        </w:rPr>
        <w:t>本项目的研制虽然不能直接的带来巨大的经济利益，但通过系列标准的建立将推动、促进该产业链的发展，从而促进稀土金属及其合金产品的发展。同时也支持响应了国家资源回收再利用的有关文件规定。从长远的角度分析，其引起的社会效益还是很大的，带来的间接经济效益也是巨大的。更重要的是该系列标准的研制对国内、国外该类产品的质量提供一个可借鉴的标准参照，为我国标准体系的更健全再添砖、瓦。</w:t>
      </w:r>
    </w:p>
    <w:p>
      <w:pPr>
        <w:numPr>
          <w:ilvl w:val="0"/>
          <w:numId w:val="20"/>
        </w:numPr>
        <w:spacing w:beforeLines="100" w:afterLines="100" w:line="312" w:lineRule="auto"/>
        <w:rPr>
          <w:rFonts w:ascii="黑体" w:hAnsi="宋体" w:eastAsia="黑体"/>
          <w:bCs/>
          <w:sz w:val="24"/>
        </w:rPr>
      </w:pPr>
      <w:r>
        <w:rPr>
          <w:rFonts w:hint="eastAsia" w:ascii="黑体" w:hAnsi="宋体" w:eastAsia="黑体"/>
          <w:bCs/>
          <w:sz w:val="24"/>
        </w:rPr>
        <w:t>与国际、国外同类标准技术内容的对比情况，或者与测试的国外样品、样机的有关数据对比情况</w:t>
      </w:r>
    </w:p>
    <w:p>
      <w:pPr>
        <w:spacing w:beforeLines="100" w:afterLines="100" w:line="312" w:lineRule="auto"/>
        <w:ind w:firstLine="420" w:firstLineChars="200"/>
        <w:rPr>
          <w:rFonts w:hAnsi="宋体"/>
          <w:szCs w:val="21"/>
        </w:rPr>
      </w:pPr>
      <w:r>
        <w:rPr>
          <w:rFonts w:hint="eastAsia" w:hAnsi="宋体"/>
          <w:szCs w:val="21"/>
        </w:rPr>
        <w:t>经查，国内、国外采用草酸盐重量法测定稀土总量的标准很多，但针对稀土火法冶炼回收料产品的未曾发现。本标准的建立与对应的产品具有专属性，是依据稀土火法冶炼回收料的特性（包含工艺引起稀土总量大跨度范围及带入特征性的非稀土杂质）建立，单纯的与其它现行草酸盐重量法稀土总量的测定标准对比，无可比性。</w:t>
      </w:r>
    </w:p>
    <w:p>
      <w:pPr>
        <w:numPr>
          <w:ilvl w:val="0"/>
          <w:numId w:val="20"/>
        </w:numPr>
        <w:spacing w:beforeLines="100" w:afterLines="100" w:line="312" w:lineRule="auto"/>
        <w:rPr>
          <w:rFonts w:ascii="黑体" w:hAnsi="宋体" w:eastAsia="黑体"/>
          <w:bCs/>
          <w:sz w:val="24"/>
        </w:rPr>
      </w:pPr>
      <w:r>
        <w:rPr>
          <w:rFonts w:hint="eastAsia" w:ascii="黑体" w:hAnsi="宋体" w:eastAsia="黑体"/>
          <w:bCs/>
          <w:sz w:val="24"/>
        </w:rPr>
        <w:t>采标情况，以及是否合规引用或采用国际国外标准</w:t>
      </w:r>
    </w:p>
    <w:p>
      <w:pPr>
        <w:spacing w:beforeLines="100" w:afterLines="100" w:line="312" w:lineRule="auto"/>
        <w:ind w:firstLine="420" w:firstLineChars="200"/>
        <w:rPr>
          <w:rFonts w:ascii="黑体" w:hAnsi="宋体" w:eastAsia="黑体"/>
          <w:bCs/>
          <w:sz w:val="24"/>
        </w:rPr>
      </w:pPr>
      <w:r>
        <w:rPr>
          <w:rFonts w:hint="eastAsia" w:hAnsi="宋体"/>
          <w:szCs w:val="21"/>
        </w:rPr>
        <w:t>经查</w:t>
      </w:r>
      <w:r>
        <w:rPr>
          <w:rFonts w:hAnsi="宋体"/>
          <w:szCs w:val="21"/>
        </w:rPr>
        <w:t>，</w:t>
      </w:r>
      <w:r>
        <w:rPr>
          <w:rFonts w:hint="eastAsia" w:hAnsi="宋体"/>
          <w:szCs w:val="21"/>
        </w:rPr>
        <w:t>国外</w:t>
      </w:r>
      <w:r>
        <w:rPr>
          <w:rFonts w:hAnsi="宋体"/>
          <w:szCs w:val="21"/>
        </w:rPr>
        <w:t>无相同类型的标准。</w:t>
      </w:r>
      <w:r>
        <w:rPr>
          <w:rFonts w:hint="eastAsia" w:hAnsi="宋体"/>
          <w:szCs w:val="21"/>
        </w:rPr>
        <w:t>本标准</w:t>
      </w:r>
      <w:r>
        <w:rPr>
          <w:rFonts w:hAnsi="宋体"/>
          <w:szCs w:val="21"/>
        </w:rPr>
        <w:t>未</w:t>
      </w:r>
      <w:r>
        <w:rPr>
          <w:rFonts w:hint="eastAsia" w:hAnsi="宋体"/>
          <w:szCs w:val="21"/>
        </w:rPr>
        <w:t>采用（包括</w:t>
      </w:r>
      <w:r>
        <w:rPr>
          <w:rFonts w:hAnsi="宋体"/>
          <w:szCs w:val="21"/>
        </w:rPr>
        <w:t>等同采用、修改采用</w:t>
      </w:r>
      <w:r>
        <w:rPr>
          <w:rFonts w:hint="eastAsia" w:hAnsi="宋体"/>
          <w:szCs w:val="21"/>
        </w:rPr>
        <w:t>及</w:t>
      </w:r>
      <w:r>
        <w:rPr>
          <w:rFonts w:hAnsi="宋体"/>
          <w:szCs w:val="21"/>
        </w:rPr>
        <w:t>非等效采用</w:t>
      </w:r>
      <w:r>
        <w:rPr>
          <w:rFonts w:hint="eastAsia" w:hAnsi="宋体"/>
          <w:szCs w:val="21"/>
        </w:rPr>
        <w:t>）</w:t>
      </w:r>
      <w:r>
        <w:rPr>
          <w:rFonts w:hAnsi="宋体"/>
          <w:szCs w:val="21"/>
        </w:rPr>
        <w:t>国际标准或国外先进标准。</w:t>
      </w:r>
    </w:p>
    <w:p>
      <w:pPr>
        <w:spacing w:beforeLines="100" w:afterLines="100" w:line="312" w:lineRule="auto"/>
        <w:rPr>
          <w:rFonts w:ascii="黑体" w:hAnsi="宋体" w:eastAsia="黑体"/>
          <w:bCs/>
          <w:sz w:val="24"/>
        </w:rPr>
      </w:pPr>
      <w:r>
        <w:rPr>
          <w:rFonts w:hint="eastAsia" w:ascii="黑体" w:hAnsi="宋体" w:eastAsia="黑体"/>
          <w:bCs/>
          <w:sz w:val="24"/>
        </w:rPr>
        <w:t>六、与有关法律、法规的关系</w:t>
      </w:r>
    </w:p>
    <w:p>
      <w:pPr>
        <w:spacing w:beforeLines="50" w:afterLines="50" w:line="312" w:lineRule="auto"/>
        <w:ind w:firstLine="420" w:firstLineChars="200"/>
        <w:rPr>
          <w:rFonts w:hAnsi="宋体"/>
        </w:rPr>
      </w:pPr>
      <w:r>
        <w:rPr>
          <w:rFonts w:hint="eastAsia" w:hAnsi="宋体"/>
        </w:rPr>
        <w:t>本标准是与已颁布实施《稀土火法冶炼回收料》相匹配的化学分析方法标准，在编写过程中依据了产品标准的各项指标与现行法律、法规和相关标准相协调、无冲突。</w:t>
      </w:r>
    </w:p>
    <w:p>
      <w:pPr>
        <w:numPr>
          <w:ilvl w:val="0"/>
          <w:numId w:val="21"/>
        </w:numPr>
        <w:spacing w:beforeLines="100" w:afterLines="100" w:line="312" w:lineRule="auto"/>
        <w:rPr>
          <w:rFonts w:ascii="黑体" w:hAnsi="宋体" w:eastAsia="黑体"/>
          <w:bCs/>
          <w:sz w:val="24"/>
        </w:rPr>
      </w:pPr>
      <w:r>
        <w:rPr>
          <w:rFonts w:hint="eastAsia" w:ascii="黑体" w:hAnsi="宋体" w:eastAsia="黑体"/>
          <w:bCs/>
          <w:sz w:val="24"/>
        </w:rPr>
        <w:t xml:space="preserve">重大分歧意见的处理经过和依据 </w:t>
      </w:r>
    </w:p>
    <w:p>
      <w:pPr>
        <w:spacing w:beforeLines="50" w:afterLines="50" w:line="312" w:lineRule="auto"/>
        <w:ind w:firstLine="420" w:firstLineChars="200"/>
        <w:rPr>
          <w:rFonts w:ascii="黑体" w:hAnsi="宋体" w:eastAsia="黑体"/>
          <w:bCs/>
          <w:sz w:val="24"/>
        </w:rPr>
      </w:pPr>
      <w:r>
        <w:rPr>
          <w:rFonts w:hint="eastAsia" w:hAnsi="宋体"/>
        </w:rPr>
        <w:t>本标准无重大分歧意见。</w:t>
      </w:r>
    </w:p>
    <w:p>
      <w:pPr>
        <w:spacing w:beforeLines="100" w:afterLines="100" w:line="312" w:lineRule="auto"/>
        <w:rPr>
          <w:rFonts w:ascii="黑体" w:hAnsi="宋体" w:eastAsia="黑体"/>
          <w:bCs/>
          <w:sz w:val="24"/>
        </w:rPr>
      </w:pPr>
      <w:r>
        <w:rPr>
          <w:rFonts w:hint="eastAsia" w:ascii="黑体" w:hAnsi="宋体" w:eastAsia="黑体"/>
          <w:bCs/>
          <w:sz w:val="24"/>
        </w:rPr>
        <w:t xml:space="preserve">八、涉及专利的有关说明 </w:t>
      </w:r>
    </w:p>
    <w:p>
      <w:pPr>
        <w:spacing w:beforeLines="50" w:afterLines="50" w:line="312" w:lineRule="auto"/>
        <w:ind w:firstLine="420" w:firstLineChars="200"/>
        <w:rPr>
          <w:rFonts w:hAnsi="宋体"/>
        </w:rPr>
      </w:pPr>
      <w:r>
        <w:rPr>
          <w:rFonts w:hint="eastAsia" w:hAnsi="宋体"/>
        </w:rPr>
        <w:t>本标准不涉及专利问题。</w:t>
      </w:r>
    </w:p>
    <w:p>
      <w:pPr>
        <w:spacing w:beforeLines="100" w:afterLines="100" w:line="312" w:lineRule="auto"/>
        <w:rPr>
          <w:rFonts w:ascii="黑体" w:hAnsi="宋体" w:eastAsia="黑体"/>
          <w:bCs/>
          <w:sz w:val="24"/>
        </w:rPr>
      </w:pPr>
      <w:r>
        <w:rPr>
          <w:rFonts w:hint="eastAsia" w:ascii="黑体" w:hAnsi="宋体" w:eastAsia="黑体"/>
          <w:bCs/>
          <w:sz w:val="24"/>
        </w:rPr>
        <w:t xml:space="preserve">九、贯彻国家标准的要求，以及组织措施、技术措施、过渡期和实施日期的建议等措施建议； </w:t>
      </w:r>
    </w:p>
    <w:p>
      <w:pPr>
        <w:spacing w:line="312" w:lineRule="auto"/>
        <w:ind w:firstLine="420" w:firstLineChars="200"/>
        <w:rPr>
          <w:rFonts w:ascii="黑体"/>
          <w:color w:val="0000FF"/>
          <w:sz w:val="24"/>
        </w:rPr>
      </w:pPr>
      <w:r>
        <w:rPr>
          <w:rFonts w:hint="eastAsia" w:ascii="宋体" w:hAnsi="宋体" w:eastAsia="宋体" w:cs="宋体"/>
          <w:kern w:val="0"/>
          <w:szCs w:val="20"/>
        </w:rPr>
        <w:t>本标准制定实施后将使稀土火法冶炼回收料稀土总量的测定更为准确，</w:t>
      </w:r>
      <w:r>
        <w:rPr>
          <w:rFonts w:hint="eastAsia" w:ascii="宋体" w:hAnsi="宋体"/>
          <w:kern w:val="0"/>
          <w:szCs w:val="20"/>
        </w:rPr>
        <w:t>方法</w:t>
      </w:r>
      <w:r>
        <w:rPr>
          <w:rFonts w:ascii="宋体" w:hAnsi="宋体"/>
          <w:kern w:val="0"/>
          <w:szCs w:val="20"/>
        </w:rPr>
        <w:t>的测定</w:t>
      </w:r>
      <w:r>
        <w:rPr>
          <w:rFonts w:hint="eastAsia" w:ascii="宋体" w:hAnsi="宋体"/>
          <w:kern w:val="0"/>
          <w:szCs w:val="20"/>
        </w:rPr>
        <w:t>范围等与现产品实际情况较符合，操作性较强。建议有相关该稀土产品的生产、运用和检测单位积极组织本标准的学习与宣贯，可向企业、公司和科研院校（所）推荐本标准。本标准操作技术简洁明了，无需采取技术措施与过渡期</w:t>
      </w:r>
      <w:r>
        <w:rPr>
          <w:rFonts w:hint="eastAsia" w:ascii="宋体" w:hAnsi="宋体"/>
          <w:color w:val="auto"/>
          <w:kern w:val="0"/>
          <w:szCs w:val="20"/>
        </w:rPr>
        <w:t>。</w:t>
      </w:r>
    </w:p>
    <w:p>
      <w:pPr>
        <w:numPr>
          <w:ilvl w:val="0"/>
          <w:numId w:val="22"/>
        </w:numPr>
        <w:spacing w:beforeLines="100" w:afterLines="100" w:line="312" w:lineRule="auto"/>
        <w:rPr>
          <w:rFonts w:ascii="黑体" w:hAnsi="宋体" w:eastAsia="黑体"/>
          <w:bCs/>
          <w:sz w:val="24"/>
        </w:rPr>
      </w:pPr>
      <w:r>
        <w:rPr>
          <w:rFonts w:hint="eastAsia" w:ascii="黑体" w:hAnsi="宋体" w:eastAsia="黑体"/>
          <w:bCs/>
          <w:sz w:val="24"/>
        </w:rPr>
        <w:t xml:space="preserve">其他应当说明的事项 </w:t>
      </w:r>
    </w:p>
    <w:p>
      <w:pPr>
        <w:pStyle w:val="12"/>
        <w:spacing w:line="312" w:lineRule="auto"/>
        <w:ind w:firstLine="420"/>
      </w:pPr>
      <w:r>
        <w:rPr>
          <w:rFonts w:hint="eastAsia"/>
        </w:rPr>
        <w:t>无。</w:t>
      </w:r>
    </w:p>
    <w:p>
      <w:pPr>
        <w:pStyle w:val="12"/>
        <w:spacing w:line="312" w:lineRule="auto"/>
        <w:ind w:firstLine="420"/>
      </w:pPr>
    </w:p>
    <w:p>
      <w:pPr>
        <w:pStyle w:val="12"/>
        <w:spacing w:line="312" w:lineRule="auto"/>
        <w:ind w:firstLine="420"/>
      </w:pPr>
    </w:p>
    <w:p>
      <w:pPr>
        <w:pStyle w:val="12"/>
        <w:spacing w:line="312" w:lineRule="auto"/>
        <w:ind w:firstLine="420"/>
      </w:pPr>
    </w:p>
    <w:p>
      <w:pPr>
        <w:widowControl/>
        <w:rPr>
          <w:rFonts w:ascii="黑体" w:hAnsi="黑体" w:eastAsia="黑体"/>
          <w:sz w:val="30"/>
          <w:szCs w:val="30"/>
        </w:rPr>
      </w:pP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 xml:space="preserve">                                </w:t>
      </w:r>
    </w:p>
    <w:p>
      <w:pPr>
        <w:widowControl/>
        <w:rPr>
          <w:rFonts w:ascii="宋体" w:hAnsi="宋体" w:cs="宋体"/>
          <w:szCs w:val="21"/>
        </w:rPr>
      </w:pPr>
      <w:r>
        <w:rPr>
          <w:rFonts w:hint="eastAsia" w:ascii="黑体" w:hAnsi="黑体" w:eastAsia="黑体"/>
          <w:sz w:val="30"/>
          <w:szCs w:val="30"/>
        </w:rPr>
        <w:t xml:space="preserve"> </w:t>
      </w:r>
      <w:r>
        <w:rPr>
          <w:rFonts w:hint="eastAsia" w:ascii="宋体" w:hAnsi="宋体" w:cs="宋体"/>
          <w:szCs w:val="21"/>
        </w:rPr>
        <w:t xml:space="preserve">                                                     江西南方稀土高技术股份有限公司</w:t>
      </w:r>
    </w:p>
    <w:p>
      <w:pPr>
        <w:pStyle w:val="14"/>
        <w:spacing w:before="0" w:line="312" w:lineRule="auto"/>
        <w:ind w:firstLine="6300" w:firstLineChars="3000"/>
        <w:jc w:val="both"/>
        <w:rPr>
          <w:szCs w:val="21"/>
        </w:rPr>
        <w:sectPr>
          <w:headerReference r:id="rId3" w:type="default"/>
          <w:footerReference r:id="rId4" w:type="default"/>
          <w:footerReference r:id="rId5" w:type="even"/>
          <w:pgSz w:w="11850" w:h="16783"/>
          <w:pgMar w:top="1134" w:right="1077" w:bottom="567" w:left="1077" w:header="851" w:footer="510" w:gutter="283"/>
          <w:pgNumType w:fmt="numberInDash"/>
          <w:cols w:space="0" w:num="1"/>
          <w:docGrid w:type="lines" w:linePitch="312" w:charSpace="0"/>
        </w:sectPr>
      </w:pPr>
      <w:r>
        <w:rPr>
          <w:rFonts w:hint="eastAsia" w:ascii="宋体" w:hAnsi="宋体" w:cs="宋体"/>
          <w:sz w:val="21"/>
          <w:szCs w:val="21"/>
        </w:rPr>
        <w:t xml:space="preserve">   </w:t>
      </w:r>
      <w:r>
        <w:rPr>
          <w:sz w:val="21"/>
          <w:szCs w:val="21"/>
        </w:rPr>
        <w:t>202</w:t>
      </w:r>
      <w:r>
        <w:rPr>
          <w:rFonts w:hint="eastAsia"/>
          <w:sz w:val="21"/>
          <w:szCs w:val="21"/>
        </w:rPr>
        <w:t>2</w:t>
      </w:r>
      <w:r>
        <w:rPr>
          <w:sz w:val="21"/>
          <w:szCs w:val="21"/>
        </w:rPr>
        <w:t>年</w:t>
      </w:r>
      <w:r>
        <w:rPr>
          <w:rFonts w:hint="eastAsia"/>
          <w:sz w:val="21"/>
          <w:szCs w:val="21"/>
        </w:rPr>
        <w:t>2</w:t>
      </w:r>
      <w:r>
        <w:rPr>
          <w:sz w:val="21"/>
          <w:szCs w:val="21"/>
        </w:rPr>
        <w:t>月</w:t>
      </w:r>
      <w:r>
        <w:rPr>
          <w:rFonts w:hint="eastAsia"/>
          <w:sz w:val="21"/>
          <w:szCs w:val="21"/>
        </w:rPr>
        <w:t>23日</w:t>
      </w:r>
    </w:p>
    <w:p>
      <w:pPr>
        <w:widowControl/>
        <w:spacing w:line="312" w:lineRule="auto"/>
        <w:rPr>
          <w:b/>
          <w:szCs w:val="21"/>
        </w:rPr>
      </w:pPr>
      <w:r>
        <w:rPr>
          <w:rFonts w:hint="eastAsia"/>
          <w:b/>
          <w:szCs w:val="21"/>
        </w:rPr>
        <w:t>附件A：</w:t>
      </w:r>
    </w:p>
    <w:p>
      <w:pPr>
        <w:widowControl/>
        <w:spacing w:line="312" w:lineRule="auto"/>
        <w:rPr>
          <w:b/>
          <w:szCs w:val="21"/>
        </w:rPr>
      </w:pPr>
    </w:p>
    <w:p>
      <w:pPr>
        <w:widowControl/>
        <w:numPr>
          <w:ilvl w:val="0"/>
          <w:numId w:val="23"/>
        </w:numPr>
        <w:spacing w:line="312" w:lineRule="auto"/>
        <w:rPr>
          <w:rFonts w:ascii="黑体" w:hAnsi="黑体" w:eastAsia="黑体"/>
          <w:szCs w:val="21"/>
        </w:rPr>
      </w:pPr>
      <w:r>
        <w:rPr>
          <w:rFonts w:ascii="黑体" w:hAnsi="黑体" w:eastAsia="黑体"/>
          <w:szCs w:val="21"/>
        </w:rPr>
        <w:t>各实验室</w:t>
      </w:r>
      <w:r>
        <w:rPr>
          <w:rFonts w:hint="eastAsia" w:ascii="黑体" w:hAnsi="黑体" w:eastAsia="黑体"/>
          <w:szCs w:val="21"/>
        </w:rPr>
        <w:t>原始</w:t>
      </w:r>
      <w:r>
        <w:rPr>
          <w:rFonts w:ascii="黑体" w:hAnsi="黑体" w:eastAsia="黑体"/>
          <w:szCs w:val="21"/>
        </w:rPr>
        <w:t>数据</w:t>
      </w:r>
    </w:p>
    <w:p>
      <w:pPr>
        <w:widowControl/>
        <w:spacing w:line="312" w:lineRule="auto"/>
        <w:rPr>
          <w:rFonts w:ascii="黑体" w:hAnsi="黑体" w:eastAsia="黑体"/>
          <w:szCs w:val="21"/>
        </w:rPr>
      </w:pPr>
    </w:p>
    <w:p>
      <w:pPr>
        <w:widowControl/>
        <w:spacing w:line="312" w:lineRule="auto"/>
        <w:jc w:val="center"/>
        <w:rPr>
          <w:rFonts w:ascii="黑体" w:hAnsi="黑体" w:eastAsia="黑体"/>
          <w:szCs w:val="21"/>
        </w:rPr>
      </w:pPr>
      <w:r>
        <w:rPr>
          <w:rFonts w:hint="eastAsia"/>
          <w:szCs w:val="21"/>
        </w:rPr>
        <w:t>表A.1</w:t>
      </w:r>
      <w:r>
        <w:rPr>
          <w:szCs w:val="21"/>
        </w:rPr>
        <w:t xml:space="preserve">  各实验室原始数据（%）</w:t>
      </w:r>
    </w:p>
    <w:tbl>
      <w:tblPr>
        <w:tblStyle w:val="8"/>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7"/>
        <w:gridCol w:w="748"/>
        <w:gridCol w:w="748"/>
        <w:gridCol w:w="748"/>
        <w:gridCol w:w="748"/>
        <w:gridCol w:w="748"/>
        <w:gridCol w:w="748"/>
        <w:gridCol w:w="748"/>
        <w:gridCol w:w="748"/>
        <w:gridCol w:w="748"/>
        <w:gridCol w:w="748"/>
        <w:gridCol w:w="748"/>
        <w:gridCol w:w="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47" w:type="dxa"/>
            <w:vMerge w:val="restart"/>
            <w:noWrap/>
            <w:vAlign w:val="center"/>
          </w:tcPr>
          <w:p>
            <w:pPr>
              <w:widowControl/>
              <w:jc w:val="center"/>
              <w:rPr>
                <w:rFonts w:ascii="宋体" w:hAnsi="宋体" w:eastAsia="宋体" w:cs="宋体"/>
                <w:kern w:val="0"/>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748" w:type="dxa"/>
            <w:vMerge w:val="restart"/>
            <w:noWrap/>
            <w:vAlign w:val="center"/>
          </w:tcPr>
          <w:p>
            <w:pPr>
              <w:widowControl/>
              <w:jc w:val="center"/>
              <w:rPr>
                <w:rFonts w:ascii="宋体" w:hAnsi="宋体" w:eastAsia="宋体" w:cs="宋体"/>
                <w:kern w:val="0"/>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c>
          <w:tcPr>
            <w:tcW w:w="8228" w:type="dxa"/>
            <w:gridSpan w:val="11"/>
            <w:noWrap/>
            <w:vAlign w:val="center"/>
          </w:tcPr>
          <w:p>
            <w:pPr>
              <w:widowControl/>
              <w:jc w:val="center"/>
              <w:rPr>
                <w:rFonts w:ascii="Times New Roman" w:hAnsi="Times New Roman" w:cs="Times New Roman"/>
                <w:kern w:val="0"/>
                <w:sz w:val="18"/>
                <w:szCs w:val="18"/>
              </w:rPr>
            </w:pPr>
            <w:r>
              <w:rPr>
                <w:rFonts w:hint="eastAsia" w:asciiTheme="minorEastAsia" w:hAnsiTheme="minorEastAsia" w:cstheme="minorEastAsia"/>
                <w:kern w:val="0"/>
                <w:sz w:val="18"/>
                <w:szCs w:val="18"/>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47" w:type="dxa"/>
            <w:vMerge w:val="continue"/>
            <w:tcBorders>
              <w:bottom w:val="single" w:color="auto" w:sz="8" w:space="0"/>
            </w:tcBorders>
            <w:vAlign w:val="center"/>
          </w:tcPr>
          <w:p>
            <w:pPr>
              <w:widowControl/>
              <w:jc w:val="center"/>
              <w:rPr>
                <w:rFonts w:ascii="Times New Roman" w:hAnsi="Times New Roman" w:cs="Times New Roman"/>
                <w:kern w:val="0"/>
                <w:sz w:val="18"/>
                <w:szCs w:val="18"/>
              </w:rPr>
            </w:pPr>
          </w:p>
        </w:tc>
        <w:tc>
          <w:tcPr>
            <w:tcW w:w="748" w:type="dxa"/>
            <w:vMerge w:val="continue"/>
            <w:tcBorders>
              <w:bottom w:val="single" w:color="auto" w:sz="8" w:space="0"/>
            </w:tcBorders>
            <w:vAlign w:val="center"/>
          </w:tcPr>
          <w:p>
            <w:pPr>
              <w:widowControl/>
              <w:jc w:val="center"/>
              <w:rPr>
                <w:rFonts w:ascii="Times New Roman" w:hAnsi="Times New Roman" w:cs="Times New Roman"/>
                <w:kern w:val="0"/>
                <w:sz w:val="18"/>
                <w:szCs w:val="18"/>
              </w:rPr>
            </w:pP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9</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748" w:type="dxa"/>
            <w:tcBorders>
              <w:bottom w:val="single" w:color="auto" w:sz="8" w:space="0"/>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op w:val="single" w:color="auto" w:sz="8" w:space="0"/>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op w:val="single" w:color="auto" w:sz="8" w:space="0"/>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7.035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7.080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7.035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7.087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7.068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7.086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7.165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7.052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7.044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7.110 </w:t>
            </w:r>
          </w:p>
        </w:tc>
        <w:tc>
          <w:tcPr>
            <w:tcW w:w="748" w:type="dxa"/>
            <w:tcBorders>
              <w:top w:val="single" w:color="auto" w:sz="8" w:space="0"/>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7.084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27.375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27.439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27.609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27.729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27.242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27.573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27.611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27.501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35.297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35.560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35.600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35.644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35.545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35.584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35.565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35.324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56.823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56.814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57.048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56.818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56.937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56.957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57.115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56.952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56.981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56.951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57.205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66.556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66.606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66.315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66.525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66.487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66.328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66.372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66.471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66.404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66.373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66.336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74.462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74.432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74.521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74.422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74.653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74.482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74.525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74.267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74.635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74.346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74.651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87.758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87.716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87.931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87.830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87.733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87.983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87.832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87.822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87.810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87.507 </w:t>
            </w:r>
          </w:p>
        </w:tc>
        <w:tc>
          <w:tcPr>
            <w:tcW w:w="748" w:type="dxa"/>
            <w:tcBorders>
              <w:tl2br w:val="nil"/>
              <w:tr2bl w:val="nil"/>
            </w:tcBorders>
            <w:noWrap/>
            <w:vAlign w:val="center"/>
          </w:tcPr>
          <w:p>
            <w:pPr>
              <w:widowControl/>
              <w:jc w:val="center"/>
              <w:textAlignment w:val="center"/>
              <w:rPr>
                <w:rFonts w:ascii="宋体" w:hAnsi="宋体" w:cs="宋体"/>
                <w:kern w:val="0"/>
                <w:sz w:val="18"/>
                <w:szCs w:val="18"/>
              </w:rPr>
            </w:pPr>
            <w:r>
              <w:rPr>
                <w:rFonts w:hint="eastAsia" w:ascii="宋体" w:hAnsi="宋体" w:eastAsia="宋体" w:cs="宋体"/>
                <w:color w:val="000000"/>
                <w:kern w:val="0"/>
                <w:sz w:val="18"/>
                <w:szCs w:val="18"/>
              </w:rPr>
              <w:t xml:space="preserve">87.862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bookmarkStart w:id="2" w:name="OLE_LINK1" w:colFirst="2" w:colLast="12"/>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6.988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6.875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6.888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6.893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6.950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7.045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7.123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6.791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6.798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6.919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27.553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27.560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27.679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27.351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27.487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27.624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27.456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27.585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35.384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35.417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35.500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35.193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35.288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35.444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35.202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35.438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35.353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57.525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57.323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57.284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57.438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57.330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57.378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57.486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57.439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57.285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57.346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57.483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66.283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66.177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66.090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66.333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66.280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66.185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66.250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66.303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66.021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74.604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74.517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74.600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74.768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74.353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74.557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74.668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74.493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74.546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88.091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87.823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88.036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88.022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87.838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87.969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87.803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87.664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87.798 </w:t>
            </w:r>
          </w:p>
        </w:tc>
      </w:tr>
      <w:bookmarkEnd w:id="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7.013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7.048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7.008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7.002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7.014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6.990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7.026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7.021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27.613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27.679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27.437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27.608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27.610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27.484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27.546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27.520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27.570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35.654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35.902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35.713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35.903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35.532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35.746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35.786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35.786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35.676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35.604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56.501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56.857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57.020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56.841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56.990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56.971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56.594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56.638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56.863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56.906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56.826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66.148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65.996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66.357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66.141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66.348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66.515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66.210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66.388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66.234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bookmarkStart w:id="3" w:name="OLE_LINK5" w:colFirst="2" w:colLast="12"/>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74.630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74.621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74.846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75.025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74.620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74.661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74.847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74.860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74.509 </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87.369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87.614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87.446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87.899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87.665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87.964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87.265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87.237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87.437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87.677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7.039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7.130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7.061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7.112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7.005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7.136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7.025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7.110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7.042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7.100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27.110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27.182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27.305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27.226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27.405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27.190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27.360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27.451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27.205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27.320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27.465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35.232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35.191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35.330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35.280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35.350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35.502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35.452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35.080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35.250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35.152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35.415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56.725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56.588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56.612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56.812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56.708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56.895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56.525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56.746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56.911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56.585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56.673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65.802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66.012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65.901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66.106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65.803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65.705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66.100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65.856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66.105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66.100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65.905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74.621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74.758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74.925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74.772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74.888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74.767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74.876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74.928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74.715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74.965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74.807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87.640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87.471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87.294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87.613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87.305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87.226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87.512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87.346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87.261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87.339 </w:t>
            </w:r>
          </w:p>
        </w:tc>
        <w:tc>
          <w:tcPr>
            <w:tcW w:w="748" w:type="dxa"/>
            <w:tcBorders>
              <w:tl2br w:val="nil"/>
              <w:tr2bl w:val="nil"/>
            </w:tcBorders>
            <w:noWrap/>
            <w:vAlign w:val="bottom"/>
          </w:tcPr>
          <w:p>
            <w:pPr>
              <w:widowControl/>
              <w:jc w:val="center"/>
              <w:textAlignment w:val="bottom"/>
              <w:rPr>
                <w:rFonts w:ascii="宋体" w:hAnsi="宋体" w:eastAsia="宋体" w:cs="宋体"/>
                <w:kern w:val="0"/>
                <w:sz w:val="18"/>
                <w:szCs w:val="18"/>
              </w:rPr>
            </w:pPr>
            <w:r>
              <w:rPr>
                <w:rFonts w:hint="eastAsia" w:ascii="宋体" w:hAnsi="宋体" w:eastAsia="宋体" w:cs="宋体"/>
                <w:color w:val="000000"/>
                <w:kern w:val="0"/>
                <w:sz w:val="18"/>
                <w:szCs w:val="18"/>
              </w:rPr>
              <w:t xml:space="preserve">87.527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bookmarkStart w:id="4" w:name="OLE_LINK2" w:colFirst="2" w:colLast="12"/>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6.995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7.131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6.934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7.160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7.092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7.185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7.100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7.051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7.141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7.035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7.129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27.304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27.142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27.475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27.512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27.364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27.397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27.440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27.562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27.423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27.295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27.395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35.071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35.680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34.891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35.333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35.265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35.170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35.464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35.507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35.441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35.040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35.292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56.894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56.587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56.649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56.735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56.778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56.587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56.662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56.525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56.850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56.643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56.676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65.954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65.768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65.569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65.793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65.648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66.069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65.889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65.897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65.990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65.702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65.551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74.367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74.786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74.499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74.476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74.529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74.751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74.810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74.390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74.731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74.828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74.354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87.005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87.051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87.281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87.401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87.468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87.542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87.178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87.631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87.118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87.391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87.377 </w:t>
            </w:r>
          </w:p>
        </w:tc>
      </w:tr>
      <w:bookmarkEnd w:id="4"/>
    </w:tbl>
    <w:p>
      <w:bookmarkStart w:id="5" w:name="OLE_LINK3" w:colFirst="2" w:colLast="12"/>
    </w:p>
    <w:p>
      <w:pPr>
        <w:sectPr>
          <w:footerReference r:id="rId6" w:type="default"/>
          <w:footerReference r:id="rId7" w:type="even"/>
          <w:pgSz w:w="11906" w:h="16838"/>
          <w:pgMar w:top="1134" w:right="1077" w:bottom="567" w:left="1077" w:header="851" w:footer="510" w:gutter="283"/>
          <w:pgNumType w:fmt="numberInDash" w:start="18"/>
          <w:cols w:space="0" w:num="1"/>
          <w:docGrid w:type="lines" w:linePitch="314" w:charSpace="0"/>
        </w:sectPr>
      </w:pPr>
    </w:p>
    <w:p>
      <w:pPr>
        <w:jc w:val="center"/>
      </w:pPr>
      <w:r>
        <w:rPr>
          <w:rFonts w:hint="eastAsia"/>
          <w:szCs w:val="21"/>
        </w:rPr>
        <w:t>表A.1</w:t>
      </w:r>
      <w:r>
        <w:rPr>
          <w:szCs w:val="21"/>
        </w:rPr>
        <w:t xml:space="preserve">  各实验室原始数据（%）</w:t>
      </w:r>
      <w:r>
        <w:rPr>
          <w:rFonts w:hint="eastAsia"/>
          <w:szCs w:val="21"/>
        </w:rPr>
        <w:t>续</w:t>
      </w:r>
    </w:p>
    <w:tbl>
      <w:tblPr>
        <w:tblStyle w:val="8"/>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7"/>
        <w:gridCol w:w="748"/>
        <w:gridCol w:w="748"/>
        <w:gridCol w:w="748"/>
        <w:gridCol w:w="748"/>
        <w:gridCol w:w="748"/>
        <w:gridCol w:w="748"/>
        <w:gridCol w:w="748"/>
        <w:gridCol w:w="748"/>
        <w:gridCol w:w="748"/>
        <w:gridCol w:w="748"/>
        <w:gridCol w:w="748"/>
        <w:gridCol w:w="7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748" w:type="dxa"/>
            <w:vMerge w:val="restart"/>
            <w:tcBorders>
              <w:tl2br w:val="nil"/>
              <w:tr2bl w:val="nil"/>
            </w:tcBorders>
            <w:noWrap/>
            <w:vAlign w:val="center"/>
          </w:tcPr>
          <w:p>
            <w:pPr>
              <w:widowControl/>
              <w:jc w:val="center"/>
              <w:rPr>
                <w:rFonts w:asciiTheme="minorEastAsia" w:hAnsiTheme="minorEastAsia" w:cstheme="minorEastAsia"/>
                <w:kern w:val="0"/>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c>
          <w:tcPr>
            <w:tcW w:w="8228" w:type="dxa"/>
            <w:gridSpan w:val="11"/>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vMerge w:val="continue"/>
            <w:tcBorders>
              <w:tl2br w:val="nil"/>
              <w:tr2bl w:val="nil"/>
            </w:tcBorders>
            <w:noWrap/>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8</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9</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10</w:t>
            </w:r>
          </w:p>
        </w:tc>
        <w:tc>
          <w:tcPr>
            <w:tcW w:w="748" w:type="dxa"/>
            <w:tcBorders>
              <w:tl2br w:val="nil"/>
              <w:tr2bl w:val="nil"/>
            </w:tcBorders>
            <w:noWrap/>
            <w:vAlign w:val="center"/>
          </w:tcPr>
          <w:p>
            <w:pPr>
              <w:widowControl/>
              <w:jc w:val="center"/>
              <w:rPr>
                <w:rFonts w:ascii="宋体" w:hAnsi="宋体" w:eastAsia="宋体" w:cs="宋体"/>
                <w:kern w:val="0"/>
                <w:sz w:val="18"/>
                <w:szCs w:val="18"/>
              </w:rPr>
            </w:pPr>
            <w:r>
              <w:rPr>
                <w:rFonts w:hint="eastAsia" w:asciiTheme="minorEastAsia" w:hAnsiTheme="minorEastAsia" w:cstheme="minorEastAsia"/>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7.069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7.087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7.078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7.158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7.064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7.133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7.075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7.142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7.058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7.149 </w:t>
            </w:r>
          </w:p>
        </w:tc>
        <w:tc>
          <w:tcPr>
            <w:tcW w:w="748" w:type="dxa"/>
            <w:tcBorders>
              <w:tl2br w:val="nil"/>
              <w:tr2bl w:val="nil"/>
            </w:tcBorders>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7.151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27.496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27.431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27.341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27.516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27.481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27.486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27.430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27.365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27.333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27.455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35.475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35.343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35.596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35.556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35.416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35.448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35.538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35.573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35.587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35.355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35.579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56.884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56.585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56.859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56.707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56.642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56.617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56.700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56.702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56.775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56.561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56.738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66.081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66.283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66.128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66.196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66.089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66.177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66.146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66.251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66.146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66.134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66.181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74.964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74.865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74.884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74.924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74.808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74.906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74.802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74.805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74.781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74.768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74.673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87.535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87.603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87.542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87.485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87.686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87.621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87.677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87.614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87.470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87.554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87.676 </w:t>
            </w: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restart"/>
            <w:tcBorders>
              <w:tl2br w:val="nil"/>
              <w:tr2bl w:val="nil"/>
            </w:tcBorders>
            <w:vAlign w:val="center"/>
          </w:tcPr>
          <w:p>
            <w:pPr>
              <w:widowControl/>
              <w:jc w:val="center"/>
              <w:rPr>
                <w:rFonts w:asciiTheme="minorEastAsia" w:hAnsiTheme="minorEastAsia" w:cstheme="minorEastAsia"/>
                <w:kern w:val="0"/>
                <w:sz w:val="18"/>
                <w:szCs w:val="18"/>
              </w:rPr>
            </w:pPr>
            <w:bookmarkStart w:id="6" w:name="OLE_LINK4" w:colFirst="2" w:colLast="12"/>
            <w:r>
              <w:rPr>
                <w:rFonts w:hint="eastAsia" w:asciiTheme="minorEastAsia" w:hAnsiTheme="minorEastAsia" w:cstheme="minorEastAsia"/>
                <w:kern w:val="0"/>
                <w:sz w:val="18"/>
                <w:szCs w:val="18"/>
              </w:rPr>
              <w:t>7</w:t>
            </w: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7.400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7.126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7.437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7.412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7.326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7.318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7.221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7.225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7.355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7.400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7.305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27.356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27.364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27.422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27.320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27.291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27.244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27.460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27.222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27.497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27.366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27.409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35.303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35.444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35.185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35.564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35.089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35.657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35.594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35.293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35.567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35.957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35.397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56.865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57.276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56.935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56.969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57.076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57.220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57.011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56.995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56.991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56.963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56.974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66.471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66.524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66.325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66.388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66.234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66.061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66.184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66.412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66.364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65.922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65.873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75.243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75.061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75.338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74.903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74.795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75.081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75.061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75.309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75.279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75.199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75.308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47"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748" w:type="dxa"/>
            <w:tcBorders>
              <w:tl2br w:val="nil"/>
              <w:tr2bl w:val="nil"/>
            </w:tcBorders>
            <w:noWrap/>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87.983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87.970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88.254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87.753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87.967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87.856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87.764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87.644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87.754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87.580 </w:t>
            </w:r>
          </w:p>
        </w:tc>
        <w:tc>
          <w:tcPr>
            <w:tcW w:w="748" w:type="dxa"/>
            <w:tcBorders>
              <w:tl2br w:val="nil"/>
              <w:tr2bl w:val="nil"/>
            </w:tcBorders>
            <w:noWrap/>
          </w:tcPr>
          <w:p>
            <w:pPr>
              <w:widowControl/>
              <w:jc w:val="center"/>
              <w:textAlignment w:val="top"/>
              <w:rPr>
                <w:rFonts w:ascii="宋体" w:hAnsi="宋体" w:eastAsia="宋体" w:cs="宋体"/>
                <w:kern w:val="0"/>
                <w:sz w:val="18"/>
                <w:szCs w:val="18"/>
              </w:rPr>
            </w:pPr>
            <w:r>
              <w:rPr>
                <w:rFonts w:hint="eastAsia" w:ascii="宋体" w:hAnsi="宋体" w:eastAsia="宋体" w:cs="宋体"/>
                <w:color w:val="000000"/>
                <w:kern w:val="0"/>
                <w:sz w:val="18"/>
                <w:szCs w:val="18"/>
              </w:rPr>
              <w:t xml:space="preserve">87.856 </w:t>
            </w:r>
          </w:p>
        </w:tc>
      </w:tr>
      <w:bookmarkEnd w:id="6"/>
    </w:tbl>
    <w:p/>
    <w:p/>
    <w:p>
      <w:pPr>
        <w:numPr>
          <w:ilvl w:val="0"/>
          <w:numId w:val="23"/>
        </w:numPr>
        <w:rPr>
          <w:rFonts w:ascii="黑体" w:hAnsi="黑体" w:eastAsia="黑体"/>
          <w:szCs w:val="21"/>
        </w:rPr>
      </w:pPr>
      <w:r>
        <w:rPr>
          <w:rFonts w:ascii="黑体" w:hAnsi="黑体" w:eastAsia="黑体"/>
          <w:szCs w:val="21"/>
        </w:rPr>
        <w:t>各实验室</w:t>
      </w:r>
      <w:r>
        <w:rPr>
          <w:rFonts w:hint="eastAsia" w:ascii="黑体" w:hAnsi="黑体" w:eastAsia="黑体"/>
          <w:szCs w:val="21"/>
        </w:rPr>
        <w:t>单元平均值</w:t>
      </w:r>
    </w:p>
    <w:p>
      <w:pPr>
        <w:jc w:val="center"/>
        <w:rPr>
          <w:szCs w:val="21"/>
        </w:rPr>
      </w:pPr>
    </w:p>
    <w:p>
      <w:pPr>
        <w:jc w:val="center"/>
      </w:pPr>
      <w:r>
        <w:rPr>
          <w:rFonts w:hint="eastAsia"/>
          <w:szCs w:val="21"/>
        </w:rPr>
        <w:t>表A.2</w:t>
      </w:r>
      <w:r>
        <w:rPr>
          <w:szCs w:val="21"/>
        </w:rPr>
        <w:t xml:space="preserve">  </w:t>
      </w:r>
      <w:r>
        <w:rPr>
          <w:rFonts w:hint="eastAsia" w:asciiTheme="minorEastAsia" w:hAnsiTheme="minorEastAsia" w:cstheme="minorEastAsia"/>
        </w:rPr>
        <w:t>各实验室单元平均值</w:t>
      </w:r>
      <w:r>
        <w:rPr>
          <w:szCs w:val="21"/>
        </w:rPr>
        <w:t>（%）</w:t>
      </w:r>
    </w:p>
    <w:tbl>
      <w:tblPr>
        <w:tblStyle w:val="9"/>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93"/>
        <w:gridCol w:w="1070"/>
        <w:gridCol w:w="1093"/>
        <w:gridCol w:w="1070"/>
        <w:gridCol w:w="1093"/>
        <w:gridCol w:w="1070"/>
        <w:gridCol w:w="1094"/>
        <w:gridCol w:w="1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exact"/>
          <w:jc w:val="center"/>
        </w:trPr>
        <w:tc>
          <w:tcPr>
            <w:tcW w:w="1106" w:type="dxa"/>
            <w:vMerge w:val="restart"/>
            <w:tcBorders>
              <w:tl2br w:val="nil"/>
              <w:tr2bl w:val="nil"/>
            </w:tcBorders>
            <w:vAlign w:val="center"/>
          </w:tcPr>
          <w:p>
            <w:pPr>
              <w:jc w:val="center"/>
              <w:rPr>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8850" w:type="dxa"/>
            <w:gridSpan w:val="8"/>
            <w:tcBorders>
              <w:tl2br w:val="nil"/>
              <w:tr2bl w:val="nil"/>
            </w:tcBorders>
            <w:vAlign w:val="center"/>
          </w:tcPr>
          <w:p>
            <w:pPr>
              <w:jc w:val="center"/>
              <w:rPr>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exact"/>
          <w:jc w:val="center"/>
        </w:trPr>
        <w:tc>
          <w:tcPr>
            <w:tcW w:w="1106" w:type="dxa"/>
            <w:vMerge w:val="continue"/>
            <w:tcBorders>
              <w:tl2br w:val="nil"/>
              <w:tr2bl w:val="nil"/>
            </w:tcBorders>
            <w:vAlign w:val="center"/>
          </w:tcPr>
          <w:p>
            <w:pPr>
              <w:jc w:val="center"/>
              <w:rPr>
                <w:sz w:val="18"/>
                <w:szCs w:val="18"/>
              </w:rPr>
            </w:pPr>
          </w:p>
        </w:tc>
        <w:tc>
          <w:tcPr>
            <w:tcW w:w="2212" w:type="dxa"/>
            <w:gridSpan w:val="2"/>
            <w:tcBorders>
              <w:tl2br w:val="nil"/>
              <w:tr2bl w:val="nil"/>
            </w:tcBorders>
            <w:vAlign w:val="center"/>
          </w:tcPr>
          <w:p>
            <w:pPr>
              <w:jc w:val="center"/>
              <w:rPr>
                <w:sz w:val="18"/>
                <w:szCs w:val="18"/>
              </w:rPr>
            </w:pPr>
            <w:r>
              <w:rPr>
                <w:rFonts w:hint="eastAsia"/>
                <w:sz w:val="18"/>
                <w:szCs w:val="18"/>
              </w:rPr>
              <w:t>1</w:t>
            </w:r>
          </w:p>
        </w:tc>
        <w:tc>
          <w:tcPr>
            <w:tcW w:w="2212" w:type="dxa"/>
            <w:gridSpan w:val="2"/>
            <w:tcBorders>
              <w:tl2br w:val="nil"/>
              <w:tr2bl w:val="nil"/>
            </w:tcBorders>
            <w:vAlign w:val="center"/>
          </w:tcPr>
          <w:p>
            <w:pPr>
              <w:jc w:val="center"/>
              <w:rPr>
                <w:sz w:val="18"/>
                <w:szCs w:val="18"/>
              </w:rPr>
            </w:pPr>
            <w:r>
              <w:rPr>
                <w:rFonts w:hint="eastAsia"/>
                <w:sz w:val="18"/>
                <w:szCs w:val="18"/>
              </w:rPr>
              <w:t>2</w:t>
            </w:r>
          </w:p>
        </w:tc>
        <w:tc>
          <w:tcPr>
            <w:tcW w:w="2212" w:type="dxa"/>
            <w:gridSpan w:val="2"/>
            <w:tcBorders>
              <w:tl2br w:val="nil"/>
              <w:tr2bl w:val="nil"/>
            </w:tcBorders>
            <w:vAlign w:val="center"/>
          </w:tcPr>
          <w:p>
            <w:pPr>
              <w:jc w:val="center"/>
              <w:rPr>
                <w:sz w:val="18"/>
                <w:szCs w:val="18"/>
              </w:rPr>
            </w:pPr>
            <w:r>
              <w:rPr>
                <w:rFonts w:hint="eastAsia"/>
                <w:sz w:val="18"/>
                <w:szCs w:val="18"/>
              </w:rPr>
              <w:t>3</w:t>
            </w:r>
          </w:p>
        </w:tc>
        <w:tc>
          <w:tcPr>
            <w:tcW w:w="2214" w:type="dxa"/>
            <w:gridSpan w:val="2"/>
            <w:tcBorders>
              <w:tl2br w:val="nil"/>
              <w:tr2bl w:val="nil"/>
            </w:tcBorders>
            <w:vAlign w:val="center"/>
          </w:tcPr>
          <w:p>
            <w:pPr>
              <w:jc w:val="center"/>
              <w:rPr>
                <w:sz w:val="18"/>
                <w:szCs w:val="18"/>
              </w:rPr>
            </w:pPr>
            <w:r>
              <w:rPr>
                <w:rFonts w:hint="eastAsia"/>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vMerge w:val="continue"/>
            <w:tcBorders>
              <w:tl2br w:val="nil"/>
              <w:tr2bl w:val="nil"/>
            </w:tcBorders>
            <w:vAlign w:val="center"/>
          </w:tcPr>
          <w:p>
            <w:pPr>
              <w:jc w:val="center"/>
              <w:rPr>
                <w:sz w:val="18"/>
                <w:szCs w:val="18"/>
              </w:rPr>
            </w:pP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7"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7"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7.0769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27.5167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35.5254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56.9637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2</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6.9331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27.4888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35.3626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57.3925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3</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7.0229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27.5715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35.7246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56.8188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4</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7.0786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27.2926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35.2940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56.7073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5</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7.0866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27.3917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35.2867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56.6896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6</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7.1058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27.4337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35.4969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56.7064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7</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7.3205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27.3592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35.4591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57.0250 </w:t>
            </w:r>
          </w:p>
        </w:tc>
        <w:tc>
          <w:tcPr>
            <w:tcW w:w="1107"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exact"/>
          <w:jc w:val="center"/>
        </w:trPr>
        <w:tc>
          <w:tcPr>
            <w:tcW w:w="1106" w:type="dxa"/>
            <w:vMerge w:val="restart"/>
            <w:tcBorders>
              <w:tl2br w:val="nil"/>
              <w:tr2bl w:val="nil"/>
            </w:tcBorders>
            <w:vAlign w:val="center"/>
          </w:tcPr>
          <w:p>
            <w:pPr>
              <w:jc w:val="center"/>
              <w:rPr>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8850" w:type="dxa"/>
            <w:gridSpan w:val="8"/>
            <w:tcBorders>
              <w:tl2br w:val="nil"/>
              <w:tr2bl w:val="nil"/>
            </w:tcBorders>
            <w:vAlign w:val="center"/>
          </w:tcPr>
          <w:p>
            <w:pPr>
              <w:jc w:val="center"/>
              <w:rPr>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exact"/>
          <w:jc w:val="center"/>
        </w:trPr>
        <w:tc>
          <w:tcPr>
            <w:tcW w:w="1106" w:type="dxa"/>
            <w:vMerge w:val="continue"/>
            <w:tcBorders>
              <w:tl2br w:val="nil"/>
              <w:tr2bl w:val="nil"/>
            </w:tcBorders>
            <w:vAlign w:val="center"/>
          </w:tcPr>
          <w:p>
            <w:pPr>
              <w:jc w:val="center"/>
              <w:rPr>
                <w:sz w:val="18"/>
                <w:szCs w:val="18"/>
              </w:rPr>
            </w:pPr>
          </w:p>
        </w:tc>
        <w:tc>
          <w:tcPr>
            <w:tcW w:w="2212" w:type="dxa"/>
            <w:gridSpan w:val="2"/>
            <w:tcBorders>
              <w:tl2br w:val="nil"/>
              <w:tr2bl w:val="nil"/>
            </w:tcBorders>
            <w:vAlign w:val="center"/>
          </w:tcPr>
          <w:p>
            <w:pPr>
              <w:jc w:val="center"/>
              <w:rPr>
                <w:sz w:val="18"/>
                <w:szCs w:val="18"/>
              </w:rPr>
            </w:pPr>
            <w:r>
              <w:rPr>
                <w:rFonts w:hint="eastAsia"/>
                <w:sz w:val="18"/>
                <w:szCs w:val="18"/>
              </w:rPr>
              <w:t>5</w:t>
            </w:r>
          </w:p>
        </w:tc>
        <w:tc>
          <w:tcPr>
            <w:tcW w:w="2212" w:type="dxa"/>
            <w:gridSpan w:val="2"/>
            <w:tcBorders>
              <w:tl2br w:val="nil"/>
              <w:tr2bl w:val="nil"/>
            </w:tcBorders>
            <w:vAlign w:val="center"/>
          </w:tcPr>
          <w:p>
            <w:pPr>
              <w:jc w:val="center"/>
              <w:rPr>
                <w:sz w:val="18"/>
                <w:szCs w:val="18"/>
              </w:rPr>
            </w:pPr>
            <w:r>
              <w:rPr>
                <w:rFonts w:hint="eastAsia"/>
                <w:sz w:val="18"/>
                <w:szCs w:val="18"/>
              </w:rPr>
              <w:t>6</w:t>
            </w:r>
          </w:p>
        </w:tc>
        <w:tc>
          <w:tcPr>
            <w:tcW w:w="2212" w:type="dxa"/>
            <w:gridSpan w:val="2"/>
            <w:tcBorders>
              <w:tl2br w:val="nil"/>
              <w:tr2bl w:val="nil"/>
            </w:tcBorders>
            <w:vAlign w:val="center"/>
          </w:tcPr>
          <w:p>
            <w:pPr>
              <w:jc w:val="center"/>
              <w:rPr>
                <w:sz w:val="18"/>
                <w:szCs w:val="18"/>
              </w:rPr>
            </w:pPr>
            <w:r>
              <w:rPr>
                <w:rFonts w:hint="eastAsia"/>
                <w:sz w:val="18"/>
                <w:szCs w:val="18"/>
              </w:rPr>
              <w:t>7</w:t>
            </w:r>
          </w:p>
        </w:tc>
        <w:tc>
          <w:tcPr>
            <w:tcW w:w="2214" w:type="dxa"/>
            <w:gridSpan w:val="2"/>
            <w:tcBorders>
              <w:tl2br w:val="nil"/>
              <w:tr2bl w:val="nil"/>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vMerge w:val="continue"/>
            <w:tcBorders>
              <w:tl2br w:val="nil"/>
              <w:tr2bl w:val="nil"/>
            </w:tcBorders>
            <w:vAlign w:val="center"/>
          </w:tcPr>
          <w:p>
            <w:pPr>
              <w:jc w:val="center"/>
              <w:rPr>
                <w:sz w:val="18"/>
                <w:szCs w:val="18"/>
              </w:rPr>
            </w:pP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6" w:type="dxa"/>
            <w:tcBorders>
              <w:tl2br w:val="nil"/>
              <w:tr2bl w:val="nil"/>
            </w:tcBorders>
          </w:tcPr>
          <w:p>
            <w:pPr>
              <w:spacing w:line="240" w:lineRule="atLeast"/>
              <w:jc w:val="center"/>
              <w:rPr>
                <w:sz w:val="18"/>
                <w:szCs w:val="18"/>
              </w:rPr>
            </w:pPr>
            <w:r>
              <w:rPr>
                <w:rFonts w:hint="eastAsia" w:ascii="宋体" w:hAnsi="宋体" w:cs="宋体"/>
                <w:sz w:val="18"/>
                <w:szCs w:val="18"/>
              </w:rPr>
              <w:sym w:font="Symbol" w:char="0060"/>
            </w:r>
            <w:r>
              <w:rPr>
                <w:rFonts w:ascii="Times New Roman" w:hAnsi="Times New Roman" w:cs="Times New Roman"/>
                <w:i/>
                <w:iCs/>
                <w:sz w:val="18"/>
                <w:szCs w:val="18"/>
              </w:rPr>
              <w:t>y</w:t>
            </w:r>
            <w:r>
              <w:rPr>
                <w:rFonts w:hint="eastAsia" w:cs="Times New Roman"/>
                <w:i/>
                <w:iCs/>
                <w:sz w:val="18"/>
                <w:szCs w:val="18"/>
                <w:vertAlign w:val="subscript"/>
              </w:rPr>
              <w:t>ij</w:t>
            </w:r>
          </w:p>
        </w:tc>
        <w:tc>
          <w:tcPr>
            <w:tcW w:w="1106" w:type="dxa"/>
            <w:tcBorders>
              <w:tl2br w:val="nil"/>
              <w:tr2bl w:val="nil"/>
            </w:tcBorders>
          </w:tcPr>
          <w:p>
            <w:pPr>
              <w:jc w:val="center"/>
              <w:rPr>
                <w:sz w:val="18"/>
                <w:szCs w:val="18"/>
              </w:rPr>
            </w:pPr>
            <w:r>
              <w:rPr>
                <w:rFonts w:ascii="Times New Roman" w:hAnsi="Times New Roman" w:eastAsia="宋体" w:cs="Times New Roman"/>
                <w:i/>
                <w:iCs/>
                <w:sz w:val="18"/>
                <w:szCs w:val="18"/>
              </w:rPr>
              <w:t>n</w:t>
            </w:r>
            <w:r>
              <w:rPr>
                <w:rFonts w:hint="eastAsia" w:cs="Times New Roman"/>
                <w:i/>
                <w:iCs/>
                <w:sz w:val="18"/>
                <w:szCs w:val="18"/>
                <w:vertAlign w:val="subscript"/>
              </w:rPr>
              <w:t>ij</w:t>
            </w:r>
          </w:p>
        </w:tc>
        <w:tc>
          <w:tcPr>
            <w:tcW w:w="1107" w:type="dxa"/>
            <w:tcBorders>
              <w:tl2br w:val="nil"/>
              <w:tr2bl w:val="nil"/>
            </w:tcBorders>
          </w:tcPr>
          <w:p>
            <w:pPr>
              <w:spacing w:line="240" w:lineRule="atLeast"/>
              <w:jc w:val="center"/>
              <w:rPr>
                <w:sz w:val="18"/>
                <w:szCs w:val="18"/>
              </w:rPr>
            </w:pPr>
          </w:p>
        </w:tc>
        <w:tc>
          <w:tcPr>
            <w:tcW w:w="1107" w:type="dxa"/>
            <w:tcBorders>
              <w:tl2br w:val="nil"/>
              <w:tr2bl w:val="nil"/>
            </w:tcBorders>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66.4339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74.4905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87.7985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2</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66.2449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74.6250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87.8922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3</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66.2668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74.7387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87.5625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4</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65.9450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74.8202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87.4122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5</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65.8027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74.5928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87.3130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6</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66.1647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74.8345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87.5875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7</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66.2507 </w:t>
            </w:r>
          </w:p>
        </w:tc>
        <w:tc>
          <w:tcPr>
            <w:tcW w:w="1106" w:type="dxa"/>
            <w:tcBorders>
              <w:tl2br w:val="nil"/>
              <w:tr2bl w:val="nil"/>
            </w:tcBorders>
          </w:tcPr>
          <w:p>
            <w:pPr>
              <w:widowControl/>
              <w:jc w:val="center"/>
              <w:textAlignment w:val="top"/>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75.1434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87.8528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bl>
    <w:p/>
    <w:p/>
    <w:p/>
    <w:p/>
    <w:p/>
    <w:p>
      <w:pPr>
        <w:numPr>
          <w:ilvl w:val="0"/>
          <w:numId w:val="23"/>
        </w:numPr>
        <w:rPr>
          <w:rFonts w:ascii="黑体" w:hAnsi="黑体" w:eastAsia="黑体"/>
          <w:szCs w:val="21"/>
        </w:rPr>
        <w:sectPr>
          <w:footerReference r:id="rId8" w:type="default"/>
          <w:footerReference r:id="rId9" w:type="even"/>
          <w:pgSz w:w="11906" w:h="16838"/>
          <w:pgMar w:top="1134" w:right="1077" w:bottom="567" w:left="1077" w:header="851" w:footer="510" w:gutter="283"/>
          <w:pgNumType w:fmt="numberInDash" w:start="19"/>
          <w:cols w:space="0" w:num="1"/>
          <w:docGrid w:type="lines" w:linePitch="314" w:charSpace="0"/>
        </w:sectPr>
      </w:pPr>
    </w:p>
    <w:p>
      <w:pPr>
        <w:numPr>
          <w:ilvl w:val="0"/>
          <w:numId w:val="23"/>
        </w:numPr>
        <w:rPr>
          <w:rFonts w:ascii="黑体" w:hAnsi="黑体" w:eastAsia="黑体"/>
          <w:szCs w:val="21"/>
        </w:rPr>
      </w:pPr>
      <w:r>
        <w:rPr>
          <w:rFonts w:ascii="黑体" w:hAnsi="黑体" w:eastAsia="黑体"/>
          <w:szCs w:val="21"/>
        </w:rPr>
        <w:t>各实验室</w:t>
      </w:r>
      <w:r>
        <w:rPr>
          <w:rFonts w:hint="eastAsia" w:ascii="黑体" w:hAnsi="黑体" w:eastAsia="黑体"/>
          <w:szCs w:val="21"/>
        </w:rPr>
        <w:t>单元离散度</w:t>
      </w:r>
    </w:p>
    <w:p>
      <w:pPr>
        <w:rPr>
          <w:rFonts w:ascii="黑体" w:hAnsi="黑体" w:eastAsia="黑体"/>
          <w:szCs w:val="21"/>
        </w:rPr>
      </w:pPr>
    </w:p>
    <w:p>
      <w:pPr>
        <w:jc w:val="center"/>
      </w:pPr>
      <w:r>
        <w:rPr>
          <w:rFonts w:hint="eastAsia"/>
          <w:szCs w:val="21"/>
        </w:rPr>
        <w:t>表A.3</w:t>
      </w:r>
      <w:r>
        <w:rPr>
          <w:szCs w:val="21"/>
        </w:rPr>
        <w:t xml:space="preserve">  </w:t>
      </w:r>
      <w:r>
        <w:rPr>
          <w:rFonts w:hint="eastAsia" w:hAnsi="宋体" w:cs="宋体"/>
          <w:szCs w:val="21"/>
        </w:rPr>
        <w:t>各实验室单元标准差</w:t>
      </w:r>
      <w:r>
        <w:rPr>
          <w:szCs w:val="21"/>
        </w:rPr>
        <w:t>（%）</w:t>
      </w:r>
    </w:p>
    <w:tbl>
      <w:tblPr>
        <w:tblStyle w:val="9"/>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99"/>
        <w:gridCol w:w="1066"/>
        <w:gridCol w:w="1096"/>
        <w:gridCol w:w="1066"/>
        <w:gridCol w:w="1099"/>
        <w:gridCol w:w="1066"/>
        <w:gridCol w:w="1097"/>
        <w:gridCol w:w="10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exact"/>
          <w:jc w:val="center"/>
        </w:trPr>
        <w:tc>
          <w:tcPr>
            <w:tcW w:w="1106" w:type="dxa"/>
            <w:vMerge w:val="restart"/>
            <w:tcBorders>
              <w:tl2br w:val="nil"/>
              <w:tr2bl w:val="nil"/>
            </w:tcBorders>
            <w:vAlign w:val="center"/>
          </w:tcPr>
          <w:p>
            <w:pPr>
              <w:jc w:val="center"/>
              <w:rPr>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8850" w:type="dxa"/>
            <w:gridSpan w:val="8"/>
            <w:tcBorders>
              <w:tl2br w:val="nil"/>
              <w:tr2bl w:val="nil"/>
            </w:tcBorders>
            <w:vAlign w:val="center"/>
          </w:tcPr>
          <w:p>
            <w:pPr>
              <w:jc w:val="center"/>
              <w:rPr>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exact"/>
          <w:jc w:val="center"/>
        </w:trPr>
        <w:tc>
          <w:tcPr>
            <w:tcW w:w="1106" w:type="dxa"/>
            <w:vMerge w:val="continue"/>
            <w:tcBorders>
              <w:tl2br w:val="nil"/>
              <w:tr2bl w:val="nil"/>
            </w:tcBorders>
            <w:vAlign w:val="center"/>
          </w:tcPr>
          <w:p>
            <w:pPr>
              <w:jc w:val="center"/>
              <w:rPr>
                <w:sz w:val="18"/>
                <w:szCs w:val="18"/>
              </w:rPr>
            </w:pPr>
          </w:p>
        </w:tc>
        <w:tc>
          <w:tcPr>
            <w:tcW w:w="2212" w:type="dxa"/>
            <w:gridSpan w:val="2"/>
            <w:tcBorders>
              <w:tl2br w:val="nil"/>
              <w:tr2bl w:val="nil"/>
            </w:tcBorders>
            <w:vAlign w:val="center"/>
          </w:tcPr>
          <w:p>
            <w:pPr>
              <w:jc w:val="center"/>
              <w:rPr>
                <w:sz w:val="18"/>
                <w:szCs w:val="18"/>
              </w:rPr>
            </w:pPr>
            <w:r>
              <w:rPr>
                <w:rFonts w:hint="eastAsia"/>
                <w:sz w:val="18"/>
                <w:szCs w:val="18"/>
              </w:rPr>
              <w:t>1</w:t>
            </w:r>
          </w:p>
        </w:tc>
        <w:tc>
          <w:tcPr>
            <w:tcW w:w="2212" w:type="dxa"/>
            <w:gridSpan w:val="2"/>
            <w:tcBorders>
              <w:tl2br w:val="nil"/>
              <w:tr2bl w:val="nil"/>
            </w:tcBorders>
            <w:vAlign w:val="center"/>
          </w:tcPr>
          <w:p>
            <w:pPr>
              <w:jc w:val="center"/>
              <w:rPr>
                <w:sz w:val="18"/>
                <w:szCs w:val="18"/>
              </w:rPr>
            </w:pPr>
            <w:r>
              <w:rPr>
                <w:rFonts w:hint="eastAsia"/>
                <w:sz w:val="18"/>
                <w:szCs w:val="18"/>
              </w:rPr>
              <w:t>2</w:t>
            </w:r>
          </w:p>
        </w:tc>
        <w:tc>
          <w:tcPr>
            <w:tcW w:w="2212" w:type="dxa"/>
            <w:gridSpan w:val="2"/>
            <w:tcBorders>
              <w:tl2br w:val="nil"/>
              <w:tr2bl w:val="nil"/>
            </w:tcBorders>
            <w:vAlign w:val="center"/>
          </w:tcPr>
          <w:p>
            <w:pPr>
              <w:jc w:val="center"/>
              <w:rPr>
                <w:sz w:val="18"/>
                <w:szCs w:val="18"/>
              </w:rPr>
            </w:pPr>
            <w:r>
              <w:rPr>
                <w:rFonts w:hint="eastAsia"/>
                <w:sz w:val="18"/>
                <w:szCs w:val="18"/>
              </w:rPr>
              <w:t>3</w:t>
            </w:r>
          </w:p>
        </w:tc>
        <w:tc>
          <w:tcPr>
            <w:tcW w:w="2214" w:type="dxa"/>
            <w:gridSpan w:val="2"/>
            <w:tcBorders>
              <w:tl2br w:val="nil"/>
              <w:tr2bl w:val="nil"/>
            </w:tcBorders>
            <w:vAlign w:val="center"/>
          </w:tcPr>
          <w:p>
            <w:pPr>
              <w:jc w:val="center"/>
              <w:rPr>
                <w:sz w:val="18"/>
                <w:szCs w:val="18"/>
              </w:rPr>
            </w:pPr>
            <w:r>
              <w:rPr>
                <w:rFonts w:hint="eastAsia"/>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vMerge w:val="continue"/>
            <w:tcBorders>
              <w:tl2br w:val="nil"/>
              <w:tr2bl w:val="nil"/>
            </w:tcBorders>
            <w:vAlign w:val="center"/>
          </w:tcPr>
          <w:p>
            <w:pPr>
              <w:jc w:val="center"/>
              <w:rPr>
                <w:sz w:val="18"/>
                <w:szCs w:val="18"/>
              </w:rPr>
            </w:pP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7"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7"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0.037941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0.143655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0.110543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0.123699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2</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vertAlign w:val="superscript"/>
              </w:rPr>
              <w:t xml:space="preserve"> </w:t>
            </w:r>
            <w:r>
              <w:rPr>
                <w:rFonts w:hint="eastAsia" w:ascii="宋体" w:hAnsi="宋体" w:eastAsia="宋体" w:cs="宋体"/>
                <w:color w:val="000000"/>
                <w:kern w:val="0"/>
                <w:sz w:val="18"/>
                <w:szCs w:val="18"/>
              </w:rPr>
              <w:t>0.100625</w:t>
            </w:r>
            <w:r>
              <w:rPr>
                <w:rFonts w:hint="eastAsia" w:ascii="宋体" w:hAnsi="宋体" w:eastAsia="宋体" w:cs="宋体"/>
                <w:color w:val="000000"/>
                <w:kern w:val="0"/>
                <w:sz w:val="18"/>
                <w:szCs w:val="18"/>
                <w:vertAlign w:val="superscript"/>
              </w:rPr>
              <w:t>*</w:t>
            </w:r>
            <w:r>
              <w:rPr>
                <w:rFonts w:hint="eastAsia" w:ascii="宋体" w:hAnsi="宋体" w:eastAsia="宋体" w:cs="宋体"/>
                <w:color w:val="000000"/>
                <w:kern w:val="0"/>
                <w:sz w:val="18"/>
                <w:szCs w:val="18"/>
              </w:rPr>
              <w:t xml:space="preserve">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0.119926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0.109157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0.085533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3</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0.029693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0.069879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0.115545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0.169923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4</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0.045498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0.118787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0.130325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0.127350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5</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0.075904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0.115726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0.232097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0.114148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6</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0.040182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0.062902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0.094281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0.104217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7</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0.096386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0.085986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vertAlign w:val="subscript"/>
              </w:rPr>
              <w:t xml:space="preserve"> </w:t>
            </w:r>
            <w:r>
              <w:rPr>
                <w:rFonts w:hint="eastAsia" w:ascii="宋体" w:hAnsi="宋体" w:eastAsia="宋体" w:cs="宋体"/>
                <w:color w:val="000000"/>
                <w:kern w:val="0"/>
                <w:sz w:val="18"/>
                <w:szCs w:val="18"/>
              </w:rPr>
              <w:t>0.244143</w:t>
            </w:r>
            <w:r>
              <w:rPr>
                <w:rFonts w:hint="eastAsia" w:ascii="宋体" w:hAnsi="宋体" w:eastAsia="宋体" w:cs="宋体"/>
                <w:color w:val="000000"/>
                <w:kern w:val="0"/>
                <w:sz w:val="18"/>
                <w:szCs w:val="18"/>
                <w:vertAlign w:val="superscript"/>
              </w:rPr>
              <w:t>*</w:t>
            </w:r>
            <w:r>
              <w:rPr>
                <w:rFonts w:hint="eastAsia" w:ascii="宋体" w:hAnsi="宋体" w:eastAsia="宋体" w:cs="宋体"/>
                <w:color w:val="000000"/>
                <w:kern w:val="0"/>
                <w:sz w:val="18"/>
                <w:szCs w:val="18"/>
              </w:rPr>
              <w:t xml:space="preserve">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0.122131 </w:t>
            </w:r>
          </w:p>
        </w:tc>
        <w:tc>
          <w:tcPr>
            <w:tcW w:w="1107"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exact"/>
          <w:jc w:val="center"/>
        </w:trPr>
        <w:tc>
          <w:tcPr>
            <w:tcW w:w="1106" w:type="dxa"/>
            <w:vMerge w:val="restart"/>
            <w:tcBorders>
              <w:tl2br w:val="nil"/>
              <w:tr2bl w:val="nil"/>
            </w:tcBorders>
            <w:vAlign w:val="center"/>
          </w:tcPr>
          <w:p>
            <w:pPr>
              <w:jc w:val="center"/>
              <w:rPr>
                <w:sz w:val="18"/>
                <w:szCs w:val="18"/>
              </w:rPr>
            </w:pPr>
            <w:r>
              <w:rPr>
                <w:rFonts w:ascii="Times New Roman" w:hAnsi="Times New Roman" w:cs="Times New Roman"/>
                <w:kern w:val="0"/>
                <w:sz w:val="18"/>
                <w:szCs w:val="18"/>
              </w:rPr>
              <w:t>实验室</w:t>
            </w:r>
            <w:r>
              <w:rPr>
                <w:rFonts w:hint="eastAsia" w:ascii="宋体" w:hAnsi="宋体" w:eastAsia="宋体" w:cs="宋体"/>
                <w:i/>
                <w:iCs/>
                <w:kern w:val="0"/>
                <w:sz w:val="18"/>
                <w:szCs w:val="18"/>
              </w:rPr>
              <w:t>i</w:t>
            </w:r>
          </w:p>
        </w:tc>
        <w:tc>
          <w:tcPr>
            <w:tcW w:w="8850" w:type="dxa"/>
            <w:gridSpan w:val="8"/>
            <w:tcBorders>
              <w:tl2br w:val="nil"/>
              <w:tr2bl w:val="nil"/>
            </w:tcBorders>
            <w:vAlign w:val="center"/>
          </w:tcPr>
          <w:p>
            <w:pPr>
              <w:jc w:val="center"/>
              <w:rPr>
                <w:sz w:val="18"/>
                <w:szCs w:val="18"/>
              </w:rPr>
            </w:pPr>
            <w:r>
              <w:rPr>
                <w:rFonts w:ascii="Times New Roman" w:hAnsi="Times New Roman" w:cs="Times New Roman"/>
                <w:kern w:val="0"/>
                <w:sz w:val="18"/>
                <w:szCs w:val="18"/>
              </w:rPr>
              <w:t>水平数</w:t>
            </w:r>
            <w:r>
              <w:rPr>
                <w:rFonts w:hint="eastAsia" w:cs="Times New Roman"/>
                <w:i/>
                <w:iCs/>
                <w:kern w:val="0"/>
                <w:sz w:val="18"/>
                <w:szCs w:val="18"/>
              </w:rPr>
              <w:t>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exact"/>
          <w:jc w:val="center"/>
        </w:trPr>
        <w:tc>
          <w:tcPr>
            <w:tcW w:w="1106" w:type="dxa"/>
            <w:vMerge w:val="continue"/>
            <w:tcBorders>
              <w:tl2br w:val="nil"/>
              <w:tr2bl w:val="nil"/>
            </w:tcBorders>
            <w:vAlign w:val="center"/>
          </w:tcPr>
          <w:p>
            <w:pPr>
              <w:jc w:val="center"/>
              <w:rPr>
                <w:sz w:val="18"/>
                <w:szCs w:val="18"/>
              </w:rPr>
            </w:pPr>
          </w:p>
        </w:tc>
        <w:tc>
          <w:tcPr>
            <w:tcW w:w="2212" w:type="dxa"/>
            <w:gridSpan w:val="2"/>
            <w:tcBorders>
              <w:tl2br w:val="nil"/>
              <w:tr2bl w:val="nil"/>
            </w:tcBorders>
            <w:vAlign w:val="center"/>
          </w:tcPr>
          <w:p>
            <w:pPr>
              <w:jc w:val="center"/>
              <w:rPr>
                <w:sz w:val="18"/>
                <w:szCs w:val="18"/>
              </w:rPr>
            </w:pPr>
            <w:r>
              <w:rPr>
                <w:rFonts w:hint="eastAsia"/>
                <w:sz w:val="18"/>
                <w:szCs w:val="18"/>
              </w:rPr>
              <w:t>5</w:t>
            </w:r>
          </w:p>
        </w:tc>
        <w:tc>
          <w:tcPr>
            <w:tcW w:w="2212" w:type="dxa"/>
            <w:gridSpan w:val="2"/>
            <w:tcBorders>
              <w:tl2br w:val="nil"/>
              <w:tr2bl w:val="nil"/>
            </w:tcBorders>
            <w:vAlign w:val="center"/>
          </w:tcPr>
          <w:p>
            <w:pPr>
              <w:jc w:val="center"/>
              <w:rPr>
                <w:sz w:val="18"/>
                <w:szCs w:val="18"/>
              </w:rPr>
            </w:pPr>
            <w:r>
              <w:rPr>
                <w:rFonts w:hint="eastAsia"/>
                <w:sz w:val="18"/>
                <w:szCs w:val="18"/>
              </w:rPr>
              <w:t>6</w:t>
            </w:r>
          </w:p>
        </w:tc>
        <w:tc>
          <w:tcPr>
            <w:tcW w:w="2212" w:type="dxa"/>
            <w:gridSpan w:val="2"/>
            <w:tcBorders>
              <w:tl2br w:val="nil"/>
              <w:tr2bl w:val="nil"/>
            </w:tcBorders>
            <w:vAlign w:val="center"/>
          </w:tcPr>
          <w:p>
            <w:pPr>
              <w:jc w:val="center"/>
              <w:rPr>
                <w:sz w:val="18"/>
                <w:szCs w:val="18"/>
              </w:rPr>
            </w:pPr>
            <w:r>
              <w:rPr>
                <w:rFonts w:hint="eastAsia"/>
                <w:sz w:val="18"/>
                <w:szCs w:val="18"/>
              </w:rPr>
              <w:t>7</w:t>
            </w:r>
          </w:p>
        </w:tc>
        <w:tc>
          <w:tcPr>
            <w:tcW w:w="2214" w:type="dxa"/>
            <w:gridSpan w:val="2"/>
            <w:tcBorders>
              <w:tl2br w:val="nil"/>
              <w:tr2bl w:val="nil"/>
            </w:tcBorders>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vMerge w:val="continue"/>
            <w:tcBorders>
              <w:tl2br w:val="nil"/>
              <w:tr2bl w:val="nil"/>
            </w:tcBorders>
            <w:vAlign w:val="center"/>
          </w:tcPr>
          <w:p>
            <w:pPr>
              <w:jc w:val="center"/>
              <w:rPr>
                <w:sz w:val="18"/>
                <w:szCs w:val="18"/>
              </w:rPr>
            </w:pP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s</w:t>
            </w:r>
            <w:r>
              <w:rPr>
                <w:rFonts w:hint="eastAsia" w:ascii="宋体" w:hAnsi="宋体" w:eastAsia="宋体" w:cs="宋体"/>
                <w:i/>
                <w:iCs/>
                <w:color w:val="000000"/>
                <w:kern w:val="0"/>
                <w:sz w:val="18"/>
                <w:szCs w:val="18"/>
                <w:vertAlign w:val="subscript"/>
              </w:rPr>
              <w:t>ij</w:t>
            </w:r>
          </w:p>
        </w:tc>
        <w:tc>
          <w:tcPr>
            <w:tcW w:w="1106" w:type="dxa"/>
            <w:tcBorders>
              <w:tl2br w:val="nil"/>
              <w:tr2bl w:val="nil"/>
            </w:tcBorders>
            <w:vAlign w:val="center"/>
          </w:tcPr>
          <w:p>
            <w:pPr>
              <w:widowControl/>
              <w:jc w:val="center"/>
              <w:textAlignment w:val="center"/>
              <w:rPr>
                <w:sz w:val="18"/>
                <w:szCs w:val="18"/>
              </w:rPr>
            </w:pPr>
            <w:r>
              <w:rPr>
                <w:rFonts w:ascii="Times New Roman" w:hAnsi="Times New Roman" w:eastAsia="宋体" w:cs="Times New Roman"/>
                <w:i/>
                <w:iCs/>
                <w:color w:val="000000"/>
                <w:kern w:val="0"/>
                <w:sz w:val="18"/>
                <w:szCs w:val="18"/>
              </w:rPr>
              <w:t>n</w:t>
            </w:r>
            <w:r>
              <w:rPr>
                <w:rFonts w:hint="eastAsia" w:ascii="宋体" w:hAnsi="宋体" w:eastAsia="宋体" w:cs="宋体"/>
                <w:i/>
                <w:iCs/>
                <w:color w:val="000000"/>
                <w:kern w:val="0"/>
                <w:sz w:val="18"/>
                <w:szCs w:val="18"/>
                <w:vertAlign w:val="subscript"/>
              </w:rPr>
              <w:t>ij</w:t>
            </w:r>
          </w:p>
        </w:tc>
        <w:tc>
          <w:tcPr>
            <w:tcW w:w="1107" w:type="dxa"/>
            <w:tcBorders>
              <w:tl2br w:val="nil"/>
              <w:tr2bl w:val="nil"/>
            </w:tcBorders>
          </w:tcPr>
          <w:p>
            <w:pPr>
              <w:spacing w:line="240" w:lineRule="atLeast"/>
              <w:jc w:val="center"/>
              <w:rPr>
                <w:sz w:val="18"/>
                <w:szCs w:val="18"/>
              </w:rPr>
            </w:pPr>
          </w:p>
        </w:tc>
        <w:tc>
          <w:tcPr>
            <w:tcW w:w="1107" w:type="dxa"/>
            <w:tcBorders>
              <w:tl2br w:val="nil"/>
              <w:tr2bl w:val="nil"/>
            </w:tcBorders>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0.100196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0.124498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0.124955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2</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0.116669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0.164944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0.126416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3</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0.145076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0.151763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0.237630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4</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0.146195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0.105464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0.145446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5</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0.172791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0.189631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0.204033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6</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0.062100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0.083228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0.076073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106" w:type="dxa"/>
            <w:tcBorders>
              <w:tl2br w:val="nil"/>
              <w:tr2bl w:val="nil"/>
            </w:tcBorders>
            <w:vAlign w:val="center"/>
          </w:tcPr>
          <w:p>
            <w:pPr>
              <w:jc w:val="center"/>
              <w:rPr>
                <w:sz w:val="18"/>
                <w:szCs w:val="18"/>
              </w:rPr>
            </w:pPr>
            <w:r>
              <w:rPr>
                <w:rFonts w:hint="eastAsia"/>
                <w:sz w:val="18"/>
                <w:szCs w:val="18"/>
              </w:rPr>
              <w:t>7</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vertAlign w:val="superscript"/>
              </w:rPr>
              <w:t xml:space="preserve"> </w:t>
            </w:r>
            <w:r>
              <w:rPr>
                <w:rFonts w:hint="eastAsia" w:ascii="宋体" w:hAnsi="宋体" w:eastAsia="宋体" w:cs="宋体"/>
                <w:color w:val="000000"/>
                <w:kern w:val="0"/>
                <w:sz w:val="18"/>
                <w:szCs w:val="18"/>
              </w:rPr>
              <w:t>0.218602</w:t>
            </w:r>
            <w:r>
              <w:rPr>
                <w:rFonts w:hint="eastAsia" w:ascii="宋体" w:hAnsi="宋体" w:eastAsia="宋体" w:cs="宋体"/>
                <w:color w:val="000000"/>
                <w:kern w:val="0"/>
                <w:sz w:val="18"/>
                <w:szCs w:val="18"/>
                <w:vertAlign w:val="superscript"/>
              </w:rPr>
              <w:t>*</w:t>
            </w:r>
            <w:r>
              <w:rPr>
                <w:rFonts w:hint="eastAsia" w:ascii="宋体" w:hAnsi="宋体" w:eastAsia="宋体" w:cs="宋体"/>
                <w:color w:val="000000"/>
                <w:kern w:val="0"/>
                <w:sz w:val="18"/>
                <w:szCs w:val="18"/>
              </w:rPr>
              <w:t xml:space="preserve">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 xml:space="preserve">0.179006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6" w:type="dxa"/>
            <w:tcBorders>
              <w:tl2br w:val="nil"/>
              <w:tr2bl w:val="nil"/>
            </w:tcBorders>
            <w:vAlign w:val="center"/>
          </w:tcPr>
          <w:p>
            <w:pPr>
              <w:widowControl/>
              <w:jc w:val="right"/>
              <w:textAlignment w:val="center"/>
              <w:rPr>
                <w:sz w:val="18"/>
                <w:szCs w:val="18"/>
              </w:rPr>
            </w:pPr>
            <w:r>
              <w:rPr>
                <w:rFonts w:hint="eastAsia" w:ascii="宋体" w:hAnsi="宋体" w:eastAsia="宋体" w:cs="宋体"/>
                <w:color w:val="000000"/>
                <w:kern w:val="0"/>
                <w:sz w:val="18"/>
                <w:szCs w:val="18"/>
              </w:rPr>
              <w:t xml:space="preserve">0.187173 </w:t>
            </w:r>
          </w:p>
        </w:tc>
        <w:tc>
          <w:tcPr>
            <w:tcW w:w="1106" w:type="dxa"/>
            <w:tcBorders>
              <w:tl2br w:val="nil"/>
              <w:tr2bl w:val="nil"/>
            </w:tcBorders>
            <w:vAlign w:val="center"/>
          </w:tcPr>
          <w:p>
            <w:pPr>
              <w:widowControl/>
              <w:jc w:val="center"/>
              <w:textAlignment w:val="center"/>
              <w:rPr>
                <w:sz w:val="18"/>
                <w:szCs w:val="18"/>
              </w:rPr>
            </w:pPr>
            <w:r>
              <w:rPr>
                <w:rFonts w:hint="eastAsia" w:ascii="宋体" w:hAnsi="宋体" w:eastAsia="宋体" w:cs="宋体"/>
                <w:color w:val="000000"/>
                <w:kern w:val="0"/>
                <w:sz w:val="18"/>
                <w:szCs w:val="18"/>
              </w:rPr>
              <w:t>11</w:t>
            </w:r>
          </w:p>
        </w:tc>
        <w:tc>
          <w:tcPr>
            <w:tcW w:w="1107" w:type="dxa"/>
            <w:tcBorders>
              <w:tl2br w:val="nil"/>
              <w:tr2bl w:val="nil"/>
            </w:tcBorders>
            <w:vAlign w:val="center"/>
          </w:tcPr>
          <w:p>
            <w:pPr>
              <w:widowControl/>
              <w:jc w:val="center"/>
              <w:textAlignment w:val="center"/>
              <w:rPr>
                <w:sz w:val="18"/>
                <w:szCs w:val="18"/>
              </w:rPr>
            </w:pPr>
          </w:p>
        </w:tc>
        <w:tc>
          <w:tcPr>
            <w:tcW w:w="1107" w:type="dxa"/>
            <w:tcBorders>
              <w:tl2br w:val="nil"/>
              <w:tr2bl w:val="nil"/>
            </w:tcBorders>
          </w:tcPr>
          <w:p>
            <w:pPr>
              <w:widowControl/>
              <w:jc w:val="center"/>
              <w:textAlignment w:val="top"/>
              <w:rPr>
                <w:sz w:val="18"/>
                <w:szCs w:val="18"/>
              </w:rPr>
            </w:pPr>
          </w:p>
        </w:tc>
      </w:tr>
    </w:tbl>
    <w:p/>
    <w:p/>
    <w:p>
      <w:pPr>
        <w:numPr>
          <w:ilvl w:val="0"/>
          <w:numId w:val="23"/>
        </w:numPr>
        <w:rPr>
          <w:rFonts w:ascii="黑体" w:hAnsi="黑体" w:eastAsia="黑体"/>
          <w:szCs w:val="21"/>
        </w:rPr>
      </w:pPr>
      <w:r>
        <w:rPr>
          <w:rFonts w:hint="eastAsia" w:ascii="黑体" w:hAnsi="黑体" w:eastAsia="黑体"/>
          <w:szCs w:val="21"/>
        </w:rPr>
        <w:t>一致性和离群值检查</w:t>
      </w:r>
    </w:p>
    <w:p>
      <w:pPr>
        <w:jc w:val="center"/>
      </w:pPr>
      <w:r>
        <w:rPr>
          <w:rFonts w:hint="eastAsia"/>
          <w:szCs w:val="21"/>
        </w:rPr>
        <w:t>表A.4</w:t>
      </w:r>
      <w:r>
        <w:rPr>
          <w:szCs w:val="21"/>
        </w:rPr>
        <w:t xml:space="preserve">  </w:t>
      </w:r>
      <w:r>
        <w:rPr>
          <w:rFonts w:hint="eastAsia" w:hAnsi="宋体" w:cs="宋体"/>
          <w:szCs w:val="21"/>
        </w:rPr>
        <w:t>柯克伦检验统计量C的值</w:t>
      </w:r>
    </w:p>
    <w:tbl>
      <w:tblPr>
        <w:tblStyle w:val="8"/>
        <w:tblW w:w="972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207"/>
        <w:gridCol w:w="1207"/>
        <w:gridCol w:w="1207"/>
        <w:gridCol w:w="1207"/>
        <w:gridCol w:w="1207"/>
        <w:gridCol w:w="1219"/>
        <w:gridCol w:w="12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水平</w:t>
            </w:r>
            <w:r>
              <w:rPr>
                <w:rFonts w:hint="eastAsia" w:ascii="宋体" w:hAnsi="宋体" w:eastAsia="宋体" w:cs="宋体"/>
                <w:i/>
                <w:iCs/>
                <w:color w:val="000000"/>
                <w:kern w:val="0"/>
                <w:sz w:val="18"/>
                <w:szCs w:val="18"/>
              </w:rPr>
              <w:t>j</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21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222"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47" w:type="dxa"/>
            <w:tcBorders>
              <w:tl2br w:val="nil"/>
              <w:tr2bl w:val="nil"/>
            </w:tcBorders>
            <w:shd w:val="clear" w:color="auto" w:fill="auto"/>
            <w:vAlign w:val="center"/>
          </w:tcPr>
          <w:p>
            <w:pPr>
              <w:widowControl/>
              <w:textAlignment w:val="center"/>
              <w:rPr>
                <w:rFonts w:ascii="宋体" w:hAnsi="宋体" w:eastAsia="宋体" w:cs="宋体"/>
                <w:color w:val="000000"/>
                <w:szCs w:val="21"/>
              </w:rPr>
            </w:pPr>
            <w:r>
              <w:rPr>
                <w:rStyle w:val="22"/>
                <w:rFonts w:hint="default"/>
              </w:rPr>
              <w:t>s</w:t>
            </w:r>
            <w:r>
              <w:rPr>
                <w:rStyle w:val="21"/>
                <w:rFonts w:hint="default"/>
              </w:rPr>
              <w:t xml:space="preserve">max </w:t>
            </w:r>
            <w:r>
              <w:rPr>
                <w:rStyle w:val="23"/>
                <w:rFonts w:hint="default"/>
              </w:rPr>
              <w:t>实验室</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21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222"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47" w:type="dxa"/>
            <w:tcBorders>
              <w:tl2br w:val="nil"/>
              <w:tr2bl w:val="nil"/>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t>
            </w:r>
            <w:r>
              <w:rPr>
                <w:rStyle w:val="21"/>
                <w:rFonts w:hint="default"/>
              </w:rPr>
              <w:t xml:space="preserve">max </w:t>
            </w:r>
            <w:r>
              <w:rPr>
                <w:rStyle w:val="23"/>
                <w:rFonts w:hint="default"/>
              </w:rPr>
              <w:t>值</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0.100625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0.143655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0.244143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0.169923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0.218602 </w:t>
            </w:r>
          </w:p>
        </w:tc>
        <w:tc>
          <w:tcPr>
            <w:tcW w:w="121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0.189631 </w:t>
            </w:r>
          </w:p>
        </w:tc>
        <w:tc>
          <w:tcPr>
            <w:tcW w:w="1222"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0.237630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Σs</w:t>
            </w:r>
            <w:r>
              <w:rPr>
                <w:rFonts w:hint="eastAsia" w:ascii="宋体" w:hAnsi="宋体" w:eastAsia="宋体" w:cs="宋体"/>
                <w:color w:val="000000"/>
                <w:kern w:val="0"/>
                <w:sz w:val="18"/>
                <w:szCs w:val="18"/>
                <w:vertAlign w:val="superscript"/>
              </w:rPr>
              <w:t>2</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0.031183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0.078755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0.176834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0.106516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0.147571 </w:t>
            </w:r>
          </w:p>
        </w:tc>
        <w:tc>
          <w:tcPr>
            <w:tcW w:w="121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0.151791 </w:t>
            </w:r>
          </w:p>
        </w:tc>
        <w:tc>
          <w:tcPr>
            <w:tcW w:w="1222"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0.191668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0.3247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0.2620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0.3371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0.2711 </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0.3238 </w:t>
            </w:r>
          </w:p>
        </w:tc>
        <w:tc>
          <w:tcPr>
            <w:tcW w:w="1219" w:type="dxa"/>
            <w:tcBorders>
              <w:tl2br w:val="nil"/>
              <w:tr2bl w:val="nil"/>
            </w:tcBorders>
            <w:shd w:val="clear" w:color="auto" w:fill="auto"/>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0.2369 </w:t>
            </w:r>
          </w:p>
        </w:tc>
        <w:tc>
          <w:tcPr>
            <w:tcW w:w="1222"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0.2946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4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检验结果</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歧离值</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歧离值</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7"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歧离值</w:t>
            </w:r>
          </w:p>
        </w:tc>
        <w:tc>
          <w:tcPr>
            <w:tcW w:w="121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22"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723" w:type="dxa"/>
            <w:gridSpan w:val="8"/>
            <w:tcBorders>
              <w:tl2br w:val="nil"/>
              <w:tr2bl w:val="nil"/>
            </w:tcBorders>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实验室数 p =7，n =11，临界值C(0.01)=0.3617，临界C(0.05)=0.3154。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723" w:type="dxa"/>
            <w:gridSpan w:val="8"/>
            <w:tcBorders>
              <w:tl2br w:val="nil"/>
              <w:tr2bl w:val="nil"/>
            </w:tcBorders>
            <w:shd w:val="clear" w:color="auto" w:fill="auto"/>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检验表明实验室2水平1的一个单元、实验室7水平3、5的一个单元可以看作是歧离值。该歧离值仍然参与后续计算。</w:t>
            </w:r>
          </w:p>
        </w:tc>
      </w:tr>
    </w:tbl>
    <w:p/>
    <w:p>
      <w:pPr>
        <w:jc w:val="center"/>
      </w:pPr>
      <w:r>
        <w:rPr>
          <w:rFonts w:hint="eastAsia"/>
          <w:szCs w:val="21"/>
        </w:rPr>
        <w:t>表A.5</w:t>
      </w:r>
      <w:r>
        <w:rPr>
          <w:szCs w:val="21"/>
        </w:rPr>
        <w:t xml:space="preserve">  </w:t>
      </w:r>
      <w:r>
        <w:rPr>
          <w:rFonts w:hint="eastAsia"/>
          <w:szCs w:val="21"/>
        </w:rPr>
        <w:t>单元平均值的格拉布斯检验</w:t>
      </w:r>
    </w:p>
    <w:tbl>
      <w:tblPr>
        <w:tblStyle w:val="8"/>
        <w:tblW w:w="972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1209"/>
        <w:gridCol w:w="1209"/>
        <w:gridCol w:w="1209"/>
        <w:gridCol w:w="1209"/>
        <w:gridCol w:w="1209"/>
        <w:gridCol w:w="1209"/>
        <w:gridCol w:w="121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水平</w:t>
            </w:r>
            <w:r>
              <w:rPr>
                <w:rFonts w:hint="eastAsia" w:ascii="宋体" w:hAnsi="宋体" w:eastAsia="宋体" w:cs="宋体"/>
                <w:i/>
                <w:iCs/>
                <w:color w:val="000000"/>
                <w:kern w:val="0"/>
                <w:sz w:val="18"/>
                <w:szCs w:val="18"/>
              </w:rPr>
              <w:t>j</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20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2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总平均值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7.0892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27.4363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35.4499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56.9005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66.1584 </w:t>
            </w:r>
          </w:p>
        </w:tc>
        <w:tc>
          <w:tcPr>
            <w:tcW w:w="120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74.7493 </w:t>
            </w:r>
          </w:p>
        </w:tc>
        <w:tc>
          <w:tcPr>
            <w:tcW w:w="12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87.6313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总标准差</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0.117465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0.096694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0.153847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0.254191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0.214379 </w:t>
            </w:r>
          </w:p>
        </w:tc>
        <w:tc>
          <w:tcPr>
            <w:tcW w:w="120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0.213924 </w:t>
            </w:r>
          </w:p>
        </w:tc>
        <w:tc>
          <w:tcPr>
            <w:tcW w:w="12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0.224005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最大均值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7.3205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27.5715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35.7246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57.3925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66.4339 </w:t>
            </w:r>
          </w:p>
        </w:tc>
        <w:tc>
          <w:tcPr>
            <w:tcW w:w="120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75.1434 </w:t>
            </w:r>
          </w:p>
        </w:tc>
        <w:tc>
          <w:tcPr>
            <w:tcW w:w="12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87.8922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最小均值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6.9331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27.2926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35.2867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56.6896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65.8027 </w:t>
            </w:r>
          </w:p>
        </w:tc>
        <w:tc>
          <w:tcPr>
            <w:tcW w:w="1209"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74.4905 </w:t>
            </w:r>
          </w:p>
        </w:tc>
        <w:tc>
          <w:tcPr>
            <w:tcW w:w="12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87.3130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w:t>
            </w:r>
            <w:r>
              <w:rPr>
                <w:rFonts w:hint="eastAsia" w:ascii="宋体" w:hAnsi="宋体" w:eastAsia="宋体" w:cs="宋体"/>
                <w:color w:val="000000"/>
                <w:kern w:val="0"/>
                <w:sz w:val="18"/>
                <w:szCs w:val="18"/>
                <w:vertAlign w:val="subscript"/>
              </w:rPr>
              <w:t>max</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1.969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1.398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1.786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1.936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1.285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1.842 </w:t>
            </w:r>
          </w:p>
        </w:tc>
        <w:tc>
          <w:tcPr>
            <w:tcW w:w="1210"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1.165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w:t>
            </w:r>
            <w:r>
              <w:rPr>
                <w:rFonts w:hint="eastAsia" w:ascii="宋体" w:hAnsi="宋体" w:eastAsia="宋体" w:cs="宋体"/>
                <w:color w:val="000000"/>
                <w:kern w:val="0"/>
                <w:sz w:val="18"/>
                <w:szCs w:val="18"/>
                <w:vertAlign w:val="subscript"/>
              </w:rPr>
              <w:t>min</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1.329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1.486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1.061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0.829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1.659 </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1.210 </w:t>
            </w:r>
          </w:p>
        </w:tc>
        <w:tc>
          <w:tcPr>
            <w:tcW w:w="1210"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1.421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检验结果</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0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c>
          <w:tcPr>
            <w:tcW w:w="1210"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正确值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59" w:type="dxa"/>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G临界值</w:t>
            </w:r>
          </w:p>
        </w:tc>
        <w:tc>
          <w:tcPr>
            <w:tcW w:w="8464" w:type="dxa"/>
            <w:gridSpan w:val="7"/>
            <w:tcBorders>
              <w:tl2br w:val="nil"/>
              <w:tr2bl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实验室数 p =7，临界值G(0.01)=2.139，临界G(0.05)=2.020。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9723" w:type="dxa"/>
            <w:gridSpan w:val="8"/>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检验表明各实验室单元平均值没有单个的歧离值或离群值。</w:t>
            </w:r>
          </w:p>
        </w:tc>
      </w:tr>
    </w:tbl>
    <w:p>
      <w:pPr>
        <w:rPr>
          <w:szCs w:val="21"/>
        </w:rPr>
      </w:pPr>
    </w:p>
    <w:p>
      <w:pPr>
        <w:rPr>
          <w:szCs w:val="21"/>
        </w:rPr>
      </w:pPr>
    </w:p>
    <w:p>
      <w:pPr>
        <w:numPr>
          <w:ilvl w:val="0"/>
          <w:numId w:val="23"/>
        </w:numPr>
        <w:rPr>
          <w:rFonts w:ascii="黑体" w:hAnsi="黑体" w:eastAsia="黑体"/>
          <w:szCs w:val="21"/>
        </w:rPr>
      </w:pPr>
      <w:r>
        <w:rPr>
          <w:rFonts w:hint="eastAsia" w:ascii="黑体" w:hAnsi="黑体" w:eastAsia="黑体"/>
          <w:szCs w:val="21"/>
        </w:rPr>
        <w:t>Sr、SR、r与R值的计算</w:t>
      </w:r>
    </w:p>
    <w:p>
      <w:pPr>
        <w:rPr>
          <w:rFonts w:ascii="黑体" w:hAnsi="黑体" w:eastAsia="黑体"/>
          <w:szCs w:val="21"/>
        </w:rPr>
      </w:pPr>
    </w:p>
    <w:p>
      <w:pPr>
        <w:jc w:val="center"/>
      </w:pPr>
      <w:r>
        <w:rPr>
          <w:rFonts w:hint="eastAsia"/>
          <w:szCs w:val="21"/>
        </w:rPr>
        <w:t>表A.6</w:t>
      </w:r>
      <w:r>
        <w:rPr>
          <w:szCs w:val="21"/>
        </w:rPr>
        <w:t xml:space="preserve">  </w:t>
      </w:r>
      <w:r>
        <w:rPr>
          <w:rFonts w:hint="eastAsia"/>
          <w:szCs w:val="21"/>
        </w:rPr>
        <w:t>精密度数据的计算</w:t>
      </w:r>
    </w:p>
    <w:tbl>
      <w:tblPr>
        <w:tblStyle w:val="9"/>
        <w:tblW w:w="97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15"/>
        <w:gridCol w:w="1215"/>
        <w:gridCol w:w="1215"/>
        <w:gridCol w:w="1215"/>
        <w:gridCol w:w="1215"/>
        <w:gridCol w:w="1215"/>
        <w:gridCol w:w="1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水平</w:t>
            </w:r>
            <w:r>
              <w:rPr>
                <w:rFonts w:hint="eastAsia" w:ascii="宋体" w:hAnsi="宋体" w:eastAsia="宋体" w:cs="宋体"/>
                <w:i/>
                <w:iCs/>
                <w:kern w:val="0"/>
                <w:sz w:val="18"/>
                <w:szCs w:val="18"/>
              </w:rPr>
              <w:t>j</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21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总平均值</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7.0892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27.4363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35.4499 </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56.9005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66.1584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74.7493 </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87.6313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Cs w:val="21"/>
                <w:vertAlign w:val="subscript"/>
              </w:rPr>
            </w:pPr>
            <w:r>
              <w:rPr>
                <w:rFonts w:hint="eastAsia" w:ascii="宋体" w:hAnsi="宋体" w:cs="宋体"/>
                <w:sz w:val="18"/>
                <w:szCs w:val="18"/>
              </w:rPr>
              <w:t>T</w:t>
            </w:r>
            <w:r>
              <w:rPr>
                <w:rFonts w:hint="eastAsia" w:ascii="宋体" w:hAnsi="宋体" w:cs="宋体"/>
                <w:sz w:val="18"/>
                <w:szCs w:val="18"/>
                <w:vertAlign w:val="subscript"/>
              </w:rPr>
              <w:t>1</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545.8690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2112.5980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2729.6430 </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4381.3360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5094.1970 </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 xml:space="preserve">5755.6970 </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6747.6070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eastAsia="宋体" w:cs="宋体"/>
                <w:szCs w:val="21"/>
                <w:vertAlign w:val="subscript"/>
              </w:rPr>
            </w:pPr>
            <w:r>
              <w:rPr>
                <w:rFonts w:hint="eastAsia" w:ascii="宋体" w:hAnsi="宋体" w:cs="宋体"/>
                <w:sz w:val="18"/>
                <w:szCs w:val="18"/>
              </w:rPr>
              <w:t>T</w:t>
            </w:r>
            <w:r>
              <w:rPr>
                <w:rFonts w:hint="eastAsia" w:ascii="宋体" w:hAnsi="宋体" w:cs="宋体"/>
                <w:sz w:val="18"/>
                <w:szCs w:val="18"/>
                <w:vertAlign w:val="subscript"/>
              </w:rPr>
              <w:t>2</w:t>
            </w:r>
          </w:p>
        </w:tc>
        <w:tc>
          <w:tcPr>
            <w:tcW w:w="1215" w:type="dxa"/>
            <w:tcBorders>
              <w:tl2br w:val="nil"/>
              <w:tr2bl w:val="nil"/>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3.87069E+03</w:t>
            </w:r>
          </w:p>
        </w:tc>
        <w:tc>
          <w:tcPr>
            <w:tcW w:w="1215" w:type="dxa"/>
            <w:tcBorders>
              <w:tl2br w:val="nil"/>
              <w:tr2bl w:val="nil"/>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5.79626E+04</w:t>
            </w:r>
          </w:p>
        </w:tc>
        <w:tc>
          <w:tcPr>
            <w:tcW w:w="1215" w:type="dxa"/>
            <w:tcBorders>
              <w:tl2br w:val="nil"/>
              <w:tr2bl w:val="nil"/>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9.67672E+04</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2.49304E+05</w:t>
            </w:r>
          </w:p>
        </w:tc>
        <w:tc>
          <w:tcPr>
            <w:tcW w:w="1215" w:type="dxa"/>
            <w:tcBorders>
              <w:tl2br w:val="nil"/>
              <w:tr2bl w:val="nil"/>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3.37027E+05</w:t>
            </w:r>
          </w:p>
        </w:tc>
        <w:tc>
          <w:tcPr>
            <w:tcW w:w="1215" w:type="dxa"/>
            <w:tcBorders>
              <w:tl2br w:val="nil"/>
              <w:tr2bl w:val="nil"/>
            </w:tcBorders>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18"/>
                <w:szCs w:val="18"/>
              </w:rPr>
              <w:t>4.30237E+05</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5.91305E+05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Times New Roman" w:hAnsi="Times New Roman" w:eastAsia="宋体" w:cs="Times New Roman"/>
                <w:szCs w:val="21"/>
                <w:vertAlign w:val="subscript"/>
              </w:rPr>
            </w:pPr>
            <w:r>
              <w:rPr>
                <w:rFonts w:hint="eastAsia" w:ascii="宋体" w:hAnsi="宋体" w:cs="宋体"/>
                <w:sz w:val="18"/>
                <w:szCs w:val="18"/>
              </w:rPr>
              <w:t>T</w:t>
            </w:r>
            <w:r>
              <w:rPr>
                <w:rFonts w:hint="eastAsia" w:ascii="宋体" w:hAnsi="宋体" w:cs="宋体"/>
                <w:sz w:val="18"/>
                <w:szCs w:val="18"/>
                <w:vertAlign w:val="subscript"/>
              </w:rPr>
              <w:t>3</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77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77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77</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77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77</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vertAlign w:val="subscript"/>
              </w:rPr>
            </w:pPr>
            <w:r>
              <w:rPr>
                <w:rFonts w:hint="eastAsia" w:ascii="宋体" w:hAnsi="宋体" w:cs="宋体"/>
                <w:sz w:val="18"/>
                <w:szCs w:val="18"/>
              </w:rPr>
              <w:t>T</w:t>
            </w:r>
            <w:r>
              <w:rPr>
                <w:rFonts w:hint="eastAsia" w:ascii="宋体" w:hAnsi="宋体" w:cs="宋体"/>
                <w:sz w:val="18"/>
                <w:szCs w:val="18"/>
                <w:vertAlign w:val="subscript"/>
              </w:rPr>
              <w:t>4</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847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847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847</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847</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847</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vertAlign w:val="subscript"/>
              </w:rPr>
            </w:pPr>
            <w:r>
              <w:rPr>
                <w:rFonts w:hint="eastAsia" w:ascii="宋体" w:hAnsi="宋体" w:cs="宋体"/>
                <w:sz w:val="18"/>
                <w:szCs w:val="18"/>
              </w:rPr>
              <w:t>T</w:t>
            </w:r>
            <w:r>
              <w:rPr>
                <w:rFonts w:hint="eastAsia" w:ascii="宋体" w:hAnsi="宋体" w:cs="宋体"/>
                <w:sz w:val="18"/>
                <w:szCs w:val="18"/>
                <w:vertAlign w:val="subscript"/>
              </w:rPr>
              <w:t>5</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0.311828182</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0.787551091</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1.768337636</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1.065159818</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1.475708</w:t>
            </w:r>
          </w:p>
        </w:tc>
        <w:tc>
          <w:tcPr>
            <w:tcW w:w="1215" w:type="dxa"/>
            <w:tcBorders>
              <w:tl2br w:val="nil"/>
              <w:tr2bl w:val="nil"/>
            </w:tcBorders>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rPr>
              <w:t>1.517909455</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1.916675091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p</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7</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7</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vertAlign w:val="subscript"/>
              </w:rPr>
            </w:pPr>
            <w:r>
              <w:rPr>
                <w:rFonts w:hint="eastAsia" w:ascii="宋体" w:hAnsi="宋体" w:cs="宋体"/>
                <w:sz w:val="18"/>
                <w:szCs w:val="18"/>
              </w:rPr>
              <w:t>s</w:t>
            </w:r>
            <w:r>
              <w:rPr>
                <w:rFonts w:hint="eastAsia" w:ascii="宋体" w:hAnsi="宋体" w:cs="宋体"/>
                <w:sz w:val="18"/>
                <w:szCs w:val="18"/>
                <w:vertAlign w:val="subscript"/>
              </w:rPr>
              <w:t>r</w:t>
            </w:r>
            <w:r>
              <w:rPr>
                <w:rFonts w:hint="eastAsia" w:ascii="宋体" w:hAnsi="宋体" w:cs="宋体"/>
                <w:sz w:val="18"/>
                <w:szCs w:val="18"/>
                <w:vertAlign w:val="superscript"/>
              </w:rPr>
              <w:t>2</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0.004454688</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0.01125073</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0.025261966</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0.015216569</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0.021081543</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0.021684421</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0.027381073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w:t>
            </w:r>
            <w:r>
              <w:rPr>
                <w:rFonts w:hint="eastAsia" w:ascii="宋体" w:hAnsi="宋体" w:cs="宋体"/>
                <w:sz w:val="18"/>
                <w:szCs w:val="18"/>
                <w:vertAlign w:val="subscript"/>
              </w:rPr>
              <w:t>L</w:t>
            </w:r>
            <w:r>
              <w:rPr>
                <w:rFonts w:hint="eastAsia" w:ascii="宋体" w:hAnsi="宋体" w:cs="宋体"/>
                <w:sz w:val="18"/>
                <w:szCs w:val="18"/>
                <w:vertAlign w:val="superscript"/>
              </w:rPr>
              <w:t>2</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0.013393127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0.008326845</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0.021372499</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0.063229726</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0.044041928</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0.043792008</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0.047689141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w:t>
            </w:r>
            <w:r>
              <w:rPr>
                <w:rFonts w:hint="eastAsia" w:ascii="宋体" w:hAnsi="宋体" w:cs="宋体"/>
                <w:sz w:val="18"/>
                <w:szCs w:val="18"/>
                <w:vertAlign w:val="subscript"/>
              </w:rPr>
              <w:t>R</w:t>
            </w:r>
            <w:r>
              <w:rPr>
                <w:rFonts w:hint="eastAsia" w:ascii="宋体" w:hAnsi="宋体" w:cs="宋体"/>
                <w:sz w:val="18"/>
                <w:szCs w:val="18"/>
                <w:vertAlign w:val="superscript"/>
              </w:rPr>
              <w:t>2</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0.017847815</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0.019577575</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0.046634465</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0.078446295</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0.065123471</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0.065476429</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0.075070213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w:t>
            </w:r>
            <w:r>
              <w:rPr>
                <w:rFonts w:hint="eastAsia" w:ascii="宋体" w:hAnsi="宋体" w:cs="宋体"/>
                <w:sz w:val="18"/>
                <w:szCs w:val="18"/>
                <w:vertAlign w:val="subscript"/>
              </w:rPr>
              <w:t>r</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0.066743451</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0.106069458</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0.158940134</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0.123355457</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0.145194844</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0.14725631</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0.165472272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w:t>
            </w:r>
            <w:r>
              <w:rPr>
                <w:rFonts w:hint="eastAsia" w:ascii="宋体" w:hAnsi="宋体" w:cs="宋体"/>
                <w:sz w:val="18"/>
                <w:szCs w:val="18"/>
                <w:vertAlign w:val="subscript"/>
              </w:rPr>
              <w:t>R</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0.13360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0.13992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0.21595 </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0.28008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0.25519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0.25588 </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0.27399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r</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0.18688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0.29699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0.44503 </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0.34540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0.40655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0.41232 </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0.46332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R</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0.37407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0.39178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0.60466 </w:t>
            </w:r>
          </w:p>
        </w:tc>
        <w:tc>
          <w:tcPr>
            <w:tcW w:w="1215"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0.78423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0.71454 </w:t>
            </w:r>
          </w:p>
        </w:tc>
        <w:tc>
          <w:tcPr>
            <w:tcW w:w="1215" w:type="dxa"/>
            <w:tcBorders>
              <w:tl2br w:val="nil"/>
              <w:tr2bl w:val="nil"/>
            </w:tcBorders>
            <w:vAlign w:val="center"/>
          </w:tcPr>
          <w:p>
            <w:pPr>
              <w:widowControl/>
              <w:jc w:val="center"/>
              <w:textAlignment w:val="center"/>
              <w:rPr>
                <w:rFonts w:ascii="宋体" w:hAnsi="宋体" w:cs="宋体"/>
                <w:sz w:val="18"/>
                <w:szCs w:val="18"/>
              </w:rPr>
            </w:pPr>
            <w:r>
              <w:rPr>
                <w:rFonts w:hint="eastAsia" w:ascii="宋体" w:hAnsi="宋体" w:eastAsia="宋体" w:cs="宋体"/>
                <w:color w:val="000000"/>
                <w:kern w:val="0"/>
                <w:sz w:val="18"/>
                <w:szCs w:val="18"/>
              </w:rPr>
              <w:t xml:space="preserve">0.71647 </w:t>
            </w:r>
          </w:p>
        </w:tc>
        <w:tc>
          <w:tcPr>
            <w:tcW w:w="1218" w:type="dxa"/>
            <w:tcBorders>
              <w:tl2br w:val="nil"/>
              <w:tr2bl w:val="nil"/>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0.76717 </w:t>
            </w:r>
          </w:p>
        </w:tc>
      </w:tr>
    </w:tbl>
    <w:p/>
    <w:p/>
    <w:p/>
    <w:p/>
    <w:p/>
    <w:p/>
    <w:p/>
    <w:p/>
    <w:p/>
    <w:p/>
    <w:p/>
    <w:p/>
    <w:p/>
    <w:p/>
    <w:p/>
    <w:p/>
    <w:p/>
    <w:p/>
    <w:p/>
    <w:p/>
    <w:p/>
    <w:p/>
    <w:p/>
    <w:p/>
    <w:p/>
    <w:sectPr>
      <w:footerReference r:id="rId10" w:type="default"/>
      <w:footerReference r:id="rId11" w:type="even"/>
      <w:pgSz w:w="11906" w:h="16838"/>
      <w:pgMar w:top="1134" w:right="1077" w:bottom="567" w:left="1077" w:header="851" w:footer="510" w:gutter="283"/>
      <w:pgNumType w:fmt="numberInDash" w:start="2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v:textbox>
        </v:shape>
      </w:pict>
    </w: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9" o:spid="_x0000_s409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- 18 -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w:pict>
        <v:shape id="_x0000_s4100" o:spid="_x0000_s410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III</w:t>
                </w:r>
                <w:r>
                  <w:rPr>
                    <w:rFonts w:hint="eastAsia"/>
                    <w:sz w:val="18"/>
                  </w:rPr>
                  <w:fldChar w:fldCharType="end"/>
                </w:r>
              </w:p>
            </w:txbxContent>
          </v:textbox>
        </v:shape>
      </w:pict>
    </w:r>
    <w:r>
      <w:pict>
        <v:shape id="_x0000_s4101" o:spid="_x0000_s410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2" o:spid="_x0000_s4102"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w:pict>
        <v:shape id="_x0000_s4103" o:spid="_x0000_s4103"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v:textbox>
        </v:shape>
      </w:pict>
    </w:r>
    <w:r>
      <w:pict>
        <v:shape id="_x0000_s4104" o:spid="_x0000_s4104"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5" o:spid="_x0000_s4105"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865"/>
        <w:tab w:val="clear" w:pos="4153"/>
      </w:tabs>
    </w:pPr>
    <w:r>
      <w:pict>
        <v:shape id="_x0000_s4106" o:spid="_x0000_s410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r>
      <w:pict>
        <v:shape id="_x0000_s4107" o:spid="_x0000_s4107"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108" o:spid="_x0000_s410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26F5E"/>
    <w:multiLevelType w:val="singleLevel"/>
    <w:tmpl w:val="8D026F5E"/>
    <w:lvl w:ilvl="0" w:tentative="0">
      <w:start w:val="2"/>
      <w:numFmt w:val="decimal"/>
      <w:suff w:val="nothing"/>
      <w:lvlText w:val="%1、"/>
      <w:lvlJc w:val="left"/>
    </w:lvl>
  </w:abstractNum>
  <w:abstractNum w:abstractNumId="1">
    <w:nsid w:val="93AA2CF2"/>
    <w:multiLevelType w:val="singleLevel"/>
    <w:tmpl w:val="93AA2CF2"/>
    <w:lvl w:ilvl="0" w:tentative="0">
      <w:start w:val="1"/>
      <w:numFmt w:val="decimal"/>
      <w:suff w:val="nothing"/>
      <w:lvlText w:val="%1）"/>
      <w:lvlJc w:val="left"/>
    </w:lvl>
  </w:abstractNum>
  <w:abstractNum w:abstractNumId="2">
    <w:nsid w:val="9E0197F4"/>
    <w:multiLevelType w:val="singleLevel"/>
    <w:tmpl w:val="9E0197F4"/>
    <w:lvl w:ilvl="0" w:tentative="0">
      <w:start w:val="1"/>
      <w:numFmt w:val="decimal"/>
      <w:suff w:val="nothing"/>
      <w:lvlText w:val="%1、"/>
      <w:lvlJc w:val="left"/>
    </w:lvl>
  </w:abstractNum>
  <w:abstractNum w:abstractNumId="3">
    <w:nsid w:val="B06444B7"/>
    <w:multiLevelType w:val="singleLevel"/>
    <w:tmpl w:val="B06444B7"/>
    <w:lvl w:ilvl="0" w:tentative="0">
      <w:start w:val="1"/>
      <w:numFmt w:val="decimal"/>
      <w:suff w:val="nothing"/>
      <w:lvlText w:val="%1、"/>
      <w:lvlJc w:val="left"/>
    </w:lvl>
  </w:abstractNum>
  <w:abstractNum w:abstractNumId="4">
    <w:nsid w:val="BDB74AF1"/>
    <w:multiLevelType w:val="singleLevel"/>
    <w:tmpl w:val="BDB74AF1"/>
    <w:lvl w:ilvl="0" w:tentative="0">
      <w:start w:val="1"/>
      <w:numFmt w:val="decimal"/>
      <w:suff w:val="nothing"/>
      <w:lvlText w:val="%1）"/>
      <w:lvlJc w:val="left"/>
    </w:lvl>
  </w:abstractNum>
  <w:abstractNum w:abstractNumId="5">
    <w:nsid w:val="C1D6176C"/>
    <w:multiLevelType w:val="singleLevel"/>
    <w:tmpl w:val="C1D6176C"/>
    <w:lvl w:ilvl="0" w:tentative="0">
      <w:start w:val="2"/>
      <w:numFmt w:val="upperLetter"/>
      <w:suff w:val="nothing"/>
      <w:lvlText w:val="%1、"/>
      <w:lvlJc w:val="left"/>
    </w:lvl>
  </w:abstractNum>
  <w:abstractNum w:abstractNumId="6">
    <w:nsid w:val="C3F079AC"/>
    <w:multiLevelType w:val="singleLevel"/>
    <w:tmpl w:val="C3F079AC"/>
    <w:lvl w:ilvl="0" w:tentative="0">
      <w:start w:val="3"/>
      <w:numFmt w:val="upperLetter"/>
      <w:suff w:val="nothing"/>
      <w:lvlText w:val="%1、"/>
      <w:lvlJc w:val="left"/>
    </w:lvl>
  </w:abstractNum>
  <w:abstractNum w:abstractNumId="7">
    <w:nsid w:val="C73F3D86"/>
    <w:multiLevelType w:val="singleLevel"/>
    <w:tmpl w:val="C73F3D86"/>
    <w:lvl w:ilvl="0" w:tentative="0">
      <w:start w:val="1"/>
      <w:numFmt w:val="decimal"/>
      <w:suff w:val="nothing"/>
      <w:lvlText w:val="%1）"/>
      <w:lvlJc w:val="left"/>
    </w:lvl>
  </w:abstractNum>
  <w:abstractNum w:abstractNumId="8">
    <w:nsid w:val="C8481066"/>
    <w:multiLevelType w:val="singleLevel"/>
    <w:tmpl w:val="C8481066"/>
    <w:lvl w:ilvl="0" w:tentative="0">
      <w:start w:val="1"/>
      <w:numFmt w:val="decimal"/>
      <w:suff w:val="nothing"/>
      <w:lvlText w:val="%1、"/>
      <w:lvlJc w:val="left"/>
    </w:lvl>
  </w:abstractNum>
  <w:abstractNum w:abstractNumId="9">
    <w:nsid w:val="D15526F0"/>
    <w:multiLevelType w:val="singleLevel"/>
    <w:tmpl w:val="D15526F0"/>
    <w:lvl w:ilvl="0" w:tentative="0">
      <w:start w:val="1"/>
      <w:numFmt w:val="decimal"/>
      <w:suff w:val="nothing"/>
      <w:lvlText w:val="%1）"/>
      <w:lvlJc w:val="left"/>
      <w:pPr>
        <w:ind w:left="420" w:firstLine="0"/>
      </w:pPr>
    </w:lvl>
  </w:abstractNum>
  <w:abstractNum w:abstractNumId="10">
    <w:nsid w:val="DA5585D8"/>
    <w:multiLevelType w:val="singleLevel"/>
    <w:tmpl w:val="DA5585D8"/>
    <w:lvl w:ilvl="0" w:tentative="0">
      <w:start w:val="1"/>
      <w:numFmt w:val="decimal"/>
      <w:suff w:val="nothing"/>
      <w:lvlText w:val="%1）"/>
      <w:lvlJc w:val="left"/>
    </w:lvl>
  </w:abstractNum>
  <w:abstractNum w:abstractNumId="11">
    <w:nsid w:val="0A7ECE16"/>
    <w:multiLevelType w:val="singleLevel"/>
    <w:tmpl w:val="0A7ECE16"/>
    <w:lvl w:ilvl="0" w:tentative="0">
      <w:start w:val="1"/>
      <w:numFmt w:val="decimal"/>
      <w:suff w:val="nothing"/>
      <w:lvlText w:val="%1）"/>
      <w:lvlJc w:val="left"/>
    </w:lvl>
  </w:abstractNum>
  <w:abstractNum w:abstractNumId="12">
    <w:nsid w:val="1C408056"/>
    <w:multiLevelType w:val="singleLevel"/>
    <w:tmpl w:val="1C408056"/>
    <w:lvl w:ilvl="0" w:tentative="0">
      <w:start w:val="1"/>
      <w:numFmt w:val="decimal"/>
      <w:lvlText w:val="%1)"/>
      <w:lvlJc w:val="left"/>
      <w:pPr>
        <w:tabs>
          <w:tab w:val="left" w:pos="312"/>
        </w:tabs>
      </w:pPr>
    </w:lvl>
  </w:abstractNum>
  <w:abstractNum w:abstractNumId="13">
    <w:nsid w:val="36918DF9"/>
    <w:multiLevelType w:val="singleLevel"/>
    <w:tmpl w:val="36918DF9"/>
    <w:lvl w:ilvl="0" w:tentative="0">
      <w:start w:val="2"/>
      <w:numFmt w:val="upperLetter"/>
      <w:suff w:val="nothing"/>
      <w:lvlText w:val="%1、"/>
      <w:lvlJc w:val="left"/>
    </w:lvl>
  </w:abstractNum>
  <w:abstractNum w:abstractNumId="14">
    <w:nsid w:val="439FF931"/>
    <w:multiLevelType w:val="singleLevel"/>
    <w:tmpl w:val="439FF931"/>
    <w:lvl w:ilvl="0" w:tentative="0">
      <w:start w:val="1"/>
      <w:numFmt w:val="decimal"/>
      <w:suff w:val="nothing"/>
      <w:lvlText w:val="%1）"/>
      <w:lvlJc w:val="left"/>
    </w:lvl>
  </w:abstractNum>
  <w:abstractNum w:abstractNumId="15">
    <w:nsid w:val="43F059DB"/>
    <w:multiLevelType w:val="singleLevel"/>
    <w:tmpl w:val="43F059DB"/>
    <w:lvl w:ilvl="0" w:tentative="0">
      <w:start w:val="1"/>
      <w:numFmt w:val="decimal"/>
      <w:suff w:val="nothing"/>
      <w:lvlText w:val="%1、"/>
      <w:lvlJc w:val="left"/>
    </w:lvl>
  </w:abstractNum>
  <w:abstractNum w:abstractNumId="16">
    <w:nsid w:val="4678F895"/>
    <w:multiLevelType w:val="singleLevel"/>
    <w:tmpl w:val="4678F895"/>
    <w:lvl w:ilvl="0" w:tentative="0">
      <w:start w:val="1"/>
      <w:numFmt w:val="decimal"/>
      <w:suff w:val="nothing"/>
      <w:lvlText w:val="%1、"/>
      <w:lvlJc w:val="left"/>
    </w:lvl>
  </w:abstractNum>
  <w:abstractNum w:abstractNumId="17">
    <w:nsid w:val="58589AD4"/>
    <w:multiLevelType w:val="singleLevel"/>
    <w:tmpl w:val="58589AD4"/>
    <w:lvl w:ilvl="0" w:tentative="0">
      <w:start w:val="7"/>
      <w:numFmt w:val="chineseCounting"/>
      <w:suff w:val="nothing"/>
      <w:lvlText w:val="%1、"/>
      <w:lvlJc w:val="left"/>
      <w:rPr>
        <w:rFonts w:hint="eastAsia"/>
      </w:rPr>
    </w:lvl>
  </w:abstractNum>
  <w:abstractNum w:abstractNumId="18">
    <w:nsid w:val="5FCD5C2E"/>
    <w:multiLevelType w:val="singleLevel"/>
    <w:tmpl w:val="5FCD5C2E"/>
    <w:lvl w:ilvl="0" w:tentative="0">
      <w:start w:val="10"/>
      <w:numFmt w:val="chineseCounting"/>
      <w:suff w:val="nothing"/>
      <w:lvlText w:val="%1、"/>
      <w:lvlJc w:val="left"/>
      <w:rPr>
        <w:rFonts w:hint="eastAsia"/>
      </w:rPr>
    </w:lvl>
  </w:abstractNum>
  <w:abstractNum w:abstractNumId="19">
    <w:nsid w:val="66F00C1B"/>
    <w:multiLevelType w:val="singleLevel"/>
    <w:tmpl w:val="66F00C1B"/>
    <w:lvl w:ilvl="0" w:tentative="0">
      <w:start w:val="3"/>
      <w:numFmt w:val="chineseCounting"/>
      <w:suff w:val="nothing"/>
      <w:lvlText w:val="（%1）"/>
      <w:lvlJc w:val="left"/>
      <w:rPr>
        <w:rFonts w:hint="eastAsia"/>
      </w:rPr>
    </w:lvl>
  </w:abstractNum>
  <w:abstractNum w:abstractNumId="20">
    <w:nsid w:val="671D14DE"/>
    <w:multiLevelType w:val="singleLevel"/>
    <w:tmpl w:val="671D14DE"/>
    <w:lvl w:ilvl="0" w:tentative="0">
      <w:start w:val="3"/>
      <w:numFmt w:val="chineseCounting"/>
      <w:suff w:val="nothing"/>
      <w:lvlText w:val="%1、"/>
      <w:lvlJc w:val="left"/>
      <w:rPr>
        <w:rFonts w:hint="eastAsia"/>
      </w:rPr>
    </w:lvl>
  </w:abstractNum>
  <w:abstractNum w:abstractNumId="21">
    <w:nsid w:val="7093E81A"/>
    <w:multiLevelType w:val="singleLevel"/>
    <w:tmpl w:val="7093E81A"/>
    <w:lvl w:ilvl="0" w:tentative="0">
      <w:start w:val="4"/>
      <w:numFmt w:val="chineseCounting"/>
      <w:suff w:val="nothing"/>
      <w:lvlText w:val="%1、"/>
      <w:lvlJc w:val="left"/>
      <w:rPr>
        <w:rFonts w:hint="eastAsia"/>
      </w:rPr>
    </w:lvl>
  </w:abstractNum>
  <w:abstractNum w:abstractNumId="22">
    <w:nsid w:val="7DDB2500"/>
    <w:multiLevelType w:val="singleLevel"/>
    <w:tmpl w:val="7DDB2500"/>
    <w:lvl w:ilvl="0" w:tentative="0">
      <w:start w:val="1"/>
      <w:numFmt w:val="decimal"/>
      <w:suff w:val="nothing"/>
      <w:lvlText w:val="%1）"/>
      <w:lvlJc w:val="left"/>
    </w:lvl>
  </w:abstractNum>
  <w:num w:numId="1">
    <w:abstractNumId w:val="0"/>
  </w:num>
  <w:num w:numId="2">
    <w:abstractNumId w:val="19"/>
  </w:num>
  <w:num w:numId="3">
    <w:abstractNumId w:val="2"/>
  </w:num>
  <w:num w:numId="4">
    <w:abstractNumId w:val="3"/>
  </w:num>
  <w:num w:numId="5">
    <w:abstractNumId w:val="22"/>
  </w:num>
  <w:num w:numId="6">
    <w:abstractNumId w:val="6"/>
  </w:num>
  <w:num w:numId="7">
    <w:abstractNumId w:val="11"/>
  </w:num>
  <w:num w:numId="8">
    <w:abstractNumId w:val="13"/>
  </w:num>
  <w:num w:numId="9">
    <w:abstractNumId w:val="9"/>
  </w:num>
  <w:num w:numId="10">
    <w:abstractNumId w:val="4"/>
  </w:num>
  <w:num w:numId="11">
    <w:abstractNumId w:val="8"/>
  </w:num>
  <w:num w:numId="12">
    <w:abstractNumId w:val="14"/>
  </w:num>
  <w:num w:numId="13">
    <w:abstractNumId w:val="10"/>
  </w:num>
  <w:num w:numId="14">
    <w:abstractNumId w:val="1"/>
  </w:num>
  <w:num w:numId="15">
    <w:abstractNumId w:val="12"/>
  </w:num>
  <w:num w:numId="16">
    <w:abstractNumId w:val="20"/>
  </w:num>
  <w:num w:numId="17">
    <w:abstractNumId w:val="16"/>
  </w:num>
  <w:num w:numId="18">
    <w:abstractNumId w:val="7"/>
  </w:num>
  <w:num w:numId="19">
    <w:abstractNumId w:val="5"/>
  </w:num>
  <w:num w:numId="20">
    <w:abstractNumId w:val="21"/>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7"/>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1MjZjMTFkNzI5YjVjMmE5MzY4ODc1YmE3MjQ1MmQifQ=="/>
  </w:docVars>
  <w:rsids>
    <w:rsidRoot w:val="002574AF"/>
    <w:rsid w:val="00230FDA"/>
    <w:rsid w:val="002574AF"/>
    <w:rsid w:val="00330999"/>
    <w:rsid w:val="00363151"/>
    <w:rsid w:val="00444C9D"/>
    <w:rsid w:val="0053364D"/>
    <w:rsid w:val="00657C7E"/>
    <w:rsid w:val="00694780"/>
    <w:rsid w:val="00763C4C"/>
    <w:rsid w:val="007F3EF7"/>
    <w:rsid w:val="00826702"/>
    <w:rsid w:val="00833070"/>
    <w:rsid w:val="00835697"/>
    <w:rsid w:val="00866303"/>
    <w:rsid w:val="00CA7399"/>
    <w:rsid w:val="00CB14D7"/>
    <w:rsid w:val="00D61AA6"/>
    <w:rsid w:val="00D901FC"/>
    <w:rsid w:val="00E82B0A"/>
    <w:rsid w:val="00EE6DF9"/>
    <w:rsid w:val="01453AE5"/>
    <w:rsid w:val="015F3278"/>
    <w:rsid w:val="01893510"/>
    <w:rsid w:val="01DA2E72"/>
    <w:rsid w:val="020B32EE"/>
    <w:rsid w:val="02246372"/>
    <w:rsid w:val="02300B0A"/>
    <w:rsid w:val="02417EF3"/>
    <w:rsid w:val="027936AD"/>
    <w:rsid w:val="02B510FC"/>
    <w:rsid w:val="02CE2740"/>
    <w:rsid w:val="0313459B"/>
    <w:rsid w:val="03140887"/>
    <w:rsid w:val="035B5B2D"/>
    <w:rsid w:val="038A619C"/>
    <w:rsid w:val="03B62BA9"/>
    <w:rsid w:val="03F83C10"/>
    <w:rsid w:val="04323187"/>
    <w:rsid w:val="048A0AB7"/>
    <w:rsid w:val="05C603D6"/>
    <w:rsid w:val="05D8607A"/>
    <w:rsid w:val="05EC0D25"/>
    <w:rsid w:val="05EC4ABC"/>
    <w:rsid w:val="061E65E2"/>
    <w:rsid w:val="06303BC3"/>
    <w:rsid w:val="068A0095"/>
    <w:rsid w:val="06B932C9"/>
    <w:rsid w:val="06DF2582"/>
    <w:rsid w:val="06E23853"/>
    <w:rsid w:val="06F6037A"/>
    <w:rsid w:val="06FF6413"/>
    <w:rsid w:val="070E1A9D"/>
    <w:rsid w:val="0723112C"/>
    <w:rsid w:val="0774295E"/>
    <w:rsid w:val="078F3075"/>
    <w:rsid w:val="07E87E50"/>
    <w:rsid w:val="081203AF"/>
    <w:rsid w:val="082723B5"/>
    <w:rsid w:val="08331052"/>
    <w:rsid w:val="08406CE4"/>
    <w:rsid w:val="088A3845"/>
    <w:rsid w:val="08A75E12"/>
    <w:rsid w:val="08E56FC7"/>
    <w:rsid w:val="08E93645"/>
    <w:rsid w:val="090E1AFF"/>
    <w:rsid w:val="097E7E4B"/>
    <w:rsid w:val="09C474A0"/>
    <w:rsid w:val="0A0B2C36"/>
    <w:rsid w:val="0A0F7742"/>
    <w:rsid w:val="0A1B5678"/>
    <w:rsid w:val="0AD467EC"/>
    <w:rsid w:val="0AD83E0B"/>
    <w:rsid w:val="0AF85C2F"/>
    <w:rsid w:val="0B597BF9"/>
    <w:rsid w:val="0B95080F"/>
    <w:rsid w:val="0BBA4C88"/>
    <w:rsid w:val="0BD12AB6"/>
    <w:rsid w:val="0C0D41D2"/>
    <w:rsid w:val="0C1D1AC0"/>
    <w:rsid w:val="0C5163E4"/>
    <w:rsid w:val="0C7D5717"/>
    <w:rsid w:val="0CA1104D"/>
    <w:rsid w:val="0CA35BF8"/>
    <w:rsid w:val="0CBB260F"/>
    <w:rsid w:val="0CBC0AD6"/>
    <w:rsid w:val="0CC04897"/>
    <w:rsid w:val="0CE57E5A"/>
    <w:rsid w:val="0D440BDF"/>
    <w:rsid w:val="0DB70708"/>
    <w:rsid w:val="0DE146E9"/>
    <w:rsid w:val="0E09685D"/>
    <w:rsid w:val="0E102666"/>
    <w:rsid w:val="0E47456D"/>
    <w:rsid w:val="0E8843BD"/>
    <w:rsid w:val="0F347AE9"/>
    <w:rsid w:val="0F810380"/>
    <w:rsid w:val="0F8D0CDF"/>
    <w:rsid w:val="0FEE28BC"/>
    <w:rsid w:val="10066036"/>
    <w:rsid w:val="10416AF5"/>
    <w:rsid w:val="104D153B"/>
    <w:rsid w:val="105F36A1"/>
    <w:rsid w:val="109D1177"/>
    <w:rsid w:val="10C26AB6"/>
    <w:rsid w:val="10E12C3B"/>
    <w:rsid w:val="10E34DBA"/>
    <w:rsid w:val="110374FE"/>
    <w:rsid w:val="113773EB"/>
    <w:rsid w:val="11891BA8"/>
    <w:rsid w:val="11E160A5"/>
    <w:rsid w:val="121D32C5"/>
    <w:rsid w:val="125B2945"/>
    <w:rsid w:val="12690166"/>
    <w:rsid w:val="12C72419"/>
    <w:rsid w:val="12C815C7"/>
    <w:rsid w:val="130949BE"/>
    <w:rsid w:val="131D32A9"/>
    <w:rsid w:val="13272DD1"/>
    <w:rsid w:val="132D5DFD"/>
    <w:rsid w:val="13330F59"/>
    <w:rsid w:val="13602B0C"/>
    <w:rsid w:val="13CD4C78"/>
    <w:rsid w:val="13DD5D2E"/>
    <w:rsid w:val="1407341B"/>
    <w:rsid w:val="143477A4"/>
    <w:rsid w:val="14540F84"/>
    <w:rsid w:val="14A221C8"/>
    <w:rsid w:val="14ED282C"/>
    <w:rsid w:val="150737F9"/>
    <w:rsid w:val="153A2F69"/>
    <w:rsid w:val="15AF73DC"/>
    <w:rsid w:val="15DD64DB"/>
    <w:rsid w:val="162B642F"/>
    <w:rsid w:val="1684228A"/>
    <w:rsid w:val="168B7CC4"/>
    <w:rsid w:val="16B8765C"/>
    <w:rsid w:val="16DD381D"/>
    <w:rsid w:val="16E84DF6"/>
    <w:rsid w:val="16F8046F"/>
    <w:rsid w:val="175249AB"/>
    <w:rsid w:val="17605FD3"/>
    <w:rsid w:val="1781783B"/>
    <w:rsid w:val="1829540B"/>
    <w:rsid w:val="18360A65"/>
    <w:rsid w:val="18502EB3"/>
    <w:rsid w:val="18784BD8"/>
    <w:rsid w:val="191F27A2"/>
    <w:rsid w:val="19A30E80"/>
    <w:rsid w:val="19AE1610"/>
    <w:rsid w:val="19EA5493"/>
    <w:rsid w:val="1A147FD0"/>
    <w:rsid w:val="1A2E102C"/>
    <w:rsid w:val="1A654DB0"/>
    <w:rsid w:val="1A6A7BF0"/>
    <w:rsid w:val="1A9F7939"/>
    <w:rsid w:val="1AA3314D"/>
    <w:rsid w:val="1ADA2FC8"/>
    <w:rsid w:val="1B0B4DC8"/>
    <w:rsid w:val="1B4D6E54"/>
    <w:rsid w:val="1B5E59A7"/>
    <w:rsid w:val="1BA53AD8"/>
    <w:rsid w:val="1BB4137B"/>
    <w:rsid w:val="1C0C5B39"/>
    <w:rsid w:val="1C216CDF"/>
    <w:rsid w:val="1C576A3B"/>
    <w:rsid w:val="1CD238AE"/>
    <w:rsid w:val="1CFA27A7"/>
    <w:rsid w:val="1CFD11E7"/>
    <w:rsid w:val="1D133328"/>
    <w:rsid w:val="1D1F2509"/>
    <w:rsid w:val="1D3665C8"/>
    <w:rsid w:val="1D416A1E"/>
    <w:rsid w:val="1D6502DD"/>
    <w:rsid w:val="1D713FAA"/>
    <w:rsid w:val="1D7C1903"/>
    <w:rsid w:val="1DFE23AE"/>
    <w:rsid w:val="1E364E1C"/>
    <w:rsid w:val="1F02489B"/>
    <w:rsid w:val="1F182311"/>
    <w:rsid w:val="1F3B7C4B"/>
    <w:rsid w:val="1F81345C"/>
    <w:rsid w:val="1F871CB3"/>
    <w:rsid w:val="1F887F74"/>
    <w:rsid w:val="1FA17F4F"/>
    <w:rsid w:val="1FA93FCE"/>
    <w:rsid w:val="20325742"/>
    <w:rsid w:val="20932029"/>
    <w:rsid w:val="20D54ACF"/>
    <w:rsid w:val="2127208F"/>
    <w:rsid w:val="21894699"/>
    <w:rsid w:val="21BD1DBB"/>
    <w:rsid w:val="21E362B5"/>
    <w:rsid w:val="22044173"/>
    <w:rsid w:val="22225609"/>
    <w:rsid w:val="2250591D"/>
    <w:rsid w:val="2264268C"/>
    <w:rsid w:val="22706013"/>
    <w:rsid w:val="22813D29"/>
    <w:rsid w:val="22D402FC"/>
    <w:rsid w:val="22D464CE"/>
    <w:rsid w:val="23046156"/>
    <w:rsid w:val="2322488C"/>
    <w:rsid w:val="2361489C"/>
    <w:rsid w:val="236307BD"/>
    <w:rsid w:val="23A233E1"/>
    <w:rsid w:val="23A61C99"/>
    <w:rsid w:val="23BE4123"/>
    <w:rsid w:val="23F440B8"/>
    <w:rsid w:val="241419F5"/>
    <w:rsid w:val="24174945"/>
    <w:rsid w:val="244F2393"/>
    <w:rsid w:val="245A1ED5"/>
    <w:rsid w:val="24957D1A"/>
    <w:rsid w:val="24A02C5A"/>
    <w:rsid w:val="24AD5BFB"/>
    <w:rsid w:val="24BC77F0"/>
    <w:rsid w:val="24CA3F91"/>
    <w:rsid w:val="24F35F70"/>
    <w:rsid w:val="24F80D21"/>
    <w:rsid w:val="2538577A"/>
    <w:rsid w:val="25B563C3"/>
    <w:rsid w:val="25BA7FD3"/>
    <w:rsid w:val="25C8637B"/>
    <w:rsid w:val="267E5006"/>
    <w:rsid w:val="26BB7E81"/>
    <w:rsid w:val="26F20F70"/>
    <w:rsid w:val="26F876FE"/>
    <w:rsid w:val="275F4290"/>
    <w:rsid w:val="27636E27"/>
    <w:rsid w:val="27952750"/>
    <w:rsid w:val="281D373D"/>
    <w:rsid w:val="28292C10"/>
    <w:rsid w:val="28522ACE"/>
    <w:rsid w:val="28522C3C"/>
    <w:rsid w:val="28B303D3"/>
    <w:rsid w:val="28C76D25"/>
    <w:rsid w:val="29001E4B"/>
    <w:rsid w:val="29055A8B"/>
    <w:rsid w:val="29585AF1"/>
    <w:rsid w:val="29895146"/>
    <w:rsid w:val="29DC4747"/>
    <w:rsid w:val="29EF7C71"/>
    <w:rsid w:val="29F23E8A"/>
    <w:rsid w:val="2A78613D"/>
    <w:rsid w:val="2A981D7D"/>
    <w:rsid w:val="2AA75275"/>
    <w:rsid w:val="2AFF5F5F"/>
    <w:rsid w:val="2B2654FC"/>
    <w:rsid w:val="2B43483A"/>
    <w:rsid w:val="2B72511E"/>
    <w:rsid w:val="2B89252C"/>
    <w:rsid w:val="2B9D5DC8"/>
    <w:rsid w:val="2BC4188C"/>
    <w:rsid w:val="2BDC6D96"/>
    <w:rsid w:val="2BEA1763"/>
    <w:rsid w:val="2BEC467E"/>
    <w:rsid w:val="2C2F01FC"/>
    <w:rsid w:val="2CCE04E9"/>
    <w:rsid w:val="2CDB270B"/>
    <w:rsid w:val="2D426ED6"/>
    <w:rsid w:val="2D5C786C"/>
    <w:rsid w:val="2D7137E7"/>
    <w:rsid w:val="2D8022E9"/>
    <w:rsid w:val="2DAA11AF"/>
    <w:rsid w:val="2DF23CA5"/>
    <w:rsid w:val="2E0D6CD5"/>
    <w:rsid w:val="2E505D70"/>
    <w:rsid w:val="2E68356C"/>
    <w:rsid w:val="2EAE5EA6"/>
    <w:rsid w:val="2EDB5EF2"/>
    <w:rsid w:val="2EDC012A"/>
    <w:rsid w:val="2EF01C8D"/>
    <w:rsid w:val="2F162F3F"/>
    <w:rsid w:val="2F8A4467"/>
    <w:rsid w:val="30085C3A"/>
    <w:rsid w:val="302503E9"/>
    <w:rsid w:val="305B4E67"/>
    <w:rsid w:val="308517D7"/>
    <w:rsid w:val="309879D9"/>
    <w:rsid w:val="30A814C2"/>
    <w:rsid w:val="30BF531F"/>
    <w:rsid w:val="311C46D4"/>
    <w:rsid w:val="312E379A"/>
    <w:rsid w:val="31B15F26"/>
    <w:rsid w:val="31D36A30"/>
    <w:rsid w:val="322D7619"/>
    <w:rsid w:val="32473C73"/>
    <w:rsid w:val="32784B6B"/>
    <w:rsid w:val="32B34862"/>
    <w:rsid w:val="32D85923"/>
    <w:rsid w:val="32E35892"/>
    <w:rsid w:val="332C31B3"/>
    <w:rsid w:val="33522FC5"/>
    <w:rsid w:val="33681330"/>
    <w:rsid w:val="336D47A8"/>
    <w:rsid w:val="337D09BC"/>
    <w:rsid w:val="33CB3926"/>
    <w:rsid w:val="33D91C17"/>
    <w:rsid w:val="343B529E"/>
    <w:rsid w:val="347C78ED"/>
    <w:rsid w:val="34854BAB"/>
    <w:rsid w:val="3494603A"/>
    <w:rsid w:val="349857E3"/>
    <w:rsid w:val="34AF0EF0"/>
    <w:rsid w:val="34B20773"/>
    <w:rsid w:val="34CC7BD7"/>
    <w:rsid w:val="34CF6B76"/>
    <w:rsid w:val="34D73237"/>
    <w:rsid w:val="34D9245E"/>
    <w:rsid w:val="351277C9"/>
    <w:rsid w:val="351F2C4A"/>
    <w:rsid w:val="352358DF"/>
    <w:rsid w:val="35245903"/>
    <w:rsid w:val="352875C8"/>
    <w:rsid w:val="35942AFE"/>
    <w:rsid w:val="359C453B"/>
    <w:rsid w:val="35CF3466"/>
    <w:rsid w:val="35DB084C"/>
    <w:rsid w:val="361A111F"/>
    <w:rsid w:val="36310A97"/>
    <w:rsid w:val="3677781A"/>
    <w:rsid w:val="373F258B"/>
    <w:rsid w:val="37484BC3"/>
    <w:rsid w:val="375B480B"/>
    <w:rsid w:val="37A20A14"/>
    <w:rsid w:val="38057F00"/>
    <w:rsid w:val="388F3E44"/>
    <w:rsid w:val="38B741A0"/>
    <w:rsid w:val="38EE1CC0"/>
    <w:rsid w:val="39095A76"/>
    <w:rsid w:val="3985080C"/>
    <w:rsid w:val="39B44367"/>
    <w:rsid w:val="39DA1DA8"/>
    <w:rsid w:val="39F75643"/>
    <w:rsid w:val="3A36170F"/>
    <w:rsid w:val="3A420BDA"/>
    <w:rsid w:val="3A61529C"/>
    <w:rsid w:val="3A717476"/>
    <w:rsid w:val="3A7A36C5"/>
    <w:rsid w:val="3AC525AB"/>
    <w:rsid w:val="3ADD4D01"/>
    <w:rsid w:val="3B2343F8"/>
    <w:rsid w:val="3BAB464A"/>
    <w:rsid w:val="3BBA6F5D"/>
    <w:rsid w:val="3BF86338"/>
    <w:rsid w:val="3C036D24"/>
    <w:rsid w:val="3C0F2CAB"/>
    <w:rsid w:val="3C1D252A"/>
    <w:rsid w:val="3C5130BF"/>
    <w:rsid w:val="3C5F145A"/>
    <w:rsid w:val="3C7F004E"/>
    <w:rsid w:val="3C8E7E10"/>
    <w:rsid w:val="3C8F6E5B"/>
    <w:rsid w:val="3CA92A7D"/>
    <w:rsid w:val="3CAF47AB"/>
    <w:rsid w:val="3CBC53ED"/>
    <w:rsid w:val="3CCB3EE5"/>
    <w:rsid w:val="3CF90355"/>
    <w:rsid w:val="3D3D41A3"/>
    <w:rsid w:val="3DAC123A"/>
    <w:rsid w:val="3E4E25FE"/>
    <w:rsid w:val="3E993DB0"/>
    <w:rsid w:val="3E9F679D"/>
    <w:rsid w:val="3ED62120"/>
    <w:rsid w:val="3ED822E7"/>
    <w:rsid w:val="3EED7EF8"/>
    <w:rsid w:val="3F3279CC"/>
    <w:rsid w:val="3F6941CF"/>
    <w:rsid w:val="402019E5"/>
    <w:rsid w:val="40270402"/>
    <w:rsid w:val="403D5AA3"/>
    <w:rsid w:val="4052174C"/>
    <w:rsid w:val="407E705F"/>
    <w:rsid w:val="40844821"/>
    <w:rsid w:val="409003CF"/>
    <w:rsid w:val="40AD14A2"/>
    <w:rsid w:val="4117091A"/>
    <w:rsid w:val="41225303"/>
    <w:rsid w:val="412C6E94"/>
    <w:rsid w:val="413D30E0"/>
    <w:rsid w:val="418C12CF"/>
    <w:rsid w:val="41C67B14"/>
    <w:rsid w:val="41CA0463"/>
    <w:rsid w:val="41DE3530"/>
    <w:rsid w:val="426536B6"/>
    <w:rsid w:val="42D801C1"/>
    <w:rsid w:val="42EE797E"/>
    <w:rsid w:val="42F16AB0"/>
    <w:rsid w:val="43005F0E"/>
    <w:rsid w:val="439556F3"/>
    <w:rsid w:val="43A92344"/>
    <w:rsid w:val="44100EC6"/>
    <w:rsid w:val="44172600"/>
    <w:rsid w:val="442C486A"/>
    <w:rsid w:val="44CE7994"/>
    <w:rsid w:val="44D6088C"/>
    <w:rsid w:val="44FD1441"/>
    <w:rsid w:val="44FD7288"/>
    <w:rsid w:val="4517434D"/>
    <w:rsid w:val="453008A1"/>
    <w:rsid w:val="453E0AA9"/>
    <w:rsid w:val="455E3F38"/>
    <w:rsid w:val="45A276FD"/>
    <w:rsid w:val="45A647D5"/>
    <w:rsid w:val="4611108E"/>
    <w:rsid w:val="467A7EF2"/>
    <w:rsid w:val="469914E5"/>
    <w:rsid w:val="46A125F1"/>
    <w:rsid w:val="47863C0E"/>
    <w:rsid w:val="47B04B45"/>
    <w:rsid w:val="47C3256A"/>
    <w:rsid w:val="47DF0641"/>
    <w:rsid w:val="47F92762"/>
    <w:rsid w:val="484B2EB6"/>
    <w:rsid w:val="48783DE8"/>
    <w:rsid w:val="487F4EC5"/>
    <w:rsid w:val="48AA4D8F"/>
    <w:rsid w:val="48CE103B"/>
    <w:rsid w:val="48DA46E3"/>
    <w:rsid w:val="49164F75"/>
    <w:rsid w:val="499E672A"/>
    <w:rsid w:val="499F65C9"/>
    <w:rsid w:val="49BA799D"/>
    <w:rsid w:val="4A516AA7"/>
    <w:rsid w:val="4A620C82"/>
    <w:rsid w:val="4A745451"/>
    <w:rsid w:val="4AC027BE"/>
    <w:rsid w:val="4B103843"/>
    <w:rsid w:val="4B413ED2"/>
    <w:rsid w:val="4B7371FA"/>
    <w:rsid w:val="4BC42C46"/>
    <w:rsid w:val="4BDE7502"/>
    <w:rsid w:val="4C283D92"/>
    <w:rsid w:val="4C334701"/>
    <w:rsid w:val="4C4E08A0"/>
    <w:rsid w:val="4C5A63BF"/>
    <w:rsid w:val="4C5D7857"/>
    <w:rsid w:val="4C7E6C60"/>
    <w:rsid w:val="4C8E60D3"/>
    <w:rsid w:val="4C9269AF"/>
    <w:rsid w:val="4C985716"/>
    <w:rsid w:val="4CA84666"/>
    <w:rsid w:val="4CA86352"/>
    <w:rsid w:val="4CE875A2"/>
    <w:rsid w:val="4D221659"/>
    <w:rsid w:val="4E1F60AB"/>
    <w:rsid w:val="4E23064D"/>
    <w:rsid w:val="4E5C0409"/>
    <w:rsid w:val="4E5C51C7"/>
    <w:rsid w:val="4E677901"/>
    <w:rsid w:val="4EBC3F3A"/>
    <w:rsid w:val="4ECD57D4"/>
    <w:rsid w:val="4ED671BD"/>
    <w:rsid w:val="4F0040A4"/>
    <w:rsid w:val="4F12746E"/>
    <w:rsid w:val="4F312115"/>
    <w:rsid w:val="501C4F0D"/>
    <w:rsid w:val="50324731"/>
    <w:rsid w:val="50475D72"/>
    <w:rsid w:val="506E39FE"/>
    <w:rsid w:val="50C53FA8"/>
    <w:rsid w:val="50E710A8"/>
    <w:rsid w:val="50E87EFB"/>
    <w:rsid w:val="50FF3A9E"/>
    <w:rsid w:val="512146CA"/>
    <w:rsid w:val="514B3415"/>
    <w:rsid w:val="51B32C63"/>
    <w:rsid w:val="51EE0B8A"/>
    <w:rsid w:val="52277572"/>
    <w:rsid w:val="52554653"/>
    <w:rsid w:val="52910D9E"/>
    <w:rsid w:val="52987379"/>
    <w:rsid w:val="52B13779"/>
    <w:rsid w:val="52B62844"/>
    <w:rsid w:val="52BF2C7F"/>
    <w:rsid w:val="52C83AF5"/>
    <w:rsid w:val="53215DCC"/>
    <w:rsid w:val="53783A2D"/>
    <w:rsid w:val="537D1BE2"/>
    <w:rsid w:val="53852BF2"/>
    <w:rsid w:val="53911965"/>
    <w:rsid w:val="53F16E17"/>
    <w:rsid w:val="53FE5923"/>
    <w:rsid w:val="54455CD4"/>
    <w:rsid w:val="547B389F"/>
    <w:rsid w:val="54835182"/>
    <w:rsid w:val="54922A23"/>
    <w:rsid w:val="55404D02"/>
    <w:rsid w:val="55695A0F"/>
    <w:rsid w:val="558B78D1"/>
    <w:rsid w:val="559C6C31"/>
    <w:rsid w:val="563D1109"/>
    <w:rsid w:val="563E5D02"/>
    <w:rsid w:val="56452C66"/>
    <w:rsid w:val="5658180A"/>
    <w:rsid w:val="568F4B6E"/>
    <w:rsid w:val="569258FB"/>
    <w:rsid w:val="569C37AC"/>
    <w:rsid w:val="56A7621C"/>
    <w:rsid w:val="56B03F6B"/>
    <w:rsid w:val="57074800"/>
    <w:rsid w:val="574C221D"/>
    <w:rsid w:val="57677F65"/>
    <w:rsid w:val="577440FC"/>
    <w:rsid w:val="577D3138"/>
    <w:rsid w:val="57BF607D"/>
    <w:rsid w:val="582C64E5"/>
    <w:rsid w:val="58365C18"/>
    <w:rsid w:val="584B2834"/>
    <w:rsid w:val="58710EEB"/>
    <w:rsid w:val="58BB03EA"/>
    <w:rsid w:val="59493596"/>
    <w:rsid w:val="59616CCC"/>
    <w:rsid w:val="59700DF7"/>
    <w:rsid w:val="597E3F42"/>
    <w:rsid w:val="5983672B"/>
    <w:rsid w:val="59AA5E24"/>
    <w:rsid w:val="59ED6E77"/>
    <w:rsid w:val="5A0A1C3A"/>
    <w:rsid w:val="5A2C1681"/>
    <w:rsid w:val="5A4D5BED"/>
    <w:rsid w:val="5A5035B8"/>
    <w:rsid w:val="5A7D6831"/>
    <w:rsid w:val="5A87369A"/>
    <w:rsid w:val="5AAB4BD6"/>
    <w:rsid w:val="5AF4761B"/>
    <w:rsid w:val="5AF827C1"/>
    <w:rsid w:val="5B03649C"/>
    <w:rsid w:val="5B0B14F3"/>
    <w:rsid w:val="5B256858"/>
    <w:rsid w:val="5B2B6379"/>
    <w:rsid w:val="5B4E1FED"/>
    <w:rsid w:val="5B863A01"/>
    <w:rsid w:val="5BA13F2C"/>
    <w:rsid w:val="5C472EE2"/>
    <w:rsid w:val="5C5F2BC5"/>
    <w:rsid w:val="5C6043D4"/>
    <w:rsid w:val="5C9624D8"/>
    <w:rsid w:val="5CA52979"/>
    <w:rsid w:val="5CAC494E"/>
    <w:rsid w:val="5CC57D12"/>
    <w:rsid w:val="5CE44210"/>
    <w:rsid w:val="5D0400E3"/>
    <w:rsid w:val="5D2C0F26"/>
    <w:rsid w:val="5D3403FE"/>
    <w:rsid w:val="5D6076E2"/>
    <w:rsid w:val="5DC537C5"/>
    <w:rsid w:val="5DDD1BA9"/>
    <w:rsid w:val="5E0207BA"/>
    <w:rsid w:val="5E06662F"/>
    <w:rsid w:val="5E102F75"/>
    <w:rsid w:val="5EAA4AD8"/>
    <w:rsid w:val="5EC41CE8"/>
    <w:rsid w:val="5EEC4080"/>
    <w:rsid w:val="5EF2588C"/>
    <w:rsid w:val="5F060200"/>
    <w:rsid w:val="5F205517"/>
    <w:rsid w:val="5F707580"/>
    <w:rsid w:val="5FF747BD"/>
    <w:rsid w:val="601E2965"/>
    <w:rsid w:val="60270A44"/>
    <w:rsid w:val="605800FD"/>
    <w:rsid w:val="60713333"/>
    <w:rsid w:val="60D13AF2"/>
    <w:rsid w:val="60D30217"/>
    <w:rsid w:val="61263605"/>
    <w:rsid w:val="613A54D5"/>
    <w:rsid w:val="617840C5"/>
    <w:rsid w:val="61AE5E20"/>
    <w:rsid w:val="61B536A4"/>
    <w:rsid w:val="61F93551"/>
    <w:rsid w:val="629A3FA6"/>
    <w:rsid w:val="62A16909"/>
    <w:rsid w:val="62D1420D"/>
    <w:rsid w:val="631E1BDD"/>
    <w:rsid w:val="63541090"/>
    <w:rsid w:val="63EB3A18"/>
    <w:rsid w:val="646355B6"/>
    <w:rsid w:val="64B256E1"/>
    <w:rsid w:val="64BF3D70"/>
    <w:rsid w:val="655B546F"/>
    <w:rsid w:val="655F3B2F"/>
    <w:rsid w:val="65942F18"/>
    <w:rsid w:val="65B93F6F"/>
    <w:rsid w:val="66315B49"/>
    <w:rsid w:val="66544FA9"/>
    <w:rsid w:val="667B3A6A"/>
    <w:rsid w:val="66C34213"/>
    <w:rsid w:val="66E313B3"/>
    <w:rsid w:val="67405A47"/>
    <w:rsid w:val="674E74F0"/>
    <w:rsid w:val="6754483F"/>
    <w:rsid w:val="6755455C"/>
    <w:rsid w:val="676110CC"/>
    <w:rsid w:val="676A6106"/>
    <w:rsid w:val="679339A9"/>
    <w:rsid w:val="67CD68FE"/>
    <w:rsid w:val="67D910B3"/>
    <w:rsid w:val="67FC106E"/>
    <w:rsid w:val="684A09EF"/>
    <w:rsid w:val="68694328"/>
    <w:rsid w:val="68742E56"/>
    <w:rsid w:val="687A29D7"/>
    <w:rsid w:val="69431CC9"/>
    <w:rsid w:val="696C248E"/>
    <w:rsid w:val="69C1014C"/>
    <w:rsid w:val="69D56401"/>
    <w:rsid w:val="69F20134"/>
    <w:rsid w:val="6A2B2983"/>
    <w:rsid w:val="6A34175F"/>
    <w:rsid w:val="6A3979E6"/>
    <w:rsid w:val="6A4659D1"/>
    <w:rsid w:val="6A5F2C6A"/>
    <w:rsid w:val="6B1B3646"/>
    <w:rsid w:val="6B482F56"/>
    <w:rsid w:val="6B5275DD"/>
    <w:rsid w:val="6BA44FC6"/>
    <w:rsid w:val="6BCB68F3"/>
    <w:rsid w:val="6BCC486F"/>
    <w:rsid w:val="6BCC7CD9"/>
    <w:rsid w:val="6C06531D"/>
    <w:rsid w:val="6C24541E"/>
    <w:rsid w:val="6CDB3BE8"/>
    <w:rsid w:val="6D0A63C2"/>
    <w:rsid w:val="6DF356D1"/>
    <w:rsid w:val="6E2E47C7"/>
    <w:rsid w:val="6E894D87"/>
    <w:rsid w:val="6E8A5D18"/>
    <w:rsid w:val="6F1E3DE5"/>
    <w:rsid w:val="6F667AFB"/>
    <w:rsid w:val="6F6948F1"/>
    <w:rsid w:val="6F6F02BE"/>
    <w:rsid w:val="6FAE6033"/>
    <w:rsid w:val="6FBC700B"/>
    <w:rsid w:val="6FE03BA4"/>
    <w:rsid w:val="6FEA4288"/>
    <w:rsid w:val="6FEB62E1"/>
    <w:rsid w:val="6FEC67DE"/>
    <w:rsid w:val="704F058F"/>
    <w:rsid w:val="70852224"/>
    <w:rsid w:val="708D5BD2"/>
    <w:rsid w:val="70AA7165"/>
    <w:rsid w:val="70AE7DB4"/>
    <w:rsid w:val="70C45392"/>
    <w:rsid w:val="70EE2ABD"/>
    <w:rsid w:val="70EF3C4B"/>
    <w:rsid w:val="71014164"/>
    <w:rsid w:val="71485DAA"/>
    <w:rsid w:val="7180385D"/>
    <w:rsid w:val="71E72365"/>
    <w:rsid w:val="71F80EDE"/>
    <w:rsid w:val="72664244"/>
    <w:rsid w:val="727F059A"/>
    <w:rsid w:val="72BE37C0"/>
    <w:rsid w:val="72F22836"/>
    <w:rsid w:val="73591E51"/>
    <w:rsid w:val="737F18CC"/>
    <w:rsid w:val="73C9617D"/>
    <w:rsid w:val="73E0004F"/>
    <w:rsid w:val="73EA7AEE"/>
    <w:rsid w:val="744523D5"/>
    <w:rsid w:val="746006DC"/>
    <w:rsid w:val="748D2D05"/>
    <w:rsid w:val="74B27633"/>
    <w:rsid w:val="74B75118"/>
    <w:rsid w:val="74C203ED"/>
    <w:rsid w:val="74EC671B"/>
    <w:rsid w:val="751C1388"/>
    <w:rsid w:val="7547475F"/>
    <w:rsid w:val="755354DB"/>
    <w:rsid w:val="75C078A5"/>
    <w:rsid w:val="75C306B1"/>
    <w:rsid w:val="75CF3C55"/>
    <w:rsid w:val="75EB261F"/>
    <w:rsid w:val="760D0B5E"/>
    <w:rsid w:val="767C1D2C"/>
    <w:rsid w:val="767D4832"/>
    <w:rsid w:val="76AF1D88"/>
    <w:rsid w:val="772833CB"/>
    <w:rsid w:val="7745288A"/>
    <w:rsid w:val="77572D59"/>
    <w:rsid w:val="77715B53"/>
    <w:rsid w:val="777313DA"/>
    <w:rsid w:val="777417E2"/>
    <w:rsid w:val="77D62DC6"/>
    <w:rsid w:val="780D64F7"/>
    <w:rsid w:val="781C60C0"/>
    <w:rsid w:val="785A63BE"/>
    <w:rsid w:val="78A95340"/>
    <w:rsid w:val="78AD207C"/>
    <w:rsid w:val="78AF360C"/>
    <w:rsid w:val="78E977D3"/>
    <w:rsid w:val="78FC1756"/>
    <w:rsid w:val="79295B76"/>
    <w:rsid w:val="793D7CFB"/>
    <w:rsid w:val="794E6290"/>
    <w:rsid w:val="79777A62"/>
    <w:rsid w:val="797B5279"/>
    <w:rsid w:val="7A3E1ED6"/>
    <w:rsid w:val="7A432F13"/>
    <w:rsid w:val="7A763DD0"/>
    <w:rsid w:val="7A7C255D"/>
    <w:rsid w:val="7AA07274"/>
    <w:rsid w:val="7ABE0969"/>
    <w:rsid w:val="7AE043F9"/>
    <w:rsid w:val="7AE877C8"/>
    <w:rsid w:val="7B2D1A60"/>
    <w:rsid w:val="7BB74E37"/>
    <w:rsid w:val="7BCC0022"/>
    <w:rsid w:val="7BDA711C"/>
    <w:rsid w:val="7C5E0996"/>
    <w:rsid w:val="7C6773B1"/>
    <w:rsid w:val="7C814644"/>
    <w:rsid w:val="7C8A7C06"/>
    <w:rsid w:val="7C916873"/>
    <w:rsid w:val="7CC532E7"/>
    <w:rsid w:val="7CD5482B"/>
    <w:rsid w:val="7CE85DE2"/>
    <w:rsid w:val="7D2D5173"/>
    <w:rsid w:val="7D7C2DFC"/>
    <w:rsid w:val="7D8D336C"/>
    <w:rsid w:val="7DAB1069"/>
    <w:rsid w:val="7DB90EC3"/>
    <w:rsid w:val="7DD64FEF"/>
    <w:rsid w:val="7E323A36"/>
    <w:rsid w:val="7E5B033B"/>
    <w:rsid w:val="7E5D0094"/>
    <w:rsid w:val="7F337452"/>
    <w:rsid w:val="7F9B3B4D"/>
    <w:rsid w:val="7FAE4615"/>
    <w:rsid w:val="7FBB23D5"/>
    <w:rsid w:val="7FC3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0"/>
    <w:pPr>
      <w:jc w:val="left"/>
    </w:pPr>
    <w:rPr>
      <w:szCs w:val="21"/>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styleId="13">
    <w:name w:val="List Paragraph"/>
    <w:basedOn w:val="1"/>
    <w:qFormat/>
    <w:uiPriority w:val="99"/>
    <w:pPr>
      <w:ind w:firstLine="420" w:firstLineChars="200"/>
    </w:pPr>
  </w:style>
  <w:style w:type="paragraph" w:customStyle="1" w:styleId="14">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5">
    <w:name w:val="标准"/>
    <w:basedOn w:val="1"/>
    <w:qFormat/>
    <w:uiPriority w:val="0"/>
    <w:pPr>
      <w:adjustRightInd w:val="0"/>
      <w:spacing w:line="312" w:lineRule="atLeast"/>
      <w:jc w:val="center"/>
      <w:textAlignment w:val="baseline"/>
    </w:pPr>
    <w:rPr>
      <w:kern w:val="0"/>
      <w:szCs w:val="20"/>
    </w:rPr>
  </w:style>
  <w:style w:type="character" w:customStyle="1" w:styleId="16">
    <w:name w:val="font11"/>
    <w:basedOn w:val="10"/>
    <w:qFormat/>
    <w:uiPriority w:val="0"/>
    <w:rPr>
      <w:rFonts w:hint="eastAsia" w:ascii="宋体" w:hAnsi="宋体" w:eastAsia="宋体" w:cs="宋体"/>
      <w:b/>
      <w:color w:val="000000"/>
      <w:sz w:val="22"/>
      <w:szCs w:val="22"/>
      <w:u w:val="none"/>
    </w:rPr>
  </w:style>
  <w:style w:type="character" w:customStyle="1" w:styleId="17">
    <w:name w:val="font61"/>
    <w:basedOn w:val="10"/>
    <w:qFormat/>
    <w:uiPriority w:val="0"/>
    <w:rPr>
      <w:rFonts w:hint="eastAsia" w:ascii="宋体" w:hAnsi="宋体" w:eastAsia="宋体" w:cs="宋体"/>
      <w:b/>
      <w:color w:val="000000"/>
      <w:sz w:val="22"/>
      <w:szCs w:val="22"/>
      <w:u w:val="none"/>
      <w:vertAlign w:val="subscript"/>
    </w:rPr>
  </w:style>
  <w:style w:type="character" w:customStyle="1" w:styleId="18">
    <w:name w:val="font01"/>
    <w:basedOn w:val="10"/>
    <w:qFormat/>
    <w:uiPriority w:val="0"/>
    <w:rPr>
      <w:rFonts w:hint="eastAsia" w:ascii="宋体" w:hAnsi="宋体" w:eastAsia="宋体" w:cs="宋体"/>
      <w:b/>
      <w:color w:val="000000"/>
      <w:sz w:val="20"/>
      <w:szCs w:val="20"/>
      <w:u w:val="none"/>
    </w:rPr>
  </w:style>
  <w:style w:type="character" w:customStyle="1" w:styleId="19">
    <w:name w:val="font51"/>
    <w:basedOn w:val="10"/>
    <w:qFormat/>
    <w:uiPriority w:val="0"/>
    <w:rPr>
      <w:rFonts w:hint="eastAsia" w:ascii="宋体" w:hAnsi="宋体" w:eastAsia="宋体" w:cs="宋体"/>
      <w:b/>
      <w:color w:val="000000"/>
      <w:sz w:val="18"/>
      <w:szCs w:val="18"/>
      <w:u w:val="none"/>
    </w:rPr>
  </w:style>
  <w:style w:type="character" w:customStyle="1" w:styleId="20">
    <w:name w:val="font41"/>
    <w:basedOn w:val="10"/>
    <w:qFormat/>
    <w:uiPriority w:val="0"/>
    <w:rPr>
      <w:rFonts w:hint="eastAsia" w:ascii="宋体" w:hAnsi="宋体" w:eastAsia="宋体" w:cs="宋体"/>
      <w:b/>
      <w:color w:val="000000"/>
      <w:sz w:val="16"/>
      <w:szCs w:val="16"/>
      <w:u w:val="none"/>
    </w:rPr>
  </w:style>
  <w:style w:type="character" w:customStyle="1" w:styleId="21">
    <w:name w:val="font71"/>
    <w:basedOn w:val="10"/>
    <w:qFormat/>
    <w:uiPriority w:val="0"/>
    <w:rPr>
      <w:rFonts w:hint="eastAsia" w:ascii="宋体" w:hAnsi="宋体" w:eastAsia="宋体" w:cs="宋体"/>
      <w:color w:val="000000"/>
      <w:sz w:val="21"/>
      <w:szCs w:val="21"/>
      <w:u w:val="none"/>
      <w:vertAlign w:val="subscript"/>
    </w:rPr>
  </w:style>
  <w:style w:type="character" w:customStyle="1" w:styleId="22">
    <w:name w:val="font31"/>
    <w:basedOn w:val="10"/>
    <w:qFormat/>
    <w:uiPriority w:val="0"/>
    <w:rPr>
      <w:rFonts w:hint="eastAsia" w:ascii="宋体" w:hAnsi="宋体" w:eastAsia="宋体" w:cs="宋体"/>
      <w:color w:val="000000"/>
      <w:sz w:val="21"/>
      <w:szCs w:val="21"/>
      <w:u w:val="none"/>
    </w:rPr>
  </w:style>
  <w:style w:type="character" w:customStyle="1" w:styleId="23">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3.xml"/><Relationship Id="rId59" Type="http://schemas.openxmlformats.org/officeDocument/2006/relationships/customXml" Target="../customXml/item1.xml"/><Relationship Id="rId58" Type="http://schemas.openxmlformats.org/officeDocument/2006/relationships/image" Target="media/image21.wmf"/><Relationship Id="rId57" Type="http://schemas.openxmlformats.org/officeDocument/2006/relationships/oleObject" Target="embeddings/oleObject25.bin"/><Relationship Id="rId56" Type="http://schemas.openxmlformats.org/officeDocument/2006/relationships/image" Target="media/image20.wmf"/><Relationship Id="rId55" Type="http://schemas.openxmlformats.org/officeDocument/2006/relationships/oleObject" Target="embeddings/oleObject24.bin"/><Relationship Id="rId54" Type="http://schemas.openxmlformats.org/officeDocument/2006/relationships/image" Target="media/image19.wmf"/><Relationship Id="rId53" Type="http://schemas.openxmlformats.org/officeDocument/2006/relationships/oleObject" Target="embeddings/oleObject23.bin"/><Relationship Id="rId52" Type="http://schemas.openxmlformats.org/officeDocument/2006/relationships/image" Target="media/image18.wmf"/><Relationship Id="rId51" Type="http://schemas.openxmlformats.org/officeDocument/2006/relationships/oleObject" Target="embeddings/oleObject22.bin"/><Relationship Id="rId50" Type="http://schemas.openxmlformats.org/officeDocument/2006/relationships/image" Target="media/image17.wmf"/><Relationship Id="rId5" Type="http://schemas.openxmlformats.org/officeDocument/2006/relationships/footer" Target="footer2.xml"/><Relationship Id="rId49" Type="http://schemas.openxmlformats.org/officeDocument/2006/relationships/oleObject" Target="embeddings/oleObject21.bin"/><Relationship Id="rId48" Type="http://schemas.openxmlformats.org/officeDocument/2006/relationships/image" Target="media/image16.wmf"/><Relationship Id="rId47" Type="http://schemas.openxmlformats.org/officeDocument/2006/relationships/oleObject" Target="embeddings/oleObject20.bin"/><Relationship Id="rId46" Type="http://schemas.openxmlformats.org/officeDocument/2006/relationships/image" Target="media/image15.wmf"/><Relationship Id="rId45" Type="http://schemas.openxmlformats.org/officeDocument/2006/relationships/oleObject" Target="embeddings/oleObject19.bin"/><Relationship Id="rId44" Type="http://schemas.openxmlformats.org/officeDocument/2006/relationships/image" Target="media/image14.wmf"/><Relationship Id="rId43" Type="http://schemas.openxmlformats.org/officeDocument/2006/relationships/oleObject" Target="embeddings/oleObject18.bin"/><Relationship Id="rId42" Type="http://schemas.openxmlformats.org/officeDocument/2006/relationships/image" Target="media/image13.wmf"/><Relationship Id="rId41" Type="http://schemas.openxmlformats.org/officeDocument/2006/relationships/oleObject" Target="embeddings/oleObject17.bin"/><Relationship Id="rId40" Type="http://schemas.openxmlformats.org/officeDocument/2006/relationships/image" Target="media/image12.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1.wmf"/><Relationship Id="rId37" Type="http://schemas.openxmlformats.org/officeDocument/2006/relationships/oleObject" Target="embeddings/oleObject15.bin"/><Relationship Id="rId36" Type="http://schemas.openxmlformats.org/officeDocument/2006/relationships/image" Target="media/image10.wmf"/><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oleObject" Target="embeddings/oleObject12.bin"/><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20211</Words>
  <Characters>28215</Characters>
  <Lines>228</Lines>
  <Paragraphs>64</Paragraphs>
  <TotalTime>47</TotalTime>
  <ScaleCrop>false</ScaleCrop>
  <LinksUpToDate>false</LinksUpToDate>
  <CharactersWithSpaces>29394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2020-09-07T03:42:00Z</dcterms:created>
  <dc:creator>Administrator</dc:creator>
  <cp:lastModifiedBy>A000弋浅</cp:lastModifiedBy>
  <cp:lastPrinted>2021-03-09T05:54:00Z</cp:lastPrinted>
  <dcterms:modified xsi:type="dcterms:W3CDTF">2022-05-20T08:35:10Z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782207D2406C41FB8632DA1B970568FF</vt:lpwstr>
  </property>
</Properties>
</file>