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1735" w14:textId="77777777" w:rsidR="005C1252" w:rsidRDefault="005C1252" w:rsidP="005C1252">
      <w:pPr>
        <w:widowControl/>
        <w:snapToGrid w:val="0"/>
        <w:spacing w:line="360" w:lineRule="auto"/>
        <w:ind w:right="-1"/>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附件</w:t>
      </w:r>
      <w:r>
        <w:rPr>
          <w:rFonts w:ascii="黑体" w:eastAsia="黑体" w:hAnsi="黑体" w:cs="宋体"/>
          <w:color w:val="000000"/>
          <w:kern w:val="0"/>
          <w:sz w:val="28"/>
          <w:szCs w:val="28"/>
        </w:rPr>
        <w:t>1</w:t>
      </w:r>
      <w:r>
        <w:rPr>
          <w:rFonts w:ascii="黑体" w:eastAsia="黑体" w:hAnsi="黑体" w:cs="宋体" w:hint="eastAsia"/>
          <w:color w:val="000000"/>
          <w:kern w:val="0"/>
          <w:sz w:val="28"/>
          <w:szCs w:val="28"/>
        </w:rPr>
        <w:t>：</w:t>
      </w:r>
    </w:p>
    <w:p w14:paraId="455FF34B" w14:textId="77777777" w:rsidR="005C1252" w:rsidRDefault="005C1252" w:rsidP="005C1252">
      <w:pPr>
        <w:ind w:firstLineChars="200" w:firstLine="560"/>
        <w:jc w:val="center"/>
        <w:rPr>
          <w:rFonts w:ascii="黑体" w:eastAsia="黑体" w:hAnsi="黑体" w:cs="黑体"/>
          <w:sz w:val="28"/>
          <w:szCs w:val="28"/>
        </w:rPr>
      </w:pPr>
      <w:r>
        <w:rPr>
          <w:rFonts w:ascii="黑体" w:eastAsia="黑体" w:hAnsi="黑体" w:cs="黑体" w:hint="eastAsia"/>
          <w:sz w:val="28"/>
          <w:szCs w:val="28"/>
        </w:rPr>
        <w:t>强制性国家标准《有色重金属冶炼产品能源消耗限额》讨论会议</w:t>
      </w:r>
    </w:p>
    <w:p w14:paraId="0D055014" w14:textId="77777777" w:rsidR="005C1252" w:rsidRDefault="005C1252" w:rsidP="005C1252">
      <w:pPr>
        <w:ind w:firstLineChars="200" w:firstLine="560"/>
        <w:jc w:val="center"/>
        <w:rPr>
          <w:rFonts w:ascii="黑体" w:eastAsia="黑体" w:hAnsi="黑体" w:cs="黑体"/>
          <w:sz w:val="28"/>
          <w:szCs w:val="28"/>
        </w:rPr>
      </w:pPr>
      <w:r>
        <w:rPr>
          <w:rFonts w:ascii="黑体" w:eastAsia="黑体" w:hAnsi="黑体" w:cs="黑体" w:hint="eastAsia"/>
          <w:sz w:val="28"/>
          <w:szCs w:val="28"/>
        </w:rPr>
        <w:t>会议纪要</w:t>
      </w:r>
    </w:p>
    <w:p w14:paraId="1FDDD2DA" w14:textId="77777777" w:rsidR="005C1252" w:rsidRDefault="005C1252" w:rsidP="005C1252">
      <w:pPr>
        <w:spacing w:beforeLines="50" w:before="156" w:line="360" w:lineRule="auto"/>
        <w:ind w:firstLineChars="200" w:firstLine="480"/>
        <w:rPr>
          <w:rFonts w:ascii="宋体" w:hAnsi="宋体"/>
          <w:sz w:val="24"/>
        </w:rPr>
      </w:pPr>
      <w:r>
        <w:rPr>
          <w:rFonts w:ascii="宋体" w:hAnsi="宋体"/>
          <w:sz w:val="24"/>
        </w:rPr>
        <w:t>20</w:t>
      </w:r>
      <w:r>
        <w:rPr>
          <w:rFonts w:ascii="宋体" w:hAnsi="宋体" w:hint="eastAsia"/>
          <w:sz w:val="24"/>
        </w:rPr>
        <w:t>22</w:t>
      </w:r>
      <w:r>
        <w:rPr>
          <w:rFonts w:ascii="宋体" w:hAnsi="宋体"/>
          <w:sz w:val="24"/>
        </w:rPr>
        <w:t>年</w:t>
      </w:r>
      <w:r>
        <w:rPr>
          <w:rFonts w:ascii="宋体" w:hAnsi="宋体" w:hint="eastAsia"/>
          <w:sz w:val="24"/>
        </w:rPr>
        <w:t>4</w:t>
      </w:r>
      <w:r>
        <w:rPr>
          <w:rFonts w:ascii="宋体" w:hAnsi="宋体"/>
          <w:sz w:val="24"/>
        </w:rPr>
        <w:t>月</w:t>
      </w:r>
      <w:r>
        <w:rPr>
          <w:rFonts w:ascii="宋体" w:hAnsi="宋体" w:hint="eastAsia"/>
          <w:sz w:val="24"/>
        </w:rPr>
        <w:t>27</w:t>
      </w:r>
      <w:r>
        <w:rPr>
          <w:rFonts w:ascii="宋体" w:hAnsi="宋体"/>
          <w:sz w:val="24"/>
        </w:rPr>
        <w:t>日</w:t>
      </w:r>
      <w:r>
        <w:rPr>
          <w:rFonts w:ascii="宋体" w:hAnsi="宋体" w:cs="宋体" w:hint="eastAsia"/>
          <w:sz w:val="24"/>
        </w:rPr>
        <w:t>～29日</w:t>
      </w:r>
      <w:r>
        <w:rPr>
          <w:rFonts w:ascii="宋体" w:hAnsi="宋体"/>
          <w:sz w:val="24"/>
        </w:rPr>
        <w:t>，全国有色金属标准化技术委员会</w:t>
      </w:r>
      <w:r>
        <w:rPr>
          <w:rFonts w:ascii="宋体" w:hAnsi="宋体" w:cs="宋体" w:hint="eastAsia"/>
          <w:sz w:val="24"/>
        </w:rPr>
        <w:t>以网络会议的形式组织召开强制性国家标准《有色重金属冶炼产品能源消耗限额》讨论会议</w:t>
      </w:r>
      <w:r>
        <w:rPr>
          <w:rFonts w:ascii="宋体" w:hAnsi="宋体" w:cs="宋体" w:hint="eastAsia"/>
          <w:kern w:val="0"/>
          <w:sz w:val="24"/>
        </w:rPr>
        <w:t>。来自中国有色金属工业标准计量质量研究所、江西铜业股份有限公司、葫芦岛锌业股份有限公司、河南豫光金铅股份有限公司、金川集团股份有限公司、云南锡业股份有限公司、锡矿</w:t>
      </w:r>
      <w:proofErr w:type="gramStart"/>
      <w:r>
        <w:rPr>
          <w:rFonts w:ascii="宋体" w:hAnsi="宋体" w:cs="宋体" w:hint="eastAsia"/>
          <w:kern w:val="0"/>
          <w:sz w:val="24"/>
        </w:rPr>
        <w:t>山闪星锑</w:t>
      </w:r>
      <w:proofErr w:type="gramEnd"/>
      <w:r>
        <w:rPr>
          <w:rFonts w:ascii="宋体" w:hAnsi="宋体" w:cs="宋体" w:hint="eastAsia"/>
          <w:kern w:val="0"/>
          <w:sz w:val="24"/>
        </w:rPr>
        <w:t>业有限责任公司、湖北金洋冶金股份有限公司、</w:t>
      </w:r>
      <w:proofErr w:type="gramStart"/>
      <w:r>
        <w:rPr>
          <w:rFonts w:ascii="宋体" w:hAnsi="宋体" w:cs="宋体" w:hint="eastAsia"/>
          <w:kern w:val="0"/>
          <w:sz w:val="24"/>
        </w:rPr>
        <w:t>阳谷祥光铜业</w:t>
      </w:r>
      <w:proofErr w:type="gramEnd"/>
      <w:r>
        <w:rPr>
          <w:rFonts w:ascii="宋体" w:hAnsi="宋体" w:cs="宋体" w:hint="eastAsia"/>
          <w:kern w:val="0"/>
          <w:sz w:val="24"/>
        </w:rPr>
        <w:t>有限公司等116个单位的177位代表参加了全体会议。其中</w:t>
      </w:r>
      <w:r>
        <w:rPr>
          <w:rFonts w:ascii="宋体" w:hAnsi="宋体" w:cs="宋体"/>
          <w:kern w:val="0"/>
          <w:sz w:val="24"/>
        </w:rPr>
        <w:t>，</w:t>
      </w:r>
      <w:r>
        <w:rPr>
          <w:rFonts w:ascii="宋体" w:hAnsi="宋体" w:cs="宋体" w:hint="eastAsia"/>
          <w:kern w:val="0"/>
          <w:sz w:val="24"/>
          <w:lang w:eastAsia="zh-Hans"/>
        </w:rPr>
        <w:t>来自</w:t>
      </w:r>
      <w:r>
        <w:rPr>
          <w:rFonts w:ascii="宋体" w:hAnsi="宋体" w:cs="宋体" w:hint="eastAsia"/>
          <w:kern w:val="0"/>
          <w:sz w:val="24"/>
        </w:rPr>
        <w:t>江西铜业股份有限公司、铜陵有色集团股份有限公司等</w:t>
      </w:r>
      <w:r>
        <w:rPr>
          <w:rFonts w:ascii="宋体" w:hAnsi="宋体" w:cs="宋体"/>
          <w:kern w:val="0"/>
          <w:sz w:val="24"/>
        </w:rPr>
        <w:t>51</w:t>
      </w:r>
      <w:r>
        <w:rPr>
          <w:rFonts w:ascii="宋体" w:hAnsi="宋体" w:cs="宋体" w:hint="eastAsia"/>
          <w:kern w:val="0"/>
          <w:sz w:val="24"/>
        </w:rPr>
        <w:t>家单位</w:t>
      </w:r>
      <w:r>
        <w:rPr>
          <w:rFonts w:ascii="宋体" w:hAnsi="宋体" w:cs="宋体" w:hint="eastAsia"/>
          <w:kern w:val="0"/>
          <w:sz w:val="24"/>
          <w:lang w:eastAsia="zh-Hans"/>
        </w:rPr>
        <w:t>的代表</w:t>
      </w:r>
      <w:r>
        <w:rPr>
          <w:rFonts w:ascii="宋体" w:hAnsi="宋体" w:cs="宋体" w:hint="eastAsia"/>
          <w:kern w:val="0"/>
          <w:sz w:val="24"/>
        </w:rPr>
        <w:t>参加了</w:t>
      </w:r>
      <w:r>
        <w:rPr>
          <w:rFonts w:ascii="宋体" w:hAnsi="宋体" w:cs="宋体"/>
          <w:kern w:val="0"/>
          <w:sz w:val="24"/>
        </w:rPr>
        <w:t>4</w:t>
      </w:r>
      <w:r>
        <w:rPr>
          <w:rFonts w:ascii="宋体" w:hAnsi="宋体" w:cs="宋体" w:hint="eastAsia"/>
          <w:kern w:val="0"/>
          <w:sz w:val="24"/>
        </w:rPr>
        <w:t>月</w:t>
      </w:r>
      <w:r>
        <w:rPr>
          <w:rFonts w:ascii="宋体" w:hAnsi="宋体" w:cs="宋体"/>
          <w:kern w:val="0"/>
          <w:sz w:val="24"/>
        </w:rPr>
        <w:t>27</w:t>
      </w:r>
      <w:r>
        <w:rPr>
          <w:rFonts w:ascii="宋体" w:hAnsi="宋体" w:cs="宋体" w:hint="eastAsia"/>
          <w:kern w:val="0"/>
          <w:sz w:val="24"/>
        </w:rPr>
        <w:t>日召开的铜</w:t>
      </w:r>
      <w:r>
        <w:rPr>
          <w:rFonts w:ascii="宋体" w:hAnsi="宋体" w:cs="宋体"/>
          <w:kern w:val="0"/>
          <w:sz w:val="24"/>
        </w:rPr>
        <w:t>、</w:t>
      </w:r>
      <w:r>
        <w:rPr>
          <w:rFonts w:ascii="宋体" w:hAnsi="宋体" w:cs="宋体" w:hint="eastAsia"/>
          <w:kern w:val="0"/>
          <w:sz w:val="24"/>
        </w:rPr>
        <w:t>镍</w:t>
      </w:r>
      <w:r>
        <w:rPr>
          <w:rFonts w:ascii="宋体" w:hAnsi="宋体" w:cs="宋体"/>
          <w:kern w:val="0"/>
          <w:sz w:val="24"/>
        </w:rPr>
        <w:t>、</w:t>
      </w:r>
      <w:proofErr w:type="gramStart"/>
      <w:r>
        <w:rPr>
          <w:rFonts w:ascii="宋体" w:hAnsi="宋体" w:cs="宋体" w:hint="eastAsia"/>
          <w:kern w:val="0"/>
          <w:sz w:val="24"/>
        </w:rPr>
        <w:t>钴部分</w:t>
      </w:r>
      <w:proofErr w:type="gramEnd"/>
      <w:r>
        <w:rPr>
          <w:rFonts w:ascii="宋体" w:hAnsi="宋体" w:cs="宋体" w:hint="eastAsia"/>
          <w:kern w:val="0"/>
          <w:sz w:val="24"/>
        </w:rPr>
        <w:t>的讨论会议</w:t>
      </w:r>
      <w:r>
        <w:rPr>
          <w:rFonts w:ascii="宋体" w:hAnsi="宋体" w:cs="宋体"/>
          <w:kern w:val="0"/>
          <w:sz w:val="24"/>
        </w:rPr>
        <w:t>；</w:t>
      </w:r>
      <w:r>
        <w:rPr>
          <w:rFonts w:ascii="宋体" w:hAnsi="宋体" w:hint="eastAsia"/>
          <w:sz w:val="24"/>
        </w:rPr>
        <w:t>来自葫芦岛锌业股份有限公司、河南豫光金铅股份有限公司、湖北金洋冶金股份有限公司等</w:t>
      </w:r>
      <w:r>
        <w:rPr>
          <w:rFonts w:ascii="宋体" w:hAnsi="宋体"/>
          <w:sz w:val="24"/>
        </w:rPr>
        <w:t>40</w:t>
      </w:r>
      <w:r>
        <w:rPr>
          <w:rFonts w:ascii="宋体" w:hAnsi="宋体" w:hint="eastAsia"/>
          <w:sz w:val="24"/>
        </w:rPr>
        <w:t>家单位的代表参加了</w:t>
      </w:r>
      <w:r>
        <w:rPr>
          <w:rFonts w:ascii="宋体" w:hAnsi="宋体"/>
          <w:sz w:val="24"/>
        </w:rPr>
        <w:t>4</w:t>
      </w:r>
      <w:r>
        <w:rPr>
          <w:rFonts w:ascii="宋体" w:hAnsi="宋体" w:hint="eastAsia"/>
          <w:sz w:val="24"/>
        </w:rPr>
        <w:t>月</w:t>
      </w:r>
      <w:r>
        <w:rPr>
          <w:rFonts w:ascii="宋体" w:hAnsi="宋体"/>
          <w:sz w:val="24"/>
        </w:rPr>
        <w:t>28</w:t>
      </w:r>
      <w:r>
        <w:rPr>
          <w:rFonts w:ascii="宋体" w:hAnsi="宋体" w:hint="eastAsia"/>
          <w:sz w:val="24"/>
        </w:rPr>
        <w:t>日召开的</w:t>
      </w:r>
      <w:r>
        <w:rPr>
          <w:rFonts w:ascii="宋体" w:hAnsi="宋体" w:cs="宋体" w:hint="eastAsia"/>
          <w:kern w:val="0"/>
          <w:sz w:val="24"/>
        </w:rPr>
        <w:t>锌</w:t>
      </w:r>
      <w:r>
        <w:rPr>
          <w:rFonts w:ascii="宋体" w:hAnsi="宋体" w:cs="宋体"/>
          <w:kern w:val="0"/>
          <w:sz w:val="24"/>
        </w:rPr>
        <w:t>、</w:t>
      </w:r>
      <w:r>
        <w:rPr>
          <w:rFonts w:ascii="宋体" w:hAnsi="宋体" w:cs="宋体" w:hint="eastAsia"/>
          <w:kern w:val="0"/>
          <w:sz w:val="24"/>
        </w:rPr>
        <w:t>铅</w:t>
      </w:r>
      <w:r>
        <w:rPr>
          <w:rFonts w:ascii="宋体" w:hAnsi="宋体" w:cs="宋体"/>
          <w:kern w:val="0"/>
          <w:sz w:val="24"/>
        </w:rPr>
        <w:t>、</w:t>
      </w:r>
      <w:r>
        <w:rPr>
          <w:rFonts w:ascii="宋体" w:hAnsi="宋体" w:cs="宋体" w:hint="eastAsia"/>
          <w:kern w:val="0"/>
          <w:sz w:val="24"/>
        </w:rPr>
        <w:t>再生</w:t>
      </w:r>
      <w:proofErr w:type="gramStart"/>
      <w:r>
        <w:rPr>
          <w:rFonts w:ascii="宋体" w:hAnsi="宋体" w:cs="宋体" w:hint="eastAsia"/>
          <w:kern w:val="0"/>
          <w:sz w:val="24"/>
        </w:rPr>
        <w:t>铅部分</w:t>
      </w:r>
      <w:proofErr w:type="gramEnd"/>
      <w:r>
        <w:rPr>
          <w:rFonts w:ascii="宋体" w:hAnsi="宋体" w:cs="宋体" w:hint="eastAsia"/>
          <w:kern w:val="0"/>
          <w:sz w:val="24"/>
        </w:rPr>
        <w:t>的讨论会议</w:t>
      </w:r>
      <w:r>
        <w:rPr>
          <w:rFonts w:ascii="宋体" w:hAnsi="宋体" w:cs="宋体"/>
          <w:kern w:val="0"/>
          <w:sz w:val="24"/>
        </w:rPr>
        <w:t>；</w:t>
      </w:r>
      <w:r>
        <w:rPr>
          <w:rFonts w:ascii="宋体" w:hAnsi="宋体" w:cs="宋体" w:hint="eastAsia"/>
          <w:kern w:val="0"/>
          <w:sz w:val="24"/>
        </w:rPr>
        <w:t>来自</w:t>
      </w:r>
      <w:r>
        <w:rPr>
          <w:rFonts w:ascii="宋体" w:hAnsi="宋体" w:hint="eastAsia"/>
          <w:sz w:val="24"/>
        </w:rPr>
        <w:t>云南锡业股份有限公司、锡矿</w:t>
      </w:r>
      <w:proofErr w:type="gramStart"/>
      <w:r>
        <w:rPr>
          <w:rFonts w:ascii="宋体" w:hAnsi="宋体" w:hint="eastAsia"/>
          <w:sz w:val="24"/>
        </w:rPr>
        <w:t>山闪星锑</w:t>
      </w:r>
      <w:proofErr w:type="gramEnd"/>
      <w:r>
        <w:rPr>
          <w:rFonts w:ascii="宋体" w:hAnsi="宋体" w:hint="eastAsia"/>
          <w:sz w:val="24"/>
        </w:rPr>
        <w:t>业有限责任公司、</w:t>
      </w:r>
      <w:proofErr w:type="gramStart"/>
      <w:r>
        <w:rPr>
          <w:rFonts w:ascii="宋体" w:hAnsi="宋体" w:hint="eastAsia"/>
          <w:sz w:val="24"/>
        </w:rPr>
        <w:t>阳谷祥光铜业</w:t>
      </w:r>
      <w:proofErr w:type="gramEnd"/>
      <w:r>
        <w:rPr>
          <w:rFonts w:ascii="宋体" w:hAnsi="宋体" w:hint="eastAsia"/>
          <w:sz w:val="24"/>
        </w:rPr>
        <w:t>有限公司等</w:t>
      </w:r>
      <w:r>
        <w:rPr>
          <w:rFonts w:ascii="宋体" w:hAnsi="宋体"/>
          <w:sz w:val="24"/>
        </w:rPr>
        <w:t>34</w:t>
      </w:r>
      <w:r>
        <w:rPr>
          <w:rFonts w:ascii="宋体" w:hAnsi="宋体" w:hint="eastAsia"/>
          <w:sz w:val="24"/>
        </w:rPr>
        <w:t>家单位的代表参加了</w:t>
      </w:r>
      <w:r>
        <w:rPr>
          <w:rFonts w:ascii="宋体" w:hAnsi="宋体"/>
          <w:sz w:val="24"/>
        </w:rPr>
        <w:t>4</w:t>
      </w:r>
      <w:r>
        <w:rPr>
          <w:rFonts w:ascii="宋体" w:hAnsi="宋体" w:hint="eastAsia"/>
          <w:sz w:val="24"/>
        </w:rPr>
        <w:t>月</w:t>
      </w:r>
      <w:r>
        <w:rPr>
          <w:rFonts w:ascii="宋体" w:hAnsi="宋体"/>
          <w:sz w:val="24"/>
        </w:rPr>
        <w:t>29</w:t>
      </w:r>
      <w:r>
        <w:rPr>
          <w:rFonts w:ascii="宋体" w:hAnsi="宋体" w:hint="eastAsia"/>
          <w:sz w:val="24"/>
        </w:rPr>
        <w:t>日召开的锡</w:t>
      </w:r>
      <w:r>
        <w:rPr>
          <w:rFonts w:ascii="宋体" w:hAnsi="宋体"/>
          <w:sz w:val="24"/>
        </w:rPr>
        <w:t>、</w:t>
      </w:r>
      <w:r>
        <w:rPr>
          <w:rFonts w:ascii="宋体" w:hAnsi="宋体" w:hint="eastAsia"/>
          <w:sz w:val="24"/>
        </w:rPr>
        <w:t>锑</w:t>
      </w:r>
      <w:r>
        <w:rPr>
          <w:rFonts w:ascii="宋体" w:hAnsi="宋体"/>
          <w:sz w:val="24"/>
        </w:rPr>
        <w:t>、</w:t>
      </w:r>
      <w:proofErr w:type="gramStart"/>
      <w:r>
        <w:rPr>
          <w:rFonts w:ascii="宋体" w:hAnsi="宋体" w:hint="eastAsia"/>
          <w:sz w:val="24"/>
        </w:rPr>
        <w:t>铋部分</w:t>
      </w:r>
      <w:proofErr w:type="gramEnd"/>
      <w:r>
        <w:rPr>
          <w:rFonts w:ascii="宋体" w:hAnsi="宋体" w:hint="eastAsia"/>
          <w:sz w:val="24"/>
        </w:rPr>
        <w:t>的讨论会议</w:t>
      </w:r>
      <w:r>
        <w:rPr>
          <w:rFonts w:ascii="宋体" w:hAnsi="宋体"/>
          <w:sz w:val="24"/>
        </w:rPr>
        <w:t>。</w:t>
      </w:r>
    </w:p>
    <w:p w14:paraId="1BEEC8E5" w14:textId="77777777" w:rsidR="005C1252" w:rsidRDefault="005C1252" w:rsidP="005C1252">
      <w:pPr>
        <w:spacing w:beforeLines="50" w:before="156" w:line="360" w:lineRule="auto"/>
        <w:ind w:firstLineChars="200" w:firstLine="480"/>
        <w:rPr>
          <w:rFonts w:ascii="宋体" w:hAnsi="宋体"/>
          <w:sz w:val="24"/>
        </w:rPr>
      </w:pPr>
      <w:r>
        <w:rPr>
          <w:rFonts w:ascii="宋体" w:hAnsi="宋体" w:hint="eastAsia"/>
          <w:sz w:val="24"/>
        </w:rPr>
        <w:t>中国有色金属工业协会科技部张龙主任，重金属部段绍甫主任参加会议并讲话，介绍了修订能耗标准的重要意义、行业现状</w:t>
      </w:r>
      <w:proofErr w:type="gramStart"/>
      <w:r>
        <w:rPr>
          <w:rFonts w:ascii="宋体" w:hAnsi="宋体" w:hint="eastAsia"/>
          <w:sz w:val="24"/>
        </w:rPr>
        <w:t>以及发改委</w:t>
      </w:r>
      <w:proofErr w:type="gramEnd"/>
      <w:r>
        <w:rPr>
          <w:rFonts w:ascii="宋体" w:hAnsi="宋体" w:hint="eastAsia"/>
          <w:sz w:val="24"/>
        </w:rPr>
        <w:t>、工信部和</w:t>
      </w:r>
      <w:proofErr w:type="gramStart"/>
      <w:r>
        <w:rPr>
          <w:rFonts w:ascii="宋体" w:hAnsi="宋体" w:hint="eastAsia"/>
          <w:sz w:val="24"/>
        </w:rPr>
        <w:t>国标委</w:t>
      </w:r>
      <w:proofErr w:type="gramEnd"/>
      <w:r>
        <w:rPr>
          <w:rFonts w:ascii="宋体" w:hAnsi="宋体" w:hint="eastAsia"/>
          <w:sz w:val="24"/>
        </w:rPr>
        <w:t>关于能耗限额标准的最新要求。会议确定了能耗限额标准修订的原则，强调了能耗指标的选取及依据，</w:t>
      </w:r>
      <w:r>
        <w:rPr>
          <w:rFonts w:ascii="宋体" w:hAnsi="宋体" w:cs="宋体" w:hint="eastAsia"/>
          <w:kern w:val="0"/>
          <w:sz w:val="24"/>
        </w:rPr>
        <w:t>明确了标准送审前铜、锌、铅等9个部分的需要补充的工作内容及进度安排</w:t>
      </w:r>
      <w:r>
        <w:rPr>
          <w:rFonts w:ascii="宋体" w:hAnsi="宋体"/>
          <w:sz w:val="24"/>
        </w:rPr>
        <w:t>。</w:t>
      </w:r>
      <w:r>
        <w:rPr>
          <w:rFonts w:ascii="宋体" w:hAnsi="宋体" w:hint="eastAsia"/>
          <w:sz w:val="24"/>
        </w:rPr>
        <w:t>全体大会及分部</w:t>
      </w:r>
      <w:proofErr w:type="gramStart"/>
      <w:r>
        <w:rPr>
          <w:rFonts w:ascii="宋体" w:hAnsi="宋体" w:hint="eastAsia"/>
          <w:sz w:val="24"/>
        </w:rPr>
        <w:t>分讨论</w:t>
      </w:r>
      <w:proofErr w:type="gramEnd"/>
      <w:r>
        <w:rPr>
          <w:rFonts w:ascii="宋体" w:hAnsi="宋体" w:hint="eastAsia"/>
          <w:sz w:val="24"/>
        </w:rPr>
        <w:t>会议形成的会议纪要如下：</w:t>
      </w:r>
    </w:p>
    <w:p w14:paraId="329DA88C" w14:textId="77777777" w:rsidR="005C1252" w:rsidRDefault="005C1252" w:rsidP="005C1252">
      <w:pPr>
        <w:numPr>
          <w:ilvl w:val="0"/>
          <w:numId w:val="1"/>
        </w:numPr>
        <w:snapToGrid w:val="0"/>
        <w:spacing w:line="360" w:lineRule="auto"/>
        <w:rPr>
          <w:rFonts w:ascii="宋体" w:hAnsi="宋体"/>
          <w:b/>
          <w:bCs/>
          <w:sz w:val="24"/>
        </w:rPr>
      </w:pPr>
      <w:r>
        <w:rPr>
          <w:rFonts w:ascii="宋体" w:hAnsi="宋体" w:hint="eastAsia"/>
          <w:b/>
          <w:bCs/>
          <w:sz w:val="24"/>
        </w:rPr>
        <w:t>会议确定的标准整体修订原则</w:t>
      </w:r>
    </w:p>
    <w:p w14:paraId="6557D4E7" w14:textId="77777777" w:rsidR="005C1252" w:rsidRDefault="005C1252" w:rsidP="005C1252">
      <w:pPr>
        <w:numPr>
          <w:ilvl w:val="0"/>
          <w:numId w:val="2"/>
        </w:numPr>
        <w:snapToGrid w:val="0"/>
        <w:spacing w:line="360" w:lineRule="auto"/>
        <w:ind w:left="0" w:firstLineChars="200" w:firstLine="480"/>
        <w:rPr>
          <w:rFonts w:ascii="宋体" w:hAnsi="宋体"/>
          <w:sz w:val="24"/>
        </w:rPr>
      </w:pPr>
      <w:r>
        <w:rPr>
          <w:rFonts w:ascii="宋体" w:hAnsi="宋体" w:cs="宋体" w:hint="eastAsia"/>
          <w:kern w:val="0"/>
          <w:sz w:val="24"/>
        </w:rPr>
        <w:t>统计数据应客观、真实，切实反映企业实际生产能源消耗情况，以确保标准可作为高耗能行业重点领域能效标杆水平和基准水平及阶梯电价政策落地实施的重要依据；</w:t>
      </w:r>
    </w:p>
    <w:p w14:paraId="758F9E25" w14:textId="77777777" w:rsidR="005C1252" w:rsidRDefault="005C1252" w:rsidP="005C1252">
      <w:pPr>
        <w:numPr>
          <w:ilvl w:val="0"/>
          <w:numId w:val="2"/>
        </w:numPr>
        <w:snapToGrid w:val="0"/>
        <w:spacing w:line="360" w:lineRule="auto"/>
        <w:ind w:left="0" w:firstLineChars="200" w:firstLine="480"/>
        <w:rPr>
          <w:rFonts w:ascii="宋体" w:hAnsi="宋体"/>
          <w:sz w:val="24"/>
        </w:rPr>
      </w:pPr>
      <w:r>
        <w:rPr>
          <w:rFonts w:ascii="宋体" w:hAnsi="宋体" w:hint="eastAsia"/>
          <w:sz w:val="24"/>
        </w:rPr>
        <w:t>基于有色金属行业现状，确定各级能耗限额的划线依据及满足</w:t>
      </w:r>
      <w:proofErr w:type="gramStart"/>
      <w:r>
        <w:rPr>
          <w:rFonts w:ascii="宋体" w:hAnsi="宋体" w:hint="eastAsia"/>
          <w:sz w:val="24"/>
        </w:rPr>
        <w:t>各级要求</w:t>
      </w:r>
      <w:proofErr w:type="gramEnd"/>
      <w:r>
        <w:rPr>
          <w:rFonts w:ascii="宋体" w:hAnsi="宋体" w:hint="eastAsia"/>
          <w:sz w:val="24"/>
        </w:rPr>
        <w:t>的企业比例，在编制说明中绘制折线图或柱状图</w:t>
      </w:r>
      <w:r>
        <w:rPr>
          <w:rFonts w:ascii="宋体" w:hAnsi="宋体"/>
          <w:sz w:val="24"/>
        </w:rPr>
        <w:t>，</w:t>
      </w:r>
      <w:r>
        <w:rPr>
          <w:rFonts w:ascii="宋体" w:hAnsi="宋体" w:hint="eastAsia"/>
          <w:sz w:val="24"/>
        </w:rPr>
        <w:t>并给出指标设置的具体理由；“</w:t>
      </w:r>
      <w:proofErr w:type="gramStart"/>
      <w:r>
        <w:rPr>
          <w:rFonts w:ascii="宋体" w:hAnsi="宋体" w:hint="eastAsia"/>
          <w:sz w:val="24"/>
        </w:rPr>
        <w:t>一</w:t>
      </w:r>
      <w:proofErr w:type="gramEnd"/>
      <w:r>
        <w:rPr>
          <w:rFonts w:ascii="宋体" w:hAnsi="宋体" w:hint="eastAsia"/>
          <w:sz w:val="24"/>
        </w:rPr>
        <w:t>企多厂”企业应对各厂数据进行单独统计</w:t>
      </w:r>
      <w:r>
        <w:rPr>
          <w:rFonts w:ascii="宋体" w:hAnsi="宋体"/>
          <w:sz w:val="24"/>
        </w:rPr>
        <w:t>；</w:t>
      </w:r>
    </w:p>
    <w:p w14:paraId="21B2F7CA" w14:textId="77777777" w:rsidR="005C1252" w:rsidRDefault="005C1252" w:rsidP="005C1252">
      <w:pPr>
        <w:numPr>
          <w:ilvl w:val="0"/>
          <w:numId w:val="2"/>
        </w:numPr>
        <w:snapToGrid w:val="0"/>
        <w:spacing w:line="360" w:lineRule="auto"/>
        <w:ind w:left="0" w:firstLineChars="200" w:firstLine="480"/>
        <w:rPr>
          <w:rFonts w:ascii="宋体" w:hAnsi="宋体"/>
          <w:sz w:val="24"/>
        </w:rPr>
      </w:pPr>
      <w:r>
        <w:rPr>
          <w:rFonts w:ascii="宋体" w:hAnsi="宋体" w:hint="eastAsia"/>
          <w:sz w:val="24"/>
        </w:rPr>
        <w:lastRenderedPageBreak/>
        <w:t>单位产品能耗限额应包含环保设施耗能部分，删除征求意见稿中单独设置的环保能耗值，明确环保工序边界，统一统计和计算范围；</w:t>
      </w:r>
    </w:p>
    <w:p w14:paraId="69D8CE15" w14:textId="77777777" w:rsidR="005C1252" w:rsidRDefault="005C1252" w:rsidP="005C1252">
      <w:pPr>
        <w:numPr>
          <w:ilvl w:val="0"/>
          <w:numId w:val="2"/>
        </w:numPr>
        <w:snapToGrid w:val="0"/>
        <w:spacing w:line="360" w:lineRule="auto"/>
        <w:ind w:left="0" w:firstLineChars="200" w:firstLine="480"/>
        <w:rPr>
          <w:rFonts w:ascii="宋体" w:hAnsi="宋体"/>
          <w:sz w:val="24"/>
        </w:rPr>
      </w:pPr>
      <w:r>
        <w:rPr>
          <w:rFonts w:ascii="宋体" w:hAnsi="宋体" w:hint="eastAsia"/>
          <w:sz w:val="24"/>
        </w:rPr>
        <w:t>明确耗能工质</w:t>
      </w:r>
      <w:proofErr w:type="gramStart"/>
      <w:r>
        <w:rPr>
          <w:rFonts w:ascii="宋体" w:hAnsi="宋体" w:hint="eastAsia"/>
          <w:sz w:val="24"/>
        </w:rPr>
        <w:t>的折标系数</w:t>
      </w:r>
      <w:proofErr w:type="gramEnd"/>
      <w:r>
        <w:rPr>
          <w:rFonts w:ascii="宋体" w:hAnsi="宋体" w:hint="eastAsia"/>
          <w:sz w:val="24"/>
        </w:rPr>
        <w:t>，以及氧气</w:t>
      </w:r>
      <w:r>
        <w:rPr>
          <w:rFonts w:ascii="宋体" w:hAnsi="宋体"/>
          <w:sz w:val="24"/>
        </w:rPr>
        <w:t>、</w:t>
      </w:r>
      <w:r>
        <w:rPr>
          <w:rFonts w:ascii="宋体" w:hAnsi="宋体" w:hint="eastAsia"/>
          <w:sz w:val="24"/>
        </w:rPr>
        <w:t>蒸汽余热利用采用的折算和扣减方式；</w:t>
      </w:r>
    </w:p>
    <w:p w14:paraId="3D66E355" w14:textId="77777777" w:rsidR="005C1252" w:rsidRDefault="005C1252" w:rsidP="005C1252">
      <w:pPr>
        <w:numPr>
          <w:ilvl w:val="0"/>
          <w:numId w:val="2"/>
        </w:numPr>
        <w:snapToGrid w:val="0"/>
        <w:spacing w:line="360" w:lineRule="auto"/>
        <w:ind w:left="0" w:firstLineChars="200" w:firstLine="480"/>
        <w:rPr>
          <w:rFonts w:ascii="宋体" w:hAnsi="宋体"/>
          <w:sz w:val="24"/>
        </w:rPr>
      </w:pPr>
      <w:proofErr w:type="gramStart"/>
      <w:r>
        <w:rPr>
          <w:rFonts w:ascii="宋体" w:hAnsi="宋体" w:hint="eastAsia"/>
          <w:sz w:val="24"/>
        </w:rPr>
        <w:t>明确因</w:t>
      </w:r>
      <w:proofErr w:type="gramEnd"/>
      <w:r>
        <w:rPr>
          <w:rFonts w:ascii="宋体" w:hAnsi="宋体" w:hint="eastAsia"/>
          <w:sz w:val="24"/>
        </w:rPr>
        <w:t>原料品位、地域差异对能耗值的影响，并设置折算系数使其具有可比性；</w:t>
      </w:r>
    </w:p>
    <w:p w14:paraId="2F2BF657" w14:textId="77777777" w:rsidR="005C1252" w:rsidRDefault="005C1252" w:rsidP="005C1252">
      <w:pPr>
        <w:numPr>
          <w:ilvl w:val="0"/>
          <w:numId w:val="2"/>
        </w:numPr>
        <w:snapToGrid w:val="0"/>
        <w:spacing w:line="360" w:lineRule="auto"/>
        <w:ind w:left="0" w:firstLineChars="200" w:firstLine="480"/>
        <w:rPr>
          <w:rFonts w:ascii="宋体" w:hAnsi="宋体"/>
          <w:sz w:val="24"/>
        </w:rPr>
      </w:pPr>
      <w:r>
        <w:rPr>
          <w:rFonts w:ascii="宋体" w:hAnsi="宋体" w:hint="eastAsia"/>
          <w:sz w:val="24"/>
        </w:rPr>
        <w:t>编制说明中增加测算部分，使统计值可切实反映行业整体情况，并对修订后的节能量进行计算。</w:t>
      </w:r>
    </w:p>
    <w:p w14:paraId="449645DE" w14:textId="77777777" w:rsidR="005C1252" w:rsidRDefault="005C1252" w:rsidP="005C1252">
      <w:pPr>
        <w:numPr>
          <w:ilvl w:val="0"/>
          <w:numId w:val="1"/>
        </w:numPr>
        <w:snapToGrid w:val="0"/>
        <w:spacing w:line="360" w:lineRule="auto"/>
        <w:rPr>
          <w:rFonts w:ascii="宋体" w:hAnsi="宋体"/>
          <w:b/>
          <w:bCs/>
          <w:sz w:val="24"/>
        </w:rPr>
      </w:pPr>
      <w:r>
        <w:rPr>
          <w:rFonts w:ascii="宋体" w:hAnsi="宋体" w:hint="eastAsia"/>
          <w:b/>
          <w:bCs/>
          <w:sz w:val="24"/>
        </w:rPr>
        <w:t>会议总结的各部分结论</w:t>
      </w:r>
    </w:p>
    <w:p w14:paraId="54031C74" w14:textId="77777777" w:rsidR="005C1252" w:rsidRDefault="005C1252" w:rsidP="005C1252">
      <w:pPr>
        <w:numPr>
          <w:ilvl w:val="0"/>
          <w:numId w:val="3"/>
        </w:numPr>
        <w:snapToGrid w:val="0"/>
        <w:spacing w:line="360" w:lineRule="auto"/>
        <w:rPr>
          <w:rFonts w:ascii="宋体" w:hAnsi="宋体"/>
          <w:b/>
          <w:bCs/>
          <w:sz w:val="24"/>
        </w:rPr>
      </w:pPr>
      <w:r>
        <w:rPr>
          <w:rFonts w:ascii="宋体" w:hAnsi="宋体" w:hint="eastAsia"/>
          <w:b/>
          <w:bCs/>
          <w:sz w:val="24"/>
        </w:rPr>
        <w:t>铜冶炼部分</w:t>
      </w:r>
    </w:p>
    <w:p w14:paraId="166780EF" w14:textId="77777777" w:rsidR="005C1252" w:rsidRDefault="005C1252" w:rsidP="005C1252">
      <w:pPr>
        <w:pStyle w:val="a0"/>
        <w:numPr>
          <w:ilvl w:val="0"/>
          <w:numId w:val="4"/>
        </w:numPr>
        <w:spacing w:line="360" w:lineRule="auto"/>
        <w:rPr>
          <w:rFonts w:ascii="宋体" w:hAnsi="宋体" w:cs="宋体"/>
          <w:sz w:val="24"/>
        </w:rPr>
      </w:pPr>
      <w:r>
        <w:rPr>
          <w:rFonts w:ascii="宋体" w:hAnsi="宋体" w:cs="宋体" w:hint="eastAsia"/>
          <w:sz w:val="24"/>
          <w:lang w:eastAsia="zh-Hans"/>
        </w:rPr>
        <w:t>燃</w:t>
      </w:r>
      <w:r>
        <w:rPr>
          <w:rFonts w:ascii="宋体" w:hAnsi="宋体" w:cs="宋体" w:hint="eastAsia"/>
          <w:sz w:val="24"/>
        </w:rPr>
        <w:t>料作为还原剂时不进行扣减</w:t>
      </w:r>
      <w:r>
        <w:rPr>
          <w:rFonts w:ascii="宋体" w:hAnsi="宋体" w:cs="宋体"/>
          <w:sz w:val="24"/>
        </w:rPr>
        <w:t>；</w:t>
      </w:r>
    </w:p>
    <w:p w14:paraId="1BCA0ECB" w14:textId="77777777" w:rsidR="005C1252" w:rsidRDefault="005C1252" w:rsidP="005C1252">
      <w:pPr>
        <w:pStyle w:val="a0"/>
        <w:numPr>
          <w:ilvl w:val="0"/>
          <w:numId w:val="4"/>
        </w:numPr>
        <w:spacing w:line="360" w:lineRule="auto"/>
        <w:rPr>
          <w:rFonts w:ascii="宋体" w:hAnsi="宋体" w:cs="宋体"/>
          <w:sz w:val="24"/>
        </w:rPr>
      </w:pPr>
      <w:r>
        <w:rPr>
          <w:rFonts w:ascii="宋体" w:hAnsi="宋体" w:cs="宋体"/>
          <w:sz w:val="24"/>
        </w:rPr>
        <w:t>在原料品位下降、环保设施增加、自动化水平提升的情况下，</w:t>
      </w:r>
      <w:r>
        <w:rPr>
          <w:rFonts w:ascii="宋体" w:hAnsi="宋体" w:cs="宋体" w:hint="eastAsia"/>
          <w:sz w:val="24"/>
        </w:rPr>
        <w:t>补充</w:t>
      </w:r>
      <w:r>
        <w:rPr>
          <w:rFonts w:ascii="宋体" w:hAnsi="宋体" w:cs="宋体"/>
          <w:sz w:val="24"/>
        </w:rPr>
        <w:t>能耗大幅下降的确切理由，并</w:t>
      </w:r>
      <w:r>
        <w:rPr>
          <w:rFonts w:ascii="宋体" w:hAnsi="宋体" w:cs="宋体" w:hint="eastAsia"/>
          <w:sz w:val="24"/>
        </w:rPr>
        <w:t>在编制说明中</w:t>
      </w:r>
      <w:r>
        <w:rPr>
          <w:rFonts w:ascii="宋体" w:hAnsi="宋体" w:cs="宋体"/>
          <w:sz w:val="24"/>
        </w:rPr>
        <w:t>进行详细说明；</w:t>
      </w:r>
    </w:p>
    <w:p w14:paraId="31A63D8A" w14:textId="77777777" w:rsidR="005C1252" w:rsidRDefault="005C1252" w:rsidP="005C1252">
      <w:pPr>
        <w:pStyle w:val="a0"/>
        <w:numPr>
          <w:ilvl w:val="0"/>
          <w:numId w:val="4"/>
        </w:numPr>
        <w:spacing w:line="360" w:lineRule="auto"/>
        <w:rPr>
          <w:rFonts w:ascii="宋体" w:hAnsi="宋体" w:cs="宋体"/>
          <w:sz w:val="24"/>
        </w:rPr>
      </w:pPr>
      <w:r>
        <w:rPr>
          <w:rFonts w:ascii="宋体" w:hAnsi="宋体" w:cs="宋体" w:hint="eastAsia"/>
          <w:sz w:val="24"/>
        </w:rPr>
        <w:t>编制组统一</w:t>
      </w:r>
      <w:r>
        <w:rPr>
          <w:rFonts w:ascii="宋体" w:hAnsi="宋体" w:cs="宋体"/>
          <w:sz w:val="24"/>
        </w:rPr>
        <w:t>外购阳极铜、粗铜等按比例分开计算产量</w:t>
      </w:r>
      <w:r>
        <w:rPr>
          <w:rFonts w:ascii="宋体" w:hAnsi="宋体" w:cs="宋体" w:hint="eastAsia"/>
          <w:sz w:val="24"/>
        </w:rPr>
        <w:t>的原则</w:t>
      </w:r>
      <w:r>
        <w:rPr>
          <w:rFonts w:ascii="宋体" w:hAnsi="宋体" w:cs="宋体"/>
          <w:sz w:val="24"/>
        </w:rPr>
        <w:t>；</w:t>
      </w:r>
    </w:p>
    <w:p w14:paraId="5193AF06" w14:textId="77777777" w:rsidR="005C1252" w:rsidRDefault="005C1252" w:rsidP="005C1252">
      <w:pPr>
        <w:pStyle w:val="a0"/>
        <w:numPr>
          <w:ilvl w:val="0"/>
          <w:numId w:val="4"/>
        </w:numPr>
        <w:spacing w:line="360" w:lineRule="auto"/>
        <w:rPr>
          <w:rFonts w:ascii="宋体" w:hAnsi="宋体" w:cs="宋体"/>
          <w:sz w:val="24"/>
        </w:rPr>
      </w:pPr>
      <w:r>
        <w:rPr>
          <w:rFonts w:ascii="宋体" w:hAnsi="宋体" w:cs="宋体" w:hint="eastAsia"/>
          <w:sz w:val="24"/>
        </w:rPr>
        <w:t>牵头单位再次核实数据的一致性，并对</w:t>
      </w:r>
      <w:hyperlink r:id="rId7" w:tgtFrame="https://www.baidu.com/_blank" w:history="1">
        <w:r>
          <w:rPr>
            <w:rFonts w:ascii="宋体" w:hAnsi="宋体" w:cs="宋体" w:hint="eastAsia"/>
            <w:sz w:val="24"/>
          </w:rPr>
          <w:t>国投金城冶金有限责任公司</w:t>
        </w:r>
      </w:hyperlink>
      <w:r>
        <w:rPr>
          <w:rFonts w:ascii="宋体" w:hAnsi="宋体" w:cs="宋体"/>
          <w:sz w:val="24"/>
        </w:rPr>
        <w:t>、河南中原黄金冶炼厂</w:t>
      </w:r>
      <w:r>
        <w:rPr>
          <w:rFonts w:ascii="宋体" w:hAnsi="宋体" w:cs="宋体" w:hint="eastAsia"/>
          <w:sz w:val="24"/>
        </w:rPr>
        <w:t>等单位开展数据的征集工作</w:t>
      </w:r>
      <w:r>
        <w:rPr>
          <w:rFonts w:ascii="宋体" w:hAnsi="宋体" w:cs="宋体"/>
          <w:sz w:val="24"/>
        </w:rPr>
        <w:t>。</w:t>
      </w:r>
    </w:p>
    <w:p w14:paraId="29AE557E" w14:textId="77777777" w:rsidR="005C1252" w:rsidRDefault="005C1252" w:rsidP="005C1252">
      <w:pPr>
        <w:numPr>
          <w:ilvl w:val="0"/>
          <w:numId w:val="3"/>
        </w:numPr>
        <w:snapToGrid w:val="0"/>
        <w:spacing w:line="360" w:lineRule="auto"/>
        <w:rPr>
          <w:rFonts w:ascii="宋体" w:hAnsi="宋体"/>
          <w:b/>
          <w:bCs/>
          <w:sz w:val="24"/>
        </w:rPr>
      </w:pPr>
      <w:r>
        <w:rPr>
          <w:rFonts w:ascii="宋体" w:hAnsi="宋体" w:hint="eastAsia"/>
          <w:b/>
          <w:bCs/>
          <w:sz w:val="24"/>
        </w:rPr>
        <w:t>镍冶炼部分</w:t>
      </w:r>
    </w:p>
    <w:p w14:paraId="20129439" w14:textId="77777777" w:rsidR="005C1252" w:rsidRDefault="005C1252" w:rsidP="005C1252">
      <w:pPr>
        <w:pStyle w:val="a0"/>
        <w:numPr>
          <w:ilvl w:val="0"/>
          <w:numId w:val="5"/>
        </w:numPr>
        <w:spacing w:line="360" w:lineRule="auto"/>
        <w:rPr>
          <w:rFonts w:ascii="宋体" w:hAnsi="宋体" w:cs="宋体"/>
          <w:sz w:val="24"/>
        </w:rPr>
      </w:pPr>
      <w:r>
        <w:rPr>
          <w:rFonts w:ascii="宋体" w:hAnsi="宋体" w:cs="宋体" w:hint="eastAsia"/>
          <w:sz w:val="24"/>
        </w:rPr>
        <w:t>牵头单位补充部分指标调整后上升的理由</w:t>
      </w:r>
      <w:r>
        <w:rPr>
          <w:rFonts w:ascii="宋体" w:hAnsi="宋体" w:cs="宋体"/>
          <w:sz w:val="24"/>
        </w:rPr>
        <w:t>，</w:t>
      </w:r>
      <w:r>
        <w:rPr>
          <w:rFonts w:ascii="宋体" w:hAnsi="宋体" w:cs="宋体" w:hint="eastAsia"/>
          <w:sz w:val="24"/>
        </w:rPr>
        <w:t>并在编制说明中进行详细说明</w:t>
      </w:r>
      <w:r>
        <w:rPr>
          <w:rFonts w:ascii="宋体" w:hAnsi="宋体" w:cs="宋体"/>
          <w:sz w:val="24"/>
        </w:rPr>
        <w:t>；</w:t>
      </w:r>
    </w:p>
    <w:p w14:paraId="03CD1332" w14:textId="77777777" w:rsidR="005C1252" w:rsidRDefault="005C1252" w:rsidP="005C1252">
      <w:pPr>
        <w:pStyle w:val="a0"/>
        <w:numPr>
          <w:ilvl w:val="0"/>
          <w:numId w:val="5"/>
        </w:numPr>
        <w:spacing w:line="360" w:lineRule="auto"/>
        <w:rPr>
          <w:rFonts w:ascii="宋体" w:hAnsi="宋体" w:cs="宋体"/>
          <w:sz w:val="24"/>
        </w:rPr>
      </w:pPr>
      <w:r>
        <w:rPr>
          <w:rFonts w:ascii="宋体" w:hAnsi="宋体" w:cs="宋体" w:hint="eastAsia"/>
          <w:sz w:val="24"/>
        </w:rPr>
        <w:t>镍业分会协助提供国内、国际镍资源的有关数据，分析国内镍资源、镍冶炼</w:t>
      </w:r>
    </w:p>
    <w:p w14:paraId="6D661963" w14:textId="77777777" w:rsidR="005C1252" w:rsidRDefault="005C1252" w:rsidP="005C1252">
      <w:pPr>
        <w:pStyle w:val="a0"/>
        <w:spacing w:line="360" w:lineRule="auto"/>
        <w:ind w:left="707" w:firstLine="0"/>
        <w:rPr>
          <w:rFonts w:ascii="宋体" w:hAnsi="宋体" w:cs="宋体"/>
          <w:sz w:val="24"/>
        </w:rPr>
      </w:pPr>
      <w:r>
        <w:rPr>
          <w:rFonts w:ascii="宋体" w:hAnsi="宋体" w:cs="宋体" w:hint="eastAsia"/>
          <w:sz w:val="24"/>
        </w:rPr>
        <w:t>现状</w:t>
      </w:r>
      <w:r>
        <w:rPr>
          <w:rFonts w:ascii="宋体" w:hAnsi="宋体" w:cs="宋体"/>
          <w:sz w:val="24"/>
        </w:rPr>
        <w:t>，</w:t>
      </w:r>
      <w:r>
        <w:rPr>
          <w:rFonts w:ascii="宋体" w:hAnsi="宋体" w:cs="宋体" w:hint="eastAsia"/>
          <w:sz w:val="24"/>
        </w:rPr>
        <w:t>并在编制说明中进行补充。</w:t>
      </w:r>
    </w:p>
    <w:p w14:paraId="00E8DBF6" w14:textId="77777777" w:rsidR="005C1252" w:rsidRDefault="005C1252" w:rsidP="005C1252">
      <w:pPr>
        <w:pStyle w:val="a0"/>
        <w:numPr>
          <w:ilvl w:val="0"/>
          <w:numId w:val="3"/>
        </w:numPr>
        <w:spacing w:line="360" w:lineRule="auto"/>
        <w:rPr>
          <w:rFonts w:ascii="宋体" w:hAnsi="宋体" w:cs="宋体"/>
          <w:b/>
          <w:bCs/>
          <w:sz w:val="24"/>
        </w:rPr>
      </w:pPr>
      <w:proofErr w:type="gramStart"/>
      <w:r>
        <w:rPr>
          <w:rFonts w:ascii="宋体" w:hAnsi="宋体" w:cs="宋体" w:hint="eastAsia"/>
          <w:b/>
          <w:bCs/>
          <w:sz w:val="24"/>
        </w:rPr>
        <w:t>钴</w:t>
      </w:r>
      <w:proofErr w:type="gramEnd"/>
      <w:r>
        <w:rPr>
          <w:rFonts w:ascii="宋体" w:hAnsi="宋体" w:cs="宋体" w:hint="eastAsia"/>
          <w:b/>
          <w:bCs/>
          <w:sz w:val="24"/>
        </w:rPr>
        <w:t>冶炼部分</w:t>
      </w:r>
    </w:p>
    <w:p w14:paraId="004B1C8D" w14:textId="77777777" w:rsidR="005C1252" w:rsidRDefault="005C1252" w:rsidP="005C1252">
      <w:pPr>
        <w:pStyle w:val="a0"/>
        <w:numPr>
          <w:ilvl w:val="0"/>
          <w:numId w:val="6"/>
        </w:numPr>
        <w:spacing w:line="360" w:lineRule="auto"/>
        <w:rPr>
          <w:rFonts w:ascii="宋体" w:hAnsi="宋体" w:cs="宋体"/>
          <w:sz w:val="24"/>
        </w:rPr>
      </w:pPr>
      <w:r>
        <w:rPr>
          <w:rFonts w:ascii="宋体" w:hAnsi="宋体" w:cs="宋体" w:hint="eastAsia"/>
          <w:sz w:val="24"/>
        </w:rPr>
        <w:t>编制组统一废水处理统计口径</w:t>
      </w:r>
      <w:r>
        <w:rPr>
          <w:rFonts w:ascii="宋体" w:hAnsi="宋体" w:cs="宋体"/>
          <w:sz w:val="24"/>
        </w:rPr>
        <w:t>，</w:t>
      </w:r>
      <w:r>
        <w:rPr>
          <w:rFonts w:ascii="宋体" w:hAnsi="宋体" w:cs="宋体" w:hint="eastAsia"/>
          <w:sz w:val="24"/>
          <w:lang w:eastAsia="zh-Hans"/>
        </w:rPr>
        <w:t>及</w:t>
      </w:r>
      <w:r>
        <w:rPr>
          <w:rFonts w:ascii="宋体" w:hAnsi="宋体" w:cs="宋体"/>
          <w:sz w:val="24"/>
        </w:rPr>
        <w:t>蒸发结晶工艺的能耗统计</w:t>
      </w:r>
      <w:r>
        <w:rPr>
          <w:rFonts w:ascii="宋体" w:hAnsi="宋体" w:cs="宋体" w:hint="eastAsia"/>
          <w:sz w:val="24"/>
        </w:rPr>
        <w:t>口径</w:t>
      </w:r>
      <w:r>
        <w:rPr>
          <w:rFonts w:ascii="宋体" w:hAnsi="宋体" w:cs="宋体"/>
          <w:sz w:val="24"/>
        </w:rPr>
        <w:t>；</w:t>
      </w:r>
    </w:p>
    <w:p w14:paraId="5C92F8D5" w14:textId="77777777" w:rsidR="005C1252" w:rsidRDefault="005C1252" w:rsidP="005C1252">
      <w:pPr>
        <w:pStyle w:val="a0"/>
        <w:numPr>
          <w:ilvl w:val="0"/>
          <w:numId w:val="6"/>
        </w:numPr>
        <w:spacing w:line="360" w:lineRule="auto"/>
        <w:rPr>
          <w:rFonts w:ascii="宋体" w:hAnsi="宋体" w:cs="宋体"/>
          <w:sz w:val="24"/>
        </w:rPr>
      </w:pPr>
      <w:r>
        <w:rPr>
          <w:rFonts w:ascii="宋体" w:hAnsi="宋体" w:cs="宋体" w:hint="eastAsia"/>
          <w:sz w:val="24"/>
        </w:rPr>
        <w:t>牵头单位应调研硫酸</w:t>
      </w:r>
      <w:proofErr w:type="gramStart"/>
      <w:r>
        <w:rPr>
          <w:rFonts w:ascii="宋体" w:hAnsi="宋体" w:cs="宋体" w:hint="eastAsia"/>
          <w:sz w:val="24"/>
        </w:rPr>
        <w:t>钴</w:t>
      </w:r>
      <w:proofErr w:type="gramEnd"/>
      <w:r>
        <w:rPr>
          <w:rFonts w:ascii="宋体" w:hAnsi="宋体" w:cs="宋体" w:hint="eastAsia"/>
          <w:sz w:val="24"/>
        </w:rPr>
        <w:t>盐类生产企业</w:t>
      </w:r>
      <w:r>
        <w:rPr>
          <w:rFonts w:ascii="宋体" w:hAnsi="宋体" w:cs="宋体"/>
          <w:sz w:val="24"/>
        </w:rPr>
        <w:t>，</w:t>
      </w:r>
      <w:proofErr w:type="gramStart"/>
      <w:r>
        <w:rPr>
          <w:rFonts w:ascii="宋体" w:hAnsi="宋体" w:cs="宋体" w:hint="eastAsia"/>
          <w:sz w:val="24"/>
        </w:rPr>
        <w:t>统一</w:t>
      </w:r>
      <w:r>
        <w:rPr>
          <w:rFonts w:ascii="宋体" w:hAnsi="宋体" w:cs="宋体"/>
          <w:sz w:val="24"/>
        </w:rPr>
        <w:t>纳标</w:t>
      </w:r>
      <w:r>
        <w:rPr>
          <w:rFonts w:ascii="宋体" w:hAnsi="宋体" w:cs="宋体" w:hint="eastAsia"/>
          <w:sz w:val="24"/>
        </w:rPr>
        <w:t>范围</w:t>
      </w:r>
      <w:proofErr w:type="gramEnd"/>
      <w:r>
        <w:rPr>
          <w:rFonts w:ascii="宋体" w:hAnsi="宋体" w:cs="宋体"/>
          <w:sz w:val="24"/>
        </w:rPr>
        <w:t>；</w:t>
      </w:r>
    </w:p>
    <w:p w14:paraId="0D60DDC8" w14:textId="77777777" w:rsidR="005C1252" w:rsidRDefault="005C1252" w:rsidP="005C1252">
      <w:pPr>
        <w:pStyle w:val="a0"/>
        <w:numPr>
          <w:ilvl w:val="0"/>
          <w:numId w:val="6"/>
        </w:numPr>
        <w:spacing w:line="360" w:lineRule="auto"/>
        <w:rPr>
          <w:rFonts w:ascii="宋体" w:hAnsi="宋体" w:cs="宋体"/>
          <w:sz w:val="24"/>
        </w:rPr>
      </w:pPr>
      <w:r>
        <w:rPr>
          <w:rFonts w:ascii="宋体" w:hAnsi="宋体" w:cs="宋体" w:hint="eastAsia"/>
          <w:sz w:val="24"/>
        </w:rPr>
        <w:t>牵头单位根据</w:t>
      </w:r>
      <w:r>
        <w:rPr>
          <w:rFonts w:ascii="宋体" w:hAnsi="宋体" w:cs="宋体"/>
          <w:sz w:val="24"/>
        </w:rPr>
        <w:t>不同原料与不同产品工艺流程，调整数据调研表；</w:t>
      </w:r>
    </w:p>
    <w:p w14:paraId="5828F9ED" w14:textId="77777777" w:rsidR="005C1252" w:rsidRDefault="005C1252" w:rsidP="005C1252">
      <w:pPr>
        <w:pStyle w:val="a0"/>
        <w:numPr>
          <w:ilvl w:val="0"/>
          <w:numId w:val="6"/>
        </w:numPr>
        <w:spacing w:line="360" w:lineRule="auto"/>
        <w:rPr>
          <w:rFonts w:ascii="宋体" w:hAnsi="宋体" w:cs="宋体"/>
          <w:sz w:val="24"/>
        </w:rPr>
      </w:pPr>
      <w:r>
        <w:rPr>
          <w:rFonts w:ascii="宋体" w:hAnsi="宋体" w:cs="宋体" w:hint="eastAsia"/>
          <w:sz w:val="24"/>
        </w:rPr>
        <w:t>牵头单位更新和补充</w:t>
      </w:r>
      <w:proofErr w:type="gramStart"/>
      <w:r>
        <w:rPr>
          <w:rFonts w:ascii="宋体" w:hAnsi="宋体" w:cs="宋体" w:hint="eastAsia"/>
          <w:sz w:val="24"/>
        </w:rPr>
        <w:t>钴</w:t>
      </w:r>
      <w:proofErr w:type="gramEnd"/>
      <w:r>
        <w:rPr>
          <w:rFonts w:ascii="宋体" w:hAnsi="宋体" w:cs="宋体" w:hint="eastAsia"/>
          <w:sz w:val="24"/>
        </w:rPr>
        <w:t>冶炼企业数据</w:t>
      </w:r>
      <w:r>
        <w:rPr>
          <w:rFonts w:ascii="宋体" w:hAnsi="宋体" w:cs="宋体"/>
          <w:sz w:val="24"/>
        </w:rPr>
        <w:t>，</w:t>
      </w:r>
      <w:r>
        <w:rPr>
          <w:rFonts w:ascii="宋体" w:hAnsi="宋体" w:cs="宋体" w:hint="eastAsia"/>
          <w:sz w:val="24"/>
        </w:rPr>
        <w:t>统筹</w:t>
      </w:r>
      <w:r>
        <w:rPr>
          <w:rFonts w:ascii="宋体" w:hAnsi="宋体" w:cs="宋体"/>
          <w:sz w:val="24"/>
        </w:rPr>
        <w:t>考虑淘汰</w:t>
      </w:r>
      <w:r>
        <w:rPr>
          <w:rFonts w:ascii="宋体" w:hAnsi="宋体" w:cs="宋体" w:hint="eastAsia"/>
          <w:sz w:val="24"/>
        </w:rPr>
        <w:t>后</w:t>
      </w:r>
      <w:r>
        <w:rPr>
          <w:rFonts w:ascii="宋体" w:hAnsi="宋体" w:cs="宋体"/>
          <w:sz w:val="24"/>
        </w:rPr>
        <w:t>20%落后产能的问题。</w:t>
      </w:r>
    </w:p>
    <w:p w14:paraId="3708E2BF" w14:textId="77777777" w:rsidR="005C1252" w:rsidRDefault="005C1252" w:rsidP="005C1252">
      <w:pPr>
        <w:pStyle w:val="a0"/>
        <w:numPr>
          <w:ilvl w:val="0"/>
          <w:numId w:val="3"/>
        </w:numPr>
        <w:spacing w:line="360" w:lineRule="auto"/>
        <w:rPr>
          <w:rFonts w:ascii="宋体" w:hAnsi="宋体" w:cs="宋体"/>
          <w:b/>
          <w:bCs/>
          <w:sz w:val="24"/>
        </w:rPr>
      </w:pPr>
      <w:proofErr w:type="gramStart"/>
      <w:r>
        <w:rPr>
          <w:rFonts w:ascii="宋体" w:hAnsi="宋体" w:cs="宋体" w:hint="eastAsia"/>
          <w:b/>
          <w:bCs/>
          <w:sz w:val="24"/>
        </w:rPr>
        <w:t>锌</w:t>
      </w:r>
      <w:proofErr w:type="gramEnd"/>
      <w:r>
        <w:rPr>
          <w:rFonts w:ascii="宋体" w:hAnsi="宋体" w:cs="宋体" w:hint="eastAsia"/>
          <w:b/>
          <w:bCs/>
          <w:sz w:val="24"/>
        </w:rPr>
        <w:t>冶炼部分</w:t>
      </w:r>
    </w:p>
    <w:p w14:paraId="6AEF9792" w14:textId="77777777" w:rsidR="005C1252" w:rsidRDefault="005C1252" w:rsidP="005C1252">
      <w:pPr>
        <w:pStyle w:val="a0"/>
        <w:numPr>
          <w:ilvl w:val="0"/>
          <w:numId w:val="7"/>
        </w:numPr>
        <w:spacing w:line="360" w:lineRule="auto"/>
        <w:rPr>
          <w:rFonts w:ascii="宋体" w:hAnsi="宋体" w:cs="宋体"/>
          <w:sz w:val="24"/>
        </w:rPr>
      </w:pPr>
      <w:r>
        <w:rPr>
          <w:rFonts w:ascii="宋体" w:hAnsi="宋体" w:cs="宋体" w:hint="eastAsia"/>
          <w:sz w:val="24"/>
        </w:rPr>
        <w:t>现阶段统计的环保能耗计入单位产品能耗</w:t>
      </w:r>
      <w:r>
        <w:rPr>
          <w:rFonts w:ascii="宋体" w:hAnsi="宋体" w:cs="宋体"/>
          <w:sz w:val="24"/>
        </w:rPr>
        <w:t>，</w:t>
      </w:r>
      <w:r>
        <w:rPr>
          <w:rFonts w:ascii="宋体" w:hAnsi="宋体" w:cs="宋体" w:hint="eastAsia"/>
          <w:sz w:val="24"/>
        </w:rPr>
        <w:t>不再进行单列</w:t>
      </w:r>
      <w:r>
        <w:rPr>
          <w:rFonts w:ascii="宋体" w:hAnsi="宋体" w:cs="宋体"/>
          <w:sz w:val="24"/>
        </w:rPr>
        <w:t>；</w:t>
      </w:r>
    </w:p>
    <w:p w14:paraId="0496A23F" w14:textId="77777777" w:rsidR="005C1252" w:rsidRDefault="005C1252" w:rsidP="005C1252">
      <w:pPr>
        <w:pStyle w:val="a0"/>
        <w:numPr>
          <w:ilvl w:val="0"/>
          <w:numId w:val="7"/>
        </w:numPr>
        <w:spacing w:line="360" w:lineRule="auto"/>
        <w:rPr>
          <w:rFonts w:ascii="宋体" w:hAnsi="宋体" w:cs="宋体"/>
          <w:sz w:val="24"/>
        </w:rPr>
      </w:pPr>
      <w:r>
        <w:rPr>
          <w:rFonts w:ascii="宋体" w:hAnsi="宋体" w:cs="宋体" w:hint="eastAsia"/>
          <w:sz w:val="24"/>
        </w:rPr>
        <w:lastRenderedPageBreak/>
        <w:t>编制组统一</w:t>
      </w:r>
      <w:r>
        <w:rPr>
          <w:rFonts w:ascii="宋体" w:hAnsi="宋体" w:cs="宋体"/>
          <w:sz w:val="24"/>
        </w:rPr>
        <w:t>余热余能的扣减</w:t>
      </w:r>
      <w:r>
        <w:rPr>
          <w:rFonts w:ascii="宋体" w:hAnsi="宋体" w:cs="宋体" w:hint="eastAsia"/>
          <w:sz w:val="24"/>
        </w:rPr>
        <w:t>原则</w:t>
      </w:r>
      <w:r>
        <w:rPr>
          <w:rFonts w:ascii="宋体" w:hAnsi="宋体" w:cs="宋体"/>
          <w:sz w:val="24"/>
        </w:rPr>
        <w:t>；</w:t>
      </w:r>
    </w:p>
    <w:p w14:paraId="21DAF513" w14:textId="77777777" w:rsidR="005C1252" w:rsidRDefault="005C1252" w:rsidP="005C1252">
      <w:pPr>
        <w:pStyle w:val="a0"/>
        <w:numPr>
          <w:ilvl w:val="0"/>
          <w:numId w:val="7"/>
        </w:numPr>
        <w:spacing w:line="360" w:lineRule="auto"/>
        <w:rPr>
          <w:rFonts w:ascii="宋体" w:hAnsi="宋体" w:cs="宋体"/>
          <w:sz w:val="24"/>
        </w:rPr>
      </w:pPr>
      <w:r>
        <w:rPr>
          <w:rFonts w:ascii="宋体" w:hAnsi="宋体" w:cs="宋体" w:hint="eastAsia"/>
          <w:sz w:val="24"/>
        </w:rPr>
        <w:t>编制组确定制酸工艺边界</w:t>
      </w:r>
      <w:r>
        <w:rPr>
          <w:rFonts w:ascii="宋体" w:hAnsi="宋体" w:cs="宋体"/>
          <w:sz w:val="24"/>
        </w:rPr>
        <w:t>；</w:t>
      </w:r>
    </w:p>
    <w:p w14:paraId="67F8977E" w14:textId="77777777" w:rsidR="005C1252" w:rsidRDefault="005C1252" w:rsidP="005C1252">
      <w:pPr>
        <w:pStyle w:val="a0"/>
        <w:numPr>
          <w:ilvl w:val="0"/>
          <w:numId w:val="7"/>
        </w:numPr>
        <w:spacing w:line="360" w:lineRule="auto"/>
        <w:rPr>
          <w:rFonts w:ascii="宋体" w:hAnsi="宋体" w:cs="宋体"/>
          <w:sz w:val="24"/>
        </w:rPr>
      </w:pPr>
      <w:r>
        <w:rPr>
          <w:rFonts w:ascii="宋体" w:hAnsi="宋体" w:cs="宋体" w:hint="eastAsia"/>
          <w:sz w:val="24"/>
        </w:rPr>
        <w:t>编制组统一含渣处理能耗的计算原则</w:t>
      </w:r>
      <w:r>
        <w:rPr>
          <w:rFonts w:ascii="宋体" w:hAnsi="宋体" w:cs="宋体"/>
          <w:sz w:val="24"/>
        </w:rPr>
        <w:t>，</w:t>
      </w:r>
      <w:r>
        <w:rPr>
          <w:rFonts w:ascii="宋体" w:hAnsi="宋体" w:cs="宋体" w:hint="eastAsia"/>
          <w:sz w:val="24"/>
          <w:lang w:eastAsia="zh-Hans"/>
        </w:rPr>
        <w:t>并</w:t>
      </w:r>
      <w:r>
        <w:rPr>
          <w:rFonts w:ascii="宋体" w:hAnsi="宋体" w:cs="宋体" w:hint="eastAsia"/>
          <w:sz w:val="24"/>
        </w:rPr>
        <w:t>与江西铜业铅锌金属有限公司等企业讨论统一铅锌联合冶炼中含锌浸出渣处理能耗的计算原则</w:t>
      </w:r>
      <w:r>
        <w:rPr>
          <w:rFonts w:ascii="宋体" w:hAnsi="宋体" w:cs="宋体"/>
          <w:sz w:val="24"/>
        </w:rPr>
        <w:t>；</w:t>
      </w:r>
    </w:p>
    <w:p w14:paraId="46D8A273" w14:textId="77777777" w:rsidR="005C1252" w:rsidRDefault="005C1252" w:rsidP="005C1252">
      <w:pPr>
        <w:pStyle w:val="a0"/>
        <w:numPr>
          <w:ilvl w:val="0"/>
          <w:numId w:val="7"/>
        </w:numPr>
        <w:spacing w:line="360" w:lineRule="auto"/>
        <w:rPr>
          <w:rFonts w:ascii="宋体" w:hAnsi="宋体" w:cs="宋体"/>
          <w:sz w:val="24"/>
        </w:rPr>
      </w:pPr>
      <w:r>
        <w:rPr>
          <w:rFonts w:ascii="宋体" w:hAnsi="宋体" w:cs="宋体" w:hint="eastAsia"/>
          <w:sz w:val="24"/>
        </w:rPr>
        <w:t>数据提供单位核实</w:t>
      </w:r>
      <w:r>
        <w:rPr>
          <w:rFonts w:ascii="宋体" w:hAnsi="宋体" w:cs="宋体"/>
          <w:sz w:val="24"/>
        </w:rPr>
        <w:t>近年来入炉原料主品位变化情况，</w:t>
      </w:r>
      <w:r>
        <w:rPr>
          <w:rFonts w:ascii="宋体" w:hAnsi="宋体" w:cs="宋体" w:hint="eastAsia"/>
          <w:sz w:val="24"/>
        </w:rPr>
        <w:t>由牵头单位汇总和整理</w:t>
      </w:r>
      <w:r>
        <w:rPr>
          <w:rFonts w:ascii="宋体" w:hAnsi="宋体" w:cs="宋体"/>
          <w:sz w:val="24"/>
        </w:rPr>
        <w:t>；</w:t>
      </w:r>
    </w:p>
    <w:p w14:paraId="7FDD0245" w14:textId="77777777" w:rsidR="005C1252" w:rsidRDefault="005C1252" w:rsidP="005C1252">
      <w:pPr>
        <w:pStyle w:val="a0"/>
        <w:numPr>
          <w:ilvl w:val="0"/>
          <w:numId w:val="7"/>
        </w:numPr>
        <w:spacing w:line="360" w:lineRule="auto"/>
        <w:rPr>
          <w:rFonts w:ascii="宋体" w:hAnsi="宋体" w:cs="宋体"/>
          <w:sz w:val="24"/>
        </w:rPr>
      </w:pPr>
      <w:r>
        <w:rPr>
          <w:rFonts w:ascii="宋体" w:hAnsi="宋体" w:cs="宋体" w:hint="eastAsia"/>
          <w:sz w:val="24"/>
        </w:rPr>
        <w:t>牵头单位及</w:t>
      </w:r>
      <w:proofErr w:type="gramStart"/>
      <w:r>
        <w:rPr>
          <w:rFonts w:ascii="宋体" w:hAnsi="宋体" w:cs="宋体" w:hint="eastAsia"/>
          <w:sz w:val="24"/>
        </w:rPr>
        <w:t>鑫</w:t>
      </w:r>
      <w:proofErr w:type="gramEnd"/>
      <w:r>
        <w:rPr>
          <w:rFonts w:ascii="宋体" w:hAnsi="宋体" w:cs="宋体" w:hint="eastAsia"/>
          <w:sz w:val="24"/>
        </w:rPr>
        <w:t>联环保科技</w:t>
      </w:r>
      <w:proofErr w:type="gramStart"/>
      <w:r>
        <w:rPr>
          <w:rFonts w:ascii="宋体" w:hAnsi="宋体" w:cs="宋体" w:hint="eastAsia"/>
          <w:sz w:val="24"/>
        </w:rPr>
        <w:t>股份有限公司等锌二次</w:t>
      </w:r>
      <w:proofErr w:type="gramEnd"/>
      <w:r>
        <w:rPr>
          <w:rFonts w:ascii="宋体" w:hAnsi="宋体" w:cs="宋体" w:hint="eastAsia"/>
          <w:sz w:val="24"/>
        </w:rPr>
        <w:t>资源冶炼企业讨论确定含锌二次资源的计算边界</w:t>
      </w:r>
      <w:r>
        <w:rPr>
          <w:rFonts w:ascii="宋体" w:hAnsi="宋体" w:cs="宋体"/>
          <w:sz w:val="24"/>
        </w:rPr>
        <w:t>，</w:t>
      </w:r>
      <w:r>
        <w:rPr>
          <w:rFonts w:ascii="宋体" w:hAnsi="宋体" w:cs="宋体" w:hint="eastAsia"/>
          <w:sz w:val="24"/>
        </w:rPr>
        <w:t>及二次资源冶炼三级指标的设定原则</w:t>
      </w:r>
      <w:r>
        <w:rPr>
          <w:rFonts w:ascii="宋体" w:hAnsi="宋体" w:cs="宋体"/>
          <w:sz w:val="24"/>
        </w:rPr>
        <w:t>。</w:t>
      </w:r>
    </w:p>
    <w:p w14:paraId="5CAD11DE" w14:textId="77777777" w:rsidR="005C1252" w:rsidRDefault="005C1252" w:rsidP="005C1252">
      <w:pPr>
        <w:pStyle w:val="a0"/>
        <w:numPr>
          <w:ilvl w:val="0"/>
          <w:numId w:val="3"/>
        </w:numPr>
        <w:spacing w:line="360" w:lineRule="auto"/>
        <w:rPr>
          <w:rFonts w:ascii="宋体" w:hAnsi="宋体" w:cs="宋体"/>
          <w:b/>
          <w:bCs/>
          <w:sz w:val="24"/>
        </w:rPr>
      </w:pPr>
      <w:r>
        <w:rPr>
          <w:rFonts w:ascii="宋体" w:hAnsi="宋体" w:cs="宋体" w:hint="eastAsia"/>
          <w:b/>
          <w:bCs/>
          <w:sz w:val="24"/>
        </w:rPr>
        <w:t>铅冶炼部分</w:t>
      </w:r>
    </w:p>
    <w:p w14:paraId="769354C7" w14:textId="77777777" w:rsidR="005C1252" w:rsidRDefault="005C1252" w:rsidP="005C1252">
      <w:pPr>
        <w:pStyle w:val="a0"/>
        <w:numPr>
          <w:ilvl w:val="0"/>
          <w:numId w:val="8"/>
        </w:numPr>
        <w:spacing w:line="360" w:lineRule="auto"/>
        <w:rPr>
          <w:rFonts w:ascii="宋体" w:hAnsi="宋体" w:cs="宋体"/>
          <w:sz w:val="24"/>
        </w:rPr>
      </w:pPr>
      <w:r>
        <w:rPr>
          <w:rFonts w:ascii="宋体" w:hAnsi="宋体" w:cs="宋体" w:hint="eastAsia"/>
          <w:sz w:val="24"/>
        </w:rPr>
        <w:t>本部分不适用于以渣类为主要原料的回收铅生产工艺</w:t>
      </w:r>
      <w:r>
        <w:rPr>
          <w:rFonts w:ascii="宋体" w:hAnsi="宋体" w:cs="宋体"/>
          <w:sz w:val="24"/>
        </w:rPr>
        <w:t>；</w:t>
      </w:r>
    </w:p>
    <w:p w14:paraId="0D283C0D" w14:textId="77777777" w:rsidR="005C1252" w:rsidRDefault="005C1252" w:rsidP="005C1252">
      <w:pPr>
        <w:pStyle w:val="a0"/>
        <w:numPr>
          <w:ilvl w:val="0"/>
          <w:numId w:val="8"/>
        </w:numPr>
        <w:spacing w:line="360" w:lineRule="auto"/>
        <w:rPr>
          <w:rFonts w:ascii="宋体" w:hAnsi="宋体" w:cs="宋体"/>
          <w:sz w:val="24"/>
        </w:rPr>
      </w:pPr>
      <w:r>
        <w:rPr>
          <w:rFonts w:ascii="宋体" w:hAnsi="宋体" w:cs="宋体" w:hint="eastAsia"/>
          <w:sz w:val="24"/>
        </w:rPr>
        <w:t>编制组统一含金</w:t>
      </w:r>
      <w:r>
        <w:rPr>
          <w:rFonts w:ascii="宋体" w:hAnsi="宋体" w:cs="宋体"/>
          <w:sz w:val="24"/>
        </w:rPr>
        <w:t>、</w:t>
      </w:r>
      <w:r>
        <w:rPr>
          <w:rFonts w:ascii="宋体" w:hAnsi="宋体" w:cs="宋体" w:hint="eastAsia"/>
          <w:sz w:val="24"/>
        </w:rPr>
        <w:t>银等原料分摊计算原则</w:t>
      </w:r>
      <w:r>
        <w:rPr>
          <w:rFonts w:ascii="宋体" w:hAnsi="宋体" w:cs="宋体"/>
          <w:sz w:val="24"/>
        </w:rPr>
        <w:t>；</w:t>
      </w:r>
    </w:p>
    <w:p w14:paraId="5B94659C" w14:textId="77777777" w:rsidR="005C1252" w:rsidRDefault="005C1252" w:rsidP="005C1252">
      <w:pPr>
        <w:pStyle w:val="a0"/>
        <w:numPr>
          <w:ilvl w:val="0"/>
          <w:numId w:val="8"/>
        </w:numPr>
        <w:spacing w:line="360" w:lineRule="auto"/>
        <w:rPr>
          <w:rFonts w:ascii="宋体" w:hAnsi="宋体" w:cs="宋体"/>
          <w:sz w:val="24"/>
        </w:rPr>
      </w:pPr>
      <w:r>
        <w:rPr>
          <w:rFonts w:ascii="宋体" w:hAnsi="宋体" w:cs="宋体" w:hint="eastAsia"/>
          <w:sz w:val="24"/>
        </w:rPr>
        <w:t>牵头单位核实调研数据的准确性</w:t>
      </w:r>
      <w:r>
        <w:rPr>
          <w:rFonts w:ascii="宋体" w:hAnsi="宋体" w:cs="宋体"/>
          <w:sz w:val="24"/>
        </w:rPr>
        <w:t>，</w:t>
      </w:r>
      <w:r>
        <w:rPr>
          <w:rFonts w:ascii="宋体" w:hAnsi="宋体" w:cs="宋体" w:hint="eastAsia"/>
          <w:sz w:val="24"/>
        </w:rPr>
        <w:t>扩大调研数据的覆盖面</w:t>
      </w:r>
      <w:r>
        <w:rPr>
          <w:rFonts w:ascii="宋体" w:hAnsi="宋体" w:cs="宋体"/>
          <w:sz w:val="24"/>
        </w:rPr>
        <w:t>；</w:t>
      </w:r>
    </w:p>
    <w:p w14:paraId="670AF5ED" w14:textId="77777777" w:rsidR="005C1252" w:rsidRDefault="005C1252" w:rsidP="005C1252">
      <w:pPr>
        <w:pStyle w:val="a0"/>
        <w:numPr>
          <w:ilvl w:val="0"/>
          <w:numId w:val="8"/>
        </w:numPr>
        <w:spacing w:line="360" w:lineRule="auto"/>
        <w:rPr>
          <w:rFonts w:ascii="宋体" w:hAnsi="宋体" w:cs="宋体"/>
          <w:sz w:val="24"/>
        </w:rPr>
      </w:pPr>
      <w:r>
        <w:rPr>
          <w:rFonts w:ascii="宋体" w:hAnsi="宋体" w:cs="宋体" w:hint="eastAsia"/>
          <w:sz w:val="24"/>
        </w:rPr>
        <w:t>牵头单位补充指标大幅下降的理由</w:t>
      </w:r>
      <w:r>
        <w:rPr>
          <w:rFonts w:ascii="宋体" w:hAnsi="宋体" w:cs="宋体"/>
          <w:sz w:val="24"/>
        </w:rPr>
        <w:t>，</w:t>
      </w:r>
      <w:r>
        <w:rPr>
          <w:rFonts w:ascii="宋体" w:hAnsi="宋体" w:cs="宋体" w:hint="eastAsia"/>
          <w:sz w:val="24"/>
        </w:rPr>
        <w:t>并在编制说明中详细阐述</w:t>
      </w:r>
      <w:r>
        <w:rPr>
          <w:rFonts w:ascii="宋体" w:hAnsi="宋体" w:cs="宋体"/>
          <w:sz w:val="24"/>
        </w:rPr>
        <w:t>。</w:t>
      </w:r>
    </w:p>
    <w:p w14:paraId="2A896049" w14:textId="77777777" w:rsidR="005C1252" w:rsidRDefault="005C1252" w:rsidP="005C1252">
      <w:pPr>
        <w:pStyle w:val="a0"/>
        <w:numPr>
          <w:ilvl w:val="0"/>
          <w:numId w:val="3"/>
        </w:numPr>
        <w:spacing w:line="360" w:lineRule="auto"/>
        <w:rPr>
          <w:rFonts w:ascii="宋体" w:hAnsi="宋体" w:cs="宋体"/>
          <w:b/>
          <w:bCs/>
          <w:sz w:val="24"/>
        </w:rPr>
      </w:pPr>
      <w:r>
        <w:rPr>
          <w:rFonts w:ascii="宋体" w:hAnsi="宋体" w:cs="宋体" w:hint="eastAsia"/>
          <w:b/>
          <w:bCs/>
          <w:sz w:val="24"/>
        </w:rPr>
        <w:t>再生铅部分</w:t>
      </w:r>
    </w:p>
    <w:p w14:paraId="733FAC87" w14:textId="77777777" w:rsidR="005C1252" w:rsidRDefault="005C1252" w:rsidP="005C1252">
      <w:pPr>
        <w:pStyle w:val="a0"/>
        <w:numPr>
          <w:ilvl w:val="0"/>
          <w:numId w:val="9"/>
        </w:numPr>
        <w:spacing w:line="360" w:lineRule="auto"/>
        <w:rPr>
          <w:rFonts w:ascii="宋体" w:hAnsi="宋体" w:cs="宋体"/>
          <w:sz w:val="24"/>
        </w:rPr>
      </w:pPr>
      <w:r>
        <w:rPr>
          <w:rFonts w:ascii="宋体" w:hAnsi="宋体" w:cs="宋体" w:hint="eastAsia"/>
          <w:sz w:val="24"/>
        </w:rPr>
        <w:t>环保能耗纳入单位产品能耗计算</w:t>
      </w:r>
      <w:r>
        <w:rPr>
          <w:rFonts w:ascii="宋体" w:hAnsi="宋体" w:cs="宋体"/>
          <w:sz w:val="24"/>
        </w:rPr>
        <w:t>；</w:t>
      </w:r>
    </w:p>
    <w:p w14:paraId="6CCAB957" w14:textId="77777777" w:rsidR="005C1252" w:rsidRDefault="005C1252" w:rsidP="005C1252">
      <w:pPr>
        <w:pStyle w:val="a0"/>
        <w:numPr>
          <w:ilvl w:val="0"/>
          <w:numId w:val="9"/>
        </w:numPr>
        <w:spacing w:line="360" w:lineRule="auto"/>
        <w:rPr>
          <w:rFonts w:ascii="宋体" w:hAnsi="宋体" w:cs="宋体"/>
          <w:sz w:val="24"/>
        </w:rPr>
      </w:pPr>
      <w:r>
        <w:rPr>
          <w:rFonts w:ascii="宋体" w:hAnsi="宋体" w:cs="宋体" w:hint="eastAsia"/>
          <w:sz w:val="24"/>
        </w:rPr>
        <w:t>编制组统一计算口径</w:t>
      </w:r>
      <w:r>
        <w:rPr>
          <w:rFonts w:ascii="宋体" w:hAnsi="宋体" w:cs="宋体"/>
          <w:sz w:val="24"/>
        </w:rPr>
        <w:t>，</w:t>
      </w:r>
      <w:r>
        <w:rPr>
          <w:rFonts w:ascii="宋体" w:hAnsi="宋体" w:cs="宋体" w:hint="eastAsia"/>
          <w:sz w:val="24"/>
        </w:rPr>
        <w:t>并与现行版本的统计口径进行比较</w:t>
      </w:r>
      <w:r>
        <w:rPr>
          <w:rFonts w:ascii="宋体" w:hAnsi="宋体" w:cs="宋体"/>
          <w:sz w:val="24"/>
        </w:rPr>
        <w:t>；</w:t>
      </w:r>
    </w:p>
    <w:p w14:paraId="38353A03" w14:textId="77777777" w:rsidR="005C1252" w:rsidRDefault="005C1252" w:rsidP="005C1252">
      <w:pPr>
        <w:pStyle w:val="a0"/>
        <w:numPr>
          <w:ilvl w:val="0"/>
          <w:numId w:val="9"/>
        </w:numPr>
        <w:spacing w:line="360" w:lineRule="auto"/>
        <w:rPr>
          <w:rFonts w:ascii="宋体" w:hAnsi="宋体" w:cs="宋体"/>
          <w:sz w:val="24"/>
        </w:rPr>
      </w:pPr>
      <w:r>
        <w:rPr>
          <w:rFonts w:ascii="宋体" w:hAnsi="宋体" w:cs="宋体" w:hint="eastAsia"/>
          <w:sz w:val="24"/>
        </w:rPr>
        <w:t>牵头单位应在编制说明中详细阐述部分指标上升的原因</w:t>
      </w:r>
      <w:r>
        <w:rPr>
          <w:rFonts w:ascii="宋体" w:hAnsi="宋体" w:cs="宋体"/>
          <w:sz w:val="24"/>
        </w:rPr>
        <w:t>，</w:t>
      </w:r>
      <w:r>
        <w:rPr>
          <w:rFonts w:ascii="宋体" w:hAnsi="宋体" w:cs="宋体" w:hint="eastAsia"/>
          <w:sz w:val="24"/>
        </w:rPr>
        <w:t>并基于实际生产情况进行计算</w:t>
      </w:r>
      <w:r>
        <w:rPr>
          <w:rFonts w:ascii="宋体" w:hAnsi="宋体" w:cs="宋体"/>
          <w:sz w:val="24"/>
        </w:rPr>
        <w:t>；</w:t>
      </w:r>
    </w:p>
    <w:p w14:paraId="6CFF6538" w14:textId="77777777" w:rsidR="005C1252" w:rsidRDefault="005C1252" w:rsidP="005C1252">
      <w:pPr>
        <w:pStyle w:val="a0"/>
        <w:numPr>
          <w:ilvl w:val="0"/>
          <w:numId w:val="9"/>
        </w:numPr>
        <w:spacing w:line="360" w:lineRule="auto"/>
        <w:rPr>
          <w:rFonts w:ascii="宋体" w:hAnsi="宋体" w:cs="宋体"/>
          <w:sz w:val="24"/>
        </w:rPr>
      </w:pPr>
      <w:r>
        <w:rPr>
          <w:rFonts w:ascii="宋体" w:hAnsi="宋体" w:cs="宋体" w:hint="eastAsia"/>
          <w:sz w:val="24"/>
        </w:rPr>
        <w:t>被统计再生</w:t>
      </w:r>
      <w:proofErr w:type="gramStart"/>
      <w:r>
        <w:rPr>
          <w:rFonts w:ascii="宋体" w:hAnsi="宋体" w:cs="宋体" w:hint="eastAsia"/>
          <w:sz w:val="24"/>
        </w:rPr>
        <w:t>铅企业</w:t>
      </w:r>
      <w:proofErr w:type="gramEnd"/>
      <w:r>
        <w:rPr>
          <w:rFonts w:ascii="宋体" w:hAnsi="宋体" w:cs="宋体" w:hint="eastAsia"/>
          <w:sz w:val="24"/>
        </w:rPr>
        <w:t>应重新提供完整统计期内的产量数据</w:t>
      </w:r>
      <w:r>
        <w:rPr>
          <w:rFonts w:ascii="宋体" w:hAnsi="宋体" w:cs="宋体"/>
          <w:sz w:val="24"/>
        </w:rPr>
        <w:t>，</w:t>
      </w:r>
      <w:r>
        <w:rPr>
          <w:rFonts w:ascii="宋体" w:hAnsi="宋体" w:cs="宋体" w:hint="eastAsia"/>
          <w:sz w:val="24"/>
        </w:rPr>
        <w:t>牵头单位对数据进行汇总和整理</w:t>
      </w:r>
      <w:r>
        <w:rPr>
          <w:rFonts w:ascii="宋体" w:hAnsi="宋体" w:cs="宋体"/>
          <w:sz w:val="24"/>
        </w:rPr>
        <w:t>。</w:t>
      </w:r>
    </w:p>
    <w:p w14:paraId="1CDB1746" w14:textId="77777777" w:rsidR="005C1252" w:rsidRDefault="005C1252" w:rsidP="005C1252">
      <w:pPr>
        <w:pStyle w:val="a0"/>
        <w:numPr>
          <w:ilvl w:val="0"/>
          <w:numId w:val="3"/>
        </w:numPr>
        <w:spacing w:line="360" w:lineRule="auto"/>
        <w:rPr>
          <w:rFonts w:ascii="宋体" w:hAnsi="宋体" w:cs="宋体"/>
          <w:b/>
          <w:bCs/>
          <w:sz w:val="24"/>
        </w:rPr>
      </w:pPr>
      <w:r>
        <w:rPr>
          <w:rFonts w:ascii="宋体" w:hAnsi="宋体" w:cs="宋体" w:hint="eastAsia"/>
          <w:b/>
          <w:bCs/>
          <w:sz w:val="24"/>
        </w:rPr>
        <w:t>锡冶炼部分</w:t>
      </w:r>
    </w:p>
    <w:p w14:paraId="1C188AB6" w14:textId="77777777" w:rsidR="005C1252" w:rsidRDefault="005C1252" w:rsidP="005C1252">
      <w:pPr>
        <w:pStyle w:val="a0"/>
        <w:numPr>
          <w:ilvl w:val="0"/>
          <w:numId w:val="10"/>
        </w:numPr>
        <w:spacing w:line="360" w:lineRule="auto"/>
        <w:rPr>
          <w:rFonts w:ascii="宋体" w:hAnsi="宋体" w:cs="宋体"/>
          <w:sz w:val="24"/>
        </w:rPr>
      </w:pPr>
      <w:r>
        <w:rPr>
          <w:rFonts w:ascii="宋体" w:hAnsi="宋体" w:cs="宋体" w:hint="eastAsia"/>
          <w:sz w:val="24"/>
        </w:rPr>
        <w:t>编制组</w:t>
      </w:r>
      <w:proofErr w:type="gramStart"/>
      <w:r>
        <w:rPr>
          <w:rFonts w:ascii="宋体" w:hAnsi="宋体" w:cs="宋体" w:hint="eastAsia"/>
          <w:sz w:val="24"/>
        </w:rPr>
        <w:t>统一纳标范围</w:t>
      </w:r>
      <w:proofErr w:type="gramEnd"/>
      <w:r>
        <w:rPr>
          <w:rFonts w:ascii="宋体" w:hAnsi="宋体" w:cs="宋体"/>
          <w:sz w:val="24"/>
        </w:rPr>
        <w:t>，</w:t>
      </w:r>
      <w:r>
        <w:rPr>
          <w:rFonts w:ascii="宋体" w:hAnsi="宋体" w:cs="宋体" w:hint="eastAsia"/>
          <w:sz w:val="24"/>
        </w:rPr>
        <w:t>含锡二次资源回收的锡冶炼企业纳入本次修订</w:t>
      </w:r>
      <w:r>
        <w:rPr>
          <w:rFonts w:ascii="宋体" w:hAnsi="宋体" w:cs="宋体"/>
          <w:sz w:val="24"/>
        </w:rPr>
        <w:t>；</w:t>
      </w:r>
    </w:p>
    <w:p w14:paraId="748E1705" w14:textId="77777777" w:rsidR="005C1252" w:rsidRDefault="005C1252" w:rsidP="005C1252">
      <w:pPr>
        <w:pStyle w:val="a0"/>
        <w:numPr>
          <w:ilvl w:val="0"/>
          <w:numId w:val="10"/>
        </w:numPr>
        <w:spacing w:line="360" w:lineRule="auto"/>
        <w:rPr>
          <w:rFonts w:ascii="宋体" w:hAnsi="宋体" w:cs="宋体"/>
          <w:sz w:val="24"/>
        </w:rPr>
      </w:pPr>
      <w:r>
        <w:rPr>
          <w:rFonts w:ascii="宋体" w:hAnsi="宋体" w:cs="宋体" w:hint="eastAsia"/>
          <w:sz w:val="24"/>
        </w:rPr>
        <w:t>编制组统一综合回收烟气生产硫酸能耗的计算范围</w:t>
      </w:r>
      <w:r>
        <w:rPr>
          <w:rFonts w:ascii="宋体" w:hAnsi="宋体" w:cs="宋体"/>
          <w:sz w:val="24"/>
        </w:rPr>
        <w:t>，</w:t>
      </w:r>
      <w:r>
        <w:rPr>
          <w:rFonts w:ascii="宋体" w:hAnsi="宋体" w:cs="宋体" w:hint="eastAsia"/>
          <w:sz w:val="24"/>
        </w:rPr>
        <w:t>与其他工序环保设施能耗进行区分</w:t>
      </w:r>
      <w:r>
        <w:rPr>
          <w:rFonts w:ascii="宋体" w:hAnsi="宋体" w:cs="宋体"/>
          <w:sz w:val="24"/>
        </w:rPr>
        <w:t>；</w:t>
      </w:r>
    </w:p>
    <w:p w14:paraId="0A160FC8" w14:textId="77777777" w:rsidR="005C1252" w:rsidRDefault="005C1252" w:rsidP="005C1252">
      <w:pPr>
        <w:pStyle w:val="a0"/>
        <w:numPr>
          <w:ilvl w:val="0"/>
          <w:numId w:val="10"/>
        </w:numPr>
        <w:spacing w:line="360" w:lineRule="auto"/>
        <w:rPr>
          <w:rFonts w:ascii="宋体" w:hAnsi="宋体" w:cs="宋体"/>
          <w:sz w:val="24"/>
        </w:rPr>
      </w:pPr>
      <w:r>
        <w:rPr>
          <w:rFonts w:ascii="宋体" w:hAnsi="宋体" w:cs="宋体" w:hint="eastAsia"/>
          <w:sz w:val="24"/>
        </w:rPr>
        <w:t>牵头单位</w:t>
      </w:r>
      <w:proofErr w:type="gramStart"/>
      <w:r>
        <w:rPr>
          <w:rFonts w:ascii="宋体" w:hAnsi="宋体" w:cs="宋体" w:hint="eastAsia"/>
          <w:sz w:val="24"/>
        </w:rPr>
        <w:t>补充炼前工序</w:t>
      </w:r>
      <w:proofErr w:type="gramEnd"/>
      <w:r>
        <w:rPr>
          <w:rFonts w:ascii="宋体" w:hAnsi="宋体" w:cs="宋体" w:hint="eastAsia"/>
          <w:sz w:val="24"/>
        </w:rPr>
        <w:t>中新增工艺的设置理由</w:t>
      </w:r>
      <w:r>
        <w:rPr>
          <w:rFonts w:ascii="宋体" w:hAnsi="宋体" w:cs="宋体"/>
          <w:sz w:val="24"/>
        </w:rPr>
        <w:t>；</w:t>
      </w:r>
    </w:p>
    <w:p w14:paraId="0B6833F7" w14:textId="77777777" w:rsidR="005C1252" w:rsidRDefault="005C1252" w:rsidP="005C1252">
      <w:pPr>
        <w:pStyle w:val="a0"/>
        <w:numPr>
          <w:ilvl w:val="0"/>
          <w:numId w:val="10"/>
        </w:numPr>
        <w:spacing w:line="360" w:lineRule="auto"/>
        <w:rPr>
          <w:rFonts w:ascii="宋体" w:hAnsi="宋体" w:cs="宋体"/>
          <w:sz w:val="24"/>
        </w:rPr>
      </w:pPr>
      <w:r>
        <w:rPr>
          <w:rFonts w:ascii="宋体" w:hAnsi="宋体" w:cs="宋体" w:hint="eastAsia"/>
          <w:sz w:val="24"/>
        </w:rPr>
        <w:t>牵头单位收集相关单位能耗数据</w:t>
      </w:r>
      <w:r>
        <w:rPr>
          <w:rFonts w:ascii="宋体" w:hAnsi="宋体" w:cs="宋体"/>
          <w:sz w:val="24"/>
        </w:rPr>
        <w:t>，</w:t>
      </w:r>
      <w:r>
        <w:rPr>
          <w:rFonts w:ascii="宋体" w:hAnsi="宋体" w:cs="宋体" w:hint="eastAsia"/>
          <w:sz w:val="24"/>
        </w:rPr>
        <w:t>分析相关工序及综合能耗值</w:t>
      </w:r>
      <w:r>
        <w:rPr>
          <w:rFonts w:ascii="宋体" w:hAnsi="宋体" w:cs="宋体"/>
          <w:sz w:val="24"/>
        </w:rPr>
        <w:t>。</w:t>
      </w:r>
    </w:p>
    <w:p w14:paraId="379E4912" w14:textId="77777777" w:rsidR="005C1252" w:rsidRDefault="005C1252" w:rsidP="005C1252">
      <w:pPr>
        <w:pStyle w:val="a0"/>
        <w:numPr>
          <w:ilvl w:val="0"/>
          <w:numId w:val="3"/>
        </w:numPr>
        <w:spacing w:line="360" w:lineRule="auto"/>
        <w:rPr>
          <w:rFonts w:ascii="宋体" w:hAnsi="宋体" w:cs="宋体"/>
          <w:b/>
          <w:bCs/>
          <w:sz w:val="24"/>
        </w:rPr>
      </w:pPr>
      <w:proofErr w:type="gramStart"/>
      <w:r>
        <w:rPr>
          <w:rFonts w:ascii="宋体" w:hAnsi="宋体" w:cs="宋体" w:hint="eastAsia"/>
          <w:b/>
          <w:bCs/>
          <w:sz w:val="24"/>
        </w:rPr>
        <w:t>锑</w:t>
      </w:r>
      <w:proofErr w:type="gramEnd"/>
      <w:r>
        <w:rPr>
          <w:rFonts w:ascii="宋体" w:hAnsi="宋体" w:cs="宋体" w:hint="eastAsia"/>
          <w:b/>
          <w:bCs/>
          <w:sz w:val="24"/>
        </w:rPr>
        <w:t>冶炼部分</w:t>
      </w:r>
    </w:p>
    <w:p w14:paraId="4E66162C" w14:textId="77777777" w:rsidR="005C1252" w:rsidRDefault="005C1252" w:rsidP="005C1252">
      <w:pPr>
        <w:pStyle w:val="a0"/>
        <w:numPr>
          <w:ilvl w:val="0"/>
          <w:numId w:val="11"/>
        </w:numPr>
        <w:spacing w:line="360" w:lineRule="auto"/>
        <w:rPr>
          <w:rFonts w:ascii="宋体" w:hAnsi="宋体" w:cs="宋体"/>
          <w:sz w:val="24"/>
        </w:rPr>
      </w:pPr>
      <w:r>
        <w:rPr>
          <w:rFonts w:ascii="宋体" w:hAnsi="宋体" w:cs="宋体" w:hint="eastAsia"/>
          <w:sz w:val="24"/>
        </w:rPr>
        <w:t>湿法工艺因无充分数据支持</w:t>
      </w:r>
      <w:r>
        <w:rPr>
          <w:rFonts w:ascii="宋体" w:hAnsi="宋体" w:cs="宋体"/>
          <w:sz w:val="24"/>
        </w:rPr>
        <w:t>，</w:t>
      </w:r>
      <w:r>
        <w:rPr>
          <w:rFonts w:ascii="宋体" w:hAnsi="宋体" w:cs="宋体" w:hint="eastAsia"/>
          <w:sz w:val="24"/>
        </w:rPr>
        <w:t>且</w:t>
      </w:r>
      <w:proofErr w:type="gramStart"/>
      <w:r>
        <w:rPr>
          <w:rFonts w:ascii="宋体" w:hAnsi="宋体" w:cs="宋体" w:hint="eastAsia"/>
          <w:sz w:val="24"/>
        </w:rPr>
        <w:t>占比较</w:t>
      </w:r>
      <w:proofErr w:type="gramEnd"/>
      <w:r>
        <w:rPr>
          <w:rFonts w:ascii="宋体" w:hAnsi="宋体" w:cs="宋体" w:hint="eastAsia"/>
          <w:sz w:val="24"/>
        </w:rPr>
        <w:t>小</w:t>
      </w:r>
      <w:r>
        <w:rPr>
          <w:rFonts w:ascii="宋体" w:hAnsi="宋体" w:cs="宋体"/>
          <w:sz w:val="24"/>
        </w:rPr>
        <w:t>，</w:t>
      </w:r>
      <w:r>
        <w:rPr>
          <w:rFonts w:ascii="宋体" w:hAnsi="宋体" w:cs="宋体" w:hint="eastAsia"/>
          <w:sz w:val="24"/>
        </w:rPr>
        <w:t>本次修订不纳入统计范围</w:t>
      </w:r>
      <w:r>
        <w:rPr>
          <w:rFonts w:ascii="宋体" w:hAnsi="宋体" w:cs="宋体"/>
          <w:sz w:val="24"/>
        </w:rPr>
        <w:t>；</w:t>
      </w:r>
    </w:p>
    <w:p w14:paraId="3D6D7FA2" w14:textId="77777777" w:rsidR="005C1252" w:rsidRDefault="005C1252" w:rsidP="005C1252">
      <w:pPr>
        <w:pStyle w:val="a0"/>
        <w:numPr>
          <w:ilvl w:val="0"/>
          <w:numId w:val="11"/>
        </w:numPr>
        <w:spacing w:line="360" w:lineRule="auto"/>
        <w:rPr>
          <w:rFonts w:ascii="宋体" w:hAnsi="宋体" w:cs="宋体"/>
          <w:sz w:val="24"/>
        </w:rPr>
      </w:pPr>
      <w:r>
        <w:rPr>
          <w:rFonts w:ascii="宋体" w:hAnsi="宋体" w:cs="宋体" w:hint="eastAsia"/>
          <w:sz w:val="24"/>
        </w:rPr>
        <w:t>云南木利锑业有限公司及编制组讨论平炉工艺是否纳入本次修订</w:t>
      </w:r>
      <w:r>
        <w:rPr>
          <w:rFonts w:ascii="宋体" w:hAnsi="宋体" w:cs="宋体"/>
          <w:sz w:val="24"/>
        </w:rPr>
        <w:t>；</w:t>
      </w:r>
    </w:p>
    <w:p w14:paraId="2CC6480A" w14:textId="77777777" w:rsidR="005C1252" w:rsidRDefault="005C1252" w:rsidP="005C1252">
      <w:pPr>
        <w:pStyle w:val="a0"/>
        <w:numPr>
          <w:ilvl w:val="0"/>
          <w:numId w:val="11"/>
        </w:numPr>
        <w:spacing w:line="360" w:lineRule="auto"/>
        <w:rPr>
          <w:rFonts w:ascii="宋体" w:hAnsi="宋体" w:cs="宋体"/>
          <w:sz w:val="24"/>
        </w:rPr>
      </w:pPr>
      <w:r>
        <w:rPr>
          <w:rFonts w:ascii="宋体" w:hAnsi="宋体" w:cs="宋体" w:hint="eastAsia"/>
          <w:sz w:val="24"/>
        </w:rPr>
        <w:lastRenderedPageBreak/>
        <w:t>编制组</w:t>
      </w:r>
      <w:proofErr w:type="gramStart"/>
      <w:r>
        <w:rPr>
          <w:rFonts w:ascii="宋体" w:hAnsi="宋体" w:cs="宋体" w:hint="eastAsia"/>
          <w:sz w:val="24"/>
        </w:rPr>
        <w:t>统一锑金精矿</w:t>
      </w:r>
      <w:proofErr w:type="gramEnd"/>
      <w:r>
        <w:rPr>
          <w:rFonts w:ascii="宋体" w:hAnsi="宋体" w:cs="宋体" w:hint="eastAsia"/>
          <w:sz w:val="24"/>
        </w:rPr>
        <w:t>冶炼能耗的分配原则</w:t>
      </w:r>
      <w:r>
        <w:rPr>
          <w:rFonts w:ascii="宋体" w:hAnsi="宋体" w:cs="宋体"/>
          <w:sz w:val="24"/>
        </w:rPr>
        <w:t>，</w:t>
      </w:r>
      <w:r>
        <w:rPr>
          <w:rFonts w:ascii="宋体" w:hAnsi="宋体" w:cs="宋体" w:hint="eastAsia"/>
          <w:sz w:val="24"/>
        </w:rPr>
        <w:t>在编制说明中详细阐述</w:t>
      </w:r>
      <w:r>
        <w:rPr>
          <w:rFonts w:ascii="宋体" w:hAnsi="宋体" w:cs="宋体"/>
          <w:sz w:val="24"/>
        </w:rPr>
        <w:t>；</w:t>
      </w:r>
    </w:p>
    <w:p w14:paraId="4DC66779" w14:textId="77777777" w:rsidR="005C1252" w:rsidRDefault="005C1252" w:rsidP="005C1252">
      <w:pPr>
        <w:pStyle w:val="a0"/>
        <w:numPr>
          <w:ilvl w:val="0"/>
          <w:numId w:val="11"/>
        </w:numPr>
        <w:spacing w:line="360" w:lineRule="auto"/>
        <w:rPr>
          <w:rFonts w:ascii="宋体" w:hAnsi="宋体" w:cs="宋体"/>
          <w:sz w:val="24"/>
        </w:rPr>
      </w:pPr>
      <w:r>
        <w:rPr>
          <w:rFonts w:ascii="宋体" w:hAnsi="宋体" w:cs="宋体" w:hint="eastAsia"/>
          <w:sz w:val="24"/>
        </w:rPr>
        <w:t>锑业分会协助牵头单位征集</w:t>
      </w:r>
      <w:proofErr w:type="gramStart"/>
      <w:r>
        <w:rPr>
          <w:rFonts w:ascii="宋体" w:hAnsi="宋体" w:cs="宋体" w:hint="eastAsia"/>
          <w:sz w:val="24"/>
        </w:rPr>
        <w:t>锑</w:t>
      </w:r>
      <w:proofErr w:type="gramEnd"/>
      <w:r>
        <w:rPr>
          <w:rFonts w:ascii="宋体" w:hAnsi="宋体" w:cs="宋体" w:hint="eastAsia"/>
          <w:sz w:val="24"/>
        </w:rPr>
        <w:t>冶炼企业数据</w:t>
      </w:r>
      <w:r>
        <w:rPr>
          <w:rFonts w:ascii="宋体" w:hAnsi="宋体" w:cs="宋体"/>
          <w:sz w:val="24"/>
        </w:rPr>
        <w:t>，</w:t>
      </w:r>
      <w:r>
        <w:rPr>
          <w:rFonts w:ascii="宋体" w:hAnsi="宋体" w:cs="宋体" w:hint="eastAsia"/>
          <w:sz w:val="24"/>
        </w:rPr>
        <w:t>增加调研的覆盖度</w:t>
      </w:r>
      <w:r>
        <w:rPr>
          <w:rFonts w:ascii="宋体" w:hAnsi="宋体" w:cs="宋体"/>
          <w:sz w:val="24"/>
        </w:rPr>
        <w:t>。</w:t>
      </w:r>
    </w:p>
    <w:p w14:paraId="4F7C5D81" w14:textId="77777777" w:rsidR="005C1252" w:rsidRDefault="005C1252" w:rsidP="005C1252">
      <w:pPr>
        <w:pStyle w:val="a0"/>
        <w:numPr>
          <w:ilvl w:val="0"/>
          <w:numId w:val="3"/>
        </w:numPr>
        <w:spacing w:line="360" w:lineRule="auto"/>
        <w:rPr>
          <w:rFonts w:ascii="宋体" w:hAnsi="宋体" w:cs="宋体"/>
          <w:b/>
          <w:bCs/>
          <w:sz w:val="24"/>
        </w:rPr>
      </w:pPr>
      <w:proofErr w:type="gramStart"/>
      <w:r>
        <w:rPr>
          <w:rFonts w:ascii="宋体" w:hAnsi="宋体" w:cs="宋体" w:hint="eastAsia"/>
          <w:b/>
          <w:bCs/>
          <w:sz w:val="24"/>
        </w:rPr>
        <w:t>铋</w:t>
      </w:r>
      <w:proofErr w:type="gramEnd"/>
      <w:r>
        <w:rPr>
          <w:rFonts w:ascii="宋体" w:hAnsi="宋体" w:cs="宋体" w:hint="eastAsia"/>
          <w:b/>
          <w:bCs/>
          <w:sz w:val="24"/>
        </w:rPr>
        <w:t>冶炼部分</w:t>
      </w:r>
    </w:p>
    <w:p w14:paraId="711C01D1" w14:textId="77777777" w:rsidR="005C1252" w:rsidRDefault="005C1252" w:rsidP="005C1252">
      <w:pPr>
        <w:pStyle w:val="a0"/>
        <w:numPr>
          <w:ilvl w:val="0"/>
          <w:numId w:val="12"/>
        </w:numPr>
        <w:spacing w:line="360" w:lineRule="auto"/>
        <w:rPr>
          <w:rFonts w:ascii="宋体" w:hAnsi="宋体" w:cs="宋体"/>
          <w:sz w:val="24"/>
        </w:rPr>
      </w:pPr>
      <w:r>
        <w:rPr>
          <w:rFonts w:ascii="宋体" w:hAnsi="宋体" w:cs="宋体" w:hint="eastAsia"/>
          <w:sz w:val="24"/>
        </w:rPr>
        <w:t>编制组统一多金属氧化铋原料冶炼过程中的能耗分配原则</w:t>
      </w:r>
      <w:r>
        <w:rPr>
          <w:rFonts w:ascii="宋体" w:hAnsi="宋体" w:cs="宋体"/>
          <w:sz w:val="24"/>
        </w:rPr>
        <w:t>，</w:t>
      </w:r>
      <w:r>
        <w:rPr>
          <w:rFonts w:ascii="宋体" w:hAnsi="宋体" w:hint="eastAsia"/>
          <w:sz w:val="24"/>
        </w:rPr>
        <w:t>各生产单位按实际产量进行分配</w:t>
      </w:r>
      <w:r>
        <w:rPr>
          <w:rFonts w:ascii="宋体" w:hAnsi="宋体" w:cs="宋体"/>
          <w:sz w:val="24"/>
        </w:rPr>
        <w:t>；</w:t>
      </w:r>
    </w:p>
    <w:p w14:paraId="5A7E949A" w14:textId="77777777" w:rsidR="005C1252" w:rsidRDefault="005C1252" w:rsidP="005C1252">
      <w:pPr>
        <w:pStyle w:val="a0"/>
        <w:numPr>
          <w:ilvl w:val="0"/>
          <w:numId w:val="12"/>
        </w:numPr>
        <w:spacing w:line="360" w:lineRule="auto"/>
        <w:rPr>
          <w:rFonts w:ascii="宋体" w:hAnsi="宋体"/>
          <w:sz w:val="24"/>
        </w:rPr>
      </w:pPr>
      <w:r>
        <w:rPr>
          <w:rFonts w:ascii="宋体" w:hAnsi="宋体" w:cs="宋体" w:hint="eastAsia"/>
          <w:sz w:val="24"/>
        </w:rPr>
        <w:t>编制组统一</w:t>
      </w:r>
      <w:proofErr w:type="gramStart"/>
      <w:r>
        <w:rPr>
          <w:rFonts w:ascii="宋体" w:hAnsi="宋体" w:cs="宋体" w:hint="eastAsia"/>
          <w:sz w:val="24"/>
        </w:rPr>
        <w:t>铋</w:t>
      </w:r>
      <w:proofErr w:type="gramEnd"/>
      <w:r>
        <w:rPr>
          <w:rFonts w:ascii="宋体" w:hAnsi="宋体" w:cs="宋体" w:hint="eastAsia"/>
          <w:sz w:val="24"/>
        </w:rPr>
        <w:t>冶炼环保能耗统计原则</w:t>
      </w:r>
      <w:r>
        <w:rPr>
          <w:rFonts w:ascii="宋体" w:hAnsi="宋体" w:cs="宋体"/>
          <w:sz w:val="24"/>
        </w:rPr>
        <w:t>，</w:t>
      </w:r>
      <w:r>
        <w:rPr>
          <w:rFonts w:ascii="宋体" w:hAnsi="宋体" w:cs="宋体" w:hint="eastAsia"/>
          <w:sz w:val="24"/>
        </w:rPr>
        <w:t>并在编制说明中详细阐述</w:t>
      </w:r>
      <w:r>
        <w:rPr>
          <w:rFonts w:ascii="宋体" w:hAnsi="宋体" w:cs="宋体"/>
          <w:sz w:val="24"/>
        </w:rPr>
        <w:t>；</w:t>
      </w:r>
    </w:p>
    <w:p w14:paraId="4517C484" w14:textId="77777777" w:rsidR="005C1252" w:rsidRDefault="005C1252" w:rsidP="005C1252">
      <w:pPr>
        <w:pStyle w:val="a0"/>
        <w:numPr>
          <w:ilvl w:val="0"/>
          <w:numId w:val="12"/>
        </w:numPr>
        <w:spacing w:line="360" w:lineRule="auto"/>
        <w:rPr>
          <w:rFonts w:ascii="宋体" w:hAnsi="宋体" w:cs="宋体"/>
          <w:sz w:val="24"/>
        </w:rPr>
      </w:pPr>
      <w:r>
        <w:rPr>
          <w:rFonts w:ascii="宋体" w:hAnsi="宋体" w:cs="宋体" w:hint="eastAsia"/>
          <w:sz w:val="24"/>
        </w:rPr>
        <w:t>牵头单位征集和分析原料来源</w:t>
      </w:r>
      <w:r>
        <w:rPr>
          <w:rFonts w:ascii="宋体" w:hAnsi="宋体" w:cs="宋体"/>
          <w:sz w:val="24"/>
        </w:rPr>
        <w:t>、</w:t>
      </w:r>
      <w:r>
        <w:rPr>
          <w:rFonts w:ascii="宋体" w:hAnsi="宋体" w:cs="宋体" w:hint="eastAsia"/>
          <w:sz w:val="24"/>
        </w:rPr>
        <w:t>成分的相关数据</w:t>
      </w:r>
      <w:r>
        <w:rPr>
          <w:rFonts w:ascii="宋体" w:hAnsi="宋体" w:cs="宋体"/>
          <w:sz w:val="24"/>
        </w:rPr>
        <w:t>。</w:t>
      </w:r>
    </w:p>
    <w:p w14:paraId="3BDADD5C" w14:textId="77777777" w:rsidR="005C1252" w:rsidRDefault="005C1252" w:rsidP="005C1252">
      <w:pPr>
        <w:snapToGrid w:val="0"/>
        <w:spacing w:line="360" w:lineRule="auto"/>
        <w:rPr>
          <w:rFonts w:ascii="宋体" w:hAnsi="宋体"/>
          <w:b/>
          <w:bCs/>
          <w:sz w:val="24"/>
        </w:rPr>
      </w:pPr>
      <w:r>
        <w:rPr>
          <w:rFonts w:ascii="宋体" w:hAnsi="宋体" w:hint="eastAsia"/>
          <w:b/>
          <w:bCs/>
          <w:sz w:val="24"/>
        </w:rPr>
        <w:t>三、下一步工作计划：</w:t>
      </w:r>
    </w:p>
    <w:p w14:paraId="566AF15B" w14:textId="77777777" w:rsidR="005C1252" w:rsidRDefault="005C1252" w:rsidP="005C1252">
      <w:pPr>
        <w:snapToGrid w:val="0"/>
        <w:spacing w:line="360" w:lineRule="auto"/>
        <w:ind w:firstLineChars="200" w:firstLine="480"/>
        <w:rPr>
          <w:rFonts w:ascii="宋体" w:hAnsi="宋体" w:cs="宋体"/>
        </w:rPr>
      </w:pPr>
      <w:r>
        <w:rPr>
          <w:rFonts w:ascii="宋体" w:hAnsi="宋体" w:cs="宋体" w:hint="eastAsia"/>
          <w:sz w:val="24"/>
        </w:rPr>
        <w:t>1、相关单位根据纪要内容在5月</w:t>
      </w:r>
      <w:r>
        <w:rPr>
          <w:rFonts w:ascii="宋体" w:hAnsi="宋体" w:cs="宋体"/>
          <w:sz w:val="24"/>
        </w:rPr>
        <w:t>15</w:t>
      </w:r>
      <w:r>
        <w:rPr>
          <w:rFonts w:ascii="宋体" w:hAnsi="宋体" w:cs="宋体" w:hint="eastAsia"/>
          <w:sz w:val="24"/>
        </w:rPr>
        <w:t>日前提交企业能耗数据调研表到秘书处</w:t>
      </w:r>
      <w:r>
        <w:rPr>
          <w:rFonts w:ascii="宋体" w:hAnsi="宋体" w:cs="宋体"/>
          <w:sz w:val="24"/>
        </w:rPr>
        <w:t>，</w:t>
      </w:r>
      <w:r>
        <w:rPr>
          <w:rFonts w:ascii="宋体" w:hAnsi="宋体" w:cs="宋体" w:hint="eastAsia"/>
          <w:sz w:val="24"/>
        </w:rPr>
        <w:t>各部分牵头单位在</w:t>
      </w:r>
      <w:r>
        <w:rPr>
          <w:rFonts w:ascii="宋体" w:hAnsi="宋体" w:cs="宋体"/>
          <w:sz w:val="24"/>
        </w:rPr>
        <w:t>5</w:t>
      </w:r>
      <w:r>
        <w:rPr>
          <w:rFonts w:ascii="宋体" w:hAnsi="宋体" w:cs="宋体" w:hint="eastAsia"/>
          <w:sz w:val="24"/>
        </w:rPr>
        <w:t>月</w:t>
      </w:r>
      <w:r>
        <w:rPr>
          <w:rFonts w:ascii="宋体" w:hAnsi="宋体" w:cs="宋体"/>
          <w:sz w:val="24"/>
        </w:rPr>
        <w:t>20</w:t>
      </w:r>
      <w:r>
        <w:rPr>
          <w:rFonts w:ascii="宋体" w:hAnsi="宋体" w:cs="宋体" w:hint="eastAsia"/>
          <w:sz w:val="24"/>
        </w:rPr>
        <w:t>日前完成数据的汇总和整理工作；</w:t>
      </w:r>
    </w:p>
    <w:p w14:paraId="5FBA0F37" w14:textId="77777777" w:rsidR="005C1252" w:rsidRDefault="005C1252" w:rsidP="005C1252">
      <w:pPr>
        <w:snapToGrid w:val="0"/>
        <w:spacing w:line="360" w:lineRule="auto"/>
        <w:ind w:firstLineChars="200" w:firstLine="480"/>
        <w:rPr>
          <w:rFonts w:ascii="宋体" w:hAnsi="宋体" w:cs="宋体"/>
          <w:sz w:val="24"/>
        </w:rPr>
      </w:pPr>
      <w:r>
        <w:rPr>
          <w:rFonts w:ascii="宋体" w:hAnsi="宋体" w:cs="宋体" w:hint="eastAsia"/>
          <w:sz w:val="24"/>
        </w:rPr>
        <w:t>2、各部分牵头单位根据纪要内容在5月</w:t>
      </w:r>
      <w:r>
        <w:rPr>
          <w:rFonts w:ascii="宋体" w:hAnsi="宋体" w:cs="宋体"/>
          <w:sz w:val="24"/>
        </w:rPr>
        <w:t>30</w:t>
      </w:r>
      <w:r>
        <w:rPr>
          <w:rFonts w:ascii="宋体" w:hAnsi="宋体" w:cs="宋体" w:hint="eastAsia"/>
          <w:sz w:val="24"/>
        </w:rPr>
        <w:t>日前完成各部分草案及编制说明的修改工作，并由中国有色金属工业标准计量质量研究所进行汇总。</w:t>
      </w:r>
    </w:p>
    <w:p w14:paraId="7FE6A50A" w14:textId="77777777" w:rsidR="005C1252" w:rsidRDefault="005C1252" w:rsidP="005C1252">
      <w:pPr>
        <w:numPr>
          <w:ilvl w:val="0"/>
          <w:numId w:val="13"/>
        </w:numPr>
        <w:snapToGrid w:val="0"/>
        <w:spacing w:line="360" w:lineRule="auto"/>
        <w:rPr>
          <w:b/>
          <w:bCs/>
          <w:sz w:val="24"/>
        </w:rPr>
      </w:pPr>
      <w:r>
        <w:rPr>
          <w:rFonts w:hint="eastAsia"/>
          <w:b/>
          <w:bCs/>
          <w:sz w:val="24"/>
        </w:rPr>
        <w:t>时间安排：</w:t>
      </w:r>
    </w:p>
    <w:p w14:paraId="4E567EB2" w14:textId="77777777" w:rsidR="005C1252" w:rsidRDefault="005C1252" w:rsidP="005C1252">
      <w:pPr>
        <w:snapToGrid w:val="0"/>
        <w:spacing w:line="360" w:lineRule="auto"/>
        <w:ind w:firstLineChars="200" w:firstLine="480"/>
        <w:rPr>
          <w:rFonts w:ascii="宋体" w:hAnsi="宋体" w:cs="宋体"/>
          <w:sz w:val="24"/>
        </w:rPr>
      </w:pPr>
      <w:r>
        <w:rPr>
          <w:rFonts w:ascii="宋体" w:hAnsi="宋体" w:cs="宋体" w:hint="eastAsia"/>
          <w:sz w:val="24"/>
        </w:rPr>
        <w:t>2022年5月～6月：形成送审稿；</w:t>
      </w:r>
    </w:p>
    <w:p w14:paraId="67475B7D" w14:textId="77777777" w:rsidR="005C1252" w:rsidRDefault="005C1252" w:rsidP="005C1252">
      <w:pPr>
        <w:snapToGrid w:val="0"/>
        <w:spacing w:line="360" w:lineRule="auto"/>
        <w:ind w:firstLineChars="200" w:firstLine="480"/>
        <w:rPr>
          <w:rFonts w:ascii="宋体" w:hAnsi="宋体" w:cs="宋体"/>
          <w:kern w:val="0"/>
          <w:sz w:val="28"/>
          <w:szCs w:val="28"/>
        </w:rPr>
      </w:pPr>
      <w:r>
        <w:rPr>
          <w:rFonts w:ascii="宋体" w:hAnsi="宋体" w:cs="宋体" w:hint="eastAsia"/>
          <w:sz w:val="24"/>
        </w:rPr>
        <w:t>2022年6月：提交能标委，召开审定会。</w:t>
      </w:r>
    </w:p>
    <w:p w14:paraId="6EC9AEA1" w14:textId="77777777" w:rsidR="00DD4686" w:rsidRPr="005C1252" w:rsidRDefault="00DD4686"/>
    <w:sectPr w:rsidR="00DD4686" w:rsidRPr="005C12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841A4" w14:textId="77777777" w:rsidR="006A466D" w:rsidRDefault="006A466D" w:rsidP="005C1252">
      <w:r>
        <w:separator/>
      </w:r>
    </w:p>
  </w:endnote>
  <w:endnote w:type="continuationSeparator" w:id="0">
    <w:p w14:paraId="185A0582" w14:textId="77777777" w:rsidR="006A466D" w:rsidRDefault="006A466D" w:rsidP="005C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502F" w14:textId="77777777" w:rsidR="006A466D" w:rsidRDefault="006A466D" w:rsidP="005C1252">
      <w:r>
        <w:separator/>
      </w:r>
    </w:p>
  </w:footnote>
  <w:footnote w:type="continuationSeparator" w:id="0">
    <w:p w14:paraId="196AAB10" w14:textId="77777777" w:rsidR="006A466D" w:rsidRDefault="006A466D" w:rsidP="005C1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00000000"/>
    <w:lvl w:ilvl="0">
      <w:start w:val="1"/>
      <w:numFmt w:val="decimal"/>
      <w:suff w:val="nothing"/>
      <w:lvlText w:val="%1、"/>
      <w:lvlJc w:val="left"/>
      <w:pPr>
        <w:ind w:left="721" w:firstLine="0"/>
      </w:pPr>
    </w:lvl>
  </w:abstractNum>
  <w:abstractNum w:abstractNumId="1" w15:restartNumberingAfterBreak="0">
    <w:nsid w:val="00000001"/>
    <w:multiLevelType w:val="singleLevel"/>
    <w:tmpl w:val="00000001"/>
    <w:lvl w:ilvl="0">
      <w:start w:val="1"/>
      <w:numFmt w:val="decimal"/>
      <w:suff w:val="nothing"/>
      <w:lvlText w:val="%1、"/>
      <w:lvlJc w:val="left"/>
      <w:pPr>
        <w:ind w:left="721" w:firstLine="0"/>
      </w:pPr>
    </w:lvl>
  </w:abstractNum>
  <w:abstractNum w:abstractNumId="2" w15:restartNumberingAfterBreak="0">
    <w:nsid w:val="00000002"/>
    <w:multiLevelType w:val="singleLevel"/>
    <w:tmpl w:val="00000002"/>
    <w:lvl w:ilvl="0">
      <w:start w:val="1"/>
      <w:numFmt w:val="decimal"/>
      <w:suff w:val="nothing"/>
      <w:lvlText w:val="%1、"/>
      <w:lvlJc w:val="left"/>
      <w:pPr>
        <w:ind w:left="707" w:firstLine="0"/>
      </w:pPr>
    </w:lvl>
  </w:abstractNum>
  <w:abstractNum w:abstractNumId="3" w15:restartNumberingAfterBreak="0">
    <w:nsid w:val="00000003"/>
    <w:multiLevelType w:val="singleLevel"/>
    <w:tmpl w:val="00000003"/>
    <w:lvl w:ilvl="0">
      <w:start w:val="1"/>
      <w:numFmt w:val="decimal"/>
      <w:suff w:val="nothing"/>
      <w:lvlText w:val="%1、"/>
      <w:lvlJc w:val="left"/>
      <w:pPr>
        <w:ind w:left="721" w:firstLine="0"/>
      </w:pPr>
    </w:lvl>
  </w:abstractNum>
  <w:abstractNum w:abstractNumId="4" w15:restartNumberingAfterBreak="0">
    <w:nsid w:val="00000004"/>
    <w:multiLevelType w:val="singleLevel"/>
    <w:tmpl w:val="00000004"/>
    <w:lvl w:ilvl="0">
      <w:start w:val="1"/>
      <w:numFmt w:val="decimal"/>
      <w:suff w:val="nothing"/>
      <w:lvlText w:val="%1、"/>
      <w:lvlJc w:val="left"/>
      <w:pPr>
        <w:ind w:left="721" w:firstLine="0"/>
      </w:pPr>
    </w:lvl>
  </w:abstractNum>
  <w:abstractNum w:abstractNumId="5" w15:restartNumberingAfterBreak="0">
    <w:nsid w:val="00000005"/>
    <w:multiLevelType w:val="singleLevel"/>
    <w:tmpl w:val="00000005"/>
    <w:lvl w:ilvl="0">
      <w:start w:val="1"/>
      <w:numFmt w:val="decimal"/>
      <w:suff w:val="nothing"/>
      <w:lvlText w:val="%1、"/>
      <w:lvlJc w:val="left"/>
      <w:pPr>
        <w:ind w:left="721" w:firstLine="0"/>
      </w:pPr>
    </w:lvl>
  </w:abstractNum>
  <w:abstractNum w:abstractNumId="6" w15:restartNumberingAfterBreak="0">
    <w:nsid w:val="00000006"/>
    <w:multiLevelType w:val="singleLevel"/>
    <w:tmpl w:val="00000006"/>
    <w:lvl w:ilvl="0">
      <w:start w:val="1"/>
      <w:numFmt w:val="chineseCounting"/>
      <w:suff w:val="nothing"/>
      <w:lvlText w:val="%1、"/>
      <w:lvlJc w:val="left"/>
      <w:rPr>
        <w:rFonts w:hint="eastAsia"/>
      </w:rPr>
    </w:lvl>
  </w:abstractNum>
  <w:abstractNum w:abstractNumId="7" w15:restartNumberingAfterBreak="0">
    <w:nsid w:val="00000007"/>
    <w:multiLevelType w:val="singleLevel"/>
    <w:tmpl w:val="00000007"/>
    <w:lvl w:ilvl="0">
      <w:start w:val="1"/>
      <w:numFmt w:val="decimal"/>
      <w:suff w:val="nothing"/>
      <w:lvlText w:val="（%1）"/>
      <w:lvlJc w:val="left"/>
      <w:pPr>
        <w:ind w:left="480" w:firstLine="0"/>
      </w:pPr>
    </w:lvl>
  </w:abstractNum>
  <w:abstractNum w:abstractNumId="8" w15:restartNumberingAfterBreak="0">
    <w:nsid w:val="00000008"/>
    <w:multiLevelType w:val="singleLevel"/>
    <w:tmpl w:val="00000008"/>
    <w:lvl w:ilvl="0">
      <w:start w:val="4"/>
      <w:numFmt w:val="chineseCounting"/>
      <w:suff w:val="nothing"/>
      <w:lvlText w:val="%1、"/>
      <w:lvlJc w:val="left"/>
      <w:rPr>
        <w:rFonts w:hint="eastAsia"/>
      </w:rPr>
    </w:lvl>
  </w:abstractNum>
  <w:abstractNum w:abstractNumId="9" w15:restartNumberingAfterBreak="0">
    <w:nsid w:val="00000009"/>
    <w:multiLevelType w:val="singleLevel"/>
    <w:tmpl w:val="00000009"/>
    <w:lvl w:ilvl="0">
      <w:start w:val="1"/>
      <w:numFmt w:val="decimal"/>
      <w:suff w:val="nothing"/>
      <w:lvlText w:val="%1、"/>
      <w:lvlJc w:val="left"/>
      <w:pPr>
        <w:ind w:left="707" w:firstLine="0"/>
      </w:pPr>
    </w:lvl>
  </w:abstractNum>
  <w:abstractNum w:abstractNumId="10" w15:restartNumberingAfterBreak="0">
    <w:nsid w:val="0000000A"/>
    <w:multiLevelType w:val="singleLevel"/>
    <w:tmpl w:val="0000000A"/>
    <w:lvl w:ilvl="0">
      <w:start w:val="1"/>
      <w:numFmt w:val="chineseCounting"/>
      <w:suff w:val="nothing"/>
      <w:lvlText w:val="（%1）"/>
      <w:lvlJc w:val="left"/>
      <w:pPr>
        <w:ind w:left="481" w:firstLine="0"/>
      </w:pPr>
      <w:rPr>
        <w:rFonts w:hint="eastAsia"/>
      </w:rPr>
    </w:lvl>
  </w:abstractNum>
  <w:abstractNum w:abstractNumId="11" w15:restartNumberingAfterBreak="0">
    <w:nsid w:val="0000000B"/>
    <w:multiLevelType w:val="singleLevel"/>
    <w:tmpl w:val="0000000B"/>
    <w:lvl w:ilvl="0">
      <w:start w:val="1"/>
      <w:numFmt w:val="decimal"/>
      <w:suff w:val="nothing"/>
      <w:lvlText w:val="%1、"/>
      <w:lvlJc w:val="left"/>
      <w:pPr>
        <w:ind w:left="721" w:firstLine="0"/>
      </w:pPr>
    </w:lvl>
  </w:abstractNum>
  <w:abstractNum w:abstractNumId="12" w15:restartNumberingAfterBreak="0">
    <w:nsid w:val="0000000C"/>
    <w:multiLevelType w:val="singleLevel"/>
    <w:tmpl w:val="0000000C"/>
    <w:lvl w:ilvl="0">
      <w:start w:val="1"/>
      <w:numFmt w:val="decimal"/>
      <w:suff w:val="nothing"/>
      <w:lvlText w:val="%1、"/>
      <w:lvlJc w:val="left"/>
      <w:pPr>
        <w:ind w:left="721" w:firstLine="0"/>
      </w:pPr>
    </w:lvl>
  </w:abstractNum>
  <w:num w:numId="1" w16cid:durableId="932008075">
    <w:abstractNumId w:val="6"/>
  </w:num>
  <w:num w:numId="2" w16cid:durableId="1011300249">
    <w:abstractNumId w:val="7"/>
  </w:num>
  <w:num w:numId="3" w16cid:durableId="656302892">
    <w:abstractNumId w:val="10"/>
  </w:num>
  <w:num w:numId="4" w16cid:durableId="1629702874">
    <w:abstractNumId w:val="2"/>
  </w:num>
  <w:num w:numId="5" w16cid:durableId="1482500661">
    <w:abstractNumId w:val="9"/>
  </w:num>
  <w:num w:numId="6" w16cid:durableId="1736002416">
    <w:abstractNumId w:val="3"/>
  </w:num>
  <w:num w:numId="7" w16cid:durableId="1101488881">
    <w:abstractNumId w:val="12"/>
  </w:num>
  <w:num w:numId="8" w16cid:durableId="255871712">
    <w:abstractNumId w:val="4"/>
  </w:num>
  <w:num w:numId="9" w16cid:durableId="881744812">
    <w:abstractNumId w:val="11"/>
  </w:num>
  <w:num w:numId="10" w16cid:durableId="288318161">
    <w:abstractNumId w:val="1"/>
  </w:num>
  <w:num w:numId="11" w16cid:durableId="1026297822">
    <w:abstractNumId w:val="5"/>
  </w:num>
  <w:num w:numId="12" w16cid:durableId="1996756416">
    <w:abstractNumId w:val="0"/>
  </w:num>
  <w:num w:numId="13" w16cid:durableId="1516099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73"/>
    <w:rsid w:val="003C2A73"/>
    <w:rsid w:val="005C1252"/>
    <w:rsid w:val="006A466D"/>
    <w:rsid w:val="00DD4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0788193-381B-40C3-BFB1-E0FD53B2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C125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C125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5C1252"/>
    <w:rPr>
      <w:sz w:val="18"/>
      <w:szCs w:val="18"/>
    </w:rPr>
  </w:style>
  <w:style w:type="paragraph" w:styleId="a6">
    <w:name w:val="footer"/>
    <w:basedOn w:val="a"/>
    <w:link w:val="a7"/>
    <w:uiPriority w:val="99"/>
    <w:unhideWhenUsed/>
    <w:rsid w:val="005C1252"/>
    <w:pPr>
      <w:tabs>
        <w:tab w:val="center" w:pos="4153"/>
        <w:tab w:val="right" w:pos="8306"/>
      </w:tabs>
      <w:snapToGrid w:val="0"/>
      <w:jc w:val="left"/>
    </w:pPr>
    <w:rPr>
      <w:sz w:val="18"/>
      <w:szCs w:val="18"/>
    </w:rPr>
  </w:style>
  <w:style w:type="character" w:customStyle="1" w:styleId="a7">
    <w:name w:val="页脚 字符"/>
    <w:basedOn w:val="a1"/>
    <w:link w:val="a6"/>
    <w:uiPriority w:val="99"/>
    <w:rsid w:val="005C1252"/>
    <w:rPr>
      <w:sz w:val="18"/>
      <w:szCs w:val="18"/>
    </w:rPr>
  </w:style>
  <w:style w:type="paragraph" w:styleId="a0">
    <w:name w:val="Body Text"/>
    <w:basedOn w:val="a"/>
    <w:link w:val="a8"/>
    <w:uiPriority w:val="99"/>
    <w:qFormat/>
    <w:rsid w:val="005C1252"/>
    <w:pPr>
      <w:ind w:firstLine="800"/>
    </w:pPr>
    <w:rPr>
      <w:rFonts w:ascii="Calibri" w:hAnsi="Calibri"/>
    </w:rPr>
  </w:style>
  <w:style w:type="character" w:customStyle="1" w:styleId="a8">
    <w:name w:val="正文文本 字符"/>
    <w:basedOn w:val="a1"/>
    <w:link w:val="a0"/>
    <w:uiPriority w:val="99"/>
    <w:rsid w:val="005C1252"/>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LQV0A_-17C_sb8J9mz_4HbTJ6kLcTTT_Aa-AeVpQYNKdBqE9BpfFVPDIHVh1J5T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朱逸慧</dc:creator>
  <cp:keywords/>
  <dc:description/>
  <cp:lastModifiedBy>朱逸慧</cp:lastModifiedBy>
  <cp:revision>2</cp:revision>
  <dcterms:created xsi:type="dcterms:W3CDTF">2022-05-17T02:59:00Z</dcterms:created>
  <dcterms:modified xsi:type="dcterms:W3CDTF">2022-05-17T02:59:00Z</dcterms:modified>
</cp:coreProperties>
</file>