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framePr w:hSpace="180" w:vSpace="180" w:wrap="around" w:vAnchor="margin" w:hAnchor="margin" w:y="1" w:anchorLock="1"/>
        <w:rPr>
          <w:rFonts w:hAnsi="黑体"/>
        </w:rPr>
      </w:pPr>
      <w:r>
        <w:rPr>
          <w:rFonts w:hAnsi="黑体"/>
        </w:rPr>
        <w:t>ICS 29.045</w:t>
      </w:r>
    </w:p>
    <w:p>
      <w:pPr>
        <w:pStyle w:val="35"/>
        <w:framePr w:hSpace="180" w:vSpace="180" w:wrap="around" w:vAnchor="margin" w:hAnchor="margin" w:y="1" w:anchorLock="1"/>
        <w:rPr>
          <w:rFonts w:hAnsi="黑体"/>
        </w:rPr>
      </w:pPr>
      <w:r>
        <w:rPr>
          <w:rFonts w:hAnsi="黑体"/>
        </w:rPr>
        <w:t>CCS H 8</w:t>
      </w:r>
      <w:r>
        <w:rPr>
          <w:rFonts w:hint="eastAsia" w:hAnsi="黑体"/>
        </w:rPr>
        <w:t>2</w:t>
      </w:r>
    </w:p>
    <w:p>
      <w:pPr>
        <w:pStyle w:val="31"/>
        <w:framePr w:w="2546" w:h="1389" w:hRule="exact" w:hSpace="181" w:vSpace="181" w:wrap="around" w:vAnchor="margin" w:hAnchor="margin" w:x="6522" w:y="398" w:anchorLock="1"/>
        <w:spacing w:line="240" w:lineRule="auto"/>
      </w:pPr>
      <w:r>
        <w:drawing>
          <wp:inline distT="0" distB="0" distL="0" distR="0">
            <wp:extent cx="1428750" cy="723900"/>
            <wp:effectExtent l="0" t="0" r="0" b="0"/>
            <wp:docPr id="2"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28750" cy="723900"/>
                    </a:xfrm>
                    <a:prstGeom prst="rect">
                      <a:avLst/>
                    </a:prstGeom>
                    <a:noFill/>
                    <a:ln>
                      <a:noFill/>
                    </a:ln>
                  </pic:spPr>
                </pic:pic>
              </a:graphicData>
            </a:graphic>
          </wp:inline>
        </w:drawing>
      </w:r>
    </w:p>
    <w:p>
      <w:pPr>
        <w:pStyle w:val="39"/>
        <w:framePr w:w="9639" w:h="624" w:hRule="exact" w:hSpace="181" w:vSpace="181" w:wrap="around" w:vAnchor="page" w:hAnchor="page" w:x="1419" w:y="2286" w:anchorLock="1"/>
        <w:spacing w:line="240" w:lineRule="auto"/>
        <w:rPr>
          <w:rFonts w:ascii="Times New Roman"/>
        </w:rPr>
      </w:pPr>
      <w:r>
        <w:rPr>
          <w:rFonts w:hint="eastAsia" w:ascii="Times New Roman"/>
        </w:rPr>
        <w:t>中华人民共和国国家标准</w:t>
      </w:r>
    </w:p>
    <w:p>
      <w:pPr>
        <w:pStyle w:val="19"/>
        <w:framePr w:w="9140" w:h="1242" w:hRule="exact" w:hSpace="284" w:wrap="around" w:vAnchor="page" w:hAnchor="page" w:x="1645" w:y="2910" w:anchorLock="1"/>
        <w:spacing w:line="240" w:lineRule="auto"/>
        <w:rPr>
          <w:rFonts w:hAnsi="黑体"/>
          <w:sz w:val="24"/>
          <w:szCs w:val="24"/>
        </w:rPr>
      </w:pPr>
      <w:r>
        <w:rPr>
          <w:rFonts w:hAnsi="黑体"/>
          <w:sz w:val="24"/>
          <w:szCs w:val="24"/>
        </w:rPr>
        <w:t xml:space="preserve">GB/T </w:t>
      </w:r>
      <w:r>
        <w:rPr>
          <w:rFonts w:hint="eastAsia" w:hAnsi="黑体"/>
          <w:sz w:val="24"/>
          <w:szCs w:val="24"/>
        </w:rPr>
        <w:t>35307</w:t>
      </w:r>
      <w:r>
        <w:rPr>
          <w:rFonts w:hAnsi="黑体"/>
          <w:sz w:val="24"/>
          <w:szCs w:val="24"/>
        </w:rPr>
        <w:t>—</w:t>
      </w:r>
      <w:r>
        <w:rPr>
          <w:rFonts w:hAnsi="黑体"/>
          <w:sz w:val="24"/>
          <w:szCs w:val="24"/>
        </w:rPr>
        <w:fldChar w:fldCharType="begin">
          <w:ffData>
            <w:name w:val="StdNo2"/>
            <w:enabled/>
            <w:calcOnExit w:val="0"/>
            <w:textInput>
              <w:default w:val="XXXX"/>
              <w:maxLength w:val="4"/>
            </w:textInput>
          </w:ffData>
        </w:fldChar>
      </w:r>
      <w:bookmarkStart w:id="0" w:name="StdNo2"/>
      <w:r>
        <w:rPr>
          <w:rFonts w:hAnsi="黑体"/>
          <w:sz w:val="24"/>
          <w:szCs w:val="24"/>
        </w:rPr>
        <w:instrText xml:space="preserve"> FORMTEXT </w:instrText>
      </w:r>
      <w:r>
        <w:rPr>
          <w:rFonts w:hAnsi="黑体"/>
          <w:sz w:val="24"/>
          <w:szCs w:val="24"/>
        </w:rPr>
        <w:fldChar w:fldCharType="separate"/>
      </w:r>
      <w:r>
        <w:rPr>
          <w:rFonts w:hAnsi="黑体"/>
          <w:sz w:val="24"/>
          <w:szCs w:val="24"/>
        </w:rPr>
        <w:t>XXXX</w:t>
      </w:r>
      <w:r>
        <w:rPr>
          <w:rFonts w:hAnsi="黑体"/>
          <w:sz w:val="24"/>
          <w:szCs w:val="24"/>
        </w:rPr>
        <w:fldChar w:fldCharType="end"/>
      </w:r>
      <w:bookmarkEnd w:id="0"/>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8"/>
              <w:framePr w:w="9140" w:h="1242" w:hRule="exact" w:hSpace="284" w:wrap="around" w:vAnchor="page" w:hAnchor="page" w:x="1645" w:y="2910" w:anchorLock="1"/>
              <w:spacing w:line="240" w:lineRule="auto"/>
              <w:rPr>
                <w:rFonts w:ascii="Times New Roman"/>
              </w:rPr>
            </w:pPr>
            <w:r>
              <w:rPr>
                <w:rFonts w:ascii="黑体" w:hAnsi="黑体" w:eastAsia="黑体"/>
              </w:rPr>
              <w:pict>
                <v:rect id="矩形 7" o:spid="_x0000_s1026" o:spt="1" style="position:absolute;left:0pt;margin-left:372.8pt;margin-top:2.7pt;height:18pt;width:90pt;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IIw6VgEAgAA2AMAAA4AAAAA&#10;AAAAAAAAAAAALgIAAGRycy9lMm9Eb2MueG1sUEsBAi0AFAAGAAgAAAAhAMy57rjdAAAACAEAAA8A&#10;AAAAAAAAAAAAAAAAXgQAAGRycy9kb3ducmV2LnhtbFBLBQYAAAAABAAEAPMAAABoBQAAAAA=&#10;">
                  <v:path/>
                  <v:fill focussize="0,0"/>
                  <v:stroke on="f"/>
                  <v:imagedata o:title=""/>
                  <o:lock v:ext="edit"/>
                  <v:textbox>
                    <w:txbxContent>
                      <w:p/>
                    </w:txbxContent>
                  </v:textbox>
                </v:rect>
              </w:pict>
            </w:r>
            <w:r>
              <w:rPr>
                <w:rFonts w:hint="eastAsia" w:ascii="黑体" w:hAnsi="黑体" w:eastAsia="黑体"/>
              </w:rPr>
              <w:t>代替</w:t>
            </w:r>
            <w:r>
              <w:rPr>
                <w:rFonts w:ascii="黑体" w:hAnsi="黑体" w:eastAsia="黑体"/>
              </w:rPr>
              <w:t xml:space="preserve">GB/T </w:t>
            </w:r>
            <w:r>
              <w:rPr>
                <w:rFonts w:hint="eastAsia" w:ascii="黑体" w:hAnsi="黑体" w:eastAsia="黑体"/>
              </w:rPr>
              <w:t>35307</w:t>
            </w:r>
            <w:r>
              <w:rPr>
                <w:rFonts w:ascii="黑体" w:hAnsi="黑体" w:eastAsia="黑体"/>
              </w:rPr>
              <w:t>-2</w:t>
            </w:r>
            <w:r>
              <w:rPr>
                <w:rFonts w:hint="eastAsia" w:ascii="黑体" w:hAnsi="黑体" w:eastAsia="黑体"/>
              </w:rPr>
              <w:t>017</w:t>
            </w:r>
          </w:p>
        </w:tc>
      </w:tr>
    </w:tbl>
    <w:p>
      <w:pPr>
        <w:pStyle w:val="19"/>
        <w:framePr w:w="9140" w:h="1242" w:hRule="exact" w:hSpace="284" w:wrap="around" w:vAnchor="page" w:hAnchor="page" w:x="1645" w:y="2910" w:anchorLock="1"/>
        <w:spacing w:line="240" w:lineRule="auto"/>
        <w:rPr>
          <w:rFonts w:ascii="Times New Roman" w:eastAsia="宋体"/>
        </w:rPr>
      </w:pPr>
    </w:p>
    <w:p>
      <w:pPr>
        <w:pStyle w:val="19"/>
        <w:framePr w:w="9140" w:h="1242" w:hRule="exact" w:hSpace="284" w:wrap="around" w:vAnchor="page" w:hAnchor="page" w:x="1645" w:y="2910" w:anchorLock="1"/>
        <w:spacing w:line="240" w:lineRule="auto"/>
        <w:rPr>
          <w:rFonts w:ascii="Times New Roman" w:eastAsia="宋体"/>
        </w:rPr>
      </w:pPr>
    </w:p>
    <w:p>
      <w:pPr>
        <w:pStyle w:val="30"/>
        <w:framePr w:w="9639" w:h="6917" w:hRule="exact" w:wrap="around" w:vAnchor="page" w:hAnchor="page" w:xAlign="center" w:y="6408" w:anchorLock="1"/>
        <w:spacing w:line="240" w:lineRule="auto"/>
        <w:rPr>
          <w:rFonts w:hAnsi="黑体"/>
        </w:rPr>
      </w:pPr>
      <w:r>
        <w:rPr>
          <w:rFonts w:hint="eastAsia" w:hAnsi="黑体"/>
        </w:rPr>
        <w:t>流化床法颗粒硅</w:t>
      </w:r>
    </w:p>
    <w:p>
      <w:pPr>
        <w:pStyle w:val="29"/>
        <w:framePr w:w="9639" w:h="6917" w:hRule="exact" w:wrap="around" w:vAnchor="page" w:hAnchor="page" w:xAlign="center" w:y="6408" w:anchorLock="1"/>
        <w:tabs>
          <w:tab w:val="center" w:pos="4885"/>
          <w:tab w:val="left" w:pos="8297"/>
        </w:tabs>
        <w:spacing w:line="240" w:lineRule="auto"/>
        <w:jc w:val="left"/>
        <w:rPr>
          <w:rFonts w:ascii="黑体" w:hAnsi="黑体"/>
        </w:rPr>
      </w:pPr>
      <w:r>
        <w:rPr>
          <w:rFonts w:hint="eastAsia" w:ascii="黑体" w:hAnsi="黑体"/>
        </w:rPr>
        <w:tab/>
      </w:r>
      <w:r>
        <w:rPr>
          <w:rFonts w:hint="eastAsia" w:ascii="黑体" w:hAnsi="黑体"/>
        </w:rPr>
        <w:t>Granular polysilicon produced by fluidized bed method</w:t>
      </w:r>
    </w:p>
    <w:p>
      <w:pPr>
        <w:pStyle w:val="29"/>
        <w:framePr w:w="9639" w:h="6917" w:hRule="exact" w:wrap="around" w:vAnchor="page" w:hAnchor="page" w:xAlign="center" w:y="6408" w:anchorLock="1"/>
        <w:tabs>
          <w:tab w:val="center" w:pos="4885"/>
          <w:tab w:val="left" w:pos="8297"/>
        </w:tabs>
        <w:spacing w:line="240" w:lineRule="auto"/>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7"/>
              <w:framePr w:w="9639" w:h="6917" w:hRule="exact" w:wrap="around" w:vAnchor="page" w:hAnchor="page" w:xAlign="center" w:y="6408" w:anchorLock="1"/>
              <w:rPr>
                <w:rFonts w:ascii="Times New Roman"/>
              </w:rPr>
            </w:pPr>
            <w:r>
              <w:rPr>
                <w:rFonts w:hint="eastAsia" w:ascii="Times New Roman"/>
              </w:rPr>
              <w:t>（送审稿）</w:t>
            </w:r>
            <w:r>
              <w:rPr>
                <w:rFonts w:ascii="Times New Roman"/>
              </w:rPr>
              <w:pict>
                <v:rect id="矩形 6" o:spid="_x0000_s1031" o:spt="1" style="position:absolute;left:0pt;margin-left:173.3pt;margin-top:45.15pt;height:20pt;width:150pt;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dK4i8AwIAANgDAAAOAAAAAAAA&#10;AAAAAAAAAC4CAABkcnMvZTJvRG9jLnhtbFBLAQItABQABgAIAAAAIQD0N6/e3AAAAAoBAAAPAAAA&#10;AAAAAAAAAAAAAF0EAABkcnMvZG93bnJldi54bWxQSwUGAAAAAAQABADzAAAAZgUAAAAA&#10;">
                  <v:path/>
                  <v:fill focussize="0,0"/>
                  <v:stroke on="f"/>
                  <v:imagedata o:title=""/>
                  <o:lock v:ext="edit"/>
                  <v:textbox>
                    <w:txbxContent>
                      <w:p/>
                    </w:txbxContent>
                  </v:textbox>
                  <w10:anchorlock/>
                </v:rect>
              </w:pict>
            </w:r>
            <w:r>
              <w:rPr>
                <w:rFonts w:ascii="Times New Roman"/>
              </w:rPr>
              <w:pict>
                <v:rect id="矩形 5" o:spid="_x0000_s1030" o:spt="1" style="position:absolute;left:0pt;margin-left:193.3pt;margin-top:20.15pt;height:24pt;width:100pt;z-index:-2516541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jDc5CQMCAADYAwAADgAAAAAA&#10;AAAAAAAAAAAuAgAAZHJzL2Uyb0RvYy54bWxQSwECLQAUAAYACAAAACEAIk4ljd0AAAAJAQAADwAA&#10;AAAAAAAAAAAAAABdBAAAZHJzL2Rvd25yZXYueG1sUEsFBgAAAAAEAAQA8wAAAGcFAAAAAA==&#10;">
                  <v:path/>
                  <v:fill focussize="0,0"/>
                  <v:stroke on="f"/>
                  <v:imagedata o:title=""/>
                  <o:lock v:ext="edit"/>
                  <v:textbox>
                    <w:txbxContent>
                      <w:p>
                        <w:pPr>
                          <w:rPr>
                            <w:color w:val="FF0000"/>
                          </w:rPr>
                        </w:pPr>
                      </w:p>
                    </w:txbxContent>
                  </v:textbox>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6"/>
              <w:framePr w:w="9639" w:h="6917" w:hRule="exact" w:wrap="around" w:vAnchor="page" w:hAnchor="page" w:xAlign="center" w:y="6408" w:anchorLock="1"/>
              <w:spacing w:line="240" w:lineRule="auto"/>
              <w:rPr>
                <w:rFonts w:ascii="Times New Roman"/>
              </w:rPr>
            </w:pPr>
          </w:p>
          <w:p>
            <w:pPr>
              <w:pStyle w:val="26"/>
              <w:framePr w:w="9639" w:h="6917" w:hRule="exact" w:wrap="around" w:vAnchor="page" w:hAnchor="page" w:xAlign="center" w:y="6408" w:anchorLock="1"/>
              <w:spacing w:line="240" w:lineRule="auto"/>
              <w:rPr>
                <w:rFonts w:ascii="Times New Roman"/>
              </w:rPr>
            </w:pPr>
            <w:bookmarkStart w:id="5" w:name="_GoBack"/>
            <w:bookmarkEnd w:id="5"/>
          </w:p>
        </w:tc>
      </w:tr>
    </w:tbl>
    <w:p>
      <w:pPr>
        <w:pStyle w:val="33"/>
        <w:framePr w:w="3997" w:h="471" w:hRule="exact" w:vSpace="181" w:wrap="around" w:vAnchor="page" w:hAnchor="page" w:x="7064" w:y="14279" w:anchorLock="1"/>
        <w:rPr>
          <w:rFonts w:ascii="黑体" w:hAnsi="黑体"/>
        </w:rPr>
      </w:pPr>
      <w:r>
        <w:rPr>
          <w:rFonts w:ascii="黑体" w:hAnsi="黑体"/>
        </w:rPr>
        <w:fldChar w:fldCharType="begin">
          <w:ffData>
            <w:name w:val="SY"/>
            <w:enabled/>
            <w:calcOnExit w:val="0"/>
            <w:entryMacro w:val="ShowHelp9"/>
            <w:textInput>
              <w:default w:val="XXXX"/>
              <w:maxLength w:val="4"/>
            </w:textInput>
          </w:ffData>
        </w:fldChar>
      </w:r>
      <w:bookmarkStart w:id="1" w:name="S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1"/>
      <w:r>
        <w:rPr>
          <w:rFonts w:ascii="黑体" w:hAnsi="黑体"/>
        </w:rPr>
        <w:t>-</w:t>
      </w:r>
      <w:r>
        <w:rPr>
          <w:rFonts w:ascii="黑体" w:hAnsi="黑体"/>
        </w:rPr>
        <w:fldChar w:fldCharType="begin">
          <w:ffData>
            <w:name w:val="SM"/>
            <w:enabled/>
            <w:calcOnExit w:val="0"/>
            <w:entryMacro w:val="ShowHelp9"/>
            <w:textInput>
              <w:default w:val="XX"/>
              <w:maxLength w:val="2"/>
            </w:textInput>
          </w:ffData>
        </w:fldChar>
      </w:r>
      <w:bookmarkStart w:id="2" w:name="S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2"/>
      <w:r>
        <w:rPr>
          <w:rFonts w:ascii="黑体" w:hAnsi="黑体"/>
        </w:rPr>
        <w:t>-</w:t>
      </w:r>
      <w:r>
        <w:rPr>
          <w:rFonts w:ascii="黑体" w:hAnsi="黑体"/>
        </w:rPr>
        <w:fldChar w:fldCharType="begin">
          <w:ffData>
            <w:name w:val="SD"/>
            <w:enabled/>
            <w:calcOnExit w:val="0"/>
            <w:entryMacro w:val="ShowHelp9"/>
            <w:textInput>
              <w:default w:val="XX"/>
              <w:maxLength w:val="2"/>
            </w:textInput>
          </w:ffData>
        </w:fldChar>
      </w:r>
      <w:bookmarkStart w:id="3" w:name="S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3"/>
      <w:r>
        <w:rPr>
          <w:rFonts w:hint="eastAsia" w:ascii="黑体" w:hAnsi="黑体"/>
        </w:rPr>
        <w:t>实施</w:t>
      </w:r>
    </w:p>
    <w:p>
      <w:pPr>
        <w:pStyle w:val="33"/>
        <w:framePr w:w="3997" w:h="471" w:hRule="exact" w:vSpace="181" w:wrap="around" w:vAnchor="page" w:hAnchor="page" w:x="7064" w:y="14279" w:anchorLock="1"/>
        <w:rPr>
          <w:rFonts w:eastAsia="宋体"/>
        </w:rPr>
      </w:pPr>
      <w:r>
        <w:rPr>
          <w:rFonts w:eastAsia="宋体"/>
        </w:rPr>
        <w:drawing>
          <wp:anchor distT="0" distB="0" distL="114300" distR="114300" simplePos="0" relativeHeight="251660288" behindDoc="0" locked="0" layoutInCell="1" allowOverlap="1">
            <wp:simplePos x="0" y="0"/>
            <wp:positionH relativeFrom="margin">
              <wp:posOffset>4500880</wp:posOffset>
            </wp:positionH>
            <wp:positionV relativeFrom="paragraph">
              <wp:posOffset>8590280</wp:posOffset>
            </wp:positionV>
            <wp:extent cx="3895725" cy="93599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5725" cy="936082"/>
                    </a:xfrm>
                    <a:prstGeom prst="rect">
                      <a:avLst/>
                    </a:prstGeom>
                    <a:noFill/>
                    <a:ln>
                      <a:noFill/>
                    </a:ln>
                  </pic:spPr>
                </pic:pic>
              </a:graphicData>
            </a:graphic>
          </wp:anchor>
        </w:drawing>
      </w:r>
      <w:r>
        <w:rPr>
          <w:rFonts w:eastAsia="宋体"/>
          <w:sz w:val="24"/>
          <w:szCs w:val="24"/>
        </w:rPr>
        <w:fldChar w:fldCharType="begin">
          <w:ffData>
            <w:name w:val="SY"/>
            <w:enabled/>
            <w:calcOnExit w:val="0"/>
            <w:entryMacro w:val="ShowHelp9"/>
            <w:textInput>
              <w:default w:val="XXXX"/>
              <w:maxLength w:val="4"/>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M"/>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D"/>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hint="eastAsia" w:eastAsia="宋体"/>
        </w:rPr>
        <w:t>实施</w:t>
      </w:r>
    </w:p>
    <w:p>
      <w:pPr>
        <w:pStyle w:val="33"/>
        <w:framePr w:w="4665" w:h="506" w:hRule="exact" w:hSpace="125" w:wrap="around" w:vAnchor="page" w:hAnchor="page" w:x="1354" w:y="14197"/>
        <w:jc w:val="left"/>
        <w:rPr>
          <w:rFonts w:ascii="黑体" w:hAnsi="黑体"/>
        </w:rPr>
      </w:pPr>
      <w:r>
        <w:rPr>
          <w:rFonts w:ascii="黑体" w:hAnsi="黑体"/>
          <w:szCs w:val="28"/>
        </w:rPr>
        <w:fldChar w:fldCharType="begin">
          <w:ffData>
            <w:name w:val="SY"/>
            <w:enabled/>
            <w:calcOnExit w:val="0"/>
            <w:entryMacro w:val="ShowHelp9"/>
            <w:textInput>
              <w:default w:val="XXXX"/>
              <w:maxLength w:val="4"/>
            </w:textInput>
          </w:ffData>
        </w:fldChar>
      </w:r>
      <w:r>
        <w:rPr>
          <w:rFonts w:ascii="黑体" w:hAnsi="黑体"/>
          <w:szCs w:val="28"/>
        </w:rPr>
        <w:instrText xml:space="preserve"> FORMTEXT </w:instrText>
      </w:r>
      <w:r>
        <w:rPr>
          <w:rFonts w:ascii="黑体" w:hAnsi="黑体"/>
          <w:szCs w:val="28"/>
        </w:rPr>
        <w:fldChar w:fldCharType="separate"/>
      </w:r>
      <w:r>
        <w:rPr>
          <w:rFonts w:ascii="黑体" w:hAnsi="黑体"/>
          <w:szCs w:val="28"/>
        </w:rPr>
        <w:t>XXXX</w:t>
      </w:r>
      <w:r>
        <w:rPr>
          <w:rFonts w:ascii="黑体" w:hAnsi="黑体"/>
          <w:szCs w:val="28"/>
        </w:rPr>
        <w:fldChar w:fldCharType="end"/>
      </w:r>
      <w:r>
        <w:rPr>
          <w:rFonts w:ascii="黑体" w:hAnsi="黑体"/>
          <w:szCs w:val="28"/>
        </w:rPr>
        <w:t>-</w:t>
      </w:r>
      <w:r>
        <w:rPr>
          <w:rFonts w:ascii="黑体" w:hAnsi="黑体"/>
          <w:szCs w:val="28"/>
        </w:rPr>
        <w:fldChar w:fldCharType="begin">
          <w:ffData>
            <w:name w:val="SM"/>
            <w:enabled/>
            <w:calcOnExit w:val="0"/>
            <w:entryMacro w:val="ShowHelp9"/>
            <w:textInput>
              <w:default w:val="XX"/>
              <w:maxLength w:val="2"/>
            </w:textInput>
          </w:ffData>
        </w:fldChar>
      </w:r>
      <w:r>
        <w:rPr>
          <w:rFonts w:ascii="黑体" w:hAnsi="黑体"/>
          <w:szCs w:val="28"/>
        </w:rPr>
        <w:instrText xml:space="preserve"> FORMTEXT </w:instrText>
      </w:r>
      <w:r>
        <w:rPr>
          <w:rFonts w:ascii="黑体" w:hAnsi="黑体"/>
          <w:szCs w:val="28"/>
        </w:rPr>
        <w:fldChar w:fldCharType="separate"/>
      </w:r>
      <w:r>
        <w:rPr>
          <w:rFonts w:ascii="黑体" w:hAnsi="黑体"/>
          <w:szCs w:val="28"/>
        </w:rPr>
        <w:t>XX</w:t>
      </w:r>
      <w:r>
        <w:rPr>
          <w:rFonts w:ascii="黑体" w:hAnsi="黑体"/>
          <w:szCs w:val="28"/>
        </w:rPr>
        <w:fldChar w:fldCharType="end"/>
      </w:r>
      <w:r>
        <w:rPr>
          <w:rFonts w:ascii="黑体" w:hAnsi="黑体"/>
          <w:szCs w:val="28"/>
        </w:rPr>
        <w:t>-</w:t>
      </w:r>
      <w:r>
        <w:rPr>
          <w:rFonts w:ascii="黑体" w:hAnsi="黑体"/>
          <w:szCs w:val="28"/>
        </w:rPr>
        <w:fldChar w:fldCharType="begin">
          <w:ffData>
            <w:name w:val="SD"/>
            <w:enabled/>
            <w:calcOnExit w:val="0"/>
            <w:entryMacro w:val="ShowHelp9"/>
            <w:textInput>
              <w:default w:val="XX"/>
              <w:maxLength w:val="2"/>
            </w:textInput>
          </w:ffData>
        </w:fldChar>
      </w:r>
      <w:r>
        <w:rPr>
          <w:rFonts w:ascii="黑体" w:hAnsi="黑体"/>
          <w:szCs w:val="28"/>
        </w:rPr>
        <w:instrText xml:space="preserve"> FORMTEXT </w:instrText>
      </w:r>
      <w:r>
        <w:rPr>
          <w:rFonts w:ascii="黑体" w:hAnsi="黑体"/>
          <w:szCs w:val="28"/>
        </w:rPr>
        <w:fldChar w:fldCharType="separate"/>
      </w:r>
      <w:r>
        <w:rPr>
          <w:rFonts w:ascii="黑体" w:hAnsi="黑体"/>
          <w:szCs w:val="28"/>
        </w:rPr>
        <w:t>XX</w:t>
      </w:r>
      <w:r>
        <w:rPr>
          <w:rFonts w:ascii="黑体" w:hAnsi="黑体"/>
          <w:szCs w:val="28"/>
        </w:rPr>
        <w:fldChar w:fldCharType="end"/>
      </w:r>
      <w:r>
        <w:rPr>
          <w:rFonts w:hint="eastAsia" w:ascii="黑体" w:hAnsi="黑体"/>
        </w:rPr>
        <w:t>发布</w:t>
      </w:r>
    </w:p>
    <w:p>
      <w:pPr>
        <w:pStyle w:val="18"/>
        <w:rPr>
          <w:rFonts w:ascii="Times New Roman" w:hAnsi="Times New Roman" w:eastAsia="宋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hAnsi="Times New Roman" w:eastAsia="宋体"/>
        </w:rPr>
        <w:pict>
          <v:line id="直接连接符 3" o:spid="_x0000_s1029" o:spt="20" style="position:absolute;left:0pt;margin-top:178pt;height:0pt;width:481.9pt;mso-position-horizontal:center;mso-position-horizontal-relative:margin;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">
            <v:path arrowok="t"/>
            <v:fill focussize="0,0"/>
            <v:stroke/>
            <v:imagedata o:title=""/>
            <o:lock v:ext="edit"/>
          </v:line>
        </w:pict>
      </w:r>
      <w:r>
        <w:rPr>
          <w:rFonts w:ascii="Times New Roman" w:hAnsi="Times New Roman" w:eastAsia="宋体"/>
        </w:rPr>
        <w:pict>
          <v:line id="直接连接符 9" o:spid="_x0000_s1028" o:spt="20" style="position:absolute;left:0pt;margin-left:0pt;margin-top:711.1pt;height:0pt;width:481.9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">
            <v:path arrowok="t"/>
            <v:fill focussize="0,0"/>
            <v:stroke/>
            <v:imagedata o:title=""/>
            <o:lock v:ext="edit"/>
          </v:line>
        </w:pict>
      </w:r>
      <w:r>
        <w:rPr>
          <w:rFonts w:ascii="Times New Roman" w:hAnsi="Times New Roman" w:eastAsia="宋体"/>
        </w:rPr>
        <w:drawing>
          <wp:anchor distT="0" distB="0" distL="114300" distR="114300" simplePos="0" relativeHeight="251659264" behindDoc="0" locked="0" layoutInCell="1" allowOverlap="1">
            <wp:simplePos x="0" y="0"/>
            <wp:positionH relativeFrom="margin">
              <wp:posOffset>1353820</wp:posOffset>
            </wp:positionH>
            <wp:positionV relativeFrom="paragraph">
              <wp:posOffset>9116695</wp:posOffset>
            </wp:positionV>
            <wp:extent cx="3296285" cy="791845"/>
            <wp:effectExtent l="0" t="0" r="0" b="825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96252" cy="792038"/>
                    </a:xfrm>
                    <a:prstGeom prst="rect">
                      <a:avLst/>
                    </a:prstGeom>
                    <a:noFill/>
                    <a:ln>
                      <a:noFill/>
                    </a:ln>
                  </pic:spPr>
                </pic:pic>
              </a:graphicData>
            </a:graphic>
          </wp:anchor>
        </w:drawing>
      </w:r>
    </w:p>
    <w:p>
      <w:pPr>
        <w:pStyle w:val="41"/>
        <w:rPr>
          <w:rFonts w:hAnsi="黑体"/>
        </w:rPr>
      </w:pPr>
      <w:r>
        <w:rPr>
          <w:rFonts w:hint="eastAsia" w:hAnsi="黑体"/>
        </w:rPr>
        <w:t>前</w:t>
      </w:r>
      <w:bookmarkStart w:id="4" w:name="BKQY"/>
      <w:r>
        <w:rPr>
          <w:rFonts w:hAnsi="黑体"/>
        </w:rPr>
        <w:t>  </w:t>
      </w:r>
      <w:r>
        <w:rPr>
          <w:rFonts w:hint="eastAsia" w:hAnsi="黑体"/>
        </w:rPr>
        <w:t>言</w:t>
      </w:r>
      <w:bookmarkEnd w:id="4"/>
    </w:p>
    <w:p>
      <w:pPr>
        <w:pStyle w:val="18"/>
        <w:rPr>
          <w:rFonts w:hAnsi="宋体"/>
          <w:szCs w:val="21"/>
        </w:rPr>
      </w:pPr>
      <w:r>
        <w:rPr>
          <w:rFonts w:hint="eastAsia" w:hAnsi="宋体"/>
          <w:szCs w:val="21"/>
        </w:rPr>
        <w:t>本文件按照GB/T 1.1—2020《标准化工作导则  第1部分：标准化文件的结构和起草规则》的规定起草。</w:t>
      </w:r>
    </w:p>
    <w:p>
      <w:pPr>
        <w:pStyle w:val="18"/>
        <w:rPr>
          <w:rFonts w:hAnsi="宋体" w:eastAsia="宋体"/>
          <w:szCs w:val="21"/>
        </w:rPr>
      </w:pPr>
      <w:r>
        <w:rPr>
          <w:rFonts w:hAnsi="宋体" w:eastAsia="宋体"/>
          <w:szCs w:val="21"/>
        </w:rPr>
        <w:t>本</w:t>
      </w:r>
      <w:r>
        <w:rPr>
          <w:rFonts w:hint="eastAsia" w:hAnsi="宋体" w:eastAsia="宋体"/>
          <w:szCs w:val="21"/>
        </w:rPr>
        <w:t>文件代替GB/T 35307</w:t>
      </w:r>
      <w:r>
        <w:rPr>
          <w:rFonts w:hint="eastAsia" w:hAnsi="宋体" w:cs="黑体"/>
          <w:szCs w:val="21"/>
        </w:rPr>
        <w:t>—</w:t>
      </w:r>
      <w:r>
        <w:rPr>
          <w:rFonts w:hint="eastAsia" w:hAnsi="宋体" w:eastAsia="宋体"/>
          <w:szCs w:val="21"/>
        </w:rPr>
        <w:t>2017《流化床法颗粒硅》，与35307</w:t>
      </w:r>
      <w:r>
        <w:rPr>
          <w:rFonts w:hint="eastAsia" w:hAnsi="宋体" w:cs="黑体"/>
          <w:szCs w:val="21"/>
        </w:rPr>
        <w:t>—</w:t>
      </w:r>
      <w:r>
        <w:rPr>
          <w:rFonts w:hint="eastAsia" w:hAnsi="宋体" w:eastAsia="宋体"/>
          <w:szCs w:val="21"/>
        </w:rPr>
        <w:t>2017相比，除结构调整和编辑性改动外，主要技术变化如下：</w:t>
      </w:r>
    </w:p>
    <w:p>
      <w:pPr>
        <w:pStyle w:val="44"/>
        <w:numPr>
          <w:ilvl w:val="0"/>
          <w:numId w:val="3"/>
        </w:numPr>
        <w:ind w:firstLineChars="0"/>
        <w:rPr>
          <w:rFonts w:ascii="宋体" w:hAnsi="宋体"/>
        </w:rPr>
      </w:pPr>
      <w:r>
        <w:rPr>
          <w:rFonts w:hint="eastAsia" w:ascii="宋体" w:hAnsi="宋体"/>
        </w:rPr>
        <w:t>更改了范围（见第</w:t>
      </w:r>
      <w:r>
        <w:rPr>
          <w:rFonts w:ascii="宋体" w:hAnsi="宋体"/>
        </w:rPr>
        <w:t>1章</w:t>
      </w:r>
      <w:r>
        <w:rPr>
          <w:rFonts w:hint="eastAsia" w:ascii="宋体" w:hAnsi="宋体"/>
        </w:rPr>
        <w:t>，</w:t>
      </w:r>
      <w:r>
        <w:rPr>
          <w:rFonts w:ascii="宋体" w:hAnsi="宋体"/>
        </w:rPr>
        <w:t>2017</w:t>
      </w:r>
      <w:r>
        <w:rPr>
          <w:rFonts w:hint="eastAsia" w:ascii="宋体" w:hAnsi="宋体"/>
        </w:rPr>
        <w:t>年版第</w:t>
      </w:r>
      <w:r>
        <w:rPr>
          <w:rFonts w:ascii="宋体" w:hAnsi="宋体"/>
        </w:rPr>
        <w:t>1章</w:t>
      </w:r>
      <w:r>
        <w:rPr>
          <w:rFonts w:hint="eastAsia" w:ascii="宋体" w:hAnsi="宋体"/>
        </w:rPr>
        <w:t>）；</w:t>
      </w:r>
    </w:p>
    <w:p>
      <w:pPr>
        <w:pStyle w:val="44"/>
        <w:numPr>
          <w:ilvl w:val="0"/>
          <w:numId w:val="3"/>
        </w:numPr>
        <w:ind w:firstLineChars="0"/>
        <w:rPr>
          <w:rFonts w:ascii="宋体" w:hAnsi="宋体"/>
        </w:rPr>
      </w:pPr>
      <w:r>
        <w:rPr>
          <w:rFonts w:hint="eastAsia" w:ascii="宋体" w:hAnsi="宋体"/>
        </w:rPr>
        <w:t>删除了规范性引用文件</w:t>
      </w:r>
      <w:r>
        <w:rPr>
          <w:rFonts w:ascii="宋体" w:hAnsi="宋体"/>
          <w:szCs w:val="21"/>
        </w:rPr>
        <w:t>GB/T 1558</w:t>
      </w:r>
      <w:r>
        <w:rPr>
          <w:rFonts w:ascii="宋体" w:hAnsi="宋体" w:cs="宋体"/>
        </w:rPr>
        <w:t xml:space="preserve">, ISO </w:t>
      </w:r>
      <w:r>
        <w:rPr>
          <w:rFonts w:ascii="宋体" w:hAnsi="宋体"/>
          <w:szCs w:val="21"/>
        </w:rPr>
        <w:t>13322.2</w:t>
      </w:r>
      <w:r>
        <w:rPr>
          <w:rFonts w:hint="eastAsia" w:ascii="宋体" w:hAnsi="宋体"/>
        </w:rPr>
        <w:t>（见</w:t>
      </w:r>
      <w:r>
        <w:rPr>
          <w:rFonts w:ascii="宋体" w:hAnsi="宋体"/>
        </w:rPr>
        <w:t>2017年版</w:t>
      </w:r>
      <w:r>
        <w:rPr>
          <w:rFonts w:hint="eastAsia" w:ascii="宋体" w:hAnsi="宋体"/>
        </w:rPr>
        <w:t>第</w:t>
      </w:r>
      <w:r>
        <w:rPr>
          <w:rFonts w:ascii="宋体" w:hAnsi="宋体"/>
        </w:rPr>
        <w:t>2章）；</w:t>
      </w:r>
    </w:p>
    <w:p>
      <w:pPr>
        <w:pStyle w:val="44"/>
        <w:numPr>
          <w:ilvl w:val="0"/>
          <w:numId w:val="3"/>
        </w:numPr>
        <w:ind w:firstLineChars="0"/>
        <w:rPr>
          <w:rFonts w:ascii="宋体" w:hAnsi="宋体"/>
        </w:rPr>
      </w:pPr>
      <w:r>
        <w:rPr>
          <w:rFonts w:hint="eastAsia" w:ascii="宋体" w:hAnsi="宋体"/>
          <w:szCs w:val="21"/>
        </w:rPr>
        <w:t>更改了</w:t>
      </w:r>
      <w:r>
        <w:rPr>
          <w:rFonts w:hint="eastAsia" w:ascii="宋体" w:hAnsi="宋体"/>
        </w:rPr>
        <w:t>规范性引用文件</w:t>
      </w:r>
      <w:r>
        <w:rPr>
          <w:rFonts w:ascii="宋体" w:hAnsi="宋体"/>
          <w:szCs w:val="21"/>
        </w:rPr>
        <w:t>GB/T 24581</w:t>
      </w:r>
      <w:r>
        <w:rPr>
          <w:rFonts w:hint="eastAsia" w:ascii="宋体" w:hAnsi="宋体"/>
          <w:szCs w:val="21"/>
        </w:rPr>
        <w:t>的标准名称</w:t>
      </w:r>
      <w:r>
        <w:rPr>
          <w:rFonts w:hint="eastAsia" w:ascii="宋体" w:hAnsi="宋体"/>
        </w:rPr>
        <w:t>（见第</w:t>
      </w:r>
      <w:r>
        <w:rPr>
          <w:rFonts w:ascii="宋体" w:hAnsi="宋体"/>
        </w:rPr>
        <w:t>2章，2017年版</w:t>
      </w:r>
      <w:r>
        <w:rPr>
          <w:rFonts w:hint="eastAsia" w:ascii="宋体" w:hAnsi="宋体"/>
        </w:rPr>
        <w:t>第</w:t>
      </w:r>
      <w:r>
        <w:rPr>
          <w:rFonts w:ascii="宋体" w:hAnsi="宋体"/>
        </w:rPr>
        <w:t>2章）；</w:t>
      </w:r>
    </w:p>
    <w:p>
      <w:pPr>
        <w:pStyle w:val="44"/>
        <w:numPr>
          <w:ilvl w:val="0"/>
          <w:numId w:val="3"/>
        </w:numPr>
        <w:ind w:firstLineChars="0"/>
        <w:rPr>
          <w:rFonts w:ascii="宋体" w:hAnsi="宋体"/>
        </w:rPr>
      </w:pPr>
      <w:r>
        <w:rPr>
          <w:rFonts w:hint="eastAsia" w:ascii="宋体" w:hAnsi="宋体"/>
        </w:rPr>
        <w:t>增加了规范性引用文件</w:t>
      </w:r>
      <w:r>
        <w:rPr>
          <w:rFonts w:ascii="宋体" w:hAnsi="宋体" w:cs="宋体"/>
        </w:rPr>
        <w:t xml:space="preserve">GB/T 21649.2,GB/T </w:t>
      </w:r>
      <w:r>
        <w:rPr>
          <w:rFonts w:hint="eastAsia" w:ascii="宋体" w:hAnsi="宋体" w:cs="宋体"/>
        </w:rPr>
        <w:t>35306</w:t>
      </w:r>
      <w:r>
        <w:rPr>
          <w:rFonts w:ascii="宋体" w:hAnsi="宋体" w:cs="宋体"/>
        </w:rPr>
        <w:t>,</w:t>
      </w:r>
      <w:r>
        <w:rPr>
          <w:rFonts w:ascii="宋体" w:hAnsi="宋体" w:cs="宋体"/>
          <w:szCs w:val="21"/>
        </w:rPr>
        <w:t>GB/T 40566</w:t>
      </w:r>
      <w:r>
        <w:rPr>
          <w:rFonts w:hint="eastAsia" w:ascii="宋体" w:hAnsi="宋体"/>
        </w:rPr>
        <w:t>（见第</w:t>
      </w:r>
      <w:r>
        <w:rPr>
          <w:rFonts w:ascii="宋体" w:hAnsi="宋体"/>
        </w:rPr>
        <w:t>2章）；</w:t>
      </w:r>
    </w:p>
    <w:p>
      <w:pPr>
        <w:pStyle w:val="44"/>
        <w:numPr>
          <w:ilvl w:val="0"/>
          <w:numId w:val="3"/>
        </w:numPr>
        <w:ind w:firstLineChars="0"/>
        <w:rPr>
          <w:rFonts w:ascii="宋体" w:hAnsi="宋体"/>
        </w:rPr>
      </w:pPr>
      <w:r>
        <w:rPr>
          <w:rFonts w:hint="eastAsia" w:ascii="宋体" w:hAnsi="宋体"/>
        </w:rPr>
        <w:t>更改了颗粒硅的牌号（见第</w:t>
      </w:r>
      <w:r>
        <w:rPr>
          <w:rFonts w:ascii="宋体" w:hAnsi="宋体"/>
        </w:rPr>
        <w:t>4</w:t>
      </w:r>
      <w:r>
        <w:rPr>
          <w:rFonts w:hint="eastAsia" w:ascii="宋体" w:hAnsi="宋体"/>
        </w:rPr>
        <w:t>章</w:t>
      </w:r>
      <w:r>
        <w:rPr>
          <w:rFonts w:ascii="宋体" w:hAnsi="宋体"/>
        </w:rPr>
        <w:t>,2017</w:t>
      </w:r>
      <w:r>
        <w:rPr>
          <w:rFonts w:hint="eastAsia" w:ascii="宋体" w:hAnsi="宋体"/>
        </w:rPr>
        <w:t>年版</w:t>
      </w:r>
      <w:r>
        <w:rPr>
          <w:rFonts w:ascii="宋体" w:hAnsi="宋体"/>
        </w:rPr>
        <w:t>4.1</w:t>
      </w:r>
      <w:r>
        <w:rPr>
          <w:rFonts w:hint="eastAsia" w:ascii="宋体" w:hAnsi="宋体"/>
        </w:rPr>
        <w:t>）；</w:t>
      </w:r>
    </w:p>
    <w:p>
      <w:pPr>
        <w:pStyle w:val="44"/>
        <w:numPr>
          <w:ilvl w:val="0"/>
          <w:numId w:val="3"/>
        </w:numPr>
        <w:ind w:firstLineChars="0"/>
        <w:rPr>
          <w:rFonts w:ascii="宋体" w:hAnsi="宋体"/>
        </w:rPr>
      </w:pPr>
      <w:r>
        <w:rPr>
          <w:rFonts w:hint="eastAsia" w:ascii="宋体" w:hAnsi="宋体"/>
        </w:rPr>
        <w:t>更改了</w:t>
      </w:r>
      <w:r>
        <w:rPr>
          <w:rFonts w:ascii="宋体" w:hAnsi="宋体"/>
        </w:rPr>
        <w:t>1,2,3级品施主杂质含量的技术指标（</w:t>
      </w:r>
      <w:r>
        <w:rPr>
          <w:rFonts w:hint="eastAsia" w:ascii="宋体" w:hAnsi="宋体" w:cs="宋体"/>
        </w:rPr>
        <w:t>见5.1，</w:t>
      </w:r>
      <w:r>
        <w:rPr>
          <w:rFonts w:ascii="宋体" w:hAnsi="宋体" w:cs="宋体"/>
        </w:rPr>
        <w:t>2017</w:t>
      </w:r>
      <w:r>
        <w:rPr>
          <w:rFonts w:hint="eastAsia" w:ascii="宋体" w:hAnsi="宋体" w:cs="宋体"/>
        </w:rPr>
        <w:t>年版的4.2</w:t>
      </w:r>
      <w:r>
        <w:rPr>
          <w:rFonts w:hint="eastAsia" w:ascii="宋体" w:hAnsi="宋体"/>
        </w:rPr>
        <w:t>）；</w:t>
      </w:r>
    </w:p>
    <w:p>
      <w:pPr>
        <w:pStyle w:val="44"/>
        <w:numPr>
          <w:ilvl w:val="0"/>
          <w:numId w:val="3"/>
        </w:numPr>
        <w:ind w:firstLineChars="0"/>
        <w:rPr>
          <w:rFonts w:ascii="宋体" w:hAnsi="宋体"/>
        </w:rPr>
      </w:pPr>
      <w:r>
        <w:rPr>
          <w:rFonts w:hint="eastAsia" w:ascii="宋体" w:hAnsi="宋体"/>
        </w:rPr>
        <w:t>更改了特级</w:t>
      </w:r>
      <w:r>
        <w:rPr>
          <w:rFonts w:ascii="宋体" w:hAnsi="宋体"/>
        </w:rPr>
        <w:t>,1,</w:t>
      </w:r>
      <w:r>
        <w:rPr>
          <w:rFonts w:hint="eastAsia" w:ascii="宋体" w:hAnsi="宋体"/>
        </w:rPr>
        <w:t>2</w:t>
      </w:r>
      <w:r>
        <w:rPr>
          <w:rFonts w:ascii="宋体" w:hAnsi="宋体"/>
        </w:rPr>
        <w:t>级品受主杂质含量的技术指标（</w:t>
      </w:r>
      <w:r>
        <w:rPr>
          <w:rFonts w:hint="eastAsia" w:ascii="宋体" w:hAnsi="宋体" w:cs="宋体"/>
        </w:rPr>
        <w:t>见5.1，</w:t>
      </w:r>
      <w:r>
        <w:rPr>
          <w:rFonts w:ascii="宋体" w:hAnsi="宋体" w:cs="宋体"/>
        </w:rPr>
        <w:t>2017</w:t>
      </w:r>
      <w:r>
        <w:rPr>
          <w:rFonts w:hint="eastAsia" w:ascii="宋体" w:hAnsi="宋体" w:cs="宋体"/>
        </w:rPr>
        <w:t>年版的4.2</w:t>
      </w:r>
      <w:r>
        <w:rPr>
          <w:rFonts w:hint="eastAsia" w:ascii="宋体" w:hAnsi="宋体"/>
        </w:rPr>
        <w:t>）；</w:t>
      </w:r>
    </w:p>
    <w:p>
      <w:pPr>
        <w:pStyle w:val="44"/>
        <w:numPr>
          <w:ilvl w:val="0"/>
          <w:numId w:val="3"/>
        </w:numPr>
        <w:ind w:firstLineChars="0"/>
        <w:rPr>
          <w:rFonts w:ascii="宋体" w:hAnsi="宋体"/>
        </w:rPr>
      </w:pPr>
      <w:r>
        <w:rPr>
          <w:rFonts w:hint="eastAsia" w:ascii="宋体" w:hAnsi="宋体"/>
        </w:rPr>
        <w:t>更改了特级</w:t>
      </w:r>
      <w:r>
        <w:rPr>
          <w:rFonts w:ascii="宋体" w:hAnsi="宋体"/>
        </w:rPr>
        <w:t>,1,2,3级品碳含量</w:t>
      </w:r>
      <w:r>
        <w:rPr>
          <w:rFonts w:hint="eastAsia" w:ascii="宋体" w:hAnsi="宋体"/>
        </w:rPr>
        <w:t>的技术指标（</w:t>
      </w:r>
      <w:r>
        <w:rPr>
          <w:rFonts w:hint="eastAsia" w:ascii="宋体" w:hAnsi="宋体" w:cs="宋体"/>
        </w:rPr>
        <w:t>见5.1，</w:t>
      </w:r>
      <w:r>
        <w:rPr>
          <w:rFonts w:ascii="宋体" w:hAnsi="宋体" w:cs="宋体"/>
        </w:rPr>
        <w:t>2017</w:t>
      </w:r>
      <w:r>
        <w:rPr>
          <w:rFonts w:hint="eastAsia" w:ascii="宋体" w:hAnsi="宋体" w:cs="宋体"/>
        </w:rPr>
        <w:t>年版的4.2</w:t>
      </w:r>
      <w:r>
        <w:rPr>
          <w:rFonts w:ascii="宋体" w:hAnsi="宋体"/>
        </w:rPr>
        <w:t>）；</w:t>
      </w:r>
    </w:p>
    <w:p>
      <w:pPr>
        <w:pStyle w:val="44"/>
        <w:numPr>
          <w:ilvl w:val="0"/>
          <w:numId w:val="3"/>
        </w:numPr>
        <w:ind w:firstLineChars="0"/>
        <w:rPr>
          <w:rFonts w:ascii="宋体" w:hAnsi="宋体"/>
        </w:rPr>
      </w:pPr>
      <w:r>
        <w:rPr>
          <w:rFonts w:hint="eastAsia" w:ascii="宋体" w:hAnsi="宋体"/>
        </w:rPr>
        <w:t>删除了氢含量的技术指标（</w:t>
      </w:r>
      <w:r>
        <w:rPr>
          <w:rFonts w:hint="eastAsia" w:ascii="宋体" w:hAnsi="宋体" w:cs="宋体"/>
        </w:rPr>
        <w:t>见5.1，</w:t>
      </w:r>
      <w:r>
        <w:rPr>
          <w:rFonts w:ascii="宋体" w:hAnsi="宋体" w:cs="宋体"/>
        </w:rPr>
        <w:t>2017</w:t>
      </w:r>
      <w:r>
        <w:rPr>
          <w:rFonts w:hint="eastAsia" w:ascii="宋体" w:hAnsi="宋体" w:cs="宋体"/>
        </w:rPr>
        <w:t>年版的4.2</w:t>
      </w:r>
      <w:r>
        <w:rPr>
          <w:rFonts w:ascii="宋体" w:hAnsi="宋体"/>
        </w:rPr>
        <w:t>）；</w:t>
      </w:r>
    </w:p>
    <w:p>
      <w:pPr>
        <w:pStyle w:val="44"/>
        <w:numPr>
          <w:ilvl w:val="0"/>
          <w:numId w:val="3"/>
        </w:numPr>
        <w:ind w:firstLineChars="0"/>
        <w:rPr>
          <w:rFonts w:ascii="宋体" w:hAnsi="宋体"/>
        </w:rPr>
      </w:pPr>
      <w:r>
        <w:rPr>
          <w:rFonts w:hint="eastAsia" w:ascii="宋体" w:hAnsi="宋体"/>
        </w:rPr>
        <w:t>增加了总金属杂质含量的元素个数，将“总金属杂质含量（</w:t>
      </w:r>
      <w:r>
        <w:rPr>
          <w:rFonts w:ascii="宋体" w:hAnsi="宋体"/>
        </w:rPr>
        <w:t>Fe、Cr、Ni、Cu、Na）ng/g”更改为“（Fe、Cr、Ni、Cu、Na</w:t>
      </w:r>
      <w:r>
        <w:rPr>
          <w:rFonts w:hint="eastAsia" w:ascii="宋体" w:hAnsi="宋体"/>
        </w:rPr>
        <w:t>、</w:t>
      </w:r>
      <w:r>
        <w:rPr>
          <w:rFonts w:ascii="宋体" w:hAnsi="宋体"/>
        </w:rPr>
        <w:t>Al、K、Zn</w:t>
      </w:r>
      <w:r>
        <w:rPr>
          <w:rFonts w:hint="eastAsia" w:ascii="宋体" w:hAnsi="宋体"/>
        </w:rPr>
        <w:t>、</w:t>
      </w:r>
      <w:r>
        <w:rPr>
          <w:rFonts w:ascii="宋体" w:hAnsi="宋体"/>
        </w:rPr>
        <w:t>Ti、Mo</w:t>
      </w:r>
      <w:r>
        <w:rPr>
          <w:rFonts w:hint="eastAsia" w:ascii="宋体" w:hAnsi="宋体"/>
        </w:rPr>
        <w:t>、W</w:t>
      </w:r>
      <w:r>
        <w:rPr>
          <w:rFonts w:ascii="宋体" w:hAnsi="宋体"/>
        </w:rPr>
        <w:t>、</w:t>
      </w:r>
      <w:r>
        <w:rPr>
          <w:rFonts w:hint="eastAsia" w:ascii="宋体" w:hAnsi="宋体"/>
        </w:rPr>
        <w:t>C</w:t>
      </w:r>
      <w:r>
        <w:rPr>
          <w:rFonts w:ascii="宋体" w:hAnsi="宋体"/>
        </w:rPr>
        <w:t>o</w:t>
      </w:r>
      <w:r>
        <w:rPr>
          <w:rFonts w:hint="eastAsia" w:ascii="宋体" w:hAnsi="宋体"/>
        </w:rPr>
        <w:t>）</w:t>
      </w:r>
      <w:r>
        <w:rPr>
          <w:rFonts w:ascii="宋体" w:hAnsi="宋体"/>
        </w:rPr>
        <w:t>ng/g”（</w:t>
      </w:r>
      <w:r>
        <w:rPr>
          <w:rFonts w:hint="eastAsia" w:ascii="宋体" w:hAnsi="宋体" w:cs="宋体"/>
        </w:rPr>
        <w:t>见5.1，</w:t>
      </w:r>
      <w:r>
        <w:rPr>
          <w:rFonts w:ascii="宋体" w:hAnsi="宋体" w:cs="宋体"/>
        </w:rPr>
        <w:t>2017</w:t>
      </w:r>
      <w:r>
        <w:rPr>
          <w:rFonts w:hint="eastAsia" w:ascii="宋体" w:hAnsi="宋体" w:cs="宋体"/>
        </w:rPr>
        <w:t>年版的4.2</w:t>
      </w:r>
      <w:r>
        <w:rPr>
          <w:rFonts w:ascii="宋体" w:hAnsi="宋体"/>
        </w:rPr>
        <w:t>）；</w:t>
      </w:r>
    </w:p>
    <w:p>
      <w:pPr>
        <w:pStyle w:val="44"/>
        <w:numPr>
          <w:ilvl w:val="0"/>
          <w:numId w:val="3"/>
        </w:numPr>
        <w:ind w:firstLineChars="0"/>
        <w:rPr>
          <w:rFonts w:ascii="宋体" w:hAnsi="宋体"/>
        </w:rPr>
      </w:pPr>
      <w:r>
        <w:rPr>
          <w:rFonts w:hint="eastAsia" w:ascii="宋体" w:hAnsi="宋体"/>
        </w:rPr>
        <w:t>更改了特级</w:t>
      </w:r>
      <w:r>
        <w:rPr>
          <w:rFonts w:ascii="宋体" w:hAnsi="宋体"/>
        </w:rPr>
        <w:t>,1,2,3级品总金属杂质含量的技术指标（</w:t>
      </w:r>
      <w:r>
        <w:rPr>
          <w:rFonts w:hint="eastAsia" w:ascii="宋体" w:hAnsi="宋体" w:cs="宋体"/>
        </w:rPr>
        <w:t>见5.1，</w:t>
      </w:r>
      <w:r>
        <w:rPr>
          <w:rFonts w:ascii="宋体" w:hAnsi="宋体" w:cs="宋体"/>
        </w:rPr>
        <w:t>2017</w:t>
      </w:r>
      <w:r>
        <w:rPr>
          <w:rFonts w:hint="eastAsia" w:ascii="宋体" w:hAnsi="宋体" w:cs="宋体"/>
        </w:rPr>
        <w:t>年版的4.2</w:t>
      </w:r>
      <w:r>
        <w:rPr>
          <w:rFonts w:ascii="宋体" w:hAnsi="宋体"/>
        </w:rPr>
        <w:t>）；</w:t>
      </w:r>
    </w:p>
    <w:p>
      <w:pPr>
        <w:pStyle w:val="44"/>
        <w:numPr>
          <w:ilvl w:val="0"/>
          <w:numId w:val="3"/>
        </w:numPr>
        <w:ind w:firstLineChars="0"/>
        <w:rPr>
          <w:rFonts w:ascii="宋体" w:hAnsi="宋体"/>
        </w:rPr>
      </w:pPr>
      <w:r>
        <w:rPr>
          <w:rFonts w:hint="eastAsia" w:ascii="宋体" w:hAnsi="宋体"/>
        </w:rPr>
        <w:t>更改了试验方法中5.1的表述，增加“或用供需双方商定的方法”</w:t>
      </w:r>
      <w:r>
        <w:rPr>
          <w:rFonts w:ascii="宋体" w:hAnsi="宋体"/>
        </w:rPr>
        <w:t>（</w:t>
      </w:r>
      <w:r>
        <w:rPr>
          <w:rFonts w:hint="eastAsia" w:ascii="宋体" w:hAnsi="宋体" w:cs="宋体"/>
        </w:rPr>
        <w:t>见6.1，</w:t>
      </w:r>
      <w:r>
        <w:rPr>
          <w:rFonts w:ascii="宋体" w:hAnsi="宋体" w:cs="宋体"/>
        </w:rPr>
        <w:t>2017</w:t>
      </w:r>
      <w:r>
        <w:rPr>
          <w:rFonts w:hint="eastAsia" w:ascii="宋体" w:hAnsi="宋体" w:cs="宋体"/>
        </w:rPr>
        <w:t>年版的5.1</w:t>
      </w:r>
      <w:r>
        <w:rPr>
          <w:rFonts w:ascii="宋体" w:hAnsi="宋体"/>
        </w:rPr>
        <w:t>）；</w:t>
      </w:r>
    </w:p>
    <w:p>
      <w:pPr>
        <w:pStyle w:val="44"/>
        <w:numPr>
          <w:ilvl w:val="0"/>
          <w:numId w:val="3"/>
        </w:numPr>
        <w:ind w:firstLineChars="0"/>
        <w:rPr>
          <w:rFonts w:ascii="宋体" w:hAnsi="宋体"/>
        </w:rPr>
      </w:pPr>
      <w:r>
        <w:rPr>
          <w:rFonts w:hint="eastAsia" w:ascii="宋体" w:hAnsi="宋体"/>
        </w:rPr>
        <w:t>更改了试验方法中5.2的表述，增加“或用供需双方商定的方法”</w:t>
      </w:r>
      <w:r>
        <w:rPr>
          <w:rFonts w:ascii="宋体" w:hAnsi="宋体"/>
        </w:rPr>
        <w:t>（</w:t>
      </w:r>
      <w:r>
        <w:rPr>
          <w:rFonts w:hint="eastAsia" w:ascii="宋体" w:hAnsi="宋体" w:cs="宋体"/>
        </w:rPr>
        <w:t>见6.2，</w:t>
      </w:r>
      <w:r>
        <w:rPr>
          <w:rFonts w:ascii="宋体" w:hAnsi="宋体" w:cs="宋体"/>
        </w:rPr>
        <w:t>2017</w:t>
      </w:r>
      <w:r>
        <w:rPr>
          <w:rFonts w:hint="eastAsia" w:ascii="宋体" w:hAnsi="宋体" w:cs="宋体"/>
        </w:rPr>
        <w:t>年版的5.2</w:t>
      </w:r>
      <w:r>
        <w:rPr>
          <w:rFonts w:ascii="宋体" w:hAnsi="宋体"/>
        </w:rPr>
        <w:t>）；</w:t>
      </w:r>
    </w:p>
    <w:p>
      <w:pPr>
        <w:pStyle w:val="44"/>
        <w:numPr>
          <w:ilvl w:val="0"/>
          <w:numId w:val="3"/>
        </w:numPr>
        <w:ind w:firstLineChars="0"/>
        <w:rPr>
          <w:rFonts w:ascii="宋体" w:hAnsi="宋体"/>
        </w:rPr>
      </w:pPr>
      <w:r>
        <w:rPr>
          <w:rFonts w:hint="eastAsia" w:ascii="宋体" w:hAnsi="宋体"/>
        </w:rPr>
        <w:t>更改了颗粒硅的碳含量的检验方法，增加“或用供需双方商定的方法”（见6.3，</w:t>
      </w:r>
      <w:r>
        <w:rPr>
          <w:rFonts w:ascii="宋体" w:hAnsi="宋体" w:cs="宋体"/>
        </w:rPr>
        <w:t>2017</w:t>
      </w:r>
      <w:r>
        <w:rPr>
          <w:rFonts w:hint="eastAsia" w:ascii="宋体" w:hAnsi="宋体" w:cs="宋体"/>
        </w:rPr>
        <w:t>年版的5.3</w:t>
      </w:r>
      <w:r>
        <w:rPr>
          <w:rFonts w:ascii="宋体" w:hAnsi="宋体"/>
        </w:rPr>
        <w:t>）；</w:t>
      </w:r>
    </w:p>
    <w:p>
      <w:pPr>
        <w:pStyle w:val="44"/>
        <w:numPr>
          <w:ilvl w:val="0"/>
          <w:numId w:val="3"/>
        </w:numPr>
        <w:ind w:firstLineChars="0"/>
        <w:rPr>
          <w:rFonts w:ascii="宋体" w:hAnsi="宋体"/>
        </w:rPr>
      </w:pPr>
      <w:r>
        <w:rPr>
          <w:rFonts w:hint="eastAsia" w:ascii="宋体" w:hAnsi="宋体"/>
        </w:rPr>
        <w:t>删除了颗粒硅的氢含量的试验方法（</w:t>
      </w:r>
      <w:r>
        <w:rPr>
          <w:rFonts w:ascii="宋体" w:hAnsi="宋体" w:cs="宋体"/>
        </w:rPr>
        <w:t>2017</w:t>
      </w:r>
      <w:r>
        <w:rPr>
          <w:rFonts w:hint="eastAsia" w:ascii="宋体" w:hAnsi="宋体" w:cs="宋体"/>
        </w:rPr>
        <w:t>年版的5.4</w:t>
      </w:r>
      <w:r>
        <w:rPr>
          <w:rFonts w:ascii="宋体" w:hAnsi="宋体"/>
        </w:rPr>
        <w:t>）；</w:t>
      </w:r>
    </w:p>
    <w:p>
      <w:pPr>
        <w:pStyle w:val="44"/>
        <w:numPr>
          <w:ilvl w:val="0"/>
          <w:numId w:val="3"/>
        </w:numPr>
        <w:ind w:firstLineChars="0"/>
        <w:rPr>
          <w:rFonts w:ascii="宋体" w:hAnsi="宋体"/>
        </w:rPr>
      </w:pPr>
      <w:r>
        <w:rPr>
          <w:rFonts w:hint="eastAsia" w:ascii="宋体" w:hAnsi="宋体"/>
        </w:rPr>
        <w:t>更改了颗粒硅尺寸的试验方法（见6.6，</w:t>
      </w:r>
      <w:r>
        <w:rPr>
          <w:rFonts w:ascii="宋体" w:hAnsi="宋体" w:cs="宋体"/>
        </w:rPr>
        <w:t>2017</w:t>
      </w:r>
      <w:r>
        <w:rPr>
          <w:rFonts w:hint="eastAsia" w:ascii="宋体" w:hAnsi="宋体" w:cs="宋体"/>
        </w:rPr>
        <w:t>年版的5.6</w:t>
      </w:r>
      <w:r>
        <w:rPr>
          <w:rFonts w:ascii="宋体" w:hAnsi="宋体"/>
        </w:rPr>
        <w:t>）；</w:t>
      </w:r>
    </w:p>
    <w:p>
      <w:pPr>
        <w:pStyle w:val="44"/>
        <w:numPr>
          <w:ilvl w:val="0"/>
          <w:numId w:val="3"/>
        </w:numPr>
        <w:ind w:firstLineChars="0"/>
        <w:rPr>
          <w:rFonts w:ascii="宋体" w:hAnsi="宋体"/>
        </w:rPr>
      </w:pPr>
      <w:r>
        <w:rPr>
          <w:rFonts w:hint="eastAsia" w:ascii="宋体" w:hAnsi="宋体"/>
        </w:rPr>
        <w:t>更改了检验规则中取样过程的表述（见7.4.1，</w:t>
      </w:r>
      <w:r>
        <w:rPr>
          <w:rFonts w:ascii="宋体" w:hAnsi="宋体" w:cs="宋体"/>
        </w:rPr>
        <w:t>2017</w:t>
      </w:r>
      <w:r>
        <w:rPr>
          <w:rFonts w:hint="eastAsia" w:ascii="宋体" w:hAnsi="宋体" w:cs="宋体"/>
        </w:rPr>
        <w:t>年版的6.4.1</w:t>
      </w:r>
      <w:r>
        <w:rPr>
          <w:rFonts w:ascii="宋体" w:hAnsi="宋体"/>
        </w:rPr>
        <w:t>）；</w:t>
      </w:r>
    </w:p>
    <w:p>
      <w:pPr>
        <w:pStyle w:val="44"/>
        <w:numPr>
          <w:ilvl w:val="0"/>
          <w:numId w:val="3"/>
        </w:numPr>
        <w:ind w:firstLineChars="0"/>
        <w:rPr>
          <w:rFonts w:ascii="宋体" w:hAnsi="宋体"/>
        </w:rPr>
      </w:pPr>
      <w:r>
        <w:rPr>
          <w:rFonts w:hint="eastAsia" w:ascii="宋体" w:hAnsi="宋体"/>
        </w:rPr>
        <w:t>更改了包装部分的表述（见8.2，</w:t>
      </w:r>
      <w:r>
        <w:rPr>
          <w:rFonts w:ascii="宋体" w:hAnsi="宋体" w:cs="宋体"/>
        </w:rPr>
        <w:t>2017</w:t>
      </w:r>
      <w:r>
        <w:rPr>
          <w:rFonts w:hint="eastAsia" w:ascii="宋体" w:hAnsi="宋体" w:cs="宋体"/>
        </w:rPr>
        <w:t>年版的7.2</w:t>
      </w:r>
      <w:r>
        <w:rPr>
          <w:rFonts w:ascii="宋体" w:hAnsi="宋体"/>
        </w:rPr>
        <w:t>）；</w:t>
      </w:r>
    </w:p>
    <w:p>
      <w:pPr>
        <w:pStyle w:val="44"/>
        <w:numPr>
          <w:ilvl w:val="0"/>
          <w:numId w:val="3"/>
        </w:numPr>
        <w:ind w:firstLineChars="0"/>
        <w:rPr>
          <w:rFonts w:ascii="宋体" w:hAnsi="宋体"/>
        </w:rPr>
      </w:pPr>
      <w:r>
        <w:rPr>
          <w:rFonts w:hint="eastAsia" w:ascii="宋体" w:hAnsi="宋体"/>
        </w:rPr>
        <w:t>更改了产品质量证明书的表述（见8.5，</w:t>
      </w:r>
      <w:r>
        <w:rPr>
          <w:rFonts w:ascii="宋体" w:hAnsi="宋体" w:cs="宋体"/>
        </w:rPr>
        <w:t>2017</w:t>
      </w:r>
      <w:r>
        <w:rPr>
          <w:rFonts w:hint="eastAsia" w:ascii="宋体" w:hAnsi="宋体" w:cs="宋体"/>
        </w:rPr>
        <w:t>年版的7.5</w:t>
      </w:r>
      <w:r>
        <w:rPr>
          <w:rFonts w:ascii="宋体" w:hAnsi="宋体"/>
        </w:rPr>
        <w:t>）</w:t>
      </w:r>
      <w:r>
        <w:rPr>
          <w:rFonts w:hint="eastAsia" w:ascii="宋体" w:hAnsi="宋体"/>
        </w:rPr>
        <w:t>。</w:t>
      </w:r>
    </w:p>
    <w:p>
      <w:pPr>
        <w:ind w:firstLine="420" w:firstLineChars="200"/>
        <w:rPr>
          <w:rFonts w:ascii="宋体" w:hAnsi="宋体"/>
          <w:szCs w:val="21"/>
        </w:rPr>
      </w:pPr>
      <w:r>
        <w:rPr>
          <w:rFonts w:hint="eastAsia" w:ascii="宋体" w:hAnsi="宋体"/>
          <w:szCs w:val="21"/>
        </w:rPr>
        <w:t>本文件由全国半导体设备和材料标准化技术委员会（SAC/TC203）与全国半导体设备和材料标准化技术委员会材料分技术委员会（SAC/TC203/SC2）共同提出并归口。</w:t>
      </w:r>
    </w:p>
    <w:p>
      <w:pPr>
        <w:ind w:firstLine="420" w:firstLineChars="200"/>
        <w:rPr>
          <w:rFonts w:ascii="宋体" w:hAnsi="宋体"/>
          <w:szCs w:val="21"/>
        </w:rPr>
      </w:pPr>
      <w:r>
        <w:rPr>
          <w:rFonts w:hint="eastAsia" w:ascii="宋体" w:hAnsi="宋体"/>
          <w:szCs w:val="21"/>
        </w:rPr>
        <w:t>本文件起草单位：江苏中能硅业科技发展有限公司……</w:t>
      </w:r>
    </w:p>
    <w:p>
      <w:pPr>
        <w:pStyle w:val="25"/>
        <w:ind w:firstLine="420" w:firstLineChars="200"/>
        <w:jc w:val="left"/>
        <w:rPr>
          <w:rFonts w:ascii="宋体" w:hAnsi="宋体"/>
        </w:rPr>
      </w:pPr>
      <w:r>
        <w:rPr>
          <w:rFonts w:hint="eastAsia" w:ascii="宋体" w:hAnsi="宋体"/>
        </w:rPr>
        <w:t>本文件主要起草人：……</w:t>
      </w:r>
    </w:p>
    <w:p>
      <w:pPr>
        <w:pStyle w:val="25"/>
        <w:ind w:firstLine="420" w:firstLineChars="200"/>
        <w:jc w:val="left"/>
        <w:rPr>
          <w:rFonts w:ascii="宋体" w:hAnsi="宋体"/>
        </w:rPr>
      </w:pPr>
      <w:r>
        <w:rPr>
          <w:rFonts w:hint="eastAsia" w:ascii="宋体" w:hAnsi="宋体"/>
        </w:rPr>
        <w:t>本文件及其所代替文件的历次版本发布情况为：</w:t>
      </w:r>
    </w:p>
    <w:p>
      <w:pPr>
        <w:ind w:left="865" w:leftChars="210" w:hanging="424" w:hangingChars="202"/>
        <w:rPr>
          <w:rFonts w:ascii="宋体" w:hAnsi="宋体"/>
          <w:szCs w:val="21"/>
        </w:rPr>
      </w:pPr>
      <w:r>
        <w:rPr>
          <w:rFonts w:hint="eastAsia" w:ascii="宋体" w:hAnsi="宋体"/>
          <w:szCs w:val="21"/>
        </w:rPr>
        <w:t>——2017年首次发布为GB/T 35307-2017；</w:t>
      </w:r>
    </w:p>
    <w:p>
      <w:pPr>
        <w:pStyle w:val="18"/>
        <w:rPr>
          <w:rFonts w:ascii="Times New Roman" w:hAnsi="Times New Roman"/>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r>
        <w:rPr>
          <w:rFonts w:hint="eastAsia" w:hAnsi="宋体"/>
          <w:szCs w:val="21"/>
        </w:rPr>
        <w:t>——本次为第一次修订。</w:t>
      </w:r>
    </w:p>
    <w:p>
      <w:pPr>
        <w:pStyle w:val="32"/>
        <w:spacing w:line="240" w:lineRule="auto"/>
        <w:rPr>
          <w:rFonts w:hAnsi="黑体"/>
        </w:rPr>
      </w:pPr>
      <w:r>
        <w:rPr>
          <w:rFonts w:hint="eastAsia" w:hAnsi="黑体"/>
        </w:rPr>
        <w:t>流化床法颗粒硅</w:t>
      </w:r>
    </w:p>
    <w:p>
      <w:pPr>
        <w:pStyle w:val="36"/>
        <w:numPr>
          <w:ilvl w:val="0"/>
          <w:numId w:val="4"/>
        </w:numPr>
        <w:spacing w:before="312" w:after="312"/>
        <w:rPr>
          <w:rFonts w:hAnsi="黑体"/>
        </w:rPr>
      </w:pPr>
      <w:r>
        <w:rPr>
          <w:rFonts w:hint="eastAsia" w:hAnsi="黑体"/>
        </w:rPr>
        <w:t>范围</w:t>
      </w:r>
    </w:p>
    <w:p>
      <w:pPr>
        <w:ind w:firstLine="420" w:firstLineChars="200"/>
        <w:jc w:val="left"/>
        <w:rPr>
          <w:rFonts w:hAnsi="宋体"/>
          <w:szCs w:val="21"/>
        </w:rPr>
      </w:pPr>
      <w:r>
        <w:rPr>
          <w:rFonts w:hAnsi="宋体"/>
          <w:szCs w:val="21"/>
        </w:rPr>
        <w:t>本</w:t>
      </w:r>
      <w:r>
        <w:rPr>
          <w:rFonts w:hint="eastAsia" w:hAnsi="宋体"/>
          <w:szCs w:val="21"/>
        </w:rPr>
        <w:t>文件</w:t>
      </w:r>
      <w:r>
        <w:rPr>
          <w:rFonts w:hAnsi="宋体"/>
          <w:szCs w:val="21"/>
        </w:rPr>
        <w:t>规定了</w:t>
      </w:r>
      <w:r>
        <w:rPr>
          <w:rFonts w:hint="eastAsia" w:hAnsi="宋体"/>
          <w:szCs w:val="21"/>
        </w:rPr>
        <w:t>流化床法颗粒硅的牌号、技术</w:t>
      </w:r>
      <w:r>
        <w:rPr>
          <w:rFonts w:hAnsi="宋体"/>
          <w:szCs w:val="21"/>
        </w:rPr>
        <w:t>要求、试验方法、检验规则</w:t>
      </w:r>
      <w:r>
        <w:rPr>
          <w:rFonts w:hint="eastAsia" w:hAnsi="宋体"/>
          <w:szCs w:val="21"/>
        </w:rPr>
        <w:t>、</w:t>
      </w:r>
      <w:r>
        <w:rPr>
          <w:rFonts w:hAnsi="宋体"/>
          <w:szCs w:val="21"/>
        </w:rPr>
        <w:t>标志、包装、运输</w:t>
      </w:r>
      <w:r>
        <w:rPr>
          <w:rFonts w:hint="eastAsia" w:hAnsi="宋体"/>
          <w:szCs w:val="21"/>
        </w:rPr>
        <w:t>、</w:t>
      </w:r>
      <w:r>
        <w:rPr>
          <w:rFonts w:hAnsi="宋体"/>
          <w:szCs w:val="21"/>
        </w:rPr>
        <w:t>贮存</w:t>
      </w:r>
      <w:r>
        <w:rPr>
          <w:rFonts w:hint="eastAsia" w:hAnsi="宋体"/>
          <w:szCs w:val="21"/>
        </w:rPr>
        <w:t>和随行文件及订货单内容</w:t>
      </w:r>
      <w:r>
        <w:rPr>
          <w:rFonts w:hAnsi="宋体"/>
          <w:szCs w:val="21"/>
        </w:rPr>
        <w:t>。</w:t>
      </w:r>
    </w:p>
    <w:p>
      <w:pPr>
        <w:ind w:firstLine="420" w:firstLineChars="200"/>
        <w:jc w:val="left"/>
        <w:rPr>
          <w:szCs w:val="21"/>
        </w:rPr>
      </w:pPr>
      <w:r>
        <w:rPr>
          <w:rFonts w:hAnsi="宋体"/>
          <w:szCs w:val="21"/>
        </w:rPr>
        <w:t>本</w:t>
      </w:r>
      <w:r>
        <w:rPr>
          <w:rFonts w:hint="eastAsia" w:hAnsi="宋体"/>
          <w:szCs w:val="21"/>
        </w:rPr>
        <w:t>文件</w:t>
      </w:r>
      <w:r>
        <w:rPr>
          <w:rFonts w:hAnsi="宋体"/>
          <w:szCs w:val="21"/>
        </w:rPr>
        <w:t>适用于以</w:t>
      </w:r>
      <w:r>
        <w:rPr>
          <w:rFonts w:hint="eastAsia" w:hAnsi="宋体"/>
          <w:szCs w:val="21"/>
        </w:rPr>
        <w:t>氯硅烷、硅烷气</w:t>
      </w:r>
      <w:r>
        <w:rPr>
          <w:rFonts w:hAnsi="宋体"/>
          <w:szCs w:val="21"/>
        </w:rPr>
        <w:t>为原料，</w:t>
      </w:r>
      <w:r>
        <w:rPr>
          <w:rFonts w:hint="eastAsia" w:hAnsi="宋体"/>
          <w:szCs w:val="21"/>
        </w:rPr>
        <w:t>采用流化床法生产</w:t>
      </w:r>
      <w:r>
        <w:rPr>
          <w:rFonts w:hAnsi="宋体"/>
          <w:szCs w:val="21"/>
        </w:rPr>
        <w:t>的</w:t>
      </w:r>
      <w:r>
        <w:rPr>
          <w:rFonts w:hint="eastAsia" w:hAnsi="宋体"/>
          <w:szCs w:val="21"/>
        </w:rPr>
        <w:t>颗</w:t>
      </w:r>
      <w:r>
        <w:rPr>
          <w:rFonts w:hAnsi="宋体"/>
          <w:szCs w:val="21"/>
        </w:rPr>
        <w:t>粒状多晶硅</w:t>
      </w:r>
      <w:r>
        <w:rPr>
          <w:rFonts w:hint="eastAsia" w:hAnsi="宋体"/>
          <w:szCs w:val="21"/>
        </w:rPr>
        <w:t>（以下简称颗粒硅）</w:t>
      </w:r>
      <w:r>
        <w:rPr>
          <w:rFonts w:hAnsi="宋体"/>
          <w:szCs w:val="21"/>
        </w:rPr>
        <w:t>。</w:t>
      </w:r>
    </w:p>
    <w:p>
      <w:pPr>
        <w:pStyle w:val="36"/>
        <w:numPr>
          <w:ilvl w:val="0"/>
          <w:numId w:val="4"/>
        </w:numPr>
        <w:spacing w:before="312" w:after="312"/>
        <w:rPr>
          <w:rFonts w:hAnsi="黑体"/>
        </w:rPr>
      </w:pPr>
      <w:r>
        <w:rPr>
          <w:rFonts w:hint="eastAsia" w:hAnsi="黑体"/>
        </w:rPr>
        <w:t>规范性引用文件</w:t>
      </w:r>
    </w:p>
    <w:p>
      <w:pPr>
        <w:pStyle w:val="18"/>
        <w:rPr>
          <w:rFonts w:hAnsi="宋体" w:eastAsia="宋体"/>
        </w:rPr>
      </w:pPr>
      <w:r>
        <w:rPr>
          <w:rFonts w:hAnsi="宋体" w:eastAsia="宋体"/>
        </w:rPr>
        <w:t>下列文件</w:t>
      </w:r>
      <w:r>
        <w:rPr>
          <w:rFonts w:hint="eastAsia" w:hAnsi="宋体" w:eastAsia="宋体"/>
        </w:rPr>
        <w:t>中的内容通过文中的规范性引用而构成本文件必不可少的条款</w:t>
      </w:r>
      <w:r>
        <w:rPr>
          <w:rFonts w:hAnsi="宋体" w:eastAsia="宋体"/>
        </w:rPr>
        <w:t>。</w:t>
      </w:r>
      <w:r>
        <w:rPr>
          <w:rFonts w:hint="eastAsia" w:hAnsi="宋体" w:eastAsia="宋体"/>
        </w:rPr>
        <w:t>其中，注日期的引用文件，仅该日期对应的版本适用于本文件；不注日期的引用文件，其最新版本（包括所有的修改单）适用于本文件。</w:t>
      </w:r>
    </w:p>
    <w:p>
      <w:pPr>
        <w:ind w:firstLine="420" w:firstLineChars="200"/>
        <w:jc w:val="left"/>
        <w:rPr>
          <w:rFonts w:ascii="宋体" w:hAnsi="宋体"/>
          <w:szCs w:val="21"/>
        </w:rPr>
      </w:pPr>
      <w:r>
        <w:rPr>
          <w:rFonts w:hint="eastAsia" w:ascii="宋体" w:hAnsi="宋体"/>
          <w:szCs w:val="21"/>
        </w:rPr>
        <w:t>GB/T 14264  半导体材料术语</w:t>
      </w:r>
    </w:p>
    <w:p>
      <w:pPr>
        <w:ind w:firstLine="420" w:firstLineChars="200"/>
        <w:jc w:val="left"/>
        <w:rPr>
          <w:rFonts w:ascii="宋体" w:hAnsi="宋体"/>
          <w:szCs w:val="21"/>
        </w:rPr>
      </w:pPr>
      <w:r>
        <w:rPr>
          <w:rFonts w:ascii="宋体" w:hAnsi="宋体"/>
          <w:szCs w:val="21"/>
        </w:rPr>
        <w:t>GB/T 14844</w:t>
      </w:r>
      <w:r>
        <w:rPr>
          <w:rFonts w:hint="eastAsia" w:ascii="宋体" w:hAnsi="宋体"/>
          <w:szCs w:val="21"/>
        </w:rPr>
        <w:t xml:space="preserve">  </w:t>
      </w:r>
      <w:r>
        <w:rPr>
          <w:rFonts w:ascii="宋体" w:hAnsi="宋体"/>
          <w:szCs w:val="21"/>
        </w:rPr>
        <w:t>半导体材料牌号表示方法</w:t>
      </w:r>
    </w:p>
    <w:p>
      <w:pPr>
        <w:ind w:firstLine="420" w:firstLineChars="200"/>
        <w:jc w:val="left"/>
        <w:rPr>
          <w:rFonts w:ascii="宋体" w:hAnsi="宋体"/>
          <w:szCs w:val="21"/>
        </w:rPr>
      </w:pPr>
      <w:r>
        <w:rPr>
          <w:rFonts w:hint="eastAsia" w:ascii="宋体" w:hAnsi="宋体"/>
          <w:szCs w:val="21"/>
        </w:rPr>
        <w:t xml:space="preserve">GB/T 21649.2 </w:t>
      </w:r>
      <w:r>
        <w:rPr>
          <w:rFonts w:ascii="宋体" w:hAnsi="宋体"/>
          <w:szCs w:val="21"/>
        </w:rPr>
        <w:t xml:space="preserve"> </w:t>
      </w:r>
      <w:r>
        <w:rPr>
          <w:rFonts w:hint="eastAsia" w:ascii="宋体" w:hAnsi="宋体"/>
          <w:szCs w:val="21"/>
        </w:rPr>
        <w:t>粒度分析 图像分析法 第2部分：动态图像分析法</w:t>
      </w:r>
    </w:p>
    <w:p>
      <w:pPr>
        <w:ind w:firstLine="420" w:firstLineChars="200"/>
        <w:jc w:val="left"/>
        <w:rPr>
          <w:rFonts w:ascii="宋体" w:hAnsi="宋体"/>
          <w:szCs w:val="21"/>
        </w:rPr>
      </w:pPr>
      <w:r>
        <w:rPr>
          <w:rFonts w:ascii="宋体" w:hAnsi="宋体"/>
          <w:szCs w:val="21"/>
        </w:rPr>
        <w:t xml:space="preserve">GB/T 24581  </w:t>
      </w:r>
      <w:r>
        <w:rPr>
          <w:rFonts w:hint="eastAsia" w:ascii="宋体" w:hAnsi="宋体"/>
          <w:szCs w:val="21"/>
        </w:rPr>
        <w:t>硅单晶中III、V族杂质含量的测定 低温傅立叶变换红外光谱法</w:t>
      </w:r>
    </w:p>
    <w:p>
      <w:pPr>
        <w:ind w:firstLine="420" w:firstLineChars="200"/>
        <w:jc w:val="left"/>
        <w:rPr>
          <w:rFonts w:ascii="宋体" w:hAnsi="宋体"/>
          <w:szCs w:val="21"/>
        </w:rPr>
      </w:pPr>
      <w:r>
        <w:rPr>
          <w:rFonts w:ascii="宋体" w:hAnsi="宋体"/>
          <w:szCs w:val="21"/>
        </w:rPr>
        <w:t xml:space="preserve">GB/T </w:t>
      </w:r>
      <w:r>
        <w:rPr>
          <w:rFonts w:hint="eastAsia" w:ascii="宋体" w:hAnsi="宋体"/>
          <w:szCs w:val="21"/>
        </w:rPr>
        <w:t>31854  光伏电池用硅材料中金属杂质含量的电感耦合等离子体质测量方法</w:t>
      </w:r>
    </w:p>
    <w:p>
      <w:pPr>
        <w:ind w:firstLine="420" w:firstLineChars="200"/>
        <w:jc w:val="left"/>
        <w:rPr>
          <w:rFonts w:ascii="宋体" w:hAnsi="宋体"/>
          <w:szCs w:val="21"/>
        </w:rPr>
      </w:pPr>
      <w:r>
        <w:rPr>
          <w:rFonts w:ascii="宋体" w:hAnsi="宋体"/>
          <w:szCs w:val="21"/>
        </w:rPr>
        <w:t>GB/T 35306</w:t>
      </w:r>
      <w:r>
        <w:rPr>
          <w:rFonts w:hint="eastAsia" w:ascii="宋体" w:hAnsi="宋体"/>
          <w:szCs w:val="21"/>
        </w:rPr>
        <w:t xml:space="preserve"> </w:t>
      </w:r>
      <w:r>
        <w:rPr>
          <w:rFonts w:ascii="宋体" w:hAnsi="宋体"/>
          <w:szCs w:val="21"/>
        </w:rPr>
        <w:t xml:space="preserve"> 硅单晶中碳、氧含量的测定 低温傅立叶变换红外光谱法</w:t>
      </w:r>
    </w:p>
    <w:p>
      <w:pPr>
        <w:ind w:firstLine="420" w:firstLineChars="200"/>
        <w:jc w:val="left"/>
        <w:rPr>
          <w:rFonts w:ascii="宋体" w:hAnsi="宋体"/>
          <w:szCs w:val="21"/>
        </w:rPr>
      </w:pPr>
      <w:r>
        <w:rPr>
          <w:rFonts w:ascii="宋体" w:hAnsi="宋体"/>
          <w:szCs w:val="21"/>
        </w:rPr>
        <w:t xml:space="preserve">GB/T </w:t>
      </w:r>
      <w:r>
        <w:rPr>
          <w:rFonts w:hint="eastAsia" w:ascii="宋体" w:hAnsi="宋体"/>
          <w:szCs w:val="21"/>
        </w:rPr>
        <w:t xml:space="preserve">35309  </w:t>
      </w:r>
      <w:r>
        <w:rPr>
          <w:rFonts w:ascii="宋体" w:hAnsi="宋体"/>
          <w:szCs w:val="21"/>
        </w:rPr>
        <w:t>用区熔法和光谱分析法评价颗粒状多晶硅的规程</w:t>
      </w:r>
    </w:p>
    <w:p>
      <w:pPr>
        <w:pStyle w:val="36"/>
        <w:numPr>
          <w:ilvl w:val="0"/>
          <w:numId w:val="4"/>
        </w:numPr>
        <w:spacing w:before="312" w:after="312"/>
        <w:rPr>
          <w:rFonts w:hAnsi="黑体"/>
        </w:rPr>
      </w:pPr>
      <w:r>
        <w:rPr>
          <w:rFonts w:hint="eastAsia" w:hAnsi="黑体"/>
        </w:rPr>
        <w:t>术语和定义</w:t>
      </w:r>
    </w:p>
    <w:p>
      <w:pPr>
        <w:pStyle w:val="18"/>
      </w:pPr>
      <w:r>
        <w:rPr>
          <w:rFonts w:hint="eastAsia"/>
        </w:rPr>
        <w:t>GB/T 14264界定的术语和定义适用于本文件。</w:t>
      </w:r>
    </w:p>
    <w:p>
      <w:pPr>
        <w:pStyle w:val="36"/>
        <w:numPr>
          <w:ilvl w:val="0"/>
          <w:numId w:val="4"/>
        </w:numPr>
        <w:spacing w:before="312" w:after="312"/>
        <w:rPr>
          <w:rFonts w:hAnsi="黑体"/>
        </w:rPr>
      </w:pPr>
      <w:r>
        <w:rPr>
          <w:rFonts w:hint="eastAsia" w:hAnsi="黑体"/>
        </w:rPr>
        <w:t>牌号</w:t>
      </w:r>
    </w:p>
    <w:p>
      <w:pPr>
        <w:pStyle w:val="18"/>
      </w:pPr>
      <w:r>
        <w:rPr>
          <w:rFonts w:hint="eastAsia"/>
        </w:rPr>
        <w:t>颗粒硅的牌号表示按GB/T 14844 的规定，具体如下：</w:t>
      </w:r>
    </w:p>
    <w:p>
      <w:pPr>
        <w:ind w:firstLine="315" w:firstLineChars="150"/>
        <w:jc w:val="left"/>
        <w:rPr>
          <w:rFonts w:ascii="宋体" w:hAnsi="宋体"/>
          <w:szCs w:val="21"/>
        </w:rPr>
      </w:pPr>
      <w:r>
        <w:pict>
          <v:group id="_x0000_s1191" o:spid="_x0000_s1191" o:spt="203" style="position:absolute;left:0pt;margin-left:23.8pt;margin-top:14.15pt;height:86.85pt;width:114.8pt;z-index:251668480;mso-width-relative:page;mso-height-relative:page;" coordorigin="2103,12909" coordsize="2296,1737">
            <o:lock v:ext="edit"/>
            <v:group id="_x0000_s1175" o:spid="_x0000_s1175" o:spt="203" style="position:absolute;left:2537;top:12976;height:1368;width:1781;" coordorigin="1948,13368" coordsize="2425,1446">
              <o:lock v:ext="edit"/>
              <v:line id="Line 23" o:spid="_x0000_s1176" o:spt="20" style="position:absolute;left:1959;top:13368;flip:x;height:1446;width:0;" coordsize="21600,21600">
                <v:path arrowok="t"/>
                <v:fill focussize="0,0"/>
                <v:stroke/>
                <v:imagedata o:title=""/>
                <o:lock v:ext="edit"/>
              </v:line>
              <v:line id="直线 26" o:spid="_x0000_s1177" o:spt="20" style="position:absolute;left:1948;top:14814;height:0;width:2425;" coordsize="21600,21600">
                <v:path arrowok="t"/>
                <v:fill focussize="0,0"/>
                <v:stroke/>
                <v:imagedata o:title=""/>
                <o:lock v:ext="edit"/>
              </v:line>
            </v:group>
            <v:group id="_x0000_s1179" o:spid="_x0000_s1179" o:spt="203" style="position:absolute;left:2915;top:12975;height:1025;width:1423;" coordorigin="1948,13368" coordsize="2425,1446">
              <o:lock v:ext="edit"/>
              <v:line id="Line 23" o:spid="_x0000_s1180" o:spt="20" style="position:absolute;left:1959;top:13368;flip:x;height:1446;width:0;" coordsize="21600,21600">
                <v:path arrowok="t"/>
                <v:fill focussize="0,0"/>
                <v:stroke/>
                <v:imagedata o:title=""/>
                <o:lock v:ext="edit"/>
              </v:line>
              <v:line id="直线 26" o:spid="_x0000_s1181" o:spt="20" style="position:absolute;left:1948;top:14814;height:0;width:2425;" coordsize="21600,21600">
                <v:path arrowok="t"/>
                <v:fill focussize="0,0"/>
                <v:stroke/>
                <v:imagedata o:title=""/>
                <o:lock v:ext="edit"/>
              </v:line>
            </v:group>
            <v:group id="_x0000_s1182" o:spid="_x0000_s1182" o:spt="203" style="position:absolute;left:3320;top:12943;height:774;width:1069;" coordorigin="1948,13368" coordsize="2425,1446">
              <o:lock v:ext="edit"/>
              <v:line id="Line 23" o:spid="_x0000_s1183" o:spt="20" style="position:absolute;left:1959;top:13368;flip:x;height:1446;width:0;" coordsize="21600,21600">
                <v:path arrowok="t"/>
                <v:fill focussize="0,0"/>
                <v:stroke/>
                <v:imagedata o:title=""/>
                <o:lock v:ext="edit"/>
              </v:line>
              <v:line id="直线 26" o:spid="_x0000_s1184" o:spt="20" style="position:absolute;left:1948;top:14814;height:0;width:2425;" coordsize="21600,21600">
                <v:path arrowok="t"/>
                <v:fill focussize="0,0"/>
                <v:stroke/>
                <v:imagedata o:title=""/>
                <o:lock v:ext="edit"/>
              </v:line>
            </v:group>
            <v:group id="_x0000_s1185" o:spid="_x0000_s1185" o:spt="203" style="position:absolute;left:2103;top:12974;height:1672;width:2199;" coordorigin="7595,47434" coordsize="2424,1754">
              <o:lock v:ext="edit"/>
              <v:line id="Line 23" o:spid="_x0000_s1186" o:spt="20" style="position:absolute;left:7606;top:47434;height:1754;width:8;" coordsize="21600,21600">
                <v:path arrowok="t"/>
                <v:fill focussize="0,0"/>
                <v:stroke/>
                <v:imagedata o:title=""/>
                <o:lock v:ext="edit"/>
              </v:line>
              <v:line id="直线 26" o:spid="_x0000_s1187" o:spt="20" style="position:absolute;left:7595;top:49176;height:0;width:2425;" coordsize="21600,21600">
                <v:path arrowok="t"/>
                <v:fill focussize="0,0"/>
                <v:stroke/>
                <v:imagedata o:title=""/>
                <o:lock v:ext="edit"/>
              </v:line>
            </v:group>
            <v:group id="_x0000_s1188" o:spid="_x0000_s1188" o:spt="203" style="position:absolute;left:3745;top:12909;height:450;width:654;" coordorigin="1948,13368" coordsize="2425,1446">
              <o:lock v:ext="edit"/>
              <v:line id="Line 23" o:spid="_x0000_s1189" o:spt="20" style="position:absolute;left:1959;top:13368;flip:x;height:1446;width:0;" coordsize="21600,21600">
                <v:path arrowok="t"/>
                <v:fill focussize="0,0"/>
                <v:stroke/>
                <v:imagedata o:title=""/>
                <o:lock v:ext="edit"/>
              </v:line>
              <v:line id="直线 26" o:spid="_x0000_s1190" o:spt="20" style="position:absolute;left:1948;top:14814;height:0;width:2425;" coordsize="21600,21600">
                <v:path arrowok="t"/>
                <v:fill focussize="0,0"/>
                <v:stroke/>
                <v:imagedata o:title=""/>
                <o:lock v:ext="edit"/>
              </v:line>
            </v:group>
          </v:group>
        </w:pict>
      </w:r>
      <w:r>
        <w:rPr>
          <w:rFonts w:hint="eastAsia" w:ascii="宋体" w:hAnsi="宋体"/>
          <w:szCs w:val="21"/>
        </w:rPr>
        <w:t>PSi—□—G—□—□</w:t>
      </w:r>
    </w:p>
    <w:p>
      <w:pPr>
        <w:ind w:firstLine="315" w:firstLineChars="150"/>
        <w:jc w:val="left"/>
        <w:rPr>
          <w:rFonts w:ascii="宋体" w:hAnsi="宋体"/>
          <w:szCs w:val="21"/>
        </w:rPr>
      </w:pPr>
    </w:p>
    <w:p>
      <w:pPr>
        <w:tabs>
          <w:tab w:val="left" w:pos="2520"/>
        </w:tabs>
        <w:jc w:val="left"/>
        <w:rPr>
          <w:rFonts w:ascii="宋体" w:hAnsi="宋体"/>
          <w:szCs w:val="21"/>
        </w:rPr>
      </w:pPr>
      <w:r>
        <w:rPr>
          <w:rFonts w:hint="eastAsia" w:ascii="宋体" w:hAnsi="宋体"/>
          <w:szCs w:val="21"/>
        </w:rPr>
        <w:t xml:space="preserve">                           表示用途，</w:t>
      </w:r>
      <w:r>
        <w:rPr>
          <w:szCs w:val="21"/>
        </w:rPr>
        <w:t>E表示电子级，S</w:t>
      </w:r>
      <w:r>
        <w:rPr>
          <w:rFonts w:hint="eastAsia" w:ascii="宋体" w:hAnsi="宋体"/>
          <w:szCs w:val="21"/>
        </w:rPr>
        <w:t>表示太阳能级</w:t>
      </w:r>
    </w:p>
    <w:p>
      <w:pPr>
        <w:tabs>
          <w:tab w:val="left" w:pos="2520"/>
        </w:tabs>
        <w:jc w:val="left"/>
        <w:rPr>
          <w:rFonts w:ascii="宋体" w:hAnsi="宋体"/>
          <w:szCs w:val="21"/>
        </w:rPr>
      </w:pPr>
      <w:r>
        <w:pict>
          <v:line id="Line 21" o:spid="_x0000_s1174" o:spt="20" style="position:absolute;left:0pt;flip:x;margin-left:91pt;margin-top:9.55pt;height:0.05pt;width:0.05pt;z-index:251666432;mso-width-relative:page;mso-height-relative:page;" coordsize="21600,21600">
            <v:path arrowok="t"/>
            <v:fill focussize="0,0"/>
            <v:stroke/>
            <v:imagedata o:title=""/>
            <o:lock v:ext="edit"/>
          </v:line>
        </w:pict>
      </w:r>
      <w:r>
        <w:pict>
          <v:line id="Line 20" o:spid="_x0000_s1178" o:spt="20" style="position:absolute;left:0pt;margin-left:91pt;margin-top:9.55pt;height:0.05pt;width:0.05pt;z-index:251667456;mso-width-relative:page;mso-height-relative:page;" coordsize="21600,21600">
            <v:path arrowok="t"/>
            <v:fill focussize="0,0"/>
            <v:stroke/>
            <v:imagedata o:title=""/>
            <o:lock v:ext="edit"/>
          </v:line>
        </w:pict>
      </w:r>
      <w:r>
        <w:rPr>
          <w:rFonts w:hint="eastAsia" w:ascii="宋体" w:hAnsi="宋体"/>
          <w:szCs w:val="21"/>
        </w:rPr>
        <w:t xml:space="preserve">   </w:t>
      </w:r>
      <w:r>
        <w:rPr>
          <w:rFonts w:hint="eastAsia" w:ascii="宋体" w:hAnsi="宋体"/>
          <w:szCs w:val="21"/>
        </w:rPr>
        <w:tab/>
      </w:r>
      <w:r>
        <w:rPr>
          <w:rFonts w:hint="eastAsia" w:ascii="宋体" w:hAnsi="宋体"/>
          <w:szCs w:val="21"/>
        </w:rPr>
        <w:t xml:space="preserve">   颗粒硅等级,特级用“</w:t>
      </w:r>
      <w:r>
        <w:rPr>
          <w:szCs w:val="21"/>
        </w:rPr>
        <w:t>T</w:t>
      </w:r>
      <w:r>
        <w:rPr>
          <w:rFonts w:hint="eastAsia" w:ascii="宋体" w:hAnsi="宋体"/>
          <w:szCs w:val="21"/>
        </w:rPr>
        <w:t>”表示，其他用阿拉伯数字表示</w:t>
      </w:r>
    </w:p>
    <w:p>
      <w:pPr>
        <w:tabs>
          <w:tab w:val="left" w:pos="2520"/>
        </w:tabs>
        <w:jc w:val="left"/>
        <w:rPr>
          <w:rFonts w:ascii="宋体" w:hAnsi="宋体"/>
          <w:szCs w:val="21"/>
        </w:rPr>
      </w:pPr>
      <w:r>
        <w:rPr>
          <w:rFonts w:hint="eastAsia" w:ascii="宋体" w:hAnsi="宋体"/>
          <w:szCs w:val="21"/>
        </w:rPr>
        <w:tab/>
      </w:r>
      <w:r>
        <w:rPr>
          <w:rFonts w:hint="eastAsia" w:ascii="宋体" w:hAnsi="宋体"/>
          <w:szCs w:val="21"/>
        </w:rPr>
        <w:t xml:space="preserve">   表示颗粒状</w:t>
      </w:r>
    </w:p>
    <w:p>
      <w:pPr>
        <w:tabs>
          <w:tab w:val="left" w:pos="2520"/>
        </w:tabs>
        <w:jc w:val="left"/>
        <w:rPr>
          <w:rFonts w:ascii="宋体" w:hAnsi="宋体"/>
          <w:szCs w:val="21"/>
        </w:rPr>
      </w:pPr>
      <w:r>
        <w:rPr>
          <w:rFonts w:hint="eastAsia" w:ascii="宋体" w:hAnsi="宋体"/>
          <w:szCs w:val="21"/>
        </w:rPr>
        <w:t xml:space="preserve">                           </w:t>
      </w:r>
      <w:r>
        <w:rPr>
          <w:rFonts w:hint="eastAsia" w:hAnsi="宋体"/>
          <w:szCs w:val="21"/>
        </w:rPr>
        <w:t>表示生产方法，F表示流化床法</w:t>
      </w:r>
    </w:p>
    <w:p>
      <w:pPr>
        <w:pStyle w:val="18"/>
        <w:ind w:firstLine="0" w:firstLineChars="0"/>
      </w:pPr>
      <w:r>
        <w:rPr>
          <w:rFonts w:hint="eastAsia" w:hAnsi="宋体"/>
          <w:szCs w:val="21"/>
        </w:rPr>
        <w:t xml:space="preserve">                           表示多晶硅</w:t>
      </w:r>
    </w:p>
    <w:p>
      <w:pPr>
        <w:pStyle w:val="36"/>
        <w:numPr>
          <w:ilvl w:val="0"/>
          <w:numId w:val="4"/>
        </w:numPr>
        <w:spacing w:before="312" w:after="312"/>
        <w:rPr>
          <w:rFonts w:hAnsi="黑体"/>
        </w:rPr>
      </w:pPr>
      <w:r>
        <w:rPr>
          <w:rFonts w:hint="eastAsia" w:hAnsi="黑体"/>
        </w:rPr>
        <w:t>要求</w:t>
      </w:r>
    </w:p>
    <w:p>
      <w:pPr>
        <w:pStyle w:val="21"/>
        <w:numPr>
          <w:ilvl w:val="1"/>
          <w:numId w:val="4"/>
        </w:numPr>
        <w:spacing w:before="156" w:after="156"/>
        <w:rPr>
          <w:rFonts w:hAnsi="黑体"/>
        </w:rPr>
      </w:pPr>
      <w:r>
        <w:rPr>
          <w:rFonts w:hint="eastAsia" w:hAnsi="黑体"/>
        </w:rPr>
        <w:t>技术指标</w:t>
      </w:r>
    </w:p>
    <w:p>
      <w:pPr>
        <w:pStyle w:val="18"/>
        <w:rPr>
          <w:rFonts w:ascii="黑体" w:hAnsi="黑体" w:eastAsia="黑体"/>
        </w:rPr>
      </w:pPr>
      <w:r>
        <w:rPr>
          <w:rFonts w:hint="eastAsia"/>
        </w:rPr>
        <w:t>颗粒硅的等级及相关技术指标要求</w:t>
      </w:r>
      <w:r>
        <w:t>应符合表</w:t>
      </w:r>
      <w:r>
        <w:rPr>
          <w:rFonts w:hint="eastAsia"/>
        </w:rPr>
        <w:t>1</w:t>
      </w:r>
      <w:r>
        <w:t>的规定</w:t>
      </w:r>
      <w:r>
        <w:rPr>
          <w:rFonts w:hint="eastAsia"/>
        </w:rPr>
        <w:t>。</w:t>
      </w:r>
    </w:p>
    <w:p>
      <w:pPr>
        <w:pStyle w:val="21"/>
        <w:tabs>
          <w:tab w:val="clear" w:pos="760"/>
        </w:tabs>
        <w:spacing w:before="156" w:after="156"/>
        <w:ind w:left="0" w:firstLine="0"/>
        <w:jc w:val="center"/>
        <w:outlineLvl w:val="9"/>
        <w:rPr>
          <w:rFonts w:hAnsi="黑体"/>
        </w:rPr>
      </w:pPr>
      <w:r>
        <w:rPr>
          <w:rFonts w:hint="eastAsia" w:hAnsi="黑体"/>
        </w:rPr>
        <w:t>表1  技术指标</w:t>
      </w:r>
    </w:p>
    <w:tbl>
      <w:tblPr>
        <w:tblStyle w:val="11"/>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2"/>
        <w:gridCol w:w="1559"/>
        <w:gridCol w:w="1418"/>
        <w:gridCol w:w="141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882" w:type="dxa"/>
            <w:vMerge w:val="restart"/>
            <w:vAlign w:val="center"/>
          </w:tcPr>
          <w:p>
            <w:pPr>
              <w:adjustRightInd w:val="0"/>
              <w:snapToGrid w:val="0"/>
              <w:jc w:val="center"/>
              <w:rPr>
                <w:rFonts w:ascii="宋体" w:hAnsi="宋体"/>
                <w:sz w:val="18"/>
                <w:szCs w:val="18"/>
              </w:rPr>
            </w:pPr>
            <w:r>
              <w:rPr>
                <w:rFonts w:hint="eastAsia" w:ascii="宋体" w:hAnsi="宋体"/>
                <w:sz w:val="18"/>
                <w:szCs w:val="18"/>
              </w:rPr>
              <w:t>项目</w:t>
            </w:r>
          </w:p>
        </w:tc>
        <w:tc>
          <w:tcPr>
            <w:tcW w:w="5865" w:type="dxa"/>
            <w:gridSpan w:val="4"/>
            <w:vAlign w:val="center"/>
          </w:tcPr>
          <w:p>
            <w:pPr>
              <w:adjustRightInd w:val="0"/>
              <w:snapToGrid w:val="0"/>
              <w:jc w:val="center"/>
              <w:rPr>
                <w:rFonts w:ascii="宋体" w:hAnsi="宋体"/>
                <w:sz w:val="18"/>
                <w:szCs w:val="18"/>
              </w:rPr>
            </w:pPr>
            <w:r>
              <w:rPr>
                <w:rFonts w:hint="eastAsia" w:ascii="宋体" w:hAnsi="宋体"/>
                <w:sz w:val="18"/>
                <w:szCs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82" w:type="dxa"/>
            <w:vMerge w:val="continue"/>
            <w:vAlign w:val="center"/>
          </w:tcPr>
          <w:p>
            <w:pPr>
              <w:widowControl/>
              <w:adjustRightInd w:val="0"/>
              <w:snapToGrid w:val="0"/>
              <w:jc w:val="left"/>
              <w:rPr>
                <w:rFonts w:ascii="宋体" w:hAnsi="宋体"/>
                <w:sz w:val="18"/>
                <w:szCs w:val="18"/>
              </w:rPr>
            </w:pPr>
          </w:p>
        </w:tc>
        <w:tc>
          <w:tcPr>
            <w:tcW w:w="1559" w:type="dxa"/>
            <w:vAlign w:val="center"/>
          </w:tcPr>
          <w:p>
            <w:pPr>
              <w:adjustRightInd w:val="0"/>
              <w:snapToGrid w:val="0"/>
              <w:jc w:val="center"/>
              <w:rPr>
                <w:rFonts w:ascii="宋体" w:hAnsi="宋体"/>
                <w:sz w:val="18"/>
                <w:szCs w:val="18"/>
              </w:rPr>
            </w:pPr>
            <w:r>
              <w:rPr>
                <w:rFonts w:hint="eastAsia" w:ascii="宋体" w:hAnsi="宋体"/>
                <w:sz w:val="18"/>
                <w:szCs w:val="18"/>
              </w:rPr>
              <w:t>特级品</w:t>
            </w:r>
          </w:p>
        </w:tc>
        <w:tc>
          <w:tcPr>
            <w:tcW w:w="1418" w:type="dxa"/>
            <w:vAlign w:val="center"/>
          </w:tcPr>
          <w:p>
            <w:pPr>
              <w:adjustRightInd w:val="0"/>
              <w:snapToGrid w:val="0"/>
              <w:jc w:val="center"/>
              <w:rPr>
                <w:rFonts w:ascii="宋体" w:hAnsi="宋体"/>
                <w:sz w:val="18"/>
                <w:szCs w:val="18"/>
              </w:rPr>
            </w:pPr>
            <w:r>
              <w:rPr>
                <w:rFonts w:ascii="宋体" w:hAnsi="宋体"/>
                <w:sz w:val="18"/>
                <w:szCs w:val="18"/>
              </w:rPr>
              <w:t>1级</w:t>
            </w:r>
            <w:r>
              <w:rPr>
                <w:rFonts w:hint="eastAsia" w:ascii="宋体" w:hAnsi="宋体"/>
                <w:sz w:val="18"/>
                <w:szCs w:val="18"/>
              </w:rPr>
              <w:t>品</w:t>
            </w:r>
          </w:p>
        </w:tc>
        <w:tc>
          <w:tcPr>
            <w:tcW w:w="1417" w:type="dxa"/>
            <w:vAlign w:val="center"/>
          </w:tcPr>
          <w:p>
            <w:pPr>
              <w:adjustRightInd w:val="0"/>
              <w:snapToGrid w:val="0"/>
              <w:jc w:val="center"/>
              <w:rPr>
                <w:rFonts w:ascii="宋体" w:hAnsi="宋体"/>
                <w:sz w:val="18"/>
                <w:szCs w:val="18"/>
              </w:rPr>
            </w:pPr>
            <w:r>
              <w:rPr>
                <w:rFonts w:ascii="宋体" w:hAnsi="宋体"/>
                <w:sz w:val="18"/>
                <w:szCs w:val="18"/>
              </w:rPr>
              <w:t>2级</w:t>
            </w:r>
            <w:r>
              <w:rPr>
                <w:rFonts w:hint="eastAsia" w:ascii="宋体" w:hAnsi="宋体"/>
                <w:sz w:val="18"/>
                <w:szCs w:val="18"/>
              </w:rPr>
              <w:t>品</w:t>
            </w:r>
          </w:p>
        </w:tc>
        <w:tc>
          <w:tcPr>
            <w:tcW w:w="1471" w:type="dxa"/>
            <w:vAlign w:val="center"/>
          </w:tcPr>
          <w:p>
            <w:pPr>
              <w:adjustRightInd w:val="0"/>
              <w:snapToGrid w:val="0"/>
              <w:jc w:val="center"/>
              <w:rPr>
                <w:rFonts w:ascii="宋体" w:hAnsi="宋体"/>
                <w:sz w:val="18"/>
                <w:szCs w:val="18"/>
              </w:rPr>
            </w:pPr>
            <w:r>
              <w:rPr>
                <w:rFonts w:ascii="宋体" w:hAnsi="宋体"/>
                <w:sz w:val="18"/>
                <w:szCs w:val="18"/>
              </w:rPr>
              <w:t>3级</w:t>
            </w:r>
            <w:r>
              <w:rPr>
                <w:rFonts w:hint="eastAsia" w:ascii="宋体" w:hAnsi="宋体"/>
                <w:sz w:val="18"/>
                <w:szCs w:val="18"/>
              </w:rPr>
              <w:t>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2" w:type="dxa"/>
            <w:vAlign w:val="center"/>
          </w:tcPr>
          <w:p>
            <w:pPr>
              <w:adjustRightInd w:val="0"/>
              <w:snapToGrid w:val="0"/>
              <w:jc w:val="center"/>
              <w:rPr>
                <w:rFonts w:ascii="宋体" w:hAnsi="宋体"/>
                <w:sz w:val="18"/>
                <w:szCs w:val="18"/>
              </w:rPr>
            </w:pPr>
            <w:r>
              <w:rPr>
                <w:rFonts w:hint="eastAsia" w:ascii="宋体" w:hAnsi="宋体"/>
                <w:sz w:val="18"/>
                <w:szCs w:val="18"/>
              </w:rPr>
              <w:t>施主杂质含量</w:t>
            </w:r>
          </w:p>
          <w:p>
            <w:pPr>
              <w:adjustRightInd w:val="0"/>
              <w:snapToGrid w:val="0"/>
              <w:jc w:val="center"/>
              <w:rPr>
                <w:rFonts w:ascii="宋体" w:hAnsi="宋体"/>
                <w:sz w:val="18"/>
                <w:szCs w:val="18"/>
              </w:rPr>
            </w:pPr>
            <w:r>
              <w:rPr>
                <w:rFonts w:hint="eastAsia" w:ascii="宋体" w:hAnsi="宋体"/>
                <w:sz w:val="18"/>
                <w:szCs w:val="18"/>
              </w:rPr>
              <w:t>10</w:t>
            </w:r>
            <w:r>
              <w:rPr>
                <w:rFonts w:hint="eastAsia" w:ascii="宋体" w:hAnsi="宋体"/>
                <w:sz w:val="18"/>
                <w:szCs w:val="18"/>
                <w:vertAlign w:val="superscript"/>
              </w:rPr>
              <w:t>-9</w:t>
            </w:r>
            <w:r>
              <w:rPr>
                <w:rFonts w:hint="eastAsia" w:ascii="宋体" w:hAnsi="宋体"/>
                <w:sz w:val="18"/>
                <w:szCs w:val="18"/>
              </w:rPr>
              <w:t>（ppba）</w:t>
            </w:r>
          </w:p>
        </w:tc>
        <w:tc>
          <w:tcPr>
            <w:tcW w:w="1559"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≤0.30</w:t>
            </w:r>
          </w:p>
        </w:tc>
        <w:tc>
          <w:tcPr>
            <w:tcW w:w="1418"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≤0.</w:t>
            </w:r>
            <w:r>
              <w:rPr>
                <w:rFonts w:ascii="宋体" w:hAnsi="宋体" w:cs="宋体"/>
                <w:kern w:val="0"/>
                <w:sz w:val="18"/>
                <w:szCs w:val="18"/>
              </w:rPr>
              <w:t>6</w:t>
            </w:r>
            <w:r>
              <w:rPr>
                <w:rFonts w:hint="eastAsia" w:ascii="宋体" w:hAnsi="宋体" w:cs="宋体"/>
                <w:kern w:val="0"/>
                <w:sz w:val="18"/>
                <w:szCs w:val="18"/>
              </w:rPr>
              <w:t>0</w:t>
            </w:r>
          </w:p>
        </w:tc>
        <w:tc>
          <w:tcPr>
            <w:tcW w:w="1417"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≤0.80</w:t>
            </w:r>
          </w:p>
        </w:tc>
        <w:tc>
          <w:tcPr>
            <w:tcW w:w="1471"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2" w:type="dxa"/>
            <w:vAlign w:val="center"/>
          </w:tcPr>
          <w:p>
            <w:pPr>
              <w:adjustRightInd w:val="0"/>
              <w:snapToGrid w:val="0"/>
              <w:jc w:val="center"/>
              <w:rPr>
                <w:rFonts w:ascii="宋体" w:hAnsi="宋体"/>
                <w:sz w:val="18"/>
                <w:szCs w:val="18"/>
              </w:rPr>
            </w:pPr>
            <w:r>
              <w:rPr>
                <w:rFonts w:hint="eastAsia" w:ascii="宋体" w:hAnsi="宋体"/>
                <w:sz w:val="18"/>
                <w:szCs w:val="18"/>
              </w:rPr>
              <w:t>受主杂质含量</w:t>
            </w:r>
          </w:p>
          <w:p>
            <w:pPr>
              <w:adjustRightInd w:val="0"/>
              <w:snapToGrid w:val="0"/>
              <w:jc w:val="center"/>
              <w:rPr>
                <w:rFonts w:ascii="宋体" w:hAnsi="宋体"/>
                <w:sz w:val="18"/>
                <w:szCs w:val="18"/>
              </w:rPr>
            </w:pPr>
            <w:r>
              <w:rPr>
                <w:rFonts w:hint="eastAsia" w:ascii="宋体" w:hAnsi="宋体"/>
                <w:sz w:val="18"/>
                <w:szCs w:val="18"/>
              </w:rPr>
              <w:t>10</w:t>
            </w:r>
            <w:r>
              <w:rPr>
                <w:rFonts w:hint="eastAsia" w:ascii="宋体" w:hAnsi="宋体"/>
                <w:sz w:val="18"/>
                <w:szCs w:val="18"/>
                <w:vertAlign w:val="superscript"/>
              </w:rPr>
              <w:t>-9</w:t>
            </w:r>
            <w:r>
              <w:rPr>
                <w:rFonts w:hint="eastAsia" w:ascii="宋体" w:hAnsi="宋体"/>
                <w:sz w:val="18"/>
                <w:szCs w:val="18"/>
              </w:rPr>
              <w:t>（ppba）</w:t>
            </w:r>
          </w:p>
        </w:tc>
        <w:tc>
          <w:tcPr>
            <w:tcW w:w="1559"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≤0.</w:t>
            </w:r>
            <w:r>
              <w:rPr>
                <w:rFonts w:ascii="宋体" w:hAnsi="宋体" w:cs="宋体"/>
                <w:kern w:val="0"/>
                <w:sz w:val="18"/>
                <w:szCs w:val="18"/>
              </w:rPr>
              <w:t>1</w:t>
            </w:r>
            <w:r>
              <w:rPr>
                <w:rFonts w:hint="eastAsia" w:ascii="宋体" w:hAnsi="宋体" w:cs="宋体"/>
                <w:kern w:val="0"/>
                <w:sz w:val="18"/>
                <w:szCs w:val="18"/>
              </w:rPr>
              <w:t>0</w:t>
            </w:r>
          </w:p>
        </w:tc>
        <w:tc>
          <w:tcPr>
            <w:tcW w:w="1418"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≤0.</w:t>
            </w:r>
            <w:r>
              <w:rPr>
                <w:rFonts w:ascii="宋体" w:hAnsi="宋体" w:cs="宋体"/>
                <w:kern w:val="0"/>
                <w:sz w:val="18"/>
                <w:szCs w:val="18"/>
              </w:rPr>
              <w:t>20</w:t>
            </w:r>
          </w:p>
        </w:tc>
        <w:tc>
          <w:tcPr>
            <w:tcW w:w="1417"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≤0.40</w:t>
            </w:r>
          </w:p>
        </w:tc>
        <w:tc>
          <w:tcPr>
            <w:tcW w:w="1471"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2" w:type="dxa"/>
            <w:vAlign w:val="center"/>
          </w:tcPr>
          <w:p>
            <w:pPr>
              <w:adjustRightInd w:val="0"/>
              <w:snapToGrid w:val="0"/>
              <w:jc w:val="center"/>
              <w:rPr>
                <w:rFonts w:ascii="宋体" w:hAnsi="宋体"/>
                <w:sz w:val="18"/>
                <w:szCs w:val="18"/>
              </w:rPr>
            </w:pPr>
            <w:r>
              <w:rPr>
                <w:rFonts w:hint="eastAsia" w:ascii="宋体" w:hAnsi="宋体"/>
                <w:sz w:val="18"/>
                <w:szCs w:val="18"/>
              </w:rPr>
              <w:t>碳含量（以原子数</w:t>
            </w:r>
            <w:r>
              <w:rPr>
                <w:rFonts w:ascii="宋体" w:hAnsi="宋体"/>
                <w:sz w:val="18"/>
                <w:szCs w:val="18"/>
              </w:rPr>
              <w:t>atoms计）</w:t>
            </w:r>
          </w:p>
          <w:p>
            <w:pPr>
              <w:adjustRightInd w:val="0"/>
              <w:snapToGrid w:val="0"/>
              <w:jc w:val="center"/>
              <w:rPr>
                <w:rFonts w:ascii="宋体" w:hAnsi="宋体"/>
                <w:sz w:val="18"/>
                <w:szCs w:val="18"/>
              </w:rPr>
            </w:pPr>
            <w:r>
              <w:rPr>
                <w:rFonts w:ascii="宋体" w:hAnsi="宋体"/>
                <w:sz w:val="18"/>
                <w:szCs w:val="18"/>
              </w:rPr>
              <w:t>cm</w:t>
            </w:r>
            <w:r>
              <w:rPr>
                <w:rFonts w:ascii="宋体" w:hAnsi="宋体"/>
                <w:sz w:val="18"/>
                <w:szCs w:val="18"/>
                <w:vertAlign w:val="superscript"/>
              </w:rPr>
              <w:t>-3</w:t>
            </w:r>
          </w:p>
        </w:tc>
        <w:tc>
          <w:tcPr>
            <w:tcW w:w="1559"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w:t>
            </w:r>
            <w:r>
              <w:rPr>
                <w:rFonts w:ascii="宋体" w:hAnsi="宋体" w:cs="宋体"/>
                <w:kern w:val="0"/>
                <w:sz w:val="18"/>
                <w:szCs w:val="18"/>
              </w:rPr>
              <w:t>1.5</w:t>
            </w:r>
            <w:r>
              <w:rPr>
                <w:rFonts w:hint="eastAsia" w:ascii="宋体" w:hAnsi="宋体" w:cs="宋体"/>
                <w:kern w:val="0"/>
                <w:sz w:val="18"/>
                <w:szCs w:val="18"/>
              </w:rPr>
              <w:t>×10</w:t>
            </w:r>
            <w:r>
              <w:rPr>
                <w:rStyle w:val="61"/>
                <w:rFonts w:hint="default"/>
                <w:color w:val="auto"/>
              </w:rPr>
              <w:t>16</w:t>
            </w:r>
          </w:p>
        </w:tc>
        <w:tc>
          <w:tcPr>
            <w:tcW w:w="1418"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w:t>
            </w:r>
            <w:r>
              <w:rPr>
                <w:rFonts w:ascii="宋体" w:hAnsi="宋体" w:cs="宋体"/>
                <w:kern w:val="0"/>
                <w:sz w:val="18"/>
                <w:szCs w:val="18"/>
              </w:rPr>
              <w:t>2.5</w:t>
            </w:r>
            <w:r>
              <w:rPr>
                <w:rFonts w:hint="eastAsia" w:ascii="宋体" w:hAnsi="宋体" w:cs="宋体"/>
                <w:kern w:val="0"/>
                <w:sz w:val="18"/>
                <w:szCs w:val="18"/>
              </w:rPr>
              <w:t>×10</w:t>
            </w:r>
            <w:r>
              <w:rPr>
                <w:rStyle w:val="61"/>
                <w:rFonts w:hint="default"/>
                <w:color w:val="auto"/>
              </w:rPr>
              <w:t>16</w:t>
            </w:r>
          </w:p>
        </w:tc>
        <w:tc>
          <w:tcPr>
            <w:tcW w:w="1417"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≤4</w:t>
            </w:r>
            <w:r>
              <w:rPr>
                <w:rFonts w:ascii="宋体" w:hAnsi="宋体" w:cs="宋体"/>
                <w:kern w:val="0"/>
                <w:sz w:val="18"/>
                <w:szCs w:val="18"/>
              </w:rPr>
              <w:t>.0</w:t>
            </w:r>
            <w:r>
              <w:rPr>
                <w:rFonts w:hint="eastAsia" w:ascii="宋体" w:hAnsi="宋体" w:cs="宋体"/>
                <w:kern w:val="0"/>
                <w:sz w:val="18"/>
                <w:szCs w:val="18"/>
              </w:rPr>
              <w:t>×10</w:t>
            </w:r>
            <w:r>
              <w:rPr>
                <w:rStyle w:val="61"/>
                <w:rFonts w:hint="default"/>
                <w:color w:val="auto"/>
              </w:rPr>
              <w:t>16</w:t>
            </w:r>
          </w:p>
        </w:tc>
        <w:tc>
          <w:tcPr>
            <w:tcW w:w="1471"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×10</w:t>
            </w:r>
            <w:r>
              <w:rPr>
                <w:rStyle w:val="61"/>
                <w:rFonts w:hint="default"/>
                <w:color w:val="auto"/>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882" w:type="dxa"/>
            <w:vAlign w:val="center"/>
          </w:tcPr>
          <w:p>
            <w:pPr>
              <w:adjustRightInd w:val="0"/>
              <w:snapToGrid w:val="0"/>
              <w:jc w:val="center"/>
              <w:rPr>
                <w:rFonts w:ascii="宋体" w:hAnsi="宋体"/>
                <w:sz w:val="18"/>
                <w:szCs w:val="18"/>
              </w:rPr>
            </w:pPr>
            <w:r>
              <w:rPr>
                <w:rFonts w:hint="eastAsia" w:ascii="宋体" w:hAnsi="宋体"/>
                <w:sz w:val="18"/>
                <w:szCs w:val="18"/>
              </w:rPr>
              <w:t>总金属杂质含量</w:t>
            </w:r>
          </w:p>
          <w:p>
            <w:pPr>
              <w:adjustRightInd w:val="0"/>
              <w:snapToGrid w:val="0"/>
              <w:jc w:val="center"/>
              <w:rPr>
                <w:rFonts w:ascii="宋体" w:hAnsi="宋体"/>
                <w:sz w:val="18"/>
                <w:szCs w:val="18"/>
              </w:rPr>
            </w:pPr>
            <w:r>
              <w:rPr>
                <w:rFonts w:hint="eastAsia" w:ascii="宋体" w:hAnsi="宋体"/>
                <w:sz w:val="18"/>
                <w:szCs w:val="18"/>
              </w:rPr>
              <w:t>（Fe、Cr、Ni、Cu、Na、Al、K、Zn、Ti、Mo、W、Co）</w:t>
            </w:r>
          </w:p>
          <w:p>
            <w:pPr>
              <w:adjustRightInd w:val="0"/>
              <w:snapToGrid w:val="0"/>
              <w:jc w:val="center"/>
              <w:rPr>
                <w:rFonts w:ascii="宋体" w:hAnsi="宋体"/>
                <w:sz w:val="18"/>
                <w:szCs w:val="18"/>
              </w:rPr>
            </w:pPr>
            <w:r>
              <w:rPr>
                <w:rFonts w:ascii="宋体" w:hAnsi="宋体"/>
                <w:sz w:val="18"/>
                <w:szCs w:val="18"/>
              </w:rPr>
              <w:t>ng</w:t>
            </w:r>
            <w:r>
              <w:rPr>
                <w:rFonts w:hint="eastAsia" w:ascii="宋体" w:hAnsi="宋体"/>
                <w:sz w:val="18"/>
                <w:szCs w:val="18"/>
              </w:rPr>
              <w:t>/g</w:t>
            </w:r>
          </w:p>
        </w:tc>
        <w:tc>
          <w:tcPr>
            <w:tcW w:w="1559"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≤8</w:t>
            </w:r>
          </w:p>
        </w:tc>
        <w:tc>
          <w:tcPr>
            <w:tcW w:w="1418"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≤15</w:t>
            </w:r>
          </w:p>
        </w:tc>
        <w:tc>
          <w:tcPr>
            <w:tcW w:w="1417"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≤3</w:t>
            </w:r>
            <w:r>
              <w:rPr>
                <w:rFonts w:ascii="宋体" w:hAnsi="宋体" w:cs="宋体"/>
                <w:kern w:val="0"/>
                <w:sz w:val="18"/>
                <w:szCs w:val="18"/>
              </w:rPr>
              <w:t>0</w:t>
            </w:r>
          </w:p>
        </w:tc>
        <w:tc>
          <w:tcPr>
            <w:tcW w:w="1471" w:type="dxa"/>
            <w:vAlign w:val="center"/>
          </w:tcPr>
          <w:p>
            <w:pPr>
              <w:widowControl/>
              <w:jc w:val="center"/>
              <w:textAlignment w:val="center"/>
              <w:rPr>
                <w:rFonts w:ascii="宋体" w:hAnsi="宋体"/>
                <w:sz w:val="18"/>
                <w:szCs w:val="18"/>
              </w:rPr>
            </w:pPr>
            <w:r>
              <w:rPr>
                <w:rFonts w:hint="eastAsia" w:ascii="宋体" w:hAnsi="宋体" w:cs="宋体"/>
                <w:kern w:val="0"/>
                <w:sz w:val="18"/>
                <w:szCs w:val="18"/>
              </w:rPr>
              <w:t>≤5</w:t>
            </w:r>
            <w:r>
              <w:rPr>
                <w:rFonts w:ascii="宋体" w:hAnsi="宋体" w:cs="宋体"/>
                <w:kern w:val="0"/>
                <w:sz w:val="18"/>
                <w:szCs w:val="18"/>
              </w:rPr>
              <w:t>0</w:t>
            </w:r>
          </w:p>
        </w:tc>
      </w:tr>
    </w:tbl>
    <w:p>
      <w:pPr>
        <w:pStyle w:val="21"/>
        <w:numPr>
          <w:ilvl w:val="1"/>
          <w:numId w:val="4"/>
        </w:numPr>
        <w:spacing w:before="156" w:after="156"/>
        <w:rPr>
          <w:rFonts w:hAnsi="黑体"/>
        </w:rPr>
      </w:pPr>
      <w:r>
        <w:rPr>
          <w:rFonts w:hint="eastAsia" w:hAnsi="黑体"/>
        </w:rPr>
        <w:t>尺寸</w:t>
      </w:r>
    </w:p>
    <w:p>
      <w:pPr>
        <w:pStyle w:val="18"/>
        <w:numPr>
          <w:ilvl w:val="2"/>
          <w:numId w:val="4"/>
        </w:numPr>
        <w:ind w:firstLineChars="0"/>
        <w:jc w:val="left"/>
      </w:pPr>
      <w:r>
        <w:rPr>
          <w:rFonts w:hint="eastAsia"/>
        </w:rPr>
        <w:t>特级品颗粒硅中线性尺寸不大于</w:t>
      </w:r>
      <w:r>
        <w:t>300</w:t>
      </w:r>
      <w:r>
        <w:rPr>
          <w:rFonts w:hint="eastAsia"/>
        </w:rPr>
        <w:t>μm的颗粒硅重量占比应不大于</w:t>
      </w:r>
      <w:r>
        <w:t>0.5%</w:t>
      </w:r>
      <w:r>
        <w:rPr>
          <w:rFonts w:hint="eastAsia"/>
        </w:rPr>
        <w:t>。</w:t>
      </w:r>
    </w:p>
    <w:p>
      <w:pPr>
        <w:pStyle w:val="18"/>
        <w:numPr>
          <w:ilvl w:val="2"/>
          <w:numId w:val="4"/>
        </w:numPr>
        <w:ind w:firstLineChars="0"/>
        <w:jc w:val="left"/>
      </w:pPr>
      <w:r>
        <w:rPr>
          <w:rFonts w:hint="eastAsia"/>
        </w:rPr>
        <w:t>1级品、2级品、3级品颗粒硅的尺寸分布应符合下列要求：</w:t>
      </w:r>
    </w:p>
    <w:p>
      <w:pPr>
        <w:pStyle w:val="42"/>
        <w:numPr>
          <w:ilvl w:val="0"/>
          <w:numId w:val="5"/>
        </w:numPr>
        <w:ind w:left="0" w:firstLine="420" w:firstLineChars="200"/>
        <w:rPr>
          <w:szCs w:val="22"/>
        </w:rPr>
      </w:pPr>
      <w:r>
        <w:rPr>
          <w:rFonts w:hint="eastAsia"/>
          <w:szCs w:val="22"/>
        </w:rPr>
        <w:t>小于150μm的颗粒硅重量占比应不大于5%；</w:t>
      </w:r>
    </w:p>
    <w:p>
      <w:pPr>
        <w:pStyle w:val="42"/>
        <w:numPr>
          <w:ilvl w:val="0"/>
          <w:numId w:val="5"/>
        </w:numPr>
        <w:ind w:left="0" w:firstLine="420" w:firstLineChars="200"/>
        <w:rPr>
          <w:szCs w:val="22"/>
        </w:rPr>
      </w:pPr>
      <w:r>
        <w:rPr>
          <w:rFonts w:hint="eastAsia"/>
          <w:szCs w:val="22"/>
        </w:rPr>
        <w:t>150μm～4000μm的颗粒硅重量占比应不小于90%；</w:t>
      </w:r>
    </w:p>
    <w:p>
      <w:pPr>
        <w:pStyle w:val="42"/>
        <w:numPr>
          <w:ilvl w:val="0"/>
          <w:numId w:val="5"/>
        </w:numPr>
        <w:ind w:left="0" w:firstLine="420" w:firstLineChars="200"/>
        <w:rPr>
          <w:rFonts w:hAnsi="黑体"/>
        </w:rPr>
      </w:pPr>
      <w:r>
        <w:rPr>
          <w:rFonts w:hint="eastAsia"/>
          <w:szCs w:val="22"/>
        </w:rPr>
        <w:t>大于4000μm的颗粒硅重量占比应不大于5%。</w:t>
      </w:r>
    </w:p>
    <w:p>
      <w:pPr>
        <w:pStyle w:val="21"/>
        <w:numPr>
          <w:ilvl w:val="1"/>
          <w:numId w:val="4"/>
        </w:numPr>
        <w:spacing w:before="156" w:after="156"/>
        <w:rPr>
          <w:rFonts w:hAnsi="黑体"/>
        </w:rPr>
      </w:pPr>
      <w:r>
        <w:rPr>
          <w:rFonts w:hint="eastAsia" w:hAnsi="黑体"/>
        </w:rPr>
        <w:t>表面质量</w:t>
      </w:r>
    </w:p>
    <w:p>
      <w:pPr>
        <w:pStyle w:val="18"/>
        <w:rPr>
          <w:rFonts w:hAnsi="黑体" w:eastAsia="宋体"/>
        </w:rPr>
      </w:pPr>
      <w:r>
        <w:rPr>
          <w:rFonts w:hint="eastAsia"/>
        </w:rPr>
        <w:t>颗粒硅的外观应无色斑</w:t>
      </w:r>
      <w:r>
        <w:t>、变色，无</w:t>
      </w:r>
      <w:r>
        <w:rPr>
          <w:rFonts w:hint="eastAsia"/>
        </w:rPr>
        <w:t>肉眼</w:t>
      </w:r>
      <w:r>
        <w:t>可见的污染物和氧化的外表面</w:t>
      </w:r>
      <w:r>
        <w:rPr>
          <w:rFonts w:hint="eastAsia"/>
        </w:rPr>
        <w:t>，</w:t>
      </w:r>
      <w:r>
        <w:t>无肉眼可见异物。</w:t>
      </w:r>
    </w:p>
    <w:p>
      <w:pPr>
        <w:pStyle w:val="36"/>
        <w:numPr>
          <w:ilvl w:val="0"/>
          <w:numId w:val="4"/>
        </w:numPr>
        <w:spacing w:before="312" w:after="312"/>
        <w:rPr>
          <w:rFonts w:hAnsi="黑体"/>
        </w:rPr>
      </w:pPr>
      <w:r>
        <w:rPr>
          <w:rFonts w:hint="eastAsia" w:hAnsi="黑体"/>
        </w:rPr>
        <w:t>试验方法</w:t>
      </w:r>
    </w:p>
    <w:p>
      <w:pPr>
        <w:pStyle w:val="21"/>
        <w:numPr>
          <w:ilvl w:val="1"/>
          <w:numId w:val="4"/>
        </w:numPr>
        <w:tabs>
          <w:tab w:val="left" w:pos="1560"/>
        </w:tabs>
        <w:spacing w:beforeLines="0" w:afterLines="0"/>
        <w:rPr>
          <w:rFonts w:ascii="宋体" w:hAnsi="宋体"/>
        </w:rPr>
      </w:pPr>
      <w:r>
        <w:rPr>
          <w:rFonts w:hint="eastAsia" w:ascii="宋体" w:hAnsi="宋体" w:eastAsia="宋体"/>
        </w:rPr>
        <w:t>施主杂质含量、受主杂质含量、碳含量的检测，应按照GB/T 35309规定的或用供需双方商定的方法将颗粒硅样品制备成硅单晶试样后进行。</w:t>
      </w:r>
    </w:p>
    <w:p>
      <w:pPr>
        <w:pStyle w:val="21"/>
        <w:numPr>
          <w:ilvl w:val="1"/>
          <w:numId w:val="4"/>
        </w:numPr>
        <w:tabs>
          <w:tab w:val="left" w:pos="1560"/>
        </w:tabs>
        <w:spacing w:beforeLines="0" w:afterLines="0"/>
        <w:rPr>
          <w:rFonts w:ascii="宋体" w:hAnsi="宋体" w:eastAsia="宋体"/>
        </w:rPr>
      </w:pPr>
      <w:r>
        <w:rPr>
          <w:rFonts w:hint="eastAsia" w:ascii="宋体" w:hAnsi="宋体" w:eastAsia="宋体"/>
        </w:rPr>
        <w:t>颗粒硅的施主杂质含量、受主杂质含量的检验</w:t>
      </w:r>
      <w:r>
        <w:rPr>
          <w:rFonts w:ascii="宋体" w:hAnsi="宋体" w:eastAsia="宋体"/>
        </w:rPr>
        <w:t>按</w:t>
      </w:r>
      <w:r>
        <w:rPr>
          <w:rFonts w:hint="eastAsia" w:ascii="宋体" w:hAnsi="宋体" w:eastAsia="宋体"/>
        </w:rPr>
        <w:t>GB/T 24581的规定进行，或用供需双方商定的方法检验。</w:t>
      </w:r>
    </w:p>
    <w:p>
      <w:pPr>
        <w:pStyle w:val="21"/>
        <w:numPr>
          <w:ilvl w:val="1"/>
          <w:numId w:val="4"/>
        </w:numPr>
        <w:tabs>
          <w:tab w:val="left" w:pos="1560"/>
        </w:tabs>
        <w:spacing w:beforeLines="0" w:afterLines="0"/>
        <w:rPr>
          <w:rFonts w:ascii="宋体" w:hAnsi="宋体" w:eastAsia="宋体"/>
        </w:rPr>
      </w:pPr>
      <w:r>
        <w:rPr>
          <w:rFonts w:hint="eastAsia" w:ascii="宋体" w:hAnsi="宋体" w:eastAsia="宋体"/>
        </w:rPr>
        <w:t>颗粒硅的</w:t>
      </w:r>
      <w:r>
        <w:rPr>
          <w:rFonts w:ascii="宋体" w:hAnsi="宋体" w:eastAsia="宋体"/>
        </w:rPr>
        <w:t>碳</w:t>
      </w:r>
      <w:r>
        <w:rPr>
          <w:rFonts w:hint="eastAsia" w:ascii="宋体" w:hAnsi="宋体" w:eastAsia="宋体"/>
        </w:rPr>
        <w:t>含量检验</w:t>
      </w:r>
      <w:r>
        <w:rPr>
          <w:rFonts w:ascii="宋体" w:hAnsi="宋体" w:eastAsia="宋体"/>
        </w:rPr>
        <w:t>按GB/T 35306</w:t>
      </w:r>
      <w:r>
        <w:rPr>
          <w:rFonts w:hint="eastAsia" w:ascii="宋体" w:hAnsi="宋体" w:eastAsia="宋体"/>
        </w:rPr>
        <w:t>的规定进行，或用供需双方商定的方法检验。</w:t>
      </w:r>
    </w:p>
    <w:p>
      <w:pPr>
        <w:pStyle w:val="21"/>
        <w:numPr>
          <w:ilvl w:val="1"/>
          <w:numId w:val="4"/>
        </w:numPr>
        <w:tabs>
          <w:tab w:val="left" w:pos="1560"/>
        </w:tabs>
        <w:spacing w:beforeLines="0" w:afterLines="0"/>
        <w:rPr>
          <w:rFonts w:ascii="宋体" w:hAnsi="宋体" w:eastAsia="宋体"/>
        </w:rPr>
      </w:pPr>
      <w:r>
        <w:rPr>
          <w:rFonts w:hint="eastAsia" w:ascii="宋体" w:hAnsi="宋体" w:eastAsia="宋体"/>
        </w:rPr>
        <w:t>颗粒硅的总金属杂质含量的检验按GB/T31854的规定进行。</w:t>
      </w:r>
    </w:p>
    <w:p>
      <w:pPr>
        <w:pStyle w:val="21"/>
        <w:numPr>
          <w:ilvl w:val="1"/>
          <w:numId w:val="4"/>
        </w:numPr>
        <w:tabs>
          <w:tab w:val="left" w:pos="1560"/>
        </w:tabs>
        <w:spacing w:beforeLines="0" w:afterLines="0"/>
        <w:rPr>
          <w:rFonts w:ascii="宋体" w:hAnsi="宋体" w:eastAsia="宋体"/>
        </w:rPr>
      </w:pPr>
      <w:r>
        <w:rPr>
          <w:rFonts w:hint="eastAsia" w:ascii="宋体" w:hAnsi="宋体" w:eastAsia="宋体"/>
        </w:rPr>
        <w:t>颗粒硅的</w:t>
      </w:r>
      <w:r>
        <w:rPr>
          <w:rFonts w:ascii="宋体" w:hAnsi="宋体" w:eastAsia="宋体"/>
        </w:rPr>
        <w:t>尺寸检验</w:t>
      </w:r>
      <w:r>
        <w:rPr>
          <w:rFonts w:hint="eastAsia" w:ascii="宋体" w:hAnsi="宋体" w:eastAsia="宋体"/>
        </w:rPr>
        <w:t>按GB/T 21649.2的规定进行，或用供需双方商定的方法检验。</w:t>
      </w:r>
    </w:p>
    <w:p>
      <w:pPr>
        <w:pStyle w:val="21"/>
        <w:numPr>
          <w:ilvl w:val="1"/>
          <w:numId w:val="4"/>
        </w:numPr>
        <w:tabs>
          <w:tab w:val="left" w:pos="1560"/>
        </w:tabs>
        <w:spacing w:beforeLines="0" w:afterLines="0"/>
        <w:rPr>
          <w:rFonts w:ascii="宋体" w:hAnsi="宋体" w:eastAsia="宋体"/>
        </w:rPr>
      </w:pPr>
      <w:r>
        <w:rPr>
          <w:rFonts w:hint="eastAsia" w:ascii="宋体" w:hAnsi="宋体" w:eastAsia="宋体"/>
        </w:rPr>
        <w:t>颗粒硅的表面质量用目视检查。</w:t>
      </w:r>
    </w:p>
    <w:p>
      <w:pPr>
        <w:pStyle w:val="36"/>
        <w:numPr>
          <w:ilvl w:val="0"/>
          <w:numId w:val="4"/>
        </w:numPr>
        <w:spacing w:before="312" w:after="312"/>
        <w:rPr>
          <w:rFonts w:hAnsi="黑体"/>
        </w:rPr>
      </w:pPr>
      <w:r>
        <w:rPr>
          <w:rFonts w:hint="eastAsia" w:hAnsi="黑体"/>
        </w:rPr>
        <w:t>检验规则</w:t>
      </w:r>
    </w:p>
    <w:p>
      <w:pPr>
        <w:pStyle w:val="21"/>
        <w:numPr>
          <w:ilvl w:val="1"/>
          <w:numId w:val="4"/>
        </w:numPr>
        <w:spacing w:before="156" w:after="156"/>
        <w:rPr>
          <w:rFonts w:hAnsi="黑体"/>
        </w:rPr>
      </w:pPr>
      <w:r>
        <w:rPr>
          <w:rFonts w:hint="eastAsia" w:hAnsi="黑体"/>
        </w:rPr>
        <w:t>检查和验收</w:t>
      </w:r>
    </w:p>
    <w:p>
      <w:pPr>
        <w:pStyle w:val="18"/>
        <w:numPr>
          <w:ilvl w:val="2"/>
          <w:numId w:val="4"/>
        </w:numPr>
        <w:ind w:firstLineChars="0"/>
        <w:jc w:val="left"/>
      </w:pPr>
      <w:r>
        <w:rPr>
          <w:rFonts w:hint="eastAsia"/>
        </w:rPr>
        <w:t>产品由供方或第三方进行检验，保证产品质量符合本文件规定。</w:t>
      </w:r>
    </w:p>
    <w:p>
      <w:pPr>
        <w:pStyle w:val="18"/>
        <w:numPr>
          <w:ilvl w:val="2"/>
          <w:numId w:val="4"/>
        </w:numPr>
        <w:ind w:firstLineChars="0"/>
        <w:jc w:val="left"/>
      </w:pPr>
      <w:r>
        <w:rPr>
          <w:rFonts w:hint="eastAsia"/>
        </w:rPr>
        <w:t xml:space="preserve"> 需方可对收到的产品进行检验。若检验结果与本文件规定不符时，应在收到产品之日起3个月内向</w:t>
      </w:r>
      <w:r>
        <w:t>供方提出，由供需双方协商解决。</w:t>
      </w:r>
    </w:p>
    <w:p>
      <w:pPr>
        <w:pStyle w:val="21"/>
        <w:numPr>
          <w:ilvl w:val="1"/>
          <w:numId w:val="4"/>
        </w:numPr>
        <w:spacing w:before="156" w:after="156"/>
        <w:rPr>
          <w:rFonts w:hAnsi="黑体"/>
        </w:rPr>
      </w:pPr>
      <w:r>
        <w:rPr>
          <w:rFonts w:hint="eastAsia" w:hAnsi="黑体"/>
        </w:rPr>
        <w:t>组批</w:t>
      </w:r>
    </w:p>
    <w:p>
      <w:pPr>
        <w:pStyle w:val="18"/>
      </w:pPr>
      <w:r>
        <w:t>产品应成批提交验收，每批应</w:t>
      </w:r>
      <w:r>
        <w:rPr>
          <w:rFonts w:hint="eastAsia"/>
        </w:rPr>
        <w:t>由</w:t>
      </w:r>
      <w:r>
        <w:t>同一</w:t>
      </w:r>
      <w:r>
        <w:rPr>
          <w:rFonts w:hint="eastAsia"/>
        </w:rPr>
        <w:t>等级，</w:t>
      </w:r>
      <w:r>
        <w:t>以</w:t>
      </w:r>
      <w:r>
        <w:rPr>
          <w:rFonts w:hint="eastAsia"/>
        </w:rPr>
        <w:t>相同</w:t>
      </w:r>
      <w:r>
        <w:t>工艺条件生产并可追溯生产条件的</w:t>
      </w:r>
      <w:r>
        <w:rPr>
          <w:rFonts w:hint="eastAsia"/>
        </w:rPr>
        <w:t>颗粒硅</w:t>
      </w:r>
      <w:r>
        <w:t>或同一</w:t>
      </w:r>
      <w:r>
        <w:rPr>
          <w:rFonts w:hint="eastAsia"/>
        </w:rPr>
        <w:t>流化床生产</w:t>
      </w:r>
      <w:r>
        <w:t>的</w:t>
      </w:r>
      <w:r>
        <w:rPr>
          <w:rFonts w:hint="eastAsia"/>
        </w:rPr>
        <w:t>颗粒硅</w:t>
      </w:r>
      <w:r>
        <w:t>组成。</w:t>
      </w:r>
    </w:p>
    <w:p>
      <w:pPr>
        <w:pStyle w:val="21"/>
        <w:numPr>
          <w:ilvl w:val="1"/>
          <w:numId w:val="4"/>
        </w:numPr>
        <w:spacing w:before="156" w:after="156"/>
        <w:rPr>
          <w:rFonts w:hAnsi="黑体"/>
        </w:rPr>
      </w:pPr>
      <w:r>
        <w:rPr>
          <w:rFonts w:hint="eastAsia" w:hAnsi="黑体"/>
        </w:rPr>
        <w:t>检验项目</w:t>
      </w:r>
    </w:p>
    <w:p>
      <w:pPr>
        <w:pStyle w:val="18"/>
      </w:pPr>
      <w:r>
        <w:t>每批产品应</w:t>
      </w:r>
      <w:r>
        <w:rPr>
          <w:rFonts w:hint="eastAsia"/>
        </w:rPr>
        <w:t>对施主杂质含量、受主杂质含量、碳含量、氢含量、总金属杂质含量、尺寸和表面质量</w:t>
      </w:r>
      <w:r>
        <w:t>进行</w:t>
      </w:r>
      <w:r>
        <w:rPr>
          <w:rFonts w:hint="eastAsia"/>
        </w:rPr>
        <w:t>检验。</w:t>
      </w:r>
    </w:p>
    <w:p>
      <w:pPr>
        <w:pStyle w:val="21"/>
        <w:numPr>
          <w:ilvl w:val="1"/>
          <w:numId w:val="4"/>
        </w:numPr>
        <w:spacing w:before="156" w:after="156"/>
      </w:pPr>
      <w:r>
        <w:rPr>
          <w:rFonts w:hint="eastAsia" w:hAnsi="黑体"/>
        </w:rPr>
        <w:t>取样</w:t>
      </w:r>
    </w:p>
    <w:p>
      <w:pPr>
        <w:pStyle w:val="18"/>
        <w:numPr>
          <w:ilvl w:val="2"/>
          <w:numId w:val="4"/>
        </w:numPr>
        <w:ind w:firstLineChars="0"/>
        <w:jc w:val="left"/>
      </w:pPr>
      <w:r>
        <w:rPr>
          <w:rFonts w:hint="eastAsia"/>
        </w:rPr>
        <w:t>随机选取数量不少于1%的同批次颗粒硅产品包装件，于洁净区内分装出两份，根据检测需求确定每份分装重量，一份制样，一份留存，具体也可由供需双方协商确定。</w:t>
      </w:r>
    </w:p>
    <w:p>
      <w:pPr>
        <w:pStyle w:val="18"/>
        <w:numPr>
          <w:ilvl w:val="2"/>
          <w:numId w:val="4"/>
        </w:numPr>
        <w:ind w:firstLineChars="0"/>
        <w:jc w:val="left"/>
      </w:pPr>
      <w:r>
        <w:rPr>
          <w:rFonts w:hint="eastAsia"/>
        </w:rPr>
        <w:t>仲裁抽样方案由供需双方商定。</w:t>
      </w:r>
    </w:p>
    <w:p>
      <w:pPr>
        <w:pStyle w:val="21"/>
        <w:numPr>
          <w:ilvl w:val="1"/>
          <w:numId w:val="4"/>
        </w:numPr>
        <w:spacing w:before="156" w:after="156"/>
        <w:rPr>
          <w:rFonts w:hAnsi="黑体"/>
        </w:rPr>
      </w:pPr>
      <w:r>
        <w:rPr>
          <w:rFonts w:hint="eastAsia" w:hAnsi="黑体"/>
        </w:rPr>
        <w:t>检验结果的判定</w:t>
      </w:r>
    </w:p>
    <w:p>
      <w:pPr>
        <w:pStyle w:val="18"/>
        <w:numPr>
          <w:ilvl w:val="2"/>
          <w:numId w:val="4"/>
        </w:numPr>
        <w:ind w:firstLineChars="0"/>
        <w:jc w:val="left"/>
      </w:pPr>
      <w:r>
        <w:rPr>
          <w:rFonts w:hint="eastAsia"/>
        </w:rPr>
        <w:t>施主杂质含量、受主杂质含量、碳含量、氢含量、总金属杂质含量的检验结果中有任意一项不合格时,则重新取样对不合格的项目进行重复检验，重复检验结果仍不合格，判该批产品不合格。</w:t>
      </w:r>
    </w:p>
    <w:p>
      <w:pPr>
        <w:pStyle w:val="18"/>
        <w:numPr>
          <w:ilvl w:val="2"/>
          <w:numId w:val="4"/>
        </w:numPr>
        <w:ind w:firstLineChars="0"/>
        <w:jc w:val="left"/>
      </w:pPr>
      <w:r>
        <w:rPr>
          <w:rFonts w:hint="eastAsia"/>
        </w:rPr>
        <w:t>尺寸、表面质量的检验结果不合格时，由供需双方协商解决。</w:t>
      </w:r>
    </w:p>
    <w:p>
      <w:pPr>
        <w:pStyle w:val="36"/>
        <w:numPr>
          <w:ilvl w:val="0"/>
          <w:numId w:val="4"/>
        </w:numPr>
        <w:spacing w:before="312" w:after="312"/>
        <w:rPr>
          <w:rFonts w:hAnsi="黑体"/>
        </w:rPr>
      </w:pPr>
      <w:r>
        <w:rPr>
          <w:rFonts w:hint="eastAsia" w:hAnsi="黑体"/>
        </w:rPr>
        <w:t>标志、包装、运输、贮存和随行文件</w:t>
      </w:r>
    </w:p>
    <w:p>
      <w:pPr>
        <w:pStyle w:val="21"/>
        <w:numPr>
          <w:ilvl w:val="1"/>
          <w:numId w:val="4"/>
        </w:numPr>
        <w:spacing w:before="156" w:after="156"/>
        <w:rPr>
          <w:rFonts w:hAnsi="黑体"/>
        </w:rPr>
      </w:pPr>
      <w:r>
        <w:rPr>
          <w:rFonts w:hint="eastAsia" w:hAnsi="黑体"/>
        </w:rPr>
        <w:t>标志</w:t>
      </w:r>
    </w:p>
    <w:p>
      <w:pPr>
        <w:pStyle w:val="18"/>
      </w:pPr>
      <w:r>
        <w:rPr>
          <w:rFonts w:hint="eastAsia"/>
        </w:rPr>
        <w:t>产品的</w:t>
      </w:r>
      <w:r>
        <w:t>包装箱（桶）外应标有</w:t>
      </w:r>
      <w:r>
        <w:rPr>
          <w:rFonts w:hint="eastAsia"/>
        </w:rPr>
        <w:t>“</w:t>
      </w:r>
      <w:r>
        <w:t>小心轻放</w:t>
      </w:r>
      <w:r>
        <w:rPr>
          <w:rFonts w:hint="eastAsia"/>
        </w:rPr>
        <w:t>”</w:t>
      </w:r>
      <w:r>
        <w:t>及</w:t>
      </w:r>
      <w:r>
        <w:rPr>
          <w:rFonts w:hint="eastAsia"/>
        </w:rPr>
        <w:t>“</w:t>
      </w:r>
      <w:r>
        <w:t>防腐、防潮</w:t>
      </w:r>
      <w:r>
        <w:rPr>
          <w:rFonts w:hint="eastAsia"/>
        </w:rPr>
        <w:t>”</w:t>
      </w:r>
      <w:r>
        <w:t>字样或标志，并标明：</w:t>
      </w:r>
    </w:p>
    <w:p>
      <w:pPr>
        <w:pStyle w:val="42"/>
        <w:numPr>
          <w:ilvl w:val="0"/>
          <w:numId w:val="6"/>
        </w:numPr>
        <w:tabs>
          <w:tab w:val="clear" w:pos="840"/>
        </w:tabs>
      </w:pPr>
      <w:r>
        <w:t>供方名称</w:t>
      </w:r>
      <w:r>
        <w:rPr>
          <w:rFonts w:hint="eastAsia"/>
        </w:rPr>
        <w:t>；</w:t>
      </w:r>
    </w:p>
    <w:p>
      <w:pPr>
        <w:pStyle w:val="42"/>
        <w:numPr>
          <w:ilvl w:val="0"/>
          <w:numId w:val="6"/>
        </w:numPr>
        <w:tabs>
          <w:tab w:val="clear" w:pos="840"/>
        </w:tabs>
      </w:pPr>
      <w:r>
        <w:t>产品名称、牌号；</w:t>
      </w:r>
    </w:p>
    <w:p>
      <w:pPr>
        <w:pStyle w:val="42"/>
        <w:numPr>
          <w:ilvl w:val="0"/>
          <w:numId w:val="6"/>
        </w:numPr>
        <w:tabs>
          <w:tab w:val="clear" w:pos="840"/>
        </w:tabs>
      </w:pPr>
      <w:r>
        <w:t>产品数量、净重</w:t>
      </w:r>
      <w:r>
        <w:rPr>
          <w:rFonts w:hint="eastAsia"/>
        </w:rPr>
        <w:t>。</w:t>
      </w:r>
    </w:p>
    <w:p>
      <w:pPr>
        <w:pStyle w:val="21"/>
        <w:numPr>
          <w:ilvl w:val="1"/>
          <w:numId w:val="4"/>
        </w:numPr>
        <w:spacing w:before="156" w:after="156"/>
        <w:rPr>
          <w:rFonts w:hAnsi="黑体"/>
        </w:rPr>
      </w:pPr>
      <w:r>
        <w:rPr>
          <w:rFonts w:hint="eastAsia" w:hAnsi="黑体"/>
        </w:rPr>
        <w:t>包装</w:t>
      </w:r>
    </w:p>
    <w:p>
      <w:pPr>
        <w:pStyle w:val="18"/>
      </w:pPr>
      <w:r>
        <w:rPr>
          <w:rFonts w:hint="eastAsia"/>
        </w:rPr>
        <w:t>产品应</w:t>
      </w:r>
      <w:r>
        <w:t>装入洁净的</w:t>
      </w:r>
      <w:r>
        <w:rPr>
          <w:rFonts w:hint="eastAsia"/>
        </w:rPr>
        <w:t>树脂</w:t>
      </w:r>
      <w:r>
        <w:t>包装袋</w:t>
      </w:r>
      <w:r>
        <w:rPr>
          <w:rFonts w:hint="eastAsia"/>
        </w:rPr>
        <w:t>或由供需双方商定的包装袋内</w:t>
      </w:r>
      <w:r>
        <w:t>，密封，然后再将包装袋装入包装箱或包装桶内。</w:t>
      </w:r>
      <w:r>
        <w:rPr>
          <w:rFonts w:hint="eastAsia"/>
        </w:rPr>
        <w:t>颗粒</w:t>
      </w:r>
      <w:r>
        <w:t>硅</w:t>
      </w:r>
      <w:r>
        <w:rPr>
          <w:rFonts w:hint="eastAsia"/>
        </w:rPr>
        <w:t>每袋</w:t>
      </w:r>
      <w:r>
        <w:t>单独包装，并用箱子固定、封</w:t>
      </w:r>
      <w:r>
        <w:rPr>
          <w:rFonts w:hint="eastAsia"/>
        </w:rPr>
        <w:t>装</w:t>
      </w:r>
      <w:r>
        <w:t>。包装时应防止包装袋破损，以避免外来沾污。</w:t>
      </w:r>
    </w:p>
    <w:p>
      <w:pPr>
        <w:pStyle w:val="21"/>
        <w:numPr>
          <w:ilvl w:val="1"/>
          <w:numId w:val="4"/>
        </w:numPr>
        <w:spacing w:before="156" w:after="156"/>
        <w:rPr>
          <w:rFonts w:hAnsi="黑体"/>
        </w:rPr>
      </w:pPr>
      <w:r>
        <w:rPr>
          <w:rFonts w:hint="eastAsia" w:hAnsi="黑体"/>
        </w:rPr>
        <w:t>运输</w:t>
      </w:r>
    </w:p>
    <w:p>
      <w:pPr>
        <w:pStyle w:val="18"/>
      </w:pPr>
      <w:r>
        <w:rPr>
          <w:rFonts w:hint="eastAsia"/>
        </w:rPr>
        <w:t>产品</w:t>
      </w:r>
      <w:r>
        <w:t>在运输过程中应轻装轻卸，勿压勿挤，并采取防震措施。</w:t>
      </w:r>
    </w:p>
    <w:p>
      <w:pPr>
        <w:pStyle w:val="21"/>
        <w:numPr>
          <w:ilvl w:val="1"/>
          <w:numId w:val="4"/>
        </w:numPr>
        <w:spacing w:before="156" w:after="156"/>
        <w:rPr>
          <w:rFonts w:hAnsi="黑体"/>
        </w:rPr>
      </w:pPr>
      <w:r>
        <w:rPr>
          <w:rFonts w:hint="eastAsia" w:hAnsi="黑体"/>
        </w:rPr>
        <w:t>贮存</w:t>
      </w:r>
    </w:p>
    <w:p>
      <w:pPr>
        <w:widowControl/>
        <w:spacing w:before="156" w:beforeLines="50" w:after="156" w:afterLines="50"/>
        <w:ind w:firstLine="420" w:firstLineChars="200"/>
        <w:jc w:val="left"/>
        <w:outlineLvl w:val="2"/>
        <w:rPr>
          <w:rFonts w:ascii="宋体" w:hAnsi="宋体"/>
          <w:kern w:val="0"/>
          <w:szCs w:val="21"/>
        </w:rPr>
      </w:pPr>
      <w:r>
        <w:rPr>
          <w:rFonts w:hint="eastAsia"/>
        </w:rPr>
        <w:t>产品</w:t>
      </w:r>
      <w:r>
        <w:rPr>
          <w:rFonts w:ascii="宋体" w:hAnsi="宋体"/>
          <w:kern w:val="0"/>
          <w:szCs w:val="21"/>
        </w:rPr>
        <w:t>应贮存在清洁、干燥环境中。</w:t>
      </w:r>
    </w:p>
    <w:p>
      <w:pPr>
        <w:pStyle w:val="21"/>
        <w:numPr>
          <w:ilvl w:val="1"/>
          <w:numId w:val="4"/>
        </w:numPr>
        <w:spacing w:before="156" w:after="156"/>
      </w:pPr>
      <w:r>
        <w:rPr>
          <w:rFonts w:hint="eastAsia"/>
        </w:rPr>
        <w:t>随行文件</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每批产品应附有</w:t>
      </w:r>
      <w:r>
        <w:rPr>
          <w:rFonts w:hint="eastAsia" w:ascii="宋体"/>
          <w:kern w:val="0"/>
          <w:szCs w:val="20"/>
        </w:rPr>
        <w:t>随行文件</w:t>
      </w:r>
      <w:r>
        <w:rPr>
          <w:rFonts w:ascii="宋体"/>
          <w:kern w:val="0"/>
          <w:szCs w:val="20"/>
        </w:rPr>
        <w:t>，</w:t>
      </w:r>
      <w:r>
        <w:rPr>
          <w:rFonts w:hint="eastAsia" w:ascii="宋体"/>
          <w:kern w:val="0"/>
          <w:szCs w:val="20"/>
        </w:rPr>
        <w:t>其上</w:t>
      </w:r>
      <w:r>
        <w:rPr>
          <w:rFonts w:ascii="宋体"/>
          <w:kern w:val="0"/>
          <w:szCs w:val="20"/>
        </w:rPr>
        <w:t>注明：</w:t>
      </w:r>
    </w:p>
    <w:p>
      <w:pPr>
        <w:pStyle w:val="42"/>
        <w:numPr>
          <w:ilvl w:val="0"/>
          <w:numId w:val="7"/>
        </w:numPr>
        <w:tabs>
          <w:tab w:val="clear" w:pos="840"/>
        </w:tabs>
      </w:pPr>
      <w:r>
        <w:t>供方名称；</w:t>
      </w:r>
    </w:p>
    <w:p>
      <w:pPr>
        <w:pStyle w:val="42"/>
        <w:numPr>
          <w:ilvl w:val="0"/>
          <w:numId w:val="7"/>
        </w:numPr>
        <w:tabs>
          <w:tab w:val="clear" w:pos="840"/>
        </w:tabs>
      </w:pPr>
      <w:r>
        <w:t>产品名称及牌号；</w:t>
      </w:r>
    </w:p>
    <w:p>
      <w:pPr>
        <w:pStyle w:val="42"/>
        <w:numPr>
          <w:ilvl w:val="0"/>
          <w:numId w:val="7"/>
        </w:numPr>
        <w:tabs>
          <w:tab w:val="clear" w:pos="840"/>
        </w:tabs>
      </w:pPr>
      <w:r>
        <w:t>产品批号；</w:t>
      </w:r>
    </w:p>
    <w:p>
      <w:pPr>
        <w:pStyle w:val="42"/>
        <w:numPr>
          <w:ilvl w:val="0"/>
          <w:numId w:val="7"/>
        </w:numPr>
        <w:tabs>
          <w:tab w:val="clear" w:pos="840"/>
        </w:tabs>
      </w:pPr>
      <w:r>
        <w:t>产品毛重、净重；</w:t>
      </w:r>
    </w:p>
    <w:p>
      <w:pPr>
        <w:pStyle w:val="42"/>
        <w:numPr>
          <w:ilvl w:val="0"/>
          <w:numId w:val="7"/>
        </w:numPr>
        <w:tabs>
          <w:tab w:val="clear" w:pos="840"/>
        </w:tabs>
      </w:pPr>
      <w:r>
        <w:t>各项检验结果及检验部门印记；</w:t>
      </w:r>
    </w:p>
    <w:p>
      <w:pPr>
        <w:pStyle w:val="42"/>
        <w:numPr>
          <w:ilvl w:val="0"/>
          <w:numId w:val="7"/>
        </w:numPr>
        <w:tabs>
          <w:tab w:val="clear" w:pos="840"/>
        </w:tabs>
      </w:pPr>
      <w:r>
        <w:t>本</w:t>
      </w:r>
      <w:r>
        <w:rPr>
          <w:rFonts w:hint="eastAsia"/>
        </w:rPr>
        <w:t>文件</w:t>
      </w:r>
      <w:r>
        <w:t>编号；</w:t>
      </w:r>
    </w:p>
    <w:p>
      <w:pPr>
        <w:pStyle w:val="42"/>
        <w:numPr>
          <w:ilvl w:val="0"/>
          <w:numId w:val="7"/>
        </w:numPr>
        <w:tabs>
          <w:tab w:val="clear" w:pos="840"/>
        </w:tabs>
      </w:pPr>
      <w:r>
        <w:t>出厂日期。</w:t>
      </w:r>
    </w:p>
    <w:p>
      <w:pPr>
        <w:pStyle w:val="36"/>
        <w:numPr>
          <w:ilvl w:val="0"/>
          <w:numId w:val="4"/>
        </w:numPr>
        <w:spacing w:before="312" w:after="312"/>
        <w:rPr>
          <w:rFonts w:hAnsi="黑体"/>
        </w:rPr>
      </w:pPr>
      <w:r>
        <w:rPr>
          <w:rFonts w:hint="eastAsia" w:hAnsi="黑体"/>
        </w:rPr>
        <w:t>订货单内容</w:t>
      </w:r>
    </w:p>
    <w:p>
      <w:pPr>
        <w:pStyle w:val="18"/>
      </w:pPr>
      <w:r>
        <w:rPr>
          <w:rFonts w:hint="eastAsia"/>
        </w:rPr>
        <w:t>需方可根据自身的需要，在订购本文件所列产品的订货单列出下列内容：</w:t>
      </w:r>
    </w:p>
    <w:p>
      <w:pPr>
        <w:pStyle w:val="42"/>
        <w:numPr>
          <w:ilvl w:val="0"/>
          <w:numId w:val="8"/>
        </w:numPr>
        <w:tabs>
          <w:tab w:val="clear" w:pos="840"/>
        </w:tabs>
      </w:pPr>
      <w:r>
        <w:rPr>
          <w:rFonts w:hint="eastAsia"/>
        </w:rPr>
        <w:t>本文件编号；</w:t>
      </w:r>
    </w:p>
    <w:p>
      <w:pPr>
        <w:pStyle w:val="42"/>
        <w:numPr>
          <w:ilvl w:val="0"/>
          <w:numId w:val="8"/>
        </w:numPr>
        <w:tabs>
          <w:tab w:val="clear" w:pos="840"/>
        </w:tabs>
      </w:pPr>
      <w:r>
        <w:rPr>
          <w:rFonts w:hint="eastAsia"/>
        </w:rPr>
        <w:t>产品重量；</w:t>
      </w:r>
    </w:p>
    <w:p>
      <w:pPr>
        <w:pStyle w:val="42"/>
        <w:numPr>
          <w:ilvl w:val="0"/>
          <w:numId w:val="8"/>
        </w:numPr>
        <w:tabs>
          <w:tab w:val="clear" w:pos="840"/>
        </w:tabs>
      </w:pPr>
      <w:r>
        <w:rPr>
          <w:rFonts w:hint="eastAsia"/>
        </w:rPr>
        <w:t>产品等级；</w:t>
      </w:r>
    </w:p>
    <w:p>
      <w:pPr>
        <w:pStyle w:val="42"/>
        <w:numPr>
          <w:ilvl w:val="0"/>
          <w:numId w:val="8"/>
        </w:numPr>
        <w:tabs>
          <w:tab w:val="clear" w:pos="840"/>
        </w:tabs>
      </w:pPr>
      <w:r>
        <w:rPr>
          <w:rFonts w:hint="eastAsia"/>
        </w:rPr>
        <w:t>其他。</w:t>
      </w:r>
    </w:p>
    <w:p>
      <w:pPr>
        <w:pStyle w:val="18"/>
      </w:pPr>
    </w:p>
    <w:p>
      <w:pPr>
        <w:pStyle w:val="18"/>
      </w:pPr>
    </w:p>
    <w:p>
      <w:pPr>
        <w:pStyle w:val="18"/>
      </w:pPr>
    </w:p>
    <w:p>
      <w:pPr>
        <w:pStyle w:val="42"/>
        <w:ind w:firstLine="420" w:firstLineChars="200"/>
        <w:rPr>
          <w:rFonts w:ascii="Times New Roman"/>
        </w:rPr>
      </w:pPr>
    </w:p>
    <w:p>
      <w:pPr>
        <w:pStyle w:val="42"/>
        <w:ind w:firstLine="420" w:firstLineChars="200"/>
        <w:rPr>
          <w:rFonts w:ascii="Times New Roman"/>
        </w:rPr>
      </w:pPr>
    </w:p>
    <w:p>
      <w:pPr>
        <w:pStyle w:val="42"/>
        <w:ind w:firstLine="420" w:firstLineChars="200"/>
        <w:rPr>
          <w:rFonts w:ascii="Times New Roman"/>
        </w:rPr>
      </w:pPr>
    </w:p>
    <w:p>
      <w:pPr>
        <w:pStyle w:val="40"/>
        <w:jc w:val="center"/>
      </w:pPr>
      <w:r>
        <w:t>_________________________________</w:t>
      </w:r>
    </w:p>
    <w:p>
      <w:pPr>
        <w:pStyle w:val="42"/>
        <w:ind w:firstLine="420" w:firstLineChars="200"/>
        <w:rPr>
          <w:rFonts w:ascii="Times New Roman"/>
        </w:rPr>
      </w:pPr>
    </w:p>
    <w:p/>
    <w:sectPr>
      <w:headerReference r:id="rId7" w:type="default"/>
      <w:footerReference r:id="rId8" w:type="default"/>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lear" w:pos="4154"/>
        <w:tab w:val="clear" w:pos="8306"/>
      </w:tabs>
    </w:pPr>
    <w:r>
      <w:t xml:space="preserve">GB/T </w:t>
    </w:r>
    <w:r>
      <w:rPr>
        <w:rFonts w:hint="eastAsia"/>
      </w:rPr>
      <w:t>35307</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Ansi="黑体"/>
      </w:rPr>
    </w:pPr>
    <w:r>
      <w:rPr>
        <w:rFonts w:hAnsi="黑体"/>
      </w:rPr>
      <w:t>GB/T</w:t>
    </w:r>
    <w:r>
      <w:rPr>
        <w:rFonts w:hint="eastAsia" w:hAnsi="黑体"/>
      </w:rPr>
      <w:t xml:space="preserve"> 35307</w:t>
    </w:r>
    <w:r>
      <w:rPr>
        <w:rFonts w:hAnsi="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Ansi="黑体"/>
      </w:rPr>
    </w:pPr>
    <w:r>
      <w:rPr>
        <w:rFonts w:hAnsi="黑体"/>
      </w:rPr>
      <w:t>GB/T</w:t>
    </w:r>
    <w:r>
      <w:rPr>
        <w:rFonts w:hint="eastAsia" w:hAnsi="黑体"/>
      </w:rPr>
      <w:t xml:space="preserve"> 35307</w:t>
    </w:r>
    <w:r>
      <w:rPr>
        <w:rFonts w:hAnsi="黑体"/>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E6321"/>
    <w:multiLevelType w:val="singleLevel"/>
    <w:tmpl w:val="995E6321"/>
    <w:lvl w:ilvl="0" w:tentative="0">
      <w:start w:val="1"/>
      <w:numFmt w:val="lowerLetter"/>
      <w:lvlText w:val="%1)"/>
      <w:lvlJc w:val="left"/>
      <w:pPr>
        <w:tabs>
          <w:tab w:val="left" w:pos="397"/>
        </w:tabs>
        <w:ind w:left="454" w:hanging="454"/>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default" w:ascii="黑体" w:hAnsi="黑体" w:eastAsia="黑体" w:cs="Times New Roman"/>
        <w:b w:val="0"/>
        <w:i w:val="0"/>
        <w:sz w:val="21"/>
        <w:szCs w:val="21"/>
      </w:rPr>
    </w:lvl>
    <w:lvl w:ilvl="1" w:tentative="0">
      <w:start w:val="1"/>
      <w:numFmt w:val="decimal"/>
      <w:suff w:val="nothing"/>
      <w:lvlText w:val="%1.%2　"/>
      <w:lvlJc w:val="left"/>
      <w:pPr>
        <w:ind w:left="0" w:firstLine="0"/>
      </w:pPr>
      <w:rPr>
        <w:rFonts w:hint="default"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default" w:ascii="黑体" w:hAnsi="黑体"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FE42028"/>
    <w:multiLevelType w:val="multilevel"/>
    <w:tmpl w:val="4FE4202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557C2AF5"/>
    <w:multiLevelType w:val="multilevel"/>
    <w:tmpl w:val="557C2AF5"/>
    <w:lvl w:ilvl="0" w:tentative="0">
      <w:start w:val="1"/>
      <w:numFmt w:val="decimal"/>
      <w:pStyle w:val="5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5CFC0BC9"/>
    <w:multiLevelType w:val="multilevel"/>
    <w:tmpl w:val="5CFC0BC9"/>
    <w:lvl w:ilvl="0" w:tentative="0">
      <w:start w:val="1"/>
      <w:numFmt w:val="lowerLetter"/>
      <w:lvlText w:val="%1)"/>
      <w:lvlJc w:val="left"/>
      <w:pPr>
        <w:ind w:left="840" w:hanging="42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6260FA"/>
    <w:multiLevelType w:val="multilevel"/>
    <w:tmpl w:val="646260FA"/>
    <w:lvl w:ilvl="0" w:tentative="0">
      <w:start w:val="1"/>
      <w:numFmt w:val="decimal"/>
      <w:pStyle w:val="5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6213A41"/>
    <w:multiLevelType w:val="multilevel"/>
    <w:tmpl w:val="66213A4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7EB54A6C"/>
    <w:multiLevelType w:val="multilevel"/>
    <w:tmpl w:val="7EB54A6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5"/>
  </w:num>
  <w:num w:numId="2">
    <w:abstractNumId w:val="3"/>
  </w:num>
  <w:num w:numId="3">
    <w:abstractNumId w:val="4"/>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YxNDk3ZWFkNmRhNWE5ODMzNzE5OTQxMTA3M2NjZDkifQ=="/>
  </w:docVars>
  <w:rsids>
    <w:rsidRoot w:val="006547C5"/>
    <w:rsid w:val="0000276B"/>
    <w:rsid w:val="00010DD0"/>
    <w:rsid w:val="00011EB1"/>
    <w:rsid w:val="000170F8"/>
    <w:rsid w:val="000178AA"/>
    <w:rsid w:val="00023276"/>
    <w:rsid w:val="000268B7"/>
    <w:rsid w:val="00031230"/>
    <w:rsid w:val="00034B85"/>
    <w:rsid w:val="000353A9"/>
    <w:rsid w:val="000378F1"/>
    <w:rsid w:val="00043A90"/>
    <w:rsid w:val="000450B9"/>
    <w:rsid w:val="000513ED"/>
    <w:rsid w:val="000514D9"/>
    <w:rsid w:val="00052057"/>
    <w:rsid w:val="00053A81"/>
    <w:rsid w:val="00054168"/>
    <w:rsid w:val="000556E4"/>
    <w:rsid w:val="00055DB6"/>
    <w:rsid w:val="00056670"/>
    <w:rsid w:val="00072DCA"/>
    <w:rsid w:val="000736EE"/>
    <w:rsid w:val="00075D93"/>
    <w:rsid w:val="00076CDD"/>
    <w:rsid w:val="000773A3"/>
    <w:rsid w:val="000829DD"/>
    <w:rsid w:val="00082C56"/>
    <w:rsid w:val="00086643"/>
    <w:rsid w:val="00092CA9"/>
    <w:rsid w:val="00093CDC"/>
    <w:rsid w:val="000B0056"/>
    <w:rsid w:val="000B0B9F"/>
    <w:rsid w:val="000B1CFA"/>
    <w:rsid w:val="000B3288"/>
    <w:rsid w:val="000B407C"/>
    <w:rsid w:val="000B64F3"/>
    <w:rsid w:val="000C2A36"/>
    <w:rsid w:val="000C2B8F"/>
    <w:rsid w:val="000C3E9B"/>
    <w:rsid w:val="000C5DBA"/>
    <w:rsid w:val="000C646E"/>
    <w:rsid w:val="000C7F41"/>
    <w:rsid w:val="000D2005"/>
    <w:rsid w:val="000D5193"/>
    <w:rsid w:val="000D6E18"/>
    <w:rsid w:val="000D75F4"/>
    <w:rsid w:val="000E0F6A"/>
    <w:rsid w:val="000E2CF4"/>
    <w:rsid w:val="000E432A"/>
    <w:rsid w:val="000E4C7D"/>
    <w:rsid w:val="000F16EB"/>
    <w:rsid w:val="000F2D4C"/>
    <w:rsid w:val="000F3410"/>
    <w:rsid w:val="000F5493"/>
    <w:rsid w:val="001118BB"/>
    <w:rsid w:val="00113648"/>
    <w:rsid w:val="00116CF8"/>
    <w:rsid w:val="00120DEF"/>
    <w:rsid w:val="00122ECB"/>
    <w:rsid w:val="00124556"/>
    <w:rsid w:val="001250BF"/>
    <w:rsid w:val="00131B6C"/>
    <w:rsid w:val="00145998"/>
    <w:rsid w:val="00146547"/>
    <w:rsid w:val="0014702B"/>
    <w:rsid w:val="00152893"/>
    <w:rsid w:val="001540EF"/>
    <w:rsid w:val="0015559F"/>
    <w:rsid w:val="00156888"/>
    <w:rsid w:val="00167C6B"/>
    <w:rsid w:val="001775E9"/>
    <w:rsid w:val="00181AE6"/>
    <w:rsid w:val="00184951"/>
    <w:rsid w:val="00186883"/>
    <w:rsid w:val="00195445"/>
    <w:rsid w:val="001A5710"/>
    <w:rsid w:val="001A646D"/>
    <w:rsid w:val="001B58BB"/>
    <w:rsid w:val="001B6DC5"/>
    <w:rsid w:val="001B701D"/>
    <w:rsid w:val="001B766D"/>
    <w:rsid w:val="001C066E"/>
    <w:rsid w:val="001C5908"/>
    <w:rsid w:val="001D33F2"/>
    <w:rsid w:val="001D438E"/>
    <w:rsid w:val="001D7144"/>
    <w:rsid w:val="001E0D7B"/>
    <w:rsid w:val="001E41B1"/>
    <w:rsid w:val="001E4FDA"/>
    <w:rsid w:val="001E7758"/>
    <w:rsid w:val="001E7E0F"/>
    <w:rsid w:val="001F09E7"/>
    <w:rsid w:val="001F1314"/>
    <w:rsid w:val="001F38B8"/>
    <w:rsid w:val="00202805"/>
    <w:rsid w:val="00202996"/>
    <w:rsid w:val="00202A6E"/>
    <w:rsid w:val="002050C4"/>
    <w:rsid w:val="00205E65"/>
    <w:rsid w:val="0021070C"/>
    <w:rsid w:val="002109DE"/>
    <w:rsid w:val="00210F0D"/>
    <w:rsid w:val="00215532"/>
    <w:rsid w:val="0022195D"/>
    <w:rsid w:val="002232C4"/>
    <w:rsid w:val="00223AE5"/>
    <w:rsid w:val="00226BC6"/>
    <w:rsid w:val="002304B7"/>
    <w:rsid w:val="002364A3"/>
    <w:rsid w:val="00240CFD"/>
    <w:rsid w:val="00240F4F"/>
    <w:rsid w:val="00242360"/>
    <w:rsid w:val="002458EF"/>
    <w:rsid w:val="002459CE"/>
    <w:rsid w:val="00247732"/>
    <w:rsid w:val="00256EC5"/>
    <w:rsid w:val="00260541"/>
    <w:rsid w:val="00261A04"/>
    <w:rsid w:val="00262B8B"/>
    <w:rsid w:val="0026381F"/>
    <w:rsid w:val="002660A6"/>
    <w:rsid w:val="002664F0"/>
    <w:rsid w:val="0028131C"/>
    <w:rsid w:val="00281E9C"/>
    <w:rsid w:val="00282312"/>
    <w:rsid w:val="0028357D"/>
    <w:rsid w:val="0028418E"/>
    <w:rsid w:val="00284BA8"/>
    <w:rsid w:val="00287067"/>
    <w:rsid w:val="00292F7C"/>
    <w:rsid w:val="00296F3F"/>
    <w:rsid w:val="00296F7C"/>
    <w:rsid w:val="0029758A"/>
    <w:rsid w:val="0029791C"/>
    <w:rsid w:val="00297C04"/>
    <w:rsid w:val="002A43B5"/>
    <w:rsid w:val="002A4BA5"/>
    <w:rsid w:val="002A6060"/>
    <w:rsid w:val="002A749D"/>
    <w:rsid w:val="002B2BE2"/>
    <w:rsid w:val="002B4D50"/>
    <w:rsid w:val="002B7F84"/>
    <w:rsid w:val="002C10AE"/>
    <w:rsid w:val="002C650D"/>
    <w:rsid w:val="002C6C6A"/>
    <w:rsid w:val="002C7524"/>
    <w:rsid w:val="002C7934"/>
    <w:rsid w:val="002D4F1C"/>
    <w:rsid w:val="002E2D0E"/>
    <w:rsid w:val="002E7E05"/>
    <w:rsid w:val="002F2FAF"/>
    <w:rsid w:val="002F700B"/>
    <w:rsid w:val="002F7070"/>
    <w:rsid w:val="0030770A"/>
    <w:rsid w:val="00310498"/>
    <w:rsid w:val="003133E3"/>
    <w:rsid w:val="00316537"/>
    <w:rsid w:val="003165D1"/>
    <w:rsid w:val="00317314"/>
    <w:rsid w:val="0032246A"/>
    <w:rsid w:val="00331081"/>
    <w:rsid w:val="00331D92"/>
    <w:rsid w:val="003344BE"/>
    <w:rsid w:val="0034203C"/>
    <w:rsid w:val="003456CF"/>
    <w:rsid w:val="00345909"/>
    <w:rsid w:val="003502EB"/>
    <w:rsid w:val="00351A1F"/>
    <w:rsid w:val="00356104"/>
    <w:rsid w:val="00362665"/>
    <w:rsid w:val="0036522E"/>
    <w:rsid w:val="00370D07"/>
    <w:rsid w:val="00374ACB"/>
    <w:rsid w:val="00375C2D"/>
    <w:rsid w:val="00381791"/>
    <w:rsid w:val="00381933"/>
    <w:rsid w:val="003838BC"/>
    <w:rsid w:val="003858A4"/>
    <w:rsid w:val="0038759C"/>
    <w:rsid w:val="003963D4"/>
    <w:rsid w:val="003A19FB"/>
    <w:rsid w:val="003A1F3F"/>
    <w:rsid w:val="003A2198"/>
    <w:rsid w:val="003B18A3"/>
    <w:rsid w:val="003B47FA"/>
    <w:rsid w:val="003B795E"/>
    <w:rsid w:val="003C0A14"/>
    <w:rsid w:val="003C2217"/>
    <w:rsid w:val="003C5C8F"/>
    <w:rsid w:val="003C7544"/>
    <w:rsid w:val="003D0218"/>
    <w:rsid w:val="003E1AA3"/>
    <w:rsid w:val="003E48B8"/>
    <w:rsid w:val="003E6352"/>
    <w:rsid w:val="003E731E"/>
    <w:rsid w:val="003F64D9"/>
    <w:rsid w:val="00403D4A"/>
    <w:rsid w:val="00404522"/>
    <w:rsid w:val="00404E61"/>
    <w:rsid w:val="004109A8"/>
    <w:rsid w:val="00414556"/>
    <w:rsid w:val="004229B5"/>
    <w:rsid w:val="0042463A"/>
    <w:rsid w:val="00425310"/>
    <w:rsid w:val="0043402A"/>
    <w:rsid w:val="004340D3"/>
    <w:rsid w:val="00436915"/>
    <w:rsid w:val="00443F26"/>
    <w:rsid w:val="00445F43"/>
    <w:rsid w:val="004466F1"/>
    <w:rsid w:val="004509D5"/>
    <w:rsid w:val="00450D4A"/>
    <w:rsid w:val="00450D67"/>
    <w:rsid w:val="0045350D"/>
    <w:rsid w:val="00456424"/>
    <w:rsid w:val="004720C1"/>
    <w:rsid w:val="004722D5"/>
    <w:rsid w:val="0047313B"/>
    <w:rsid w:val="00474FF9"/>
    <w:rsid w:val="00480943"/>
    <w:rsid w:val="00486BC1"/>
    <w:rsid w:val="00486C4D"/>
    <w:rsid w:val="0049092E"/>
    <w:rsid w:val="0049420C"/>
    <w:rsid w:val="00494B44"/>
    <w:rsid w:val="004950D8"/>
    <w:rsid w:val="00496955"/>
    <w:rsid w:val="00496C4B"/>
    <w:rsid w:val="004970B1"/>
    <w:rsid w:val="00497F4B"/>
    <w:rsid w:val="004A12FA"/>
    <w:rsid w:val="004A3A4A"/>
    <w:rsid w:val="004B27EC"/>
    <w:rsid w:val="004B34F8"/>
    <w:rsid w:val="004B3F80"/>
    <w:rsid w:val="004B4674"/>
    <w:rsid w:val="004B743A"/>
    <w:rsid w:val="004C147B"/>
    <w:rsid w:val="004C226E"/>
    <w:rsid w:val="004C25D2"/>
    <w:rsid w:val="004C2B48"/>
    <w:rsid w:val="004C39A8"/>
    <w:rsid w:val="004D2C09"/>
    <w:rsid w:val="004D51DF"/>
    <w:rsid w:val="004E2D7F"/>
    <w:rsid w:val="004E569E"/>
    <w:rsid w:val="004E5B3B"/>
    <w:rsid w:val="004E68B6"/>
    <w:rsid w:val="004F19D3"/>
    <w:rsid w:val="004F2347"/>
    <w:rsid w:val="004F2DD3"/>
    <w:rsid w:val="004F2E1F"/>
    <w:rsid w:val="004F59B1"/>
    <w:rsid w:val="004F76F7"/>
    <w:rsid w:val="00502B6B"/>
    <w:rsid w:val="00503A3C"/>
    <w:rsid w:val="00510455"/>
    <w:rsid w:val="00517DA1"/>
    <w:rsid w:val="00522FCB"/>
    <w:rsid w:val="005258A3"/>
    <w:rsid w:val="0052644C"/>
    <w:rsid w:val="005273C1"/>
    <w:rsid w:val="005336BF"/>
    <w:rsid w:val="00537367"/>
    <w:rsid w:val="00544501"/>
    <w:rsid w:val="00550FBD"/>
    <w:rsid w:val="0055334D"/>
    <w:rsid w:val="00555908"/>
    <w:rsid w:val="00560264"/>
    <w:rsid w:val="00560E93"/>
    <w:rsid w:val="005612CF"/>
    <w:rsid w:val="005640A7"/>
    <w:rsid w:val="00565952"/>
    <w:rsid w:val="00574F50"/>
    <w:rsid w:val="00577C11"/>
    <w:rsid w:val="005824E4"/>
    <w:rsid w:val="005915FC"/>
    <w:rsid w:val="0059698B"/>
    <w:rsid w:val="005A21AE"/>
    <w:rsid w:val="005A375F"/>
    <w:rsid w:val="005A4F59"/>
    <w:rsid w:val="005A6723"/>
    <w:rsid w:val="005B0260"/>
    <w:rsid w:val="005B1F83"/>
    <w:rsid w:val="005B2871"/>
    <w:rsid w:val="005B5797"/>
    <w:rsid w:val="005B60B7"/>
    <w:rsid w:val="005B71E7"/>
    <w:rsid w:val="005C11E7"/>
    <w:rsid w:val="005C22A2"/>
    <w:rsid w:val="005C5363"/>
    <w:rsid w:val="005C79EB"/>
    <w:rsid w:val="005D069B"/>
    <w:rsid w:val="005D192B"/>
    <w:rsid w:val="005D1C9C"/>
    <w:rsid w:val="005D4778"/>
    <w:rsid w:val="005D60E8"/>
    <w:rsid w:val="005E278F"/>
    <w:rsid w:val="005E37D1"/>
    <w:rsid w:val="005E56AF"/>
    <w:rsid w:val="005E5D17"/>
    <w:rsid w:val="005E5E0B"/>
    <w:rsid w:val="005E762C"/>
    <w:rsid w:val="005F29DF"/>
    <w:rsid w:val="005F687B"/>
    <w:rsid w:val="005F7579"/>
    <w:rsid w:val="00603D5B"/>
    <w:rsid w:val="0060645B"/>
    <w:rsid w:val="006109F9"/>
    <w:rsid w:val="00610E82"/>
    <w:rsid w:val="00611E60"/>
    <w:rsid w:val="00612A9F"/>
    <w:rsid w:val="006135FC"/>
    <w:rsid w:val="0062108A"/>
    <w:rsid w:val="006220DE"/>
    <w:rsid w:val="00636D81"/>
    <w:rsid w:val="00636E77"/>
    <w:rsid w:val="00643324"/>
    <w:rsid w:val="006444FF"/>
    <w:rsid w:val="00646974"/>
    <w:rsid w:val="00647D10"/>
    <w:rsid w:val="006508D1"/>
    <w:rsid w:val="0065173B"/>
    <w:rsid w:val="006547C5"/>
    <w:rsid w:val="00656917"/>
    <w:rsid w:val="00657A6E"/>
    <w:rsid w:val="00666EED"/>
    <w:rsid w:val="00671362"/>
    <w:rsid w:val="00672448"/>
    <w:rsid w:val="00672D6E"/>
    <w:rsid w:val="006761B3"/>
    <w:rsid w:val="00677A39"/>
    <w:rsid w:val="00680933"/>
    <w:rsid w:val="00681E39"/>
    <w:rsid w:val="006909A0"/>
    <w:rsid w:val="006912E3"/>
    <w:rsid w:val="006929B7"/>
    <w:rsid w:val="00693740"/>
    <w:rsid w:val="00695710"/>
    <w:rsid w:val="00696088"/>
    <w:rsid w:val="00696D38"/>
    <w:rsid w:val="00697ABF"/>
    <w:rsid w:val="006A0AB0"/>
    <w:rsid w:val="006A0C95"/>
    <w:rsid w:val="006A3B3B"/>
    <w:rsid w:val="006A42B5"/>
    <w:rsid w:val="006A531E"/>
    <w:rsid w:val="006B0189"/>
    <w:rsid w:val="006B3CA5"/>
    <w:rsid w:val="006B3CF8"/>
    <w:rsid w:val="006B624F"/>
    <w:rsid w:val="006C035E"/>
    <w:rsid w:val="006C0717"/>
    <w:rsid w:val="006C07E8"/>
    <w:rsid w:val="006C2601"/>
    <w:rsid w:val="006C2F34"/>
    <w:rsid w:val="006C4B95"/>
    <w:rsid w:val="006C5C46"/>
    <w:rsid w:val="006C6656"/>
    <w:rsid w:val="006C67F5"/>
    <w:rsid w:val="006C7589"/>
    <w:rsid w:val="006D2B1B"/>
    <w:rsid w:val="006D51A9"/>
    <w:rsid w:val="006E07B1"/>
    <w:rsid w:val="006E2AB0"/>
    <w:rsid w:val="006E4B63"/>
    <w:rsid w:val="006E740A"/>
    <w:rsid w:val="006F03F0"/>
    <w:rsid w:val="006F0858"/>
    <w:rsid w:val="006F41BB"/>
    <w:rsid w:val="006F55C2"/>
    <w:rsid w:val="007033FD"/>
    <w:rsid w:val="0070344B"/>
    <w:rsid w:val="00704F0E"/>
    <w:rsid w:val="0071047D"/>
    <w:rsid w:val="007108E3"/>
    <w:rsid w:val="007114A6"/>
    <w:rsid w:val="007147BD"/>
    <w:rsid w:val="00715EF0"/>
    <w:rsid w:val="007221E9"/>
    <w:rsid w:val="007232EF"/>
    <w:rsid w:val="0072387F"/>
    <w:rsid w:val="0073265F"/>
    <w:rsid w:val="00735842"/>
    <w:rsid w:val="00740637"/>
    <w:rsid w:val="00742DC3"/>
    <w:rsid w:val="0075297A"/>
    <w:rsid w:val="0075307F"/>
    <w:rsid w:val="00755865"/>
    <w:rsid w:val="0075759C"/>
    <w:rsid w:val="007652BF"/>
    <w:rsid w:val="0076570F"/>
    <w:rsid w:val="00766B9A"/>
    <w:rsid w:val="00767375"/>
    <w:rsid w:val="007713B9"/>
    <w:rsid w:val="00783193"/>
    <w:rsid w:val="007831EA"/>
    <w:rsid w:val="00783729"/>
    <w:rsid w:val="00783F4D"/>
    <w:rsid w:val="00784E02"/>
    <w:rsid w:val="00785E81"/>
    <w:rsid w:val="00790105"/>
    <w:rsid w:val="007918EE"/>
    <w:rsid w:val="00793727"/>
    <w:rsid w:val="007957D0"/>
    <w:rsid w:val="00796316"/>
    <w:rsid w:val="00797294"/>
    <w:rsid w:val="007977A0"/>
    <w:rsid w:val="0079796F"/>
    <w:rsid w:val="007A4892"/>
    <w:rsid w:val="007B0416"/>
    <w:rsid w:val="007B258E"/>
    <w:rsid w:val="007B43AB"/>
    <w:rsid w:val="007B4B4E"/>
    <w:rsid w:val="007C0D7C"/>
    <w:rsid w:val="007C2601"/>
    <w:rsid w:val="007C3896"/>
    <w:rsid w:val="007C3C71"/>
    <w:rsid w:val="007C477A"/>
    <w:rsid w:val="007C54C1"/>
    <w:rsid w:val="007D1C2C"/>
    <w:rsid w:val="007D2C46"/>
    <w:rsid w:val="007D3442"/>
    <w:rsid w:val="007D3A92"/>
    <w:rsid w:val="007D6C0A"/>
    <w:rsid w:val="007E1C65"/>
    <w:rsid w:val="007E5A27"/>
    <w:rsid w:val="007E69BD"/>
    <w:rsid w:val="007E7A55"/>
    <w:rsid w:val="007E7F2E"/>
    <w:rsid w:val="007F01A6"/>
    <w:rsid w:val="007F1E80"/>
    <w:rsid w:val="007F3955"/>
    <w:rsid w:val="007F3A67"/>
    <w:rsid w:val="007F46FE"/>
    <w:rsid w:val="007F737A"/>
    <w:rsid w:val="00800CBA"/>
    <w:rsid w:val="00812E2B"/>
    <w:rsid w:val="00814CAA"/>
    <w:rsid w:val="00814D65"/>
    <w:rsid w:val="00815BED"/>
    <w:rsid w:val="008208D3"/>
    <w:rsid w:val="00822D59"/>
    <w:rsid w:val="00843CD6"/>
    <w:rsid w:val="00846A26"/>
    <w:rsid w:val="00850022"/>
    <w:rsid w:val="0085074C"/>
    <w:rsid w:val="00851F42"/>
    <w:rsid w:val="00853769"/>
    <w:rsid w:val="0085401E"/>
    <w:rsid w:val="00854281"/>
    <w:rsid w:val="0085445A"/>
    <w:rsid w:val="0086013D"/>
    <w:rsid w:val="00863B6F"/>
    <w:rsid w:val="008661DE"/>
    <w:rsid w:val="00867DEA"/>
    <w:rsid w:val="008719FC"/>
    <w:rsid w:val="00876451"/>
    <w:rsid w:val="008862C7"/>
    <w:rsid w:val="00887FBA"/>
    <w:rsid w:val="00890396"/>
    <w:rsid w:val="00891E99"/>
    <w:rsid w:val="0089266B"/>
    <w:rsid w:val="008944C7"/>
    <w:rsid w:val="00894FF0"/>
    <w:rsid w:val="008A0E0C"/>
    <w:rsid w:val="008A0F60"/>
    <w:rsid w:val="008B1075"/>
    <w:rsid w:val="008B2750"/>
    <w:rsid w:val="008B5E60"/>
    <w:rsid w:val="008C2156"/>
    <w:rsid w:val="008C4B94"/>
    <w:rsid w:val="008C4DA1"/>
    <w:rsid w:val="008C597C"/>
    <w:rsid w:val="008C5E06"/>
    <w:rsid w:val="008C5E51"/>
    <w:rsid w:val="008C7D3B"/>
    <w:rsid w:val="008C7F38"/>
    <w:rsid w:val="008D0336"/>
    <w:rsid w:val="008D1636"/>
    <w:rsid w:val="008D1F4B"/>
    <w:rsid w:val="008D75E4"/>
    <w:rsid w:val="008E3380"/>
    <w:rsid w:val="008E4CC4"/>
    <w:rsid w:val="008F0BF3"/>
    <w:rsid w:val="008F1FF4"/>
    <w:rsid w:val="008F212F"/>
    <w:rsid w:val="008F289C"/>
    <w:rsid w:val="008F72E9"/>
    <w:rsid w:val="0090497C"/>
    <w:rsid w:val="009057BE"/>
    <w:rsid w:val="00906CF9"/>
    <w:rsid w:val="00906D6F"/>
    <w:rsid w:val="00910DE5"/>
    <w:rsid w:val="009130FE"/>
    <w:rsid w:val="0092290C"/>
    <w:rsid w:val="009279B9"/>
    <w:rsid w:val="00930658"/>
    <w:rsid w:val="00936166"/>
    <w:rsid w:val="00940059"/>
    <w:rsid w:val="0094249A"/>
    <w:rsid w:val="00947361"/>
    <w:rsid w:val="00950D2D"/>
    <w:rsid w:val="00952CCD"/>
    <w:rsid w:val="009547A2"/>
    <w:rsid w:val="00957650"/>
    <w:rsid w:val="0095776D"/>
    <w:rsid w:val="00957B7E"/>
    <w:rsid w:val="00964205"/>
    <w:rsid w:val="009647E1"/>
    <w:rsid w:val="009656A7"/>
    <w:rsid w:val="009658F6"/>
    <w:rsid w:val="00965D82"/>
    <w:rsid w:val="009673A7"/>
    <w:rsid w:val="00967885"/>
    <w:rsid w:val="009702FE"/>
    <w:rsid w:val="00972893"/>
    <w:rsid w:val="00980F02"/>
    <w:rsid w:val="0098548E"/>
    <w:rsid w:val="00987872"/>
    <w:rsid w:val="00987E54"/>
    <w:rsid w:val="0099067B"/>
    <w:rsid w:val="0099082D"/>
    <w:rsid w:val="00990EE0"/>
    <w:rsid w:val="00991EAF"/>
    <w:rsid w:val="009924A3"/>
    <w:rsid w:val="009927D9"/>
    <w:rsid w:val="00992A8A"/>
    <w:rsid w:val="009A373A"/>
    <w:rsid w:val="009A5B01"/>
    <w:rsid w:val="009A5D6C"/>
    <w:rsid w:val="009A5EF1"/>
    <w:rsid w:val="009A6643"/>
    <w:rsid w:val="009B1346"/>
    <w:rsid w:val="009B482B"/>
    <w:rsid w:val="009B4E96"/>
    <w:rsid w:val="009C1968"/>
    <w:rsid w:val="009C2CDF"/>
    <w:rsid w:val="009D06D4"/>
    <w:rsid w:val="009D0985"/>
    <w:rsid w:val="009D2039"/>
    <w:rsid w:val="009D28A9"/>
    <w:rsid w:val="009E27DC"/>
    <w:rsid w:val="009F0C99"/>
    <w:rsid w:val="009F1CF9"/>
    <w:rsid w:val="009F5A76"/>
    <w:rsid w:val="00A0034B"/>
    <w:rsid w:val="00A0071F"/>
    <w:rsid w:val="00A01D0F"/>
    <w:rsid w:val="00A1057B"/>
    <w:rsid w:val="00A123FA"/>
    <w:rsid w:val="00A127F3"/>
    <w:rsid w:val="00A220CB"/>
    <w:rsid w:val="00A30657"/>
    <w:rsid w:val="00A3065F"/>
    <w:rsid w:val="00A30EEA"/>
    <w:rsid w:val="00A333FF"/>
    <w:rsid w:val="00A37A03"/>
    <w:rsid w:val="00A43ECE"/>
    <w:rsid w:val="00A445E4"/>
    <w:rsid w:val="00A468E7"/>
    <w:rsid w:val="00A52CFD"/>
    <w:rsid w:val="00A55309"/>
    <w:rsid w:val="00A56A1B"/>
    <w:rsid w:val="00A579EC"/>
    <w:rsid w:val="00A57C02"/>
    <w:rsid w:val="00A60176"/>
    <w:rsid w:val="00A61EC6"/>
    <w:rsid w:val="00A662B8"/>
    <w:rsid w:val="00A66BC3"/>
    <w:rsid w:val="00A66F0E"/>
    <w:rsid w:val="00A675E2"/>
    <w:rsid w:val="00A7308A"/>
    <w:rsid w:val="00A76406"/>
    <w:rsid w:val="00A76C04"/>
    <w:rsid w:val="00A76C35"/>
    <w:rsid w:val="00A777DE"/>
    <w:rsid w:val="00A77E21"/>
    <w:rsid w:val="00A802A7"/>
    <w:rsid w:val="00A81DBD"/>
    <w:rsid w:val="00A82302"/>
    <w:rsid w:val="00A848BB"/>
    <w:rsid w:val="00A85A4C"/>
    <w:rsid w:val="00A91A42"/>
    <w:rsid w:val="00A9363D"/>
    <w:rsid w:val="00A95CBA"/>
    <w:rsid w:val="00A97D9F"/>
    <w:rsid w:val="00AA078F"/>
    <w:rsid w:val="00AA10ED"/>
    <w:rsid w:val="00AA25F2"/>
    <w:rsid w:val="00AA37CC"/>
    <w:rsid w:val="00AA53DA"/>
    <w:rsid w:val="00AA693B"/>
    <w:rsid w:val="00AB5D06"/>
    <w:rsid w:val="00AC2515"/>
    <w:rsid w:val="00AC6D33"/>
    <w:rsid w:val="00AC746B"/>
    <w:rsid w:val="00AD176C"/>
    <w:rsid w:val="00AE0E9C"/>
    <w:rsid w:val="00AE23C9"/>
    <w:rsid w:val="00AE38CA"/>
    <w:rsid w:val="00AF05FA"/>
    <w:rsid w:val="00AF4D41"/>
    <w:rsid w:val="00AF52FC"/>
    <w:rsid w:val="00B00D34"/>
    <w:rsid w:val="00B0124D"/>
    <w:rsid w:val="00B02E0A"/>
    <w:rsid w:val="00B03BE7"/>
    <w:rsid w:val="00B12250"/>
    <w:rsid w:val="00B15553"/>
    <w:rsid w:val="00B155B8"/>
    <w:rsid w:val="00B1564F"/>
    <w:rsid w:val="00B2110B"/>
    <w:rsid w:val="00B2133D"/>
    <w:rsid w:val="00B21BC7"/>
    <w:rsid w:val="00B23177"/>
    <w:rsid w:val="00B258E4"/>
    <w:rsid w:val="00B32ED1"/>
    <w:rsid w:val="00B339F8"/>
    <w:rsid w:val="00B34433"/>
    <w:rsid w:val="00B365FD"/>
    <w:rsid w:val="00B64491"/>
    <w:rsid w:val="00B66A5E"/>
    <w:rsid w:val="00B71574"/>
    <w:rsid w:val="00B75642"/>
    <w:rsid w:val="00B76C36"/>
    <w:rsid w:val="00B772D0"/>
    <w:rsid w:val="00B828C6"/>
    <w:rsid w:val="00B82EA8"/>
    <w:rsid w:val="00B83417"/>
    <w:rsid w:val="00B84015"/>
    <w:rsid w:val="00B85D0B"/>
    <w:rsid w:val="00B86A6E"/>
    <w:rsid w:val="00B923A6"/>
    <w:rsid w:val="00B94C9E"/>
    <w:rsid w:val="00B95B89"/>
    <w:rsid w:val="00B96790"/>
    <w:rsid w:val="00B9746F"/>
    <w:rsid w:val="00BA11EA"/>
    <w:rsid w:val="00BA3C15"/>
    <w:rsid w:val="00BA683E"/>
    <w:rsid w:val="00BA7382"/>
    <w:rsid w:val="00BA791A"/>
    <w:rsid w:val="00BB65B0"/>
    <w:rsid w:val="00BC092E"/>
    <w:rsid w:val="00BC188E"/>
    <w:rsid w:val="00BC720B"/>
    <w:rsid w:val="00BC77A1"/>
    <w:rsid w:val="00BC7AFE"/>
    <w:rsid w:val="00BD0CF7"/>
    <w:rsid w:val="00BD2E1E"/>
    <w:rsid w:val="00BD3036"/>
    <w:rsid w:val="00BD35DA"/>
    <w:rsid w:val="00BD7452"/>
    <w:rsid w:val="00BF1B8B"/>
    <w:rsid w:val="00BF1CEF"/>
    <w:rsid w:val="00BF566C"/>
    <w:rsid w:val="00BF68BE"/>
    <w:rsid w:val="00C053EC"/>
    <w:rsid w:val="00C053F6"/>
    <w:rsid w:val="00C05AE4"/>
    <w:rsid w:val="00C07314"/>
    <w:rsid w:val="00C2087D"/>
    <w:rsid w:val="00C30722"/>
    <w:rsid w:val="00C36FF1"/>
    <w:rsid w:val="00C437AB"/>
    <w:rsid w:val="00C47A79"/>
    <w:rsid w:val="00C5216D"/>
    <w:rsid w:val="00C52D8A"/>
    <w:rsid w:val="00C60D1F"/>
    <w:rsid w:val="00C62BD6"/>
    <w:rsid w:val="00C6438C"/>
    <w:rsid w:val="00C70AFF"/>
    <w:rsid w:val="00C71238"/>
    <w:rsid w:val="00C71968"/>
    <w:rsid w:val="00C740DE"/>
    <w:rsid w:val="00C750B1"/>
    <w:rsid w:val="00C77B45"/>
    <w:rsid w:val="00C82B32"/>
    <w:rsid w:val="00C86148"/>
    <w:rsid w:val="00C96249"/>
    <w:rsid w:val="00CA0E28"/>
    <w:rsid w:val="00CA279A"/>
    <w:rsid w:val="00CA3C1E"/>
    <w:rsid w:val="00CA3F28"/>
    <w:rsid w:val="00CA4220"/>
    <w:rsid w:val="00CB03B3"/>
    <w:rsid w:val="00CB0BF1"/>
    <w:rsid w:val="00CB1E52"/>
    <w:rsid w:val="00CB4747"/>
    <w:rsid w:val="00CB5DBD"/>
    <w:rsid w:val="00CB6033"/>
    <w:rsid w:val="00CC2682"/>
    <w:rsid w:val="00CC4274"/>
    <w:rsid w:val="00CC7A0E"/>
    <w:rsid w:val="00CD24A8"/>
    <w:rsid w:val="00CD5F10"/>
    <w:rsid w:val="00CD68E9"/>
    <w:rsid w:val="00CD6FF2"/>
    <w:rsid w:val="00CD7DAD"/>
    <w:rsid w:val="00CE085D"/>
    <w:rsid w:val="00CE0D1C"/>
    <w:rsid w:val="00CE592F"/>
    <w:rsid w:val="00CE6425"/>
    <w:rsid w:val="00CE76DE"/>
    <w:rsid w:val="00CE7726"/>
    <w:rsid w:val="00CF06CF"/>
    <w:rsid w:val="00CF0F91"/>
    <w:rsid w:val="00D009BF"/>
    <w:rsid w:val="00D11CC4"/>
    <w:rsid w:val="00D12117"/>
    <w:rsid w:val="00D13121"/>
    <w:rsid w:val="00D14C23"/>
    <w:rsid w:val="00D2282D"/>
    <w:rsid w:val="00D25979"/>
    <w:rsid w:val="00D30411"/>
    <w:rsid w:val="00D449AE"/>
    <w:rsid w:val="00D5030F"/>
    <w:rsid w:val="00D5493B"/>
    <w:rsid w:val="00D54A28"/>
    <w:rsid w:val="00D556E6"/>
    <w:rsid w:val="00D642E0"/>
    <w:rsid w:val="00D66C29"/>
    <w:rsid w:val="00D67515"/>
    <w:rsid w:val="00D81038"/>
    <w:rsid w:val="00D82F54"/>
    <w:rsid w:val="00D83005"/>
    <w:rsid w:val="00D8663A"/>
    <w:rsid w:val="00D95166"/>
    <w:rsid w:val="00D959AF"/>
    <w:rsid w:val="00DA193E"/>
    <w:rsid w:val="00DA6564"/>
    <w:rsid w:val="00DA7EF7"/>
    <w:rsid w:val="00DB0482"/>
    <w:rsid w:val="00DB1706"/>
    <w:rsid w:val="00DB3F1A"/>
    <w:rsid w:val="00DB6470"/>
    <w:rsid w:val="00DC027D"/>
    <w:rsid w:val="00DC6AAB"/>
    <w:rsid w:val="00DD09F5"/>
    <w:rsid w:val="00DD1642"/>
    <w:rsid w:val="00DD2310"/>
    <w:rsid w:val="00DD73C3"/>
    <w:rsid w:val="00DE2A4E"/>
    <w:rsid w:val="00DE2FA1"/>
    <w:rsid w:val="00DE351A"/>
    <w:rsid w:val="00DE7B2E"/>
    <w:rsid w:val="00DF03AC"/>
    <w:rsid w:val="00DF4115"/>
    <w:rsid w:val="00DF7E54"/>
    <w:rsid w:val="00E00CA8"/>
    <w:rsid w:val="00E01651"/>
    <w:rsid w:val="00E04F27"/>
    <w:rsid w:val="00E063CA"/>
    <w:rsid w:val="00E10391"/>
    <w:rsid w:val="00E158B3"/>
    <w:rsid w:val="00E16A15"/>
    <w:rsid w:val="00E2154E"/>
    <w:rsid w:val="00E22343"/>
    <w:rsid w:val="00E23C90"/>
    <w:rsid w:val="00E250DE"/>
    <w:rsid w:val="00E27421"/>
    <w:rsid w:val="00E31593"/>
    <w:rsid w:val="00E3505A"/>
    <w:rsid w:val="00E4044D"/>
    <w:rsid w:val="00E4184E"/>
    <w:rsid w:val="00E41891"/>
    <w:rsid w:val="00E44027"/>
    <w:rsid w:val="00E4779D"/>
    <w:rsid w:val="00E513FF"/>
    <w:rsid w:val="00E63238"/>
    <w:rsid w:val="00E63A67"/>
    <w:rsid w:val="00E65598"/>
    <w:rsid w:val="00E73083"/>
    <w:rsid w:val="00E80759"/>
    <w:rsid w:val="00E81992"/>
    <w:rsid w:val="00E904A6"/>
    <w:rsid w:val="00E906DE"/>
    <w:rsid w:val="00E92A9B"/>
    <w:rsid w:val="00EB422A"/>
    <w:rsid w:val="00EC11D4"/>
    <w:rsid w:val="00EC3322"/>
    <w:rsid w:val="00EC335C"/>
    <w:rsid w:val="00EC3A78"/>
    <w:rsid w:val="00ED517F"/>
    <w:rsid w:val="00ED7AE6"/>
    <w:rsid w:val="00EE2CEF"/>
    <w:rsid w:val="00EE3197"/>
    <w:rsid w:val="00EF02B5"/>
    <w:rsid w:val="00EF3BB4"/>
    <w:rsid w:val="00F00186"/>
    <w:rsid w:val="00F018FB"/>
    <w:rsid w:val="00F05E15"/>
    <w:rsid w:val="00F070F0"/>
    <w:rsid w:val="00F20BB8"/>
    <w:rsid w:val="00F2320B"/>
    <w:rsid w:val="00F23861"/>
    <w:rsid w:val="00F2398C"/>
    <w:rsid w:val="00F27649"/>
    <w:rsid w:val="00F316E3"/>
    <w:rsid w:val="00F35D22"/>
    <w:rsid w:val="00F35D28"/>
    <w:rsid w:val="00F35E9B"/>
    <w:rsid w:val="00F37BB1"/>
    <w:rsid w:val="00F44CD4"/>
    <w:rsid w:val="00F47229"/>
    <w:rsid w:val="00F50470"/>
    <w:rsid w:val="00F55C7A"/>
    <w:rsid w:val="00F57CC4"/>
    <w:rsid w:val="00F639DC"/>
    <w:rsid w:val="00F66CDF"/>
    <w:rsid w:val="00F71F37"/>
    <w:rsid w:val="00F726F5"/>
    <w:rsid w:val="00F731A9"/>
    <w:rsid w:val="00F767E3"/>
    <w:rsid w:val="00F82D38"/>
    <w:rsid w:val="00F84CFC"/>
    <w:rsid w:val="00F86A7C"/>
    <w:rsid w:val="00F91448"/>
    <w:rsid w:val="00F92706"/>
    <w:rsid w:val="00F938F9"/>
    <w:rsid w:val="00F93964"/>
    <w:rsid w:val="00F95D8D"/>
    <w:rsid w:val="00F9632A"/>
    <w:rsid w:val="00FA7492"/>
    <w:rsid w:val="00FB1AE1"/>
    <w:rsid w:val="00FB1E08"/>
    <w:rsid w:val="00FB2AAF"/>
    <w:rsid w:val="00FB2AE5"/>
    <w:rsid w:val="00FB305D"/>
    <w:rsid w:val="00FB7EF5"/>
    <w:rsid w:val="00FC1244"/>
    <w:rsid w:val="00FC530A"/>
    <w:rsid w:val="00FC6C28"/>
    <w:rsid w:val="00FD0070"/>
    <w:rsid w:val="00FD2D1E"/>
    <w:rsid w:val="00FE008A"/>
    <w:rsid w:val="00FE36C8"/>
    <w:rsid w:val="00FE4FD7"/>
    <w:rsid w:val="00FE6DA6"/>
    <w:rsid w:val="00FE6F58"/>
    <w:rsid w:val="00FE7C02"/>
    <w:rsid w:val="00FF26A6"/>
    <w:rsid w:val="00FF369D"/>
    <w:rsid w:val="00FF3C60"/>
    <w:rsid w:val="00FF49E0"/>
    <w:rsid w:val="00FF5227"/>
    <w:rsid w:val="00FF710A"/>
    <w:rsid w:val="013F1C9C"/>
    <w:rsid w:val="01494827"/>
    <w:rsid w:val="01757D3B"/>
    <w:rsid w:val="018C7B92"/>
    <w:rsid w:val="019721F4"/>
    <w:rsid w:val="01A9486E"/>
    <w:rsid w:val="01AB7581"/>
    <w:rsid w:val="01AF6613"/>
    <w:rsid w:val="023B1983"/>
    <w:rsid w:val="02B30004"/>
    <w:rsid w:val="03FD0449"/>
    <w:rsid w:val="04593FE3"/>
    <w:rsid w:val="046B602B"/>
    <w:rsid w:val="04D24B6E"/>
    <w:rsid w:val="04FC3E7A"/>
    <w:rsid w:val="051839BD"/>
    <w:rsid w:val="05691ABF"/>
    <w:rsid w:val="05C74376"/>
    <w:rsid w:val="064D30F7"/>
    <w:rsid w:val="06851F41"/>
    <w:rsid w:val="06BB3839"/>
    <w:rsid w:val="06CC6D20"/>
    <w:rsid w:val="07387E94"/>
    <w:rsid w:val="0761172D"/>
    <w:rsid w:val="08150987"/>
    <w:rsid w:val="084570C5"/>
    <w:rsid w:val="084D4E21"/>
    <w:rsid w:val="08AE1C42"/>
    <w:rsid w:val="08B5392A"/>
    <w:rsid w:val="08E2273F"/>
    <w:rsid w:val="090C6FA4"/>
    <w:rsid w:val="09155701"/>
    <w:rsid w:val="091E3B6E"/>
    <w:rsid w:val="09537FF4"/>
    <w:rsid w:val="097C65B8"/>
    <w:rsid w:val="09FD1C08"/>
    <w:rsid w:val="0A1A5F15"/>
    <w:rsid w:val="0A1B4916"/>
    <w:rsid w:val="0A2656FE"/>
    <w:rsid w:val="0A4F039D"/>
    <w:rsid w:val="0A815B54"/>
    <w:rsid w:val="0A8F7564"/>
    <w:rsid w:val="0AAE39BD"/>
    <w:rsid w:val="0AF33D9F"/>
    <w:rsid w:val="0AF97D4A"/>
    <w:rsid w:val="0B0476F7"/>
    <w:rsid w:val="0B32134F"/>
    <w:rsid w:val="0B5B02D9"/>
    <w:rsid w:val="0B8A58F1"/>
    <w:rsid w:val="0C130DA8"/>
    <w:rsid w:val="0C200B19"/>
    <w:rsid w:val="0C3A4DD6"/>
    <w:rsid w:val="0C93167E"/>
    <w:rsid w:val="0CBD06CB"/>
    <w:rsid w:val="0CDD7508"/>
    <w:rsid w:val="0CF66A62"/>
    <w:rsid w:val="0D4820F2"/>
    <w:rsid w:val="0DAA4FA2"/>
    <w:rsid w:val="0DEE1BE6"/>
    <w:rsid w:val="0DF27621"/>
    <w:rsid w:val="0E2024DB"/>
    <w:rsid w:val="0E2B054C"/>
    <w:rsid w:val="0E7012AA"/>
    <w:rsid w:val="0E7A7F83"/>
    <w:rsid w:val="0EA768A5"/>
    <w:rsid w:val="0EC53E85"/>
    <w:rsid w:val="0F0F7EBB"/>
    <w:rsid w:val="0F18149A"/>
    <w:rsid w:val="0F1D4D3C"/>
    <w:rsid w:val="0F3A2829"/>
    <w:rsid w:val="0F5B5649"/>
    <w:rsid w:val="0FAB33B1"/>
    <w:rsid w:val="0FB15D0F"/>
    <w:rsid w:val="0FCE5E02"/>
    <w:rsid w:val="100170D7"/>
    <w:rsid w:val="10182237"/>
    <w:rsid w:val="102C1BF5"/>
    <w:rsid w:val="10BB48C2"/>
    <w:rsid w:val="113708D5"/>
    <w:rsid w:val="11C660A9"/>
    <w:rsid w:val="11CF0D76"/>
    <w:rsid w:val="11DF7A69"/>
    <w:rsid w:val="12316E99"/>
    <w:rsid w:val="12717F69"/>
    <w:rsid w:val="12870A58"/>
    <w:rsid w:val="12877F4A"/>
    <w:rsid w:val="129C480C"/>
    <w:rsid w:val="12BF726B"/>
    <w:rsid w:val="13553AAE"/>
    <w:rsid w:val="136F61EC"/>
    <w:rsid w:val="1377222E"/>
    <w:rsid w:val="137F7D33"/>
    <w:rsid w:val="138D2483"/>
    <w:rsid w:val="13A141FF"/>
    <w:rsid w:val="13AC33F1"/>
    <w:rsid w:val="13EF2DDD"/>
    <w:rsid w:val="14080BD6"/>
    <w:rsid w:val="14974457"/>
    <w:rsid w:val="14BD3D3F"/>
    <w:rsid w:val="14C05AC3"/>
    <w:rsid w:val="14D67DF9"/>
    <w:rsid w:val="14D81CE1"/>
    <w:rsid w:val="14FA5688"/>
    <w:rsid w:val="153C4F33"/>
    <w:rsid w:val="15903725"/>
    <w:rsid w:val="15C622CE"/>
    <w:rsid w:val="162F6A34"/>
    <w:rsid w:val="16451A32"/>
    <w:rsid w:val="169B4FD9"/>
    <w:rsid w:val="16BF2192"/>
    <w:rsid w:val="16C91621"/>
    <w:rsid w:val="16F174BA"/>
    <w:rsid w:val="170C1147"/>
    <w:rsid w:val="177C73FF"/>
    <w:rsid w:val="17A16266"/>
    <w:rsid w:val="17B33BA8"/>
    <w:rsid w:val="18880985"/>
    <w:rsid w:val="18C145AD"/>
    <w:rsid w:val="18E5310A"/>
    <w:rsid w:val="18FD3EE4"/>
    <w:rsid w:val="193E04D0"/>
    <w:rsid w:val="194D6C53"/>
    <w:rsid w:val="196C05FD"/>
    <w:rsid w:val="19BE1B89"/>
    <w:rsid w:val="1A0C0023"/>
    <w:rsid w:val="1A487A9B"/>
    <w:rsid w:val="1A511E3A"/>
    <w:rsid w:val="1A841545"/>
    <w:rsid w:val="1B24773A"/>
    <w:rsid w:val="1B2F4662"/>
    <w:rsid w:val="1B4C7FE0"/>
    <w:rsid w:val="1B533832"/>
    <w:rsid w:val="1B5A5703"/>
    <w:rsid w:val="1BB83AB9"/>
    <w:rsid w:val="1BD9448B"/>
    <w:rsid w:val="1BE67437"/>
    <w:rsid w:val="1C110553"/>
    <w:rsid w:val="1C41699F"/>
    <w:rsid w:val="1C94735A"/>
    <w:rsid w:val="1CB871C8"/>
    <w:rsid w:val="1CD63744"/>
    <w:rsid w:val="1CE834E1"/>
    <w:rsid w:val="1D12399C"/>
    <w:rsid w:val="1D6372A5"/>
    <w:rsid w:val="1DAE605C"/>
    <w:rsid w:val="1DEB489E"/>
    <w:rsid w:val="1DEF0369"/>
    <w:rsid w:val="1DFC6C12"/>
    <w:rsid w:val="1E0817C6"/>
    <w:rsid w:val="1E1E4C82"/>
    <w:rsid w:val="1E670FD4"/>
    <w:rsid w:val="1E7E34F2"/>
    <w:rsid w:val="1F007141"/>
    <w:rsid w:val="1F592EAE"/>
    <w:rsid w:val="1F6519BC"/>
    <w:rsid w:val="1FB62682"/>
    <w:rsid w:val="1FE56235"/>
    <w:rsid w:val="20495745"/>
    <w:rsid w:val="20553E20"/>
    <w:rsid w:val="205962F2"/>
    <w:rsid w:val="20680706"/>
    <w:rsid w:val="20CF2986"/>
    <w:rsid w:val="20D021CC"/>
    <w:rsid w:val="20E262B8"/>
    <w:rsid w:val="20E601FF"/>
    <w:rsid w:val="211A17EF"/>
    <w:rsid w:val="2148766C"/>
    <w:rsid w:val="218C6113"/>
    <w:rsid w:val="21BD23BE"/>
    <w:rsid w:val="21D3693E"/>
    <w:rsid w:val="21EE3875"/>
    <w:rsid w:val="21F17A7E"/>
    <w:rsid w:val="220B3310"/>
    <w:rsid w:val="222518B8"/>
    <w:rsid w:val="223D65C6"/>
    <w:rsid w:val="22417FE4"/>
    <w:rsid w:val="22597850"/>
    <w:rsid w:val="22637D8F"/>
    <w:rsid w:val="22E16C4E"/>
    <w:rsid w:val="22E46826"/>
    <w:rsid w:val="22F0437E"/>
    <w:rsid w:val="22F96593"/>
    <w:rsid w:val="2302733F"/>
    <w:rsid w:val="23050BAE"/>
    <w:rsid w:val="23715C5B"/>
    <w:rsid w:val="23921A8E"/>
    <w:rsid w:val="239E3655"/>
    <w:rsid w:val="23EF2061"/>
    <w:rsid w:val="23FD2AC4"/>
    <w:rsid w:val="2481527E"/>
    <w:rsid w:val="249E0458"/>
    <w:rsid w:val="24D2312B"/>
    <w:rsid w:val="25130052"/>
    <w:rsid w:val="252155E8"/>
    <w:rsid w:val="2527579C"/>
    <w:rsid w:val="253757A3"/>
    <w:rsid w:val="256E16AC"/>
    <w:rsid w:val="257A0A7E"/>
    <w:rsid w:val="258363E0"/>
    <w:rsid w:val="25A31266"/>
    <w:rsid w:val="25DF0FF4"/>
    <w:rsid w:val="26117316"/>
    <w:rsid w:val="2612686E"/>
    <w:rsid w:val="268A562B"/>
    <w:rsid w:val="26913BAD"/>
    <w:rsid w:val="27183487"/>
    <w:rsid w:val="276331B1"/>
    <w:rsid w:val="27832664"/>
    <w:rsid w:val="278948A8"/>
    <w:rsid w:val="27AF7FA7"/>
    <w:rsid w:val="28292DEF"/>
    <w:rsid w:val="285A0DA5"/>
    <w:rsid w:val="28651F6D"/>
    <w:rsid w:val="288F55A7"/>
    <w:rsid w:val="28D060C8"/>
    <w:rsid w:val="28D453FD"/>
    <w:rsid w:val="29175D6A"/>
    <w:rsid w:val="292B5D55"/>
    <w:rsid w:val="29930769"/>
    <w:rsid w:val="299662A3"/>
    <w:rsid w:val="29DD0D6C"/>
    <w:rsid w:val="29DE108B"/>
    <w:rsid w:val="29F31F45"/>
    <w:rsid w:val="2A23244C"/>
    <w:rsid w:val="2A280C63"/>
    <w:rsid w:val="2A2A6B6A"/>
    <w:rsid w:val="2A3F545E"/>
    <w:rsid w:val="2ACD372D"/>
    <w:rsid w:val="2AD0684C"/>
    <w:rsid w:val="2B84137E"/>
    <w:rsid w:val="2B84227C"/>
    <w:rsid w:val="2BAD613D"/>
    <w:rsid w:val="2BC2134C"/>
    <w:rsid w:val="2BD54D3F"/>
    <w:rsid w:val="2C1A3525"/>
    <w:rsid w:val="2C4C6388"/>
    <w:rsid w:val="2C691C7D"/>
    <w:rsid w:val="2D2923A9"/>
    <w:rsid w:val="2D540650"/>
    <w:rsid w:val="2DC67D91"/>
    <w:rsid w:val="2DD93F4D"/>
    <w:rsid w:val="2DDA0673"/>
    <w:rsid w:val="2DF943E4"/>
    <w:rsid w:val="2EA426E3"/>
    <w:rsid w:val="2EB5246B"/>
    <w:rsid w:val="2EE263B2"/>
    <w:rsid w:val="2EFA57ED"/>
    <w:rsid w:val="2F1012A9"/>
    <w:rsid w:val="2F370A31"/>
    <w:rsid w:val="2F5B2C0A"/>
    <w:rsid w:val="307A1D1E"/>
    <w:rsid w:val="30B953A1"/>
    <w:rsid w:val="311623F5"/>
    <w:rsid w:val="3135329C"/>
    <w:rsid w:val="314D33DC"/>
    <w:rsid w:val="324F2ACC"/>
    <w:rsid w:val="324F77F6"/>
    <w:rsid w:val="32BB0816"/>
    <w:rsid w:val="32D90BF3"/>
    <w:rsid w:val="336B5BB9"/>
    <w:rsid w:val="33A828B0"/>
    <w:rsid w:val="33F5460D"/>
    <w:rsid w:val="33F84F3F"/>
    <w:rsid w:val="34163A8E"/>
    <w:rsid w:val="341B4305"/>
    <w:rsid w:val="342E0417"/>
    <w:rsid w:val="34E60C26"/>
    <w:rsid w:val="3509138F"/>
    <w:rsid w:val="35801EDF"/>
    <w:rsid w:val="359B25C3"/>
    <w:rsid w:val="35C71AAD"/>
    <w:rsid w:val="35CA010A"/>
    <w:rsid w:val="35E36A40"/>
    <w:rsid w:val="360D40E0"/>
    <w:rsid w:val="360F6689"/>
    <w:rsid w:val="36205389"/>
    <w:rsid w:val="3626662D"/>
    <w:rsid w:val="36677FAE"/>
    <w:rsid w:val="37486ADF"/>
    <w:rsid w:val="374A5EB4"/>
    <w:rsid w:val="3750055D"/>
    <w:rsid w:val="37926FAB"/>
    <w:rsid w:val="379E75BC"/>
    <w:rsid w:val="37B36298"/>
    <w:rsid w:val="380A6AF2"/>
    <w:rsid w:val="380D2B5F"/>
    <w:rsid w:val="38507C94"/>
    <w:rsid w:val="38533F4E"/>
    <w:rsid w:val="388170D0"/>
    <w:rsid w:val="38927F2F"/>
    <w:rsid w:val="38CE6976"/>
    <w:rsid w:val="38D77E19"/>
    <w:rsid w:val="38F21E47"/>
    <w:rsid w:val="3A276DDC"/>
    <w:rsid w:val="3A2B165B"/>
    <w:rsid w:val="3A311023"/>
    <w:rsid w:val="3A76647D"/>
    <w:rsid w:val="3ABE7C90"/>
    <w:rsid w:val="3ABF441B"/>
    <w:rsid w:val="3B525507"/>
    <w:rsid w:val="3B612323"/>
    <w:rsid w:val="3BAF6CC3"/>
    <w:rsid w:val="3C1F638C"/>
    <w:rsid w:val="3C4479F6"/>
    <w:rsid w:val="3C520704"/>
    <w:rsid w:val="3C9F0901"/>
    <w:rsid w:val="3CAE2354"/>
    <w:rsid w:val="3CC062D9"/>
    <w:rsid w:val="3CC83A04"/>
    <w:rsid w:val="3CEA6DF9"/>
    <w:rsid w:val="3CF1221E"/>
    <w:rsid w:val="3CF854D4"/>
    <w:rsid w:val="3D3A4A58"/>
    <w:rsid w:val="3D5F6051"/>
    <w:rsid w:val="3DBC2535"/>
    <w:rsid w:val="3DCF060F"/>
    <w:rsid w:val="3DCF2BD1"/>
    <w:rsid w:val="3E0B5FF6"/>
    <w:rsid w:val="3E3F5DC1"/>
    <w:rsid w:val="3E9F61D0"/>
    <w:rsid w:val="3EB41201"/>
    <w:rsid w:val="3EEA7EE1"/>
    <w:rsid w:val="3F3F2793"/>
    <w:rsid w:val="3F67398C"/>
    <w:rsid w:val="3F705F9B"/>
    <w:rsid w:val="3F970C30"/>
    <w:rsid w:val="3F98629E"/>
    <w:rsid w:val="3FB75F90"/>
    <w:rsid w:val="3FCB66DD"/>
    <w:rsid w:val="3FDB7888"/>
    <w:rsid w:val="3FEA1394"/>
    <w:rsid w:val="3FFB4B7E"/>
    <w:rsid w:val="404760AC"/>
    <w:rsid w:val="40600F20"/>
    <w:rsid w:val="407B13F1"/>
    <w:rsid w:val="40C72091"/>
    <w:rsid w:val="40F14E32"/>
    <w:rsid w:val="41351AC1"/>
    <w:rsid w:val="414C78A7"/>
    <w:rsid w:val="41600A8C"/>
    <w:rsid w:val="41861B2B"/>
    <w:rsid w:val="41BF1520"/>
    <w:rsid w:val="41CF2B1F"/>
    <w:rsid w:val="41FA495F"/>
    <w:rsid w:val="42412066"/>
    <w:rsid w:val="42453FA9"/>
    <w:rsid w:val="426D071C"/>
    <w:rsid w:val="42940B7F"/>
    <w:rsid w:val="42CD5FB2"/>
    <w:rsid w:val="43022CC1"/>
    <w:rsid w:val="436359F5"/>
    <w:rsid w:val="43671E1F"/>
    <w:rsid w:val="438763D4"/>
    <w:rsid w:val="43B1140E"/>
    <w:rsid w:val="43CB30E3"/>
    <w:rsid w:val="43CD0B17"/>
    <w:rsid w:val="43D33756"/>
    <w:rsid w:val="446E20A8"/>
    <w:rsid w:val="447B4569"/>
    <w:rsid w:val="454F4829"/>
    <w:rsid w:val="455C5D5C"/>
    <w:rsid w:val="460F6044"/>
    <w:rsid w:val="462147DA"/>
    <w:rsid w:val="463F7DD1"/>
    <w:rsid w:val="464027C1"/>
    <w:rsid w:val="464149F6"/>
    <w:rsid w:val="469343B6"/>
    <w:rsid w:val="46F22DC9"/>
    <w:rsid w:val="474B56B2"/>
    <w:rsid w:val="47593235"/>
    <w:rsid w:val="47792181"/>
    <w:rsid w:val="477A2F3B"/>
    <w:rsid w:val="47954BE2"/>
    <w:rsid w:val="47ED70DE"/>
    <w:rsid w:val="481D2A38"/>
    <w:rsid w:val="4836497D"/>
    <w:rsid w:val="48683F0E"/>
    <w:rsid w:val="488B1482"/>
    <w:rsid w:val="48B26A33"/>
    <w:rsid w:val="48E31BD8"/>
    <w:rsid w:val="49212589"/>
    <w:rsid w:val="49D52C04"/>
    <w:rsid w:val="4A713386"/>
    <w:rsid w:val="4ACE727C"/>
    <w:rsid w:val="4AEA5739"/>
    <w:rsid w:val="4B494107"/>
    <w:rsid w:val="4B541DDF"/>
    <w:rsid w:val="4BA82601"/>
    <w:rsid w:val="4BD756F4"/>
    <w:rsid w:val="4C247E31"/>
    <w:rsid w:val="4D341947"/>
    <w:rsid w:val="4D623014"/>
    <w:rsid w:val="4DB20A52"/>
    <w:rsid w:val="4DD218EC"/>
    <w:rsid w:val="4E3C0A5D"/>
    <w:rsid w:val="4EED1726"/>
    <w:rsid w:val="4F7721C9"/>
    <w:rsid w:val="4F9D3497"/>
    <w:rsid w:val="4FD716A0"/>
    <w:rsid w:val="4FDC0A3C"/>
    <w:rsid w:val="4FF104C4"/>
    <w:rsid w:val="500D717C"/>
    <w:rsid w:val="501B3BAC"/>
    <w:rsid w:val="504B5DED"/>
    <w:rsid w:val="508315EA"/>
    <w:rsid w:val="5086309E"/>
    <w:rsid w:val="512454BB"/>
    <w:rsid w:val="51571C33"/>
    <w:rsid w:val="518B112C"/>
    <w:rsid w:val="51C728C8"/>
    <w:rsid w:val="520C4E1C"/>
    <w:rsid w:val="522156E2"/>
    <w:rsid w:val="522B1556"/>
    <w:rsid w:val="5232751A"/>
    <w:rsid w:val="523768DA"/>
    <w:rsid w:val="526A5CC0"/>
    <w:rsid w:val="52CC2210"/>
    <w:rsid w:val="52E65EB0"/>
    <w:rsid w:val="52E83AB6"/>
    <w:rsid w:val="5323350C"/>
    <w:rsid w:val="538328C3"/>
    <w:rsid w:val="53915A39"/>
    <w:rsid w:val="53B679B7"/>
    <w:rsid w:val="53C25AA1"/>
    <w:rsid w:val="53DD08DB"/>
    <w:rsid w:val="53E4798A"/>
    <w:rsid w:val="53FE4CDE"/>
    <w:rsid w:val="543A56F5"/>
    <w:rsid w:val="543D557E"/>
    <w:rsid w:val="544157C1"/>
    <w:rsid w:val="546127C8"/>
    <w:rsid w:val="546C7A32"/>
    <w:rsid w:val="554D2626"/>
    <w:rsid w:val="558E0268"/>
    <w:rsid w:val="55CB5560"/>
    <w:rsid w:val="55D6123F"/>
    <w:rsid w:val="561E758B"/>
    <w:rsid w:val="566953B5"/>
    <w:rsid w:val="56B74CF7"/>
    <w:rsid w:val="56C61757"/>
    <w:rsid w:val="56CE5C8F"/>
    <w:rsid w:val="56D17DCD"/>
    <w:rsid w:val="56FC5AF9"/>
    <w:rsid w:val="57302631"/>
    <w:rsid w:val="574D28C8"/>
    <w:rsid w:val="57742672"/>
    <w:rsid w:val="577C3C3B"/>
    <w:rsid w:val="581046F0"/>
    <w:rsid w:val="58480D0A"/>
    <w:rsid w:val="586709B9"/>
    <w:rsid w:val="5889484E"/>
    <w:rsid w:val="58C01537"/>
    <w:rsid w:val="58F70E04"/>
    <w:rsid w:val="595037C0"/>
    <w:rsid w:val="597B3874"/>
    <w:rsid w:val="59974A78"/>
    <w:rsid w:val="59B15D26"/>
    <w:rsid w:val="5A0C2230"/>
    <w:rsid w:val="5A195E1D"/>
    <w:rsid w:val="5AB30EB1"/>
    <w:rsid w:val="5AD234F6"/>
    <w:rsid w:val="5AE348F5"/>
    <w:rsid w:val="5B0B62FE"/>
    <w:rsid w:val="5B1C35F0"/>
    <w:rsid w:val="5B294034"/>
    <w:rsid w:val="5B4155D9"/>
    <w:rsid w:val="5B88549B"/>
    <w:rsid w:val="5BA64C1B"/>
    <w:rsid w:val="5C036E99"/>
    <w:rsid w:val="5C6A134F"/>
    <w:rsid w:val="5CBD36B2"/>
    <w:rsid w:val="5CC96B97"/>
    <w:rsid w:val="5DD05DC4"/>
    <w:rsid w:val="5E3752F8"/>
    <w:rsid w:val="5E811F73"/>
    <w:rsid w:val="5E983EAE"/>
    <w:rsid w:val="5EAA2703"/>
    <w:rsid w:val="5EF14493"/>
    <w:rsid w:val="5F0F611D"/>
    <w:rsid w:val="5F2A4FD8"/>
    <w:rsid w:val="5F403162"/>
    <w:rsid w:val="5F463C7F"/>
    <w:rsid w:val="5F5C4246"/>
    <w:rsid w:val="5F79589D"/>
    <w:rsid w:val="5F852B33"/>
    <w:rsid w:val="5F931F40"/>
    <w:rsid w:val="60160913"/>
    <w:rsid w:val="60254999"/>
    <w:rsid w:val="607434A2"/>
    <w:rsid w:val="60A931F1"/>
    <w:rsid w:val="60C925EE"/>
    <w:rsid w:val="61427057"/>
    <w:rsid w:val="616253EC"/>
    <w:rsid w:val="61C665D5"/>
    <w:rsid w:val="623463EE"/>
    <w:rsid w:val="6261264F"/>
    <w:rsid w:val="62675ED2"/>
    <w:rsid w:val="626D67F5"/>
    <w:rsid w:val="62891961"/>
    <w:rsid w:val="62B76AC7"/>
    <w:rsid w:val="62E250F6"/>
    <w:rsid w:val="63736F66"/>
    <w:rsid w:val="6386466C"/>
    <w:rsid w:val="648A566D"/>
    <w:rsid w:val="64AE65D9"/>
    <w:rsid w:val="64C22030"/>
    <w:rsid w:val="64F57FDB"/>
    <w:rsid w:val="65184BB8"/>
    <w:rsid w:val="65227F1A"/>
    <w:rsid w:val="65430E9B"/>
    <w:rsid w:val="655B55E5"/>
    <w:rsid w:val="656757AF"/>
    <w:rsid w:val="658A5CB3"/>
    <w:rsid w:val="65AD247B"/>
    <w:rsid w:val="65BE33D4"/>
    <w:rsid w:val="65D74258"/>
    <w:rsid w:val="660359CC"/>
    <w:rsid w:val="66105731"/>
    <w:rsid w:val="66370B03"/>
    <w:rsid w:val="669A73AC"/>
    <w:rsid w:val="66FE7606"/>
    <w:rsid w:val="677209BB"/>
    <w:rsid w:val="6778699C"/>
    <w:rsid w:val="67A953D5"/>
    <w:rsid w:val="68457ED6"/>
    <w:rsid w:val="684E2571"/>
    <w:rsid w:val="6865520F"/>
    <w:rsid w:val="68CB1E23"/>
    <w:rsid w:val="68F555E6"/>
    <w:rsid w:val="68F84F9E"/>
    <w:rsid w:val="690D4A40"/>
    <w:rsid w:val="69CA1840"/>
    <w:rsid w:val="69DB7915"/>
    <w:rsid w:val="69FA4337"/>
    <w:rsid w:val="6A366423"/>
    <w:rsid w:val="6A6804E7"/>
    <w:rsid w:val="6A6D5E5C"/>
    <w:rsid w:val="6A713937"/>
    <w:rsid w:val="6A853456"/>
    <w:rsid w:val="6AB06F3E"/>
    <w:rsid w:val="6AB93975"/>
    <w:rsid w:val="6AC60955"/>
    <w:rsid w:val="6ACB7982"/>
    <w:rsid w:val="6AD973F2"/>
    <w:rsid w:val="6AF02206"/>
    <w:rsid w:val="6B181D4C"/>
    <w:rsid w:val="6B72770C"/>
    <w:rsid w:val="6BBC7F30"/>
    <w:rsid w:val="6BC561CE"/>
    <w:rsid w:val="6C5E50D4"/>
    <w:rsid w:val="6C6D4F31"/>
    <w:rsid w:val="6C86343D"/>
    <w:rsid w:val="6C950441"/>
    <w:rsid w:val="6D0B03C6"/>
    <w:rsid w:val="6D6703CF"/>
    <w:rsid w:val="6D78609E"/>
    <w:rsid w:val="6E312A1B"/>
    <w:rsid w:val="6E6879B2"/>
    <w:rsid w:val="6E713FA7"/>
    <w:rsid w:val="6E8F740E"/>
    <w:rsid w:val="6E912060"/>
    <w:rsid w:val="6EAC1C16"/>
    <w:rsid w:val="6EC03E65"/>
    <w:rsid w:val="6ED30A58"/>
    <w:rsid w:val="6EFD0345"/>
    <w:rsid w:val="6F613BDD"/>
    <w:rsid w:val="6F95334B"/>
    <w:rsid w:val="6FAA68B9"/>
    <w:rsid w:val="6FE05CCE"/>
    <w:rsid w:val="6FEC0371"/>
    <w:rsid w:val="6FF46C50"/>
    <w:rsid w:val="6FF92655"/>
    <w:rsid w:val="70025D57"/>
    <w:rsid w:val="700A7517"/>
    <w:rsid w:val="70481350"/>
    <w:rsid w:val="708E5D13"/>
    <w:rsid w:val="70DF3535"/>
    <w:rsid w:val="715E126F"/>
    <w:rsid w:val="71747606"/>
    <w:rsid w:val="7181580F"/>
    <w:rsid w:val="719D01D1"/>
    <w:rsid w:val="71A259BE"/>
    <w:rsid w:val="71C62B4D"/>
    <w:rsid w:val="71C6646F"/>
    <w:rsid w:val="71D4588B"/>
    <w:rsid w:val="720A3C1B"/>
    <w:rsid w:val="723F2530"/>
    <w:rsid w:val="7282478D"/>
    <w:rsid w:val="72A937EE"/>
    <w:rsid w:val="72D45B89"/>
    <w:rsid w:val="73132043"/>
    <w:rsid w:val="73494096"/>
    <w:rsid w:val="735662FA"/>
    <w:rsid w:val="73577CA1"/>
    <w:rsid w:val="73A67BC3"/>
    <w:rsid w:val="74236A7E"/>
    <w:rsid w:val="745149FA"/>
    <w:rsid w:val="74515B8E"/>
    <w:rsid w:val="74C12436"/>
    <w:rsid w:val="74FB2F47"/>
    <w:rsid w:val="752111BC"/>
    <w:rsid w:val="755F26C8"/>
    <w:rsid w:val="75785F42"/>
    <w:rsid w:val="75815B9B"/>
    <w:rsid w:val="758B6215"/>
    <w:rsid w:val="759C5512"/>
    <w:rsid w:val="75B15735"/>
    <w:rsid w:val="763F632F"/>
    <w:rsid w:val="764B7988"/>
    <w:rsid w:val="76566EED"/>
    <w:rsid w:val="766F2734"/>
    <w:rsid w:val="76751E9C"/>
    <w:rsid w:val="77667A70"/>
    <w:rsid w:val="77977450"/>
    <w:rsid w:val="77B556E1"/>
    <w:rsid w:val="77B70FCC"/>
    <w:rsid w:val="77CD5167"/>
    <w:rsid w:val="77DE43CF"/>
    <w:rsid w:val="77E6485B"/>
    <w:rsid w:val="780B05CC"/>
    <w:rsid w:val="789B26F0"/>
    <w:rsid w:val="78A67D81"/>
    <w:rsid w:val="78F32AF2"/>
    <w:rsid w:val="78FA6098"/>
    <w:rsid w:val="791B4001"/>
    <w:rsid w:val="793A2D10"/>
    <w:rsid w:val="79932EA3"/>
    <w:rsid w:val="79971F29"/>
    <w:rsid w:val="79A761BB"/>
    <w:rsid w:val="79AD14E0"/>
    <w:rsid w:val="79B8717E"/>
    <w:rsid w:val="79B925CB"/>
    <w:rsid w:val="7A1734E7"/>
    <w:rsid w:val="7A1739D8"/>
    <w:rsid w:val="7A435005"/>
    <w:rsid w:val="7A5B1942"/>
    <w:rsid w:val="7A7178F0"/>
    <w:rsid w:val="7A9B1480"/>
    <w:rsid w:val="7B184DCA"/>
    <w:rsid w:val="7B7900FA"/>
    <w:rsid w:val="7BA452D7"/>
    <w:rsid w:val="7C0B4D65"/>
    <w:rsid w:val="7D144808"/>
    <w:rsid w:val="7D2317A3"/>
    <w:rsid w:val="7D3C0839"/>
    <w:rsid w:val="7D9A0D06"/>
    <w:rsid w:val="7DF833F2"/>
    <w:rsid w:val="7E1535C2"/>
    <w:rsid w:val="7E272DAD"/>
    <w:rsid w:val="7E4E3C91"/>
    <w:rsid w:val="7E863358"/>
    <w:rsid w:val="7E9D2010"/>
    <w:rsid w:val="7E9E7122"/>
    <w:rsid w:val="7F2C17F1"/>
    <w:rsid w:val="7F3E1249"/>
    <w:rsid w:val="7F8E78DF"/>
    <w:rsid w:val="7F9F54D2"/>
    <w:rsid w:val="7FA81FF9"/>
    <w:rsid w:val="7FC53840"/>
    <w:rsid w:val="7FE91FDA"/>
    <w:rsid w:val="7FF3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52"/>
    <w:unhideWhenUsed/>
    <w:qFormat/>
    <w:uiPriority w:val="0"/>
    <w:pPr>
      <w:jc w:val="left"/>
    </w:pPr>
  </w:style>
  <w:style w:type="paragraph" w:styleId="3">
    <w:name w:val="Body Text"/>
    <w:basedOn w:val="1"/>
    <w:link w:val="46"/>
    <w:semiHidden/>
    <w:unhideWhenUsed/>
    <w:qFormat/>
    <w:uiPriority w:val="99"/>
    <w:pPr>
      <w:spacing w:after="120"/>
    </w:pPr>
  </w:style>
  <w:style w:type="paragraph" w:styleId="4">
    <w:name w:val="Date"/>
    <w:basedOn w:val="1"/>
    <w:next w:val="1"/>
    <w:link w:val="54"/>
    <w:semiHidden/>
    <w:unhideWhenUsed/>
    <w:qFormat/>
    <w:uiPriority w:val="99"/>
    <w:pPr>
      <w:ind w:left="100" w:leftChars="2500"/>
    </w:pPr>
  </w:style>
  <w:style w:type="paragraph" w:styleId="5">
    <w:name w:val="Balloon Text"/>
    <w:basedOn w:val="1"/>
    <w:link w:val="45"/>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3"/>
    <w:qFormat/>
    <w:uiPriority w:val="0"/>
    <w:pPr>
      <w:tabs>
        <w:tab w:val="left" w:pos="2520"/>
      </w:tabs>
      <w:jc w:val="left"/>
    </w:pPr>
    <w:rPr>
      <w:sz w:val="24"/>
    </w:rPr>
  </w:style>
  <w:style w:type="paragraph" w:styleId="9">
    <w:name w:val="annotation subject"/>
    <w:basedOn w:val="2"/>
    <w:next w:val="2"/>
    <w:link w:val="53"/>
    <w:semiHidden/>
    <w:unhideWhenUsed/>
    <w:qFormat/>
    <w:uiPriority w:val="99"/>
    <w:rPr>
      <w:b/>
      <w:bCs/>
    </w:rPr>
  </w:style>
  <w:style w:type="paragraph" w:styleId="10">
    <w:name w:val="Body Text First Indent"/>
    <w:basedOn w:val="3"/>
    <w:link w:val="47"/>
    <w:semiHidden/>
    <w:unhideWhenUsed/>
    <w:qFormat/>
    <w:uiPriority w:val="99"/>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段 Char"/>
    <w:link w:val="18"/>
    <w:qFormat/>
    <w:uiPriority w:val="0"/>
    <w:rPr>
      <w:rFonts w:ascii="宋体"/>
    </w:rPr>
  </w:style>
  <w:style w:type="paragraph" w:customStyle="1" w:styleId="18">
    <w:name w:val="段"/>
    <w:link w:val="1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9">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2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1">
    <w:name w:val="一级条标题"/>
    <w:next w:val="18"/>
    <w:qFormat/>
    <w:uiPriority w:val="0"/>
    <w:pPr>
      <w:tabs>
        <w:tab w:val="left" w:pos="760"/>
      </w:tabs>
      <w:spacing w:beforeLines="50" w:afterLines="50"/>
      <w:ind w:left="1264" w:hanging="413"/>
      <w:outlineLvl w:val="2"/>
    </w:pPr>
    <w:rPr>
      <w:rFonts w:ascii="黑体" w:hAnsi="Times New Roman" w:eastAsia="黑体" w:cs="Times New Roman"/>
      <w:sz w:val="21"/>
      <w:szCs w:val="21"/>
      <w:lang w:val="en-US" w:eastAsia="zh-CN" w:bidi="ar-SA"/>
    </w:rPr>
  </w:style>
  <w:style w:type="paragraph" w:customStyle="1" w:styleId="2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3">
    <w:name w:val="正文文本 2 字符"/>
    <w:basedOn w:val="13"/>
    <w:link w:val="8"/>
    <w:qFormat/>
    <w:uiPriority w:val="0"/>
    <w:rPr>
      <w:rFonts w:ascii="Times New Roman" w:hAnsi="Times New Roman" w:eastAsia="宋体" w:cs="Times New Roman"/>
      <w:sz w:val="24"/>
      <w:szCs w:val="24"/>
    </w:rPr>
  </w:style>
  <w:style w:type="paragraph" w:customStyle="1" w:styleId="2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5">
    <w:name w:val="p0"/>
    <w:basedOn w:val="1"/>
    <w:qFormat/>
    <w:uiPriority w:val="0"/>
    <w:pPr>
      <w:widowControl/>
    </w:pPr>
    <w:rPr>
      <w:kern w:val="0"/>
      <w:szCs w:val="21"/>
    </w:rPr>
  </w:style>
  <w:style w:type="paragraph" w:customStyle="1" w:styleId="26">
    <w:name w:val="封面标准文稿编辑信息"/>
    <w:basedOn w:val="27"/>
    <w:qFormat/>
    <w:uiPriority w:val="0"/>
    <w:pPr>
      <w:spacing w:before="180" w:line="180" w:lineRule="exact"/>
    </w:pPr>
    <w:rPr>
      <w:sz w:val="21"/>
    </w:rPr>
  </w:style>
  <w:style w:type="paragraph" w:customStyle="1" w:styleId="27">
    <w:name w:val="封面标准文稿类别"/>
    <w:basedOn w:val="28"/>
    <w:qFormat/>
    <w:uiPriority w:val="0"/>
    <w:pPr>
      <w:spacing w:after="160" w:line="240" w:lineRule="auto"/>
    </w:pPr>
    <w:rPr>
      <w:sz w:val="24"/>
    </w:rPr>
  </w:style>
  <w:style w:type="paragraph" w:customStyle="1" w:styleId="28">
    <w:name w:val="封面一致性程度标识"/>
    <w:basedOn w:val="29"/>
    <w:qFormat/>
    <w:uiPriority w:val="0"/>
    <w:pPr>
      <w:spacing w:before="440"/>
    </w:pPr>
    <w:rPr>
      <w:rFonts w:ascii="宋体" w:eastAsia="宋体"/>
    </w:rPr>
  </w:style>
  <w:style w:type="paragraph" w:customStyle="1" w:styleId="29">
    <w:name w:val="封面标准英文名称"/>
    <w:basedOn w:val="30"/>
    <w:qFormat/>
    <w:uiPriority w:val="0"/>
    <w:pPr>
      <w:spacing w:before="370" w:line="400" w:lineRule="exact"/>
    </w:pPr>
    <w:rPr>
      <w:rFonts w:ascii="Times New Roman"/>
      <w:sz w:val="28"/>
      <w:szCs w:val="28"/>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2">
    <w:name w:val="目次、标准名称标题"/>
    <w:basedOn w:val="1"/>
    <w:next w:val="1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3">
    <w:name w:val="其他实施日期"/>
    <w:basedOn w:val="1"/>
    <w:qFormat/>
    <w:uiPriority w:val="0"/>
    <w:pPr>
      <w:widowControl/>
      <w:jc w:val="right"/>
    </w:pPr>
    <w:rPr>
      <w:rFonts w:eastAsia="黑体"/>
      <w:kern w:val="0"/>
      <w:sz w:val="28"/>
      <w:szCs w:val="20"/>
    </w:rPr>
  </w:style>
  <w:style w:type="paragraph" w:customStyle="1" w:styleId="34">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35">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6">
    <w:name w:val="章标题"/>
    <w:next w:val="18"/>
    <w:qFormat/>
    <w:uiPriority w:val="0"/>
    <w:pPr>
      <w:spacing w:beforeLines="100" w:afterLines="100"/>
      <w:ind w:left="840" w:hanging="408"/>
      <w:jc w:val="both"/>
      <w:outlineLvl w:val="1"/>
    </w:pPr>
    <w:rPr>
      <w:rFonts w:ascii="黑体" w:hAnsi="Times New Roman" w:eastAsia="黑体" w:cs="Times New Roman"/>
      <w:sz w:val="21"/>
      <w:lang w:val="en-US" w:eastAsia="zh-CN" w:bidi="ar-SA"/>
    </w:rPr>
  </w:style>
  <w:style w:type="paragraph" w:customStyle="1" w:styleId="37">
    <w:name w:val="标准书眉_偶数页"/>
    <w:basedOn w:val="22"/>
    <w:next w:val="1"/>
    <w:qFormat/>
    <w:uiPriority w:val="0"/>
    <w:pPr>
      <w:jc w:val="left"/>
    </w:pPr>
  </w:style>
  <w:style w:type="paragraph" w:customStyle="1" w:styleId="38">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3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0">
    <w:name w:val="终结线"/>
    <w:basedOn w:val="1"/>
    <w:qFormat/>
    <w:uiPriority w:val="0"/>
  </w:style>
  <w:style w:type="paragraph" w:customStyle="1" w:styleId="41">
    <w:name w:val="前言、引言标题"/>
    <w:next w:val="1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字母编号列项（一级）"/>
    <w:qFormat/>
    <w:uiPriority w:val="0"/>
    <w:pPr>
      <w:tabs>
        <w:tab w:val="left" w:pos="839"/>
      </w:tabs>
      <w:jc w:val="both"/>
    </w:pPr>
    <w:rPr>
      <w:rFonts w:ascii="宋体" w:hAnsi="Times New Roman" w:eastAsia="宋体" w:cs="Times New Roman"/>
      <w:sz w:val="21"/>
      <w:lang w:val="en-US" w:eastAsia="zh-CN" w:bidi="ar-SA"/>
    </w:rPr>
  </w:style>
  <w:style w:type="paragraph" w:customStyle="1" w:styleId="43">
    <w:name w:val="发布部门"/>
    <w:next w:val="18"/>
    <w:qFormat/>
    <w:uiPriority w:val="0"/>
    <w:pPr>
      <w:jc w:val="center"/>
    </w:pPr>
    <w:rPr>
      <w:rFonts w:ascii="宋体" w:hAnsi="Times New Roman" w:eastAsia="宋体" w:cs="Times New Roman"/>
      <w:b/>
      <w:spacing w:val="20"/>
      <w:w w:val="135"/>
      <w:sz w:val="28"/>
      <w:lang w:val="en-US" w:eastAsia="zh-CN" w:bidi="ar-SA"/>
    </w:rPr>
  </w:style>
  <w:style w:type="paragraph" w:styleId="44">
    <w:name w:val="List Paragraph"/>
    <w:basedOn w:val="1"/>
    <w:qFormat/>
    <w:uiPriority w:val="99"/>
    <w:pPr>
      <w:ind w:firstLine="420" w:firstLineChars="200"/>
    </w:pPr>
  </w:style>
  <w:style w:type="character" w:customStyle="1" w:styleId="45">
    <w:name w:val="批注框文本 字符"/>
    <w:basedOn w:val="13"/>
    <w:link w:val="5"/>
    <w:semiHidden/>
    <w:qFormat/>
    <w:uiPriority w:val="99"/>
    <w:rPr>
      <w:rFonts w:ascii="Times New Roman" w:hAnsi="Times New Roman" w:eastAsia="宋体" w:cs="Times New Roman"/>
      <w:sz w:val="18"/>
      <w:szCs w:val="18"/>
    </w:rPr>
  </w:style>
  <w:style w:type="character" w:customStyle="1" w:styleId="46">
    <w:name w:val="正文文本 字符"/>
    <w:basedOn w:val="13"/>
    <w:link w:val="3"/>
    <w:semiHidden/>
    <w:qFormat/>
    <w:uiPriority w:val="99"/>
    <w:rPr>
      <w:rFonts w:ascii="Times New Roman" w:hAnsi="Times New Roman" w:eastAsia="宋体" w:cs="Times New Roman"/>
      <w:szCs w:val="24"/>
    </w:rPr>
  </w:style>
  <w:style w:type="character" w:customStyle="1" w:styleId="47">
    <w:name w:val="正文文本首行缩进 字符"/>
    <w:basedOn w:val="46"/>
    <w:link w:val="10"/>
    <w:semiHidden/>
    <w:qFormat/>
    <w:uiPriority w:val="99"/>
    <w:rPr>
      <w:rFonts w:ascii="Times New Roman" w:hAnsi="Times New Roman" w:eastAsia="宋体" w:cs="Times New Roman"/>
      <w:szCs w:val="24"/>
    </w:rPr>
  </w:style>
  <w:style w:type="character" w:customStyle="1" w:styleId="48">
    <w:name w:val="apple-converted-space"/>
    <w:basedOn w:val="13"/>
    <w:qFormat/>
    <w:uiPriority w:val="0"/>
  </w:style>
  <w:style w:type="paragraph" w:customStyle="1" w:styleId="49">
    <w:name w:val="正文表标题"/>
    <w:next w:val="18"/>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0">
    <w:name w:val="正文图标题"/>
    <w:next w:val="18"/>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1">
    <w:name w:val="其他发布日期"/>
    <w:basedOn w:val="1"/>
    <w:qFormat/>
    <w:uiPriority w:val="0"/>
    <w:pPr>
      <w:framePr w:w="3997" w:h="471" w:hRule="exact" w:vSpace="181" w:wrap="around" w:vAnchor="page" w:hAnchor="page" w:x="1419" w:y="14097" w:anchorLock="1"/>
      <w:widowControl/>
      <w:numPr>
        <w:ilvl w:val="0"/>
        <w:numId w:val="2"/>
      </w:numPr>
      <w:jc w:val="left"/>
    </w:pPr>
    <w:rPr>
      <w:rFonts w:eastAsia="黑体"/>
      <w:kern w:val="0"/>
      <w:sz w:val="28"/>
      <w:szCs w:val="20"/>
    </w:rPr>
  </w:style>
  <w:style w:type="character" w:customStyle="1" w:styleId="52">
    <w:name w:val="批注文字 字符"/>
    <w:basedOn w:val="13"/>
    <w:link w:val="2"/>
    <w:qFormat/>
    <w:uiPriority w:val="0"/>
    <w:rPr>
      <w:rFonts w:ascii="Times New Roman" w:hAnsi="Times New Roman" w:eastAsia="宋体" w:cs="Times New Roman"/>
      <w:szCs w:val="24"/>
    </w:rPr>
  </w:style>
  <w:style w:type="character" w:customStyle="1" w:styleId="53">
    <w:name w:val="批注主题 字符"/>
    <w:basedOn w:val="52"/>
    <w:link w:val="9"/>
    <w:semiHidden/>
    <w:qFormat/>
    <w:uiPriority w:val="99"/>
    <w:rPr>
      <w:rFonts w:ascii="Times New Roman" w:hAnsi="Times New Roman" w:eastAsia="宋体" w:cs="Times New Roman"/>
      <w:b/>
      <w:bCs/>
      <w:szCs w:val="24"/>
    </w:rPr>
  </w:style>
  <w:style w:type="character" w:customStyle="1" w:styleId="54">
    <w:name w:val="日期 字符"/>
    <w:basedOn w:val="13"/>
    <w:link w:val="4"/>
    <w:semiHidden/>
    <w:qFormat/>
    <w:uiPriority w:val="99"/>
    <w:rPr>
      <w:rFonts w:ascii="Times New Roman" w:hAnsi="Times New Roman" w:eastAsia="宋体" w:cs="Times New Roman"/>
      <w:szCs w:val="24"/>
    </w:rPr>
  </w:style>
  <w:style w:type="paragraph" w:customStyle="1" w:styleId="55">
    <w:name w:val="二级条标题"/>
    <w:basedOn w:val="21"/>
    <w:next w:val="18"/>
    <w:qFormat/>
    <w:uiPriority w:val="0"/>
    <w:pPr>
      <w:tabs>
        <w:tab w:val="clear" w:pos="760"/>
      </w:tabs>
      <w:spacing w:before="50" w:after="50"/>
      <w:ind w:left="0" w:firstLine="0"/>
      <w:outlineLvl w:val="3"/>
    </w:pPr>
  </w:style>
  <w:style w:type="paragraph" w:customStyle="1" w:styleId="56">
    <w:name w:val="三级条标题"/>
    <w:basedOn w:val="55"/>
    <w:next w:val="18"/>
    <w:qFormat/>
    <w:uiPriority w:val="0"/>
    <w:pPr>
      <w:outlineLvl w:val="4"/>
    </w:pPr>
  </w:style>
  <w:style w:type="paragraph" w:customStyle="1" w:styleId="57">
    <w:name w:val="四级条标题"/>
    <w:basedOn w:val="56"/>
    <w:next w:val="18"/>
    <w:qFormat/>
    <w:uiPriority w:val="0"/>
    <w:pPr>
      <w:outlineLvl w:val="5"/>
    </w:pPr>
  </w:style>
  <w:style w:type="paragraph" w:customStyle="1" w:styleId="58">
    <w:name w:val="五级条标题"/>
    <w:basedOn w:val="57"/>
    <w:next w:val="18"/>
    <w:qFormat/>
    <w:uiPriority w:val="0"/>
    <w:pPr>
      <w:outlineLvl w:val="6"/>
    </w:pPr>
  </w:style>
  <w:style w:type="paragraph" w:customStyle="1" w:styleId="59">
    <w:name w:val="二级无"/>
    <w:basedOn w:val="55"/>
    <w:qFormat/>
    <w:uiPriority w:val="0"/>
    <w:pPr>
      <w:spacing w:beforeLines="0" w:afterLines="0"/>
    </w:pPr>
    <w:rPr>
      <w:rFonts w:ascii="宋体" w:eastAsia="宋体"/>
    </w:rPr>
  </w:style>
  <w:style w:type="character" w:styleId="60">
    <w:name w:val="Placeholder Text"/>
    <w:basedOn w:val="13"/>
    <w:semiHidden/>
    <w:qFormat/>
    <w:uiPriority w:val="99"/>
    <w:rPr>
      <w:color w:val="808080"/>
    </w:rPr>
  </w:style>
  <w:style w:type="character" w:customStyle="1" w:styleId="61">
    <w:name w:val="font21"/>
    <w:basedOn w:val="13"/>
    <w:qFormat/>
    <w:uiPriority w:val="0"/>
    <w:rPr>
      <w:rFonts w:hint="eastAsia" w:ascii="宋体" w:hAnsi="宋体" w:eastAsia="宋体" w:cs="宋体"/>
      <w:color w:val="000000"/>
      <w:sz w:val="18"/>
      <w:szCs w:val="18"/>
      <w:u w:val="none"/>
      <w:vertAlign w:val="superscript"/>
    </w:rPr>
  </w:style>
  <w:style w:type="character" w:customStyle="1" w:styleId="62">
    <w:name w:val="font11"/>
    <w:basedOn w:val="13"/>
    <w:qFormat/>
    <w:uiPriority w:val="0"/>
    <w:rPr>
      <w:rFonts w:hint="eastAsia" w:ascii="宋体" w:hAnsi="宋体" w:eastAsia="宋体" w:cs="宋体"/>
      <w:color w:val="000000"/>
      <w:sz w:val="18"/>
      <w:szCs w:val="18"/>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1"/>
    <customShpInfo spid="_x0000_s1030"/>
    <customShpInfo spid="_x0000_s1029"/>
    <customShpInfo spid="_x0000_s1028"/>
    <customShpInfo spid="_x0000_s1176"/>
    <customShpInfo spid="_x0000_s1177"/>
    <customShpInfo spid="_x0000_s1175"/>
    <customShpInfo spid="_x0000_s1180"/>
    <customShpInfo spid="_x0000_s1181"/>
    <customShpInfo spid="_x0000_s1179"/>
    <customShpInfo spid="_x0000_s1183"/>
    <customShpInfo spid="_x0000_s1184"/>
    <customShpInfo spid="_x0000_s1182"/>
    <customShpInfo spid="_x0000_s1186"/>
    <customShpInfo spid="_x0000_s1187"/>
    <customShpInfo spid="_x0000_s1185"/>
    <customShpInfo spid="_x0000_s1189"/>
    <customShpInfo spid="_x0000_s1190"/>
    <customShpInfo spid="_x0000_s1188"/>
    <customShpInfo spid="_x0000_s1191"/>
    <customShpInfo spid="_x0000_s1174"/>
    <customShpInfo spid="_x0000_s117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CD3A5-85F7-4460-9634-B5E7CD72C51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2641</Words>
  <Characters>3253</Characters>
  <Lines>26</Lines>
  <Paragraphs>7</Paragraphs>
  <TotalTime>1320</TotalTime>
  <ScaleCrop>false</ScaleCrop>
  <LinksUpToDate>false</LinksUpToDate>
  <CharactersWithSpaces>3407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2020-10-09T05:53:00Z</dcterms:created>
  <dc:creator>pgos</dc:creator>
  <cp:lastModifiedBy>素素</cp:lastModifiedBy>
  <dcterms:modified xsi:type="dcterms:W3CDTF">2022-05-17T07:24:03Z</dcterms:modified>
  <cp:revision>1846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D29C343A5C8E451BA3EEEAD22ED71091</vt:lpwstr>
  </property>
</Properties>
</file>