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framePr w:wrap="around"/>
        <w:rPr>
          <w:rFonts w:hAnsi="黑体"/>
          <w:color w:val="FFFFFF" w:themeColor="background1"/>
          <w14:textFill>
            <w14:solidFill>
              <w14:schemeClr w14:val="bg1"/>
            </w14:solidFill>
          </w14:textFill>
        </w:rPr>
      </w:pPr>
      <w:r>
        <w:rPr>
          <w:rFonts w:hAnsi="黑体"/>
          <w:color w:val="000000"/>
        </w:rPr>
        <w:t>ICS </w:t>
      </w:r>
      <w:r>
        <w:rPr>
          <w:rFonts w:hAnsi="黑体"/>
          <w:color w:val="000000"/>
        </w:rPr>
        <w:fldChar w:fldCharType="begin">
          <w:ffData>
            <w:name w:val="ICS"/>
            <w:enabled/>
            <w:calcOnExit w:val="0"/>
            <w:helpText w:type="text" w:val="请输入正确的ICS号："/>
            <w:textInput>
              <w:default w:val="点击此处添加ICS号"/>
            </w:textInput>
          </w:ffData>
        </w:fldChar>
      </w:r>
      <w:bookmarkStart w:id="0" w:name="ICS"/>
      <w:r>
        <w:rPr>
          <w:rFonts w:hAnsi="黑体"/>
          <w:color w:val="000000"/>
        </w:rPr>
        <w:instrText xml:space="preserve"> FORMTEXT </w:instrText>
      </w:r>
      <w:r>
        <w:rPr>
          <w:rFonts w:hAnsi="黑体"/>
          <w:color w:val="000000"/>
        </w:rPr>
        <w:fldChar w:fldCharType="separate"/>
      </w:r>
      <w:r>
        <w:rPr>
          <w:rFonts w:hint="eastAsia" w:hAnsi="黑体"/>
          <w:color w:val="000000"/>
        </w:rPr>
        <w:t>29.045</w:t>
      </w:r>
      <w:r>
        <w:rPr>
          <w:rFonts w:hAnsi="黑体"/>
          <w:color w:val="000000"/>
        </w:rPr>
        <w:fldChar w:fldCharType="end"/>
      </w:r>
      <w:bookmarkEnd w:id="0"/>
    </w:p>
    <w:p>
      <w:pPr>
        <w:pStyle w:val="132"/>
        <w:framePr w:wrap="around"/>
        <w:rPr>
          <w:color w:val="FFFFFF" w:themeColor="background1"/>
          <w14:textFill>
            <w14:solidFill>
              <w14:schemeClr w14:val="bg1"/>
            </w14:solidFill>
          </w14:textFill>
        </w:rPr>
      </w:pPr>
      <w:r>
        <w:rPr>
          <w:rFonts w:hAnsi="黑体"/>
          <w:color w:val="000000"/>
        </w:rPr>
        <w:t>CCS H 82</w:t>
      </w:r>
    </w:p>
    <w:p>
      <w:pPr>
        <w:pStyle w:val="75"/>
        <w:framePr w:wrap="around"/>
        <w:rPr>
          <w:color w:val="000000"/>
        </w:rPr>
      </w:pPr>
      <w:r>
        <w:rPr>
          <w:color w:val="000000"/>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6"/>
        <w:framePr w:wrap="around"/>
        <w:rPr>
          <w:color w:val="000000"/>
        </w:rPr>
      </w:pPr>
      <w:r>
        <w:rPr>
          <w:rFonts w:hint="eastAsia"/>
          <w:color w:val="000000"/>
        </w:rPr>
        <w:t>中华人民共和国国家标准</w:t>
      </w:r>
    </w:p>
    <w:p>
      <w:pPr>
        <w:pStyle w:val="56"/>
        <w:framePr w:wrap="around"/>
        <w:rPr>
          <w:rFonts w:hAnsi="黑体"/>
          <w:color w:val="000000"/>
        </w:rPr>
      </w:pPr>
      <w:r>
        <w:rPr>
          <w:rFonts w:hAnsi="黑体"/>
          <w:color w:val="000000"/>
        </w:rPr>
        <w:t xml:space="preserve">GB/T </w:t>
      </w:r>
      <w:r>
        <w:rPr>
          <w:rFonts w:hint="eastAsia" w:hAnsi="黑体"/>
          <w:color w:val="000000"/>
        </w:rPr>
        <w:t>12963</w:t>
      </w:r>
      <w:r>
        <w:rPr>
          <w:rFonts w:hAnsi="黑体"/>
          <w:color w:val="000000"/>
        </w:rPr>
        <w:t>—XXXX</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5"/>
              <w:framePr w:wrap="around"/>
              <w:rPr>
                <w:rFonts w:ascii="黑体" w:hAnsi="黑体" w:eastAsia="黑体"/>
                <w:color w:val="000000"/>
              </w:rPr>
            </w:pPr>
            <w:r>
              <w:rPr>
                <w:rFonts w:hint="eastAsia" w:ascii="黑体" w:hAnsi="黑体" w:eastAsia="黑体"/>
                <w:color w:val="000000"/>
              </w:rPr>
              <w:t>代替 GB/T 12963-2014</w:t>
            </w:r>
          </w:p>
        </w:tc>
      </w:tr>
    </w:tbl>
    <w:p>
      <w:pPr>
        <w:pStyle w:val="56"/>
        <w:framePr w:wrap="around"/>
        <w:rPr>
          <w:color w:val="000000"/>
        </w:rPr>
      </w:pPr>
    </w:p>
    <w:p>
      <w:pPr>
        <w:pStyle w:val="56"/>
        <w:framePr w:wrap="around"/>
        <w:rPr>
          <w:color w:val="000000"/>
        </w:rPr>
      </w:pPr>
    </w:p>
    <w:p>
      <w:pPr>
        <w:pStyle w:val="87"/>
        <w:framePr w:wrap="around" w:x="1126" w:y="6391"/>
        <w:rPr>
          <w:color w:val="000000"/>
        </w:rPr>
      </w:pPr>
      <w:r>
        <w:rPr>
          <w:rFonts w:hint="eastAsia"/>
          <w:color w:val="000000"/>
        </w:rPr>
        <w:t>电子级多晶硅</w:t>
      </w:r>
    </w:p>
    <w:p>
      <w:pPr>
        <w:pStyle w:val="88"/>
        <w:framePr w:wrap="around" w:x="1126" w:y="6391"/>
        <w:rPr>
          <w:color w:val="000000"/>
        </w:rPr>
      </w:pPr>
      <w:r>
        <w:rPr>
          <w:rFonts w:ascii="黑体" w:hAnsi="黑体"/>
          <w:color w:val="000000"/>
          <w:highlight w:val="white"/>
        </w:rPr>
        <w:t>Electronic-grade polycrystalline silicon</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0"/>
              <w:framePr w:wrap="around" w:x="1126" w:y="6391"/>
              <w:rPr>
                <w:color w:val="000000"/>
              </w:rPr>
            </w:pPr>
            <w:r>
              <w:rPr>
                <w:color w:val="000000"/>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w:rPr>
                <w:color w:val="000000"/>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hint="eastAsia"/>
                <w:color w:val="000000"/>
              </w:rPr>
              <w:t>（送审稿）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1"/>
              <w:framePr w:wrap="around" w:x="1126" w:y="6391"/>
              <w:rPr>
                <w:color w:val="000000"/>
              </w:rPr>
            </w:pPr>
          </w:p>
          <w:p>
            <w:pPr>
              <w:pStyle w:val="91"/>
              <w:framePr w:wrap="around" w:x="1126" w:y="6391"/>
            </w:pPr>
          </w:p>
          <w:p>
            <w:pPr>
              <w:pStyle w:val="91"/>
              <w:framePr w:wrap="around" w:x="1126" w:y="6391"/>
              <w:rPr>
                <w:color w:val="000000"/>
              </w:rPr>
            </w:pPr>
          </w:p>
        </w:tc>
      </w:tr>
    </w:tbl>
    <w:p>
      <w:pPr>
        <w:pStyle w:val="139"/>
        <w:framePr w:wrap="around" w:hAnchor="page" w:x="1246" w:y="13996"/>
        <w:rPr>
          <w:color w:val="000000"/>
        </w:rPr>
      </w:pPr>
      <w:r>
        <w:rPr>
          <w:rFonts w:ascii="黑体"/>
          <w:color w:val="000000"/>
        </w:rPr>
        <w:fldChar w:fldCharType="begin">
          <w:ffData>
            <w:name w:val="FY"/>
            <w:enabled/>
            <w:calcOnExit w:val="0"/>
            <w:textInput>
              <w:default w:val="XXXX"/>
              <w:maxLength w:val="4"/>
            </w:textInput>
          </w:ffData>
        </w:fldChar>
      </w:r>
      <w:bookmarkStart w:id="1" w:name="F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1"/>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bookmarkStart w:id="2" w:name="F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2"/>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textInput>
              <w:default w:val="XX"/>
              <w:maxLength w:val="2"/>
            </w:textInput>
          </w:ffData>
        </w:fldChar>
      </w:r>
      <w:bookmarkStart w:id="3" w:name="F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3"/>
      <w:r>
        <w:rPr>
          <w:rFonts w:hint="eastAsia"/>
          <w:color w:val="000000"/>
        </w:rPr>
        <w:t>发布</w:t>
      </w:r>
      <w:r>
        <w:rPr>
          <w:color w:val="000000"/>
        </w:rP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9264;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40"/>
        <w:framePr w:wrap="around" w:hAnchor="page" w:x="7006" w:y="13906"/>
        <w:ind w:right="140"/>
        <w:rPr>
          <w:color w:val="000000"/>
        </w:rPr>
      </w:pPr>
      <w:r>
        <w:rPr>
          <w:rFonts w:ascii="黑体"/>
          <w:color w:val="000000"/>
        </w:rPr>
        <w:fldChar w:fldCharType="begin">
          <w:ffData>
            <w:name w:val="SY"/>
            <w:enabled/>
            <w:calcOnExit w:val="0"/>
            <w:textInput>
              <w:default w:val="XXXX"/>
              <w:maxLength w:val="4"/>
            </w:textInput>
          </w:ffData>
        </w:fldChar>
      </w:r>
      <w:bookmarkStart w:id="4" w:name="S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textInput>
              <w:default w:val="XX"/>
              <w:maxLength w:val="2"/>
            </w:textInput>
          </w:ffData>
        </w:fldChar>
      </w:r>
      <w:bookmarkStart w:id="5" w:name="S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bookmarkStart w:id="6" w:name="S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6"/>
      <w:r>
        <w:rPr>
          <w:rFonts w:hint="eastAsia"/>
          <w:color w:val="000000"/>
        </w:rPr>
        <w:t>实施</w:t>
      </w:r>
    </w:p>
    <w:p>
      <w:pPr>
        <w:pStyle w:val="83"/>
        <w:framePr w:wrap="around"/>
        <w:rPr>
          <w:color w:val="000000"/>
        </w:rPr>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32"/>
        <w:rPr>
          <w:color w:val="000000"/>
        </w:rPr>
        <w:sectPr>
          <w:pgSz w:w="11906" w:h="16838"/>
          <w:pgMar w:top="567" w:right="850" w:bottom="1134" w:left="1418" w:header="0" w:footer="0" w:gutter="0"/>
          <w:pgNumType w:fmt="upperRoman" w:start="1"/>
          <w:cols w:space="425" w:num="1"/>
          <w:docGrid w:type="lines" w:linePitch="312" w:charSpace="0"/>
        </w:sectPr>
      </w:pPr>
      <w:r>
        <w:rPr>
          <w:color w:val="00000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21"/>
        <w:rPr>
          <w:color w:val="000000"/>
        </w:rPr>
      </w:pPr>
      <w:r>
        <w:rPr>
          <w:rFonts w:hint="eastAsia"/>
          <w:color w:val="000000"/>
        </w:rPr>
        <w:t>前</w:t>
      </w:r>
      <w:bookmarkStart w:id="7" w:name="BKQY"/>
      <w:r>
        <w:rPr>
          <w:color w:val="000000"/>
        </w:rPr>
        <w:t>  </w:t>
      </w:r>
      <w:r>
        <w:rPr>
          <w:rFonts w:hint="eastAsia"/>
          <w:color w:val="000000"/>
        </w:rPr>
        <w:t>言</w:t>
      </w:r>
      <w:bookmarkEnd w:id="7"/>
    </w:p>
    <w:p>
      <w:pPr>
        <w:pStyle w:val="32"/>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本文件按照GB/T 1.1—20</w:t>
      </w:r>
      <w:r>
        <w:rPr>
          <w:rFonts w:hAnsi="宋体"/>
          <w:color w:val="000000" w:themeColor="text1"/>
          <w:szCs w:val="21"/>
          <w14:textFill>
            <w14:solidFill>
              <w14:schemeClr w14:val="tx1"/>
            </w14:solidFill>
          </w14:textFill>
        </w:rPr>
        <w:t>20</w:t>
      </w:r>
      <w:r>
        <w:rPr>
          <w:rFonts w:hint="eastAsia" w:hAnsi="宋体"/>
          <w:color w:val="000000" w:themeColor="text1"/>
          <w:szCs w:val="21"/>
          <w14:textFill>
            <w14:solidFill>
              <w14:schemeClr w14:val="tx1"/>
            </w14:solidFill>
          </w14:textFill>
        </w:rPr>
        <w:t xml:space="preserve">《标准化工作导则 </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第1部分：标准化文件的结构和起草规则》的规定起草。</w:t>
      </w:r>
    </w:p>
    <w:p>
      <w:pPr>
        <w:pStyle w:val="32"/>
        <w:rPr>
          <w:rFonts w:hAnsi="宋体"/>
          <w:color w:val="FF0000"/>
          <w:szCs w:val="21"/>
        </w:rPr>
      </w:pPr>
      <w:r>
        <w:rPr>
          <w:rFonts w:hAnsi="宋体"/>
          <w:color w:val="000000" w:themeColor="text1"/>
          <w:szCs w:val="21"/>
          <w14:textFill>
            <w14:solidFill>
              <w14:schemeClr w14:val="tx1"/>
            </w14:solidFill>
          </w14:textFill>
        </w:rPr>
        <w:t>本</w:t>
      </w:r>
      <w:r>
        <w:rPr>
          <w:rFonts w:hint="eastAsia" w:hAnsi="宋体"/>
          <w:color w:val="000000" w:themeColor="text1"/>
          <w:szCs w:val="21"/>
          <w14:textFill>
            <w14:solidFill>
              <w14:schemeClr w14:val="tx1"/>
            </w14:solidFill>
          </w14:textFill>
        </w:rPr>
        <w:t>文件代替GB/T 12963-2014《电子级</w:t>
      </w:r>
      <w:r>
        <w:rPr>
          <w:rFonts w:hAnsi="宋体"/>
          <w:color w:val="000000" w:themeColor="text1"/>
          <w:szCs w:val="21"/>
          <w14:textFill>
            <w14:solidFill>
              <w14:schemeClr w14:val="tx1"/>
            </w14:solidFill>
          </w14:textFill>
        </w:rPr>
        <w:t>多晶硅</w:t>
      </w:r>
      <w:r>
        <w:rPr>
          <w:rFonts w:hint="eastAsia" w:hAnsi="宋体"/>
          <w:color w:val="000000" w:themeColor="text1"/>
          <w:szCs w:val="21"/>
          <w14:textFill>
            <w14:solidFill>
              <w14:schemeClr w14:val="tx1"/>
            </w14:solidFill>
          </w14:textFill>
        </w:rPr>
        <w:t>》，与</w:t>
      </w:r>
      <w:r>
        <w:rPr>
          <w:rFonts w:hAnsi="宋体"/>
          <w:color w:val="000000" w:themeColor="text1"/>
          <w:szCs w:val="21"/>
          <w14:textFill>
            <w14:solidFill>
              <w14:schemeClr w14:val="tx1"/>
            </w14:solidFill>
          </w14:textFill>
        </w:rPr>
        <w:t xml:space="preserve">GB/T </w:t>
      </w:r>
      <w:r>
        <w:rPr>
          <w:rFonts w:hint="eastAsia" w:hAnsi="宋体"/>
          <w:color w:val="000000" w:themeColor="text1"/>
          <w:szCs w:val="21"/>
          <w14:textFill>
            <w14:solidFill>
              <w14:schemeClr w14:val="tx1"/>
            </w14:solidFill>
          </w14:textFill>
        </w:rPr>
        <w:t>12963</w:t>
      </w:r>
      <w:r>
        <w:rPr>
          <w:rFonts w:hAnsi="宋体"/>
          <w:color w:val="000000" w:themeColor="text1"/>
          <w:szCs w:val="21"/>
          <w14:textFill>
            <w14:solidFill>
              <w14:schemeClr w14:val="tx1"/>
            </w14:solidFill>
          </w14:textFill>
        </w:rPr>
        <w:t>-2014</w:t>
      </w:r>
      <w:r>
        <w:rPr>
          <w:rFonts w:hint="eastAsia" w:hAnsi="宋体"/>
          <w:color w:val="000000" w:themeColor="text1"/>
          <w:szCs w:val="21"/>
          <w14:textFill>
            <w14:solidFill>
              <w14:schemeClr w14:val="tx1"/>
            </w14:solidFill>
          </w14:textFill>
        </w:rPr>
        <w:t>相比，除结构调整和编辑性改动外，主要技术变化如下：</w:t>
      </w:r>
    </w:p>
    <w:p>
      <w:pPr>
        <w:pStyle w:val="168"/>
        <w:numPr>
          <w:ilvl w:val="1"/>
          <w:numId w:val="19"/>
        </w:numPr>
        <w:ind w:firstLineChars="0"/>
        <w:rPr>
          <w:rFonts w:ascii="宋体" w:hAnsi="宋体"/>
          <w:szCs w:val="21"/>
        </w:rPr>
      </w:pPr>
      <w:r>
        <w:rPr>
          <w:rFonts w:hint="eastAsia" w:ascii="宋体" w:hAnsi="宋体"/>
          <w:szCs w:val="21"/>
        </w:rPr>
        <w:t>更改了范围，将“</w:t>
      </w:r>
      <w:r>
        <w:rPr>
          <w:rFonts w:hint="eastAsia"/>
          <w:color w:val="000000"/>
        </w:rPr>
        <w:t>本标准规定了多晶硅的要求、试验方法</w:t>
      </w:r>
      <w:r>
        <w:rPr>
          <w:rFonts w:hint="eastAsia"/>
        </w:rPr>
        <w:t>、检验规则以及标志、包装、运输、储存、质量证明书和订货单（或</w:t>
      </w:r>
      <w:r>
        <w:t>合同）</w:t>
      </w:r>
      <w:r>
        <w:rPr>
          <w:rFonts w:hint="eastAsia"/>
        </w:rPr>
        <w:t>内容。本标准适用于以氯硅烷、硅烷制得</w:t>
      </w:r>
      <w:r>
        <w:t>的</w:t>
      </w:r>
      <w:r>
        <w:rPr>
          <w:rFonts w:hint="eastAsia"/>
        </w:rPr>
        <w:t>多晶硅</w:t>
      </w:r>
      <w:r>
        <w:rPr>
          <w:rFonts w:hint="eastAsia" w:ascii="宋体" w:hAnsi="宋体"/>
          <w:szCs w:val="21"/>
        </w:rPr>
        <w:t>”更改为“</w:t>
      </w:r>
      <w:r>
        <w:rPr>
          <w:rFonts w:hint="eastAsia"/>
          <w:color w:val="000000"/>
        </w:rPr>
        <w:t>本文件规定了电子级多晶硅的</w:t>
      </w:r>
      <w:r>
        <w:rPr>
          <w:rFonts w:hint="eastAsia"/>
          <w:color w:val="000000" w:themeColor="text1"/>
          <w14:textFill>
            <w14:solidFill>
              <w14:schemeClr w14:val="tx1"/>
            </w14:solidFill>
          </w14:textFill>
        </w:rPr>
        <w:t>牌号和类别、</w:t>
      </w:r>
      <w:r>
        <w:rPr>
          <w:rFonts w:hint="eastAsia"/>
          <w:color w:val="000000"/>
        </w:rPr>
        <w:t>技术要求、试验方法</w:t>
      </w:r>
      <w:r>
        <w:rPr>
          <w:rFonts w:hint="eastAsia"/>
        </w:rPr>
        <w:t>、检验规则、标志、包装、运输、贮存、随行文件和订货单内容。本文件适用于以氯硅烷、硅烷制得</w:t>
      </w:r>
      <w:r>
        <w:t>的</w:t>
      </w:r>
      <w:r>
        <w:rPr>
          <w:rFonts w:hint="eastAsia"/>
        </w:rPr>
        <w:t>直拉</w:t>
      </w:r>
      <w:r>
        <w:t>（</w:t>
      </w:r>
      <w:r>
        <w:rPr>
          <w:rFonts w:hint="eastAsia"/>
        </w:rPr>
        <w:t>CZ</w:t>
      </w:r>
      <w:r>
        <w:t>）用</w:t>
      </w:r>
      <w:r>
        <w:rPr>
          <w:rFonts w:hint="eastAsia"/>
        </w:rPr>
        <w:t>电子级多晶硅（以下</w:t>
      </w:r>
      <w:r>
        <w:t>简称</w:t>
      </w:r>
      <w:r>
        <w:rPr>
          <w:rFonts w:asciiTheme="minorEastAsia" w:hAnsiTheme="minorEastAsia" w:eastAsiaTheme="minorEastAsia"/>
        </w:rPr>
        <w:t>“多晶硅”</w:t>
      </w:r>
      <w:r>
        <w:t>）</w:t>
      </w:r>
      <w:r>
        <w:rPr>
          <w:rFonts w:hint="eastAsia" w:ascii="宋体" w:hAnsi="宋体"/>
          <w:szCs w:val="21"/>
        </w:rPr>
        <w:t>”，（见第1章，2014年版的第1章）；</w:t>
      </w:r>
    </w:p>
    <w:p>
      <w:pPr>
        <w:pStyle w:val="168"/>
        <w:numPr>
          <w:ilvl w:val="1"/>
          <w:numId w:val="19"/>
        </w:numPr>
        <w:ind w:firstLineChars="0"/>
        <w:rPr>
          <w:rFonts w:ascii="宋体" w:hAnsi="宋体"/>
          <w:szCs w:val="21"/>
        </w:rPr>
      </w:pPr>
      <w:r>
        <w:rPr>
          <w:rFonts w:hint="eastAsia" w:ascii="宋体" w:hAnsi="宋体"/>
          <w:color w:val="000000"/>
          <w:szCs w:val="21"/>
        </w:rPr>
        <w:t>增加了规范性</w:t>
      </w:r>
      <w:r>
        <w:rPr>
          <w:rFonts w:ascii="宋体" w:hAnsi="宋体"/>
          <w:color w:val="000000"/>
          <w:szCs w:val="21"/>
        </w:rPr>
        <w:t>引用文件GB/T 14844</w:t>
      </w:r>
      <w:r>
        <w:rPr>
          <w:rFonts w:hint="eastAsia" w:ascii="宋体" w:hAnsi="宋体"/>
          <w:color w:val="000000"/>
          <w:szCs w:val="21"/>
        </w:rPr>
        <w:t>、</w:t>
      </w:r>
      <w:r>
        <w:rPr>
          <w:rFonts w:ascii="宋体" w:hAnsi="宋体"/>
          <w:color w:val="000000"/>
          <w:szCs w:val="21"/>
        </w:rPr>
        <w:t>GB/T 29057</w:t>
      </w:r>
      <w:r>
        <w:rPr>
          <w:rFonts w:hint="eastAsia" w:ascii="宋体" w:hAnsi="宋体"/>
          <w:color w:val="000000"/>
          <w:szCs w:val="21"/>
        </w:rPr>
        <w:t>、</w:t>
      </w:r>
      <w:r>
        <w:rPr>
          <w:rFonts w:ascii="宋体" w:hAnsi="宋体"/>
          <w:color w:val="000000"/>
          <w:szCs w:val="21"/>
        </w:rPr>
        <w:t>GB/T 35306</w:t>
      </w:r>
      <w:r>
        <w:rPr>
          <w:rFonts w:hint="eastAsia" w:ascii="宋体" w:hAnsi="宋体"/>
          <w:color w:val="000000"/>
          <w:szCs w:val="21"/>
        </w:rPr>
        <w:t>、</w:t>
      </w:r>
      <w:r>
        <w:rPr>
          <w:rFonts w:ascii="宋体" w:hAnsi="宋体"/>
          <w:color w:val="000000"/>
          <w:szCs w:val="21"/>
        </w:rPr>
        <w:t>GB/T 37049</w:t>
      </w:r>
      <w:r>
        <w:rPr>
          <w:rFonts w:hint="eastAsia" w:ascii="宋体" w:hAnsi="宋体"/>
          <w:color w:val="000000"/>
          <w:szCs w:val="21"/>
        </w:rPr>
        <w:t>，</w:t>
      </w:r>
      <w:r>
        <w:rPr>
          <w:rFonts w:ascii="宋体" w:hAnsi="宋体"/>
          <w:color w:val="000000"/>
          <w:szCs w:val="21"/>
        </w:rPr>
        <w:t>删除了GB/T 13389</w:t>
      </w:r>
      <w:r>
        <w:rPr>
          <w:rFonts w:hint="eastAsia" w:ascii="宋体" w:hAnsi="宋体"/>
          <w:color w:val="000000"/>
          <w:szCs w:val="21"/>
        </w:rPr>
        <w:t>（见第2章，2</w:t>
      </w:r>
      <w:r>
        <w:rPr>
          <w:rFonts w:ascii="宋体" w:hAnsi="宋体"/>
          <w:color w:val="000000"/>
          <w:szCs w:val="21"/>
        </w:rPr>
        <w:t>014</w:t>
      </w:r>
      <w:r>
        <w:rPr>
          <w:rFonts w:hint="eastAsia" w:ascii="宋体" w:hAnsi="宋体"/>
          <w:color w:val="000000"/>
          <w:szCs w:val="21"/>
        </w:rPr>
        <w:t>年</w:t>
      </w:r>
      <w:r>
        <w:rPr>
          <w:rFonts w:ascii="宋体" w:hAnsi="宋体"/>
          <w:color w:val="000000"/>
          <w:szCs w:val="21"/>
        </w:rPr>
        <w:t>版的第2章</w:t>
      </w:r>
      <w:r>
        <w:rPr>
          <w:rFonts w:hint="eastAsia" w:ascii="宋体" w:hAnsi="宋体"/>
          <w:color w:val="000000"/>
          <w:szCs w:val="21"/>
        </w:rPr>
        <w:t>）；</w:t>
      </w:r>
    </w:p>
    <w:p>
      <w:pPr>
        <w:pStyle w:val="168"/>
        <w:numPr>
          <w:ilvl w:val="1"/>
          <w:numId w:val="19"/>
        </w:numPr>
        <w:ind w:firstLineChars="0"/>
        <w:rPr>
          <w:rFonts w:ascii="宋体" w:hAnsi="宋体"/>
          <w:szCs w:val="21"/>
        </w:rPr>
      </w:pPr>
      <w:r>
        <w:rPr>
          <w:rFonts w:hint="eastAsia" w:ascii="宋体" w:hAnsi="宋体"/>
          <w:color w:val="000000"/>
          <w:szCs w:val="21"/>
        </w:rPr>
        <w:t>更改了电子级</w:t>
      </w:r>
      <w:r>
        <w:rPr>
          <w:rFonts w:ascii="宋体" w:hAnsi="宋体"/>
          <w:color w:val="000000"/>
          <w:szCs w:val="21"/>
        </w:rPr>
        <w:t>多晶硅的牌号</w:t>
      </w:r>
      <w:r>
        <w:rPr>
          <w:rFonts w:hint="eastAsia" w:ascii="宋体" w:hAnsi="宋体"/>
          <w:color w:val="000000"/>
          <w:szCs w:val="21"/>
        </w:rPr>
        <w:t>，应符合</w:t>
      </w:r>
      <w:r>
        <w:rPr>
          <w:rFonts w:ascii="宋体" w:hAnsi="宋体"/>
          <w:szCs w:val="21"/>
        </w:rPr>
        <w:t>GB/T 14844</w:t>
      </w:r>
      <w:r>
        <w:rPr>
          <w:rFonts w:hint="eastAsia" w:ascii="宋体" w:hAnsi="宋体"/>
          <w:szCs w:val="21"/>
        </w:rPr>
        <w:t>的规定</w:t>
      </w:r>
      <w:r>
        <w:rPr>
          <w:rFonts w:hint="eastAsia" w:ascii="宋体" w:hAnsi="宋体"/>
          <w:color w:val="000000"/>
          <w:szCs w:val="21"/>
        </w:rPr>
        <w:t>（见4.1,2014年</w:t>
      </w:r>
      <w:r>
        <w:rPr>
          <w:rFonts w:ascii="宋体" w:hAnsi="宋体"/>
          <w:color w:val="000000"/>
          <w:szCs w:val="21"/>
        </w:rPr>
        <w:t>版</w:t>
      </w:r>
      <w:r>
        <w:rPr>
          <w:rFonts w:hint="eastAsia" w:ascii="宋体" w:hAnsi="宋体"/>
          <w:color w:val="000000"/>
          <w:szCs w:val="21"/>
        </w:rPr>
        <w:t>4.1.1）；</w:t>
      </w:r>
    </w:p>
    <w:p>
      <w:pPr>
        <w:pStyle w:val="168"/>
        <w:numPr>
          <w:ilvl w:val="1"/>
          <w:numId w:val="19"/>
        </w:numPr>
        <w:ind w:firstLineChars="0"/>
        <w:rPr>
          <w:rFonts w:ascii="宋体" w:hAnsi="宋体"/>
          <w:szCs w:val="21"/>
        </w:rPr>
      </w:pPr>
      <w:r>
        <w:rPr>
          <w:rFonts w:hint="eastAsia" w:ascii="宋体" w:hAnsi="宋体"/>
          <w:color w:val="000000"/>
          <w:szCs w:val="21"/>
        </w:rPr>
        <w:t>更改</w:t>
      </w:r>
      <w:r>
        <w:rPr>
          <w:rFonts w:ascii="宋体" w:hAnsi="宋体"/>
          <w:color w:val="000000"/>
          <w:szCs w:val="21"/>
        </w:rPr>
        <w:t>了电子级多晶硅的产</w:t>
      </w:r>
      <w:r>
        <w:rPr>
          <w:rFonts w:hint="eastAsia" w:ascii="宋体" w:hAnsi="宋体"/>
          <w:color w:val="000000"/>
          <w:szCs w:val="21"/>
        </w:rPr>
        <w:t>品等级，</w:t>
      </w:r>
      <w:r>
        <w:rPr>
          <w:rFonts w:ascii="宋体" w:hAnsi="宋体"/>
          <w:color w:val="000000"/>
          <w:szCs w:val="21"/>
        </w:rPr>
        <w:t>将“</w:t>
      </w:r>
      <w:r>
        <w:rPr>
          <w:rFonts w:hint="eastAsia" w:ascii="宋体" w:hAnsi="宋体"/>
        </w:rPr>
        <w:t>根据纯度</w:t>
      </w:r>
      <w:r>
        <w:rPr>
          <w:rFonts w:ascii="宋体" w:hAnsi="宋体"/>
        </w:rPr>
        <w:t>的差别分为</w:t>
      </w:r>
      <w:r>
        <w:rPr>
          <w:rFonts w:hint="eastAsia" w:ascii="宋体" w:hAnsi="宋体"/>
        </w:rPr>
        <w:t>3级</w:t>
      </w:r>
      <w:r>
        <w:rPr>
          <w:rFonts w:ascii="宋体" w:hAnsi="宋体"/>
          <w:color w:val="000000"/>
          <w:szCs w:val="21"/>
        </w:rPr>
        <w:t>”</w:t>
      </w:r>
      <w:r>
        <w:rPr>
          <w:rFonts w:hint="eastAsia" w:ascii="宋体" w:hAnsi="宋体"/>
          <w:color w:val="000000"/>
          <w:szCs w:val="21"/>
        </w:rPr>
        <w:t>更改为“</w:t>
      </w:r>
      <w:r>
        <w:rPr>
          <w:rFonts w:hint="eastAsia" w:ascii="宋体" w:hAnsi="宋体"/>
        </w:rPr>
        <w:t>按技术指标</w:t>
      </w:r>
      <w:r>
        <w:rPr>
          <w:rFonts w:ascii="宋体" w:hAnsi="宋体"/>
        </w:rPr>
        <w:t>的差别分为</w:t>
      </w:r>
      <w:r>
        <w:rPr>
          <w:rFonts w:hint="eastAsia" w:ascii="宋体" w:hAnsi="宋体"/>
        </w:rPr>
        <w:t>4级</w:t>
      </w:r>
      <w:r>
        <w:rPr>
          <w:rFonts w:ascii="宋体" w:hAnsi="宋体"/>
          <w:color w:val="000000"/>
          <w:szCs w:val="21"/>
        </w:rPr>
        <w:t>”</w:t>
      </w:r>
      <w:r>
        <w:rPr>
          <w:rFonts w:hint="eastAsia" w:ascii="宋体" w:hAnsi="宋体"/>
          <w:color w:val="000000"/>
          <w:szCs w:val="21"/>
        </w:rPr>
        <w:t>（见4.2,2014年</w:t>
      </w:r>
      <w:r>
        <w:rPr>
          <w:rFonts w:ascii="宋体" w:hAnsi="宋体"/>
          <w:color w:val="000000"/>
          <w:szCs w:val="21"/>
        </w:rPr>
        <w:t>版</w:t>
      </w:r>
      <w:r>
        <w:rPr>
          <w:rFonts w:hint="eastAsia" w:ascii="宋体" w:hAnsi="宋体"/>
          <w:color w:val="000000"/>
          <w:szCs w:val="21"/>
        </w:rPr>
        <w:t>4.1.2）；</w:t>
      </w:r>
    </w:p>
    <w:p>
      <w:pPr>
        <w:pStyle w:val="168"/>
        <w:numPr>
          <w:ilvl w:val="1"/>
          <w:numId w:val="19"/>
        </w:numPr>
        <w:ind w:firstLineChars="0"/>
        <w:rPr>
          <w:rFonts w:ascii="宋体" w:hAnsi="宋体"/>
          <w:szCs w:val="21"/>
        </w:rPr>
      </w:pPr>
      <w:r>
        <w:rPr>
          <w:rFonts w:hint="eastAsia" w:ascii="宋体" w:hAnsi="宋体"/>
          <w:szCs w:val="21"/>
        </w:rPr>
        <w:t>更改了不同</w:t>
      </w:r>
      <w:r>
        <w:rPr>
          <w:rFonts w:ascii="宋体" w:hAnsi="宋体"/>
          <w:szCs w:val="21"/>
        </w:rPr>
        <w:t>等级电子级多晶硅</w:t>
      </w:r>
      <w:r>
        <w:rPr>
          <w:rFonts w:hint="eastAsia" w:ascii="宋体" w:hAnsi="宋体"/>
          <w:szCs w:val="21"/>
        </w:rPr>
        <w:t>的施主杂质含量</w:t>
      </w:r>
      <w:r>
        <w:rPr>
          <w:rFonts w:ascii="宋体" w:hAnsi="宋体"/>
          <w:szCs w:val="21"/>
        </w:rPr>
        <w:t>、</w:t>
      </w:r>
      <w:r>
        <w:rPr>
          <w:rFonts w:hint="eastAsia" w:ascii="宋体" w:hAnsi="宋体"/>
          <w:szCs w:val="21"/>
        </w:rPr>
        <w:t>受主</w:t>
      </w:r>
      <w:r>
        <w:rPr>
          <w:rFonts w:ascii="宋体" w:hAnsi="宋体"/>
          <w:szCs w:val="21"/>
        </w:rPr>
        <w:t>杂质</w:t>
      </w:r>
      <w:r>
        <w:rPr>
          <w:rFonts w:hint="eastAsia" w:ascii="宋体" w:hAnsi="宋体"/>
          <w:szCs w:val="21"/>
        </w:rPr>
        <w:t>含量</w:t>
      </w:r>
      <w:r>
        <w:rPr>
          <w:rFonts w:ascii="宋体" w:hAnsi="宋体"/>
          <w:szCs w:val="21"/>
        </w:rPr>
        <w:t>、</w:t>
      </w:r>
      <w:r>
        <w:rPr>
          <w:rFonts w:hint="eastAsia" w:ascii="宋体" w:hAnsi="宋体"/>
          <w:szCs w:val="21"/>
        </w:rPr>
        <w:t>碳含量、基体</w:t>
      </w:r>
      <w:r>
        <w:rPr>
          <w:rFonts w:ascii="宋体" w:hAnsi="宋体"/>
          <w:szCs w:val="21"/>
        </w:rPr>
        <w:t>金属杂质</w:t>
      </w:r>
      <w:r>
        <w:rPr>
          <w:rFonts w:hint="eastAsia" w:ascii="宋体" w:hAnsi="宋体"/>
          <w:szCs w:val="21"/>
        </w:rPr>
        <w:t>含量</w:t>
      </w:r>
      <w:r>
        <w:rPr>
          <w:rFonts w:ascii="宋体" w:hAnsi="宋体"/>
          <w:szCs w:val="21"/>
        </w:rPr>
        <w:t>、</w:t>
      </w:r>
      <w:r>
        <w:rPr>
          <w:rFonts w:hint="eastAsia" w:ascii="宋体" w:hAnsi="宋体"/>
          <w:szCs w:val="21"/>
        </w:rPr>
        <w:t>表面</w:t>
      </w:r>
      <w:r>
        <w:rPr>
          <w:rFonts w:ascii="宋体" w:hAnsi="宋体"/>
          <w:szCs w:val="21"/>
        </w:rPr>
        <w:t>金属</w:t>
      </w:r>
      <w:r>
        <w:rPr>
          <w:rFonts w:hint="eastAsia" w:ascii="宋体" w:hAnsi="宋体"/>
          <w:szCs w:val="21"/>
        </w:rPr>
        <w:t>杂质含量的</w:t>
      </w:r>
      <w:r>
        <w:rPr>
          <w:rFonts w:ascii="宋体" w:hAnsi="宋体"/>
          <w:szCs w:val="21"/>
        </w:rPr>
        <w:t>技术指标</w:t>
      </w:r>
      <w:r>
        <w:rPr>
          <w:rFonts w:hint="eastAsia" w:ascii="宋体" w:hAnsi="宋体"/>
          <w:szCs w:val="21"/>
        </w:rPr>
        <w:t>，删除了少数</w:t>
      </w:r>
      <w:r>
        <w:rPr>
          <w:rFonts w:ascii="宋体" w:hAnsi="宋体"/>
          <w:szCs w:val="21"/>
        </w:rPr>
        <w:t>载流子寿命</w:t>
      </w:r>
      <w:r>
        <w:rPr>
          <w:rFonts w:hint="eastAsia" w:ascii="宋体" w:hAnsi="宋体"/>
          <w:szCs w:val="21"/>
        </w:rPr>
        <w:t>、</w:t>
      </w:r>
      <w:r>
        <w:rPr>
          <w:rFonts w:ascii="宋体" w:hAnsi="宋体"/>
          <w:szCs w:val="21"/>
        </w:rPr>
        <w:t>氧</w:t>
      </w:r>
      <w:r>
        <w:rPr>
          <w:rFonts w:hint="eastAsia" w:ascii="宋体" w:hAnsi="宋体"/>
          <w:szCs w:val="21"/>
        </w:rPr>
        <w:t>含量</w:t>
      </w:r>
      <w:r>
        <w:rPr>
          <w:rFonts w:ascii="宋体" w:hAnsi="宋体"/>
          <w:szCs w:val="21"/>
        </w:rPr>
        <w:t>指标要求</w:t>
      </w:r>
      <w:r>
        <w:rPr>
          <w:rFonts w:hint="eastAsia" w:ascii="宋体" w:hAnsi="宋体"/>
          <w:szCs w:val="21"/>
        </w:rPr>
        <w:t>（见表1，2014年版的表1）；</w:t>
      </w:r>
    </w:p>
    <w:p>
      <w:pPr>
        <w:pStyle w:val="168"/>
        <w:numPr>
          <w:ilvl w:val="1"/>
          <w:numId w:val="19"/>
        </w:numPr>
        <w:ind w:firstLineChars="0"/>
        <w:rPr>
          <w:rFonts w:ascii="宋体" w:hAnsi="宋体"/>
          <w:szCs w:val="21"/>
        </w:rPr>
      </w:pPr>
      <w:r>
        <w:rPr>
          <w:rFonts w:hint="eastAsia" w:ascii="宋体" w:hAnsi="宋体"/>
          <w:szCs w:val="21"/>
        </w:rPr>
        <w:t>更改了多晶硅的结构要求，将“多晶硅应无氧化夹层”更改为“多晶硅应无氧化夹层和温度夹层”（见5.3，2014年版的4.4）；</w:t>
      </w:r>
    </w:p>
    <w:p>
      <w:pPr>
        <w:pStyle w:val="168"/>
        <w:numPr>
          <w:ilvl w:val="1"/>
          <w:numId w:val="19"/>
        </w:numPr>
        <w:ind w:firstLineChars="0"/>
        <w:rPr>
          <w:rFonts w:ascii="宋体" w:hAnsi="宋体"/>
          <w:szCs w:val="21"/>
        </w:rPr>
      </w:pPr>
      <w:r>
        <w:rPr>
          <w:rFonts w:hint="eastAsia" w:ascii="宋体" w:hAnsi="宋体"/>
          <w:szCs w:val="21"/>
        </w:rPr>
        <w:t>更改了多晶硅</w:t>
      </w:r>
      <w:r>
        <w:rPr>
          <w:rFonts w:ascii="宋体" w:hAnsi="宋体"/>
          <w:szCs w:val="21"/>
        </w:rPr>
        <w:t>的试验方法</w:t>
      </w:r>
      <w:r>
        <w:rPr>
          <w:rFonts w:hint="eastAsia" w:ascii="宋体" w:hAnsi="宋体"/>
          <w:szCs w:val="21"/>
        </w:rPr>
        <w:t>（见第</w:t>
      </w:r>
      <w:r>
        <w:rPr>
          <w:rFonts w:ascii="宋体" w:hAnsi="宋体"/>
          <w:szCs w:val="21"/>
        </w:rPr>
        <w:t>6</w:t>
      </w:r>
      <w:r>
        <w:rPr>
          <w:rFonts w:hint="eastAsia" w:ascii="宋体" w:hAnsi="宋体"/>
          <w:szCs w:val="21"/>
        </w:rPr>
        <w:t>章，</w:t>
      </w:r>
      <w:r>
        <w:rPr>
          <w:rFonts w:ascii="宋体" w:hAnsi="宋体"/>
          <w:szCs w:val="21"/>
        </w:rPr>
        <w:t>2014</w:t>
      </w:r>
      <w:r>
        <w:rPr>
          <w:rFonts w:hint="eastAsia" w:ascii="宋体" w:hAnsi="宋体"/>
          <w:szCs w:val="21"/>
        </w:rPr>
        <w:t>年版的第</w:t>
      </w:r>
      <w:r>
        <w:rPr>
          <w:rFonts w:ascii="宋体" w:hAnsi="宋体"/>
          <w:szCs w:val="21"/>
        </w:rPr>
        <w:t>5</w:t>
      </w:r>
      <w:r>
        <w:rPr>
          <w:rFonts w:hint="eastAsia" w:ascii="宋体" w:hAnsi="宋体"/>
          <w:szCs w:val="21"/>
        </w:rPr>
        <w:t>章）。</w:t>
      </w:r>
    </w:p>
    <w:p>
      <w:pPr>
        <w:pStyle w:val="32"/>
        <w:rPr>
          <w:rFonts w:hAnsi="宋体"/>
          <w:color w:val="000000"/>
          <w:szCs w:val="21"/>
        </w:rPr>
      </w:pPr>
      <w:r>
        <w:rPr>
          <w:rFonts w:hint="eastAsia" w:hAnsi="宋体"/>
          <w:color w:val="000000"/>
          <w:szCs w:val="21"/>
        </w:rPr>
        <w:t>本文件由全国半导体设备和材料标准化技术委员会（SAC/TC</w:t>
      </w:r>
      <w:r>
        <w:rPr>
          <w:rFonts w:hAnsi="宋体"/>
          <w:color w:val="000000"/>
          <w:szCs w:val="21"/>
        </w:rPr>
        <w:t xml:space="preserve"> </w:t>
      </w:r>
      <w:r>
        <w:rPr>
          <w:rFonts w:hint="eastAsia" w:hAnsi="宋体"/>
          <w:color w:val="000000"/>
          <w:szCs w:val="21"/>
        </w:rPr>
        <w:t>203）与全国半导体设备和材料标准化技术委员会材料分技术委员会（SAC/TC</w:t>
      </w:r>
      <w:r>
        <w:rPr>
          <w:rFonts w:hAnsi="宋体"/>
          <w:color w:val="000000"/>
          <w:szCs w:val="21"/>
        </w:rPr>
        <w:t xml:space="preserve"> </w:t>
      </w:r>
      <w:r>
        <w:rPr>
          <w:rFonts w:hint="eastAsia" w:hAnsi="宋体"/>
          <w:color w:val="000000"/>
          <w:szCs w:val="21"/>
        </w:rPr>
        <w:t>203/SC2）提出并归口。</w:t>
      </w:r>
    </w:p>
    <w:p>
      <w:pPr>
        <w:pStyle w:val="32"/>
        <w:rPr>
          <w:rFonts w:hAnsi="宋体"/>
          <w:color w:val="000000"/>
          <w:szCs w:val="21"/>
        </w:rPr>
      </w:pPr>
      <w:r>
        <w:rPr>
          <w:rFonts w:hint="eastAsia" w:hAnsi="宋体"/>
          <w:color w:val="000000"/>
          <w:szCs w:val="21"/>
        </w:rPr>
        <w:t>本文件起草单位：</w:t>
      </w:r>
      <w:r>
        <w:rPr>
          <w:rFonts w:hint="eastAsia" w:hAnsi="宋体"/>
          <w:szCs w:val="21"/>
        </w:rPr>
        <w:t>江苏鑫华半导体科技股份有限公司、……</w:t>
      </w:r>
    </w:p>
    <w:p>
      <w:pPr>
        <w:pStyle w:val="32"/>
        <w:rPr>
          <w:rFonts w:hint="eastAsia" w:hAnsi="宋体" w:eastAsia="宋体"/>
          <w:szCs w:val="21"/>
          <w:lang w:eastAsia="zh-CN"/>
        </w:rPr>
      </w:pPr>
      <w:r>
        <w:rPr>
          <w:rFonts w:hint="eastAsia" w:hAnsi="宋体"/>
          <w:color w:val="000000"/>
          <w:szCs w:val="21"/>
        </w:rPr>
        <w:t>本文件主要起草人：</w:t>
      </w:r>
      <w:r>
        <w:rPr>
          <w:rFonts w:hAnsi="宋体"/>
          <w:szCs w:val="21"/>
        </w:rPr>
        <w:t>……</w:t>
      </w:r>
    </w:p>
    <w:p>
      <w:pPr>
        <w:pStyle w:val="32"/>
        <w:rPr>
          <w:rFonts w:hAnsi="宋体"/>
          <w:szCs w:val="21"/>
        </w:rPr>
      </w:pPr>
      <w:r>
        <w:rPr>
          <w:rFonts w:hint="eastAsia" w:hAnsi="宋体"/>
          <w:szCs w:val="21"/>
        </w:rPr>
        <w:t>本文件及其所代替文件的历次版本发布情况为：</w:t>
      </w:r>
    </w:p>
    <w:p>
      <w:pPr>
        <w:pStyle w:val="32"/>
        <w:rPr>
          <w:rFonts w:hAnsi="宋体"/>
          <w:szCs w:val="21"/>
        </w:rPr>
      </w:pPr>
      <w:r>
        <w:rPr>
          <w:rFonts w:ascii="Times New Roman"/>
          <w:szCs w:val="21"/>
        </w:rPr>
        <w:t>——</w:t>
      </w:r>
      <w:r>
        <w:rPr>
          <w:rFonts w:hAnsi="宋体"/>
          <w:szCs w:val="21"/>
        </w:rPr>
        <w:t>1991</w:t>
      </w:r>
      <w:r>
        <w:rPr>
          <w:rFonts w:hint="eastAsia" w:hAnsi="宋体"/>
          <w:szCs w:val="21"/>
        </w:rPr>
        <w:t>年</w:t>
      </w:r>
      <w:r>
        <w:rPr>
          <w:rFonts w:hAnsi="宋体"/>
          <w:szCs w:val="21"/>
        </w:rPr>
        <w:t>首次发布</w:t>
      </w:r>
      <w:r>
        <w:rPr>
          <w:rFonts w:hint="eastAsia" w:hAnsi="宋体"/>
          <w:szCs w:val="21"/>
        </w:rPr>
        <w:t>为</w:t>
      </w:r>
      <w:r>
        <w:rPr>
          <w:rFonts w:hAnsi="宋体"/>
          <w:szCs w:val="21"/>
        </w:rPr>
        <w:t>GB/T 12963-1991</w:t>
      </w:r>
      <w:r>
        <w:rPr>
          <w:rFonts w:hint="eastAsia" w:hAnsi="宋体"/>
          <w:szCs w:val="21"/>
        </w:rPr>
        <w:t>，</w:t>
      </w:r>
      <w:r>
        <w:rPr>
          <w:rFonts w:hAnsi="宋体"/>
          <w:szCs w:val="21"/>
        </w:rPr>
        <w:t>1996</w:t>
      </w:r>
      <w:r>
        <w:rPr>
          <w:rFonts w:hint="eastAsia" w:hAnsi="宋体"/>
          <w:szCs w:val="21"/>
        </w:rPr>
        <w:t>年</w:t>
      </w:r>
      <w:r>
        <w:rPr>
          <w:rFonts w:hAnsi="宋体"/>
          <w:szCs w:val="21"/>
        </w:rPr>
        <w:t>第一次修订，2009</w:t>
      </w:r>
      <w:r>
        <w:rPr>
          <w:rFonts w:hint="eastAsia" w:hAnsi="宋体"/>
          <w:szCs w:val="21"/>
        </w:rPr>
        <w:t>年</w:t>
      </w:r>
      <w:r>
        <w:rPr>
          <w:rFonts w:hAnsi="宋体"/>
          <w:szCs w:val="21"/>
        </w:rPr>
        <w:t>第二次修订</w:t>
      </w:r>
      <w:r>
        <w:rPr>
          <w:rFonts w:hint="eastAsia" w:hAnsi="宋体"/>
          <w:szCs w:val="21"/>
        </w:rPr>
        <w:t>，</w:t>
      </w:r>
      <w:r>
        <w:rPr>
          <w:rFonts w:hAnsi="宋体"/>
          <w:szCs w:val="21"/>
        </w:rPr>
        <w:t>2014</w:t>
      </w:r>
      <w:r>
        <w:rPr>
          <w:rFonts w:hint="eastAsia" w:hAnsi="宋体"/>
          <w:szCs w:val="21"/>
        </w:rPr>
        <w:t>年</w:t>
      </w:r>
      <w:r>
        <w:rPr>
          <w:rFonts w:hAnsi="宋体"/>
          <w:szCs w:val="21"/>
        </w:rPr>
        <w:t>第三次修订</w:t>
      </w:r>
      <w:r>
        <w:rPr>
          <w:rFonts w:hint="eastAsia" w:hAnsi="宋体"/>
          <w:szCs w:val="21"/>
        </w:rPr>
        <w:t>；</w:t>
      </w:r>
    </w:p>
    <w:p>
      <w:pPr>
        <w:pStyle w:val="32"/>
        <w:rPr>
          <w:szCs w:val="21"/>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ascii="Times New Roman"/>
          <w:szCs w:val="21"/>
        </w:rPr>
        <w:t>——</w:t>
      </w:r>
      <w:r>
        <w:rPr>
          <w:rFonts w:hint="eastAsia" w:hAnsi="宋体"/>
          <w:szCs w:val="21"/>
        </w:rPr>
        <w:t>本次</w:t>
      </w:r>
      <w:r>
        <w:rPr>
          <w:rFonts w:hAnsi="宋体"/>
          <w:szCs w:val="21"/>
        </w:rPr>
        <w:t>为第</w:t>
      </w:r>
      <w:r>
        <w:rPr>
          <w:rFonts w:hint="eastAsia" w:hAnsi="宋体"/>
          <w:szCs w:val="21"/>
        </w:rPr>
        <w:t>四次</w:t>
      </w:r>
      <w:r>
        <w:rPr>
          <w:rFonts w:hAnsi="宋体"/>
          <w:szCs w:val="21"/>
        </w:rPr>
        <w:t>修订</w:t>
      </w:r>
      <w:r>
        <w:rPr>
          <w:rFonts w:ascii="Times New Roman"/>
          <w:szCs w:val="21"/>
        </w:rPr>
        <w:t>。</w:t>
      </w:r>
      <w:bookmarkStart w:id="10" w:name="_GoBack"/>
      <w:bookmarkEnd w:id="10"/>
    </w:p>
    <w:p>
      <w:pPr>
        <w:pStyle w:val="59"/>
        <w:rPr>
          <w:color w:val="000000"/>
        </w:rPr>
      </w:pPr>
      <w:r>
        <w:rPr>
          <w:rFonts w:hint="eastAsia"/>
          <w:color w:val="000000"/>
        </w:rPr>
        <w:t>电子级多晶硅</w:t>
      </w:r>
    </w:p>
    <w:p>
      <w:pPr>
        <w:pStyle w:val="54"/>
        <w:spacing w:before="312" w:after="312"/>
        <w:ind w:left="0"/>
        <w:rPr>
          <w:color w:val="000000"/>
        </w:rPr>
      </w:pPr>
      <w:r>
        <w:rPr>
          <w:rFonts w:hint="eastAsia"/>
          <w:color w:val="000000"/>
        </w:rPr>
        <w:t>范围</w:t>
      </w:r>
    </w:p>
    <w:p>
      <w:pPr>
        <w:pStyle w:val="32"/>
      </w:pPr>
      <w:r>
        <w:rPr>
          <w:rFonts w:hint="eastAsia"/>
          <w:color w:val="000000"/>
        </w:rPr>
        <w:t>本文件规定了电子级多晶硅的</w:t>
      </w:r>
      <w:r>
        <w:rPr>
          <w:rFonts w:hint="eastAsia"/>
          <w:color w:val="000000" w:themeColor="text1"/>
          <w14:textFill>
            <w14:solidFill>
              <w14:schemeClr w14:val="tx1"/>
            </w14:solidFill>
          </w14:textFill>
        </w:rPr>
        <w:t>牌号和类别</w:t>
      </w:r>
      <w:r>
        <w:rPr>
          <w:rFonts w:hint="eastAsia"/>
          <w:color w:val="FF0000"/>
        </w:rPr>
        <w:t>、</w:t>
      </w:r>
      <w:r>
        <w:rPr>
          <w:rFonts w:hint="eastAsia"/>
          <w:color w:val="000000"/>
        </w:rPr>
        <w:t>技术要求、试验方法</w:t>
      </w:r>
      <w:r>
        <w:rPr>
          <w:rFonts w:hint="eastAsia"/>
        </w:rPr>
        <w:t>、检验规则、标志、包装、运输、贮存、随行文件和订货单内容。</w:t>
      </w:r>
    </w:p>
    <w:p>
      <w:pPr>
        <w:pStyle w:val="32"/>
      </w:pPr>
      <w:r>
        <w:rPr>
          <w:rFonts w:hint="eastAsia"/>
        </w:rPr>
        <w:t>本文件适用于以氯硅烷、硅烷制得</w:t>
      </w:r>
      <w:r>
        <w:t>的</w:t>
      </w:r>
      <w:r>
        <w:rPr>
          <w:rFonts w:hint="eastAsia"/>
        </w:rPr>
        <w:t>直拉</w:t>
      </w:r>
      <w:r>
        <w:t>（</w:t>
      </w:r>
      <w:r>
        <w:rPr>
          <w:rFonts w:hint="eastAsia"/>
        </w:rPr>
        <w:t>CZ</w:t>
      </w:r>
      <w:r>
        <w:t>）</w:t>
      </w:r>
      <w:r>
        <w:rPr>
          <w:rFonts w:hint="eastAsia"/>
        </w:rPr>
        <w:t>用电子级多晶硅（以下</w:t>
      </w:r>
      <w:r>
        <w:t>简称</w:t>
      </w:r>
      <w:r>
        <w:rPr>
          <w:rFonts w:asciiTheme="minorEastAsia" w:hAnsiTheme="minorEastAsia" w:eastAsiaTheme="minorEastAsia"/>
        </w:rPr>
        <w:t>“多晶硅”</w:t>
      </w:r>
      <w:r>
        <w:t>）</w:t>
      </w:r>
      <w:r>
        <w:rPr>
          <w:rFonts w:hint="eastAsia"/>
        </w:rPr>
        <w:t>。</w:t>
      </w:r>
    </w:p>
    <w:p>
      <w:pPr>
        <w:pStyle w:val="54"/>
        <w:spacing w:before="312" w:after="312"/>
        <w:ind w:left="0"/>
        <w:rPr>
          <w:color w:val="000000"/>
        </w:rPr>
      </w:pPr>
      <w:r>
        <w:rPr>
          <w:rFonts w:hint="eastAsia"/>
          <w:color w:val="000000"/>
        </w:rPr>
        <w:t>规范性引用文件</w:t>
      </w:r>
    </w:p>
    <w:p>
      <w:pPr>
        <w:pStyle w:val="32"/>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2"/>
      </w:pPr>
      <w:r>
        <w:t xml:space="preserve">GB/T 1550  </w:t>
      </w:r>
      <w:r>
        <w:rPr>
          <w:rFonts w:hint="eastAsia"/>
        </w:rPr>
        <w:t>非本征半导体材料导电类型测试方法</w:t>
      </w:r>
    </w:p>
    <w:p>
      <w:pPr>
        <w:pStyle w:val="32"/>
      </w:pPr>
      <w:r>
        <w:t xml:space="preserve">GB/T 1551  </w:t>
      </w:r>
      <w:r>
        <w:rPr>
          <w:rFonts w:hint="eastAsia"/>
        </w:rPr>
        <w:t>硅单晶电阻率的测定  直排四探针法和直流两探针法</w:t>
      </w:r>
    </w:p>
    <w:p>
      <w:pPr>
        <w:pStyle w:val="32"/>
      </w:pPr>
      <w:r>
        <w:t xml:space="preserve">GB/T 1553  </w:t>
      </w:r>
      <w:r>
        <w:rPr>
          <w:rFonts w:hint="eastAsia"/>
        </w:rPr>
        <w:t xml:space="preserve">硅和锗体内少数载流子寿命测定 </w:t>
      </w:r>
      <w:r>
        <w:t xml:space="preserve"> </w:t>
      </w:r>
      <w:r>
        <w:rPr>
          <w:rFonts w:hint="eastAsia"/>
        </w:rPr>
        <w:t>光电导衰减法</w:t>
      </w:r>
    </w:p>
    <w:p>
      <w:pPr>
        <w:pStyle w:val="32"/>
      </w:pPr>
      <w:r>
        <w:t xml:space="preserve">GB/T 1557  </w:t>
      </w:r>
      <w:r>
        <w:rPr>
          <w:rFonts w:hint="eastAsia"/>
        </w:rPr>
        <w:t>硅晶体</w:t>
      </w:r>
      <w:r>
        <w:t>中间隙氧含量的红外吸收测量方法</w:t>
      </w:r>
    </w:p>
    <w:p>
      <w:pPr>
        <w:pStyle w:val="32"/>
      </w:pPr>
      <w:r>
        <w:t xml:space="preserve">GB/T 1558  </w:t>
      </w:r>
      <w:r>
        <w:rPr>
          <w:rFonts w:hint="eastAsia"/>
        </w:rPr>
        <w:t>硅</w:t>
      </w:r>
      <w:r>
        <w:t>中代位碳</w:t>
      </w:r>
      <w:r>
        <w:rPr>
          <w:rFonts w:hint="eastAsia"/>
        </w:rPr>
        <w:t>原子</w:t>
      </w:r>
      <w:r>
        <w:t>含量红外吸收测量方法</w:t>
      </w:r>
    </w:p>
    <w:p>
      <w:pPr>
        <w:pStyle w:val="32"/>
      </w:pPr>
      <w:r>
        <w:t xml:space="preserve">GB/T 4059  </w:t>
      </w:r>
      <w:r>
        <w:rPr>
          <w:rFonts w:hint="eastAsia"/>
        </w:rPr>
        <w:t>硅</w:t>
      </w:r>
      <w:r>
        <w:t>多晶气氛区熔基磷</w:t>
      </w:r>
      <w:r>
        <w:rPr>
          <w:rFonts w:hint="eastAsia"/>
        </w:rPr>
        <w:t>检验</w:t>
      </w:r>
      <w:r>
        <w:t>方法</w:t>
      </w:r>
    </w:p>
    <w:p>
      <w:pPr>
        <w:pStyle w:val="32"/>
      </w:pPr>
      <w:r>
        <w:t xml:space="preserve">GB/T 4060  </w:t>
      </w:r>
      <w:r>
        <w:rPr>
          <w:rFonts w:hint="eastAsia"/>
        </w:rPr>
        <w:t>硅</w:t>
      </w:r>
      <w:r>
        <w:t>多晶</w:t>
      </w:r>
      <w:r>
        <w:rPr>
          <w:rFonts w:hint="eastAsia"/>
        </w:rPr>
        <w:t>真空</w:t>
      </w:r>
      <w:r>
        <w:t>区熔基</w:t>
      </w:r>
      <w:r>
        <w:rPr>
          <w:rFonts w:hint="eastAsia"/>
        </w:rPr>
        <w:t>硼检验</w:t>
      </w:r>
      <w:r>
        <w:t>方法</w:t>
      </w:r>
    </w:p>
    <w:p>
      <w:pPr>
        <w:pStyle w:val="32"/>
      </w:pPr>
      <w:r>
        <w:t xml:space="preserve">GB/T 4061  </w:t>
      </w:r>
      <w:r>
        <w:rPr>
          <w:rFonts w:hint="eastAsia"/>
        </w:rPr>
        <w:t>硅多晶断面夹层化学腐蚀检验方法</w:t>
      </w:r>
    </w:p>
    <w:p>
      <w:pPr>
        <w:pStyle w:val="32"/>
      </w:pPr>
      <w:r>
        <w:t xml:space="preserve">GB/T 14264  </w:t>
      </w:r>
      <w:r>
        <w:rPr>
          <w:rFonts w:hint="eastAsia"/>
        </w:rPr>
        <w:t>半导体材料术语</w:t>
      </w:r>
    </w:p>
    <w:p>
      <w:pPr>
        <w:pStyle w:val="32"/>
      </w:pPr>
      <w:r>
        <w:t xml:space="preserve">GB/T 14844  </w:t>
      </w:r>
      <w:r>
        <w:rPr>
          <w:rFonts w:hint="eastAsia"/>
        </w:rPr>
        <w:t>半导体材料牌号</w:t>
      </w:r>
      <w:r>
        <w:t>表示方法</w:t>
      </w:r>
    </w:p>
    <w:p>
      <w:pPr>
        <w:pStyle w:val="32"/>
      </w:pPr>
      <w:r>
        <w:t xml:space="preserve">GB/T 24574  </w:t>
      </w:r>
      <w:r>
        <w:rPr>
          <w:rFonts w:hint="eastAsia"/>
        </w:rPr>
        <w:t>硅单晶中</w:t>
      </w:r>
      <w:r>
        <w:t>III</w:t>
      </w:r>
      <w:r>
        <w:rPr>
          <w:rFonts w:ascii="Times New Roman"/>
        </w:rPr>
        <w:t>-</w:t>
      </w:r>
      <w:r>
        <w:t>V</w:t>
      </w:r>
      <w:r>
        <w:rPr>
          <w:rFonts w:hint="eastAsia"/>
        </w:rPr>
        <w:t>族杂质的光致发光测试方法</w:t>
      </w:r>
    </w:p>
    <w:p>
      <w:pPr>
        <w:pStyle w:val="32"/>
      </w:pPr>
      <w:r>
        <w:t xml:space="preserve">GB/T 24581  </w:t>
      </w:r>
      <w:r>
        <w:rPr>
          <w:rFonts w:hint="eastAsia"/>
        </w:rPr>
        <w:t>硅单晶中III、V族杂质含量的测定 低温傅立叶变换红外光谱法</w:t>
      </w:r>
    </w:p>
    <w:p>
      <w:pPr>
        <w:pStyle w:val="32"/>
      </w:pPr>
      <w:r>
        <w:t xml:space="preserve">GB/T 24582  </w:t>
      </w:r>
      <w:r>
        <w:rPr>
          <w:rFonts w:hint="eastAsia"/>
        </w:rPr>
        <w:t>酸浸取</w:t>
      </w:r>
      <w:r>
        <w:t>-</w:t>
      </w:r>
      <w:r>
        <w:rPr>
          <w:rFonts w:hint="eastAsia"/>
        </w:rPr>
        <w:t>电感耦合等离子质谱仪测定多晶硅表面金属杂质</w:t>
      </w:r>
    </w:p>
    <w:p>
      <w:pPr>
        <w:pStyle w:val="32"/>
      </w:pPr>
      <w:r>
        <w:t xml:space="preserve">GB/T 29057  </w:t>
      </w:r>
      <w:r>
        <w:rPr>
          <w:rFonts w:hint="eastAsia"/>
        </w:rPr>
        <w:t>用区熔拉晶法和光谱分析法评价多晶硅棒的</w:t>
      </w:r>
      <w:r>
        <w:t>规程</w:t>
      </w:r>
    </w:p>
    <w:p>
      <w:pPr>
        <w:pStyle w:val="32"/>
      </w:pPr>
      <w:r>
        <w:t xml:space="preserve">GB/T 35306  </w:t>
      </w:r>
      <w:r>
        <w:rPr>
          <w:rFonts w:hint="eastAsia"/>
        </w:rPr>
        <w:t>硅单晶中碳、氧含量的测定 低温傅里叶变换红外光谱法</w:t>
      </w:r>
    </w:p>
    <w:p>
      <w:pPr>
        <w:pStyle w:val="32"/>
        <w:rPr>
          <w:color w:val="000000"/>
        </w:rPr>
      </w:pPr>
      <w:r>
        <w:t xml:space="preserve">GB/T 37049  </w:t>
      </w:r>
      <w:r>
        <w:rPr>
          <w:rFonts w:hint="eastAsia"/>
        </w:rPr>
        <w:t>电子级多晶</w:t>
      </w:r>
      <w:r>
        <w:rPr>
          <w:rFonts w:hint="eastAsia"/>
          <w:color w:val="000000"/>
        </w:rPr>
        <w:t>硅中基</w:t>
      </w:r>
      <w:r>
        <w:rPr>
          <w:color w:val="000000"/>
        </w:rPr>
        <w:t>体金属杂质</w:t>
      </w:r>
      <w:r>
        <w:rPr>
          <w:rFonts w:hint="eastAsia"/>
          <w:color w:val="000000"/>
        </w:rPr>
        <w:t>含量</w:t>
      </w:r>
      <w:r>
        <w:rPr>
          <w:color w:val="000000"/>
        </w:rPr>
        <w:t>的</w:t>
      </w:r>
      <w:r>
        <w:rPr>
          <w:rFonts w:hint="eastAsia"/>
          <w:color w:val="000000"/>
        </w:rPr>
        <w:t>测定 电感</w:t>
      </w:r>
      <w:r>
        <w:rPr>
          <w:color w:val="000000"/>
        </w:rPr>
        <w:t>耦合等离子体质谱法</w:t>
      </w:r>
    </w:p>
    <w:p>
      <w:pPr>
        <w:pStyle w:val="54"/>
        <w:spacing w:before="312" w:after="312"/>
        <w:ind w:left="0"/>
        <w:rPr>
          <w:color w:val="000000"/>
        </w:rPr>
      </w:pPr>
      <w:r>
        <w:rPr>
          <w:rFonts w:hint="eastAsia"/>
          <w:color w:val="000000"/>
        </w:rPr>
        <w:t>术语和定义</w:t>
      </w:r>
    </w:p>
    <w:p>
      <w:pPr>
        <w:pStyle w:val="32"/>
        <w:rPr>
          <w:color w:val="000000"/>
        </w:rPr>
      </w:pPr>
      <w:r>
        <w:rPr>
          <w:rFonts w:hint="eastAsia"/>
          <w:color w:val="000000"/>
        </w:rPr>
        <w:t>GB/T 14264界定的术语和定义适用于本文件。</w:t>
      </w:r>
    </w:p>
    <w:p>
      <w:pPr>
        <w:pStyle w:val="54"/>
        <w:spacing w:before="312" w:after="312"/>
        <w:ind w:left="0"/>
        <w:rPr>
          <w:color w:val="000000"/>
        </w:rPr>
      </w:pPr>
      <w:r>
        <w:rPr>
          <w:rFonts w:hint="eastAsia"/>
          <w:color w:val="000000"/>
        </w:rPr>
        <w:t>牌号和类别</w:t>
      </w:r>
    </w:p>
    <w:p>
      <w:pPr>
        <w:pStyle w:val="51"/>
        <w:spacing w:beforeLines="0" w:afterLines="0"/>
        <w:ind w:left="0"/>
        <w:rPr>
          <w:rFonts w:ascii="宋体" w:hAnsi="宋体" w:eastAsia="宋体"/>
        </w:rPr>
      </w:pPr>
      <w:r>
        <w:rPr>
          <w:rFonts w:ascii="宋体" w:hAnsi="宋体" w:eastAsia="宋体"/>
        </w:rPr>
        <w:t>多晶硅</w:t>
      </w:r>
      <w:r>
        <w:rPr>
          <w:rFonts w:hint="eastAsia" w:ascii="宋体" w:hAnsi="宋体" w:eastAsia="宋体"/>
        </w:rPr>
        <w:t>的</w:t>
      </w:r>
      <w:r>
        <w:rPr>
          <w:rFonts w:ascii="宋体" w:hAnsi="宋体" w:eastAsia="宋体"/>
        </w:rPr>
        <w:t>牌号</w:t>
      </w:r>
      <w:r>
        <w:rPr>
          <w:rFonts w:hint="eastAsia" w:ascii="宋体" w:hAnsi="宋体" w:eastAsia="宋体"/>
        </w:rPr>
        <w:t>表示按</w:t>
      </w:r>
      <w:r>
        <w:rPr>
          <w:rFonts w:ascii="宋体" w:hAnsi="宋体" w:eastAsia="宋体"/>
        </w:rPr>
        <w:t>GB/T 14844</w:t>
      </w:r>
      <w:r>
        <w:rPr>
          <w:rFonts w:hint="eastAsia" w:ascii="宋体" w:hAnsi="宋体" w:eastAsia="宋体"/>
        </w:rPr>
        <w:t>的规定进行。</w:t>
      </w:r>
    </w:p>
    <w:p>
      <w:pPr>
        <w:pStyle w:val="51"/>
        <w:spacing w:beforeLines="0" w:afterLines="0"/>
        <w:ind w:left="0"/>
        <w:rPr>
          <w:rFonts w:ascii="宋体" w:hAnsi="宋体" w:eastAsia="宋体"/>
        </w:rPr>
      </w:pPr>
      <w:r>
        <w:rPr>
          <w:rFonts w:hint="eastAsia" w:ascii="宋体" w:hAnsi="宋体" w:eastAsia="宋体"/>
        </w:rPr>
        <w:t>多晶硅按外形分为块状多晶硅和棒状多晶硅，按</w:t>
      </w:r>
      <w:r>
        <w:rPr>
          <w:rFonts w:ascii="宋体" w:hAnsi="宋体" w:eastAsia="宋体"/>
        </w:rPr>
        <w:t>导电类型分为n型和p</w:t>
      </w:r>
      <w:r>
        <w:rPr>
          <w:rFonts w:hint="eastAsia" w:ascii="宋体" w:hAnsi="宋体" w:eastAsia="宋体"/>
        </w:rPr>
        <w:t>型</w:t>
      </w:r>
      <w:r>
        <w:rPr>
          <w:rFonts w:ascii="宋体" w:hAnsi="宋体" w:eastAsia="宋体"/>
        </w:rPr>
        <w:t>，</w:t>
      </w:r>
      <w:r>
        <w:rPr>
          <w:rFonts w:hint="eastAsia" w:ascii="宋体" w:hAnsi="宋体" w:eastAsia="宋体"/>
        </w:rPr>
        <w:t>按技术</w:t>
      </w:r>
      <w:r>
        <w:rPr>
          <w:rFonts w:ascii="宋体" w:hAnsi="宋体" w:eastAsia="宋体"/>
        </w:rPr>
        <w:t>指标的差别分为</w:t>
      </w:r>
      <w:r>
        <w:rPr>
          <w:rFonts w:hint="eastAsia" w:ascii="宋体" w:hAnsi="宋体" w:eastAsia="宋体"/>
        </w:rPr>
        <w:t>4级</w:t>
      </w:r>
      <w:r>
        <w:rPr>
          <w:rFonts w:ascii="宋体" w:hAnsi="宋体" w:eastAsia="宋体"/>
        </w:rPr>
        <w:t>。</w:t>
      </w:r>
    </w:p>
    <w:p>
      <w:pPr>
        <w:pStyle w:val="54"/>
        <w:spacing w:before="312" w:after="312"/>
        <w:ind w:left="0"/>
        <w:rPr>
          <w:color w:val="000000"/>
        </w:rPr>
      </w:pPr>
      <w:r>
        <w:rPr>
          <w:rFonts w:hint="eastAsia"/>
          <w:color w:val="000000"/>
        </w:rPr>
        <w:t>技术要求</w:t>
      </w:r>
    </w:p>
    <w:p>
      <w:pPr>
        <w:pStyle w:val="51"/>
        <w:spacing w:before="156" w:after="156"/>
        <w:ind w:left="0"/>
      </w:pPr>
      <w:r>
        <w:rPr>
          <w:rFonts w:hint="eastAsia"/>
        </w:rPr>
        <w:t>技术指标</w:t>
      </w:r>
    </w:p>
    <w:p>
      <w:pPr>
        <w:ind w:firstLine="420" w:firstLineChars="200"/>
        <w:rPr>
          <w:rFonts w:asciiTheme="minorEastAsia" w:hAnsiTheme="minorEastAsia" w:eastAsiaTheme="minorEastAsia"/>
          <w:color w:val="020202"/>
          <w:kern w:val="0"/>
          <w:szCs w:val="21"/>
        </w:rPr>
      </w:pPr>
      <w:r>
        <w:rPr>
          <w:rFonts w:hint="eastAsia" w:asciiTheme="minorEastAsia" w:hAnsiTheme="minorEastAsia" w:eastAsiaTheme="minorEastAsia"/>
          <w:color w:val="020202"/>
          <w:szCs w:val="21"/>
        </w:rPr>
        <w:t>电子级多晶硅</w:t>
      </w:r>
      <w:r>
        <w:rPr>
          <w:rFonts w:asciiTheme="minorEastAsia" w:hAnsiTheme="minorEastAsia" w:eastAsiaTheme="minorEastAsia"/>
          <w:color w:val="020202"/>
          <w:szCs w:val="21"/>
        </w:rPr>
        <w:t>的等级及</w:t>
      </w:r>
      <w:r>
        <w:rPr>
          <w:rFonts w:hint="eastAsia" w:asciiTheme="minorEastAsia" w:hAnsiTheme="minorEastAsia" w:eastAsiaTheme="minorEastAsia"/>
          <w:color w:val="020202"/>
          <w:szCs w:val="21"/>
        </w:rPr>
        <w:t>相关</w:t>
      </w:r>
      <w:r>
        <w:rPr>
          <w:rFonts w:asciiTheme="minorEastAsia" w:hAnsiTheme="minorEastAsia" w:eastAsiaTheme="minorEastAsia"/>
          <w:color w:val="020202"/>
          <w:szCs w:val="21"/>
        </w:rPr>
        <w:t>技术指标应符合表</w:t>
      </w:r>
      <w:r>
        <w:rPr>
          <w:rFonts w:hint="eastAsia" w:asciiTheme="minorEastAsia" w:hAnsiTheme="minorEastAsia" w:eastAsiaTheme="minorEastAsia"/>
          <w:color w:val="020202"/>
          <w:szCs w:val="21"/>
        </w:rPr>
        <w:t>1的</w:t>
      </w:r>
      <w:r>
        <w:rPr>
          <w:rFonts w:asciiTheme="minorEastAsia" w:hAnsiTheme="minorEastAsia" w:eastAsiaTheme="minorEastAsia"/>
          <w:color w:val="020202"/>
          <w:szCs w:val="21"/>
        </w:rPr>
        <w:t>规定</w:t>
      </w:r>
      <w:r>
        <w:rPr>
          <w:rFonts w:hint="eastAsia" w:asciiTheme="minorEastAsia" w:hAnsiTheme="minorEastAsia" w:eastAsiaTheme="minorEastAsia"/>
          <w:color w:val="020202"/>
          <w:kern w:val="0"/>
          <w:szCs w:val="21"/>
        </w:rPr>
        <w:t>。</w:t>
      </w:r>
    </w:p>
    <w:p>
      <w:pPr>
        <w:spacing w:before="156" w:beforeLines="50" w:after="156" w:afterLines="50"/>
        <w:jc w:val="center"/>
        <w:rPr>
          <w:rFonts w:ascii="黑体" w:hAnsi="黑体" w:eastAsia="黑体"/>
          <w:szCs w:val="21"/>
        </w:rPr>
      </w:pPr>
      <w:r>
        <w:rPr>
          <w:rFonts w:hint="eastAsia" w:ascii="黑体" w:hAnsi="黑体" w:eastAsia="黑体"/>
          <w:color w:val="010101"/>
          <w:szCs w:val="21"/>
        </w:rPr>
        <w:t>表1  电子级多晶硅等级及技术指标</w:t>
      </w:r>
    </w:p>
    <w:tbl>
      <w:tblPr>
        <w:tblStyle w:val="42"/>
        <w:tblpPr w:leftFromText="180" w:rightFromText="180" w:vertAnchor="text" w:tblpXSpec="center" w:tblpY="1"/>
        <w:tblOverlap w:val="never"/>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1559"/>
        <w:gridCol w:w="1559"/>
        <w:gridCol w:w="141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Merge w:val="restart"/>
            <w:vAlign w:val="center"/>
          </w:tcPr>
          <w:p>
            <w:pPr>
              <w:jc w:val="center"/>
              <w:rPr>
                <w:rFonts w:asciiTheme="minorEastAsia" w:hAnsiTheme="minorEastAsia" w:eastAsiaTheme="minorEastAsia"/>
                <w:color w:val="020202"/>
                <w:kern w:val="0"/>
                <w:sz w:val="18"/>
                <w:szCs w:val="18"/>
              </w:rPr>
            </w:pPr>
            <w:r>
              <w:rPr>
                <w:rFonts w:hint="eastAsia" w:asciiTheme="minorEastAsia" w:hAnsiTheme="minorEastAsia" w:eastAsiaTheme="minorEastAsia"/>
                <w:color w:val="020202"/>
                <w:kern w:val="0"/>
                <w:sz w:val="18"/>
                <w:szCs w:val="18"/>
              </w:rPr>
              <w:t>项目</w:t>
            </w:r>
          </w:p>
        </w:tc>
        <w:tc>
          <w:tcPr>
            <w:tcW w:w="6095" w:type="dxa"/>
            <w:gridSpan w:val="4"/>
          </w:tcPr>
          <w:p>
            <w:pPr>
              <w:jc w:val="center"/>
              <w:rPr>
                <w:rFonts w:asciiTheme="minorEastAsia" w:hAnsiTheme="minorEastAsia" w:eastAsiaTheme="minorEastAsia"/>
                <w:color w:val="020202"/>
                <w:kern w:val="0"/>
                <w:sz w:val="18"/>
                <w:szCs w:val="18"/>
              </w:rPr>
            </w:pPr>
            <w:r>
              <w:rPr>
                <w:rFonts w:hint="eastAsia" w:asciiTheme="minorEastAsia" w:hAnsiTheme="minorEastAsia" w:eastAsiaTheme="minorEastAsia"/>
                <w:color w:val="020202"/>
                <w:kern w:val="0"/>
                <w:sz w:val="18"/>
                <w:szCs w:val="18"/>
              </w:rPr>
              <w:t>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Merge w:val="continue"/>
          </w:tcPr>
          <w:p>
            <w:pPr>
              <w:jc w:val="center"/>
              <w:rPr>
                <w:rFonts w:asciiTheme="minorEastAsia" w:hAnsiTheme="minorEastAsia" w:eastAsiaTheme="minorEastAsia"/>
                <w:color w:val="020202"/>
                <w:kern w:val="0"/>
                <w:sz w:val="18"/>
                <w:szCs w:val="18"/>
              </w:rPr>
            </w:pPr>
          </w:p>
        </w:tc>
        <w:tc>
          <w:tcPr>
            <w:tcW w:w="1559" w:type="dxa"/>
          </w:tcPr>
          <w:p>
            <w:pPr>
              <w:jc w:val="center"/>
              <w:rPr>
                <w:rFonts w:asciiTheme="minorEastAsia" w:hAnsiTheme="minorEastAsia" w:eastAsiaTheme="minorEastAsia"/>
                <w:color w:val="020202"/>
                <w:kern w:val="0"/>
                <w:sz w:val="18"/>
                <w:szCs w:val="18"/>
              </w:rPr>
            </w:pPr>
            <w:r>
              <w:rPr>
                <w:rFonts w:hint="eastAsia" w:asciiTheme="minorEastAsia" w:hAnsiTheme="minorEastAsia" w:eastAsiaTheme="minorEastAsia"/>
                <w:color w:val="020202"/>
                <w:kern w:val="0"/>
                <w:sz w:val="18"/>
                <w:szCs w:val="18"/>
              </w:rPr>
              <w:t>特级</w:t>
            </w:r>
            <w:r>
              <w:rPr>
                <w:rFonts w:asciiTheme="minorEastAsia" w:hAnsiTheme="minorEastAsia" w:eastAsiaTheme="minorEastAsia"/>
                <w:color w:val="020202"/>
                <w:kern w:val="0"/>
                <w:sz w:val="18"/>
                <w:szCs w:val="18"/>
              </w:rPr>
              <w:t>品</w:t>
            </w:r>
          </w:p>
        </w:tc>
        <w:tc>
          <w:tcPr>
            <w:tcW w:w="1559" w:type="dxa"/>
          </w:tcPr>
          <w:p>
            <w:pPr>
              <w:jc w:val="center"/>
              <w:rPr>
                <w:rFonts w:asciiTheme="minorEastAsia" w:hAnsiTheme="minorEastAsia" w:eastAsiaTheme="minorEastAsia"/>
                <w:color w:val="020202"/>
                <w:kern w:val="0"/>
                <w:sz w:val="18"/>
                <w:szCs w:val="18"/>
              </w:rPr>
            </w:pPr>
            <w:r>
              <w:rPr>
                <w:rFonts w:hint="eastAsia" w:asciiTheme="minorEastAsia" w:hAnsiTheme="minorEastAsia" w:eastAsiaTheme="minorEastAsia"/>
                <w:color w:val="020202"/>
                <w:kern w:val="0"/>
                <w:sz w:val="18"/>
                <w:szCs w:val="18"/>
              </w:rPr>
              <w:t>电子1级</w:t>
            </w:r>
          </w:p>
        </w:tc>
        <w:tc>
          <w:tcPr>
            <w:tcW w:w="1418" w:type="dxa"/>
          </w:tcPr>
          <w:p>
            <w:pPr>
              <w:jc w:val="center"/>
              <w:rPr>
                <w:rFonts w:asciiTheme="minorEastAsia" w:hAnsiTheme="minorEastAsia" w:eastAsiaTheme="minorEastAsia"/>
                <w:color w:val="020202"/>
                <w:kern w:val="0"/>
                <w:sz w:val="18"/>
                <w:szCs w:val="18"/>
              </w:rPr>
            </w:pPr>
            <w:r>
              <w:rPr>
                <w:rFonts w:hint="eastAsia" w:asciiTheme="minorEastAsia" w:hAnsiTheme="minorEastAsia" w:eastAsiaTheme="minorEastAsia"/>
                <w:color w:val="020202"/>
                <w:kern w:val="0"/>
                <w:sz w:val="18"/>
                <w:szCs w:val="18"/>
              </w:rPr>
              <w:t>电子2级</w:t>
            </w:r>
          </w:p>
        </w:tc>
        <w:tc>
          <w:tcPr>
            <w:tcW w:w="1559" w:type="dxa"/>
            <w:vAlign w:val="center"/>
          </w:tcPr>
          <w:p>
            <w:pPr>
              <w:jc w:val="center"/>
              <w:rPr>
                <w:rFonts w:asciiTheme="minorEastAsia" w:hAnsiTheme="minorEastAsia" w:eastAsiaTheme="minorEastAsia"/>
                <w:color w:val="020202"/>
                <w:kern w:val="0"/>
                <w:sz w:val="18"/>
                <w:szCs w:val="18"/>
              </w:rPr>
            </w:pPr>
            <w:r>
              <w:rPr>
                <w:rFonts w:hint="eastAsia" w:asciiTheme="minorEastAsia" w:hAnsiTheme="minorEastAsia" w:eastAsiaTheme="minorEastAsia"/>
                <w:color w:val="020202"/>
                <w:kern w:val="0"/>
                <w:sz w:val="18"/>
                <w:szCs w:val="18"/>
              </w:rPr>
              <w:t>电子3级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Align w:val="center"/>
          </w:tcPr>
          <w:p>
            <w:pPr>
              <w:jc w:val="center"/>
              <w:rPr>
                <w:rFonts w:asciiTheme="minorEastAsia" w:hAnsiTheme="minorEastAsia" w:eastAsiaTheme="minorEastAsia"/>
                <w:color w:val="020202"/>
                <w:kern w:val="0"/>
                <w:sz w:val="18"/>
                <w:szCs w:val="18"/>
              </w:rPr>
            </w:pPr>
            <w:r>
              <w:rPr>
                <w:rFonts w:hint="eastAsia" w:asciiTheme="minorEastAsia" w:hAnsiTheme="minorEastAsia" w:eastAsiaTheme="minorEastAsia"/>
                <w:color w:val="020202"/>
                <w:kern w:val="0"/>
                <w:sz w:val="18"/>
                <w:szCs w:val="18"/>
              </w:rPr>
              <w:t>施主杂质含量（P、</w:t>
            </w:r>
            <w:r>
              <w:rPr>
                <w:rFonts w:asciiTheme="minorEastAsia" w:hAnsiTheme="minorEastAsia" w:eastAsiaTheme="minorEastAsia"/>
                <w:color w:val="020202"/>
                <w:kern w:val="0"/>
                <w:sz w:val="18"/>
                <w:szCs w:val="18"/>
              </w:rPr>
              <w:t>As</w:t>
            </w:r>
            <w:r>
              <w:rPr>
                <w:rFonts w:hint="eastAsia" w:asciiTheme="minorEastAsia" w:hAnsiTheme="minorEastAsia" w:eastAsiaTheme="minorEastAsia"/>
                <w:color w:val="020202"/>
                <w:kern w:val="0"/>
                <w:sz w:val="18"/>
                <w:szCs w:val="18"/>
              </w:rPr>
              <w:t>、</w:t>
            </w:r>
            <w:r>
              <w:rPr>
                <w:rFonts w:asciiTheme="minorEastAsia" w:hAnsiTheme="minorEastAsia" w:eastAsiaTheme="minorEastAsia"/>
                <w:color w:val="020202"/>
                <w:kern w:val="0"/>
                <w:sz w:val="18"/>
                <w:szCs w:val="18"/>
              </w:rPr>
              <w:t>Sb）</w:t>
            </w:r>
            <w:r>
              <w:rPr>
                <w:rFonts w:hint="eastAsia" w:asciiTheme="minorEastAsia" w:hAnsiTheme="minorEastAsia" w:eastAsiaTheme="minorEastAsia"/>
                <w:color w:val="020202"/>
                <w:kern w:val="0"/>
                <w:sz w:val="18"/>
                <w:szCs w:val="18"/>
              </w:rPr>
              <w:t>,</w:t>
            </w:r>
            <w:r>
              <w:rPr>
                <w:rFonts w:hint="eastAsia" w:asciiTheme="minorEastAsia" w:hAnsiTheme="minorEastAsia" w:eastAsiaTheme="minorEastAsia"/>
                <w:color w:val="000000" w:themeColor="text1"/>
                <w:kern w:val="0"/>
                <w:sz w:val="18"/>
                <w:szCs w:val="18"/>
                <w14:textFill>
                  <w14:solidFill>
                    <w14:schemeClr w14:val="tx1"/>
                  </w14:solidFill>
                </w14:textFill>
              </w:rPr>
              <w:t>1</w:t>
            </w:r>
            <w:r>
              <w:rPr>
                <w:rFonts w:asciiTheme="minorEastAsia" w:hAnsiTheme="minorEastAsia" w:eastAsiaTheme="minorEastAsia"/>
                <w:color w:val="000000" w:themeColor="text1"/>
                <w:kern w:val="0"/>
                <w:sz w:val="18"/>
                <w:szCs w:val="18"/>
                <w14:textFill>
                  <w14:solidFill>
                    <w14:schemeClr w14:val="tx1"/>
                  </w14:solidFill>
                </w14:textFill>
              </w:rPr>
              <w:t>0</w:t>
            </w:r>
            <w:r>
              <w:rPr>
                <w:rFonts w:hint="eastAsia" w:asciiTheme="minorEastAsia" w:hAnsiTheme="minorEastAsia" w:eastAsiaTheme="minorEastAsia"/>
                <w:color w:val="000000" w:themeColor="text1"/>
                <w:kern w:val="0"/>
                <w:sz w:val="18"/>
                <w:szCs w:val="18"/>
                <w:vertAlign w:val="superscript"/>
                <w14:textFill>
                  <w14:solidFill>
                    <w14:schemeClr w14:val="tx1"/>
                  </w14:solidFill>
                </w14:textFill>
              </w:rPr>
              <w:t>-</w:t>
            </w:r>
            <w:r>
              <w:rPr>
                <w:rFonts w:asciiTheme="minorEastAsia" w:hAnsiTheme="minorEastAsia" w:eastAsiaTheme="minorEastAsia"/>
                <w:color w:val="000000" w:themeColor="text1"/>
                <w:kern w:val="0"/>
                <w:sz w:val="18"/>
                <w:szCs w:val="18"/>
                <w:vertAlign w:val="superscript"/>
                <w14:textFill>
                  <w14:solidFill>
                    <w14:schemeClr w14:val="tx1"/>
                  </w14:solidFill>
                </w14:textFill>
              </w:rPr>
              <w:t>12</w:t>
            </w:r>
            <w:r>
              <w:rPr>
                <w:rFonts w:hint="eastAsia" w:asciiTheme="minorEastAsia" w:hAnsiTheme="minorEastAsia" w:eastAsiaTheme="minorEastAsia"/>
                <w:color w:val="020202"/>
                <w:kern w:val="0"/>
                <w:sz w:val="18"/>
                <w:szCs w:val="18"/>
              </w:rPr>
              <w:t>（</w:t>
            </w:r>
            <w:r>
              <w:rPr>
                <w:rFonts w:asciiTheme="minorEastAsia" w:hAnsiTheme="minorEastAsia" w:eastAsiaTheme="minorEastAsia"/>
                <w:color w:val="020202"/>
                <w:kern w:val="0"/>
                <w:sz w:val="18"/>
                <w:szCs w:val="18"/>
              </w:rPr>
              <w:t>ppta</w:t>
            </w:r>
            <w:r>
              <w:rPr>
                <w:rFonts w:hint="eastAsia" w:asciiTheme="minorEastAsia" w:hAnsiTheme="minorEastAsia" w:eastAsiaTheme="minorEastAsia"/>
                <w:color w:val="020202"/>
                <w:kern w:val="0"/>
                <w:sz w:val="18"/>
                <w:szCs w:val="18"/>
              </w:rPr>
              <w:t>）</w:t>
            </w:r>
          </w:p>
        </w:tc>
        <w:tc>
          <w:tcPr>
            <w:tcW w:w="1559" w:type="dxa"/>
            <w:vAlign w:val="center"/>
          </w:tcPr>
          <w:p>
            <w:pPr>
              <w:jc w:val="center"/>
              <w:rPr>
                <w:rFonts w:asciiTheme="minorEastAsia" w:hAnsiTheme="minorEastAsia" w:eastAsiaTheme="minorEastAsia"/>
                <w:color w:val="121212"/>
                <w:sz w:val="18"/>
                <w:szCs w:val="18"/>
              </w:rPr>
            </w:pPr>
            <w:r>
              <w:rPr>
                <w:rFonts w:hint="eastAsia" w:asciiTheme="minorEastAsia" w:hAnsiTheme="minorEastAsia" w:eastAsiaTheme="minorEastAsia"/>
                <w:color w:val="121212"/>
                <w:sz w:val="18"/>
                <w:szCs w:val="18"/>
              </w:rPr>
              <w:t>≤</w:t>
            </w:r>
            <w:r>
              <w:rPr>
                <w:rFonts w:asciiTheme="minorEastAsia" w:hAnsiTheme="minorEastAsia" w:eastAsiaTheme="minorEastAsia"/>
                <w:color w:val="121212"/>
                <w:sz w:val="18"/>
                <w:szCs w:val="18"/>
              </w:rPr>
              <w:t>30</w:t>
            </w:r>
          </w:p>
        </w:tc>
        <w:tc>
          <w:tcPr>
            <w:tcW w:w="1559" w:type="dxa"/>
            <w:vAlign w:val="center"/>
          </w:tcPr>
          <w:p>
            <w:pPr>
              <w:jc w:val="center"/>
              <w:rPr>
                <w:rFonts w:ascii="黑体" w:hAnsi="黑体" w:eastAsia="黑体"/>
                <w:color w:val="020202"/>
                <w:kern w:val="0"/>
                <w:sz w:val="18"/>
                <w:szCs w:val="18"/>
              </w:rPr>
            </w:pP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50</w:t>
            </w:r>
          </w:p>
        </w:tc>
        <w:tc>
          <w:tcPr>
            <w:tcW w:w="1418" w:type="dxa"/>
            <w:vAlign w:val="center"/>
          </w:tcPr>
          <w:p>
            <w:pPr>
              <w:jc w:val="center"/>
              <w:rPr>
                <w:rFonts w:ascii="黑体" w:hAnsi="黑体" w:eastAsia="黑体"/>
                <w:color w:val="020202"/>
                <w:kern w:val="0"/>
                <w:sz w:val="18"/>
                <w:szCs w:val="18"/>
              </w:rPr>
            </w:pP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100</w:t>
            </w:r>
          </w:p>
        </w:tc>
        <w:tc>
          <w:tcPr>
            <w:tcW w:w="1559" w:type="dxa"/>
            <w:vAlign w:val="center"/>
          </w:tcPr>
          <w:p>
            <w:pPr>
              <w:jc w:val="center"/>
              <w:rPr>
                <w:rFonts w:asciiTheme="minorEastAsia" w:hAnsiTheme="minorEastAsia" w:eastAsiaTheme="minorEastAsia"/>
                <w:color w:val="0E0E0E"/>
                <w:sz w:val="18"/>
                <w:szCs w:val="18"/>
              </w:rPr>
            </w:pPr>
            <w:r>
              <w:rPr>
                <w:rFonts w:hint="eastAsia" w:asciiTheme="minorEastAsia" w:hAnsiTheme="minorEastAsia" w:eastAsiaTheme="minorEastAsia"/>
                <w:color w:val="0E0E0E"/>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Align w:val="center"/>
          </w:tcPr>
          <w:p>
            <w:pPr>
              <w:jc w:val="center"/>
              <w:rPr>
                <w:rFonts w:asciiTheme="minorEastAsia" w:hAnsiTheme="minorEastAsia" w:eastAsiaTheme="minorEastAsia"/>
                <w:color w:val="020202"/>
                <w:kern w:val="0"/>
                <w:sz w:val="18"/>
                <w:szCs w:val="18"/>
              </w:rPr>
            </w:pPr>
            <w:r>
              <w:rPr>
                <w:rFonts w:hint="eastAsia" w:asciiTheme="minorEastAsia" w:hAnsiTheme="minorEastAsia" w:eastAsiaTheme="minorEastAsia"/>
                <w:color w:val="020202"/>
                <w:kern w:val="0"/>
                <w:sz w:val="18"/>
                <w:szCs w:val="18"/>
              </w:rPr>
              <w:t>受主</w:t>
            </w:r>
            <w:r>
              <w:rPr>
                <w:rFonts w:asciiTheme="minorEastAsia" w:hAnsiTheme="minorEastAsia" w:eastAsiaTheme="minorEastAsia"/>
                <w:color w:val="020202"/>
                <w:kern w:val="0"/>
                <w:sz w:val="18"/>
                <w:szCs w:val="18"/>
              </w:rPr>
              <w:t>杂</w:t>
            </w:r>
            <w:r>
              <w:rPr>
                <w:rFonts w:hint="eastAsia" w:asciiTheme="minorEastAsia" w:hAnsiTheme="minorEastAsia" w:eastAsiaTheme="minorEastAsia"/>
                <w:color w:val="020202"/>
                <w:kern w:val="0"/>
                <w:sz w:val="18"/>
                <w:szCs w:val="18"/>
              </w:rPr>
              <w:t>质含量(</w:t>
            </w:r>
            <w:r>
              <w:rPr>
                <w:rFonts w:asciiTheme="minorEastAsia" w:hAnsiTheme="minorEastAsia" w:eastAsiaTheme="minorEastAsia"/>
                <w:color w:val="020202"/>
                <w:kern w:val="0"/>
                <w:sz w:val="18"/>
                <w:szCs w:val="18"/>
              </w:rPr>
              <w:t>B</w:t>
            </w:r>
            <w:r>
              <w:rPr>
                <w:rFonts w:hint="eastAsia" w:asciiTheme="minorEastAsia" w:hAnsiTheme="minorEastAsia" w:eastAsiaTheme="minorEastAsia"/>
                <w:color w:val="020202"/>
                <w:kern w:val="0"/>
                <w:sz w:val="18"/>
                <w:szCs w:val="18"/>
              </w:rPr>
              <w:t>、</w:t>
            </w:r>
            <w:r>
              <w:rPr>
                <w:rFonts w:asciiTheme="minorEastAsia" w:hAnsiTheme="minorEastAsia" w:eastAsiaTheme="minorEastAsia"/>
                <w:color w:val="020202"/>
                <w:kern w:val="0"/>
                <w:sz w:val="18"/>
                <w:szCs w:val="18"/>
              </w:rPr>
              <w:t>Al</w:t>
            </w:r>
            <w:r>
              <w:rPr>
                <w:rFonts w:hint="eastAsia" w:asciiTheme="minorEastAsia" w:hAnsiTheme="minorEastAsia" w:eastAsiaTheme="minorEastAsia"/>
                <w:color w:val="020202"/>
                <w:kern w:val="0"/>
                <w:sz w:val="18"/>
                <w:szCs w:val="18"/>
              </w:rPr>
              <w:t>),</w:t>
            </w:r>
            <w:r>
              <w:rPr>
                <w:rFonts w:hint="eastAsia" w:asciiTheme="minorEastAsia" w:hAnsiTheme="minorEastAsia" w:eastAsiaTheme="minorEastAsia"/>
                <w:color w:val="000000" w:themeColor="text1"/>
                <w:kern w:val="0"/>
                <w:sz w:val="18"/>
                <w:szCs w:val="18"/>
                <w14:textFill>
                  <w14:solidFill>
                    <w14:schemeClr w14:val="tx1"/>
                  </w14:solidFill>
                </w14:textFill>
              </w:rPr>
              <w:t>1</w:t>
            </w:r>
            <w:r>
              <w:rPr>
                <w:rFonts w:asciiTheme="minorEastAsia" w:hAnsiTheme="minorEastAsia" w:eastAsiaTheme="minorEastAsia"/>
                <w:color w:val="000000" w:themeColor="text1"/>
                <w:kern w:val="0"/>
                <w:sz w:val="18"/>
                <w:szCs w:val="18"/>
                <w14:textFill>
                  <w14:solidFill>
                    <w14:schemeClr w14:val="tx1"/>
                  </w14:solidFill>
                </w14:textFill>
              </w:rPr>
              <w:t>0</w:t>
            </w:r>
            <w:r>
              <w:rPr>
                <w:rFonts w:hint="eastAsia" w:asciiTheme="minorEastAsia" w:hAnsiTheme="minorEastAsia" w:eastAsiaTheme="minorEastAsia"/>
                <w:color w:val="000000" w:themeColor="text1"/>
                <w:kern w:val="0"/>
                <w:sz w:val="18"/>
                <w:szCs w:val="18"/>
                <w:vertAlign w:val="superscript"/>
                <w14:textFill>
                  <w14:solidFill>
                    <w14:schemeClr w14:val="tx1"/>
                  </w14:solidFill>
                </w14:textFill>
              </w:rPr>
              <w:t>-</w:t>
            </w:r>
            <w:r>
              <w:rPr>
                <w:rFonts w:asciiTheme="minorEastAsia" w:hAnsiTheme="minorEastAsia" w:eastAsiaTheme="minorEastAsia"/>
                <w:color w:val="000000" w:themeColor="text1"/>
                <w:kern w:val="0"/>
                <w:sz w:val="18"/>
                <w:szCs w:val="18"/>
                <w:vertAlign w:val="superscript"/>
                <w14:textFill>
                  <w14:solidFill>
                    <w14:schemeClr w14:val="tx1"/>
                  </w14:solidFill>
                </w14:textFill>
              </w:rPr>
              <w:t>12</w:t>
            </w:r>
            <w:r>
              <w:rPr>
                <w:rFonts w:hint="eastAsia" w:ascii="宋体" w:hAnsi="宋体"/>
                <w:color w:val="020202"/>
                <w:kern w:val="0"/>
                <w:sz w:val="18"/>
                <w:szCs w:val="18"/>
              </w:rPr>
              <w:t>（</w:t>
            </w:r>
            <w:r>
              <w:rPr>
                <w:rFonts w:ascii="宋体" w:hAnsi="宋体"/>
                <w:color w:val="020202"/>
                <w:kern w:val="0"/>
                <w:sz w:val="18"/>
                <w:szCs w:val="18"/>
              </w:rPr>
              <w:t>ppta</w:t>
            </w:r>
            <w:r>
              <w:rPr>
                <w:rFonts w:hint="eastAsia" w:ascii="宋体" w:hAnsi="宋体"/>
                <w:color w:val="020202"/>
                <w:kern w:val="0"/>
                <w:sz w:val="18"/>
                <w:szCs w:val="18"/>
              </w:rPr>
              <w:t>）</w:t>
            </w:r>
          </w:p>
        </w:tc>
        <w:tc>
          <w:tcPr>
            <w:tcW w:w="1559" w:type="dxa"/>
            <w:vAlign w:val="center"/>
          </w:tcPr>
          <w:p>
            <w:pPr>
              <w:jc w:val="center"/>
              <w:rPr>
                <w:rFonts w:asciiTheme="minorEastAsia" w:hAnsiTheme="minorEastAsia" w:eastAsiaTheme="minorEastAsia"/>
                <w:color w:val="111111"/>
                <w:sz w:val="18"/>
                <w:szCs w:val="18"/>
              </w:rPr>
            </w:pPr>
            <w:r>
              <w:rPr>
                <w:rFonts w:hint="eastAsia" w:asciiTheme="minorEastAsia" w:hAnsiTheme="minorEastAsia" w:eastAsiaTheme="minorEastAsia"/>
                <w:color w:val="111111"/>
                <w:sz w:val="18"/>
                <w:szCs w:val="18"/>
              </w:rPr>
              <w:t>≤</w:t>
            </w:r>
            <w:r>
              <w:rPr>
                <w:rFonts w:asciiTheme="minorEastAsia" w:hAnsiTheme="minorEastAsia" w:eastAsiaTheme="minorEastAsia"/>
                <w:color w:val="111111"/>
                <w:sz w:val="18"/>
                <w:szCs w:val="18"/>
              </w:rPr>
              <w:t>10</w:t>
            </w:r>
          </w:p>
        </w:tc>
        <w:tc>
          <w:tcPr>
            <w:tcW w:w="1559" w:type="dxa"/>
            <w:vAlign w:val="center"/>
          </w:tcPr>
          <w:p>
            <w:pPr>
              <w:jc w:val="center"/>
              <w:rPr>
                <w:rFonts w:ascii="黑体" w:hAnsi="黑体" w:eastAsia="黑体"/>
                <w:color w:val="020202"/>
                <w:kern w:val="0"/>
                <w:sz w:val="18"/>
                <w:szCs w:val="18"/>
              </w:rPr>
            </w:pPr>
            <w:r>
              <w:rPr>
                <w:rFonts w:hint="eastAsia" w:asciiTheme="minorEastAsia" w:hAnsiTheme="minorEastAsia" w:eastAsiaTheme="minorEastAsia"/>
                <w:color w:val="0F0F0F"/>
                <w:sz w:val="18"/>
                <w:szCs w:val="18"/>
              </w:rPr>
              <w:t>≤</w:t>
            </w:r>
            <w:r>
              <w:rPr>
                <w:rFonts w:asciiTheme="minorEastAsia" w:hAnsiTheme="minorEastAsia" w:eastAsiaTheme="minorEastAsia"/>
                <w:color w:val="0F0F0F"/>
                <w:sz w:val="18"/>
                <w:szCs w:val="18"/>
              </w:rPr>
              <w:t>30</w:t>
            </w:r>
          </w:p>
        </w:tc>
        <w:tc>
          <w:tcPr>
            <w:tcW w:w="1418" w:type="dxa"/>
            <w:vAlign w:val="center"/>
          </w:tcPr>
          <w:p>
            <w:pPr>
              <w:jc w:val="center"/>
              <w:rPr>
                <w:rFonts w:ascii="黑体" w:hAnsi="黑体" w:eastAsia="黑体"/>
                <w:color w:val="020202"/>
                <w:kern w:val="0"/>
                <w:sz w:val="18"/>
                <w:szCs w:val="18"/>
              </w:rPr>
            </w:pPr>
            <w:r>
              <w:rPr>
                <w:rFonts w:hint="eastAsia" w:asciiTheme="minorEastAsia" w:hAnsiTheme="minorEastAsia" w:eastAsiaTheme="minorEastAsia"/>
                <w:color w:val="0F0F0F"/>
                <w:sz w:val="18"/>
                <w:szCs w:val="18"/>
              </w:rPr>
              <w:t>≤</w:t>
            </w:r>
            <w:r>
              <w:rPr>
                <w:rFonts w:asciiTheme="minorEastAsia" w:hAnsiTheme="minorEastAsia" w:eastAsiaTheme="minorEastAsia"/>
                <w:color w:val="0F0F0F"/>
                <w:sz w:val="18"/>
                <w:szCs w:val="18"/>
              </w:rPr>
              <w:t>50</w:t>
            </w:r>
          </w:p>
        </w:tc>
        <w:tc>
          <w:tcPr>
            <w:tcW w:w="1559" w:type="dxa"/>
            <w:vAlign w:val="center"/>
          </w:tcPr>
          <w:p>
            <w:pPr>
              <w:jc w:val="center"/>
              <w:rPr>
                <w:rFonts w:asciiTheme="minorEastAsia" w:hAnsiTheme="minorEastAsia" w:eastAsiaTheme="minorEastAsia"/>
                <w:color w:val="0F0F0F"/>
                <w:sz w:val="18"/>
                <w:szCs w:val="18"/>
              </w:rPr>
            </w:pPr>
            <w:r>
              <w:rPr>
                <w:rFonts w:hint="eastAsia" w:asciiTheme="minorEastAsia" w:hAnsiTheme="minorEastAsia" w:eastAsiaTheme="minorEastAsia"/>
                <w:color w:val="0F0F0F"/>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Align w:val="center"/>
          </w:tcPr>
          <w:p>
            <w:pPr>
              <w:jc w:val="center"/>
              <w:rPr>
                <w:rFonts w:asciiTheme="minorEastAsia" w:hAnsiTheme="minorEastAsia" w:eastAsiaTheme="minorEastAsia"/>
                <w:color w:val="020202"/>
                <w:kern w:val="0"/>
                <w:sz w:val="18"/>
                <w:szCs w:val="18"/>
              </w:rPr>
            </w:pPr>
            <w:r>
              <w:rPr>
                <w:rFonts w:hint="eastAsia" w:asciiTheme="minorEastAsia" w:hAnsiTheme="minorEastAsia" w:eastAsiaTheme="minorEastAsia"/>
                <w:color w:val="020202"/>
                <w:kern w:val="0"/>
                <w:sz w:val="18"/>
                <w:szCs w:val="18"/>
              </w:rPr>
              <w:t>碳含量,</w:t>
            </w:r>
            <w:r>
              <w:rPr>
                <w:rFonts w:hint="eastAsia" w:asciiTheme="minorEastAsia" w:hAnsiTheme="minorEastAsia" w:eastAsiaTheme="minorEastAsia"/>
                <w:color w:val="000000" w:themeColor="text1"/>
                <w:kern w:val="0"/>
                <w:sz w:val="18"/>
                <w:szCs w:val="18"/>
                <w14:textFill>
                  <w14:solidFill>
                    <w14:schemeClr w14:val="tx1"/>
                  </w14:solidFill>
                </w14:textFill>
              </w:rPr>
              <w:t>1</w:t>
            </w:r>
            <w:r>
              <w:rPr>
                <w:rFonts w:asciiTheme="minorEastAsia" w:hAnsiTheme="minorEastAsia" w:eastAsiaTheme="minorEastAsia"/>
                <w:color w:val="000000" w:themeColor="text1"/>
                <w:kern w:val="0"/>
                <w:sz w:val="18"/>
                <w:szCs w:val="18"/>
                <w14:textFill>
                  <w14:solidFill>
                    <w14:schemeClr w14:val="tx1"/>
                  </w14:solidFill>
                </w14:textFill>
              </w:rPr>
              <w:t>0</w:t>
            </w:r>
            <w:r>
              <w:rPr>
                <w:rFonts w:hint="eastAsia" w:asciiTheme="minorEastAsia" w:hAnsiTheme="minorEastAsia" w:eastAsiaTheme="minorEastAsia"/>
                <w:color w:val="000000" w:themeColor="text1"/>
                <w:kern w:val="0"/>
                <w:sz w:val="18"/>
                <w:szCs w:val="18"/>
                <w:vertAlign w:val="superscript"/>
                <w14:textFill>
                  <w14:solidFill>
                    <w14:schemeClr w14:val="tx1"/>
                  </w14:solidFill>
                </w14:textFill>
              </w:rPr>
              <w:t>-</w:t>
            </w:r>
            <w:r>
              <w:rPr>
                <w:rFonts w:asciiTheme="minorEastAsia" w:hAnsiTheme="minorEastAsia" w:eastAsiaTheme="minorEastAsia"/>
                <w:color w:val="000000" w:themeColor="text1"/>
                <w:kern w:val="0"/>
                <w:sz w:val="18"/>
                <w:szCs w:val="18"/>
                <w:vertAlign w:val="superscript"/>
                <w14:textFill>
                  <w14:solidFill>
                    <w14:schemeClr w14:val="tx1"/>
                  </w14:solidFill>
                </w14:textFill>
              </w:rPr>
              <w:t>9</w:t>
            </w:r>
            <w:r>
              <w:rPr>
                <w:rFonts w:asciiTheme="minorEastAsia" w:hAnsiTheme="minorEastAsia" w:eastAsiaTheme="minorEastAsia"/>
                <w:color w:val="020202"/>
                <w:kern w:val="0"/>
                <w:sz w:val="18"/>
                <w:szCs w:val="18"/>
              </w:rPr>
              <w:t>（</w:t>
            </w:r>
            <w:r>
              <w:rPr>
                <w:rFonts w:hint="eastAsia" w:asciiTheme="minorEastAsia" w:hAnsiTheme="minorEastAsia" w:eastAsiaTheme="minorEastAsia"/>
                <w:color w:val="020202"/>
                <w:kern w:val="0"/>
                <w:sz w:val="18"/>
                <w:szCs w:val="18"/>
              </w:rPr>
              <w:t>ppba</w:t>
            </w:r>
            <w:r>
              <w:rPr>
                <w:rFonts w:asciiTheme="minorEastAsia" w:hAnsiTheme="minorEastAsia" w:eastAsiaTheme="minorEastAsia"/>
                <w:color w:val="020202"/>
                <w:kern w:val="0"/>
                <w:sz w:val="18"/>
                <w:szCs w:val="18"/>
              </w:rPr>
              <w:t>）</w:t>
            </w:r>
          </w:p>
        </w:tc>
        <w:tc>
          <w:tcPr>
            <w:tcW w:w="1559" w:type="dxa"/>
            <w:vAlign w:val="center"/>
          </w:tcPr>
          <w:p>
            <w:pPr>
              <w:jc w:val="center"/>
              <w:rPr>
                <w:rFonts w:asciiTheme="minorEastAsia" w:hAnsiTheme="minorEastAsia" w:eastAsiaTheme="minorEastAsia"/>
                <w:color w:val="111111"/>
                <w:sz w:val="18"/>
                <w:szCs w:val="18"/>
              </w:rPr>
            </w:pPr>
            <w:r>
              <w:rPr>
                <w:rFonts w:asciiTheme="minorEastAsia" w:hAnsiTheme="minorEastAsia" w:eastAsiaTheme="minorEastAsia"/>
                <w:color w:val="111111"/>
                <w:sz w:val="18"/>
                <w:szCs w:val="18"/>
              </w:rPr>
              <w:t>≤20</w:t>
            </w:r>
          </w:p>
        </w:tc>
        <w:tc>
          <w:tcPr>
            <w:tcW w:w="1559" w:type="dxa"/>
            <w:vAlign w:val="center"/>
          </w:tcPr>
          <w:p>
            <w:pPr>
              <w:jc w:val="center"/>
              <w:rPr>
                <w:rFonts w:ascii="黑体" w:hAnsi="黑体" w:eastAsia="黑体"/>
                <w:color w:val="020202"/>
                <w:kern w:val="0"/>
                <w:sz w:val="18"/>
                <w:szCs w:val="18"/>
              </w:rPr>
            </w:pPr>
            <w:r>
              <w:rPr>
                <w:rFonts w:asciiTheme="minorEastAsia" w:hAnsiTheme="minorEastAsia" w:eastAsiaTheme="minorEastAsia"/>
                <w:color w:val="111111"/>
                <w:sz w:val="18"/>
                <w:szCs w:val="18"/>
              </w:rPr>
              <w:t>≤50</w:t>
            </w:r>
          </w:p>
        </w:tc>
        <w:tc>
          <w:tcPr>
            <w:tcW w:w="1418" w:type="dxa"/>
            <w:vAlign w:val="center"/>
          </w:tcPr>
          <w:p>
            <w:pPr>
              <w:jc w:val="center"/>
              <w:rPr>
                <w:rFonts w:ascii="黑体" w:hAnsi="黑体" w:eastAsia="黑体"/>
                <w:color w:val="020202"/>
                <w:kern w:val="0"/>
                <w:sz w:val="18"/>
                <w:szCs w:val="18"/>
              </w:rPr>
            </w:pPr>
            <w:r>
              <w:rPr>
                <w:rFonts w:asciiTheme="minorEastAsia" w:hAnsiTheme="minorEastAsia" w:eastAsiaTheme="minorEastAsia"/>
                <w:color w:val="111111"/>
                <w:sz w:val="18"/>
                <w:szCs w:val="18"/>
              </w:rPr>
              <w:t>≤50</w:t>
            </w:r>
          </w:p>
        </w:tc>
        <w:tc>
          <w:tcPr>
            <w:tcW w:w="1559" w:type="dxa"/>
            <w:vAlign w:val="center"/>
          </w:tcPr>
          <w:p>
            <w:pPr>
              <w:jc w:val="center"/>
              <w:rPr>
                <w:rFonts w:asciiTheme="minorEastAsia" w:hAnsiTheme="minorEastAsia" w:eastAsiaTheme="minorEastAsia"/>
                <w:color w:val="111111"/>
                <w:sz w:val="18"/>
                <w:szCs w:val="18"/>
              </w:rPr>
            </w:pPr>
            <w:r>
              <w:rPr>
                <w:rFonts w:asciiTheme="minorEastAsia" w:hAnsiTheme="minorEastAsia" w:eastAsiaTheme="minorEastAsia"/>
                <w:color w:val="111111"/>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Align w:val="center"/>
          </w:tcPr>
          <w:p>
            <w:pPr>
              <w:jc w:val="left"/>
              <w:rPr>
                <w:rFonts w:asciiTheme="minorEastAsia" w:hAnsiTheme="minorEastAsia" w:eastAsiaTheme="minorEastAsia"/>
                <w:color w:val="0E0E0E"/>
                <w:sz w:val="18"/>
                <w:szCs w:val="18"/>
              </w:rPr>
            </w:pPr>
            <w:r>
              <w:rPr>
                <w:rFonts w:hint="eastAsia" w:asciiTheme="minorEastAsia" w:hAnsiTheme="minorEastAsia" w:eastAsiaTheme="minorEastAsia"/>
                <w:color w:val="020202"/>
                <w:kern w:val="0"/>
                <w:sz w:val="18"/>
                <w:szCs w:val="18"/>
              </w:rPr>
              <w:t>基体金属</w:t>
            </w:r>
            <w:r>
              <w:rPr>
                <w:rFonts w:asciiTheme="minorEastAsia" w:hAnsiTheme="minorEastAsia" w:eastAsiaTheme="minorEastAsia"/>
                <w:color w:val="020202"/>
                <w:kern w:val="0"/>
                <w:sz w:val="18"/>
                <w:szCs w:val="18"/>
              </w:rPr>
              <w:t>杂质</w:t>
            </w:r>
            <w:r>
              <w:rPr>
                <w:rFonts w:hint="eastAsia" w:asciiTheme="minorEastAsia" w:hAnsiTheme="minorEastAsia" w:eastAsiaTheme="minorEastAsia"/>
                <w:color w:val="020202"/>
                <w:kern w:val="0"/>
                <w:sz w:val="18"/>
                <w:szCs w:val="18"/>
              </w:rPr>
              <w:t>含量（</w:t>
            </w:r>
            <w:r>
              <w:rPr>
                <w:rFonts w:asciiTheme="minorEastAsia" w:hAnsiTheme="minorEastAsia" w:eastAsiaTheme="minorEastAsia"/>
                <w:color w:val="0E0E0E"/>
                <w:sz w:val="18"/>
                <w:szCs w:val="18"/>
              </w:rPr>
              <w:t>Fe</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Cr</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Ni</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Cu</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Zn</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Na</w:t>
            </w:r>
            <w:r>
              <w:rPr>
                <w:rFonts w:hint="eastAsia" w:asciiTheme="minorEastAsia" w:hAnsiTheme="minorEastAsia" w:eastAsiaTheme="minorEastAsia"/>
                <w:color w:val="0E0E0E"/>
                <w:sz w:val="18"/>
                <w:szCs w:val="18"/>
              </w:rPr>
              <w:t>总含量）,</w:t>
            </w:r>
            <w:r>
              <w:rPr>
                <w:rFonts w:hint="eastAsia" w:asciiTheme="minorEastAsia" w:hAnsiTheme="minorEastAsia" w:eastAsiaTheme="minorEastAsia"/>
                <w:color w:val="000000" w:themeColor="text1"/>
                <w:kern w:val="0"/>
                <w:sz w:val="18"/>
                <w:szCs w:val="18"/>
                <w14:textFill>
                  <w14:solidFill>
                    <w14:schemeClr w14:val="tx1"/>
                  </w14:solidFill>
                </w14:textFill>
              </w:rPr>
              <w:t>ng</w:t>
            </w:r>
            <w:r>
              <w:rPr>
                <w:rFonts w:asciiTheme="minorEastAsia" w:hAnsiTheme="minorEastAsia" w:eastAsiaTheme="minorEastAsia"/>
                <w:color w:val="000000" w:themeColor="text1"/>
                <w:kern w:val="0"/>
                <w:sz w:val="18"/>
                <w:szCs w:val="18"/>
                <w14:textFill>
                  <w14:solidFill>
                    <w14:schemeClr w14:val="tx1"/>
                  </w14:solidFill>
                </w14:textFill>
              </w:rPr>
              <w:t>/g</w:t>
            </w:r>
            <w:r>
              <w:rPr>
                <w:rFonts w:hint="eastAsia" w:asciiTheme="minorEastAsia" w:hAnsiTheme="minorEastAsia" w:eastAsiaTheme="minorEastAsia"/>
                <w:kern w:val="0"/>
                <w:sz w:val="18"/>
                <w:szCs w:val="18"/>
              </w:rPr>
              <w:t>（ppbw）</w:t>
            </w:r>
          </w:p>
        </w:tc>
        <w:tc>
          <w:tcPr>
            <w:tcW w:w="1559" w:type="dxa"/>
            <w:vAlign w:val="center"/>
          </w:tcPr>
          <w:p>
            <w:pPr>
              <w:jc w:val="center"/>
              <w:rPr>
                <w:rFonts w:asciiTheme="minorEastAsia" w:hAnsiTheme="minorEastAsia" w:eastAsiaTheme="minorEastAsia"/>
                <w:color w:val="0E0E0E"/>
                <w:sz w:val="18"/>
                <w:szCs w:val="18"/>
              </w:rPr>
            </w:pPr>
            <w:r>
              <w:rPr>
                <w:rFonts w:asciiTheme="minorEastAsia" w:hAnsiTheme="minorEastAsia" w:eastAsiaTheme="minorEastAsia"/>
                <w:color w:val="0E0E0E"/>
                <w:sz w:val="18"/>
                <w:szCs w:val="18"/>
              </w:rPr>
              <w:t>≤0.1</w:t>
            </w:r>
          </w:p>
        </w:tc>
        <w:tc>
          <w:tcPr>
            <w:tcW w:w="1559" w:type="dxa"/>
            <w:vAlign w:val="center"/>
          </w:tcPr>
          <w:p>
            <w:pPr>
              <w:jc w:val="center"/>
              <w:rPr>
                <w:rFonts w:ascii="黑体" w:hAnsi="黑体" w:eastAsia="黑体"/>
                <w:color w:val="020202"/>
                <w:kern w:val="0"/>
                <w:sz w:val="18"/>
                <w:szCs w:val="18"/>
              </w:rPr>
            </w:pPr>
            <w:r>
              <w:rPr>
                <w:rFonts w:asciiTheme="minorEastAsia" w:hAnsiTheme="minorEastAsia" w:eastAsiaTheme="minorEastAsia"/>
                <w:color w:val="0E0E0E"/>
                <w:sz w:val="18"/>
                <w:szCs w:val="18"/>
              </w:rPr>
              <w:t>≤0.3</w:t>
            </w:r>
          </w:p>
        </w:tc>
        <w:tc>
          <w:tcPr>
            <w:tcW w:w="1418" w:type="dxa"/>
            <w:vAlign w:val="center"/>
          </w:tcPr>
          <w:p>
            <w:pPr>
              <w:jc w:val="center"/>
              <w:rPr>
                <w:rFonts w:ascii="黑体" w:hAnsi="黑体" w:eastAsia="黑体"/>
                <w:color w:val="020202"/>
                <w:kern w:val="0"/>
                <w:sz w:val="18"/>
                <w:szCs w:val="18"/>
              </w:rPr>
            </w:pPr>
            <w:r>
              <w:rPr>
                <w:rFonts w:asciiTheme="minorEastAsia" w:hAnsiTheme="minorEastAsia" w:eastAsiaTheme="minorEastAsia"/>
                <w:color w:val="0E0E0E"/>
                <w:sz w:val="18"/>
                <w:szCs w:val="18"/>
              </w:rPr>
              <w:t>≤0.5</w:t>
            </w:r>
          </w:p>
        </w:tc>
        <w:tc>
          <w:tcPr>
            <w:tcW w:w="1559" w:type="dxa"/>
            <w:vAlign w:val="center"/>
          </w:tcPr>
          <w:p>
            <w:pPr>
              <w:jc w:val="center"/>
              <w:rPr>
                <w:rFonts w:asciiTheme="minorEastAsia" w:hAnsiTheme="minorEastAsia" w:eastAsiaTheme="minorEastAsia"/>
                <w:color w:val="0E0E0E"/>
                <w:sz w:val="18"/>
                <w:szCs w:val="18"/>
              </w:rPr>
            </w:pPr>
            <w:r>
              <w:rPr>
                <w:rFonts w:asciiTheme="minorEastAsia" w:hAnsiTheme="minorEastAsia" w:eastAsiaTheme="minorEastAsia"/>
                <w:color w:val="0E0E0E"/>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Align w:val="center"/>
          </w:tcPr>
          <w:p>
            <w:pPr>
              <w:jc w:val="left"/>
              <w:rPr>
                <w:rFonts w:asciiTheme="minorEastAsia" w:hAnsiTheme="minorEastAsia" w:eastAsiaTheme="minorEastAsia"/>
                <w:color w:val="0E0E0E"/>
                <w:sz w:val="18"/>
                <w:szCs w:val="18"/>
              </w:rPr>
            </w:pPr>
            <w:r>
              <w:rPr>
                <w:rFonts w:hint="eastAsia" w:asciiTheme="minorEastAsia" w:hAnsiTheme="minorEastAsia" w:eastAsiaTheme="minorEastAsia"/>
                <w:color w:val="020202"/>
                <w:kern w:val="0"/>
                <w:sz w:val="18"/>
                <w:szCs w:val="18"/>
              </w:rPr>
              <w:t>表面金属</w:t>
            </w:r>
            <w:r>
              <w:rPr>
                <w:rFonts w:asciiTheme="minorEastAsia" w:hAnsiTheme="minorEastAsia" w:eastAsiaTheme="minorEastAsia"/>
                <w:color w:val="020202"/>
                <w:kern w:val="0"/>
                <w:sz w:val="18"/>
                <w:szCs w:val="18"/>
              </w:rPr>
              <w:t>杂质</w:t>
            </w:r>
            <w:r>
              <w:rPr>
                <w:rFonts w:hint="eastAsia" w:asciiTheme="minorEastAsia" w:hAnsiTheme="minorEastAsia" w:eastAsiaTheme="minorEastAsia"/>
                <w:color w:val="020202"/>
                <w:kern w:val="0"/>
                <w:sz w:val="18"/>
                <w:szCs w:val="18"/>
              </w:rPr>
              <w:t>含量</w:t>
            </w:r>
            <w:r>
              <w:rPr>
                <w:rFonts w:asciiTheme="minorEastAsia" w:hAnsiTheme="minorEastAsia" w:eastAsiaTheme="minorEastAsia"/>
                <w:color w:val="020202"/>
                <w:kern w:val="0"/>
                <w:sz w:val="18"/>
                <w:szCs w:val="18"/>
              </w:rPr>
              <w:t>（</w:t>
            </w:r>
            <w:r>
              <w:rPr>
                <w:rFonts w:asciiTheme="minorEastAsia" w:hAnsiTheme="minorEastAsia" w:eastAsiaTheme="minorEastAsia"/>
                <w:color w:val="0E0E0E"/>
                <w:sz w:val="18"/>
                <w:szCs w:val="18"/>
              </w:rPr>
              <w:t>Fe</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Cr</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Ni</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Cu</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Zn</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Al</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K</w:t>
            </w:r>
            <w:r>
              <w:rPr>
                <w:rFonts w:hint="eastAsia" w:asciiTheme="minorEastAsia" w:hAnsiTheme="minorEastAsia" w:eastAsiaTheme="minorEastAsia"/>
                <w:color w:val="0E0E0E"/>
                <w:sz w:val="18"/>
                <w:szCs w:val="18"/>
              </w:rPr>
              <w:t>、</w:t>
            </w:r>
            <w:r>
              <w:rPr>
                <w:rFonts w:asciiTheme="minorEastAsia" w:hAnsiTheme="minorEastAsia" w:eastAsiaTheme="minorEastAsia"/>
                <w:color w:val="0E0E0E"/>
                <w:sz w:val="18"/>
                <w:szCs w:val="18"/>
              </w:rPr>
              <w:t>Na</w:t>
            </w:r>
            <w:r>
              <w:rPr>
                <w:rFonts w:hint="eastAsia" w:asciiTheme="minorEastAsia" w:hAnsiTheme="minorEastAsia" w:eastAsiaTheme="minorEastAsia"/>
                <w:color w:val="0E0E0E"/>
                <w:sz w:val="18"/>
                <w:szCs w:val="18"/>
              </w:rPr>
              <w:t>总含量）,</w:t>
            </w:r>
            <w:r>
              <w:rPr>
                <w:rFonts w:hint="eastAsia" w:asciiTheme="minorEastAsia" w:hAnsiTheme="minorEastAsia" w:eastAsiaTheme="minorEastAsia"/>
                <w:color w:val="000000" w:themeColor="text1"/>
                <w:kern w:val="0"/>
                <w:sz w:val="18"/>
                <w:szCs w:val="18"/>
                <w14:textFill>
                  <w14:solidFill>
                    <w14:schemeClr w14:val="tx1"/>
                  </w14:solidFill>
                </w14:textFill>
              </w:rPr>
              <w:t>ng</w:t>
            </w:r>
            <w:r>
              <w:rPr>
                <w:rFonts w:asciiTheme="minorEastAsia" w:hAnsiTheme="minorEastAsia" w:eastAsiaTheme="minorEastAsia"/>
                <w:color w:val="000000" w:themeColor="text1"/>
                <w:kern w:val="0"/>
                <w:sz w:val="18"/>
                <w:szCs w:val="18"/>
                <w14:textFill>
                  <w14:solidFill>
                    <w14:schemeClr w14:val="tx1"/>
                  </w14:solidFill>
                </w14:textFill>
              </w:rPr>
              <w:t>/g</w:t>
            </w:r>
            <w:r>
              <w:rPr>
                <w:rFonts w:hint="eastAsia" w:asciiTheme="minorEastAsia" w:hAnsiTheme="minorEastAsia" w:eastAsiaTheme="minorEastAsia"/>
                <w:color w:val="0E0E0E"/>
                <w:sz w:val="18"/>
                <w:szCs w:val="18"/>
              </w:rPr>
              <w:t>（</w:t>
            </w:r>
            <w:r>
              <w:rPr>
                <w:rFonts w:hint="eastAsia" w:asciiTheme="minorEastAsia" w:hAnsiTheme="minorEastAsia" w:eastAsiaTheme="minorEastAsia"/>
                <w:color w:val="020202"/>
                <w:kern w:val="0"/>
                <w:sz w:val="18"/>
                <w:szCs w:val="18"/>
              </w:rPr>
              <w:t>ppbw</w:t>
            </w:r>
            <w:r>
              <w:rPr>
                <w:rFonts w:asciiTheme="minorEastAsia" w:hAnsiTheme="minorEastAsia" w:eastAsiaTheme="minorEastAsia"/>
                <w:color w:val="020202"/>
                <w:kern w:val="0"/>
                <w:sz w:val="18"/>
                <w:szCs w:val="18"/>
              </w:rPr>
              <w:t>）</w:t>
            </w:r>
          </w:p>
        </w:tc>
        <w:tc>
          <w:tcPr>
            <w:tcW w:w="1559" w:type="dxa"/>
            <w:vAlign w:val="center"/>
          </w:tcPr>
          <w:p>
            <w:pPr>
              <w:jc w:val="center"/>
              <w:rPr>
                <w:rFonts w:asciiTheme="minorEastAsia" w:hAnsiTheme="minorEastAsia" w:eastAsiaTheme="minorEastAsia"/>
                <w:color w:val="0E0E0E"/>
                <w:sz w:val="18"/>
                <w:szCs w:val="18"/>
              </w:rPr>
            </w:pPr>
            <w:r>
              <w:rPr>
                <w:rFonts w:asciiTheme="minorEastAsia" w:hAnsiTheme="minorEastAsia" w:eastAsiaTheme="minorEastAsia"/>
                <w:color w:val="0E0E0E"/>
                <w:sz w:val="18"/>
                <w:szCs w:val="18"/>
              </w:rPr>
              <w:t>≤0.1</w:t>
            </w:r>
          </w:p>
        </w:tc>
        <w:tc>
          <w:tcPr>
            <w:tcW w:w="1559" w:type="dxa"/>
            <w:vAlign w:val="center"/>
          </w:tcPr>
          <w:p>
            <w:pPr>
              <w:jc w:val="center"/>
              <w:rPr>
                <w:rFonts w:ascii="黑体" w:hAnsi="黑体" w:eastAsia="黑体"/>
                <w:color w:val="020202"/>
                <w:kern w:val="0"/>
                <w:sz w:val="18"/>
                <w:szCs w:val="18"/>
              </w:rPr>
            </w:pPr>
            <w:r>
              <w:rPr>
                <w:rFonts w:asciiTheme="minorEastAsia" w:hAnsiTheme="minorEastAsia" w:eastAsiaTheme="minorEastAsia"/>
                <w:color w:val="0E0E0E"/>
                <w:sz w:val="18"/>
                <w:szCs w:val="18"/>
              </w:rPr>
              <w:t>≤0.5</w:t>
            </w:r>
          </w:p>
        </w:tc>
        <w:tc>
          <w:tcPr>
            <w:tcW w:w="1418" w:type="dxa"/>
            <w:vAlign w:val="center"/>
          </w:tcPr>
          <w:p>
            <w:pPr>
              <w:jc w:val="center"/>
              <w:rPr>
                <w:rFonts w:ascii="黑体" w:hAnsi="黑体" w:eastAsia="黑体"/>
                <w:color w:val="020202"/>
                <w:kern w:val="0"/>
                <w:sz w:val="18"/>
                <w:szCs w:val="18"/>
              </w:rPr>
            </w:pPr>
            <w:r>
              <w:rPr>
                <w:rFonts w:asciiTheme="minorEastAsia" w:hAnsiTheme="minorEastAsia" w:eastAsiaTheme="minorEastAsia"/>
                <w:color w:val="0E0E0E"/>
                <w:sz w:val="18"/>
                <w:szCs w:val="18"/>
              </w:rPr>
              <w:t>≤1.0</w:t>
            </w:r>
          </w:p>
        </w:tc>
        <w:tc>
          <w:tcPr>
            <w:tcW w:w="1559" w:type="dxa"/>
            <w:vAlign w:val="center"/>
          </w:tcPr>
          <w:p>
            <w:pPr>
              <w:jc w:val="center"/>
              <w:rPr>
                <w:rFonts w:asciiTheme="minorEastAsia" w:hAnsiTheme="minorEastAsia" w:eastAsiaTheme="minorEastAsia"/>
                <w:color w:val="0E0E0E"/>
                <w:sz w:val="18"/>
                <w:szCs w:val="18"/>
              </w:rPr>
            </w:pPr>
            <w:r>
              <w:rPr>
                <w:rFonts w:asciiTheme="minorEastAsia" w:hAnsiTheme="minorEastAsia" w:eastAsiaTheme="minorEastAsia"/>
                <w:color w:val="0E0E0E"/>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9322" w:type="dxa"/>
            <w:gridSpan w:val="5"/>
          </w:tcPr>
          <w:p>
            <w:pPr>
              <w:jc w:val="left"/>
              <w:rPr>
                <w:rFonts w:asciiTheme="minorEastAsia" w:hAnsiTheme="minorEastAsia" w:eastAsiaTheme="minorEastAsia"/>
                <w:color w:val="020202"/>
                <w:kern w:val="0"/>
                <w:sz w:val="18"/>
                <w:szCs w:val="18"/>
              </w:rPr>
            </w:pPr>
            <w:r>
              <w:rPr>
                <w:rFonts w:hint="eastAsia" w:ascii="黑体" w:hAnsi="黑体" w:eastAsia="黑体"/>
                <w:color w:val="020202"/>
                <w:kern w:val="0"/>
                <w:sz w:val="18"/>
                <w:szCs w:val="18"/>
              </w:rPr>
              <w:t>注</w:t>
            </w:r>
            <w:r>
              <w:rPr>
                <w:rFonts w:asciiTheme="minorEastAsia" w:hAnsiTheme="minorEastAsia" w:eastAsiaTheme="minorEastAsia"/>
                <w:color w:val="020202"/>
                <w:kern w:val="0"/>
                <w:sz w:val="18"/>
                <w:szCs w:val="18"/>
              </w:rPr>
              <w:t>：</w:t>
            </w:r>
            <w:r>
              <w:rPr>
                <w:rFonts w:hint="eastAsia" w:asciiTheme="minorEastAsia" w:hAnsiTheme="minorEastAsia" w:eastAsiaTheme="minorEastAsia"/>
                <w:color w:val="020202"/>
                <w:kern w:val="0"/>
                <w:sz w:val="18"/>
                <w:szCs w:val="18"/>
              </w:rPr>
              <w:t>多晶硅的导电类型</w:t>
            </w:r>
            <w:r>
              <w:rPr>
                <w:rFonts w:asciiTheme="minorEastAsia" w:hAnsiTheme="minorEastAsia" w:eastAsiaTheme="minorEastAsia"/>
                <w:color w:val="020202"/>
                <w:kern w:val="0"/>
                <w:sz w:val="18"/>
                <w:szCs w:val="18"/>
              </w:rPr>
              <w:t>、</w:t>
            </w:r>
            <w:r>
              <w:rPr>
                <w:rFonts w:hint="eastAsia" w:asciiTheme="minorEastAsia" w:hAnsiTheme="minorEastAsia" w:eastAsiaTheme="minorEastAsia"/>
                <w:color w:val="020202"/>
                <w:kern w:val="0"/>
                <w:sz w:val="18"/>
                <w:szCs w:val="18"/>
              </w:rPr>
              <w:t>电阻率、</w:t>
            </w:r>
            <w:r>
              <w:rPr>
                <w:rFonts w:asciiTheme="minorEastAsia" w:hAnsiTheme="minorEastAsia" w:eastAsiaTheme="minorEastAsia"/>
                <w:color w:val="020202"/>
                <w:kern w:val="0"/>
                <w:sz w:val="18"/>
                <w:szCs w:val="18"/>
              </w:rPr>
              <w:t>少数载流子寿命和氧</w:t>
            </w:r>
            <w:r>
              <w:rPr>
                <w:rFonts w:hint="eastAsia" w:asciiTheme="minorEastAsia" w:hAnsiTheme="minorEastAsia" w:eastAsiaTheme="minorEastAsia"/>
                <w:color w:val="020202"/>
                <w:kern w:val="0"/>
                <w:sz w:val="18"/>
                <w:szCs w:val="18"/>
              </w:rPr>
              <w:t>含量</w:t>
            </w:r>
            <w:r>
              <w:rPr>
                <w:rFonts w:asciiTheme="minorEastAsia" w:hAnsiTheme="minorEastAsia" w:eastAsiaTheme="minorEastAsia"/>
                <w:color w:val="020202"/>
                <w:kern w:val="0"/>
                <w:sz w:val="18"/>
                <w:szCs w:val="18"/>
              </w:rPr>
              <w:t>由供需双方协商确定。</w:t>
            </w:r>
          </w:p>
        </w:tc>
      </w:tr>
    </w:tbl>
    <w:p>
      <w:pPr>
        <w:pStyle w:val="51"/>
        <w:spacing w:before="156" w:after="156"/>
        <w:ind w:left="0"/>
        <w:rPr>
          <w:rFonts w:hAnsi="黑体"/>
          <w:color w:val="020202"/>
        </w:rPr>
      </w:pPr>
      <w:r>
        <w:rPr>
          <w:rFonts w:hint="eastAsia" w:hAnsi="黑体"/>
          <w:color w:val="020202"/>
        </w:rPr>
        <w:t>尺寸及允许偏差</w:t>
      </w:r>
    </w:p>
    <w:p>
      <w:pPr>
        <w:pStyle w:val="168"/>
        <w:numPr>
          <w:ilvl w:val="2"/>
          <w:numId w:val="3"/>
        </w:numPr>
        <w:ind w:left="720" w:hanging="720" w:firstLineChars="0"/>
      </w:pPr>
      <w:r>
        <w:rPr>
          <w:rFonts w:hint="eastAsia" w:ascii="宋体"/>
          <w:color w:val="020202"/>
        </w:rPr>
        <w:t>块状多晶硅具有无规则的形状和随机尺寸分布,其线性尺寸应为</w:t>
      </w:r>
      <w:r>
        <w:rPr>
          <w:rFonts w:ascii="宋体"/>
          <w:color w:val="020202"/>
        </w:rPr>
        <w:t>6 m</w:t>
      </w:r>
      <w:r>
        <w:rPr>
          <w:rFonts w:hint="eastAsia" w:ascii="宋体"/>
          <w:color w:val="020202"/>
        </w:rPr>
        <w:t>m～150 mm，</w:t>
      </w:r>
      <w:r>
        <w:rPr>
          <w:rFonts w:hint="eastAsia" w:ascii="宋体" w:hAnsi="宋体"/>
          <w:color w:val="000000"/>
          <w:szCs w:val="21"/>
        </w:rPr>
        <w:t>小于6mm的</w:t>
      </w:r>
      <w:r>
        <w:rPr>
          <w:rFonts w:ascii="宋体" w:hAnsi="宋体"/>
          <w:color w:val="000000"/>
          <w:szCs w:val="21"/>
        </w:rPr>
        <w:t>硅块</w:t>
      </w:r>
      <w:r>
        <w:rPr>
          <w:rFonts w:hint="eastAsia" w:ascii="宋体" w:hAnsi="宋体"/>
          <w:color w:val="000000"/>
          <w:szCs w:val="21"/>
        </w:rPr>
        <w:t>混装时</w:t>
      </w:r>
      <w:r>
        <w:rPr>
          <w:rFonts w:ascii="宋体" w:hAnsi="宋体"/>
          <w:color w:val="000000"/>
          <w:szCs w:val="21"/>
        </w:rPr>
        <w:t>不超过总重量的</w:t>
      </w: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w:t>
      </w:r>
      <w:r>
        <w:rPr>
          <w:rFonts w:hint="eastAsia" w:ascii="宋体"/>
          <w:color w:val="020202"/>
        </w:rPr>
        <w:t>若对尺寸有其他要求或</w:t>
      </w:r>
      <w:r>
        <w:rPr>
          <w:rFonts w:ascii="宋体"/>
          <w:color w:val="020202"/>
        </w:rPr>
        <w:t>单独包装时</w:t>
      </w:r>
      <w:r>
        <w:rPr>
          <w:rFonts w:hint="eastAsia" w:ascii="宋体"/>
          <w:color w:val="020202"/>
        </w:rPr>
        <w:t>，可由</w:t>
      </w:r>
      <w:r>
        <w:rPr>
          <w:rFonts w:ascii="宋体"/>
          <w:color w:val="020202"/>
        </w:rPr>
        <w:t>供需双方</w:t>
      </w:r>
      <w:r>
        <w:rPr>
          <w:rFonts w:hint="eastAsia" w:ascii="宋体"/>
          <w:color w:val="020202"/>
        </w:rPr>
        <w:t>协商确定。</w:t>
      </w:r>
    </w:p>
    <w:p>
      <w:pPr>
        <w:pStyle w:val="168"/>
        <w:numPr>
          <w:ilvl w:val="2"/>
          <w:numId w:val="3"/>
        </w:numPr>
        <w:ind w:left="720" w:hanging="720" w:firstLineChars="0"/>
        <w:rPr>
          <w:rFonts w:ascii="宋体" w:hAnsi="宋体"/>
          <w:color w:val="020202"/>
        </w:rPr>
      </w:pPr>
      <w:r>
        <w:rPr>
          <w:rFonts w:hint="eastAsia" w:ascii="宋体" w:hAnsi="宋体"/>
          <w:color w:val="020202"/>
        </w:rPr>
        <w:t>棒状多晶硅</w:t>
      </w:r>
      <w:r>
        <w:rPr>
          <w:rFonts w:ascii="宋体" w:hAnsi="宋体"/>
          <w:color w:val="020202"/>
        </w:rPr>
        <w:t>的</w:t>
      </w:r>
      <w:r>
        <w:rPr>
          <w:rFonts w:hint="eastAsia" w:ascii="宋体" w:hAnsi="宋体"/>
          <w:color w:val="020202"/>
        </w:rPr>
        <w:t>直径及长度</w:t>
      </w:r>
      <w:r>
        <w:rPr>
          <w:rFonts w:ascii="宋体" w:hAnsi="宋体"/>
          <w:color w:val="020202"/>
        </w:rPr>
        <w:t>要求</w:t>
      </w:r>
      <w:r>
        <w:rPr>
          <w:rFonts w:hint="eastAsia" w:ascii="宋体" w:hAnsi="宋体"/>
          <w:color w:val="020202"/>
        </w:rPr>
        <w:t>可由</w:t>
      </w:r>
      <w:r>
        <w:rPr>
          <w:rFonts w:ascii="宋体" w:hAnsi="宋体"/>
          <w:color w:val="020202"/>
        </w:rPr>
        <w:t>供需双方</w:t>
      </w:r>
      <w:r>
        <w:rPr>
          <w:rFonts w:hint="eastAsia" w:ascii="宋体" w:hAnsi="宋体"/>
          <w:color w:val="020202"/>
        </w:rPr>
        <w:t>协商</w:t>
      </w:r>
      <w:r>
        <w:rPr>
          <w:rFonts w:ascii="宋体" w:hAnsi="宋体"/>
          <w:color w:val="020202"/>
        </w:rPr>
        <w:t>确定</w:t>
      </w:r>
      <w:r>
        <w:rPr>
          <w:rFonts w:hint="eastAsia" w:ascii="宋体" w:hAnsi="宋体"/>
          <w:color w:val="020202"/>
        </w:rPr>
        <w:t>，其</w:t>
      </w:r>
      <w:r>
        <w:rPr>
          <w:rFonts w:ascii="宋体" w:hAnsi="宋体"/>
          <w:color w:val="020202"/>
        </w:rPr>
        <w:t>直径偏差</w:t>
      </w:r>
      <w:r>
        <w:rPr>
          <w:rFonts w:hint="eastAsia" w:ascii="宋体" w:hAnsi="宋体"/>
          <w:color w:val="020202"/>
        </w:rPr>
        <w:t>应≤5</w:t>
      </w:r>
      <w:r>
        <w:rPr>
          <w:rFonts w:ascii="宋体" w:hAnsi="宋体"/>
          <w:color w:val="020202"/>
        </w:rPr>
        <w:t>%</w:t>
      </w:r>
      <w:r>
        <w:rPr>
          <w:rFonts w:hint="eastAsia" w:ascii="宋体" w:hAnsi="宋体"/>
          <w:color w:val="020202"/>
        </w:rPr>
        <w:t>。</w:t>
      </w:r>
    </w:p>
    <w:p>
      <w:pPr>
        <w:pStyle w:val="51"/>
        <w:spacing w:before="156" w:after="156"/>
        <w:ind w:left="0"/>
        <w:rPr>
          <w:rFonts w:hAnsi="黑体"/>
          <w:color w:val="020202"/>
        </w:rPr>
      </w:pPr>
      <w:r>
        <w:rPr>
          <w:rFonts w:hint="eastAsia" w:hAnsi="黑体"/>
          <w:color w:val="020202"/>
        </w:rPr>
        <w:t>结构</w:t>
      </w:r>
    </w:p>
    <w:p>
      <w:pPr>
        <w:pStyle w:val="32"/>
        <w:ind w:left="576" w:firstLine="0" w:firstLineChars="0"/>
        <w:rPr>
          <w:color w:val="020202"/>
          <w:szCs w:val="21"/>
        </w:rPr>
      </w:pPr>
      <w:bookmarkStart w:id="8" w:name="OLE_LINK1"/>
      <w:bookmarkStart w:id="9" w:name="OLE_LINK2"/>
      <w:r>
        <w:rPr>
          <w:rFonts w:hint="eastAsia"/>
          <w:color w:val="020202"/>
          <w:szCs w:val="21"/>
        </w:rPr>
        <w:t>多晶硅应无氧化夹层和</w:t>
      </w:r>
      <w:r>
        <w:rPr>
          <w:color w:val="020202"/>
          <w:szCs w:val="21"/>
        </w:rPr>
        <w:t>温度夹层</w:t>
      </w:r>
      <w:bookmarkEnd w:id="8"/>
      <w:bookmarkEnd w:id="9"/>
      <w:r>
        <w:rPr>
          <w:rFonts w:hint="eastAsia"/>
          <w:color w:val="020202"/>
          <w:szCs w:val="21"/>
        </w:rPr>
        <w:t>。</w:t>
      </w:r>
    </w:p>
    <w:p>
      <w:pPr>
        <w:pStyle w:val="51"/>
        <w:spacing w:before="156" w:after="156"/>
        <w:ind w:left="0"/>
        <w:rPr>
          <w:rFonts w:hAnsi="黑体"/>
          <w:color w:val="020202"/>
        </w:rPr>
      </w:pPr>
      <w:r>
        <w:rPr>
          <w:rFonts w:hint="eastAsia" w:hAnsi="黑体"/>
          <w:color w:val="020202"/>
        </w:rPr>
        <w:t>表面质量</w:t>
      </w:r>
    </w:p>
    <w:p>
      <w:pPr>
        <w:pStyle w:val="168"/>
        <w:numPr>
          <w:ilvl w:val="2"/>
          <w:numId w:val="3"/>
        </w:numPr>
        <w:ind w:left="720" w:hanging="720" w:firstLineChars="0"/>
        <w:rPr>
          <w:rFonts w:ascii="宋体" w:hAnsi="宋体"/>
          <w:color w:val="020202"/>
        </w:rPr>
      </w:pPr>
      <w:r>
        <w:rPr>
          <w:rFonts w:hint="eastAsia" w:ascii="宋体" w:hAnsi="宋体"/>
          <w:color w:val="020202"/>
        </w:rPr>
        <w:t>多晶硅表面结构应致密、平整，断面边缘颗粒不大于3 mm。</w:t>
      </w:r>
    </w:p>
    <w:p>
      <w:pPr>
        <w:pStyle w:val="168"/>
        <w:numPr>
          <w:ilvl w:val="2"/>
          <w:numId w:val="3"/>
        </w:numPr>
        <w:ind w:left="720" w:hanging="720" w:firstLineChars="0"/>
        <w:rPr>
          <w:rFonts w:ascii="宋体" w:hAnsi="宋体"/>
          <w:color w:val="020202"/>
        </w:rPr>
      </w:pPr>
      <w:r>
        <w:rPr>
          <w:rFonts w:hint="eastAsia" w:ascii="宋体" w:hAnsi="宋体"/>
          <w:color w:val="020202"/>
        </w:rPr>
        <w:t>多晶硅的外观应无色斑、变色及可见的污染物。</w:t>
      </w:r>
    </w:p>
    <w:p>
      <w:pPr>
        <w:pStyle w:val="168"/>
        <w:numPr>
          <w:ilvl w:val="2"/>
          <w:numId w:val="3"/>
        </w:numPr>
        <w:ind w:left="720" w:hanging="720" w:firstLineChars="0"/>
        <w:rPr>
          <w:rFonts w:ascii="宋体" w:hAnsi="宋体"/>
          <w:color w:val="020202"/>
        </w:rPr>
      </w:pPr>
      <w:r>
        <w:rPr>
          <w:rFonts w:hint="eastAsia" w:ascii="宋体" w:hAnsi="宋体"/>
          <w:color w:val="020202"/>
        </w:rPr>
        <w:t>如对多晶硅的外观质量有</w:t>
      </w:r>
      <w:r>
        <w:rPr>
          <w:rFonts w:ascii="宋体" w:hAnsi="宋体"/>
          <w:color w:val="020202"/>
        </w:rPr>
        <w:t>其他要求</w:t>
      </w:r>
      <w:r>
        <w:rPr>
          <w:rFonts w:hint="eastAsia" w:ascii="宋体" w:hAnsi="宋体"/>
          <w:color w:val="020202"/>
        </w:rPr>
        <w:t>，</w:t>
      </w:r>
      <w:r>
        <w:rPr>
          <w:rFonts w:ascii="宋体" w:hAnsi="宋体"/>
          <w:color w:val="020202"/>
        </w:rPr>
        <w:t>由供需双方</w:t>
      </w:r>
      <w:r>
        <w:rPr>
          <w:rFonts w:hint="eastAsia" w:ascii="宋体" w:hAnsi="宋体"/>
          <w:color w:val="020202"/>
        </w:rPr>
        <w:t>协商确定</w:t>
      </w:r>
      <w:r>
        <w:rPr>
          <w:rFonts w:ascii="宋体" w:hAnsi="宋体"/>
          <w:color w:val="020202"/>
        </w:rPr>
        <w:t>。</w:t>
      </w:r>
    </w:p>
    <w:p>
      <w:pPr>
        <w:pStyle w:val="54"/>
        <w:spacing w:before="312" w:after="312"/>
        <w:ind w:left="0"/>
        <w:rPr>
          <w:rFonts w:hAnsi="黑体"/>
          <w:color w:val="020202"/>
          <w:szCs w:val="21"/>
        </w:rPr>
      </w:pPr>
      <w:r>
        <w:rPr>
          <w:rFonts w:hint="eastAsia" w:hAnsi="黑体"/>
          <w:color w:val="020202"/>
          <w:szCs w:val="21"/>
        </w:rPr>
        <w:t>试验方法</w:t>
      </w:r>
    </w:p>
    <w:p>
      <w:pPr>
        <w:pStyle w:val="51"/>
        <w:spacing w:beforeLines="0" w:afterLines="0"/>
        <w:ind w:left="0"/>
        <w:rPr>
          <w:rFonts w:ascii="宋体" w:eastAsia="宋体"/>
          <w:szCs w:val="20"/>
        </w:rPr>
      </w:pPr>
      <w:r>
        <w:rPr>
          <w:rFonts w:hint="eastAsia" w:ascii="宋体" w:eastAsia="宋体"/>
          <w:szCs w:val="20"/>
        </w:rPr>
        <w:t>对多晶硅</w:t>
      </w:r>
      <w:r>
        <w:rPr>
          <w:rFonts w:ascii="宋体" w:eastAsia="宋体"/>
          <w:szCs w:val="20"/>
        </w:rPr>
        <w:t>进行</w:t>
      </w:r>
      <w:r>
        <w:rPr>
          <w:rFonts w:hint="eastAsia" w:ascii="宋体" w:eastAsia="宋体"/>
          <w:szCs w:val="20"/>
        </w:rPr>
        <w:t>施主杂质含量、</w:t>
      </w:r>
      <w:r>
        <w:rPr>
          <w:rFonts w:ascii="宋体" w:eastAsia="宋体"/>
          <w:szCs w:val="20"/>
        </w:rPr>
        <w:t>受主杂质</w:t>
      </w:r>
      <w:r>
        <w:rPr>
          <w:rFonts w:hint="eastAsia" w:ascii="宋体" w:eastAsia="宋体"/>
          <w:szCs w:val="20"/>
        </w:rPr>
        <w:t>含量</w:t>
      </w:r>
      <w:r>
        <w:rPr>
          <w:rFonts w:ascii="宋体" w:eastAsia="宋体"/>
          <w:szCs w:val="20"/>
        </w:rPr>
        <w:t>、</w:t>
      </w:r>
      <w:r>
        <w:rPr>
          <w:rFonts w:hint="eastAsia" w:ascii="宋体" w:eastAsia="宋体"/>
          <w:szCs w:val="20"/>
        </w:rPr>
        <w:t>碳含量、导电类型</w:t>
      </w:r>
      <w:r>
        <w:rPr>
          <w:rFonts w:ascii="宋体" w:eastAsia="宋体"/>
          <w:szCs w:val="20"/>
        </w:rPr>
        <w:t>、电阻率</w:t>
      </w:r>
      <w:r>
        <w:rPr>
          <w:rFonts w:hint="eastAsia" w:ascii="宋体" w:eastAsia="宋体"/>
          <w:szCs w:val="20"/>
        </w:rPr>
        <w:t>、</w:t>
      </w:r>
      <w:r>
        <w:rPr>
          <w:rFonts w:ascii="宋体" w:eastAsia="宋体"/>
          <w:szCs w:val="20"/>
        </w:rPr>
        <w:t>少</w:t>
      </w:r>
      <w:r>
        <w:rPr>
          <w:rFonts w:hint="eastAsia" w:ascii="宋体" w:eastAsia="宋体"/>
          <w:szCs w:val="20"/>
        </w:rPr>
        <w:t>数</w:t>
      </w:r>
      <w:r>
        <w:rPr>
          <w:rFonts w:ascii="宋体" w:eastAsia="宋体"/>
          <w:szCs w:val="20"/>
        </w:rPr>
        <w:t>载流子寿命、</w:t>
      </w:r>
      <w:r>
        <w:rPr>
          <w:rFonts w:hint="eastAsia" w:ascii="宋体" w:eastAsia="宋体"/>
          <w:szCs w:val="20"/>
        </w:rPr>
        <w:t>氧含量检验前需按照</w:t>
      </w:r>
      <w:r>
        <w:rPr>
          <w:rFonts w:ascii="宋体" w:eastAsia="宋体"/>
          <w:szCs w:val="20"/>
        </w:rPr>
        <w:t>GB/T 4059</w:t>
      </w:r>
      <w:r>
        <w:rPr>
          <w:rFonts w:hint="eastAsia" w:ascii="宋体" w:eastAsia="宋体"/>
          <w:szCs w:val="20"/>
        </w:rPr>
        <w:t>、</w:t>
      </w:r>
      <w:r>
        <w:rPr>
          <w:rFonts w:ascii="宋体" w:eastAsia="宋体"/>
          <w:szCs w:val="20"/>
        </w:rPr>
        <w:t>GB/T 4060</w:t>
      </w:r>
      <w:r>
        <w:rPr>
          <w:rFonts w:hint="eastAsia" w:ascii="宋体" w:eastAsia="宋体"/>
          <w:szCs w:val="20"/>
        </w:rPr>
        <w:t>或GB/T 29057的方法制成</w:t>
      </w:r>
      <w:r>
        <w:rPr>
          <w:rFonts w:ascii="宋体" w:eastAsia="宋体"/>
          <w:szCs w:val="20"/>
        </w:rPr>
        <w:t>单晶试样</w:t>
      </w:r>
      <w:r>
        <w:rPr>
          <w:rFonts w:hint="eastAsia" w:ascii="宋体" w:eastAsia="宋体"/>
          <w:szCs w:val="20"/>
        </w:rPr>
        <w:t>。</w:t>
      </w:r>
    </w:p>
    <w:p>
      <w:pPr>
        <w:pStyle w:val="51"/>
        <w:spacing w:beforeLines="0" w:afterLines="0"/>
        <w:ind w:left="0"/>
        <w:rPr>
          <w:rFonts w:ascii="宋体" w:eastAsia="宋体"/>
          <w:szCs w:val="20"/>
        </w:rPr>
      </w:pPr>
      <w:r>
        <w:rPr>
          <w:rFonts w:hint="eastAsia" w:ascii="宋体" w:eastAsia="宋体"/>
          <w:szCs w:val="20"/>
        </w:rPr>
        <w:t>多晶硅中的施主杂质含量、受主杂质含量的测试按GB/T 24574或GB/T 24581的规定进行。仲裁检验</w:t>
      </w:r>
      <w:r>
        <w:rPr>
          <w:rFonts w:ascii="宋体" w:eastAsia="宋体"/>
          <w:szCs w:val="20"/>
        </w:rPr>
        <w:t>按</w:t>
      </w:r>
      <w:r>
        <w:rPr>
          <w:rFonts w:hint="eastAsia" w:ascii="宋体" w:eastAsia="宋体"/>
          <w:szCs w:val="20"/>
        </w:rPr>
        <w:t>GB/T 24581的</w:t>
      </w:r>
      <w:r>
        <w:rPr>
          <w:rFonts w:ascii="宋体" w:eastAsia="宋体"/>
          <w:szCs w:val="20"/>
        </w:rPr>
        <w:t>规定进行。</w:t>
      </w:r>
    </w:p>
    <w:p>
      <w:pPr>
        <w:pStyle w:val="51"/>
        <w:spacing w:beforeLines="0" w:afterLines="0"/>
        <w:ind w:left="0"/>
        <w:rPr>
          <w:rFonts w:ascii="宋体" w:eastAsia="宋体"/>
          <w:szCs w:val="20"/>
        </w:rPr>
      </w:pPr>
      <w:r>
        <w:rPr>
          <w:rFonts w:hint="eastAsia" w:ascii="宋体" w:eastAsia="宋体"/>
          <w:szCs w:val="20"/>
        </w:rPr>
        <w:t>多晶硅中碳含量测试按GB/T 155</w:t>
      </w:r>
      <w:r>
        <w:rPr>
          <w:rFonts w:ascii="宋体" w:eastAsia="宋体"/>
          <w:szCs w:val="20"/>
        </w:rPr>
        <w:t>8</w:t>
      </w:r>
      <w:r>
        <w:rPr>
          <w:rFonts w:hint="eastAsia" w:ascii="宋体" w:eastAsia="宋体"/>
          <w:szCs w:val="20"/>
        </w:rPr>
        <w:t>或GB/T 35306的规定进行。仲裁检验</w:t>
      </w:r>
      <w:r>
        <w:rPr>
          <w:rFonts w:ascii="宋体" w:eastAsia="宋体"/>
          <w:szCs w:val="20"/>
        </w:rPr>
        <w:t>按</w:t>
      </w:r>
      <w:r>
        <w:rPr>
          <w:rFonts w:hint="eastAsia" w:ascii="宋体" w:eastAsia="宋体"/>
          <w:szCs w:val="20"/>
        </w:rPr>
        <w:t>GB/T 35306的</w:t>
      </w:r>
      <w:r>
        <w:rPr>
          <w:rFonts w:ascii="宋体" w:eastAsia="宋体"/>
          <w:szCs w:val="20"/>
        </w:rPr>
        <w:t>规定进行。</w:t>
      </w:r>
    </w:p>
    <w:p>
      <w:pPr>
        <w:pStyle w:val="51"/>
        <w:spacing w:beforeLines="0" w:afterLines="0"/>
        <w:ind w:left="0"/>
        <w:rPr>
          <w:rFonts w:ascii="宋体" w:hAnsi="宋体" w:eastAsia="宋体"/>
          <w:color w:val="020202"/>
        </w:rPr>
      </w:pPr>
      <w:r>
        <w:rPr>
          <w:rFonts w:hint="eastAsia" w:ascii="宋体" w:hAnsi="宋体" w:eastAsia="宋体"/>
          <w:color w:val="020202"/>
        </w:rPr>
        <w:t xml:space="preserve">多晶硅基体金属杂质含量测试按GB/T </w:t>
      </w:r>
      <w:r>
        <w:rPr>
          <w:rFonts w:ascii="宋体" w:hAnsi="宋体" w:eastAsia="宋体"/>
          <w:color w:val="020202"/>
        </w:rPr>
        <w:t>37049</w:t>
      </w:r>
      <w:r>
        <w:rPr>
          <w:rFonts w:hint="eastAsia" w:ascii="宋体" w:hAnsi="宋体" w:eastAsia="宋体"/>
          <w:color w:val="020202"/>
        </w:rPr>
        <w:t>的</w:t>
      </w:r>
      <w:r>
        <w:rPr>
          <w:rFonts w:ascii="宋体" w:hAnsi="宋体" w:eastAsia="宋体"/>
          <w:color w:val="020202"/>
        </w:rPr>
        <w:t>规定进行</w:t>
      </w:r>
      <w:r>
        <w:rPr>
          <w:rFonts w:hint="eastAsia" w:ascii="宋体" w:hAnsi="宋体" w:eastAsia="宋体"/>
          <w:color w:val="020202"/>
        </w:rPr>
        <w:t>。</w:t>
      </w:r>
    </w:p>
    <w:p>
      <w:pPr>
        <w:pStyle w:val="51"/>
        <w:spacing w:beforeLines="0" w:afterLines="0"/>
        <w:ind w:left="0"/>
        <w:rPr>
          <w:rFonts w:ascii="宋体" w:hAnsi="宋体" w:eastAsia="宋体"/>
          <w:color w:val="020202"/>
        </w:rPr>
      </w:pPr>
      <w:r>
        <w:rPr>
          <w:rFonts w:hint="eastAsia" w:ascii="宋体" w:hAnsi="宋体" w:eastAsia="宋体"/>
          <w:color w:val="020202"/>
        </w:rPr>
        <w:t>多晶硅表面金属杂质含量的测试按 GB/T 24582的规定进行。</w:t>
      </w:r>
    </w:p>
    <w:p>
      <w:pPr>
        <w:pStyle w:val="51"/>
        <w:spacing w:beforeLines="0" w:afterLines="0"/>
        <w:ind w:left="0"/>
        <w:rPr>
          <w:rFonts w:ascii="宋体" w:hAnsi="宋体" w:eastAsia="宋体"/>
          <w:color w:val="000000"/>
        </w:rPr>
      </w:pPr>
      <w:r>
        <w:rPr>
          <w:rFonts w:hint="eastAsia" w:ascii="宋体" w:hAnsi="宋体" w:eastAsia="宋体"/>
          <w:color w:val="020202"/>
        </w:rPr>
        <w:t>多晶硅</w:t>
      </w:r>
      <w:r>
        <w:rPr>
          <w:rFonts w:ascii="宋体" w:hAnsi="宋体" w:eastAsia="宋体"/>
          <w:color w:val="020202"/>
        </w:rPr>
        <w:t>导电类型</w:t>
      </w:r>
      <w:r>
        <w:rPr>
          <w:rFonts w:hint="eastAsia" w:ascii="宋体" w:hAnsi="宋体" w:eastAsia="宋体"/>
          <w:color w:val="020202"/>
        </w:rPr>
        <w:t>测试按</w:t>
      </w:r>
      <w:r>
        <w:rPr>
          <w:rFonts w:ascii="宋体" w:hAnsi="宋体" w:eastAsia="宋体"/>
          <w:color w:val="000000"/>
        </w:rPr>
        <w:t>GB/T 1550</w:t>
      </w:r>
      <w:r>
        <w:rPr>
          <w:rFonts w:hint="eastAsia" w:ascii="宋体" w:hAnsi="宋体" w:eastAsia="宋体"/>
          <w:color w:val="000000"/>
        </w:rPr>
        <w:t>的</w:t>
      </w:r>
      <w:r>
        <w:rPr>
          <w:rFonts w:ascii="宋体" w:hAnsi="宋体" w:eastAsia="宋体"/>
          <w:color w:val="000000"/>
        </w:rPr>
        <w:t>规定进行</w:t>
      </w:r>
      <w:r>
        <w:rPr>
          <w:rFonts w:hint="eastAsia" w:ascii="宋体" w:hAnsi="宋体" w:eastAsia="宋体"/>
          <w:color w:val="000000"/>
        </w:rPr>
        <w:t>。</w:t>
      </w:r>
    </w:p>
    <w:p>
      <w:pPr>
        <w:pStyle w:val="51"/>
        <w:spacing w:beforeLines="0" w:afterLines="0"/>
        <w:ind w:left="0"/>
        <w:rPr>
          <w:rFonts w:ascii="宋体" w:hAnsi="宋体" w:eastAsia="宋体"/>
          <w:color w:val="020202"/>
        </w:rPr>
      </w:pPr>
      <w:r>
        <w:rPr>
          <w:rFonts w:hint="eastAsia" w:ascii="宋体" w:hAnsi="宋体" w:eastAsia="宋体"/>
          <w:color w:val="020202"/>
        </w:rPr>
        <w:t>多晶硅</w:t>
      </w:r>
      <w:r>
        <w:rPr>
          <w:rFonts w:ascii="宋体" w:hAnsi="宋体" w:eastAsia="宋体"/>
          <w:color w:val="020202"/>
        </w:rPr>
        <w:t>电阻率</w:t>
      </w:r>
      <w:r>
        <w:rPr>
          <w:rFonts w:hint="eastAsia" w:ascii="宋体" w:hAnsi="宋体" w:eastAsia="宋体"/>
          <w:color w:val="020202"/>
        </w:rPr>
        <w:t>测试按</w:t>
      </w:r>
      <w:r>
        <w:rPr>
          <w:rFonts w:ascii="宋体" w:hAnsi="宋体" w:eastAsia="宋体"/>
          <w:color w:val="020202"/>
        </w:rPr>
        <w:t>GB/T 1551</w:t>
      </w:r>
      <w:r>
        <w:rPr>
          <w:rFonts w:hint="eastAsia" w:ascii="宋体" w:hAnsi="宋体" w:eastAsia="宋体"/>
          <w:color w:val="020202"/>
        </w:rPr>
        <w:t>的</w:t>
      </w:r>
      <w:r>
        <w:rPr>
          <w:rFonts w:ascii="宋体" w:hAnsi="宋体" w:eastAsia="宋体"/>
          <w:color w:val="020202"/>
        </w:rPr>
        <w:t>规定进</w:t>
      </w:r>
      <w:r>
        <w:rPr>
          <w:rFonts w:hint="eastAsia" w:ascii="宋体" w:hAnsi="宋体" w:eastAsia="宋体"/>
          <w:color w:val="020202"/>
        </w:rPr>
        <w:t>行</w:t>
      </w:r>
      <w:r>
        <w:rPr>
          <w:rFonts w:ascii="宋体" w:hAnsi="宋体" w:eastAsia="宋体"/>
          <w:color w:val="020202"/>
        </w:rPr>
        <w:t>。</w:t>
      </w:r>
    </w:p>
    <w:p>
      <w:pPr>
        <w:pStyle w:val="51"/>
        <w:spacing w:beforeLines="0" w:afterLines="0"/>
        <w:ind w:left="0"/>
        <w:rPr>
          <w:rFonts w:ascii="宋体" w:hAnsi="宋体" w:eastAsia="宋体"/>
          <w:color w:val="020202"/>
        </w:rPr>
      </w:pPr>
      <w:r>
        <w:rPr>
          <w:rFonts w:hint="eastAsia" w:ascii="宋体" w:hAnsi="宋体" w:eastAsia="宋体"/>
          <w:color w:val="020202"/>
        </w:rPr>
        <w:t>多晶硅少数载流子寿命测试按GB/T 1553的规定进行。</w:t>
      </w:r>
    </w:p>
    <w:p>
      <w:pPr>
        <w:pStyle w:val="51"/>
        <w:spacing w:beforeLines="0" w:afterLines="0"/>
        <w:ind w:left="0"/>
        <w:rPr>
          <w:rFonts w:ascii="宋体" w:hAnsi="宋体" w:eastAsia="宋体"/>
          <w:color w:val="020202"/>
        </w:rPr>
      </w:pPr>
      <w:r>
        <w:rPr>
          <w:rFonts w:hint="eastAsia" w:ascii="宋体" w:hAnsi="宋体" w:eastAsia="宋体"/>
          <w:color w:val="020202"/>
        </w:rPr>
        <w:t>多晶硅中氧含量测试按GB/T 1557或GB/T 35306的规定进行。仲裁检验</w:t>
      </w:r>
      <w:r>
        <w:rPr>
          <w:rFonts w:ascii="宋体" w:hAnsi="宋体" w:eastAsia="宋体"/>
          <w:color w:val="020202"/>
        </w:rPr>
        <w:t>按</w:t>
      </w:r>
      <w:r>
        <w:rPr>
          <w:rFonts w:hint="eastAsia" w:ascii="宋体" w:hAnsi="宋体" w:eastAsia="宋体"/>
          <w:color w:val="020202"/>
        </w:rPr>
        <w:t>GB/T 35306的</w:t>
      </w:r>
      <w:r>
        <w:rPr>
          <w:rFonts w:ascii="宋体" w:hAnsi="宋体" w:eastAsia="宋体"/>
          <w:color w:val="020202"/>
        </w:rPr>
        <w:t>规定进行。</w:t>
      </w:r>
    </w:p>
    <w:p>
      <w:pPr>
        <w:pStyle w:val="51"/>
        <w:spacing w:beforeLines="0" w:afterLines="0"/>
        <w:ind w:left="0"/>
        <w:rPr>
          <w:rFonts w:ascii="宋体" w:hAnsi="宋体" w:eastAsia="宋体"/>
          <w:color w:val="020202"/>
        </w:rPr>
      </w:pPr>
      <w:r>
        <w:rPr>
          <w:rFonts w:hint="eastAsia" w:ascii="宋体" w:hAnsi="宋体" w:eastAsia="宋体"/>
          <w:color w:val="020202"/>
        </w:rPr>
        <w:t>块状多晶硅的</w:t>
      </w:r>
      <w:r>
        <w:rPr>
          <w:rFonts w:ascii="宋体" w:hAnsi="宋体" w:eastAsia="宋体"/>
          <w:color w:val="020202"/>
        </w:rPr>
        <w:t>尺寸分布范围</w:t>
      </w:r>
      <w:r>
        <w:rPr>
          <w:rFonts w:hint="eastAsia" w:ascii="宋体" w:hAnsi="宋体" w:eastAsia="宋体"/>
          <w:color w:val="020202"/>
        </w:rPr>
        <w:t>用</w:t>
      </w:r>
      <w:r>
        <w:rPr>
          <w:rFonts w:ascii="宋体" w:hAnsi="宋体" w:eastAsia="宋体"/>
          <w:color w:val="020202"/>
        </w:rPr>
        <w:t>过筛检验</w:t>
      </w:r>
      <w:r>
        <w:rPr>
          <w:rFonts w:hint="eastAsia" w:ascii="宋体" w:hAnsi="宋体" w:eastAsia="宋体"/>
          <w:color w:val="020202"/>
        </w:rPr>
        <w:t>。棒状多晶硅尺寸及</w:t>
      </w:r>
      <w:r>
        <w:rPr>
          <w:rFonts w:ascii="宋体" w:hAnsi="宋体" w:eastAsia="宋体"/>
          <w:color w:val="020202"/>
        </w:rPr>
        <w:t>偏差</w:t>
      </w:r>
      <w:r>
        <w:rPr>
          <w:rFonts w:hint="eastAsia" w:ascii="宋体" w:hAnsi="宋体" w:eastAsia="宋体"/>
          <w:color w:val="020202"/>
        </w:rPr>
        <w:t>用相应精度的量具测量。</w:t>
      </w:r>
    </w:p>
    <w:p>
      <w:pPr>
        <w:pStyle w:val="51"/>
        <w:spacing w:beforeLines="0" w:afterLines="0"/>
        <w:ind w:left="0"/>
        <w:rPr>
          <w:rFonts w:ascii="宋体" w:hAnsi="宋体" w:eastAsia="宋体"/>
          <w:color w:val="020202"/>
        </w:rPr>
      </w:pPr>
      <w:r>
        <w:rPr>
          <w:rFonts w:hint="eastAsia" w:ascii="宋体" w:hAnsi="宋体" w:eastAsia="宋体"/>
          <w:color w:val="020202"/>
        </w:rPr>
        <w:t>多晶硅</w:t>
      </w:r>
      <w:r>
        <w:rPr>
          <w:rFonts w:hint="eastAsia" w:ascii="宋体" w:hAnsi="宋体" w:eastAsia="宋体"/>
          <w:color w:val="000000" w:themeColor="text1"/>
          <w14:textFill>
            <w14:solidFill>
              <w14:schemeClr w14:val="tx1"/>
            </w14:solidFill>
          </w14:textFill>
        </w:rPr>
        <w:t>结构（氧化夹层、温度夹层）</w:t>
      </w:r>
      <w:r>
        <w:rPr>
          <w:rFonts w:hint="eastAsia" w:ascii="宋体" w:hAnsi="宋体" w:eastAsia="宋体"/>
          <w:color w:val="020202"/>
        </w:rPr>
        <w:t>的检验按GB/T 4061的规定进行。</w:t>
      </w:r>
    </w:p>
    <w:p>
      <w:pPr>
        <w:pStyle w:val="51"/>
        <w:spacing w:beforeLines="0" w:afterLines="0"/>
        <w:ind w:left="0"/>
        <w:rPr>
          <w:rFonts w:ascii="宋体" w:hAnsi="宋体" w:eastAsia="宋体"/>
          <w:color w:val="020202"/>
        </w:rPr>
      </w:pPr>
      <w:r>
        <w:rPr>
          <w:rFonts w:hint="eastAsia" w:ascii="宋体" w:hAnsi="宋体" w:eastAsia="宋体"/>
          <w:color w:val="020202"/>
        </w:rPr>
        <w:t>多晶硅的</w:t>
      </w:r>
      <w:r>
        <w:rPr>
          <w:rFonts w:hint="eastAsia" w:ascii="宋体" w:hAnsi="宋体" w:eastAsia="宋体"/>
          <w:color w:val="000000" w:themeColor="text1"/>
          <w14:textFill>
            <w14:solidFill>
              <w14:schemeClr w14:val="tx1"/>
            </w14:solidFill>
          </w14:textFill>
        </w:rPr>
        <w:t>断面</w:t>
      </w:r>
      <w:r>
        <w:rPr>
          <w:rFonts w:ascii="宋体" w:hAnsi="宋体" w:eastAsia="宋体"/>
          <w:color w:val="000000" w:themeColor="text1"/>
          <w14:textFill>
            <w14:solidFill>
              <w14:schemeClr w14:val="tx1"/>
            </w14:solidFill>
          </w14:textFill>
        </w:rPr>
        <w:t>边缘颗粒尺寸</w:t>
      </w:r>
      <w:r>
        <w:rPr>
          <w:rFonts w:hint="eastAsia" w:ascii="宋体" w:hAnsi="宋体" w:eastAsia="宋体"/>
          <w:color w:val="000000" w:themeColor="text1"/>
          <w14:textFill>
            <w14:solidFill>
              <w14:schemeClr w14:val="tx1"/>
            </w14:solidFill>
          </w14:textFill>
        </w:rPr>
        <w:t>用相应精度的量具测量，</w:t>
      </w:r>
      <w:r>
        <w:rPr>
          <w:rFonts w:hint="eastAsia" w:ascii="宋体" w:hAnsi="宋体" w:eastAsia="宋体"/>
          <w:color w:val="020202"/>
        </w:rPr>
        <w:t>其他表面</w:t>
      </w:r>
      <w:r>
        <w:rPr>
          <w:rFonts w:ascii="宋体" w:hAnsi="宋体" w:eastAsia="宋体"/>
          <w:color w:val="020202"/>
        </w:rPr>
        <w:t>质</w:t>
      </w:r>
      <w:r>
        <w:rPr>
          <w:rFonts w:hint="eastAsia" w:ascii="宋体" w:hAnsi="宋体" w:eastAsia="宋体"/>
          <w:color w:val="020202"/>
        </w:rPr>
        <w:t>量目视检查。</w:t>
      </w:r>
    </w:p>
    <w:p>
      <w:pPr>
        <w:pStyle w:val="54"/>
        <w:spacing w:before="312" w:after="312"/>
        <w:ind w:left="0"/>
        <w:rPr>
          <w:rFonts w:hAnsi="黑体"/>
          <w:color w:val="020202"/>
          <w:szCs w:val="21"/>
        </w:rPr>
      </w:pPr>
      <w:r>
        <w:rPr>
          <w:rFonts w:hint="eastAsia" w:hAnsi="黑体"/>
          <w:color w:val="020202"/>
          <w:szCs w:val="21"/>
        </w:rPr>
        <w:t>检验规则</w:t>
      </w:r>
    </w:p>
    <w:p>
      <w:pPr>
        <w:pStyle w:val="51"/>
        <w:spacing w:before="156" w:after="156"/>
        <w:ind w:left="0"/>
        <w:rPr>
          <w:rFonts w:hAnsi="黑体"/>
          <w:color w:val="020202"/>
        </w:rPr>
      </w:pPr>
      <w:r>
        <w:rPr>
          <w:rFonts w:hint="eastAsia" w:hAnsi="黑体"/>
          <w:color w:val="020202"/>
        </w:rPr>
        <w:t>检査和验收</w:t>
      </w:r>
    </w:p>
    <w:p>
      <w:pPr>
        <w:pStyle w:val="168"/>
        <w:numPr>
          <w:ilvl w:val="2"/>
          <w:numId w:val="3"/>
        </w:numPr>
        <w:ind w:left="720" w:hanging="720" w:firstLineChars="0"/>
        <w:rPr>
          <w:rFonts w:ascii="宋体" w:hAnsi="宋体"/>
          <w:color w:val="020202"/>
        </w:rPr>
      </w:pPr>
      <w:r>
        <w:rPr>
          <w:rFonts w:hint="eastAsia" w:ascii="宋体" w:hAnsi="宋体"/>
          <w:color w:val="020202"/>
        </w:rPr>
        <w:t>产品由供方或第三方进行检验,保证产品质量符合本文件的规定。</w:t>
      </w:r>
    </w:p>
    <w:p>
      <w:pPr>
        <w:pStyle w:val="168"/>
        <w:numPr>
          <w:ilvl w:val="2"/>
          <w:numId w:val="3"/>
        </w:numPr>
        <w:ind w:left="720" w:hanging="720" w:firstLineChars="0"/>
        <w:rPr>
          <w:rFonts w:ascii="宋体" w:hAnsi="宋体"/>
          <w:color w:val="020202"/>
        </w:rPr>
      </w:pPr>
      <w:r>
        <w:rPr>
          <w:rFonts w:hint="eastAsia" w:ascii="宋体" w:hAnsi="宋体"/>
          <w:color w:val="020202"/>
        </w:rPr>
        <w:t>需方可对收到的产品进行检验。若检验结果与本文件或订货单的规定不符时，应在收到产品之日起3个月内以书面形式向供方提出，</w:t>
      </w:r>
      <w:r>
        <w:rPr>
          <w:rFonts w:ascii="宋体" w:hAnsi="宋体"/>
          <w:color w:val="020202"/>
        </w:rPr>
        <w:t>由供需双方协商解决</w:t>
      </w:r>
      <w:r>
        <w:rPr>
          <w:rFonts w:hint="eastAsia" w:ascii="宋体" w:hAnsi="宋体"/>
          <w:color w:val="020202"/>
        </w:rPr>
        <w:t>。</w:t>
      </w:r>
    </w:p>
    <w:p>
      <w:pPr>
        <w:pStyle w:val="51"/>
        <w:spacing w:before="156" w:after="156"/>
        <w:ind w:left="0"/>
        <w:rPr>
          <w:rFonts w:hAnsi="黑体"/>
          <w:color w:val="020202"/>
        </w:rPr>
      </w:pPr>
      <w:r>
        <w:rPr>
          <w:rFonts w:hint="eastAsia" w:hAnsi="黑体"/>
          <w:color w:val="020202"/>
        </w:rPr>
        <w:t>组批</w:t>
      </w:r>
    </w:p>
    <w:p>
      <w:pPr>
        <w:pStyle w:val="32"/>
        <w:rPr>
          <w:rFonts w:asciiTheme="minorEastAsia" w:hAnsiTheme="minorEastAsia" w:eastAsiaTheme="minorEastAsia"/>
          <w:color w:val="020202"/>
          <w:szCs w:val="21"/>
        </w:rPr>
      </w:pPr>
      <w:r>
        <w:rPr>
          <w:rFonts w:hint="eastAsia" w:asciiTheme="minorEastAsia" w:hAnsiTheme="minorEastAsia" w:eastAsiaTheme="minorEastAsia"/>
          <w:color w:val="020202"/>
          <w:szCs w:val="21"/>
        </w:rPr>
        <w:t>产品应成批提交验收,每批应</w:t>
      </w:r>
      <w:r>
        <w:rPr>
          <w:rFonts w:hint="eastAsia" w:asciiTheme="minorEastAsia" w:hAnsiTheme="minorEastAsia" w:eastAsiaTheme="minorEastAsia"/>
          <w:color w:val="000000" w:themeColor="text1"/>
          <w:szCs w:val="21"/>
          <w14:textFill>
            <w14:solidFill>
              <w14:schemeClr w14:val="tx1"/>
            </w14:solidFill>
          </w14:textFill>
        </w:rPr>
        <w:t>由</w:t>
      </w:r>
      <w:r>
        <w:rPr>
          <w:rFonts w:hint="eastAsia" w:asciiTheme="minorEastAsia" w:hAnsiTheme="minorEastAsia" w:eastAsiaTheme="minorEastAsia"/>
          <w:color w:val="020202"/>
          <w:szCs w:val="21"/>
        </w:rPr>
        <w:t>相同规格和等级,以相同工艺生产的多晶硅组成。</w:t>
      </w:r>
    </w:p>
    <w:p>
      <w:pPr>
        <w:pStyle w:val="51"/>
        <w:spacing w:before="156" w:after="156"/>
        <w:ind w:left="0"/>
      </w:pPr>
      <w:r>
        <w:rPr>
          <w:rFonts w:hint="eastAsia"/>
        </w:rPr>
        <w:t>检验项目</w:t>
      </w:r>
    </w:p>
    <w:p>
      <w:pPr>
        <w:pStyle w:val="168"/>
        <w:widowControl/>
        <w:numPr>
          <w:ilvl w:val="0"/>
          <w:numId w:val="20"/>
        </w:numPr>
        <w:tabs>
          <w:tab w:val="center" w:pos="4201"/>
          <w:tab w:val="right" w:leader="dot" w:pos="9298"/>
        </w:tabs>
        <w:autoSpaceDE w:val="0"/>
        <w:autoSpaceDN w:val="0"/>
        <w:ind w:firstLineChars="0"/>
        <w:rPr>
          <w:rFonts w:asciiTheme="minorEastAsia" w:hAnsiTheme="minorEastAsia" w:eastAsiaTheme="minorEastAsia"/>
          <w:vanish/>
          <w:color w:val="020202"/>
          <w:kern w:val="0"/>
          <w:szCs w:val="21"/>
        </w:rPr>
      </w:pPr>
    </w:p>
    <w:p>
      <w:pPr>
        <w:pStyle w:val="168"/>
        <w:widowControl/>
        <w:numPr>
          <w:ilvl w:val="0"/>
          <w:numId w:val="20"/>
        </w:numPr>
        <w:tabs>
          <w:tab w:val="center" w:pos="4201"/>
          <w:tab w:val="right" w:leader="dot" w:pos="9298"/>
        </w:tabs>
        <w:autoSpaceDE w:val="0"/>
        <w:autoSpaceDN w:val="0"/>
        <w:ind w:firstLineChars="0"/>
        <w:rPr>
          <w:rFonts w:asciiTheme="minorEastAsia" w:hAnsiTheme="minorEastAsia" w:eastAsiaTheme="minorEastAsia"/>
          <w:vanish/>
          <w:color w:val="020202"/>
          <w:kern w:val="0"/>
          <w:szCs w:val="21"/>
        </w:rPr>
      </w:pPr>
    </w:p>
    <w:p>
      <w:pPr>
        <w:pStyle w:val="168"/>
        <w:widowControl/>
        <w:numPr>
          <w:ilvl w:val="0"/>
          <w:numId w:val="20"/>
        </w:numPr>
        <w:tabs>
          <w:tab w:val="center" w:pos="4201"/>
          <w:tab w:val="right" w:leader="dot" w:pos="9298"/>
        </w:tabs>
        <w:autoSpaceDE w:val="0"/>
        <w:autoSpaceDN w:val="0"/>
        <w:ind w:firstLineChars="0"/>
        <w:rPr>
          <w:rFonts w:asciiTheme="minorEastAsia" w:hAnsiTheme="minorEastAsia" w:eastAsiaTheme="minorEastAsia"/>
          <w:vanish/>
          <w:color w:val="020202"/>
          <w:kern w:val="0"/>
          <w:szCs w:val="21"/>
        </w:rPr>
      </w:pPr>
    </w:p>
    <w:p>
      <w:pPr>
        <w:pStyle w:val="168"/>
        <w:widowControl/>
        <w:numPr>
          <w:ilvl w:val="0"/>
          <w:numId w:val="20"/>
        </w:numPr>
        <w:tabs>
          <w:tab w:val="center" w:pos="4201"/>
          <w:tab w:val="right" w:leader="dot" w:pos="9298"/>
        </w:tabs>
        <w:autoSpaceDE w:val="0"/>
        <w:autoSpaceDN w:val="0"/>
        <w:ind w:firstLineChars="0"/>
        <w:rPr>
          <w:rFonts w:asciiTheme="minorEastAsia" w:hAnsiTheme="minorEastAsia" w:eastAsiaTheme="minorEastAsia"/>
          <w:vanish/>
          <w:color w:val="020202"/>
          <w:kern w:val="0"/>
          <w:szCs w:val="21"/>
        </w:rPr>
      </w:pPr>
    </w:p>
    <w:p>
      <w:pPr>
        <w:pStyle w:val="168"/>
        <w:widowControl/>
        <w:numPr>
          <w:ilvl w:val="0"/>
          <w:numId w:val="20"/>
        </w:numPr>
        <w:tabs>
          <w:tab w:val="center" w:pos="4201"/>
          <w:tab w:val="right" w:leader="dot" w:pos="9298"/>
        </w:tabs>
        <w:autoSpaceDE w:val="0"/>
        <w:autoSpaceDN w:val="0"/>
        <w:ind w:firstLineChars="0"/>
        <w:rPr>
          <w:rFonts w:asciiTheme="minorEastAsia" w:hAnsiTheme="minorEastAsia" w:eastAsiaTheme="minorEastAsia"/>
          <w:vanish/>
          <w:color w:val="020202"/>
          <w:kern w:val="0"/>
          <w:szCs w:val="21"/>
        </w:rPr>
      </w:pPr>
    </w:p>
    <w:p>
      <w:pPr>
        <w:pStyle w:val="168"/>
        <w:widowControl/>
        <w:numPr>
          <w:ilvl w:val="0"/>
          <w:numId w:val="20"/>
        </w:numPr>
        <w:tabs>
          <w:tab w:val="center" w:pos="4201"/>
          <w:tab w:val="right" w:leader="dot" w:pos="9298"/>
        </w:tabs>
        <w:autoSpaceDE w:val="0"/>
        <w:autoSpaceDN w:val="0"/>
        <w:ind w:firstLineChars="0"/>
        <w:rPr>
          <w:rFonts w:asciiTheme="minorEastAsia" w:hAnsiTheme="minorEastAsia" w:eastAsiaTheme="minorEastAsia"/>
          <w:vanish/>
          <w:color w:val="020202"/>
          <w:kern w:val="0"/>
          <w:szCs w:val="21"/>
        </w:rPr>
      </w:pPr>
    </w:p>
    <w:p>
      <w:pPr>
        <w:pStyle w:val="168"/>
        <w:widowControl/>
        <w:numPr>
          <w:ilvl w:val="0"/>
          <w:numId w:val="20"/>
        </w:numPr>
        <w:tabs>
          <w:tab w:val="center" w:pos="4201"/>
          <w:tab w:val="right" w:leader="dot" w:pos="9298"/>
        </w:tabs>
        <w:autoSpaceDE w:val="0"/>
        <w:autoSpaceDN w:val="0"/>
        <w:ind w:firstLineChars="0"/>
        <w:rPr>
          <w:rFonts w:asciiTheme="minorEastAsia" w:hAnsiTheme="minorEastAsia" w:eastAsiaTheme="minorEastAsia"/>
          <w:vanish/>
          <w:color w:val="020202"/>
          <w:kern w:val="0"/>
          <w:szCs w:val="21"/>
        </w:rPr>
      </w:pPr>
    </w:p>
    <w:p>
      <w:pPr>
        <w:pStyle w:val="168"/>
        <w:widowControl/>
        <w:numPr>
          <w:ilvl w:val="1"/>
          <w:numId w:val="20"/>
        </w:numPr>
        <w:tabs>
          <w:tab w:val="center" w:pos="4201"/>
          <w:tab w:val="right" w:leader="dot" w:pos="9298"/>
        </w:tabs>
        <w:autoSpaceDE w:val="0"/>
        <w:autoSpaceDN w:val="0"/>
        <w:ind w:firstLineChars="0"/>
        <w:rPr>
          <w:rFonts w:asciiTheme="minorEastAsia" w:hAnsiTheme="minorEastAsia" w:eastAsiaTheme="minorEastAsia"/>
          <w:vanish/>
          <w:color w:val="020202"/>
          <w:kern w:val="0"/>
          <w:szCs w:val="21"/>
        </w:rPr>
      </w:pPr>
    </w:p>
    <w:p>
      <w:pPr>
        <w:pStyle w:val="168"/>
        <w:widowControl/>
        <w:numPr>
          <w:ilvl w:val="1"/>
          <w:numId w:val="20"/>
        </w:numPr>
        <w:tabs>
          <w:tab w:val="center" w:pos="4201"/>
          <w:tab w:val="right" w:leader="dot" w:pos="9298"/>
        </w:tabs>
        <w:autoSpaceDE w:val="0"/>
        <w:autoSpaceDN w:val="0"/>
        <w:ind w:firstLineChars="0"/>
        <w:rPr>
          <w:rFonts w:asciiTheme="minorEastAsia" w:hAnsiTheme="minorEastAsia" w:eastAsiaTheme="minorEastAsia"/>
          <w:vanish/>
          <w:color w:val="020202"/>
          <w:kern w:val="0"/>
          <w:szCs w:val="21"/>
        </w:rPr>
      </w:pPr>
    </w:p>
    <w:p>
      <w:pPr>
        <w:pStyle w:val="168"/>
        <w:widowControl/>
        <w:numPr>
          <w:ilvl w:val="1"/>
          <w:numId w:val="20"/>
        </w:numPr>
        <w:tabs>
          <w:tab w:val="center" w:pos="4201"/>
          <w:tab w:val="right" w:leader="dot" w:pos="9298"/>
        </w:tabs>
        <w:autoSpaceDE w:val="0"/>
        <w:autoSpaceDN w:val="0"/>
        <w:ind w:firstLineChars="0"/>
        <w:rPr>
          <w:rFonts w:asciiTheme="minorEastAsia" w:hAnsiTheme="minorEastAsia" w:eastAsiaTheme="minorEastAsia"/>
          <w:vanish/>
          <w:color w:val="020202"/>
          <w:kern w:val="0"/>
          <w:szCs w:val="21"/>
        </w:rPr>
      </w:pPr>
    </w:p>
    <w:p>
      <w:pPr>
        <w:pStyle w:val="168"/>
        <w:numPr>
          <w:ilvl w:val="2"/>
          <w:numId w:val="3"/>
        </w:numPr>
        <w:ind w:left="720" w:hanging="720" w:firstLineChars="0"/>
        <w:rPr>
          <w:rFonts w:ascii="宋体" w:hAnsi="宋体"/>
          <w:color w:val="020202"/>
        </w:rPr>
      </w:pPr>
      <w:r>
        <w:rPr>
          <w:rFonts w:hint="eastAsia" w:ascii="宋体" w:hAnsi="宋体"/>
          <w:color w:val="020202"/>
        </w:rPr>
        <w:t>每批产品应对施主杂质含量、受主杂质含量、碳含量、</w:t>
      </w:r>
      <w:r>
        <w:rPr>
          <w:rFonts w:hint="eastAsia" w:ascii="宋体" w:hAnsi="宋体"/>
          <w:color w:val="020202"/>
        </w:rPr>
        <w:tab/>
      </w:r>
      <w:r>
        <w:rPr>
          <w:rFonts w:hint="eastAsia" w:ascii="宋体" w:hAnsi="宋体"/>
          <w:color w:val="020202"/>
        </w:rPr>
        <w:t>基体金属杂质含量、表面金属杂质含量尺寸及允许偏差、结构、表面质量进行检验。</w:t>
      </w:r>
    </w:p>
    <w:p>
      <w:pPr>
        <w:pStyle w:val="168"/>
        <w:numPr>
          <w:ilvl w:val="2"/>
          <w:numId w:val="3"/>
        </w:numPr>
        <w:ind w:left="720" w:hanging="720" w:firstLineChars="0"/>
        <w:rPr>
          <w:rFonts w:ascii="宋体" w:hAnsi="宋体"/>
          <w:color w:val="020202"/>
        </w:rPr>
      </w:pPr>
      <w:r>
        <w:rPr>
          <w:rFonts w:hint="eastAsia" w:ascii="宋体" w:hAnsi="宋体"/>
          <w:color w:val="020202"/>
        </w:rPr>
        <w:t>导电类型、电阻率、少数载流子</w:t>
      </w:r>
      <w:r>
        <w:rPr>
          <w:rFonts w:ascii="宋体" w:hAnsi="宋体"/>
          <w:color w:val="020202"/>
        </w:rPr>
        <w:t>寿命、</w:t>
      </w:r>
      <w:r>
        <w:rPr>
          <w:rFonts w:hint="eastAsia" w:ascii="宋体" w:hAnsi="宋体"/>
          <w:color w:val="020202"/>
        </w:rPr>
        <w:t>氧含量的检验由供需双方协商并在</w:t>
      </w:r>
      <w:r>
        <w:rPr>
          <w:rFonts w:ascii="宋体" w:hAnsi="宋体"/>
          <w:color w:val="020202"/>
        </w:rPr>
        <w:t>合同中</w:t>
      </w:r>
      <w:r>
        <w:rPr>
          <w:rFonts w:hint="eastAsia" w:ascii="宋体" w:hAnsi="宋体"/>
          <w:color w:val="020202"/>
        </w:rPr>
        <w:t>注明。</w:t>
      </w:r>
    </w:p>
    <w:p>
      <w:pPr>
        <w:pStyle w:val="51"/>
        <w:spacing w:before="156" w:after="156"/>
        <w:ind w:left="0"/>
        <w:rPr>
          <w:rFonts w:hAnsi="黑体"/>
          <w:color w:val="020202"/>
        </w:rPr>
      </w:pPr>
      <w:r>
        <w:rPr>
          <w:rFonts w:hint="eastAsia" w:hAnsi="黑体"/>
          <w:color w:val="020202"/>
        </w:rPr>
        <w:t>取样与制样</w:t>
      </w:r>
    </w:p>
    <w:p>
      <w:pPr>
        <w:pStyle w:val="168"/>
        <w:numPr>
          <w:ilvl w:val="2"/>
          <w:numId w:val="3"/>
        </w:numPr>
        <w:ind w:left="720" w:hanging="720" w:firstLineChars="0"/>
        <w:rPr>
          <w:rFonts w:ascii="宋体" w:hAnsi="宋体"/>
          <w:color w:val="020202"/>
        </w:rPr>
      </w:pPr>
      <w:r>
        <w:rPr>
          <w:rFonts w:hint="eastAsia" w:ascii="宋体" w:hAnsi="宋体"/>
          <w:color w:val="020202"/>
        </w:rPr>
        <w:t>供方取样、制样时,</w:t>
      </w:r>
      <w:r>
        <w:rPr>
          <w:rFonts w:ascii="宋体" w:hAnsi="宋体"/>
          <w:color w:val="020202"/>
        </w:rPr>
        <w:t>电阻率的</w:t>
      </w:r>
      <w:r>
        <w:rPr>
          <w:rFonts w:hint="eastAsia" w:ascii="宋体" w:hAnsi="宋体"/>
          <w:color w:val="020202"/>
        </w:rPr>
        <w:t>取样、</w:t>
      </w:r>
      <w:r>
        <w:rPr>
          <w:rFonts w:ascii="宋体" w:hAnsi="宋体"/>
          <w:color w:val="020202"/>
        </w:rPr>
        <w:t>制样</w:t>
      </w:r>
      <w:r>
        <w:rPr>
          <w:rFonts w:hint="eastAsia" w:ascii="宋体" w:hAnsi="宋体"/>
          <w:color w:val="020202"/>
        </w:rPr>
        <w:t>按GB/T 4059、GB/T 4060或GB/T 29057进行,氧化夹层和</w:t>
      </w:r>
      <w:r>
        <w:rPr>
          <w:rFonts w:ascii="宋体" w:hAnsi="宋体"/>
          <w:color w:val="020202"/>
        </w:rPr>
        <w:t>温度夹层</w:t>
      </w:r>
      <w:r>
        <w:rPr>
          <w:rFonts w:hint="eastAsia" w:ascii="宋体" w:hAnsi="宋体"/>
          <w:color w:val="020202"/>
        </w:rPr>
        <w:t>取样、制样按GB/T 4061进行。仲裁抽样方案由供需双方协商确定。</w:t>
      </w:r>
    </w:p>
    <w:p>
      <w:pPr>
        <w:pStyle w:val="168"/>
        <w:numPr>
          <w:ilvl w:val="2"/>
          <w:numId w:val="3"/>
        </w:numPr>
        <w:ind w:left="720" w:hanging="720" w:firstLineChars="0"/>
        <w:rPr>
          <w:rFonts w:ascii="宋体" w:hAnsi="宋体"/>
          <w:color w:val="020202"/>
        </w:rPr>
      </w:pPr>
      <w:r>
        <w:rPr>
          <w:rFonts w:hint="eastAsia" w:ascii="宋体" w:hAnsi="宋体"/>
          <w:color w:val="020202"/>
        </w:rPr>
        <w:t>导电类型、施主杂质含量、受主杂质含量、少数载流子寿命、碳含</w:t>
      </w:r>
      <w:r>
        <w:rPr>
          <w:rFonts w:ascii="宋体" w:hAnsi="宋体"/>
          <w:color w:val="020202"/>
        </w:rPr>
        <w:t>量</w:t>
      </w:r>
      <w:r>
        <w:rPr>
          <w:rFonts w:hint="eastAsia" w:ascii="宋体" w:hAnsi="宋体"/>
          <w:color w:val="020202"/>
        </w:rPr>
        <w:t>、氧含量、基体金属杂质含量、表面金属杂质含量、尺寸及允许偏差、表面质量的取样由供需双方协商确定。</w:t>
      </w:r>
    </w:p>
    <w:p>
      <w:pPr>
        <w:pStyle w:val="51"/>
        <w:spacing w:before="156" w:after="156"/>
        <w:ind w:left="0"/>
        <w:rPr>
          <w:rFonts w:hAnsi="黑体"/>
          <w:color w:val="020202"/>
        </w:rPr>
      </w:pPr>
      <w:r>
        <w:rPr>
          <w:rFonts w:hint="eastAsia" w:hAnsi="黑体"/>
          <w:color w:val="020202"/>
        </w:rPr>
        <w:t>检验结果的判定</w:t>
      </w:r>
    </w:p>
    <w:p>
      <w:pPr>
        <w:pStyle w:val="168"/>
        <w:numPr>
          <w:ilvl w:val="2"/>
          <w:numId w:val="3"/>
        </w:numPr>
        <w:ind w:left="720" w:hanging="720" w:firstLineChars="0"/>
        <w:rPr>
          <w:rFonts w:asciiTheme="minorEastAsia" w:hAnsiTheme="minorEastAsia" w:eastAsiaTheme="minorEastAsia"/>
          <w:color w:val="020202"/>
        </w:rPr>
      </w:pPr>
      <w:r>
        <w:rPr>
          <w:rFonts w:hint="eastAsia" w:asciiTheme="minorEastAsia" w:hAnsiTheme="minorEastAsia" w:eastAsiaTheme="minorEastAsia"/>
          <w:color w:val="020202"/>
        </w:rPr>
        <w:t>多晶硅的施主杂质含量、受主杂质含量、碳含量、基体金属杂质含量、表面金属杂质含量的判定项目中若检验结果有一项不合格,则加倍取样对该不合格的项目进行重复试验。对重复试验结果仍不合格,则判该批产品不合格。</w:t>
      </w:r>
    </w:p>
    <w:p>
      <w:pPr>
        <w:pStyle w:val="168"/>
        <w:numPr>
          <w:ilvl w:val="2"/>
          <w:numId w:val="3"/>
        </w:numPr>
        <w:ind w:left="720" w:hanging="720" w:firstLineChars="0"/>
        <w:rPr>
          <w:rFonts w:asciiTheme="minorEastAsia" w:hAnsiTheme="minorEastAsia" w:eastAsiaTheme="minorEastAsia"/>
          <w:color w:val="020202"/>
        </w:rPr>
      </w:pPr>
      <w:r>
        <w:rPr>
          <w:rFonts w:hint="eastAsia" w:asciiTheme="minorEastAsia" w:hAnsiTheme="minorEastAsia" w:eastAsiaTheme="minorEastAsia"/>
          <w:color w:val="020202"/>
        </w:rPr>
        <w:t>导电类型、电阻率、少数</w:t>
      </w:r>
      <w:r>
        <w:rPr>
          <w:rFonts w:asciiTheme="minorEastAsia" w:hAnsiTheme="minorEastAsia" w:eastAsiaTheme="minorEastAsia"/>
          <w:color w:val="020202"/>
        </w:rPr>
        <w:t>载流子寿命</w:t>
      </w:r>
      <w:r>
        <w:rPr>
          <w:rFonts w:hint="eastAsia" w:asciiTheme="minorEastAsia" w:hAnsiTheme="minorEastAsia" w:eastAsiaTheme="minorEastAsia"/>
          <w:color w:val="020202"/>
        </w:rPr>
        <w:t>、氧浓度、尺寸及允许偏差、结构、表面质量检验结果的判定由供需双方协商确定。</w:t>
      </w:r>
    </w:p>
    <w:p>
      <w:pPr>
        <w:pStyle w:val="54"/>
        <w:spacing w:before="312" w:after="312"/>
        <w:ind w:left="0"/>
        <w:rPr>
          <w:rFonts w:hAnsi="黑体"/>
          <w:color w:val="020202"/>
          <w:szCs w:val="21"/>
        </w:rPr>
      </w:pPr>
      <w:r>
        <w:rPr>
          <w:rFonts w:hint="eastAsia" w:hAnsi="黑体"/>
          <w:color w:val="020202"/>
          <w:szCs w:val="21"/>
        </w:rPr>
        <w:t>标志、包装、运输、贮存及随行文件</w:t>
      </w:r>
    </w:p>
    <w:p>
      <w:pPr>
        <w:pStyle w:val="51"/>
        <w:spacing w:before="156" w:after="156"/>
        <w:ind w:left="0"/>
        <w:rPr>
          <w:rFonts w:hAnsi="黑体"/>
          <w:color w:val="020202"/>
        </w:rPr>
      </w:pPr>
      <w:r>
        <w:rPr>
          <w:rFonts w:hint="eastAsia" w:hAnsi="黑体"/>
          <w:color w:val="020202"/>
        </w:rPr>
        <w:t>标志</w:t>
      </w:r>
    </w:p>
    <w:p>
      <w:pPr>
        <w:pStyle w:val="32"/>
        <w:rPr>
          <w:rFonts w:asciiTheme="minorEastAsia" w:hAnsiTheme="minorEastAsia" w:eastAsiaTheme="minorEastAsia"/>
          <w:color w:val="020202"/>
          <w:szCs w:val="21"/>
        </w:rPr>
      </w:pPr>
      <w:r>
        <w:rPr>
          <w:rFonts w:hint="eastAsia" w:asciiTheme="minorEastAsia" w:hAnsiTheme="minorEastAsia" w:eastAsiaTheme="minorEastAsia"/>
          <w:color w:val="020202"/>
          <w:szCs w:val="21"/>
        </w:rPr>
        <w:t>包装箱外应标有“小心轻放”及“防潮”字样或标志、并注明:</w:t>
      </w:r>
    </w:p>
    <w:p>
      <w:pPr>
        <w:pStyle w:val="32"/>
        <w:ind w:left="576" w:firstLine="0" w:firstLineChars="0"/>
        <w:rPr>
          <w:rFonts w:asciiTheme="minorEastAsia" w:hAnsiTheme="minorEastAsia" w:eastAsiaTheme="minorEastAsia"/>
          <w:color w:val="020202"/>
          <w:szCs w:val="21"/>
        </w:rPr>
      </w:pPr>
      <w:r>
        <w:rPr>
          <w:rFonts w:asciiTheme="minorEastAsia" w:hAnsiTheme="minorEastAsia" w:eastAsiaTheme="minorEastAsia"/>
          <w:color w:val="020202"/>
          <w:szCs w:val="21"/>
        </w:rPr>
        <w:t>a</w:t>
      </w:r>
      <w:r>
        <w:rPr>
          <w:rFonts w:hint="eastAsia" w:asciiTheme="minorEastAsia" w:hAnsiTheme="minorEastAsia" w:eastAsiaTheme="minorEastAsia"/>
          <w:color w:val="020202"/>
          <w:szCs w:val="21"/>
        </w:rPr>
        <w:t>)  产品名称、牌号；</w:t>
      </w:r>
    </w:p>
    <w:p>
      <w:pPr>
        <w:pStyle w:val="32"/>
        <w:ind w:left="576" w:firstLine="0" w:firstLineChars="0"/>
        <w:rPr>
          <w:rFonts w:asciiTheme="minorEastAsia" w:hAnsiTheme="minorEastAsia" w:eastAsiaTheme="minorEastAsia"/>
          <w:color w:val="020202"/>
          <w:szCs w:val="21"/>
        </w:rPr>
      </w:pPr>
      <w:r>
        <w:rPr>
          <w:rFonts w:hint="eastAsia" w:asciiTheme="minorEastAsia" w:hAnsiTheme="minorEastAsia" w:eastAsiaTheme="minorEastAsia"/>
          <w:color w:val="020202"/>
          <w:szCs w:val="21"/>
        </w:rPr>
        <w:t>b)  产品发货件数、净重；</w:t>
      </w:r>
    </w:p>
    <w:p>
      <w:pPr>
        <w:pStyle w:val="32"/>
        <w:ind w:left="576" w:firstLine="0" w:firstLineChars="0"/>
        <w:rPr>
          <w:rFonts w:asciiTheme="minorEastAsia" w:hAnsiTheme="minorEastAsia" w:eastAsiaTheme="minorEastAsia"/>
          <w:color w:val="020202"/>
          <w:szCs w:val="21"/>
        </w:rPr>
      </w:pPr>
      <w:r>
        <w:rPr>
          <w:rFonts w:hint="eastAsia" w:asciiTheme="minorEastAsia" w:hAnsiTheme="minorEastAsia" w:eastAsiaTheme="minorEastAsia"/>
          <w:color w:val="020202"/>
          <w:szCs w:val="21"/>
        </w:rPr>
        <w:t>c)  供方名称。</w:t>
      </w:r>
    </w:p>
    <w:p>
      <w:pPr>
        <w:pStyle w:val="51"/>
        <w:spacing w:before="156" w:after="156"/>
        <w:ind w:left="0"/>
        <w:rPr>
          <w:rFonts w:hAnsi="黑体"/>
          <w:color w:val="020202"/>
        </w:rPr>
      </w:pPr>
      <w:r>
        <w:rPr>
          <w:rFonts w:hint="eastAsia" w:hAnsi="黑体"/>
          <w:color w:val="020202"/>
        </w:rPr>
        <w:t>包装</w:t>
      </w:r>
    </w:p>
    <w:p>
      <w:pPr>
        <w:pStyle w:val="32"/>
        <w:rPr>
          <w:rFonts w:asciiTheme="minorEastAsia" w:hAnsiTheme="minorEastAsia" w:eastAsiaTheme="minorEastAsia"/>
          <w:color w:val="020202"/>
          <w:szCs w:val="21"/>
        </w:rPr>
      </w:pPr>
      <w:r>
        <w:rPr>
          <w:rFonts w:hint="eastAsia" w:asciiTheme="minorEastAsia" w:hAnsiTheme="minorEastAsia" w:eastAsiaTheme="minorEastAsia"/>
          <w:color w:val="020202"/>
          <w:szCs w:val="21"/>
        </w:rPr>
        <w:t>多晶硅装入洁净的聚乙烯包装袋内密封。包装时应防止聚乙烯包装袋破损,以避免产品外来沾污，并提供良好保护,装入外包装箱。多晶硅的包装也可由供需双方协商确定。</w:t>
      </w:r>
    </w:p>
    <w:p>
      <w:pPr>
        <w:pStyle w:val="51"/>
        <w:spacing w:before="156" w:after="156"/>
        <w:ind w:left="0"/>
        <w:rPr>
          <w:rFonts w:hAnsi="黑体"/>
          <w:color w:val="020202"/>
        </w:rPr>
      </w:pPr>
      <w:r>
        <w:rPr>
          <w:rFonts w:hint="eastAsia" w:hAnsi="黑体"/>
          <w:color w:val="020202"/>
        </w:rPr>
        <w:t>运输</w:t>
      </w:r>
    </w:p>
    <w:p>
      <w:pPr>
        <w:pStyle w:val="32"/>
        <w:rPr>
          <w:rFonts w:ascii="黑体" w:hAnsi="黑体" w:eastAsia="黑体"/>
          <w:color w:val="020202"/>
          <w:szCs w:val="21"/>
        </w:rPr>
      </w:pPr>
      <w:r>
        <w:rPr>
          <w:rFonts w:hint="eastAsia" w:asciiTheme="minorEastAsia" w:hAnsiTheme="minorEastAsia" w:eastAsiaTheme="minorEastAsia"/>
          <w:color w:val="020202"/>
          <w:szCs w:val="21"/>
        </w:rPr>
        <w:t>多晶硅在运输过程中应轻装轻卸，勿压勿挤，并采取防震措施</w:t>
      </w:r>
      <w:r>
        <w:rPr>
          <w:rFonts w:hint="eastAsia" w:ascii="黑体" w:hAnsi="黑体" w:eastAsia="黑体"/>
          <w:color w:val="020202"/>
          <w:szCs w:val="21"/>
        </w:rPr>
        <w:t>。</w:t>
      </w:r>
    </w:p>
    <w:p>
      <w:pPr>
        <w:pStyle w:val="51"/>
        <w:spacing w:before="156" w:after="156"/>
        <w:ind w:left="0"/>
        <w:rPr>
          <w:rFonts w:hAnsi="黑体"/>
          <w:color w:val="020202"/>
        </w:rPr>
      </w:pPr>
      <w:r>
        <w:rPr>
          <w:rFonts w:hint="eastAsia" w:hAnsi="黑体"/>
          <w:color w:val="020202"/>
        </w:rPr>
        <w:t>贮存</w:t>
      </w:r>
    </w:p>
    <w:p>
      <w:pPr>
        <w:pStyle w:val="32"/>
        <w:rPr>
          <w:rFonts w:asciiTheme="minorEastAsia" w:hAnsiTheme="minorEastAsia" w:eastAsiaTheme="minorEastAsia"/>
          <w:color w:val="020202"/>
          <w:szCs w:val="21"/>
        </w:rPr>
      </w:pPr>
      <w:r>
        <w:rPr>
          <w:rFonts w:hint="eastAsia" w:asciiTheme="minorEastAsia" w:hAnsiTheme="minorEastAsia" w:eastAsiaTheme="minorEastAsia"/>
          <w:color w:val="020202"/>
          <w:szCs w:val="21"/>
        </w:rPr>
        <w:t>多晶硅应贮存在清洁、干燥环境中。</w:t>
      </w:r>
    </w:p>
    <w:p>
      <w:pPr>
        <w:pStyle w:val="51"/>
        <w:spacing w:before="156" w:after="156"/>
        <w:ind w:left="0"/>
        <w:rPr>
          <w:rFonts w:hAnsi="黑体"/>
          <w:color w:val="020202"/>
        </w:rPr>
      </w:pPr>
      <w:r>
        <w:rPr>
          <w:rFonts w:hint="eastAsia" w:hAnsi="黑体"/>
          <w:color w:val="020202"/>
        </w:rPr>
        <w:t>随行文件</w:t>
      </w:r>
    </w:p>
    <w:p>
      <w:pPr>
        <w:pStyle w:val="51"/>
        <w:numPr>
          <w:ilvl w:val="0"/>
          <w:numId w:val="0"/>
        </w:numPr>
        <w:spacing w:beforeLines="0" w:afterLines="0"/>
        <w:ind w:firstLine="420" w:firstLineChars="200"/>
        <w:rPr>
          <w:rFonts w:ascii="Times New Roman" w:eastAsia="宋体"/>
        </w:rPr>
      </w:pPr>
      <w:r>
        <w:rPr>
          <w:rFonts w:hint="eastAsia" w:ascii="Times New Roman" w:eastAsia="宋体"/>
        </w:rPr>
        <w:t>每批产品</w:t>
      </w:r>
      <w:r>
        <w:rPr>
          <w:rFonts w:ascii="Times New Roman" w:eastAsia="宋体"/>
        </w:rPr>
        <w:t>应附有</w:t>
      </w:r>
      <w:r>
        <w:rPr>
          <w:rFonts w:hint="eastAsia" w:ascii="Times New Roman" w:eastAsia="宋体"/>
        </w:rPr>
        <w:t>随行文件，其中除应包括供方信息、产品信息、本文件编号、出厂日期或包装日期外，还宜包括：</w:t>
      </w:r>
      <w:r>
        <w:rPr>
          <w:rFonts w:ascii="Times New Roman" w:eastAsia="宋体"/>
        </w:rPr>
        <w:t xml:space="preserve"> </w:t>
      </w:r>
    </w:p>
    <w:p>
      <w:pPr>
        <w:pStyle w:val="51"/>
        <w:numPr>
          <w:ilvl w:val="0"/>
          <w:numId w:val="0"/>
        </w:numPr>
        <w:spacing w:beforeLines="0" w:afterLines="0"/>
        <w:ind w:firstLine="420" w:firstLineChars="200"/>
        <w:rPr>
          <w:rFonts w:ascii="宋体" w:hAnsi="宋体" w:eastAsia="宋体"/>
        </w:rPr>
      </w:pPr>
      <w:r>
        <w:rPr>
          <w:rFonts w:hint="eastAsia" w:ascii="宋体" w:hAnsi="宋体" w:eastAsia="宋体"/>
        </w:rPr>
        <w:t>a）产品质量证明书，内容如下：</w:t>
      </w:r>
    </w:p>
    <w:p>
      <w:pPr>
        <w:pStyle w:val="51"/>
        <w:numPr>
          <w:ilvl w:val="0"/>
          <w:numId w:val="21"/>
        </w:numPr>
        <w:spacing w:beforeLines="0" w:afterLines="0"/>
        <w:ind w:left="0" w:firstLine="737"/>
        <w:rPr>
          <w:rFonts w:ascii="宋体" w:hAnsi="宋体" w:eastAsia="宋体"/>
        </w:rPr>
      </w:pPr>
      <w:r>
        <w:rPr>
          <w:rFonts w:hint="eastAsia" w:ascii="宋体" w:hAnsi="宋体" w:eastAsia="宋体"/>
        </w:rPr>
        <w:t>供需双方</w:t>
      </w:r>
      <w:r>
        <w:rPr>
          <w:rFonts w:ascii="宋体" w:hAnsi="宋体" w:eastAsia="宋体"/>
        </w:rPr>
        <w:t>协商需求的内容</w:t>
      </w:r>
      <w:r>
        <w:rPr>
          <w:rFonts w:hint="eastAsia" w:ascii="宋体" w:hAnsi="宋体" w:eastAsia="宋体"/>
        </w:rPr>
        <w:t>；</w:t>
      </w:r>
    </w:p>
    <w:p>
      <w:pPr>
        <w:pStyle w:val="51"/>
        <w:numPr>
          <w:ilvl w:val="0"/>
          <w:numId w:val="21"/>
        </w:numPr>
        <w:spacing w:beforeLines="0" w:afterLines="0"/>
        <w:ind w:left="0" w:firstLine="737"/>
        <w:rPr>
          <w:rFonts w:ascii="宋体" w:hAnsi="宋体" w:eastAsia="宋体"/>
        </w:rPr>
      </w:pPr>
      <w:r>
        <w:rPr>
          <w:rFonts w:hint="eastAsia" w:ascii="宋体" w:hAnsi="宋体" w:eastAsia="宋体"/>
        </w:rPr>
        <w:t>产品获得的质量认证或带供方技术监督部门检印的各项分析检验结果。</w:t>
      </w:r>
    </w:p>
    <w:p>
      <w:pPr>
        <w:pStyle w:val="51"/>
        <w:numPr>
          <w:ilvl w:val="0"/>
          <w:numId w:val="0"/>
        </w:numPr>
        <w:spacing w:beforeLines="0" w:afterLines="0"/>
        <w:ind w:firstLine="420" w:firstLineChars="200"/>
        <w:rPr>
          <w:rFonts w:ascii="宋体" w:hAnsi="宋体" w:eastAsia="宋体"/>
        </w:rPr>
      </w:pPr>
      <w:r>
        <w:rPr>
          <w:rFonts w:hint="eastAsia" w:ascii="宋体" w:hAnsi="宋体" w:eastAsia="宋体"/>
        </w:rPr>
        <w:t>b）产品质量控制过程中的检验报告及成品检验报告。</w:t>
      </w:r>
    </w:p>
    <w:p>
      <w:pPr>
        <w:pStyle w:val="51"/>
        <w:numPr>
          <w:ilvl w:val="0"/>
          <w:numId w:val="0"/>
        </w:numPr>
        <w:spacing w:beforeLines="0" w:afterLines="0"/>
        <w:ind w:firstLine="420" w:firstLineChars="200"/>
        <w:rPr>
          <w:rFonts w:ascii="宋体" w:hAnsi="宋体" w:eastAsia="宋体"/>
        </w:rPr>
      </w:pPr>
      <w:r>
        <w:rPr>
          <w:rFonts w:ascii="宋体" w:hAnsi="宋体" w:eastAsia="宋体"/>
        </w:rPr>
        <w:t>c</w:t>
      </w:r>
      <w:r>
        <w:rPr>
          <w:rFonts w:hint="eastAsia" w:ascii="宋体" w:hAnsi="宋体" w:eastAsia="宋体"/>
        </w:rPr>
        <w:t>）其他。</w:t>
      </w:r>
    </w:p>
    <w:p>
      <w:pPr>
        <w:pStyle w:val="54"/>
        <w:spacing w:before="312" w:after="312"/>
        <w:ind w:left="0"/>
        <w:rPr>
          <w:rFonts w:hAnsi="黑体"/>
          <w:color w:val="020202"/>
          <w:szCs w:val="21"/>
        </w:rPr>
      </w:pPr>
      <w:r>
        <w:rPr>
          <w:rFonts w:hint="eastAsia" w:hAnsi="黑体"/>
          <w:color w:val="020202"/>
          <w:szCs w:val="21"/>
        </w:rPr>
        <w:t>订货单内容</w:t>
      </w:r>
    </w:p>
    <w:p>
      <w:pPr>
        <w:pStyle w:val="51"/>
        <w:numPr>
          <w:ilvl w:val="0"/>
          <w:numId w:val="0"/>
        </w:numPr>
        <w:spacing w:beforeLines="0" w:afterLines="0"/>
        <w:ind w:left="420"/>
        <w:rPr>
          <w:rFonts w:ascii="Times New Roman" w:eastAsia="宋体"/>
        </w:rPr>
      </w:pPr>
      <w:r>
        <w:rPr>
          <w:rFonts w:hint="eastAsia" w:ascii="Times New Roman" w:eastAsia="宋体"/>
        </w:rPr>
        <w:t>需方可根据自身的需要，在订购本文件</w:t>
      </w:r>
      <w:r>
        <w:rPr>
          <w:rFonts w:ascii="Times New Roman" w:eastAsia="宋体"/>
        </w:rPr>
        <w:t>所列</w:t>
      </w:r>
      <w:r>
        <w:rPr>
          <w:rFonts w:hint="eastAsia" w:ascii="Times New Roman" w:eastAsia="宋体"/>
        </w:rPr>
        <w:t>产品</w:t>
      </w:r>
      <w:r>
        <w:rPr>
          <w:rFonts w:ascii="Times New Roman" w:eastAsia="宋体"/>
        </w:rPr>
        <w:t>的订货单</w:t>
      </w:r>
      <w:r>
        <w:rPr>
          <w:rFonts w:hint="eastAsia" w:ascii="Times New Roman" w:eastAsia="宋体"/>
        </w:rPr>
        <w:t>内，列出以下</w:t>
      </w:r>
      <w:r>
        <w:rPr>
          <w:rFonts w:ascii="Times New Roman" w:eastAsia="宋体"/>
        </w:rPr>
        <w:t xml:space="preserve">内容： </w:t>
      </w:r>
    </w:p>
    <w:p>
      <w:pPr>
        <w:pStyle w:val="51"/>
        <w:numPr>
          <w:ilvl w:val="0"/>
          <w:numId w:val="0"/>
        </w:numPr>
        <w:spacing w:beforeLines="0" w:afterLines="0"/>
        <w:ind w:left="420"/>
        <w:rPr>
          <w:rFonts w:ascii="宋体" w:hAnsi="宋体" w:eastAsia="宋体"/>
        </w:rPr>
      </w:pPr>
      <w:r>
        <w:rPr>
          <w:rFonts w:hint="eastAsia" w:ascii="宋体" w:hAnsi="宋体" w:eastAsia="宋体"/>
        </w:rPr>
        <w:t>a）产品名称；</w:t>
      </w:r>
    </w:p>
    <w:p>
      <w:pPr>
        <w:pStyle w:val="32"/>
        <w:ind w:left="420" w:firstLine="0" w:firstLineChars="0"/>
      </w:pPr>
      <w:r>
        <w:rPr>
          <w:rFonts w:hint="eastAsia" w:hAnsi="宋体"/>
        </w:rPr>
        <w:t>b）产品牌号；</w:t>
      </w:r>
    </w:p>
    <w:p>
      <w:pPr>
        <w:pStyle w:val="51"/>
        <w:numPr>
          <w:ilvl w:val="0"/>
          <w:numId w:val="0"/>
        </w:numPr>
        <w:spacing w:beforeLines="0" w:afterLines="0"/>
        <w:ind w:left="420"/>
        <w:rPr>
          <w:rFonts w:ascii="宋体" w:hAnsi="宋体" w:eastAsia="宋体"/>
        </w:rPr>
      </w:pPr>
      <w:r>
        <w:rPr>
          <w:rFonts w:hint="eastAsia" w:ascii="宋体" w:hAnsi="宋体" w:eastAsia="宋体"/>
        </w:rPr>
        <w:t>c）产品技术要求；</w:t>
      </w:r>
    </w:p>
    <w:p>
      <w:pPr>
        <w:pStyle w:val="51"/>
        <w:numPr>
          <w:ilvl w:val="0"/>
          <w:numId w:val="0"/>
        </w:numPr>
        <w:spacing w:beforeLines="0" w:afterLines="0"/>
        <w:ind w:left="420"/>
        <w:rPr>
          <w:rFonts w:ascii="宋体" w:hAnsi="宋体" w:eastAsia="宋体"/>
        </w:rPr>
      </w:pPr>
      <w:r>
        <w:rPr>
          <w:rFonts w:hint="eastAsia" w:ascii="宋体" w:hAnsi="宋体" w:eastAsia="宋体"/>
        </w:rPr>
        <w:t>d）产品</w:t>
      </w:r>
      <w:r>
        <w:rPr>
          <w:rFonts w:ascii="宋体" w:hAnsi="宋体" w:eastAsia="宋体"/>
        </w:rPr>
        <w:t>数量</w:t>
      </w:r>
      <w:r>
        <w:rPr>
          <w:rFonts w:hint="eastAsia" w:ascii="宋体" w:hAnsi="宋体" w:eastAsia="宋体"/>
        </w:rPr>
        <w:t>；</w:t>
      </w:r>
    </w:p>
    <w:p>
      <w:pPr>
        <w:pStyle w:val="51"/>
        <w:numPr>
          <w:ilvl w:val="0"/>
          <w:numId w:val="0"/>
        </w:numPr>
        <w:spacing w:beforeLines="0" w:afterLines="0"/>
        <w:ind w:left="420"/>
        <w:rPr>
          <w:rFonts w:ascii="Times New Roman" w:eastAsia="宋体"/>
        </w:rPr>
      </w:pPr>
      <w:r>
        <w:rPr>
          <w:rFonts w:hint="eastAsia" w:ascii="宋体" w:hAnsi="宋体" w:eastAsia="宋体"/>
        </w:rPr>
        <w:t>e）本</w:t>
      </w:r>
      <w:r>
        <w:rPr>
          <w:rFonts w:hint="eastAsia" w:ascii="Times New Roman" w:eastAsia="宋体"/>
        </w:rPr>
        <w:t>文件编号；</w:t>
      </w:r>
    </w:p>
    <w:p>
      <w:pPr>
        <w:pStyle w:val="51"/>
        <w:numPr>
          <w:ilvl w:val="0"/>
          <w:numId w:val="0"/>
        </w:numPr>
        <w:spacing w:beforeLines="0" w:afterLines="0"/>
        <w:ind w:left="420"/>
        <w:rPr>
          <w:rFonts w:asciiTheme="minorEastAsia" w:hAnsiTheme="minorEastAsia" w:eastAsiaTheme="minorEastAsia"/>
        </w:rPr>
      </w:pPr>
      <w:r>
        <w:rPr>
          <w:rFonts w:hint="eastAsia" w:asciiTheme="minorEastAsia" w:hAnsiTheme="minorEastAsia" w:eastAsiaTheme="minorEastAsia"/>
        </w:rPr>
        <w:t>f）本文件中要求在订货单中注明的内容；</w:t>
      </w:r>
    </w:p>
    <w:p>
      <w:pPr>
        <w:pStyle w:val="51"/>
        <w:numPr>
          <w:ilvl w:val="0"/>
          <w:numId w:val="0"/>
        </w:numPr>
        <w:spacing w:beforeLines="0" w:afterLines="0"/>
        <w:ind w:left="420"/>
        <w:rPr>
          <w:rFonts w:asciiTheme="minorEastAsia" w:hAnsiTheme="minorEastAsia" w:eastAsiaTheme="minorEastAsia"/>
        </w:rPr>
      </w:pPr>
      <w:r>
        <w:rPr>
          <w:rFonts w:hint="eastAsia" w:asciiTheme="minorEastAsia" w:hAnsiTheme="minorEastAsia" w:eastAsiaTheme="minorEastAsia"/>
        </w:rPr>
        <w:t>g）其他。</w:t>
      </w:r>
    </w:p>
    <w:p>
      <w:pPr>
        <w:pStyle w:val="32"/>
        <w:ind w:left="432" w:firstLine="0" w:firstLineChars="0"/>
        <w:rPr>
          <w:rFonts w:asciiTheme="minorEastAsia" w:hAnsiTheme="minorEastAsia" w:eastAsiaTheme="minorEastAsia"/>
          <w:color w:val="020202"/>
          <w:szCs w:val="21"/>
        </w:rPr>
      </w:pPr>
    </w:p>
    <w:p>
      <w:pPr>
        <w:pStyle w:val="32"/>
        <w:ind w:left="432" w:firstLine="0" w:firstLineChars="0"/>
        <w:rPr>
          <w:rFonts w:asciiTheme="minorEastAsia" w:hAnsiTheme="minorEastAsia" w:eastAsiaTheme="minorEastAsia"/>
          <w:color w:val="020202"/>
          <w:szCs w:val="21"/>
        </w:rPr>
      </w:pPr>
    </w:p>
    <w:p>
      <w:pPr>
        <w:pStyle w:val="32"/>
        <w:ind w:left="432" w:firstLine="0" w:firstLineChars="0"/>
        <w:rPr>
          <w:rFonts w:asciiTheme="minorEastAsia" w:hAnsiTheme="minorEastAsia" w:eastAsiaTheme="minorEastAsia"/>
          <w:color w:val="020202"/>
          <w:szCs w:val="21"/>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1592580</wp:posOffset>
                </wp:positionH>
                <wp:positionV relativeFrom="paragraph">
                  <wp:posOffset>654050</wp:posOffset>
                </wp:positionV>
                <wp:extent cx="19926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99270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4pt;margin-top:51.5pt;height:0pt;width:156.9pt;z-index:251661312;mso-width-relative:page;mso-height-relative:page;" filled="f" stroked="t" coordsize="21600,21600" o:gfxdata="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N12x1gAAAAsBAAAPAAAAAAAAAAEA&#10;IAAAACIAAABkcnMvZG93bnJldi54bWxQSwECFAAUAAAACACHTuJA3YyYPdgBAACaAwAADgAAAAAA&#10;AAABACAAAAAlAQAAZHJzL2Uyb0RvYy54bWxQSwUGAAAAAAYABgBZAQAAbwUAAAAA&#10;">
                <v:fill on="f" focussize="0,0"/>
                <v:stroke color="#000000 [3213]" joinstyle="round"/>
                <v:imagedata o:title=""/>
                <o:lock v:ext="edit" aspectratio="f"/>
              </v:line>
            </w:pict>
          </mc:Fallback>
        </mc:AlternateConten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 xml:space="preserve">GB/T </w:t>
    </w:r>
    <w:r>
      <w:rPr>
        <w:rFonts w:hint="eastAsia"/>
      </w:rPr>
      <w:t>12963</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54"/>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2268"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5"/>
      <w:suff w:val="nothing"/>
      <w:lvlText w:val="%1.%2.%3　"/>
      <w:lvlJc w:val="left"/>
      <w:pPr>
        <w:ind w:left="567"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7"/>
      <w:suff w:val="nothing"/>
      <w:lvlText w:val="%1——"/>
      <w:lvlJc w:val="left"/>
      <w:pPr>
        <w:ind w:left="976" w:hanging="408"/>
      </w:pPr>
      <w:rPr>
        <w:rFonts w:hint="eastAsia"/>
        <w:lang w:val="en-US"/>
      </w:rPr>
    </w:lvl>
    <w:lvl w:ilvl="1" w:tentative="0">
      <w:start w:val="1"/>
      <w:numFmt w:val="bullet"/>
      <w:pStyle w:val="58"/>
      <w:lvlText w:val=""/>
      <w:lvlJc w:val="left"/>
      <w:pPr>
        <w:tabs>
          <w:tab w:val="left" w:pos="903"/>
        </w:tabs>
        <w:ind w:left="1407" w:hanging="413"/>
      </w:pPr>
      <w:rPr>
        <w:rFonts w:hint="default" w:ascii="Symbol" w:hAnsi="Symbol"/>
        <w:color w:val="auto"/>
      </w:rPr>
    </w:lvl>
    <w:lvl w:ilvl="2" w:tentative="0">
      <w:start w:val="1"/>
      <w:numFmt w:val="bullet"/>
      <w:pStyle w:val="69"/>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8">
    <w:nsid w:val="3D733618"/>
    <w:multiLevelType w:val="multilevel"/>
    <w:tmpl w:val="3D733618"/>
    <w:lvl w:ilvl="0" w:tentative="0">
      <w:start w:val="1"/>
      <w:numFmt w:val="decimal"/>
      <w:pStyle w:val="3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3FB008C1"/>
    <w:multiLevelType w:val="multilevel"/>
    <w:tmpl w:val="3FB008C1"/>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asciiTheme="majorEastAsia" w:hAnsiTheme="majorEastAsia" w:eastAsiaTheme="majorEastAsia"/>
        <w:sz w:val="21"/>
        <w:szCs w:val="21"/>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0">
    <w:nsid w:val="44C50F90"/>
    <w:multiLevelType w:val="multilevel"/>
    <w:tmpl w:val="44C50F90"/>
    <w:lvl w:ilvl="0" w:tentative="0">
      <w:start w:val="1"/>
      <w:numFmt w:val="lowerLetter"/>
      <w:pStyle w:val="6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pStyle w:val="7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91D2B09"/>
    <w:multiLevelType w:val="multilevel"/>
    <w:tmpl w:val="491D2B09"/>
    <w:lvl w:ilvl="0" w:tentative="0">
      <w:start w:val="1"/>
      <w:numFmt w:val="bullet"/>
      <w:lvlText w:val=""/>
      <w:lvlJc w:val="left"/>
      <w:pPr>
        <w:ind w:left="1155" w:hanging="420"/>
      </w:pPr>
      <w:rPr>
        <w:rFonts w:hint="default" w:ascii="Wingdings" w:hAnsi="Wingdings"/>
      </w:rPr>
    </w:lvl>
    <w:lvl w:ilvl="1" w:tentative="0">
      <w:start w:val="1"/>
      <w:numFmt w:val="bullet"/>
      <w:lvlText w:val=""/>
      <w:lvlJc w:val="left"/>
      <w:pPr>
        <w:ind w:left="1575" w:hanging="420"/>
      </w:pPr>
      <w:rPr>
        <w:rFonts w:hint="default" w:ascii="Wingdings" w:hAnsi="Wingdings"/>
      </w:rPr>
    </w:lvl>
    <w:lvl w:ilvl="2" w:tentative="0">
      <w:start w:val="1"/>
      <w:numFmt w:val="bullet"/>
      <w:lvlText w:val=""/>
      <w:lvlJc w:val="left"/>
      <w:pPr>
        <w:ind w:left="1995" w:hanging="420"/>
      </w:pPr>
      <w:rPr>
        <w:rFonts w:hint="default" w:ascii="Wingdings" w:hAnsi="Wingdings"/>
      </w:rPr>
    </w:lvl>
    <w:lvl w:ilvl="3" w:tentative="0">
      <w:start w:val="1"/>
      <w:numFmt w:val="bullet"/>
      <w:lvlText w:val=""/>
      <w:lvlJc w:val="left"/>
      <w:pPr>
        <w:ind w:left="2415" w:hanging="420"/>
      </w:pPr>
      <w:rPr>
        <w:rFonts w:hint="default" w:ascii="Wingdings" w:hAnsi="Wingdings"/>
      </w:rPr>
    </w:lvl>
    <w:lvl w:ilvl="4" w:tentative="0">
      <w:start w:val="1"/>
      <w:numFmt w:val="bullet"/>
      <w:lvlText w:val=""/>
      <w:lvlJc w:val="left"/>
      <w:pPr>
        <w:ind w:left="2835" w:hanging="420"/>
      </w:pPr>
      <w:rPr>
        <w:rFonts w:hint="default" w:ascii="Wingdings" w:hAnsi="Wingdings"/>
      </w:rPr>
    </w:lvl>
    <w:lvl w:ilvl="5" w:tentative="0">
      <w:start w:val="1"/>
      <w:numFmt w:val="bullet"/>
      <w:lvlText w:val=""/>
      <w:lvlJc w:val="left"/>
      <w:pPr>
        <w:ind w:left="3255" w:hanging="420"/>
      </w:pPr>
      <w:rPr>
        <w:rFonts w:hint="default" w:ascii="Wingdings" w:hAnsi="Wingdings"/>
      </w:rPr>
    </w:lvl>
    <w:lvl w:ilvl="6" w:tentative="0">
      <w:start w:val="1"/>
      <w:numFmt w:val="bullet"/>
      <w:lvlText w:val=""/>
      <w:lvlJc w:val="left"/>
      <w:pPr>
        <w:ind w:left="3675" w:hanging="420"/>
      </w:pPr>
      <w:rPr>
        <w:rFonts w:hint="default" w:ascii="Wingdings" w:hAnsi="Wingdings"/>
      </w:rPr>
    </w:lvl>
    <w:lvl w:ilvl="7" w:tentative="0">
      <w:start w:val="1"/>
      <w:numFmt w:val="bullet"/>
      <w:lvlText w:val=""/>
      <w:lvlJc w:val="left"/>
      <w:pPr>
        <w:ind w:left="4095" w:hanging="420"/>
      </w:pPr>
      <w:rPr>
        <w:rFonts w:hint="default" w:ascii="Wingdings" w:hAnsi="Wingdings"/>
      </w:rPr>
    </w:lvl>
    <w:lvl w:ilvl="8" w:tentative="0">
      <w:start w:val="1"/>
      <w:numFmt w:val="bullet"/>
      <w:lvlText w:val=""/>
      <w:lvlJc w:val="left"/>
      <w:pPr>
        <w:ind w:left="4515" w:hanging="420"/>
      </w:pPr>
      <w:rPr>
        <w:rFonts w:hint="default" w:ascii="Wingdings" w:hAnsi="Wingdings"/>
      </w:rPr>
    </w:lvl>
  </w:abstractNum>
  <w:abstractNum w:abstractNumId="12">
    <w:nsid w:val="4B733A5F"/>
    <w:multiLevelType w:val="multilevel"/>
    <w:tmpl w:val="4B733A5F"/>
    <w:lvl w:ilvl="0" w:tentative="0">
      <w:start w:val="1"/>
      <w:numFmt w:val="decimal"/>
      <w:pStyle w:val="7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03018DA"/>
    <w:multiLevelType w:val="multilevel"/>
    <w:tmpl w:val="503018D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53F06297"/>
    <w:multiLevelType w:val="multilevel"/>
    <w:tmpl w:val="53F0629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57C2AF5"/>
    <w:multiLevelType w:val="multilevel"/>
    <w:tmpl w:val="557C2AF5"/>
    <w:lvl w:ilvl="0" w:tentative="0">
      <w:start w:val="1"/>
      <w:numFmt w:val="decimal"/>
      <w:pStyle w:val="1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6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8"/>
  </w:num>
  <w:num w:numId="3">
    <w:abstractNumId w:val="5"/>
  </w:num>
  <w:num w:numId="4">
    <w:abstractNumId w:val="7"/>
  </w:num>
  <w:num w:numId="5">
    <w:abstractNumId w:val="2"/>
  </w:num>
  <w:num w:numId="6">
    <w:abstractNumId w:val="10"/>
  </w:num>
  <w:num w:numId="7">
    <w:abstractNumId w:val="20"/>
  </w:num>
  <w:num w:numId="8">
    <w:abstractNumId w:val="0"/>
  </w:num>
  <w:num w:numId="9">
    <w:abstractNumId w:val="12"/>
  </w:num>
  <w:num w:numId="10">
    <w:abstractNumId w:val="4"/>
  </w:num>
  <w:num w:numId="11">
    <w:abstractNumId w:val="18"/>
  </w:num>
  <w:num w:numId="12">
    <w:abstractNumId w:val="16"/>
  </w:num>
  <w:num w:numId="13">
    <w:abstractNumId w:val="19"/>
  </w:num>
  <w:num w:numId="14">
    <w:abstractNumId w:val="6"/>
  </w:num>
  <w:num w:numId="15">
    <w:abstractNumId w:val="1"/>
  </w:num>
  <w:num w:numId="16">
    <w:abstractNumId w:val="3"/>
  </w:num>
  <w:num w:numId="17">
    <w:abstractNumId w:val="17"/>
  </w:num>
  <w:num w:numId="18">
    <w:abstractNumId w:val="15"/>
  </w:num>
  <w:num w:numId="19">
    <w:abstractNumId w:val="14"/>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8E3BB5"/>
    <w:rsid w:val="00000244"/>
    <w:rsid w:val="0000185F"/>
    <w:rsid w:val="0000586F"/>
    <w:rsid w:val="00011107"/>
    <w:rsid w:val="00013D86"/>
    <w:rsid w:val="00013E02"/>
    <w:rsid w:val="00014328"/>
    <w:rsid w:val="000153B5"/>
    <w:rsid w:val="00016FD7"/>
    <w:rsid w:val="0002143C"/>
    <w:rsid w:val="0002193D"/>
    <w:rsid w:val="00025A65"/>
    <w:rsid w:val="00026C31"/>
    <w:rsid w:val="00027280"/>
    <w:rsid w:val="00027646"/>
    <w:rsid w:val="00031BDE"/>
    <w:rsid w:val="000320A7"/>
    <w:rsid w:val="00033982"/>
    <w:rsid w:val="00033EAC"/>
    <w:rsid w:val="00035925"/>
    <w:rsid w:val="00035EA5"/>
    <w:rsid w:val="000406F0"/>
    <w:rsid w:val="00045AEA"/>
    <w:rsid w:val="00045B47"/>
    <w:rsid w:val="0005067C"/>
    <w:rsid w:val="00057C16"/>
    <w:rsid w:val="000604DE"/>
    <w:rsid w:val="0006686E"/>
    <w:rsid w:val="00067B30"/>
    <w:rsid w:val="00067CDF"/>
    <w:rsid w:val="00072A37"/>
    <w:rsid w:val="000735D3"/>
    <w:rsid w:val="00074FBE"/>
    <w:rsid w:val="00082335"/>
    <w:rsid w:val="00083A09"/>
    <w:rsid w:val="0009005E"/>
    <w:rsid w:val="000911B0"/>
    <w:rsid w:val="00092857"/>
    <w:rsid w:val="00092AB0"/>
    <w:rsid w:val="00092E6C"/>
    <w:rsid w:val="000973C3"/>
    <w:rsid w:val="000973DA"/>
    <w:rsid w:val="000976FF"/>
    <w:rsid w:val="000A0483"/>
    <w:rsid w:val="000A1B6D"/>
    <w:rsid w:val="000A1D2B"/>
    <w:rsid w:val="000A20A9"/>
    <w:rsid w:val="000A48B1"/>
    <w:rsid w:val="000A5E93"/>
    <w:rsid w:val="000B064B"/>
    <w:rsid w:val="000B1D1F"/>
    <w:rsid w:val="000B2103"/>
    <w:rsid w:val="000B3143"/>
    <w:rsid w:val="000B5591"/>
    <w:rsid w:val="000B5D17"/>
    <w:rsid w:val="000C4DDB"/>
    <w:rsid w:val="000C6B05"/>
    <w:rsid w:val="000C6DD6"/>
    <w:rsid w:val="000C73D4"/>
    <w:rsid w:val="000D3D4C"/>
    <w:rsid w:val="000D4F51"/>
    <w:rsid w:val="000D703C"/>
    <w:rsid w:val="000D718B"/>
    <w:rsid w:val="000E0C46"/>
    <w:rsid w:val="000E108A"/>
    <w:rsid w:val="000E3CFA"/>
    <w:rsid w:val="000E6F73"/>
    <w:rsid w:val="000F030C"/>
    <w:rsid w:val="000F129C"/>
    <w:rsid w:val="000F1E61"/>
    <w:rsid w:val="000F5E7C"/>
    <w:rsid w:val="000F6B60"/>
    <w:rsid w:val="00102B74"/>
    <w:rsid w:val="001056DE"/>
    <w:rsid w:val="00107C50"/>
    <w:rsid w:val="001124C0"/>
    <w:rsid w:val="00113192"/>
    <w:rsid w:val="001176B7"/>
    <w:rsid w:val="0013175F"/>
    <w:rsid w:val="001512B4"/>
    <w:rsid w:val="001620A5"/>
    <w:rsid w:val="0016370D"/>
    <w:rsid w:val="00164B49"/>
    <w:rsid w:val="00164C1B"/>
    <w:rsid w:val="00164E53"/>
    <w:rsid w:val="0016699D"/>
    <w:rsid w:val="001723B3"/>
    <w:rsid w:val="00175159"/>
    <w:rsid w:val="00176208"/>
    <w:rsid w:val="0017729D"/>
    <w:rsid w:val="00177569"/>
    <w:rsid w:val="001809F2"/>
    <w:rsid w:val="0018211B"/>
    <w:rsid w:val="0018274A"/>
    <w:rsid w:val="001840D3"/>
    <w:rsid w:val="00185132"/>
    <w:rsid w:val="001855C6"/>
    <w:rsid w:val="00185838"/>
    <w:rsid w:val="001900F8"/>
    <w:rsid w:val="001902AE"/>
    <w:rsid w:val="00191258"/>
    <w:rsid w:val="001922DF"/>
    <w:rsid w:val="00192680"/>
    <w:rsid w:val="00193037"/>
    <w:rsid w:val="00193A2C"/>
    <w:rsid w:val="00194FAD"/>
    <w:rsid w:val="001A20FA"/>
    <w:rsid w:val="001A288E"/>
    <w:rsid w:val="001A7AB6"/>
    <w:rsid w:val="001B11C3"/>
    <w:rsid w:val="001B6DC2"/>
    <w:rsid w:val="001B79DA"/>
    <w:rsid w:val="001B7FBA"/>
    <w:rsid w:val="001C0D55"/>
    <w:rsid w:val="001C149C"/>
    <w:rsid w:val="001C21AC"/>
    <w:rsid w:val="001C2B54"/>
    <w:rsid w:val="001C47BA"/>
    <w:rsid w:val="001C59EA"/>
    <w:rsid w:val="001D406C"/>
    <w:rsid w:val="001D41EE"/>
    <w:rsid w:val="001E0380"/>
    <w:rsid w:val="001E0DD0"/>
    <w:rsid w:val="001E13B1"/>
    <w:rsid w:val="001E2BE9"/>
    <w:rsid w:val="001E2F7E"/>
    <w:rsid w:val="001E4BE3"/>
    <w:rsid w:val="001F01FD"/>
    <w:rsid w:val="001F04C8"/>
    <w:rsid w:val="001F2E61"/>
    <w:rsid w:val="001F3A19"/>
    <w:rsid w:val="001F4178"/>
    <w:rsid w:val="001F45BB"/>
    <w:rsid w:val="001F614C"/>
    <w:rsid w:val="002032A9"/>
    <w:rsid w:val="002076AB"/>
    <w:rsid w:val="00210D13"/>
    <w:rsid w:val="00213EFD"/>
    <w:rsid w:val="00216646"/>
    <w:rsid w:val="00216D2A"/>
    <w:rsid w:val="00221113"/>
    <w:rsid w:val="00234467"/>
    <w:rsid w:val="00237D8D"/>
    <w:rsid w:val="002409D7"/>
    <w:rsid w:val="00241DA2"/>
    <w:rsid w:val="002440CD"/>
    <w:rsid w:val="00247FEE"/>
    <w:rsid w:val="002503A7"/>
    <w:rsid w:val="00250E7D"/>
    <w:rsid w:val="00252750"/>
    <w:rsid w:val="002539E0"/>
    <w:rsid w:val="002565D5"/>
    <w:rsid w:val="00260BCB"/>
    <w:rsid w:val="002622C0"/>
    <w:rsid w:val="00263ECE"/>
    <w:rsid w:val="002674DC"/>
    <w:rsid w:val="00270637"/>
    <w:rsid w:val="002730D5"/>
    <w:rsid w:val="00273653"/>
    <w:rsid w:val="002778AE"/>
    <w:rsid w:val="00280A52"/>
    <w:rsid w:val="0028269A"/>
    <w:rsid w:val="002828C1"/>
    <w:rsid w:val="00283590"/>
    <w:rsid w:val="002838FB"/>
    <w:rsid w:val="002847B5"/>
    <w:rsid w:val="00284D2E"/>
    <w:rsid w:val="00286973"/>
    <w:rsid w:val="002927F1"/>
    <w:rsid w:val="00294E70"/>
    <w:rsid w:val="002A07FA"/>
    <w:rsid w:val="002A1528"/>
    <w:rsid w:val="002A1924"/>
    <w:rsid w:val="002A3EE7"/>
    <w:rsid w:val="002A7420"/>
    <w:rsid w:val="002B003B"/>
    <w:rsid w:val="002B023D"/>
    <w:rsid w:val="002B040F"/>
    <w:rsid w:val="002B0F12"/>
    <w:rsid w:val="002B1308"/>
    <w:rsid w:val="002B4554"/>
    <w:rsid w:val="002B5A91"/>
    <w:rsid w:val="002B5B98"/>
    <w:rsid w:val="002C3891"/>
    <w:rsid w:val="002C5773"/>
    <w:rsid w:val="002C6A6B"/>
    <w:rsid w:val="002C7146"/>
    <w:rsid w:val="002C72D8"/>
    <w:rsid w:val="002D11FA"/>
    <w:rsid w:val="002D4067"/>
    <w:rsid w:val="002D67C9"/>
    <w:rsid w:val="002D6A44"/>
    <w:rsid w:val="002D7CCB"/>
    <w:rsid w:val="002E0DDF"/>
    <w:rsid w:val="002E2906"/>
    <w:rsid w:val="002E5635"/>
    <w:rsid w:val="002E64C3"/>
    <w:rsid w:val="002E6A2C"/>
    <w:rsid w:val="002F1D8C"/>
    <w:rsid w:val="002F21DA"/>
    <w:rsid w:val="002F3DF0"/>
    <w:rsid w:val="002F4355"/>
    <w:rsid w:val="002F45A5"/>
    <w:rsid w:val="002F4B8A"/>
    <w:rsid w:val="00301F39"/>
    <w:rsid w:val="003050B7"/>
    <w:rsid w:val="00313C8E"/>
    <w:rsid w:val="003146AC"/>
    <w:rsid w:val="003154C8"/>
    <w:rsid w:val="00316218"/>
    <w:rsid w:val="00317989"/>
    <w:rsid w:val="00325926"/>
    <w:rsid w:val="00327A8A"/>
    <w:rsid w:val="003322D8"/>
    <w:rsid w:val="00333B21"/>
    <w:rsid w:val="00336610"/>
    <w:rsid w:val="00343F73"/>
    <w:rsid w:val="00344571"/>
    <w:rsid w:val="00345060"/>
    <w:rsid w:val="00345846"/>
    <w:rsid w:val="00346386"/>
    <w:rsid w:val="00352A06"/>
    <w:rsid w:val="00352E65"/>
    <w:rsid w:val="0035323B"/>
    <w:rsid w:val="003609D2"/>
    <w:rsid w:val="003632BA"/>
    <w:rsid w:val="00363F22"/>
    <w:rsid w:val="00366D61"/>
    <w:rsid w:val="00375564"/>
    <w:rsid w:val="0037633B"/>
    <w:rsid w:val="00381344"/>
    <w:rsid w:val="00383191"/>
    <w:rsid w:val="00384A68"/>
    <w:rsid w:val="00386DED"/>
    <w:rsid w:val="0038798C"/>
    <w:rsid w:val="003912E7"/>
    <w:rsid w:val="003927C3"/>
    <w:rsid w:val="00393947"/>
    <w:rsid w:val="0039509E"/>
    <w:rsid w:val="003A2275"/>
    <w:rsid w:val="003A25EC"/>
    <w:rsid w:val="003A2C9E"/>
    <w:rsid w:val="003A6A4F"/>
    <w:rsid w:val="003A7088"/>
    <w:rsid w:val="003A770D"/>
    <w:rsid w:val="003B00DF"/>
    <w:rsid w:val="003B1275"/>
    <w:rsid w:val="003B1778"/>
    <w:rsid w:val="003B3E19"/>
    <w:rsid w:val="003C11CB"/>
    <w:rsid w:val="003C519A"/>
    <w:rsid w:val="003C75F3"/>
    <w:rsid w:val="003C78A3"/>
    <w:rsid w:val="003D0C53"/>
    <w:rsid w:val="003D6335"/>
    <w:rsid w:val="003D75E9"/>
    <w:rsid w:val="003E1867"/>
    <w:rsid w:val="003E2B44"/>
    <w:rsid w:val="003E361A"/>
    <w:rsid w:val="003E4754"/>
    <w:rsid w:val="003E5729"/>
    <w:rsid w:val="003F0DBC"/>
    <w:rsid w:val="003F4EA1"/>
    <w:rsid w:val="003F4EE0"/>
    <w:rsid w:val="00402153"/>
    <w:rsid w:val="00402FC1"/>
    <w:rsid w:val="004058EB"/>
    <w:rsid w:val="00407859"/>
    <w:rsid w:val="004123FB"/>
    <w:rsid w:val="00414F9D"/>
    <w:rsid w:val="00425082"/>
    <w:rsid w:val="0042791F"/>
    <w:rsid w:val="00431DEB"/>
    <w:rsid w:val="00433893"/>
    <w:rsid w:val="00434213"/>
    <w:rsid w:val="004356AF"/>
    <w:rsid w:val="00441961"/>
    <w:rsid w:val="00443AE6"/>
    <w:rsid w:val="0044584E"/>
    <w:rsid w:val="00446B29"/>
    <w:rsid w:val="00450744"/>
    <w:rsid w:val="00450B0B"/>
    <w:rsid w:val="00451865"/>
    <w:rsid w:val="00451B49"/>
    <w:rsid w:val="004530CC"/>
    <w:rsid w:val="00453F9A"/>
    <w:rsid w:val="00455125"/>
    <w:rsid w:val="00460A12"/>
    <w:rsid w:val="00462CAA"/>
    <w:rsid w:val="00466001"/>
    <w:rsid w:val="00467D09"/>
    <w:rsid w:val="00467FC4"/>
    <w:rsid w:val="00470549"/>
    <w:rsid w:val="00471E91"/>
    <w:rsid w:val="00471F35"/>
    <w:rsid w:val="00474675"/>
    <w:rsid w:val="0047470C"/>
    <w:rsid w:val="00474D32"/>
    <w:rsid w:val="00483E82"/>
    <w:rsid w:val="00485C11"/>
    <w:rsid w:val="00494833"/>
    <w:rsid w:val="00495C02"/>
    <w:rsid w:val="00496521"/>
    <w:rsid w:val="00497FCC"/>
    <w:rsid w:val="004A1202"/>
    <w:rsid w:val="004A34AF"/>
    <w:rsid w:val="004A35F9"/>
    <w:rsid w:val="004A5953"/>
    <w:rsid w:val="004A705F"/>
    <w:rsid w:val="004B0F95"/>
    <w:rsid w:val="004B14AE"/>
    <w:rsid w:val="004B24C1"/>
    <w:rsid w:val="004B3FFB"/>
    <w:rsid w:val="004B6191"/>
    <w:rsid w:val="004B7C77"/>
    <w:rsid w:val="004C0154"/>
    <w:rsid w:val="004C1B03"/>
    <w:rsid w:val="004C1F96"/>
    <w:rsid w:val="004C292F"/>
    <w:rsid w:val="004C3D9A"/>
    <w:rsid w:val="004C5980"/>
    <w:rsid w:val="004C75C5"/>
    <w:rsid w:val="004D08BC"/>
    <w:rsid w:val="004D3ACC"/>
    <w:rsid w:val="004D79BF"/>
    <w:rsid w:val="004E045B"/>
    <w:rsid w:val="004E3F0E"/>
    <w:rsid w:val="004E490D"/>
    <w:rsid w:val="004E568C"/>
    <w:rsid w:val="004E73DE"/>
    <w:rsid w:val="004E778B"/>
    <w:rsid w:val="004E7C96"/>
    <w:rsid w:val="004F4457"/>
    <w:rsid w:val="004F6040"/>
    <w:rsid w:val="00505295"/>
    <w:rsid w:val="00510280"/>
    <w:rsid w:val="00511118"/>
    <w:rsid w:val="00513D73"/>
    <w:rsid w:val="00514A43"/>
    <w:rsid w:val="0051543B"/>
    <w:rsid w:val="005174E5"/>
    <w:rsid w:val="00521E4F"/>
    <w:rsid w:val="00522393"/>
    <w:rsid w:val="00522620"/>
    <w:rsid w:val="0052553A"/>
    <w:rsid w:val="00525656"/>
    <w:rsid w:val="00527A35"/>
    <w:rsid w:val="00533632"/>
    <w:rsid w:val="00534A1B"/>
    <w:rsid w:val="00534C02"/>
    <w:rsid w:val="005408A7"/>
    <w:rsid w:val="00542373"/>
    <w:rsid w:val="0054264B"/>
    <w:rsid w:val="00542B40"/>
    <w:rsid w:val="00543786"/>
    <w:rsid w:val="005443AD"/>
    <w:rsid w:val="005474BB"/>
    <w:rsid w:val="00547603"/>
    <w:rsid w:val="00551DBD"/>
    <w:rsid w:val="005533D7"/>
    <w:rsid w:val="0056076D"/>
    <w:rsid w:val="00563BFD"/>
    <w:rsid w:val="0056738D"/>
    <w:rsid w:val="005703DE"/>
    <w:rsid w:val="00575BA3"/>
    <w:rsid w:val="00576508"/>
    <w:rsid w:val="00576BE4"/>
    <w:rsid w:val="0057762F"/>
    <w:rsid w:val="00582165"/>
    <w:rsid w:val="005823BA"/>
    <w:rsid w:val="00583212"/>
    <w:rsid w:val="0058464E"/>
    <w:rsid w:val="00585916"/>
    <w:rsid w:val="005862BE"/>
    <w:rsid w:val="005A01CB"/>
    <w:rsid w:val="005A28F3"/>
    <w:rsid w:val="005A3B3F"/>
    <w:rsid w:val="005A58FF"/>
    <w:rsid w:val="005A5EAF"/>
    <w:rsid w:val="005A604B"/>
    <w:rsid w:val="005A64C0"/>
    <w:rsid w:val="005A73B2"/>
    <w:rsid w:val="005A7D86"/>
    <w:rsid w:val="005A7F2C"/>
    <w:rsid w:val="005B3A76"/>
    <w:rsid w:val="005B3C11"/>
    <w:rsid w:val="005B4845"/>
    <w:rsid w:val="005B65AC"/>
    <w:rsid w:val="005C177F"/>
    <w:rsid w:val="005C18EE"/>
    <w:rsid w:val="005C1C28"/>
    <w:rsid w:val="005C25F5"/>
    <w:rsid w:val="005C27B9"/>
    <w:rsid w:val="005C676A"/>
    <w:rsid w:val="005C6DB5"/>
    <w:rsid w:val="005D0F7E"/>
    <w:rsid w:val="005D53DB"/>
    <w:rsid w:val="005D677A"/>
    <w:rsid w:val="005E19E7"/>
    <w:rsid w:val="005E1DA2"/>
    <w:rsid w:val="005F068F"/>
    <w:rsid w:val="005F281E"/>
    <w:rsid w:val="005F436B"/>
    <w:rsid w:val="005F7580"/>
    <w:rsid w:val="0061571C"/>
    <w:rsid w:val="0061716C"/>
    <w:rsid w:val="006171E7"/>
    <w:rsid w:val="006230EA"/>
    <w:rsid w:val="006239DF"/>
    <w:rsid w:val="00623C93"/>
    <w:rsid w:val="006243A1"/>
    <w:rsid w:val="006253DB"/>
    <w:rsid w:val="00625DE0"/>
    <w:rsid w:val="00632E56"/>
    <w:rsid w:val="0063315E"/>
    <w:rsid w:val="00635CBA"/>
    <w:rsid w:val="00637A59"/>
    <w:rsid w:val="0064338B"/>
    <w:rsid w:val="006446D4"/>
    <w:rsid w:val="00646542"/>
    <w:rsid w:val="006504F4"/>
    <w:rsid w:val="00650694"/>
    <w:rsid w:val="006536B0"/>
    <w:rsid w:val="00654BC9"/>
    <w:rsid w:val="006552FD"/>
    <w:rsid w:val="006601B3"/>
    <w:rsid w:val="00660BCE"/>
    <w:rsid w:val="00661749"/>
    <w:rsid w:val="00663AF3"/>
    <w:rsid w:val="00666B6C"/>
    <w:rsid w:val="006704D9"/>
    <w:rsid w:val="00671F31"/>
    <w:rsid w:val="00672CFB"/>
    <w:rsid w:val="0067324A"/>
    <w:rsid w:val="00674527"/>
    <w:rsid w:val="0068237B"/>
    <w:rsid w:val="00682682"/>
    <w:rsid w:val="00682702"/>
    <w:rsid w:val="0068357C"/>
    <w:rsid w:val="00690463"/>
    <w:rsid w:val="00692368"/>
    <w:rsid w:val="006945FB"/>
    <w:rsid w:val="006A21AC"/>
    <w:rsid w:val="006A2EBC"/>
    <w:rsid w:val="006A5EA0"/>
    <w:rsid w:val="006A6F64"/>
    <w:rsid w:val="006A748D"/>
    <w:rsid w:val="006A783B"/>
    <w:rsid w:val="006A78C1"/>
    <w:rsid w:val="006A7B33"/>
    <w:rsid w:val="006B2CCD"/>
    <w:rsid w:val="006B2F7E"/>
    <w:rsid w:val="006B4BE6"/>
    <w:rsid w:val="006B4E13"/>
    <w:rsid w:val="006B5F87"/>
    <w:rsid w:val="006B75DD"/>
    <w:rsid w:val="006C149F"/>
    <w:rsid w:val="006C67E0"/>
    <w:rsid w:val="006C7ABA"/>
    <w:rsid w:val="006C7D7F"/>
    <w:rsid w:val="006D0578"/>
    <w:rsid w:val="006D0D60"/>
    <w:rsid w:val="006D1122"/>
    <w:rsid w:val="006D1933"/>
    <w:rsid w:val="006D3C00"/>
    <w:rsid w:val="006D66C6"/>
    <w:rsid w:val="006D66FC"/>
    <w:rsid w:val="006D719D"/>
    <w:rsid w:val="006E3426"/>
    <w:rsid w:val="006E3675"/>
    <w:rsid w:val="006E3CB4"/>
    <w:rsid w:val="006E4A7F"/>
    <w:rsid w:val="006F2A4C"/>
    <w:rsid w:val="006F3B58"/>
    <w:rsid w:val="006F44D6"/>
    <w:rsid w:val="0070045B"/>
    <w:rsid w:val="00700E9C"/>
    <w:rsid w:val="00701907"/>
    <w:rsid w:val="007028BF"/>
    <w:rsid w:val="00704DF6"/>
    <w:rsid w:val="00705356"/>
    <w:rsid w:val="0070651C"/>
    <w:rsid w:val="00707790"/>
    <w:rsid w:val="007132A3"/>
    <w:rsid w:val="00713E5B"/>
    <w:rsid w:val="0071546E"/>
    <w:rsid w:val="00716421"/>
    <w:rsid w:val="00722A7F"/>
    <w:rsid w:val="007238BF"/>
    <w:rsid w:val="00724EFB"/>
    <w:rsid w:val="007256E2"/>
    <w:rsid w:val="0072604B"/>
    <w:rsid w:val="007268BE"/>
    <w:rsid w:val="00736ADC"/>
    <w:rsid w:val="007419C3"/>
    <w:rsid w:val="00743496"/>
    <w:rsid w:val="007467A7"/>
    <w:rsid w:val="007469DD"/>
    <w:rsid w:val="0074741B"/>
    <w:rsid w:val="0074759E"/>
    <w:rsid w:val="007478EA"/>
    <w:rsid w:val="00750AD1"/>
    <w:rsid w:val="00751294"/>
    <w:rsid w:val="0075415C"/>
    <w:rsid w:val="007572B2"/>
    <w:rsid w:val="00757D2B"/>
    <w:rsid w:val="00761D29"/>
    <w:rsid w:val="00761F71"/>
    <w:rsid w:val="007625E4"/>
    <w:rsid w:val="007626BC"/>
    <w:rsid w:val="00762AAA"/>
    <w:rsid w:val="00763502"/>
    <w:rsid w:val="00766665"/>
    <w:rsid w:val="00774FB3"/>
    <w:rsid w:val="00781056"/>
    <w:rsid w:val="0078214A"/>
    <w:rsid w:val="007826C9"/>
    <w:rsid w:val="0078639F"/>
    <w:rsid w:val="00787DD0"/>
    <w:rsid w:val="007913AB"/>
    <w:rsid w:val="007914F7"/>
    <w:rsid w:val="00792BE8"/>
    <w:rsid w:val="007964D0"/>
    <w:rsid w:val="007965B0"/>
    <w:rsid w:val="007A1EFF"/>
    <w:rsid w:val="007A3233"/>
    <w:rsid w:val="007A5A87"/>
    <w:rsid w:val="007A6016"/>
    <w:rsid w:val="007A670E"/>
    <w:rsid w:val="007A73E4"/>
    <w:rsid w:val="007B1625"/>
    <w:rsid w:val="007B6129"/>
    <w:rsid w:val="007B706E"/>
    <w:rsid w:val="007B71EB"/>
    <w:rsid w:val="007C1834"/>
    <w:rsid w:val="007C506B"/>
    <w:rsid w:val="007C6205"/>
    <w:rsid w:val="007C686A"/>
    <w:rsid w:val="007C728E"/>
    <w:rsid w:val="007C78DB"/>
    <w:rsid w:val="007D0325"/>
    <w:rsid w:val="007D2C53"/>
    <w:rsid w:val="007D307A"/>
    <w:rsid w:val="007D3D60"/>
    <w:rsid w:val="007D4A44"/>
    <w:rsid w:val="007D5176"/>
    <w:rsid w:val="007E1980"/>
    <w:rsid w:val="007E4B76"/>
    <w:rsid w:val="007E5EA8"/>
    <w:rsid w:val="007E68D6"/>
    <w:rsid w:val="007F0025"/>
    <w:rsid w:val="007F0514"/>
    <w:rsid w:val="007F0CF1"/>
    <w:rsid w:val="007F12A5"/>
    <w:rsid w:val="007F25D7"/>
    <w:rsid w:val="007F2EEB"/>
    <w:rsid w:val="007F48DF"/>
    <w:rsid w:val="007F4CF1"/>
    <w:rsid w:val="007F5AF3"/>
    <w:rsid w:val="007F758D"/>
    <w:rsid w:val="007F7D52"/>
    <w:rsid w:val="00800530"/>
    <w:rsid w:val="00801572"/>
    <w:rsid w:val="0080399C"/>
    <w:rsid w:val="0080654C"/>
    <w:rsid w:val="008071C6"/>
    <w:rsid w:val="00817A00"/>
    <w:rsid w:val="008205A9"/>
    <w:rsid w:val="0082323D"/>
    <w:rsid w:val="008236EF"/>
    <w:rsid w:val="00824B52"/>
    <w:rsid w:val="00824CBB"/>
    <w:rsid w:val="00830F44"/>
    <w:rsid w:val="00832EFD"/>
    <w:rsid w:val="00835DB3"/>
    <w:rsid w:val="00835DE7"/>
    <w:rsid w:val="0083617B"/>
    <w:rsid w:val="008371BD"/>
    <w:rsid w:val="008504A8"/>
    <w:rsid w:val="0085282E"/>
    <w:rsid w:val="0085606F"/>
    <w:rsid w:val="00864F47"/>
    <w:rsid w:val="0087198C"/>
    <w:rsid w:val="008724BA"/>
    <w:rsid w:val="00872C1F"/>
    <w:rsid w:val="00873B42"/>
    <w:rsid w:val="008749E4"/>
    <w:rsid w:val="00877D2E"/>
    <w:rsid w:val="008856D8"/>
    <w:rsid w:val="0088792B"/>
    <w:rsid w:val="00892E82"/>
    <w:rsid w:val="008935F0"/>
    <w:rsid w:val="008A62C1"/>
    <w:rsid w:val="008A70E1"/>
    <w:rsid w:val="008B5DC2"/>
    <w:rsid w:val="008B7AE0"/>
    <w:rsid w:val="008C0FFC"/>
    <w:rsid w:val="008C1932"/>
    <w:rsid w:val="008C1B58"/>
    <w:rsid w:val="008C1D10"/>
    <w:rsid w:val="008C29CC"/>
    <w:rsid w:val="008C35F6"/>
    <w:rsid w:val="008C39AE"/>
    <w:rsid w:val="008C590D"/>
    <w:rsid w:val="008C7F1C"/>
    <w:rsid w:val="008E031B"/>
    <w:rsid w:val="008E3BB5"/>
    <w:rsid w:val="008E7029"/>
    <w:rsid w:val="008E7550"/>
    <w:rsid w:val="008E7EF6"/>
    <w:rsid w:val="008F0E16"/>
    <w:rsid w:val="008F12CE"/>
    <w:rsid w:val="008F1F98"/>
    <w:rsid w:val="008F586A"/>
    <w:rsid w:val="008F6758"/>
    <w:rsid w:val="008F7587"/>
    <w:rsid w:val="00903E07"/>
    <w:rsid w:val="009040DD"/>
    <w:rsid w:val="00905B47"/>
    <w:rsid w:val="0091331C"/>
    <w:rsid w:val="0091631F"/>
    <w:rsid w:val="009279DE"/>
    <w:rsid w:val="00930116"/>
    <w:rsid w:val="00931EE3"/>
    <w:rsid w:val="0093240A"/>
    <w:rsid w:val="009335B9"/>
    <w:rsid w:val="0093436D"/>
    <w:rsid w:val="00936969"/>
    <w:rsid w:val="00941E47"/>
    <w:rsid w:val="0094212C"/>
    <w:rsid w:val="009437F7"/>
    <w:rsid w:val="0095244D"/>
    <w:rsid w:val="00954689"/>
    <w:rsid w:val="00955B6F"/>
    <w:rsid w:val="009569CB"/>
    <w:rsid w:val="009617C9"/>
    <w:rsid w:val="00961C93"/>
    <w:rsid w:val="00965189"/>
    <w:rsid w:val="00965324"/>
    <w:rsid w:val="00966ECF"/>
    <w:rsid w:val="0097091E"/>
    <w:rsid w:val="00971D0F"/>
    <w:rsid w:val="00974AF6"/>
    <w:rsid w:val="00975890"/>
    <w:rsid w:val="009760D3"/>
    <w:rsid w:val="00977132"/>
    <w:rsid w:val="00981A4B"/>
    <w:rsid w:val="00982501"/>
    <w:rsid w:val="00985F6E"/>
    <w:rsid w:val="00987476"/>
    <w:rsid w:val="009877D3"/>
    <w:rsid w:val="00987B50"/>
    <w:rsid w:val="00990A46"/>
    <w:rsid w:val="009928E9"/>
    <w:rsid w:val="00994E8F"/>
    <w:rsid w:val="009951DC"/>
    <w:rsid w:val="009959BB"/>
    <w:rsid w:val="00997158"/>
    <w:rsid w:val="009A0785"/>
    <w:rsid w:val="009A1723"/>
    <w:rsid w:val="009A3A7C"/>
    <w:rsid w:val="009A5E2C"/>
    <w:rsid w:val="009B139D"/>
    <w:rsid w:val="009B2ADB"/>
    <w:rsid w:val="009B3A05"/>
    <w:rsid w:val="009B603A"/>
    <w:rsid w:val="009B680D"/>
    <w:rsid w:val="009C05C4"/>
    <w:rsid w:val="009C0A29"/>
    <w:rsid w:val="009C116A"/>
    <w:rsid w:val="009C2AE0"/>
    <w:rsid w:val="009C2D0E"/>
    <w:rsid w:val="009C3540"/>
    <w:rsid w:val="009C3DAC"/>
    <w:rsid w:val="009C4138"/>
    <w:rsid w:val="009C42E0"/>
    <w:rsid w:val="009C669B"/>
    <w:rsid w:val="009C7192"/>
    <w:rsid w:val="009D1F4B"/>
    <w:rsid w:val="009D31DC"/>
    <w:rsid w:val="009D5362"/>
    <w:rsid w:val="009D66FB"/>
    <w:rsid w:val="009E1415"/>
    <w:rsid w:val="009E3BB2"/>
    <w:rsid w:val="009E6116"/>
    <w:rsid w:val="009F0541"/>
    <w:rsid w:val="009F6F2F"/>
    <w:rsid w:val="009F7AF9"/>
    <w:rsid w:val="00A02E43"/>
    <w:rsid w:val="00A0431C"/>
    <w:rsid w:val="00A065F9"/>
    <w:rsid w:val="00A069CB"/>
    <w:rsid w:val="00A07E98"/>
    <w:rsid w:val="00A07F34"/>
    <w:rsid w:val="00A22154"/>
    <w:rsid w:val="00A23012"/>
    <w:rsid w:val="00A234EE"/>
    <w:rsid w:val="00A25C38"/>
    <w:rsid w:val="00A265DF"/>
    <w:rsid w:val="00A31629"/>
    <w:rsid w:val="00A35532"/>
    <w:rsid w:val="00A36BBE"/>
    <w:rsid w:val="00A376E9"/>
    <w:rsid w:val="00A410E1"/>
    <w:rsid w:val="00A423C9"/>
    <w:rsid w:val="00A426C9"/>
    <w:rsid w:val="00A4307A"/>
    <w:rsid w:val="00A43806"/>
    <w:rsid w:val="00A4470A"/>
    <w:rsid w:val="00A457AF"/>
    <w:rsid w:val="00A47EBB"/>
    <w:rsid w:val="00A51CDD"/>
    <w:rsid w:val="00A525C7"/>
    <w:rsid w:val="00A53329"/>
    <w:rsid w:val="00A55574"/>
    <w:rsid w:val="00A65874"/>
    <w:rsid w:val="00A6730D"/>
    <w:rsid w:val="00A71625"/>
    <w:rsid w:val="00A71659"/>
    <w:rsid w:val="00A71B9B"/>
    <w:rsid w:val="00A73CDE"/>
    <w:rsid w:val="00A751C7"/>
    <w:rsid w:val="00A7543C"/>
    <w:rsid w:val="00A75875"/>
    <w:rsid w:val="00A87844"/>
    <w:rsid w:val="00A87A07"/>
    <w:rsid w:val="00A92259"/>
    <w:rsid w:val="00A9443E"/>
    <w:rsid w:val="00AA038C"/>
    <w:rsid w:val="00AA3849"/>
    <w:rsid w:val="00AA7A09"/>
    <w:rsid w:val="00AB0858"/>
    <w:rsid w:val="00AB3B50"/>
    <w:rsid w:val="00AB4277"/>
    <w:rsid w:val="00AB5386"/>
    <w:rsid w:val="00AC05B1"/>
    <w:rsid w:val="00AC538E"/>
    <w:rsid w:val="00AD356C"/>
    <w:rsid w:val="00AE09E2"/>
    <w:rsid w:val="00AE13E1"/>
    <w:rsid w:val="00AE2914"/>
    <w:rsid w:val="00AE299E"/>
    <w:rsid w:val="00AE6D15"/>
    <w:rsid w:val="00AF04DE"/>
    <w:rsid w:val="00AF2115"/>
    <w:rsid w:val="00AF70C4"/>
    <w:rsid w:val="00B01302"/>
    <w:rsid w:val="00B019DD"/>
    <w:rsid w:val="00B04182"/>
    <w:rsid w:val="00B07AE3"/>
    <w:rsid w:val="00B11430"/>
    <w:rsid w:val="00B14A6B"/>
    <w:rsid w:val="00B2474C"/>
    <w:rsid w:val="00B253D3"/>
    <w:rsid w:val="00B26A60"/>
    <w:rsid w:val="00B3515F"/>
    <w:rsid w:val="00B353EB"/>
    <w:rsid w:val="00B3780B"/>
    <w:rsid w:val="00B4324D"/>
    <w:rsid w:val="00B439C4"/>
    <w:rsid w:val="00B43EB6"/>
    <w:rsid w:val="00B4420A"/>
    <w:rsid w:val="00B442D3"/>
    <w:rsid w:val="00B44869"/>
    <w:rsid w:val="00B449F1"/>
    <w:rsid w:val="00B4535E"/>
    <w:rsid w:val="00B47BF0"/>
    <w:rsid w:val="00B52A8C"/>
    <w:rsid w:val="00B60304"/>
    <w:rsid w:val="00B61300"/>
    <w:rsid w:val="00B636A8"/>
    <w:rsid w:val="00B64C46"/>
    <w:rsid w:val="00B665C6"/>
    <w:rsid w:val="00B6736B"/>
    <w:rsid w:val="00B73889"/>
    <w:rsid w:val="00B76494"/>
    <w:rsid w:val="00B805AF"/>
    <w:rsid w:val="00B80F3B"/>
    <w:rsid w:val="00B81093"/>
    <w:rsid w:val="00B819B5"/>
    <w:rsid w:val="00B84A8C"/>
    <w:rsid w:val="00B859CD"/>
    <w:rsid w:val="00B869EC"/>
    <w:rsid w:val="00B874CB"/>
    <w:rsid w:val="00B9397A"/>
    <w:rsid w:val="00B9633D"/>
    <w:rsid w:val="00BA1CA0"/>
    <w:rsid w:val="00BA2EBE"/>
    <w:rsid w:val="00BA5AEB"/>
    <w:rsid w:val="00BB0F28"/>
    <w:rsid w:val="00BB291D"/>
    <w:rsid w:val="00BB458A"/>
    <w:rsid w:val="00BB4591"/>
    <w:rsid w:val="00BB49D5"/>
    <w:rsid w:val="00BB4C8D"/>
    <w:rsid w:val="00BC094F"/>
    <w:rsid w:val="00BC09EE"/>
    <w:rsid w:val="00BC3490"/>
    <w:rsid w:val="00BC5BAC"/>
    <w:rsid w:val="00BC64F8"/>
    <w:rsid w:val="00BD00D3"/>
    <w:rsid w:val="00BD1659"/>
    <w:rsid w:val="00BD3AA9"/>
    <w:rsid w:val="00BD42A4"/>
    <w:rsid w:val="00BD4A18"/>
    <w:rsid w:val="00BD6DB2"/>
    <w:rsid w:val="00BE11CF"/>
    <w:rsid w:val="00BE21AB"/>
    <w:rsid w:val="00BE55CB"/>
    <w:rsid w:val="00BF05AC"/>
    <w:rsid w:val="00BF4EC9"/>
    <w:rsid w:val="00BF617A"/>
    <w:rsid w:val="00BF6A2B"/>
    <w:rsid w:val="00C00CEA"/>
    <w:rsid w:val="00C02136"/>
    <w:rsid w:val="00C02915"/>
    <w:rsid w:val="00C0379D"/>
    <w:rsid w:val="00C03931"/>
    <w:rsid w:val="00C05FE3"/>
    <w:rsid w:val="00C1014A"/>
    <w:rsid w:val="00C17BC8"/>
    <w:rsid w:val="00C2136D"/>
    <w:rsid w:val="00C214EE"/>
    <w:rsid w:val="00C2314B"/>
    <w:rsid w:val="00C241BC"/>
    <w:rsid w:val="00C2497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42235"/>
    <w:rsid w:val="00C52689"/>
    <w:rsid w:val="00C540AD"/>
    <w:rsid w:val="00C54C8A"/>
    <w:rsid w:val="00C554F3"/>
    <w:rsid w:val="00C601D2"/>
    <w:rsid w:val="00C651C2"/>
    <w:rsid w:val="00C6540B"/>
    <w:rsid w:val="00C654FC"/>
    <w:rsid w:val="00C657AB"/>
    <w:rsid w:val="00C65BCC"/>
    <w:rsid w:val="00C66970"/>
    <w:rsid w:val="00C8691C"/>
    <w:rsid w:val="00C9297E"/>
    <w:rsid w:val="00C92D6C"/>
    <w:rsid w:val="00C92F0B"/>
    <w:rsid w:val="00C94300"/>
    <w:rsid w:val="00C9754B"/>
    <w:rsid w:val="00CA112C"/>
    <w:rsid w:val="00CA168A"/>
    <w:rsid w:val="00CA357E"/>
    <w:rsid w:val="00CA36E5"/>
    <w:rsid w:val="00CA3C44"/>
    <w:rsid w:val="00CA41A0"/>
    <w:rsid w:val="00CA44F9"/>
    <w:rsid w:val="00CA4A69"/>
    <w:rsid w:val="00CA6073"/>
    <w:rsid w:val="00CB0AFE"/>
    <w:rsid w:val="00CB6135"/>
    <w:rsid w:val="00CC3E0C"/>
    <w:rsid w:val="00CC58D3"/>
    <w:rsid w:val="00CC784D"/>
    <w:rsid w:val="00CD2167"/>
    <w:rsid w:val="00CD23A6"/>
    <w:rsid w:val="00CD4AA2"/>
    <w:rsid w:val="00CD6300"/>
    <w:rsid w:val="00CD7B6C"/>
    <w:rsid w:val="00CE2137"/>
    <w:rsid w:val="00CE41B4"/>
    <w:rsid w:val="00CE5ED9"/>
    <w:rsid w:val="00CE6B9D"/>
    <w:rsid w:val="00CF1D1D"/>
    <w:rsid w:val="00D00CDA"/>
    <w:rsid w:val="00D0337B"/>
    <w:rsid w:val="00D079B2"/>
    <w:rsid w:val="00D11478"/>
    <w:rsid w:val="00D114E9"/>
    <w:rsid w:val="00D13C67"/>
    <w:rsid w:val="00D160ED"/>
    <w:rsid w:val="00D20699"/>
    <w:rsid w:val="00D22141"/>
    <w:rsid w:val="00D22845"/>
    <w:rsid w:val="00D2381E"/>
    <w:rsid w:val="00D248AE"/>
    <w:rsid w:val="00D24F68"/>
    <w:rsid w:val="00D251E8"/>
    <w:rsid w:val="00D30D2C"/>
    <w:rsid w:val="00D32AF8"/>
    <w:rsid w:val="00D429C6"/>
    <w:rsid w:val="00D45B96"/>
    <w:rsid w:val="00D47748"/>
    <w:rsid w:val="00D47F36"/>
    <w:rsid w:val="00D51AF0"/>
    <w:rsid w:val="00D51EE5"/>
    <w:rsid w:val="00D5311A"/>
    <w:rsid w:val="00D54CC3"/>
    <w:rsid w:val="00D6041A"/>
    <w:rsid w:val="00D633EB"/>
    <w:rsid w:val="00D640AB"/>
    <w:rsid w:val="00D67DA6"/>
    <w:rsid w:val="00D72308"/>
    <w:rsid w:val="00D72BB1"/>
    <w:rsid w:val="00D72BF8"/>
    <w:rsid w:val="00D749D8"/>
    <w:rsid w:val="00D82FF7"/>
    <w:rsid w:val="00D847FE"/>
    <w:rsid w:val="00D86E9C"/>
    <w:rsid w:val="00D964EA"/>
    <w:rsid w:val="00D966D0"/>
    <w:rsid w:val="00DA0C59"/>
    <w:rsid w:val="00DA3991"/>
    <w:rsid w:val="00DB4DD0"/>
    <w:rsid w:val="00DB7497"/>
    <w:rsid w:val="00DB7E6C"/>
    <w:rsid w:val="00DB7EE8"/>
    <w:rsid w:val="00DC0667"/>
    <w:rsid w:val="00DC224E"/>
    <w:rsid w:val="00DC590D"/>
    <w:rsid w:val="00DC5AAD"/>
    <w:rsid w:val="00DC7F2C"/>
    <w:rsid w:val="00DD01F9"/>
    <w:rsid w:val="00DD5A29"/>
    <w:rsid w:val="00DD5D9D"/>
    <w:rsid w:val="00DE2C79"/>
    <w:rsid w:val="00DE35CB"/>
    <w:rsid w:val="00DE634A"/>
    <w:rsid w:val="00DE7BC9"/>
    <w:rsid w:val="00DF06EC"/>
    <w:rsid w:val="00DF13E9"/>
    <w:rsid w:val="00DF1E24"/>
    <w:rsid w:val="00DF21E9"/>
    <w:rsid w:val="00DF4669"/>
    <w:rsid w:val="00DF5487"/>
    <w:rsid w:val="00DF6822"/>
    <w:rsid w:val="00E00F14"/>
    <w:rsid w:val="00E01F68"/>
    <w:rsid w:val="00E06386"/>
    <w:rsid w:val="00E073ED"/>
    <w:rsid w:val="00E10E5D"/>
    <w:rsid w:val="00E2398E"/>
    <w:rsid w:val="00E24EB4"/>
    <w:rsid w:val="00E31BAC"/>
    <w:rsid w:val="00E31BAE"/>
    <w:rsid w:val="00E320ED"/>
    <w:rsid w:val="00E33650"/>
    <w:rsid w:val="00E33AFB"/>
    <w:rsid w:val="00E34128"/>
    <w:rsid w:val="00E34218"/>
    <w:rsid w:val="00E35F8A"/>
    <w:rsid w:val="00E361EC"/>
    <w:rsid w:val="00E404C7"/>
    <w:rsid w:val="00E436F4"/>
    <w:rsid w:val="00E45228"/>
    <w:rsid w:val="00E46282"/>
    <w:rsid w:val="00E5216E"/>
    <w:rsid w:val="00E610C3"/>
    <w:rsid w:val="00E6480F"/>
    <w:rsid w:val="00E66703"/>
    <w:rsid w:val="00E7041C"/>
    <w:rsid w:val="00E82344"/>
    <w:rsid w:val="00E84C82"/>
    <w:rsid w:val="00E84D64"/>
    <w:rsid w:val="00E87408"/>
    <w:rsid w:val="00E87D60"/>
    <w:rsid w:val="00E914C4"/>
    <w:rsid w:val="00E91CD2"/>
    <w:rsid w:val="00E934F5"/>
    <w:rsid w:val="00E95CAC"/>
    <w:rsid w:val="00E9624E"/>
    <w:rsid w:val="00E96961"/>
    <w:rsid w:val="00EA092A"/>
    <w:rsid w:val="00EA146C"/>
    <w:rsid w:val="00EA5285"/>
    <w:rsid w:val="00EA72EC"/>
    <w:rsid w:val="00EB11CB"/>
    <w:rsid w:val="00EB275A"/>
    <w:rsid w:val="00EB6E41"/>
    <w:rsid w:val="00EB786A"/>
    <w:rsid w:val="00EC1578"/>
    <w:rsid w:val="00EC1C72"/>
    <w:rsid w:val="00EC22D9"/>
    <w:rsid w:val="00EC3CC9"/>
    <w:rsid w:val="00EC680A"/>
    <w:rsid w:val="00ED2242"/>
    <w:rsid w:val="00EE0A6A"/>
    <w:rsid w:val="00EE2819"/>
    <w:rsid w:val="00EE2BED"/>
    <w:rsid w:val="00EE374B"/>
    <w:rsid w:val="00EE510C"/>
    <w:rsid w:val="00EE5A7F"/>
    <w:rsid w:val="00EE7133"/>
    <w:rsid w:val="00EE7636"/>
    <w:rsid w:val="00EF2DD3"/>
    <w:rsid w:val="00EF2FAD"/>
    <w:rsid w:val="00EF768F"/>
    <w:rsid w:val="00F00D86"/>
    <w:rsid w:val="00F00F80"/>
    <w:rsid w:val="00F0124A"/>
    <w:rsid w:val="00F02D2D"/>
    <w:rsid w:val="00F06FC1"/>
    <w:rsid w:val="00F1075A"/>
    <w:rsid w:val="00F10C4D"/>
    <w:rsid w:val="00F11BB5"/>
    <w:rsid w:val="00F11F9F"/>
    <w:rsid w:val="00F1417B"/>
    <w:rsid w:val="00F20323"/>
    <w:rsid w:val="00F224EE"/>
    <w:rsid w:val="00F31B08"/>
    <w:rsid w:val="00F33816"/>
    <w:rsid w:val="00F34B99"/>
    <w:rsid w:val="00F364DC"/>
    <w:rsid w:val="00F4096E"/>
    <w:rsid w:val="00F43BA1"/>
    <w:rsid w:val="00F52DAB"/>
    <w:rsid w:val="00F53D6E"/>
    <w:rsid w:val="00F540EF"/>
    <w:rsid w:val="00F543F0"/>
    <w:rsid w:val="00F54BCE"/>
    <w:rsid w:val="00F55448"/>
    <w:rsid w:val="00F61D7E"/>
    <w:rsid w:val="00F64441"/>
    <w:rsid w:val="00F660E6"/>
    <w:rsid w:val="00F737BC"/>
    <w:rsid w:val="00F73BBC"/>
    <w:rsid w:val="00F74608"/>
    <w:rsid w:val="00F81D29"/>
    <w:rsid w:val="00F81F45"/>
    <w:rsid w:val="00F871AD"/>
    <w:rsid w:val="00F91C4D"/>
    <w:rsid w:val="00F92FD9"/>
    <w:rsid w:val="00F934B5"/>
    <w:rsid w:val="00F936EC"/>
    <w:rsid w:val="00FA3021"/>
    <w:rsid w:val="00FA6684"/>
    <w:rsid w:val="00FA731E"/>
    <w:rsid w:val="00FB2B38"/>
    <w:rsid w:val="00FB2C8B"/>
    <w:rsid w:val="00FB2D4B"/>
    <w:rsid w:val="00FB2F7C"/>
    <w:rsid w:val="00FB5AD8"/>
    <w:rsid w:val="00FC1921"/>
    <w:rsid w:val="00FC59A7"/>
    <w:rsid w:val="00FC6358"/>
    <w:rsid w:val="00FC7E22"/>
    <w:rsid w:val="00FD2E56"/>
    <w:rsid w:val="00FD312E"/>
    <w:rsid w:val="00FD320D"/>
    <w:rsid w:val="00FD562F"/>
    <w:rsid w:val="00FD79D5"/>
    <w:rsid w:val="00FE10CE"/>
    <w:rsid w:val="00FE23DE"/>
    <w:rsid w:val="00FE531F"/>
    <w:rsid w:val="00FE6F67"/>
    <w:rsid w:val="00FF559F"/>
    <w:rsid w:val="00FF6A93"/>
    <w:rsid w:val="4BC84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2"/>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7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4"/>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75"/>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76"/>
    <w:semiHidden/>
    <w:unhideWhenUsed/>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77"/>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78"/>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uiPriority w:val="0"/>
    <w:pPr>
      <w:tabs>
        <w:tab w:val="right" w:leader="dot" w:pos="9241"/>
      </w:tabs>
      <w:ind w:firstLine="500" w:firstLineChars="500"/>
      <w:jc w:val="left"/>
    </w:pPr>
    <w:rPr>
      <w:rFonts w:ascii="宋体"/>
      <w:szCs w:val="21"/>
    </w:rPr>
  </w:style>
  <w:style w:type="paragraph" w:styleId="12">
    <w:name w:val="index 8"/>
    <w:basedOn w:val="1"/>
    <w:next w:val="1"/>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uiPriority w:val="0"/>
    <w:pPr>
      <w:ind w:left="1050" w:hanging="210"/>
      <w:jc w:val="left"/>
    </w:pPr>
    <w:rPr>
      <w:rFonts w:ascii="Calibri" w:hAnsi="Calibri"/>
      <w:sz w:val="20"/>
      <w:szCs w:val="20"/>
    </w:rPr>
  </w:style>
  <w:style w:type="paragraph" w:styleId="15">
    <w:name w:val="Document Map"/>
    <w:basedOn w:val="1"/>
    <w:semiHidden/>
    <w:uiPriority w:val="0"/>
    <w:pPr>
      <w:shd w:val="clear" w:color="auto" w:fill="000080"/>
    </w:pPr>
  </w:style>
  <w:style w:type="paragraph" w:styleId="16">
    <w:name w:val="annotation text"/>
    <w:basedOn w:val="1"/>
    <w:link w:val="146"/>
    <w:uiPriority w:val="0"/>
    <w:pPr>
      <w:jc w:val="left"/>
    </w:pPr>
  </w:style>
  <w:style w:type="paragraph" w:styleId="17">
    <w:name w:val="index 6"/>
    <w:basedOn w:val="1"/>
    <w:next w:val="1"/>
    <w:uiPriority w:val="0"/>
    <w:pPr>
      <w:ind w:left="1260" w:hanging="210"/>
      <w:jc w:val="left"/>
    </w:pPr>
    <w:rPr>
      <w:rFonts w:ascii="Calibri" w:hAnsi="Calibri"/>
      <w:sz w:val="20"/>
      <w:szCs w:val="20"/>
    </w:rPr>
  </w:style>
  <w:style w:type="paragraph" w:styleId="18">
    <w:name w:val="index 4"/>
    <w:basedOn w:val="1"/>
    <w:next w:val="1"/>
    <w:uiPriority w:val="0"/>
    <w:pPr>
      <w:ind w:left="840" w:hanging="210"/>
      <w:jc w:val="left"/>
    </w:pPr>
    <w:rPr>
      <w:rFonts w:ascii="Calibri" w:hAnsi="Calibri"/>
      <w:sz w:val="20"/>
      <w:szCs w:val="20"/>
    </w:rPr>
  </w:style>
  <w:style w:type="paragraph" w:styleId="19">
    <w:name w:val="toc 5"/>
    <w:basedOn w:val="1"/>
    <w:next w:val="1"/>
    <w:semiHidden/>
    <w:uiPriority w:val="0"/>
    <w:pPr>
      <w:tabs>
        <w:tab w:val="right" w:leader="dot" w:pos="9241"/>
      </w:tabs>
      <w:ind w:firstLine="300" w:firstLineChars="300"/>
      <w:jc w:val="left"/>
    </w:pPr>
    <w:rPr>
      <w:rFonts w:ascii="宋体"/>
      <w:szCs w:val="21"/>
    </w:rPr>
  </w:style>
  <w:style w:type="paragraph" w:styleId="20">
    <w:name w:val="toc 3"/>
    <w:basedOn w:val="1"/>
    <w:next w:val="1"/>
    <w:semiHidden/>
    <w:uiPriority w:val="0"/>
    <w:pPr>
      <w:tabs>
        <w:tab w:val="right" w:leader="dot" w:pos="9241"/>
      </w:tabs>
      <w:ind w:firstLine="100" w:firstLineChars="100"/>
      <w:jc w:val="left"/>
    </w:pPr>
    <w:rPr>
      <w:rFonts w:ascii="宋体"/>
      <w:szCs w:val="21"/>
    </w:rPr>
  </w:style>
  <w:style w:type="paragraph" w:styleId="21">
    <w:name w:val="toc 8"/>
    <w:basedOn w:val="1"/>
    <w:next w:val="1"/>
    <w:semiHidden/>
    <w:uiPriority w:val="0"/>
    <w:pPr>
      <w:tabs>
        <w:tab w:val="right" w:leader="dot" w:pos="9241"/>
      </w:tabs>
      <w:ind w:firstLine="607" w:firstLineChars="600"/>
      <w:jc w:val="left"/>
    </w:pPr>
    <w:rPr>
      <w:rFonts w:ascii="宋体"/>
      <w:szCs w:val="21"/>
    </w:rPr>
  </w:style>
  <w:style w:type="paragraph" w:styleId="22">
    <w:name w:val="index 3"/>
    <w:basedOn w:val="1"/>
    <w:next w:val="1"/>
    <w:uiPriority w:val="0"/>
    <w:pPr>
      <w:ind w:left="630" w:hanging="210"/>
      <w:jc w:val="left"/>
    </w:pPr>
    <w:rPr>
      <w:rFonts w:ascii="Calibri" w:hAnsi="Calibri"/>
      <w:sz w:val="20"/>
      <w:szCs w:val="20"/>
    </w:rPr>
  </w:style>
  <w:style w:type="paragraph" w:styleId="23">
    <w:name w:val="Date"/>
    <w:basedOn w:val="1"/>
    <w:next w:val="1"/>
    <w:link w:val="169"/>
    <w:uiPriority w:val="0"/>
    <w:pPr>
      <w:ind w:left="100" w:leftChars="2500"/>
    </w:pPr>
  </w:style>
  <w:style w:type="paragraph" w:styleId="24">
    <w:name w:val="endnote text"/>
    <w:basedOn w:val="1"/>
    <w:semiHidden/>
    <w:uiPriority w:val="0"/>
    <w:pPr>
      <w:snapToGrid w:val="0"/>
      <w:jc w:val="left"/>
    </w:pPr>
  </w:style>
  <w:style w:type="paragraph" w:styleId="25">
    <w:name w:val="Balloon Text"/>
    <w:basedOn w:val="1"/>
    <w:link w:val="148"/>
    <w:uiPriority w:val="0"/>
    <w:rPr>
      <w:sz w:val="18"/>
      <w:szCs w:val="18"/>
    </w:rPr>
  </w:style>
  <w:style w:type="paragraph" w:styleId="26">
    <w:name w:val="footer"/>
    <w:basedOn w:val="1"/>
    <w:qFormat/>
    <w:uiPriority w:val="0"/>
    <w:pPr>
      <w:snapToGrid w:val="0"/>
      <w:ind w:right="210" w:rightChars="100"/>
      <w:jc w:val="right"/>
    </w:pPr>
    <w:rPr>
      <w:sz w:val="18"/>
      <w:szCs w:val="18"/>
    </w:rPr>
  </w:style>
  <w:style w:type="paragraph" w:styleId="27">
    <w:name w:val="header"/>
    <w:basedOn w:val="1"/>
    <w:uiPriority w:val="0"/>
    <w:pPr>
      <w:snapToGrid w:val="0"/>
      <w:jc w:val="left"/>
    </w:pPr>
    <w:rPr>
      <w:sz w:val="18"/>
      <w:szCs w:val="18"/>
    </w:rPr>
  </w:style>
  <w:style w:type="paragraph" w:styleId="28">
    <w:name w:val="toc 1"/>
    <w:basedOn w:val="1"/>
    <w:next w:val="1"/>
    <w:semiHidden/>
    <w:uiPriority w:val="0"/>
    <w:pPr>
      <w:tabs>
        <w:tab w:val="right" w:leader="dot" w:pos="9242"/>
      </w:tabs>
      <w:spacing w:beforeLines="25" w:afterLines="25"/>
      <w:jc w:val="left"/>
    </w:pPr>
    <w:rPr>
      <w:rFonts w:ascii="宋体"/>
      <w:szCs w:val="21"/>
    </w:rPr>
  </w:style>
  <w:style w:type="paragraph" w:styleId="29">
    <w:name w:val="toc 4"/>
    <w:basedOn w:val="1"/>
    <w:next w:val="1"/>
    <w:semiHidden/>
    <w:uiPriority w:val="0"/>
    <w:pPr>
      <w:tabs>
        <w:tab w:val="right" w:leader="dot" w:pos="9241"/>
      </w:tabs>
      <w:ind w:firstLine="200" w:firstLineChars="200"/>
      <w:jc w:val="left"/>
    </w:pPr>
    <w:rPr>
      <w:rFonts w:ascii="宋体"/>
      <w:szCs w:val="21"/>
    </w:rPr>
  </w:style>
  <w:style w:type="paragraph" w:styleId="30">
    <w:name w:val="index heading"/>
    <w:basedOn w:val="1"/>
    <w:next w:val="31"/>
    <w:uiPriority w:val="0"/>
    <w:pPr>
      <w:spacing w:before="120" w:after="120"/>
      <w:jc w:val="center"/>
    </w:pPr>
    <w:rPr>
      <w:rFonts w:ascii="Calibri" w:hAnsi="Calibri"/>
      <w:b/>
      <w:bCs/>
      <w:iCs/>
      <w:szCs w:val="20"/>
    </w:rPr>
  </w:style>
  <w:style w:type="paragraph" w:styleId="31">
    <w:name w:val="index 1"/>
    <w:basedOn w:val="1"/>
    <w:next w:val="32"/>
    <w:uiPriority w:val="0"/>
    <w:pPr>
      <w:tabs>
        <w:tab w:val="right" w:leader="dot" w:pos="9299"/>
      </w:tabs>
      <w:jc w:val="left"/>
    </w:pPr>
    <w:rPr>
      <w:rFonts w:ascii="宋体"/>
      <w:szCs w:val="21"/>
    </w:rPr>
  </w:style>
  <w:style w:type="paragraph" w:customStyle="1" w:styleId="32">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3">
    <w:name w:val="footnote text"/>
    <w:basedOn w:val="1"/>
    <w:uiPriority w:val="0"/>
    <w:pPr>
      <w:numPr>
        <w:ilvl w:val="0"/>
        <w:numId w:val="2"/>
      </w:numPr>
      <w:snapToGrid w:val="0"/>
      <w:jc w:val="left"/>
    </w:pPr>
    <w:rPr>
      <w:rFonts w:ascii="宋体"/>
      <w:sz w:val="18"/>
      <w:szCs w:val="18"/>
    </w:rPr>
  </w:style>
  <w:style w:type="paragraph" w:styleId="34">
    <w:name w:val="toc 6"/>
    <w:basedOn w:val="1"/>
    <w:next w:val="1"/>
    <w:semiHidden/>
    <w:uiPriority w:val="0"/>
    <w:pPr>
      <w:tabs>
        <w:tab w:val="right" w:leader="dot" w:pos="9241"/>
      </w:tabs>
      <w:ind w:firstLine="400" w:firstLineChars="400"/>
      <w:jc w:val="left"/>
    </w:pPr>
    <w:rPr>
      <w:rFonts w:ascii="宋体"/>
      <w:szCs w:val="21"/>
    </w:rPr>
  </w:style>
  <w:style w:type="paragraph" w:styleId="35">
    <w:name w:val="index 7"/>
    <w:basedOn w:val="1"/>
    <w:next w:val="1"/>
    <w:uiPriority w:val="0"/>
    <w:pPr>
      <w:ind w:left="1470" w:hanging="210"/>
      <w:jc w:val="left"/>
    </w:pPr>
    <w:rPr>
      <w:rFonts w:ascii="Calibri" w:hAnsi="Calibri"/>
      <w:sz w:val="20"/>
      <w:szCs w:val="20"/>
    </w:rPr>
  </w:style>
  <w:style w:type="paragraph" w:styleId="36">
    <w:name w:val="index 9"/>
    <w:basedOn w:val="1"/>
    <w:next w:val="1"/>
    <w:uiPriority w:val="0"/>
    <w:pPr>
      <w:ind w:left="1890" w:hanging="210"/>
      <w:jc w:val="left"/>
    </w:pPr>
    <w:rPr>
      <w:rFonts w:ascii="Calibri" w:hAnsi="Calibri"/>
      <w:sz w:val="20"/>
      <w:szCs w:val="20"/>
    </w:rPr>
  </w:style>
  <w:style w:type="paragraph" w:styleId="37">
    <w:name w:val="toc 2"/>
    <w:basedOn w:val="1"/>
    <w:next w:val="1"/>
    <w:semiHidden/>
    <w:uiPriority w:val="0"/>
    <w:pPr>
      <w:tabs>
        <w:tab w:val="right" w:leader="dot" w:pos="9242"/>
      </w:tabs>
    </w:pPr>
    <w:rPr>
      <w:rFonts w:ascii="宋体"/>
      <w:szCs w:val="21"/>
    </w:rPr>
  </w:style>
  <w:style w:type="paragraph" w:styleId="38">
    <w:name w:val="toc 9"/>
    <w:basedOn w:val="1"/>
    <w:next w:val="1"/>
    <w:semiHidden/>
    <w:uiPriority w:val="0"/>
    <w:pPr>
      <w:ind w:left="1470"/>
      <w:jc w:val="left"/>
    </w:pPr>
    <w:rPr>
      <w:sz w:val="20"/>
      <w:szCs w:val="20"/>
    </w:rPr>
  </w:style>
  <w:style w:type="paragraph" w:styleId="39">
    <w:name w:val="index 2"/>
    <w:basedOn w:val="1"/>
    <w:next w:val="1"/>
    <w:uiPriority w:val="0"/>
    <w:pPr>
      <w:ind w:left="420" w:hanging="210"/>
      <w:jc w:val="left"/>
    </w:pPr>
    <w:rPr>
      <w:rFonts w:ascii="Calibri" w:hAnsi="Calibri"/>
      <w:sz w:val="20"/>
      <w:szCs w:val="20"/>
    </w:rPr>
  </w:style>
  <w:style w:type="paragraph" w:styleId="40">
    <w:name w:val="annotation subject"/>
    <w:basedOn w:val="16"/>
    <w:next w:val="16"/>
    <w:link w:val="147"/>
    <w:uiPriority w:val="0"/>
    <w:rPr>
      <w:b/>
      <w:bCs/>
    </w:rPr>
  </w:style>
  <w:style w:type="table" w:styleId="42">
    <w:name w:val="Table Grid"/>
    <w:basedOn w:val="41"/>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endnote reference"/>
    <w:semiHidden/>
    <w:uiPriority w:val="0"/>
    <w:rPr>
      <w:vertAlign w:val="superscript"/>
    </w:rPr>
  </w:style>
  <w:style w:type="character" w:styleId="45">
    <w:name w:val="page number"/>
    <w:uiPriority w:val="0"/>
    <w:rPr>
      <w:rFonts w:ascii="Times New Roman" w:hAnsi="Times New Roman" w:eastAsia="宋体"/>
      <w:sz w:val="18"/>
    </w:rPr>
  </w:style>
  <w:style w:type="character" w:styleId="46">
    <w:name w:val="FollowedHyperlink"/>
    <w:uiPriority w:val="0"/>
    <w:rPr>
      <w:color w:val="800080"/>
      <w:u w:val="single"/>
    </w:rPr>
  </w:style>
  <w:style w:type="character" w:styleId="47">
    <w:name w:val="Hyperlink"/>
    <w:uiPriority w:val="0"/>
    <w:rPr>
      <w:color w:val="0000FF"/>
      <w:spacing w:val="0"/>
      <w:w w:val="100"/>
      <w:szCs w:val="21"/>
      <w:u w:val="single"/>
    </w:rPr>
  </w:style>
  <w:style w:type="character" w:styleId="48">
    <w:name w:val="annotation reference"/>
    <w:uiPriority w:val="0"/>
    <w:rPr>
      <w:sz w:val="21"/>
      <w:szCs w:val="21"/>
    </w:rPr>
  </w:style>
  <w:style w:type="character" w:styleId="49">
    <w:name w:val="footnote reference"/>
    <w:semiHidden/>
    <w:uiPriority w:val="0"/>
    <w:rPr>
      <w:vertAlign w:val="superscript"/>
    </w:rPr>
  </w:style>
  <w:style w:type="character" w:customStyle="1" w:styleId="50">
    <w:name w:val="段 Char"/>
    <w:link w:val="32"/>
    <w:qFormat/>
    <w:uiPriority w:val="0"/>
    <w:rPr>
      <w:rFonts w:ascii="宋体"/>
      <w:sz w:val="21"/>
      <w:lang w:val="en-US" w:eastAsia="zh-CN" w:bidi="ar-SA"/>
    </w:rPr>
  </w:style>
  <w:style w:type="paragraph" w:customStyle="1" w:styleId="51">
    <w:name w:val="一级条标题"/>
    <w:next w:val="32"/>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章标题"/>
    <w:next w:val="32"/>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1"/>
    <w:next w:val="32"/>
    <w:qFormat/>
    <w:uiPriority w:val="0"/>
    <w:pPr>
      <w:numPr>
        <w:ilvl w:val="2"/>
      </w:numPr>
      <w:spacing w:before="50" w:after="50"/>
      <w:outlineLvl w:val="3"/>
    </w:pPr>
  </w:style>
  <w:style w:type="paragraph" w:customStyle="1" w:styleId="5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7">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8">
    <w:name w:val="列项●（二级）"/>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9">
    <w:name w:val="目次、标准名称标题"/>
    <w:basedOn w:val="1"/>
    <w:next w:val="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三级条标题"/>
    <w:basedOn w:val="55"/>
    <w:next w:val="32"/>
    <w:uiPriority w:val="0"/>
    <w:pPr>
      <w:numPr>
        <w:ilvl w:val="3"/>
      </w:numPr>
      <w:outlineLvl w:val="4"/>
    </w:pPr>
  </w:style>
  <w:style w:type="paragraph" w:customStyle="1" w:styleId="61">
    <w:name w:val="示例"/>
    <w:next w:val="62"/>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2">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63">
    <w:name w:val="数字编号列项（二级）"/>
    <w:uiPriority w:val="0"/>
    <w:pPr>
      <w:numPr>
        <w:ilvl w:val="1"/>
        <w:numId w:val="6"/>
      </w:numPr>
      <w:jc w:val="both"/>
    </w:pPr>
    <w:rPr>
      <w:rFonts w:ascii="宋体" w:hAnsi="Times New Roman" w:eastAsia="宋体" w:cs="Times New Roman"/>
      <w:sz w:val="21"/>
      <w:lang w:val="en-US" w:eastAsia="zh-CN" w:bidi="ar-SA"/>
    </w:rPr>
  </w:style>
  <w:style w:type="paragraph" w:customStyle="1" w:styleId="64">
    <w:name w:val="四级条标题"/>
    <w:basedOn w:val="60"/>
    <w:next w:val="32"/>
    <w:uiPriority w:val="0"/>
    <w:pPr>
      <w:numPr>
        <w:ilvl w:val="4"/>
      </w:numPr>
      <w:outlineLvl w:val="5"/>
    </w:pPr>
  </w:style>
  <w:style w:type="paragraph" w:customStyle="1" w:styleId="65">
    <w:name w:val="五级条标题"/>
    <w:basedOn w:val="64"/>
    <w:next w:val="32"/>
    <w:qFormat/>
    <w:uiPriority w:val="0"/>
    <w:pPr>
      <w:numPr>
        <w:ilvl w:val="5"/>
      </w:numPr>
      <w:outlineLvl w:val="6"/>
    </w:pPr>
  </w:style>
  <w:style w:type="paragraph" w:customStyle="1" w:styleId="66">
    <w:name w:val="注："/>
    <w:next w:val="32"/>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7">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8">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9">
    <w:name w:val="列项◆（三级）"/>
    <w:basedOn w:val="1"/>
    <w:uiPriority w:val="0"/>
    <w:pPr>
      <w:numPr>
        <w:ilvl w:val="2"/>
        <w:numId w:val="4"/>
      </w:numPr>
    </w:pPr>
    <w:rPr>
      <w:rFonts w:ascii="宋体"/>
      <w:szCs w:val="21"/>
    </w:rPr>
  </w:style>
  <w:style w:type="paragraph" w:customStyle="1" w:styleId="70">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71">
    <w:name w:val="示例×："/>
    <w:basedOn w:val="54"/>
    <w:qFormat/>
    <w:uiPriority w:val="0"/>
    <w:pPr>
      <w:numPr>
        <w:numId w:val="9"/>
      </w:numPr>
      <w:spacing w:beforeLines="0" w:afterLines="0"/>
      <w:outlineLvl w:val="9"/>
    </w:pPr>
    <w:rPr>
      <w:rFonts w:ascii="宋体" w:eastAsia="宋体"/>
      <w:sz w:val="18"/>
      <w:szCs w:val="18"/>
    </w:rPr>
  </w:style>
  <w:style w:type="paragraph" w:customStyle="1" w:styleId="72">
    <w:name w:val="二级无"/>
    <w:basedOn w:val="55"/>
    <w:uiPriority w:val="0"/>
    <w:pPr>
      <w:spacing w:beforeLines="0" w:afterLines="0"/>
    </w:pPr>
    <w:rPr>
      <w:rFonts w:ascii="宋体" w:eastAsia="宋体"/>
    </w:rPr>
  </w:style>
  <w:style w:type="paragraph" w:customStyle="1" w:styleId="73">
    <w:name w:val="注：（正文）"/>
    <w:basedOn w:val="66"/>
    <w:next w:val="32"/>
    <w:qFormat/>
    <w:uiPriority w:val="0"/>
  </w:style>
  <w:style w:type="paragraph" w:customStyle="1" w:styleId="74">
    <w:name w:val="注×：（正文）"/>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5">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6">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7">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78">
    <w:name w:val="标准书眉_偶数页"/>
    <w:basedOn w:val="53"/>
    <w:next w:val="1"/>
    <w:qFormat/>
    <w:uiPriority w:val="0"/>
    <w:pPr>
      <w:jc w:val="left"/>
    </w:p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参考文献"/>
    <w:basedOn w:val="1"/>
    <w:next w:val="3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参考文献、索引标题"/>
    <w:basedOn w:val="1"/>
    <w:next w:val="32"/>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2">
    <w:name w:val="发布"/>
    <w:uiPriority w:val="0"/>
    <w:rPr>
      <w:rFonts w:ascii="黑体" w:eastAsia="黑体"/>
      <w:spacing w:val="85"/>
      <w:w w:val="100"/>
      <w:position w:val="3"/>
      <w:sz w:val="28"/>
      <w:szCs w:val="28"/>
    </w:rPr>
  </w:style>
  <w:style w:type="paragraph" w:customStyle="1" w:styleId="83">
    <w:name w:val="发布部门"/>
    <w:next w:val="3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6">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标准英文名称"/>
    <w:basedOn w:val="87"/>
    <w:uiPriority w:val="0"/>
    <w:pPr>
      <w:framePr w:wrap="around"/>
      <w:spacing w:before="370" w:line="400" w:lineRule="exact"/>
    </w:pPr>
    <w:rPr>
      <w:rFonts w:ascii="Times New Roman"/>
      <w:sz w:val="28"/>
      <w:szCs w:val="28"/>
    </w:rPr>
  </w:style>
  <w:style w:type="paragraph" w:customStyle="1" w:styleId="89">
    <w:name w:val="封面一致性程度标识"/>
    <w:basedOn w:val="88"/>
    <w:uiPriority w:val="0"/>
    <w:pPr>
      <w:framePr w:wrap="around"/>
      <w:spacing w:before="440"/>
    </w:pPr>
    <w:rPr>
      <w:rFonts w:ascii="宋体" w:eastAsia="宋体"/>
    </w:rPr>
  </w:style>
  <w:style w:type="paragraph" w:customStyle="1" w:styleId="90">
    <w:name w:val="封面标准文稿类别"/>
    <w:basedOn w:val="89"/>
    <w:uiPriority w:val="0"/>
    <w:pPr>
      <w:framePr w:wrap="around"/>
      <w:spacing w:after="160" w:line="240" w:lineRule="auto"/>
    </w:pPr>
    <w:rPr>
      <w:sz w:val="24"/>
    </w:rPr>
  </w:style>
  <w:style w:type="paragraph" w:customStyle="1" w:styleId="91">
    <w:name w:val="封面标准文稿编辑信息"/>
    <w:basedOn w:val="90"/>
    <w:uiPriority w:val="0"/>
    <w:pPr>
      <w:framePr w:wrap="around"/>
      <w:spacing w:before="180" w:line="180" w:lineRule="exact"/>
    </w:pPr>
    <w:rPr>
      <w:sz w:val="21"/>
    </w:rPr>
  </w:style>
  <w:style w:type="paragraph" w:customStyle="1" w:styleId="92">
    <w:name w:val="封面正文"/>
    <w:uiPriority w:val="0"/>
    <w:pPr>
      <w:jc w:val="both"/>
    </w:pPr>
    <w:rPr>
      <w:rFonts w:ascii="Times New Roman" w:hAnsi="Times New Roman" w:eastAsia="宋体" w:cs="Times New Roman"/>
      <w:lang w:val="en-US" w:eastAsia="zh-CN" w:bidi="ar-SA"/>
    </w:rPr>
  </w:style>
  <w:style w:type="paragraph" w:customStyle="1" w:styleId="93">
    <w:name w:val="附录标识"/>
    <w:basedOn w:val="1"/>
    <w:next w:val="32"/>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4">
    <w:name w:val="附录标题"/>
    <w:basedOn w:val="32"/>
    <w:next w:val="32"/>
    <w:uiPriority w:val="0"/>
    <w:pPr>
      <w:ind w:firstLine="0" w:firstLineChars="0"/>
      <w:jc w:val="center"/>
    </w:pPr>
    <w:rPr>
      <w:rFonts w:ascii="黑体" w:eastAsia="黑体"/>
    </w:rPr>
  </w:style>
  <w:style w:type="paragraph" w:customStyle="1" w:styleId="95">
    <w:name w:val="附录表标号"/>
    <w:basedOn w:val="1"/>
    <w:next w:val="32"/>
    <w:uiPriority w:val="0"/>
    <w:pPr>
      <w:numPr>
        <w:ilvl w:val="0"/>
        <w:numId w:val="12"/>
      </w:numPr>
      <w:tabs>
        <w:tab w:val="clear" w:pos="0"/>
      </w:tabs>
      <w:spacing w:line="14" w:lineRule="exact"/>
      <w:ind w:left="811" w:hanging="448"/>
      <w:jc w:val="center"/>
      <w:outlineLvl w:val="0"/>
    </w:pPr>
    <w:rPr>
      <w:color w:val="FFFFFF"/>
    </w:rPr>
  </w:style>
  <w:style w:type="paragraph" w:customStyle="1" w:styleId="96">
    <w:name w:val="附录表标题"/>
    <w:basedOn w:val="1"/>
    <w:next w:val="32"/>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7">
    <w:name w:val="附录二级条标题"/>
    <w:basedOn w:val="1"/>
    <w:next w:val="32"/>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8">
    <w:name w:val="附录二级无"/>
    <w:basedOn w:val="97"/>
    <w:uiPriority w:val="0"/>
    <w:pPr>
      <w:tabs>
        <w:tab w:val="clear" w:pos="360"/>
      </w:tabs>
      <w:spacing w:beforeLines="0" w:afterLines="0"/>
    </w:pPr>
    <w:rPr>
      <w:rFonts w:ascii="宋体" w:eastAsia="宋体"/>
      <w:szCs w:val="21"/>
    </w:rPr>
  </w:style>
  <w:style w:type="paragraph" w:customStyle="1" w:styleId="99">
    <w:name w:val="附录公式"/>
    <w:basedOn w:val="32"/>
    <w:next w:val="32"/>
    <w:link w:val="100"/>
    <w:qFormat/>
    <w:uiPriority w:val="0"/>
  </w:style>
  <w:style w:type="character" w:customStyle="1" w:styleId="100">
    <w:name w:val="附录公式 Char"/>
    <w:basedOn w:val="50"/>
    <w:link w:val="99"/>
    <w:uiPriority w:val="0"/>
    <w:rPr>
      <w:rFonts w:ascii="宋体"/>
      <w:sz w:val="21"/>
      <w:lang w:val="en-US" w:eastAsia="zh-CN" w:bidi="ar-SA"/>
    </w:rPr>
  </w:style>
  <w:style w:type="paragraph" w:customStyle="1" w:styleId="101">
    <w:name w:val="附录公式编号制表符"/>
    <w:basedOn w:val="1"/>
    <w:next w:val="32"/>
    <w:qFormat/>
    <w:uiPriority w:val="0"/>
    <w:pPr>
      <w:widowControl/>
      <w:tabs>
        <w:tab w:val="center" w:pos="4201"/>
        <w:tab w:val="right" w:leader="dot" w:pos="9298"/>
      </w:tabs>
      <w:autoSpaceDE w:val="0"/>
      <w:autoSpaceDN w:val="0"/>
    </w:pPr>
    <w:rPr>
      <w:rFonts w:ascii="宋体"/>
      <w:kern w:val="0"/>
      <w:szCs w:val="20"/>
    </w:rPr>
  </w:style>
  <w:style w:type="paragraph" w:customStyle="1" w:styleId="102">
    <w:name w:val="附录三级条标题"/>
    <w:basedOn w:val="97"/>
    <w:next w:val="32"/>
    <w:uiPriority w:val="0"/>
    <w:pPr>
      <w:numPr>
        <w:ilvl w:val="4"/>
      </w:numPr>
      <w:outlineLvl w:val="4"/>
    </w:pPr>
  </w:style>
  <w:style w:type="paragraph" w:customStyle="1" w:styleId="103">
    <w:name w:val="附录三级无"/>
    <w:basedOn w:val="102"/>
    <w:uiPriority w:val="0"/>
    <w:pPr>
      <w:tabs>
        <w:tab w:val="clear" w:pos="360"/>
      </w:tabs>
      <w:spacing w:beforeLines="0" w:afterLines="0"/>
    </w:pPr>
    <w:rPr>
      <w:rFonts w:ascii="宋体" w:eastAsia="宋体"/>
      <w:szCs w:val="21"/>
    </w:rPr>
  </w:style>
  <w:style w:type="paragraph" w:customStyle="1" w:styleId="10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5">
    <w:name w:val="附录四级条标题"/>
    <w:basedOn w:val="102"/>
    <w:next w:val="32"/>
    <w:uiPriority w:val="0"/>
    <w:pPr>
      <w:numPr>
        <w:ilvl w:val="5"/>
      </w:numPr>
      <w:outlineLvl w:val="5"/>
    </w:pPr>
  </w:style>
  <w:style w:type="paragraph" w:customStyle="1" w:styleId="106">
    <w:name w:val="附录四级无"/>
    <w:basedOn w:val="105"/>
    <w:uiPriority w:val="0"/>
    <w:pPr>
      <w:tabs>
        <w:tab w:val="clear" w:pos="360"/>
      </w:tabs>
      <w:spacing w:beforeLines="0" w:afterLines="0"/>
    </w:pPr>
    <w:rPr>
      <w:rFonts w:ascii="宋体" w:eastAsia="宋体"/>
      <w:szCs w:val="21"/>
    </w:rPr>
  </w:style>
  <w:style w:type="paragraph" w:customStyle="1" w:styleId="107">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8">
    <w:name w:val="附录图标题"/>
    <w:basedOn w:val="1"/>
    <w:next w:val="32"/>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9">
    <w:name w:val="附录五级条标题"/>
    <w:basedOn w:val="105"/>
    <w:next w:val="32"/>
    <w:uiPriority w:val="0"/>
    <w:pPr>
      <w:numPr>
        <w:ilvl w:val="6"/>
      </w:numPr>
      <w:outlineLvl w:val="6"/>
    </w:pPr>
  </w:style>
  <w:style w:type="paragraph" w:customStyle="1" w:styleId="110">
    <w:name w:val="附录五级无"/>
    <w:basedOn w:val="109"/>
    <w:uiPriority w:val="0"/>
    <w:pPr>
      <w:tabs>
        <w:tab w:val="clear" w:pos="360"/>
      </w:tabs>
      <w:spacing w:beforeLines="0" w:afterLines="0"/>
    </w:pPr>
    <w:rPr>
      <w:rFonts w:ascii="宋体" w:eastAsia="宋体"/>
      <w:szCs w:val="21"/>
    </w:rPr>
  </w:style>
  <w:style w:type="paragraph" w:customStyle="1" w:styleId="111">
    <w:name w:val="附录章标题"/>
    <w:next w:val="32"/>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附录一级条标题"/>
    <w:basedOn w:val="111"/>
    <w:next w:val="32"/>
    <w:uiPriority w:val="0"/>
    <w:pPr>
      <w:numPr>
        <w:ilvl w:val="2"/>
      </w:numPr>
      <w:autoSpaceDN w:val="0"/>
      <w:spacing w:beforeLines="50" w:afterLines="50"/>
      <w:outlineLvl w:val="2"/>
    </w:pPr>
  </w:style>
  <w:style w:type="paragraph" w:customStyle="1" w:styleId="113">
    <w:name w:val="附录一级无"/>
    <w:basedOn w:val="112"/>
    <w:uiPriority w:val="0"/>
    <w:pPr>
      <w:tabs>
        <w:tab w:val="clear" w:pos="360"/>
      </w:tabs>
      <w:spacing w:beforeLines="0" w:afterLines="0"/>
    </w:pPr>
    <w:rPr>
      <w:rFonts w:ascii="宋体" w:eastAsia="宋体"/>
      <w:szCs w:val="21"/>
    </w:rPr>
  </w:style>
  <w:style w:type="paragraph" w:customStyle="1" w:styleId="11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5">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5"/>
    <w:uiPriority w:val="0"/>
    <w:pPr>
      <w:framePr w:w="6101" w:wrap="around" w:vAnchor="page" w:hAnchor="page" w:x="4673" w:y="942"/>
    </w:pPr>
    <w:rPr>
      <w:w w:val="130"/>
    </w:rPr>
  </w:style>
  <w:style w:type="paragraph" w:customStyle="1" w:styleId="11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3"/>
    <w:uiPriority w:val="0"/>
    <w:pPr>
      <w:framePr w:wrap="around" w:y="15310"/>
      <w:spacing w:line="0" w:lineRule="atLeast"/>
    </w:pPr>
    <w:rPr>
      <w:rFonts w:ascii="黑体" w:eastAsia="黑体"/>
      <w:b w:val="0"/>
    </w:rPr>
  </w:style>
  <w:style w:type="paragraph" w:customStyle="1" w:styleId="121">
    <w:name w:val="前言、引言标题"/>
    <w:next w:val="3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60"/>
    <w:uiPriority w:val="0"/>
    <w:pPr>
      <w:spacing w:beforeLines="0" w:afterLines="0"/>
    </w:pPr>
    <w:rPr>
      <w:rFonts w:ascii="宋体" w:eastAsia="宋体"/>
    </w:rPr>
  </w:style>
  <w:style w:type="paragraph" w:customStyle="1" w:styleId="123">
    <w:name w:val="实施日期"/>
    <w:basedOn w:val="84"/>
    <w:uiPriority w:val="0"/>
    <w:pPr>
      <w:framePr w:wrap="around" w:vAnchor="page" w:hAnchor="text"/>
      <w:jc w:val="right"/>
    </w:pPr>
  </w:style>
  <w:style w:type="paragraph" w:customStyle="1" w:styleId="124">
    <w:name w:val="示例后文字"/>
    <w:basedOn w:val="32"/>
    <w:next w:val="32"/>
    <w:qFormat/>
    <w:uiPriority w:val="0"/>
    <w:pPr>
      <w:ind w:firstLine="360"/>
    </w:pPr>
    <w:rPr>
      <w:sz w:val="18"/>
    </w:rPr>
  </w:style>
  <w:style w:type="paragraph" w:customStyle="1" w:styleId="125">
    <w:name w:val="首示例"/>
    <w:next w:val="32"/>
    <w:link w:val="126"/>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6">
    <w:name w:val="首示例 Char"/>
    <w:link w:val="125"/>
    <w:uiPriority w:val="0"/>
    <w:rPr>
      <w:rFonts w:ascii="宋体" w:hAnsi="宋体"/>
      <w:kern w:val="2"/>
      <w:sz w:val="18"/>
      <w:szCs w:val="18"/>
    </w:rPr>
  </w:style>
  <w:style w:type="paragraph" w:customStyle="1" w:styleId="127">
    <w:name w:val="四级无"/>
    <w:basedOn w:val="64"/>
    <w:uiPriority w:val="0"/>
    <w:pPr>
      <w:spacing w:beforeLines="0" w:afterLines="0"/>
    </w:pPr>
    <w:rPr>
      <w:rFonts w:ascii="宋体" w:eastAsia="宋体"/>
    </w:rPr>
  </w:style>
  <w:style w:type="paragraph" w:customStyle="1" w:styleId="128">
    <w:name w:val="条文脚注"/>
    <w:basedOn w:val="33"/>
    <w:uiPriority w:val="0"/>
    <w:pPr>
      <w:numPr>
        <w:numId w:val="0"/>
      </w:numPr>
      <w:jc w:val="both"/>
    </w:pPr>
  </w:style>
  <w:style w:type="paragraph" w:customStyle="1" w:styleId="129">
    <w:name w:val="图标脚注说明"/>
    <w:basedOn w:val="32"/>
    <w:uiPriority w:val="0"/>
    <w:pPr>
      <w:ind w:left="840" w:hanging="420" w:firstLineChars="0"/>
    </w:pPr>
    <w:rPr>
      <w:sz w:val="18"/>
      <w:szCs w:val="18"/>
    </w:rPr>
  </w:style>
  <w:style w:type="paragraph" w:customStyle="1" w:styleId="130">
    <w:name w:val="图表脚注说明"/>
    <w:basedOn w:val="1"/>
    <w:uiPriority w:val="0"/>
    <w:pPr>
      <w:numPr>
        <w:ilvl w:val="0"/>
        <w:numId w:val="16"/>
      </w:numPr>
    </w:pPr>
    <w:rPr>
      <w:rFonts w:ascii="宋体"/>
      <w:sz w:val="18"/>
      <w:szCs w:val="18"/>
    </w:rPr>
  </w:style>
  <w:style w:type="paragraph" w:customStyle="1" w:styleId="131">
    <w:name w:val="图的脚注"/>
    <w:next w:val="3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3">
    <w:name w:val="五级无"/>
    <w:basedOn w:val="65"/>
    <w:uiPriority w:val="0"/>
    <w:pPr>
      <w:spacing w:beforeLines="0" w:afterLines="0"/>
    </w:pPr>
    <w:rPr>
      <w:rFonts w:ascii="宋体" w:eastAsia="宋体"/>
    </w:rPr>
  </w:style>
  <w:style w:type="paragraph" w:customStyle="1" w:styleId="134">
    <w:name w:val="一级无"/>
    <w:basedOn w:val="51"/>
    <w:uiPriority w:val="0"/>
    <w:pPr>
      <w:spacing w:beforeLines="0" w:afterLines="0"/>
    </w:pPr>
    <w:rPr>
      <w:rFonts w:ascii="宋体" w:eastAsia="宋体"/>
    </w:rPr>
  </w:style>
  <w:style w:type="paragraph" w:customStyle="1" w:styleId="135">
    <w:name w:val="正文表标题"/>
    <w:next w:val="32"/>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正文公式编号制表符"/>
    <w:basedOn w:val="32"/>
    <w:next w:val="32"/>
    <w:qFormat/>
    <w:uiPriority w:val="0"/>
    <w:pPr>
      <w:ind w:firstLine="0" w:firstLineChars="0"/>
    </w:pPr>
  </w:style>
  <w:style w:type="paragraph" w:customStyle="1" w:styleId="137">
    <w:name w:val="正文图标题"/>
    <w:next w:val="32"/>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终结线"/>
    <w:basedOn w:val="1"/>
    <w:uiPriority w:val="0"/>
    <w:pPr>
      <w:framePr w:hSpace="181" w:vSpace="181" w:wrap="around" w:vAnchor="text" w:hAnchor="margin" w:xAlign="center" w:y="285"/>
    </w:pPr>
  </w:style>
  <w:style w:type="paragraph" w:customStyle="1" w:styleId="139">
    <w:name w:val="其他发布日期"/>
    <w:basedOn w:val="84"/>
    <w:uiPriority w:val="0"/>
    <w:pPr>
      <w:framePr w:wrap="around" w:vAnchor="page" w:hAnchor="text" w:x="1419"/>
    </w:pPr>
  </w:style>
  <w:style w:type="paragraph" w:customStyle="1" w:styleId="140">
    <w:name w:val="其他实施日期"/>
    <w:basedOn w:val="123"/>
    <w:uiPriority w:val="0"/>
    <w:pPr>
      <w:framePr w:wrap="around"/>
    </w:pPr>
  </w:style>
  <w:style w:type="paragraph" w:customStyle="1" w:styleId="141">
    <w:name w:val="封面标准名称2"/>
    <w:basedOn w:val="87"/>
    <w:uiPriority w:val="0"/>
    <w:pPr>
      <w:framePr w:wrap="around" w:y="4469"/>
      <w:spacing w:beforeLines="630"/>
    </w:pPr>
  </w:style>
  <w:style w:type="paragraph" w:customStyle="1" w:styleId="142">
    <w:name w:val="封面标准英文名称2"/>
    <w:basedOn w:val="88"/>
    <w:uiPriority w:val="0"/>
    <w:pPr>
      <w:framePr w:wrap="around" w:y="4469"/>
    </w:pPr>
  </w:style>
  <w:style w:type="paragraph" w:customStyle="1" w:styleId="143">
    <w:name w:val="封面一致性程度标识2"/>
    <w:basedOn w:val="89"/>
    <w:uiPriority w:val="0"/>
    <w:pPr>
      <w:framePr w:wrap="around" w:y="4469"/>
    </w:pPr>
  </w:style>
  <w:style w:type="paragraph" w:customStyle="1" w:styleId="144">
    <w:name w:val="封面标准文稿类别2"/>
    <w:basedOn w:val="90"/>
    <w:uiPriority w:val="0"/>
    <w:pPr>
      <w:framePr w:wrap="around" w:y="4469"/>
    </w:pPr>
  </w:style>
  <w:style w:type="paragraph" w:customStyle="1" w:styleId="145">
    <w:name w:val="封面标准文稿编辑信息2"/>
    <w:basedOn w:val="91"/>
    <w:uiPriority w:val="0"/>
    <w:pPr>
      <w:framePr w:wrap="around" w:y="4469"/>
    </w:pPr>
  </w:style>
  <w:style w:type="character" w:customStyle="1" w:styleId="146">
    <w:name w:val="批注文字 Char"/>
    <w:link w:val="16"/>
    <w:uiPriority w:val="0"/>
    <w:rPr>
      <w:kern w:val="2"/>
      <w:sz w:val="21"/>
      <w:szCs w:val="24"/>
    </w:rPr>
  </w:style>
  <w:style w:type="character" w:customStyle="1" w:styleId="147">
    <w:name w:val="批注主题 Char"/>
    <w:link w:val="40"/>
    <w:uiPriority w:val="0"/>
    <w:rPr>
      <w:b/>
      <w:bCs/>
      <w:kern w:val="2"/>
      <w:sz w:val="21"/>
      <w:szCs w:val="24"/>
    </w:rPr>
  </w:style>
  <w:style w:type="character" w:customStyle="1" w:styleId="148">
    <w:name w:val="批注框文本 Char"/>
    <w:link w:val="25"/>
    <w:uiPriority w:val="0"/>
    <w:rPr>
      <w:kern w:val="2"/>
      <w:sz w:val="18"/>
      <w:szCs w:val="18"/>
    </w:rPr>
  </w:style>
  <w:style w:type="paragraph" w:customStyle="1" w:styleId="149">
    <w:name w:val="StdsHead3"/>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1"/>
    <w:uiPriority w:val="0"/>
    <w:pPr>
      <w:keepNext/>
      <w:spacing w:before="180" w:after="60"/>
    </w:pPr>
    <w:rPr>
      <w:rFonts w:ascii="Arial" w:hAnsi="Arial" w:eastAsia="Arial Unicode MS" w:cs="Times New Roman"/>
      <w:b/>
      <w:lang w:val="en-US" w:eastAsia="ja-JP" w:bidi="ar-SA"/>
    </w:rPr>
  </w:style>
  <w:style w:type="paragraph" w:customStyle="1" w:styleId="151">
    <w:name w:val="StdsHead2"/>
    <w:link w:val="167"/>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Head4"/>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Head5"/>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Head6"/>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Head7"/>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Head8"/>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1"/>
    <w:qFormat/>
    <w:uiPriority w:val="0"/>
    <w:pPr>
      <w:keepNext/>
      <w:spacing w:before="180" w:after="60"/>
    </w:pPr>
    <w:rPr>
      <w:rFonts w:ascii="Arial" w:hAnsi="Arial" w:eastAsia="Arial Unicode MS" w:cs="Times New Roman"/>
      <w:b/>
      <w:lang w:val="en-US" w:eastAsia="ja-JP" w:bidi="ar-SA"/>
    </w:rPr>
  </w:style>
  <w:style w:type="paragraph" w:customStyle="1" w:styleId="158">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9">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60">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61">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62">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63">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64">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65">
    <w:name w:val="StdsText Char"/>
    <w:link w:val="166"/>
    <w:locked/>
    <w:uiPriority w:val="0"/>
    <w:rPr>
      <w:lang w:eastAsia="ja-JP"/>
    </w:rPr>
  </w:style>
  <w:style w:type="paragraph" w:customStyle="1" w:styleId="166">
    <w:name w:val="StdsText"/>
    <w:link w:val="165"/>
    <w:uiPriority w:val="0"/>
    <w:pPr>
      <w:spacing w:before="120" w:after="120"/>
      <w:jc w:val="both"/>
    </w:pPr>
    <w:rPr>
      <w:rFonts w:ascii="Times New Roman" w:hAnsi="Times New Roman" w:eastAsia="宋体" w:cs="Times New Roman"/>
      <w:lang w:val="en-US" w:eastAsia="ja-JP" w:bidi="ar-SA"/>
    </w:rPr>
  </w:style>
  <w:style w:type="character" w:customStyle="1" w:styleId="167">
    <w:name w:val="StdsHead2 Char"/>
    <w:link w:val="151"/>
    <w:locked/>
    <w:uiPriority w:val="0"/>
    <w:rPr>
      <w:rFonts w:eastAsia="MS Mincho"/>
      <w:lang w:eastAsia="ja-JP"/>
    </w:rPr>
  </w:style>
  <w:style w:type="paragraph" w:styleId="168">
    <w:name w:val="List Paragraph"/>
    <w:basedOn w:val="1"/>
    <w:qFormat/>
    <w:uiPriority w:val="34"/>
    <w:pPr>
      <w:ind w:firstLine="420" w:firstLineChars="200"/>
    </w:pPr>
  </w:style>
  <w:style w:type="character" w:customStyle="1" w:styleId="169">
    <w:name w:val="日期 Char"/>
    <w:basedOn w:val="43"/>
    <w:link w:val="23"/>
    <w:uiPriority w:val="0"/>
    <w:rPr>
      <w:kern w:val="2"/>
      <w:sz w:val="21"/>
      <w:szCs w:val="24"/>
    </w:rPr>
  </w:style>
  <w:style w:type="character" w:customStyle="1" w:styleId="170">
    <w:name w:val="标题 1 Char"/>
    <w:basedOn w:val="43"/>
    <w:link w:val="2"/>
    <w:uiPriority w:val="0"/>
    <w:rPr>
      <w:b/>
      <w:bCs/>
      <w:kern w:val="44"/>
      <w:sz w:val="44"/>
      <w:szCs w:val="44"/>
    </w:rPr>
  </w:style>
  <w:style w:type="character" w:customStyle="1" w:styleId="171">
    <w:name w:val="标题 2 Char"/>
    <w:basedOn w:val="43"/>
    <w:link w:val="3"/>
    <w:uiPriority w:val="0"/>
    <w:rPr>
      <w:rFonts w:asciiTheme="majorHAnsi" w:hAnsiTheme="majorHAnsi" w:eastAsiaTheme="majorEastAsia" w:cstheme="majorBidi"/>
      <w:b/>
      <w:bCs/>
      <w:kern w:val="2"/>
      <w:sz w:val="32"/>
      <w:szCs w:val="32"/>
    </w:rPr>
  </w:style>
  <w:style w:type="character" w:customStyle="1" w:styleId="172">
    <w:name w:val="标题 3 Char"/>
    <w:basedOn w:val="43"/>
    <w:link w:val="4"/>
    <w:uiPriority w:val="0"/>
    <w:rPr>
      <w:b/>
      <w:bCs/>
      <w:kern w:val="2"/>
      <w:sz w:val="32"/>
      <w:szCs w:val="32"/>
    </w:rPr>
  </w:style>
  <w:style w:type="character" w:customStyle="1" w:styleId="173">
    <w:name w:val="标题 4 Char"/>
    <w:basedOn w:val="43"/>
    <w:link w:val="5"/>
    <w:semiHidden/>
    <w:uiPriority w:val="0"/>
    <w:rPr>
      <w:rFonts w:asciiTheme="majorHAnsi" w:hAnsiTheme="majorHAnsi" w:eastAsiaTheme="majorEastAsia" w:cstheme="majorBidi"/>
      <w:b/>
      <w:bCs/>
      <w:kern w:val="2"/>
      <w:sz w:val="28"/>
      <w:szCs w:val="28"/>
    </w:rPr>
  </w:style>
  <w:style w:type="character" w:customStyle="1" w:styleId="174">
    <w:name w:val="标题 5 Char"/>
    <w:basedOn w:val="43"/>
    <w:link w:val="6"/>
    <w:semiHidden/>
    <w:uiPriority w:val="0"/>
    <w:rPr>
      <w:b/>
      <w:bCs/>
      <w:kern w:val="2"/>
      <w:sz w:val="28"/>
      <w:szCs w:val="28"/>
    </w:rPr>
  </w:style>
  <w:style w:type="character" w:customStyle="1" w:styleId="175">
    <w:name w:val="标题 6 Char"/>
    <w:basedOn w:val="43"/>
    <w:link w:val="7"/>
    <w:semiHidden/>
    <w:uiPriority w:val="0"/>
    <w:rPr>
      <w:rFonts w:asciiTheme="majorHAnsi" w:hAnsiTheme="majorHAnsi" w:eastAsiaTheme="majorEastAsia" w:cstheme="majorBidi"/>
      <w:b/>
      <w:bCs/>
      <w:kern w:val="2"/>
      <w:sz w:val="24"/>
      <w:szCs w:val="24"/>
    </w:rPr>
  </w:style>
  <w:style w:type="character" w:customStyle="1" w:styleId="176">
    <w:name w:val="标题 7 Char"/>
    <w:basedOn w:val="43"/>
    <w:link w:val="8"/>
    <w:semiHidden/>
    <w:uiPriority w:val="0"/>
    <w:rPr>
      <w:b/>
      <w:bCs/>
      <w:kern w:val="2"/>
      <w:sz w:val="24"/>
      <w:szCs w:val="24"/>
    </w:rPr>
  </w:style>
  <w:style w:type="character" w:customStyle="1" w:styleId="177">
    <w:name w:val="标题 8 Char"/>
    <w:basedOn w:val="43"/>
    <w:link w:val="9"/>
    <w:semiHidden/>
    <w:uiPriority w:val="0"/>
    <w:rPr>
      <w:rFonts w:asciiTheme="majorHAnsi" w:hAnsiTheme="majorHAnsi" w:eastAsiaTheme="majorEastAsia" w:cstheme="majorBidi"/>
      <w:kern w:val="2"/>
      <w:sz w:val="24"/>
      <w:szCs w:val="24"/>
    </w:rPr>
  </w:style>
  <w:style w:type="character" w:customStyle="1" w:styleId="178">
    <w:name w:val="标题 9 Char"/>
    <w:basedOn w:val="43"/>
    <w:link w:val="10"/>
    <w:semiHidden/>
    <w:uiPriority w:val="0"/>
    <w:rPr>
      <w:rFonts w:asciiTheme="majorHAnsi" w:hAnsiTheme="majorHAnsi" w:eastAsiaTheme="majorEastAsia" w:cstheme="majorBidi"/>
      <w:kern w:val="2"/>
      <w:sz w:val="21"/>
      <w:szCs w:val="21"/>
    </w:rPr>
  </w:style>
  <w:style w:type="table" w:customStyle="1" w:styleId="179">
    <w:name w:val="网格表 41"/>
    <w:basedOn w:val="41"/>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tblStylePr w:type="firstRow">
      <w:rPr>
        <w:rFonts w:cs="Times New Roman"/>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rFonts w:cs="Times New Roman"/>
        <w:b/>
        <w:bCs/>
      </w:rPr>
      <w:tcPr>
        <w:tcBorders>
          <w:top w:val="double" w:color="000000"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CCCCC"/>
      </w:tcPr>
    </w:tblStylePr>
    <w:tblStylePr w:type="band1Horz">
      <w:rPr>
        <w:rFonts w:cs="Times New Roman"/>
      </w:rPr>
      <w:tcPr>
        <w:shd w:val="clear" w:color="auto" w:fill="CCCCCC"/>
      </w:tcPr>
    </w:tblStylePr>
  </w:style>
  <w:style w:type="table" w:customStyle="1" w:styleId="180">
    <w:name w:val="Grid Table Light"/>
    <w:basedOn w:val="41"/>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181">
    <w:name w:val="Plain Table 1"/>
    <w:basedOn w:val="41"/>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82">
    <w:name w:val="Plain Table 3"/>
    <w:basedOn w:val="41"/>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3EB81-8376-4359-B245-B7E9C73E2B0E}">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6</Pages>
  <Words>3312</Words>
  <Characters>3921</Characters>
  <Lines>30</Lines>
  <Paragraphs>8</Paragraphs>
  <TotalTime>1</TotalTime>
  <ScaleCrop>false</ScaleCrop>
  <LinksUpToDate>false</LinksUpToDate>
  <CharactersWithSpaces>4044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2019-01-26T08:01:00Z</dcterms:created>
  <dcterms:modified xsi:type="dcterms:W3CDTF">2022-05-17T07:29:43Z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E3652BBB5CB840E1B925ADD26BE258D4</vt:lpwstr>
  </property>
</Properties>
</file>