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lang w:val="en-US" w:eastAsia="zh-CN"/>
        </w:rPr>
        <w:t>团体标准</w:t>
      </w:r>
      <w:r>
        <w:rPr>
          <w:rFonts w:hint="eastAsia" w:ascii="黑体" w:hAnsi="黑体" w:eastAsia="黑体" w:cs="黑体"/>
          <w:b/>
          <w:sz w:val="36"/>
          <w:szCs w:val="36"/>
        </w:rPr>
        <w:t>《绿色设计产品评价技术规范 镍钴酸锂》</w:t>
      </w:r>
    </w:p>
    <w:p>
      <w:pPr>
        <w:jc w:val="center"/>
        <w:rPr>
          <w:rFonts w:hint="eastAsia" w:ascii="黑体" w:hAnsi="黑体" w:eastAsia="黑体" w:cs="黑体"/>
          <w:b/>
          <w:sz w:val="36"/>
          <w:szCs w:val="36"/>
        </w:rPr>
      </w:pPr>
      <w:r>
        <w:rPr>
          <w:rFonts w:hint="eastAsia" w:ascii="黑体" w:hAnsi="黑体" w:eastAsia="黑体" w:cs="黑体"/>
          <w:b/>
          <w:sz w:val="36"/>
          <w:szCs w:val="36"/>
        </w:rPr>
        <w:t>编制说明</w:t>
      </w:r>
    </w:p>
    <w:p>
      <w:pPr>
        <w:spacing w:line="360" w:lineRule="auto"/>
        <w:jc w:val="center"/>
        <w:rPr>
          <w:rFonts w:hint="default" w:ascii="Times New Roman" w:hAnsi="Times New Roman" w:eastAsia="黑体" w:cs="Times New Roman"/>
          <w:b w:val="0"/>
          <w:bCs/>
          <w:sz w:val="24"/>
          <w:szCs w:val="24"/>
        </w:rPr>
      </w:pPr>
      <w:r>
        <w:rPr>
          <w:rFonts w:hint="eastAsia" w:ascii="黑体" w:hAnsi="黑体" w:eastAsia="黑体" w:cs="黑体"/>
          <w:b/>
          <w:sz w:val="36"/>
          <w:szCs w:val="36"/>
        </w:rPr>
        <w:t>（</w:t>
      </w:r>
      <w:r>
        <w:rPr>
          <w:rFonts w:hint="eastAsia" w:ascii="黑体" w:hAnsi="黑体" w:eastAsia="黑体" w:cs="黑体"/>
          <w:b/>
          <w:sz w:val="36"/>
          <w:szCs w:val="36"/>
          <w:lang w:val="en-US" w:eastAsia="zh-CN"/>
        </w:rPr>
        <w:t>送审稿</w:t>
      </w:r>
      <w:r>
        <w:rPr>
          <w:rFonts w:hint="eastAsia" w:ascii="黑体" w:hAnsi="黑体" w:eastAsia="黑体" w:cs="黑体"/>
          <w:b/>
          <w:sz w:val="36"/>
          <w:szCs w:val="36"/>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1.1</w:t>
      </w:r>
      <w:r>
        <w:rPr>
          <w:rFonts w:hint="default"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任务来源与计划要求</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sz w:val="24"/>
          <w:szCs w:val="24"/>
        </w:rPr>
        <w:t>中国有色金属工业协会《关于下达2021第二批协会标准制修订计划的通知》（中色协科字[2021]88号）精神</w:t>
      </w:r>
      <w:r>
        <w:rPr>
          <w:rFonts w:hint="eastAsia" w:ascii="宋体" w:hAnsi="宋体" w:eastAsia="宋体" w:cs="宋体"/>
          <w:color w:val="000000"/>
          <w:sz w:val="24"/>
          <w:szCs w:val="24"/>
          <w:lang w:val="en-US" w:eastAsia="zh-CN"/>
        </w:rPr>
        <w:t>，由湖南长远锂科股份有限公司负责起草有色金属协会标准《</w:t>
      </w:r>
      <w:r>
        <w:rPr>
          <w:rFonts w:hint="eastAsia" w:ascii="宋体" w:hAnsi="宋体" w:eastAsia="宋体" w:cs="宋体"/>
          <w:color w:val="000000"/>
          <w:sz w:val="24"/>
          <w:szCs w:val="24"/>
        </w:rPr>
        <w:t>绿色设计产品评价技术规范 镍钴酸锂</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项</w:t>
      </w:r>
      <w:r>
        <w:rPr>
          <w:rFonts w:hint="eastAsia" w:ascii="宋体" w:hAnsi="宋体" w:eastAsia="宋体" w:cs="宋体"/>
          <w:sz w:val="24"/>
          <w:szCs w:val="24"/>
        </w:rPr>
        <w:t>目计划</w:t>
      </w:r>
      <w:r>
        <w:rPr>
          <w:rFonts w:hint="eastAsia" w:ascii="宋体" w:hAnsi="宋体" w:eastAsia="宋体" w:cs="宋体"/>
          <w:sz w:val="24"/>
          <w:szCs w:val="24"/>
          <w:lang w:val="en-US" w:eastAsia="zh-CN"/>
        </w:rPr>
        <w:t>编号</w:t>
      </w:r>
      <w:r>
        <w:rPr>
          <w:rFonts w:hint="eastAsia" w:ascii="宋体" w:hAnsi="宋体" w:eastAsia="宋体" w:cs="宋体"/>
          <w:color w:val="000000"/>
          <w:sz w:val="24"/>
          <w:szCs w:val="24"/>
        </w:rPr>
        <w:t>2021-018-T/CNIA</w:t>
      </w:r>
      <w:r>
        <w:rPr>
          <w:rFonts w:hint="eastAsia" w:ascii="宋体" w:hAnsi="宋体" w:eastAsia="宋体" w:cs="宋体"/>
          <w:color w:val="000000"/>
          <w:sz w:val="24"/>
          <w:szCs w:val="24"/>
          <w:lang w:eastAsia="zh-CN"/>
        </w:rPr>
        <w:t>，</w:t>
      </w:r>
      <w:r>
        <w:rPr>
          <w:rFonts w:hint="eastAsia" w:ascii="宋体" w:hAnsi="宋体" w:eastAsia="宋体" w:cs="宋体"/>
          <w:sz w:val="24"/>
          <w:szCs w:val="24"/>
        </w:rPr>
        <w:t>计划完成年限</w:t>
      </w:r>
      <w:r>
        <w:rPr>
          <w:rFonts w:hint="eastAsia" w:ascii="宋体" w:hAnsi="宋体" w:eastAsia="宋体" w:cs="宋体"/>
          <w:sz w:val="24"/>
          <w:szCs w:val="24"/>
          <w:lang w:val="en-US" w:eastAsia="zh-CN"/>
        </w:rPr>
        <w:t>为</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default" w:ascii="Times New Roman" w:hAnsi="Times New Roman" w:eastAsia="黑体" w:cs="Times New Roman"/>
          <w:b w:val="0"/>
          <w:bCs/>
          <w:sz w:val="24"/>
          <w:szCs w:val="24"/>
          <w:lang w:val="en-US" w:eastAsia="zh-CN"/>
        </w:rPr>
        <w:t xml:space="preserve">2 </w:t>
      </w:r>
      <w:r>
        <w:rPr>
          <w:rFonts w:hint="default" w:ascii="Times New Roman" w:hAnsi="Times New Roman" w:eastAsia="黑体" w:cs="Times New Roman"/>
          <w:b w:val="0"/>
          <w:bCs/>
          <w:sz w:val="24"/>
          <w:szCs w:val="24"/>
        </w:rPr>
        <w:t xml:space="preserve"> 标准编写的目的和意义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资源及环境问题是人类面临的共同挑战，可持续发展日益成为全球共识，我国大力提倡实施绿色可持续发展战略，以“节约资源及能源、减少环境污染”为主要目的，致力于加快转变经济发展方式和优化产业结构。绿色产品在基于全生命周期理念下，在资源获取、生产、销售、使用、处置等产品生命周期各阶段中，兼顾资源能源消耗少、污染物排放低、低毒少害、易回收处理和再利用、健康安全和质量品质高等特征，致力于不断促进绿色引领高质量发展。国务院办公厅发布的《关于建立统一的绿色产品标准、认证、标识体系的意见》中明确，建立统一的绿色产品标准、认证、标识体系，是推动绿色低碳循环发展、培育绿色市场的必然要求，是加强供给侧结构性改革、提升绿色产品供给质量和效率的重要举措。</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color w:val="000000"/>
          <w:sz w:val="24"/>
          <w:szCs w:val="24"/>
          <w:lang w:val="en-US" w:eastAsia="zh-CN"/>
        </w:rPr>
      </w:pPr>
      <w:r>
        <w:rPr>
          <w:rFonts w:hint="eastAsia" w:ascii="宋体" w:hAnsi="宋体" w:eastAsia="宋体" w:cs="宋体"/>
          <w:color w:val="000000"/>
          <w:sz w:val="24"/>
          <w:szCs w:val="24"/>
          <w:lang w:val="en-US" w:eastAsia="zh-CN"/>
        </w:rPr>
        <w:t>《新能源汽车产业发展规划（2021—2035年）》明确要开展正极材料等关键核心技术研究，加强高强度、轻量化、高安全、低成本、长寿命的动力电池和燃料电池系统短板技术攻关。《中国制造2025》中将“节能与新能源汽车”作为重点发展领域，不断促进新能源汽车关键技术攻关。锂离子电池正极材料作为动力电池的重要原材料，直接制约着动力电池循环寿命、生产成本、能量密度等关键性能，目前被广泛应用于数码、电子设备、动力汽车等各大储能领域。镍钴酸锂</w:t>
      </w:r>
      <w:bookmarkStart w:id="0" w:name="OLE_LINK1"/>
      <w:r>
        <w:rPr>
          <w:rFonts w:hint="eastAsia" w:ascii="宋体" w:hAnsi="宋体" w:eastAsia="宋体" w:cs="宋体"/>
          <w:color w:val="000000"/>
          <w:sz w:val="24"/>
          <w:szCs w:val="24"/>
          <w:lang w:val="en-US" w:eastAsia="zh-CN"/>
        </w:rPr>
        <w:t>结合了LiNiO</w:t>
      </w:r>
      <w:r>
        <w:rPr>
          <w:rFonts w:hint="eastAsia" w:ascii="宋体" w:hAnsi="宋体" w:eastAsia="宋体" w:cs="宋体"/>
          <w:color w:val="000000"/>
          <w:sz w:val="24"/>
          <w:szCs w:val="24"/>
          <w:vertAlign w:val="subscript"/>
          <w:lang w:val="en-US" w:eastAsia="zh-CN"/>
        </w:rPr>
        <w:t>2</w:t>
      </w:r>
      <w:r>
        <w:rPr>
          <w:rFonts w:hint="eastAsia" w:ascii="宋体" w:hAnsi="宋体" w:eastAsia="宋体" w:cs="宋体"/>
          <w:color w:val="000000"/>
          <w:sz w:val="24"/>
          <w:szCs w:val="24"/>
          <w:lang w:val="en-US" w:eastAsia="zh-CN"/>
        </w:rPr>
        <w:t>和LiCoO</w:t>
      </w:r>
      <w:r>
        <w:rPr>
          <w:rFonts w:hint="eastAsia" w:ascii="宋体" w:hAnsi="宋体" w:eastAsia="宋体" w:cs="宋体"/>
          <w:color w:val="000000"/>
          <w:sz w:val="24"/>
          <w:szCs w:val="24"/>
          <w:vertAlign w:val="subscript"/>
          <w:lang w:val="en-US" w:eastAsia="zh-CN"/>
        </w:rPr>
        <w:t>2</w:t>
      </w:r>
      <w:r>
        <w:rPr>
          <w:rFonts w:hint="eastAsia" w:ascii="宋体" w:hAnsi="宋体" w:eastAsia="宋体" w:cs="宋体"/>
          <w:color w:val="000000"/>
          <w:sz w:val="24"/>
          <w:szCs w:val="24"/>
          <w:lang w:val="en-US" w:eastAsia="zh-CN"/>
        </w:rPr>
        <w:t>两款材料的优点</w:t>
      </w:r>
      <w:bookmarkEnd w:id="0"/>
      <w:r>
        <w:rPr>
          <w:rFonts w:hint="eastAsia" w:ascii="宋体" w:hAnsi="宋体" w:eastAsia="宋体" w:cs="宋体"/>
          <w:color w:val="000000"/>
          <w:sz w:val="24"/>
          <w:szCs w:val="24"/>
          <w:lang w:val="en-US" w:eastAsia="zh-CN"/>
        </w:rPr>
        <w:t>，分子式为LiNixC</w:t>
      </w:r>
      <w:r>
        <w:rPr>
          <w:rFonts w:hint="eastAsia" w:ascii="宋体" w:hAnsi="宋体" w:eastAsia="宋体" w:cs="宋体"/>
          <w:color w:val="000000"/>
          <w:sz w:val="24"/>
          <w:szCs w:val="24"/>
          <w:vertAlign w:val="subscript"/>
          <w:lang w:val="en-US" w:eastAsia="zh-CN"/>
        </w:rPr>
        <w:t>o1-x</w:t>
      </w:r>
      <w:r>
        <w:rPr>
          <w:rFonts w:hint="eastAsia" w:ascii="宋体" w:hAnsi="宋体" w:eastAsia="宋体" w:cs="宋体"/>
          <w:color w:val="000000"/>
          <w:sz w:val="24"/>
          <w:szCs w:val="24"/>
          <w:lang w:val="en-US" w:eastAsia="zh-CN"/>
        </w:rPr>
        <w:t>O</w:t>
      </w:r>
      <w:r>
        <w:rPr>
          <w:rFonts w:hint="eastAsia" w:ascii="宋体" w:hAnsi="宋体" w:eastAsia="宋体" w:cs="宋体"/>
          <w:color w:val="000000"/>
          <w:sz w:val="24"/>
          <w:szCs w:val="24"/>
          <w:vertAlign w:val="subscript"/>
          <w:lang w:val="en-US" w:eastAsia="zh-CN"/>
        </w:rPr>
        <w:t>2</w:t>
      </w:r>
      <w:r>
        <w:rPr>
          <w:rFonts w:hint="eastAsia" w:ascii="宋体" w:hAnsi="宋体" w:eastAsia="宋体" w:cs="宋体"/>
          <w:color w:val="000000"/>
          <w:sz w:val="24"/>
          <w:szCs w:val="24"/>
          <w:lang w:val="en-US" w:eastAsia="zh-CN"/>
        </w:rPr>
        <w:t>，属于六方</w:t>
      </w:r>
      <w:r>
        <w:rPr>
          <w:rFonts w:hint="default" w:ascii="Times New Roman" w:hAnsi="Times New Roman" w:cs="Times New Roman"/>
          <w:color w:val="000000"/>
          <w:sz w:val="24"/>
          <w:szCs w:val="24"/>
          <w:lang w:val="en-US" w:eastAsia="zh-CN"/>
        </w:rPr>
        <w:t>晶系，呈层状结构，可直接用作锂离子电池正极材料，也可通过烧结制备得到镍钴锰酸锂、镍钴铝酸锂正极材料，已在各大正极材料企业进行了批量性稳定生产并销售。</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eastAsia="宋体" w:cs="Times New Roman"/>
          <w:sz w:val="24"/>
          <w:szCs w:val="24"/>
          <w:lang w:val="en-US" w:eastAsia="zh-CN"/>
        </w:rPr>
        <w:t>镍钴酸锂</w:t>
      </w:r>
      <w:r>
        <w:rPr>
          <w:rFonts w:hint="default" w:ascii="Times New Roman" w:hAnsi="Times New Roman" w:eastAsia="宋体" w:cs="Times New Roman"/>
          <w:sz w:val="24"/>
          <w:szCs w:val="24"/>
        </w:rPr>
        <w:t>绿色设计产品评价团体标准的制定和实施，</w:t>
      </w:r>
      <w:r>
        <w:rPr>
          <w:rFonts w:hint="default" w:ascii="Times New Roman" w:hAnsi="Times New Roman" w:cs="Times New Roman"/>
          <w:color w:val="000000"/>
          <w:sz w:val="24"/>
          <w:szCs w:val="24"/>
          <w:lang w:val="en-US" w:eastAsia="zh-CN"/>
        </w:rPr>
        <w:t>规范镍钴酸锂绿色产品评价的基本原则、评价指标以及评价方法等，在产品生产全过程中实现生命周期绿色管理，</w:t>
      </w:r>
      <w:r>
        <w:rPr>
          <w:rFonts w:hint="default" w:ascii="Times New Roman" w:hAnsi="Times New Roman" w:eastAsia="宋体" w:cs="Times New Roman"/>
          <w:sz w:val="24"/>
          <w:szCs w:val="24"/>
        </w:rPr>
        <w:t>提高产品竞争力，提升供给侧的质量和效益，促进</w:t>
      </w:r>
      <w:r>
        <w:rPr>
          <w:rFonts w:hint="default" w:ascii="Times New Roman" w:hAnsi="Times New Roman" w:eastAsia="宋体" w:cs="Times New Roman"/>
          <w:sz w:val="24"/>
          <w:szCs w:val="24"/>
          <w:lang w:val="en-US" w:eastAsia="zh-CN"/>
        </w:rPr>
        <w:t>镍钴酸锂</w:t>
      </w:r>
      <w:r>
        <w:rPr>
          <w:rFonts w:hint="default" w:ascii="Times New Roman" w:hAnsi="Times New Roman" w:eastAsia="宋体" w:cs="Times New Roman"/>
          <w:sz w:val="24"/>
          <w:szCs w:val="24"/>
        </w:rPr>
        <w:t>产品制造的技术进步和下游市场应用推广。</w:t>
      </w:r>
      <w:r>
        <w:rPr>
          <w:rFonts w:hint="default" w:ascii="Times New Roman" w:hAnsi="Times New Roman" w:eastAsia="宋体" w:cs="Times New Roman"/>
          <w:sz w:val="24"/>
          <w:szCs w:val="24"/>
          <w:lang w:val="en-US" w:eastAsia="zh-CN"/>
        </w:rPr>
        <w:t>同时，</w:t>
      </w:r>
      <w:r>
        <w:rPr>
          <w:rFonts w:hint="default" w:ascii="Times New Roman" w:hAnsi="Times New Roman" w:cs="Times New Roman"/>
          <w:color w:val="000000"/>
          <w:sz w:val="24"/>
          <w:szCs w:val="24"/>
          <w:lang w:val="en-US" w:eastAsia="zh-CN"/>
        </w:rPr>
        <w:t>引导镍钴酸锂材料生产企业贯彻实施生态文明建设战略，落实“以先进标准引领消费品质量提升，倒逼装备制造业升级”要求的重要成果，推动绿色可持续发展战略。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default" w:ascii="Times New Roman" w:hAnsi="Times New Roman" w:eastAsia="黑体" w:cs="Times New Roman"/>
          <w:b w:val="0"/>
          <w:bCs/>
          <w:sz w:val="24"/>
          <w:szCs w:val="24"/>
          <w:lang w:val="en-US" w:eastAsia="zh-CN"/>
        </w:rPr>
        <w:t xml:space="preserve">3  </w:t>
      </w:r>
      <w:r>
        <w:rPr>
          <w:rFonts w:hint="default" w:ascii="Times New Roman" w:hAnsi="Times New Roman" w:eastAsia="黑体" w:cs="Times New Roman"/>
          <w:b w:val="0"/>
          <w:bCs/>
          <w:sz w:val="24"/>
          <w:szCs w:val="24"/>
        </w:rPr>
        <w:t>主要参加单位和工作成员及其所做工作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 xml:space="preserve">1.3.1 </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val="en-US" w:eastAsia="zh-CN"/>
        </w:rPr>
        <w:t>起草单位简介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0"/>
          <w:sz w:val="24"/>
          <w:szCs w:val="24"/>
          <w:lang w:val="en-US" w:eastAsia="zh-CN" w:bidi="ar"/>
        </w:rPr>
      </w:pPr>
      <w:r>
        <w:rPr>
          <w:rFonts w:hint="eastAsia" w:ascii="宋体" w:hAnsi="宋体" w:eastAsia="宋体" w:cs="宋体"/>
          <w:kern w:val="0"/>
          <w:sz w:val="24"/>
          <w:szCs w:val="24"/>
          <w:lang w:val="en-US" w:eastAsia="zh-CN" w:bidi="ar"/>
        </w:rPr>
        <w:t>湖南长远锂科股份有限公司成立于2002年，是世界500强企业中国五矿集团有限公司直管企业，是中央企业电动汽车联盟成员企业，是科创板上市企业。公司专注于高效电池材料的研究与生产，主要产品包括多元材料前驱体、多元正极材料、钴酸锂等锂电正极材料和镍氢电池正极材料，拥有锂电多元材料前驱体和锂电多元正极材料完整产品体系，在动力三元材料市场占有率始终保持行业领先。目前，公司拥有麓谷基地、铜官基地、高新基地三个生产基地，2022年将达到2万吨/年前驱体、11万吨/年正极材料的产能。</w:t>
      </w:r>
    </w:p>
    <w:p>
      <w:pPr>
        <w:pStyle w:val="7"/>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宋体" w:hAnsi="宋体" w:eastAsia="宋体" w:cs="宋体"/>
          <w:kern w:val="0"/>
          <w:sz w:val="24"/>
          <w:szCs w:val="24"/>
          <w:lang w:val="en-US" w:eastAsia="zh-CN" w:bidi="ar"/>
        </w:rPr>
      </w:pPr>
      <w:r>
        <w:rPr>
          <w:rFonts w:hint="default" w:ascii="Times New Roman" w:hAnsi="Times New Roman" w:cs="Times New Roman"/>
          <w:kern w:val="0"/>
          <w:sz w:val="24"/>
          <w:szCs w:val="24"/>
          <w:lang w:val="en-US" w:eastAsia="zh-CN" w:bidi="ar"/>
        </w:rPr>
        <w:t>公司</w:t>
      </w:r>
      <w:r>
        <w:rPr>
          <w:rFonts w:hint="default" w:ascii="Times New Roman" w:hAnsi="Times New Roman" w:eastAsia="宋体" w:cs="Times New Roman"/>
          <w:kern w:val="0"/>
          <w:sz w:val="24"/>
          <w:szCs w:val="24"/>
          <w:lang w:val="en-US" w:eastAsia="zh-CN" w:bidi="ar"/>
        </w:rPr>
        <w:t>是高新技术企业、省级企业技术中心，拥有博士后工作站。公司产品代表了</w:t>
      </w:r>
      <w:r>
        <w:rPr>
          <w:rFonts w:hint="default" w:ascii="宋体" w:hAnsi="宋体" w:eastAsia="宋体" w:cs="宋体"/>
          <w:kern w:val="0"/>
          <w:sz w:val="24"/>
          <w:szCs w:val="24"/>
          <w:lang w:val="en-US" w:eastAsia="zh-CN" w:bidi="ar"/>
        </w:rPr>
        <w:t>高性能锂离子电池正极材料的发展方向，单晶三元、高镍材料在行业内享誉盛名，产品技术处于国际先进水平。公司通过ISO9001质量管理体系认证、ISO14001环境管理体系认证、ISO45001职业健康安全管理体系认证、ISO50001能源管理体系认证、ISO27001信息安全管理体系认证、IATF16949汽车行业质量管理体系认证和知识产权管理体系认证。</w:t>
      </w:r>
    </w:p>
    <w:p>
      <w:pPr>
        <w:pStyle w:val="7"/>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cs="Times New Roman"/>
          <w:kern w:val="0"/>
          <w:sz w:val="24"/>
          <w:szCs w:val="24"/>
          <w:lang w:val="en-US" w:eastAsia="zh-CN" w:bidi="ar"/>
        </w:rPr>
        <w:t>公司</w:t>
      </w:r>
      <w:r>
        <w:rPr>
          <w:rFonts w:hint="default" w:ascii="Times New Roman" w:hAnsi="Times New Roman" w:eastAsia="宋体" w:cs="Times New Roman"/>
          <w:kern w:val="0"/>
          <w:sz w:val="24"/>
          <w:szCs w:val="24"/>
          <w:lang w:val="en-US" w:eastAsia="zh-CN" w:bidi="ar"/>
        </w:rPr>
        <w:t>是中国五矿新能源材料产业的骨干企业，是国内先进储能材料产业链的典型代表性企业，是长株潭先进储能材料产业联盟盟长单位。作为中国五矿成员企业，借助集团公司镍、钴、锰、锂等资源长远保障优势和全产业链优势，公司坚持品质，集聚人才，专注研发，致力于成为全球技术领先、品质优良、价格优惠、受行业尊敬的新能源材料行业引领者，为中国五矿“四梁八柱”业务体系做强做优增砖加瓦，为实现国有资产快速增值贡献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val="en-US" w:eastAsia="zh-CN"/>
        </w:rPr>
        <w:t>1.3.2</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主要参加单位情况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4"/>
          <w:lang w:val="en-US" w:eastAsia="zh-CN"/>
        </w:rPr>
        <w:t>在标准的编制过程中，广东邦普循环科技有限公司、金驰能源材料有限公司、天津国安盟固利新材料科技股份有限公司、格林美股份有限公司、江苏当升材料科技有限公司、浙江华友钴业股份有限公司、湖北万润新能源科技股份有限公司、南通金通储能动力新材料有限公司等镍钴酸锂生产企业，积极参与本标准的调研工作，结合企业实际生产情况提供相关数据，并对标准的征求意见稿提出了修改意见，为本标准的编制工作提供有力支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val="en-US" w:eastAsia="zh-CN"/>
        </w:rPr>
        <w:t xml:space="preserve">1.3.3 </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主要工作成员所负责的工作情况</w:t>
      </w:r>
    </w:p>
    <w:p>
      <w:pPr>
        <w:spacing w:line="360" w:lineRule="auto"/>
        <w:ind w:firstLine="480" w:firstLineChars="200"/>
        <w:rPr>
          <w:rFonts w:hint="default" w:ascii="宋体" w:hAnsi="宋体" w:eastAsia="宋体" w:cs="宋体"/>
          <w:kern w:val="0"/>
          <w:sz w:val="24"/>
          <w:szCs w:val="24"/>
          <w:lang w:val="en-US" w:eastAsia="zh-CN" w:bidi="ar"/>
        </w:rPr>
      </w:pPr>
      <w:r>
        <w:rPr>
          <w:rFonts w:hint="default" w:ascii="Times New Roman" w:hAnsi="Times New Roman" w:cs="Times New Roman"/>
          <w:sz w:val="24"/>
          <w:lang w:val="en-US" w:eastAsia="zh-CN"/>
        </w:rPr>
        <w:t>本标准主要起草人及工作职责见表</w:t>
      </w:r>
      <w:r>
        <w:rPr>
          <w:rFonts w:hint="default" w:ascii="宋体" w:hAnsi="宋体" w:eastAsia="宋体" w:cs="宋体"/>
          <w:kern w:val="0"/>
          <w:sz w:val="24"/>
          <w:szCs w:val="24"/>
          <w:lang w:val="en-US" w:eastAsia="zh-CN" w:bidi="ar"/>
        </w:rPr>
        <w:t>1。</w:t>
      </w:r>
    </w:p>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表</w:t>
      </w:r>
      <w:r>
        <w:rPr>
          <w:rFonts w:hint="default" w:ascii="宋体" w:hAnsi="宋体" w:eastAsia="宋体" w:cs="宋体"/>
          <w:kern w:val="0"/>
          <w:sz w:val="21"/>
          <w:szCs w:val="21"/>
          <w:lang w:val="en-US" w:eastAsia="zh-CN" w:bidi="ar"/>
        </w:rPr>
        <w:t>1</w:t>
      </w:r>
      <w:r>
        <w:rPr>
          <w:rFonts w:hint="default" w:ascii="Times New Roman" w:hAnsi="Times New Roman" w:cs="Times New Roman"/>
          <w:sz w:val="21"/>
          <w:szCs w:val="21"/>
          <w:lang w:val="en-US" w:eastAsia="zh-CN"/>
        </w:rPr>
        <w:t xml:space="preserve"> 主要起草人及工作职责</w:t>
      </w:r>
    </w:p>
    <w:tbl>
      <w:tblPr>
        <w:tblStyle w:val="9"/>
        <w:tblW w:w="7507" w:type="dxa"/>
        <w:tblInd w:w="10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7"/>
        <w:gridCol w:w="4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起草人</w:t>
            </w:r>
          </w:p>
        </w:tc>
        <w:tc>
          <w:tcPr>
            <w:tcW w:w="4620"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周友元、周耀、周春仙</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负责本标准的指导及组织协调。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7" w:type="dxa"/>
            <w:noWrap w:val="0"/>
            <w:vAlign w:val="center"/>
          </w:tcPr>
          <w:p>
            <w:pPr>
              <w:spacing w:line="360" w:lineRule="auto"/>
              <w:ind w:firstLine="420" w:firstLineChars="20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刘玮、龙志祥</w:t>
            </w:r>
          </w:p>
        </w:tc>
        <w:tc>
          <w:tcPr>
            <w:tcW w:w="4620" w:type="dxa"/>
            <w:noWrap w:val="0"/>
            <w:vAlign w:val="center"/>
          </w:tcPr>
          <w:p>
            <w:pPr>
              <w:spacing w:line="360" w:lineRule="auto"/>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负责本标准的标准文本、编制说明的撰写，标准意见汇总处理。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明帮来、凌仕刚、孙国平、王培、郭静静、陶丽娟等</w:t>
            </w:r>
          </w:p>
        </w:tc>
        <w:tc>
          <w:tcPr>
            <w:tcW w:w="4620" w:type="dxa"/>
            <w:noWrap w:val="0"/>
            <w:vAlign w:val="center"/>
          </w:tcPr>
          <w:p>
            <w:pPr>
              <w:spacing w:line="360" w:lineRule="auto"/>
              <w:ind w:left="0" w:leftChars="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2"/>
              </w:rPr>
              <w:t>负责提供企业的现场调研及配合文件编写开展现场评价及数据提供</w:t>
            </w:r>
            <w:r>
              <w:rPr>
                <w:rFonts w:hint="default" w:ascii="Times New Roman" w:hAnsi="Times New Roman" w:cs="Times New Roman"/>
                <w:sz w:val="22"/>
                <w:lang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 w:val="0"/>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1.4</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val="en-US" w:eastAsia="zh-CN"/>
        </w:rPr>
        <w:t>主要工作过程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1.4.1</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val="en-US" w:eastAsia="zh-CN"/>
        </w:rPr>
        <w:t xml:space="preserve"> 起草阶段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default" w:ascii="Times New Roman" w:hAnsi="Times New Roman" w:cs="Times New Roman" w:eastAsiaTheme="minorEastAsia"/>
          <w:kern w:val="2"/>
          <w:sz w:val="24"/>
          <w:szCs w:val="22"/>
          <w:lang w:val="en-US" w:eastAsia="zh-CN" w:bidi="ar-SA"/>
        </w:rPr>
      </w:pPr>
      <w:r>
        <w:rPr>
          <w:rFonts w:hint="default" w:ascii="Times New Roman" w:hAnsi="Times New Roman" w:cs="Times New Roman" w:eastAsiaTheme="minorEastAsia"/>
          <w:kern w:val="2"/>
          <w:sz w:val="24"/>
          <w:szCs w:val="22"/>
          <w:lang w:val="en-US" w:eastAsia="zh-CN" w:bidi="ar-SA"/>
        </w:rPr>
        <w:t>根据任务落实会议精神，湖南长远锂科股份有限公司接到项目下达任务后，积极组织相关人员成立标准</w:t>
      </w:r>
      <w:r>
        <w:rPr>
          <w:rFonts w:hint="default" w:ascii="Times New Roman" w:hAnsi="Times New Roman" w:eastAsia="宋体" w:cs="Times New Roman"/>
          <w:color w:val="000000"/>
          <w:sz w:val="24"/>
          <w:szCs w:val="24"/>
        </w:rPr>
        <w:t>编制工作组</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确认了各成员的工作任务和职责，制定了工作计划和进度安排，确定了制定原则</w:t>
      </w:r>
      <w:r>
        <w:rPr>
          <w:rFonts w:hint="default" w:ascii="Times New Roman" w:hAnsi="Times New Roman" w:cs="Times New Roman" w:eastAsiaTheme="minorEastAsia"/>
          <w:kern w:val="2"/>
          <w:sz w:val="24"/>
          <w:szCs w:val="22"/>
          <w:lang w:val="en-US" w:eastAsia="zh-CN" w:bidi="ar-SA"/>
        </w:rPr>
        <w:t>。</w:t>
      </w:r>
      <w:r>
        <w:rPr>
          <w:rFonts w:hint="default" w:ascii="Times New Roman" w:hAnsi="Times New Roman" w:cs="Times New Roman"/>
          <w:kern w:val="2"/>
          <w:sz w:val="24"/>
          <w:szCs w:val="22"/>
          <w:lang w:val="en-US" w:eastAsia="zh-CN" w:bidi="ar-SA"/>
        </w:rPr>
        <w:t>标准编制工作组</w:t>
      </w:r>
      <w:r>
        <w:rPr>
          <w:rFonts w:hint="default" w:ascii="Times New Roman" w:hAnsi="Times New Roman" w:cs="Times New Roman" w:eastAsiaTheme="minorEastAsia"/>
          <w:kern w:val="2"/>
          <w:sz w:val="24"/>
          <w:szCs w:val="22"/>
          <w:lang w:val="en-US" w:eastAsia="zh-CN" w:bidi="ar-SA"/>
        </w:rPr>
        <w:t>通过</w:t>
      </w:r>
      <w:r>
        <w:rPr>
          <w:rFonts w:hint="default" w:ascii="Times New Roman" w:hAnsi="Times New Roman" w:cs="Times New Roman"/>
          <w:kern w:val="2"/>
          <w:sz w:val="24"/>
          <w:szCs w:val="22"/>
          <w:lang w:val="en-US" w:eastAsia="zh-CN" w:bidi="ar-SA"/>
        </w:rPr>
        <w:t>查找、分析</w:t>
      </w:r>
      <w:r>
        <w:rPr>
          <w:rFonts w:hint="default" w:ascii="Times New Roman" w:hAnsi="Times New Roman" w:eastAsia="宋体" w:cs="Times New Roman"/>
          <w:sz w:val="24"/>
          <w:szCs w:val="24"/>
        </w:rPr>
        <w:t>相关标准</w:t>
      </w:r>
      <w:r>
        <w:rPr>
          <w:rFonts w:hint="default" w:ascii="Times New Roman" w:hAnsi="Times New Roman" w:eastAsia="宋体" w:cs="Times New Roman"/>
          <w:sz w:val="24"/>
          <w:szCs w:val="24"/>
          <w:lang w:val="en-US" w:eastAsia="zh-CN"/>
        </w:rPr>
        <w:t>及</w:t>
      </w:r>
      <w:r>
        <w:rPr>
          <w:rFonts w:hint="default" w:ascii="Times New Roman" w:hAnsi="Times New Roman" w:eastAsia="宋体" w:cs="Times New Roman"/>
          <w:sz w:val="24"/>
          <w:szCs w:val="24"/>
        </w:rPr>
        <w:t>文献</w:t>
      </w:r>
      <w:r>
        <w:rPr>
          <w:rFonts w:hint="default" w:ascii="Times New Roman" w:hAnsi="Times New Roman" w:eastAsia="宋体" w:cs="Times New Roman"/>
          <w:sz w:val="24"/>
          <w:szCs w:val="24"/>
          <w:lang w:eastAsia="zh-CN"/>
        </w:rPr>
        <w:t>，</w:t>
      </w:r>
      <w:r>
        <w:rPr>
          <w:rFonts w:hint="default" w:ascii="Times New Roman" w:hAnsi="Times New Roman" w:cs="Times New Roman" w:eastAsiaTheme="minorEastAsia"/>
          <w:kern w:val="2"/>
          <w:sz w:val="24"/>
          <w:szCs w:val="22"/>
          <w:lang w:val="en-US" w:eastAsia="zh-CN" w:bidi="ar-SA"/>
        </w:rPr>
        <w:t>对</w:t>
      </w:r>
      <w:r>
        <w:rPr>
          <w:rFonts w:hint="default" w:ascii="Times New Roman" w:hAnsi="Times New Roman" w:cs="Times New Roman"/>
          <w:kern w:val="2"/>
          <w:sz w:val="24"/>
          <w:szCs w:val="22"/>
          <w:lang w:val="en-US" w:eastAsia="zh-CN" w:bidi="ar-SA"/>
        </w:rPr>
        <w:t>镍钴酸锂</w:t>
      </w:r>
      <w:r>
        <w:rPr>
          <w:rFonts w:hint="default" w:ascii="Times New Roman" w:hAnsi="Times New Roman" w:cs="Times New Roman" w:eastAsiaTheme="minorEastAsia"/>
          <w:kern w:val="2"/>
          <w:sz w:val="24"/>
          <w:szCs w:val="22"/>
          <w:lang w:val="en-US" w:eastAsia="zh-CN" w:bidi="ar-SA"/>
        </w:rPr>
        <w:t>生产</w:t>
      </w:r>
      <w:r>
        <w:rPr>
          <w:rFonts w:hint="default" w:ascii="Times New Roman" w:hAnsi="Times New Roman" w:cs="Times New Roman"/>
          <w:kern w:val="2"/>
          <w:sz w:val="24"/>
          <w:szCs w:val="22"/>
          <w:lang w:val="en-US" w:eastAsia="zh-CN" w:bidi="ar-SA"/>
        </w:rPr>
        <w:t>企业</w:t>
      </w:r>
      <w:r>
        <w:rPr>
          <w:rFonts w:hint="default" w:ascii="Times New Roman" w:hAnsi="Times New Roman" w:cs="Times New Roman" w:eastAsiaTheme="minorEastAsia"/>
          <w:kern w:val="2"/>
          <w:sz w:val="24"/>
          <w:szCs w:val="22"/>
          <w:lang w:val="en-US" w:eastAsia="zh-CN" w:bidi="ar-SA"/>
        </w:rPr>
        <w:t>的实际情况进行了大量调研，对国内水平进行了充分论证，</w:t>
      </w:r>
      <w:r>
        <w:rPr>
          <w:rFonts w:hint="default" w:ascii="宋体" w:hAnsi="宋体" w:eastAsia="宋体" w:cs="宋体"/>
          <w:kern w:val="0"/>
          <w:sz w:val="24"/>
          <w:szCs w:val="24"/>
          <w:lang w:val="en-US" w:eastAsia="zh-CN" w:bidi="ar"/>
        </w:rPr>
        <w:t>于2021年11月形成</w:t>
      </w:r>
      <w:r>
        <w:rPr>
          <w:rFonts w:hint="default" w:ascii="Times New Roman" w:hAnsi="Times New Roman" w:cs="Times New Roman" w:eastAsiaTheme="minorEastAsia"/>
          <w:kern w:val="2"/>
          <w:sz w:val="24"/>
          <w:szCs w:val="22"/>
          <w:lang w:val="en-US" w:eastAsia="zh-CN" w:bidi="ar-SA"/>
        </w:rPr>
        <w:t xml:space="preserve">了协会标准《绿色设计产品评价技术规范 </w:t>
      </w:r>
      <w:r>
        <w:rPr>
          <w:rFonts w:hint="default" w:ascii="Times New Roman" w:hAnsi="Times New Roman" w:cs="Times New Roman"/>
          <w:kern w:val="2"/>
          <w:sz w:val="24"/>
          <w:szCs w:val="22"/>
          <w:lang w:val="en-US" w:eastAsia="zh-CN" w:bidi="ar-SA"/>
        </w:rPr>
        <w:t>镍钴酸锂</w:t>
      </w:r>
      <w:r>
        <w:rPr>
          <w:rFonts w:hint="default" w:ascii="Times New Roman" w:hAnsi="Times New Roman" w:cs="Times New Roman" w:eastAsiaTheme="minorEastAsia"/>
          <w:kern w:val="2"/>
          <w:sz w:val="24"/>
          <w:szCs w:val="22"/>
          <w:lang w:val="en-US" w:eastAsia="zh-CN" w:bidi="ar-SA"/>
        </w:rPr>
        <w:t>》（征求意见稿）和编制说明。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1.4.2</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val="en-US" w:eastAsia="zh-CN"/>
        </w:rPr>
        <w:t xml:space="preserve"> 征求意见阶段</w:t>
      </w:r>
    </w:p>
    <w:p>
      <w:pPr>
        <w:spacing w:line="440" w:lineRule="exact"/>
        <w:ind w:firstLine="470" w:firstLineChars="196"/>
        <w:rPr>
          <w:rFonts w:hint="default" w:ascii="Times New Roman" w:hAnsi="Times New Roman" w:cs="Times New Roman"/>
          <w:sz w:val="24"/>
        </w:rPr>
      </w:pPr>
      <w:r>
        <w:rPr>
          <w:rFonts w:hint="default" w:ascii="宋体" w:hAnsi="宋体" w:eastAsia="宋体" w:cs="宋体"/>
          <w:kern w:val="0"/>
          <w:sz w:val="24"/>
          <w:szCs w:val="24"/>
          <w:lang w:val="en-US" w:eastAsia="zh-CN" w:bidi="ar"/>
        </w:rPr>
        <w:t>2021年12月6日～8日，全国有色金属标准化技术委员会组织在云南省昆明召开本标准的讨论会。来自全国有色金属标准化委员会粉末冶金分技术委员会、株洲硬质合金集团有限公司</w:t>
      </w:r>
      <w:r>
        <w:rPr>
          <w:rFonts w:hint="default" w:ascii="Times New Roman" w:hAnsi="Times New Roman" w:cs="Times New Roman"/>
          <w:sz w:val="24"/>
          <w:lang w:val="en-US" w:eastAsia="zh-CN"/>
        </w:rPr>
        <w:t>、天津国安盟固利新材料科技股份有限公司、江苏当升材料科技有限公司、深圳市注成科技股份有限公司、广东邦普循环科技有限公司、中伟新能源股份有限公司、格林美股份有限公司、西北有色金属研究院、湖北万润新能源科技股份有限公司、南通金通储能动力新材料有限公司、钢铁研究总院、矿冶科技集团有限公司等单位的专家代表参加了会议。</w:t>
      </w:r>
      <w:r>
        <w:rPr>
          <w:rFonts w:hint="default" w:ascii="Times New Roman" w:hAnsi="Times New Roman" w:cs="Times New Roman"/>
          <w:sz w:val="24"/>
        </w:rPr>
        <w:t>与会代表对本标准的</w:t>
      </w:r>
      <w:r>
        <w:rPr>
          <w:rFonts w:hint="default" w:ascii="Times New Roman" w:hAnsi="Times New Roman" w:cs="Times New Roman"/>
          <w:color w:val="000000"/>
          <w:sz w:val="24"/>
        </w:rPr>
        <w:t>征求意见稿和编制说明</w:t>
      </w:r>
      <w:r>
        <w:rPr>
          <w:rFonts w:hint="default" w:ascii="Times New Roman" w:hAnsi="Times New Roman" w:cs="Times New Roman"/>
          <w:sz w:val="24"/>
        </w:rPr>
        <w:t>进行了认真、细致的讨论，提出了修改意见和建议。编制组根据讨论的意见对标准进行修改，形成了标准预审稿。</w:t>
      </w:r>
    </w:p>
    <w:p>
      <w:pPr>
        <w:adjustRightInd w:val="0"/>
        <w:spacing w:line="440" w:lineRule="exact"/>
        <w:ind w:firstLine="480" w:firstLineChars="200"/>
        <w:rPr>
          <w:rFonts w:hint="default" w:ascii="Times New Roman" w:hAnsi="Times New Roman" w:cs="Times New Roman"/>
          <w:sz w:val="24"/>
        </w:rPr>
      </w:pPr>
      <w:r>
        <w:rPr>
          <w:rFonts w:hint="default" w:ascii="Times New Roman" w:hAnsi="Times New Roman" w:cs="Times New Roman"/>
          <w:color w:val="000000"/>
          <w:sz w:val="24"/>
        </w:rPr>
        <w:t>同时，</w:t>
      </w:r>
      <w:r>
        <w:rPr>
          <w:rFonts w:hint="default" w:ascii="Times New Roman" w:hAnsi="Times New Roman" w:cs="Times New Roman"/>
          <w:sz w:val="24"/>
        </w:rPr>
        <w:t>全国有色金属标准化技术委员会通过工作群、邮件向委员单位征求意见，并将征求意见资料在</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"http://www.cnsmq.com" </w:instrText>
      </w:r>
      <w:r>
        <w:rPr>
          <w:rFonts w:hint="default" w:ascii="Times New Roman" w:hAnsi="Times New Roman" w:cs="Times New Roman"/>
          <w:sz w:val="24"/>
        </w:rPr>
        <w:fldChar w:fldCharType="separate"/>
      </w:r>
      <w:r>
        <w:rPr>
          <w:rStyle w:val="12"/>
          <w:rFonts w:hint="default" w:ascii="Times New Roman" w:hAnsi="Times New Roman" w:cs="Times New Roman"/>
          <w:sz w:val="24"/>
        </w:rPr>
        <w:t>www.cnsmq.com</w:t>
      </w:r>
      <w:r>
        <w:rPr>
          <w:rFonts w:hint="default" w:ascii="Times New Roman" w:hAnsi="Times New Roman" w:cs="Times New Roman"/>
          <w:sz w:val="24"/>
        </w:rPr>
        <w:fldChar w:fldCharType="end"/>
      </w:r>
      <w:r>
        <w:rPr>
          <w:rFonts w:hint="default" w:ascii="Times New Roman" w:hAnsi="Times New Roman" w:cs="Times New Roman"/>
          <w:sz w:val="24"/>
        </w:rPr>
        <w:t>网站上挂网。征求意见的单位包括主要生产、经销、使用、科研、检验等单位及大专院校，征求意见单位广泛且具有代表性，征求意见时间大于2个月。</w:t>
      </w:r>
    </w:p>
    <w:p>
      <w:pPr>
        <w:adjustRightInd w:val="0"/>
        <w:spacing w:line="440" w:lineRule="exact"/>
        <w:ind w:firstLine="480" w:firstLineChars="200"/>
        <w:rPr>
          <w:rFonts w:hint="default" w:ascii="Times New Roman" w:hAnsi="Times New Roman" w:cs="Times New Roman"/>
          <w:sz w:val="24"/>
        </w:rPr>
      </w:pPr>
      <w:r>
        <w:rPr>
          <w:rFonts w:hint="default" w:ascii="宋体" w:hAnsi="宋体" w:eastAsia="宋体" w:cs="宋体"/>
          <w:kern w:val="0"/>
          <w:sz w:val="24"/>
          <w:szCs w:val="24"/>
          <w:lang w:val="en-US" w:eastAsia="zh-CN" w:bidi="ar"/>
        </w:rPr>
        <w:t>2021年12月，编制组</w:t>
      </w:r>
      <w:r>
        <w:rPr>
          <w:rFonts w:hint="default" w:ascii="Times New Roman" w:hAnsi="Times New Roman" w:cs="Times New Roman"/>
          <w:sz w:val="24"/>
        </w:rPr>
        <w:t>对收集到的意见进行整理</w:t>
      </w:r>
      <w:r>
        <w:rPr>
          <w:rFonts w:hint="default" w:ascii="宋体" w:hAnsi="宋体" w:eastAsia="宋体" w:cs="宋体"/>
          <w:kern w:val="0"/>
          <w:sz w:val="24"/>
          <w:szCs w:val="24"/>
          <w:lang w:val="en-US" w:eastAsia="zh-CN" w:bidi="ar"/>
        </w:rPr>
        <w:t>，共收到6条意见，形</w:t>
      </w:r>
      <w:r>
        <w:rPr>
          <w:rFonts w:hint="default" w:ascii="Times New Roman" w:hAnsi="Times New Roman" w:cs="Times New Roman"/>
          <w:sz w:val="24"/>
        </w:rPr>
        <w:t>成了标准意见汇总处理表。标准制定工作组根据意见对标准进行修改，形成了标准意见汇总处理表和送审稿。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default" w:ascii="Times New Roman" w:hAnsi="Times New Roman" w:eastAsia="黑体" w:cs="Times New Roman"/>
          <w:b w:val="0"/>
          <w:bCs/>
          <w:sz w:val="24"/>
          <w:szCs w:val="24"/>
          <w:lang w:val="en-US" w:eastAsia="zh-CN"/>
        </w:rPr>
        <w:t>4</w:t>
      </w:r>
      <w:r>
        <w:rPr>
          <w:rFonts w:hint="default" w:ascii="Times New Roman" w:hAnsi="Times New Roman" w:eastAsia="黑体" w:cs="Times New Roman"/>
          <w:b w:val="0"/>
          <w:bCs/>
          <w:sz w:val="24"/>
          <w:szCs w:val="24"/>
        </w:rPr>
        <w:t>.</w:t>
      </w:r>
      <w:r>
        <w:rPr>
          <w:rFonts w:hint="default" w:ascii="Times New Roman" w:hAnsi="Times New Roman" w:eastAsia="黑体" w:cs="Times New Roman"/>
          <w:b w:val="0"/>
          <w:bCs/>
          <w:sz w:val="24"/>
          <w:szCs w:val="24"/>
          <w:lang w:val="en-US" w:eastAsia="zh-CN"/>
        </w:rPr>
        <w:t>3</w:t>
      </w:r>
      <w:r>
        <w:rPr>
          <w:rFonts w:hint="default" w:ascii="Times New Roman" w:hAnsi="Times New Roman" w:eastAsia="黑体" w:cs="Times New Roman"/>
          <w:b w:val="0"/>
          <w:bCs/>
          <w:sz w:val="24"/>
          <w:szCs w:val="24"/>
        </w:rPr>
        <w:t xml:space="preserve"> </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审查阶段</w:t>
      </w:r>
    </w:p>
    <w:p>
      <w:pPr>
        <w:spacing w:line="440" w:lineRule="exact"/>
        <w:ind w:firstLine="470" w:firstLineChars="196"/>
        <w:rPr>
          <w:rFonts w:hint="default" w:ascii="Times New Roman" w:hAnsi="Times New Roman" w:cs="Times New Roman"/>
          <w:sz w:val="24"/>
          <w:lang w:val="en-US" w:eastAsia="zh-CN"/>
        </w:rPr>
      </w:pPr>
      <w:r>
        <w:rPr>
          <w:rFonts w:hint="default" w:ascii="宋体" w:hAnsi="宋体" w:eastAsia="宋体" w:cs="宋体"/>
          <w:kern w:val="0"/>
          <w:sz w:val="24"/>
          <w:szCs w:val="24"/>
          <w:lang w:val="en-US" w:eastAsia="zh-CN" w:bidi="ar"/>
        </w:rPr>
        <w:t>202</w:t>
      </w:r>
      <w:r>
        <w:rPr>
          <w:rFonts w:hint="eastAsia" w:ascii="宋体" w:hAnsi="宋体" w:eastAsia="宋体" w:cs="宋体"/>
          <w:kern w:val="0"/>
          <w:sz w:val="24"/>
          <w:szCs w:val="24"/>
          <w:lang w:val="en-US" w:eastAsia="zh-CN" w:bidi="ar"/>
        </w:rPr>
        <w:t>2</w:t>
      </w:r>
      <w:r>
        <w:rPr>
          <w:rFonts w:hint="default" w:ascii="宋体" w:hAnsi="宋体" w:eastAsia="宋体" w:cs="宋体"/>
          <w:kern w:val="0"/>
          <w:sz w:val="24"/>
          <w:szCs w:val="24"/>
          <w:lang w:val="en-US" w:eastAsia="zh-CN" w:bidi="ar"/>
        </w:rPr>
        <w:t>年</w:t>
      </w:r>
      <w:r>
        <w:rPr>
          <w:rFonts w:hint="eastAsia" w:ascii="宋体" w:hAnsi="宋体" w:eastAsia="宋体" w:cs="宋体"/>
          <w:kern w:val="0"/>
          <w:sz w:val="24"/>
          <w:szCs w:val="24"/>
          <w:lang w:val="en-US" w:eastAsia="zh-CN" w:bidi="ar"/>
        </w:rPr>
        <w:t>3</w:t>
      </w:r>
      <w:r>
        <w:rPr>
          <w:rFonts w:hint="default" w:ascii="宋体" w:hAnsi="宋体" w:eastAsia="宋体" w:cs="宋体"/>
          <w:kern w:val="0"/>
          <w:sz w:val="24"/>
          <w:szCs w:val="24"/>
          <w:lang w:val="en-US" w:eastAsia="zh-CN" w:bidi="ar"/>
        </w:rPr>
        <w:t>月</w:t>
      </w:r>
      <w:r>
        <w:rPr>
          <w:rFonts w:hint="eastAsia" w:ascii="宋体" w:hAnsi="宋体" w:eastAsia="宋体" w:cs="宋体"/>
          <w:kern w:val="0"/>
          <w:sz w:val="24"/>
          <w:szCs w:val="24"/>
          <w:lang w:val="en-US" w:eastAsia="zh-CN" w:bidi="ar"/>
        </w:rPr>
        <w:t>XX~XX</w:t>
      </w:r>
      <w:r>
        <w:rPr>
          <w:rFonts w:hint="default" w:ascii="宋体" w:hAnsi="宋体" w:eastAsia="宋体" w:cs="宋体"/>
          <w:kern w:val="0"/>
          <w:sz w:val="24"/>
          <w:szCs w:val="24"/>
          <w:lang w:val="en-US" w:eastAsia="zh-CN" w:bidi="ar"/>
        </w:rPr>
        <w:t>日，全国有色金属标准化技术委员会在</w:t>
      </w:r>
      <w:r>
        <w:rPr>
          <w:rFonts w:hint="eastAsia" w:ascii="宋体" w:hAnsi="宋体" w:eastAsia="宋体" w:cs="宋体"/>
          <w:kern w:val="0"/>
          <w:sz w:val="24"/>
          <w:szCs w:val="24"/>
          <w:lang w:val="en-US" w:eastAsia="zh-CN" w:bidi="ar"/>
        </w:rPr>
        <w:t>XX</w:t>
      </w:r>
      <w:r>
        <w:rPr>
          <w:rFonts w:hint="default" w:ascii="宋体" w:hAnsi="宋体" w:eastAsia="宋体" w:cs="宋体"/>
          <w:kern w:val="0"/>
          <w:sz w:val="24"/>
          <w:szCs w:val="24"/>
          <w:lang w:val="en-US" w:eastAsia="zh-CN" w:bidi="ar"/>
        </w:rPr>
        <w:t>省</w:t>
      </w:r>
      <w:r>
        <w:rPr>
          <w:rFonts w:hint="eastAsia" w:ascii="宋体" w:hAnsi="宋体" w:eastAsia="宋体" w:cs="宋体"/>
          <w:kern w:val="0"/>
          <w:sz w:val="24"/>
          <w:szCs w:val="24"/>
          <w:lang w:val="en-US" w:eastAsia="zh-CN" w:bidi="ar"/>
        </w:rPr>
        <w:t>XX</w:t>
      </w:r>
      <w:r>
        <w:rPr>
          <w:rFonts w:hint="default" w:ascii="宋体" w:hAnsi="宋体" w:eastAsia="宋体" w:cs="宋体"/>
          <w:kern w:val="0"/>
          <w:sz w:val="24"/>
          <w:szCs w:val="24"/>
          <w:lang w:val="en-US" w:eastAsia="zh-CN" w:bidi="ar"/>
        </w:rPr>
        <w:t>市组织召开了本标准</w:t>
      </w:r>
      <w:r>
        <w:rPr>
          <w:rFonts w:hint="eastAsia" w:ascii="宋体" w:hAnsi="宋体" w:eastAsia="宋体" w:cs="宋体"/>
          <w:kern w:val="0"/>
          <w:sz w:val="24"/>
          <w:szCs w:val="24"/>
          <w:lang w:val="en-US" w:eastAsia="zh-CN" w:bidi="ar"/>
        </w:rPr>
        <w:t>的</w:t>
      </w:r>
      <w:r>
        <w:rPr>
          <w:rFonts w:hint="default" w:ascii="宋体" w:hAnsi="宋体" w:eastAsia="宋体" w:cs="宋体"/>
          <w:kern w:val="0"/>
          <w:sz w:val="24"/>
          <w:szCs w:val="24"/>
          <w:lang w:val="en-US" w:eastAsia="zh-CN" w:bidi="ar"/>
        </w:rPr>
        <w:t>审定会</w:t>
      </w:r>
      <w:r>
        <w:rPr>
          <w:rFonts w:hint="eastAsia" w:ascii="宋体" w:hAnsi="宋体" w:eastAsia="宋体" w:cs="宋体"/>
          <w:kern w:val="0"/>
          <w:sz w:val="24"/>
          <w:szCs w:val="24"/>
          <w:lang w:val="en-US" w:eastAsia="zh-CN" w:bidi="ar"/>
        </w:rPr>
        <w:t>。来自金驰能源材料有限公司</w:t>
      </w:r>
      <w:r>
        <w:rPr>
          <w:rFonts w:hint="default"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江苏当升材料科技有限公司、</w:t>
      </w:r>
      <w:r>
        <w:rPr>
          <w:rFonts w:hint="default" w:ascii="宋体" w:hAnsi="宋体" w:eastAsia="宋体" w:cs="宋体"/>
          <w:kern w:val="0"/>
          <w:sz w:val="24"/>
          <w:szCs w:val="24"/>
          <w:lang w:val="en-US" w:eastAsia="zh-CN" w:bidi="ar"/>
        </w:rPr>
        <w:t>天津国安盟固利新材料科技股份有限公司</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广东邦普循环科技有限公司、</w:t>
      </w:r>
      <w:r>
        <w:rPr>
          <w:rFonts w:hint="eastAsia" w:ascii="宋体" w:hAnsi="宋体" w:eastAsia="宋体" w:cs="宋体"/>
          <w:kern w:val="0"/>
          <w:sz w:val="24"/>
          <w:szCs w:val="24"/>
          <w:lang w:val="en-US" w:eastAsia="zh-CN" w:bidi="ar"/>
        </w:rPr>
        <w:t>格林美股份有限公司、浙江华友钴业股份有限公司、湖北万润新能源科技股份有限公司、南通金通储能动力新材料有限公司、湖南长远锂科新能源有限公司、</w:t>
      </w:r>
      <w:r>
        <w:rPr>
          <w:rFonts w:hint="default" w:ascii="宋体" w:hAnsi="宋体" w:eastAsia="宋体" w:cs="宋体"/>
          <w:kern w:val="0"/>
          <w:sz w:val="24"/>
          <w:szCs w:val="24"/>
          <w:lang w:val="en-US" w:eastAsia="zh-CN" w:bidi="ar"/>
        </w:rPr>
        <w:t>有色金属技术经济研究院有限责任公司等单位的代表参加了此次会议，见《有色金属标准审定会参加单位及代表签名》，对标准送审稿进行了认真、细致的讨论，见《有色金属行业标准审定会会议纪要》。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r>
        <w:rPr>
          <w:rFonts w:hint="default" w:ascii="Times New Roman" w:hAnsi="Times New Roman" w:eastAsia="黑体" w:cs="Times New Roman"/>
          <w:b w:val="0"/>
          <w:bCs/>
          <w:sz w:val="24"/>
          <w:szCs w:val="24"/>
          <w:lang w:val="en-US" w:eastAsia="zh-CN"/>
        </w:rPr>
        <w:t>4</w:t>
      </w:r>
      <w:r>
        <w:rPr>
          <w:rFonts w:hint="default" w:ascii="Times New Roman" w:hAnsi="Times New Roman" w:eastAsia="黑体" w:cs="Times New Roman"/>
          <w:b w:val="0"/>
          <w:bCs/>
          <w:sz w:val="24"/>
          <w:szCs w:val="24"/>
        </w:rPr>
        <w:t xml:space="preserve">.4 </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rPr>
        <w:t>报批阶段</w:t>
      </w:r>
    </w:p>
    <w:p>
      <w:pPr>
        <w:spacing w:line="440" w:lineRule="exact"/>
        <w:ind w:firstLine="470" w:firstLineChars="196"/>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标准编制小组对本标准的编制说明以及标准文本内容进行了仔细、认真的修改核对，形成标准报批稿，报送至全国有色金属标准化技术委员会（SAC/TC 243）。现上报至工业和信息化部审批、发布。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rPr>
      </w:pPr>
      <w:r>
        <w:rPr>
          <w:rFonts w:hint="eastAsia" w:ascii="Times New Roman" w:hAnsi="Times New Roman" w:eastAsia="黑体" w:cs="Times New Roman"/>
          <w:b w:val="0"/>
          <w:bCs/>
          <w:sz w:val="24"/>
          <w:szCs w:val="24"/>
          <w:lang w:val="en-US" w:eastAsia="zh-CN"/>
        </w:rPr>
        <w:t>二、</w:t>
      </w:r>
      <w:r>
        <w:rPr>
          <w:rFonts w:hint="default" w:ascii="Times New Roman" w:hAnsi="Times New Roman" w:eastAsia="黑体" w:cs="Times New Roman"/>
          <w:b w:val="0"/>
          <w:bCs/>
          <w:sz w:val="24"/>
          <w:szCs w:val="24"/>
        </w:rPr>
        <w:t>标准编制原则</w:t>
      </w:r>
      <w:r>
        <w:rPr>
          <w:rFonts w:hint="default" w:ascii="Times New Roman" w:hAnsi="Times New Roman" w:eastAsia="黑体" w:cs="Times New Roman"/>
          <w:b w:val="0"/>
          <w:bCs/>
          <w:sz w:val="24"/>
          <w:szCs w:val="24"/>
          <w:lang w:val="en-US" w:eastAsia="zh-CN"/>
        </w:rPr>
        <w:t>及主要内容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2.1  编制原则</w:t>
      </w:r>
    </w:p>
    <w:p>
      <w:pPr>
        <w:snapToGrid w:val="0"/>
        <w:spacing w:line="360" w:lineRule="auto"/>
        <w:ind w:firstLine="480" w:firstLineChars="20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本标准的制定工作遵循“统一性、协调性、适用性、一致性、规范性”的原则，本着先进性、科学性、合理性和可操作性的原则，按照GB/T 1.1-2020给出的规则编写。</w:t>
      </w:r>
    </w:p>
    <w:p>
      <w:pPr>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宋体" w:hAnsi="宋体" w:eastAsia="宋体" w:cs="宋体"/>
          <w:kern w:val="0"/>
          <w:sz w:val="24"/>
          <w:szCs w:val="24"/>
          <w:lang w:val="en-US" w:eastAsia="zh-CN" w:bidi="ar"/>
        </w:rPr>
        <w:t>本标准的编制充分考虑生产企业的产品质量和相关单位的意见，同时要确保用户的需求，为锂电池生产企业提供满意的使用原料。</w:t>
      </w:r>
    </w:p>
    <w:p>
      <w:pPr>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本</w:t>
      </w:r>
      <w:r>
        <w:rPr>
          <w:rFonts w:hint="default" w:ascii="Times New Roman" w:hAnsi="Times New Roman" w:eastAsia="宋体" w:cs="Times New Roman"/>
          <w:color w:val="000000"/>
          <w:sz w:val="24"/>
          <w:szCs w:val="24"/>
        </w:rPr>
        <w:t>标准</w:t>
      </w:r>
      <w:r>
        <w:rPr>
          <w:rFonts w:hint="default" w:ascii="Times New Roman" w:hAnsi="Times New Roman" w:eastAsia="宋体" w:cs="Times New Roman"/>
          <w:color w:val="000000"/>
          <w:sz w:val="24"/>
          <w:szCs w:val="24"/>
          <w:lang w:val="en-US" w:eastAsia="zh-CN"/>
        </w:rPr>
        <w:t>的制定</w:t>
      </w:r>
      <w:r>
        <w:rPr>
          <w:rFonts w:hint="default" w:ascii="Times New Roman" w:hAnsi="Times New Roman" w:eastAsia="宋体" w:cs="Times New Roman"/>
          <w:color w:val="000000"/>
          <w:sz w:val="24"/>
          <w:szCs w:val="24"/>
        </w:rPr>
        <w:t>应科学合理、切实可行、具有可操作性，同时促进镍钴酸锂正极材料生产企业综合利用水平的提高。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2.2  主要内容</w:t>
      </w:r>
    </w:p>
    <w:p>
      <w:pPr>
        <w:snapToGrid w:val="0"/>
        <w:spacing w:line="360" w:lineRule="auto"/>
        <w:ind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本标准规定了镍钴酸锂绿色设计产品评价原则和方法、对镍钴酸锂生产企业的绿色生产要求、镍钴酸锂绿色设计产品的评价指标及产品生命周期评价方法等内容。锂离子电池正极材料镍钴酸锂的绿色设计产品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eastAsia" w:ascii="Times New Roman" w:hAnsi="Times New Roman" w:eastAsia="黑体" w:cs="Times New Roman"/>
          <w:b w:val="0"/>
          <w:bCs/>
          <w:sz w:val="24"/>
          <w:szCs w:val="24"/>
          <w:lang w:val="en-US" w:eastAsia="zh-CN"/>
        </w:rPr>
        <w:t>三、</w:t>
      </w:r>
      <w:r>
        <w:rPr>
          <w:rFonts w:hint="default" w:ascii="Times New Roman" w:hAnsi="Times New Roman" w:eastAsia="黑体" w:cs="Times New Roman"/>
          <w:b w:val="0"/>
          <w:bCs/>
          <w:sz w:val="24"/>
          <w:szCs w:val="24"/>
          <w:lang w:val="en-US" w:eastAsia="zh-CN"/>
        </w:rPr>
        <w:t>标准主要内容的论据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3.1  镍钴酸锂生产工艺流程</w:t>
      </w:r>
    </w:p>
    <w:p>
      <w:pPr>
        <w:snapToGrid w:val="0"/>
        <w:spacing w:line="360" w:lineRule="auto"/>
        <w:ind w:firstLine="480" w:firstLineChars="20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由镍钴氢氧化物前驱体直接制备镍钴酸锂正极材料的生产工艺流程如图1所示。</w:t>
      </w:r>
    </w:p>
    <w:p>
      <w:pPr>
        <w:ind w:firstLine="420" w:firstLineChars="200"/>
        <w:rPr>
          <w:rFonts w:hint="default" w:ascii="Times New Roman" w:hAnsi="Times New Roman" w:cs="Times New Roman"/>
        </w:rPr>
      </w:pPr>
      <w:r>
        <w:rPr>
          <w:rFonts w:hint="default" w:ascii="Times New Roman" w:hAnsi="Times New Roman" w:cs="Times New Roman"/>
          <w:color w:val="000000"/>
        </w:rPr>
        <mc:AlternateContent>
          <mc:Choice Requires="wpc">
            <w:drawing>
              <wp:inline distT="0" distB="0" distL="114300" distR="114300">
                <wp:extent cx="4767580" cy="3963670"/>
                <wp:effectExtent l="0" t="0" r="13970" b="55880"/>
                <wp:docPr id="27" name="画布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wps:spPr>
                          <a:xfrm>
                            <a:off x="1983120" y="101000"/>
                            <a:ext cx="1223613" cy="288200"/>
                          </a:xfrm>
                          <a:prstGeom prst="rect">
                            <a:avLst/>
                          </a:prstGeom>
                          <a:no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预混</w:t>
                              </w:r>
                            </w:p>
                          </w:txbxContent>
                        </wps:txbx>
                        <wps:bodyPr anchor="ctr" upright="1"/>
                      </wps:wsp>
                      <wps:wsp>
                        <wps:cNvPr id="2" name="直接箭头连接符 2"/>
                        <wps:cNvCnPr/>
                        <wps:spPr>
                          <a:xfrm flipH="1">
                            <a:off x="2595227" y="389200"/>
                            <a:ext cx="0" cy="215900"/>
                          </a:xfrm>
                          <a:prstGeom prst="straightConnector1">
                            <a:avLst/>
                          </a:prstGeom>
                          <a:ln w="12700" cap="flat" cmpd="sng">
                            <a:solidFill>
                              <a:srgbClr val="000000"/>
                            </a:solidFill>
                            <a:prstDash val="solid"/>
                            <a:headEnd type="none" w="med" len="med"/>
                            <a:tailEnd type="arrow" w="med" len="med"/>
                          </a:ln>
                        </wps:spPr>
                        <wps:bodyPr/>
                      </wps:wsp>
                      <wps:wsp>
                        <wps:cNvPr id="3" name="矩形 3"/>
                        <wps:cNvSpPr/>
                        <wps:spPr>
                          <a:xfrm>
                            <a:off x="1983720" y="613400"/>
                            <a:ext cx="1223013" cy="28770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0"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装钵</w:t>
                              </w:r>
                            </w:p>
                          </w:txbxContent>
                        </wps:txbx>
                        <wps:bodyPr anchor="ctr" upright="1"/>
                      </wps:wsp>
                      <wps:wsp>
                        <wps:cNvPr id="4" name="直接箭头连接符 4"/>
                        <wps:cNvCnPr/>
                        <wps:spPr>
                          <a:xfrm flipH="1">
                            <a:off x="2595227" y="901100"/>
                            <a:ext cx="0" cy="216500"/>
                          </a:xfrm>
                          <a:prstGeom prst="straightConnector1">
                            <a:avLst/>
                          </a:prstGeom>
                          <a:ln w="12700" cap="flat" cmpd="sng">
                            <a:solidFill>
                              <a:srgbClr val="000000"/>
                            </a:solidFill>
                            <a:prstDash val="solid"/>
                            <a:headEnd type="none" w="med" len="med"/>
                            <a:tailEnd type="arrow" w="med" len="med"/>
                          </a:ln>
                        </wps:spPr>
                        <wps:bodyPr/>
                      </wps:wsp>
                      <wps:wsp>
                        <wps:cNvPr id="5" name="矩形 5"/>
                        <wps:cNvSpPr/>
                        <wps:spPr>
                          <a:xfrm>
                            <a:off x="1983720" y="1132800"/>
                            <a:ext cx="1223013" cy="28770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一次烧结</w:t>
                              </w:r>
                            </w:p>
                          </w:txbxContent>
                        </wps:txbx>
                        <wps:bodyPr anchor="ctr" upright="1"/>
                      </wps:wsp>
                      <wps:wsp>
                        <wps:cNvPr id="6" name="直接箭头连接符 6"/>
                        <wps:cNvCnPr/>
                        <wps:spPr>
                          <a:xfrm flipH="1">
                            <a:off x="2595227" y="1430000"/>
                            <a:ext cx="0" cy="215900"/>
                          </a:xfrm>
                          <a:prstGeom prst="straightConnector1">
                            <a:avLst/>
                          </a:prstGeom>
                          <a:ln w="12700" cap="flat" cmpd="sng">
                            <a:solidFill>
                              <a:srgbClr val="000000"/>
                            </a:solidFill>
                            <a:prstDash val="solid"/>
                            <a:headEnd type="none" w="med" len="med"/>
                            <a:tailEnd type="arrow" w="med" len="med"/>
                          </a:ln>
                        </wps:spPr>
                        <wps:bodyPr/>
                      </wps:wsp>
                      <wps:wsp>
                        <wps:cNvPr id="7" name="矩形 7"/>
                        <wps:cNvSpPr/>
                        <wps:spPr>
                          <a:xfrm>
                            <a:off x="1983720" y="1661800"/>
                            <a:ext cx="1223013" cy="28760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78" w:afterAutospacing="0"/>
                                <w:jc w:val="center"/>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处理</w:t>
                              </w:r>
                            </w:p>
                          </w:txbxContent>
                        </wps:txbx>
                        <wps:bodyPr anchor="ctr" upright="1"/>
                      </wps:wsp>
                      <wps:wsp>
                        <wps:cNvPr id="8" name="直接箭头连接符 8"/>
                        <wps:cNvCnPr/>
                        <wps:spPr>
                          <a:xfrm flipH="1">
                            <a:off x="2595227" y="1953900"/>
                            <a:ext cx="0" cy="215900"/>
                          </a:xfrm>
                          <a:prstGeom prst="straightConnector1">
                            <a:avLst/>
                          </a:prstGeom>
                          <a:ln w="12700" cap="flat" cmpd="sng">
                            <a:solidFill>
                              <a:srgbClr val="000000"/>
                            </a:solidFill>
                            <a:prstDash val="solid"/>
                            <a:headEnd type="none" w="med" len="med"/>
                            <a:tailEnd type="arrow" w="med" len="med"/>
                          </a:ln>
                        </wps:spPr>
                        <wps:bodyPr/>
                      </wps:wsp>
                      <wps:wsp>
                        <wps:cNvPr id="9" name="矩形 9"/>
                        <wps:cNvSpPr/>
                        <wps:spPr>
                          <a:xfrm>
                            <a:off x="1983720" y="2185700"/>
                            <a:ext cx="1223013" cy="28760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二次烧结</w:t>
                              </w:r>
                            </w:p>
                          </w:txbxContent>
                        </wps:txbx>
                        <wps:bodyPr anchor="ctr" upright="1"/>
                      </wps:wsp>
                      <wps:wsp>
                        <wps:cNvPr id="10" name="直接箭头连接符 10"/>
                        <wps:cNvCnPr/>
                        <wps:spPr>
                          <a:xfrm flipH="1">
                            <a:off x="2595227" y="2458700"/>
                            <a:ext cx="0" cy="215900"/>
                          </a:xfrm>
                          <a:prstGeom prst="straightConnector1">
                            <a:avLst/>
                          </a:prstGeom>
                          <a:ln w="12700" cap="flat" cmpd="sng">
                            <a:solidFill>
                              <a:srgbClr val="000000"/>
                            </a:solidFill>
                            <a:prstDash val="solid"/>
                            <a:headEnd type="none" w="med" len="med"/>
                            <a:tailEnd type="arrow" w="med" len="med"/>
                          </a:ln>
                        </wps:spPr>
                        <wps:bodyPr/>
                      </wps:wsp>
                      <wps:wsp>
                        <wps:cNvPr id="11" name="矩形 11"/>
                        <wps:cNvSpPr/>
                        <wps:spPr>
                          <a:xfrm>
                            <a:off x="1983720" y="2690500"/>
                            <a:ext cx="1223013" cy="28760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破碎</w:t>
                              </w:r>
                            </w:p>
                          </w:txbxContent>
                        </wps:txbx>
                        <wps:bodyPr anchor="ctr" upright="1"/>
                      </wps:wsp>
                      <wps:wsp>
                        <wps:cNvPr id="12" name="直接箭头连接符 12"/>
                        <wps:cNvCnPr/>
                        <wps:spPr>
                          <a:xfrm flipH="1">
                            <a:off x="2595227" y="2982600"/>
                            <a:ext cx="600" cy="215900"/>
                          </a:xfrm>
                          <a:prstGeom prst="straightConnector1">
                            <a:avLst/>
                          </a:prstGeom>
                          <a:ln w="12700" cap="flat" cmpd="sng">
                            <a:solidFill>
                              <a:srgbClr val="000000"/>
                            </a:solidFill>
                            <a:prstDash val="solid"/>
                            <a:headEnd type="none" w="med" len="med"/>
                            <a:tailEnd type="arrow" w="med" len="med"/>
                          </a:ln>
                        </wps:spPr>
                        <wps:bodyPr/>
                      </wps:wsp>
                      <wps:wsp>
                        <wps:cNvPr id="13" name="矩形 13"/>
                        <wps:cNvSpPr/>
                        <wps:spPr>
                          <a:xfrm>
                            <a:off x="1983720" y="3214400"/>
                            <a:ext cx="1223013" cy="28760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混批、筛分、除磁</w:t>
                              </w:r>
                            </w:p>
                          </w:txbxContent>
                        </wps:txbx>
                        <wps:bodyPr anchor="ctr" upright="1"/>
                      </wps:wsp>
                      <wps:wsp>
                        <wps:cNvPr id="14" name="直接箭头连接符 14"/>
                        <wps:cNvCnPr/>
                        <wps:spPr>
                          <a:xfrm flipH="1">
                            <a:off x="2595227" y="3496900"/>
                            <a:ext cx="600" cy="215900"/>
                          </a:xfrm>
                          <a:prstGeom prst="straightConnector1">
                            <a:avLst/>
                          </a:prstGeom>
                          <a:ln w="12700" cap="flat" cmpd="sng">
                            <a:solidFill>
                              <a:srgbClr val="000000"/>
                            </a:solidFill>
                            <a:prstDash val="solid"/>
                            <a:headEnd type="none" w="med" len="med"/>
                            <a:tailEnd type="arrow" w="med" len="med"/>
                          </a:ln>
                        </wps:spPr>
                        <wps:bodyPr/>
                      </wps:wsp>
                      <wps:wsp>
                        <wps:cNvPr id="15" name="左大括号 15"/>
                        <wps:cNvSpPr/>
                        <wps:spPr>
                          <a:xfrm>
                            <a:off x="1364614" y="205700"/>
                            <a:ext cx="593706" cy="3725500"/>
                          </a:xfrm>
                          <a:prstGeom prst="leftBrace">
                            <a:avLst>
                              <a:gd name="adj1" fmla="val 10429"/>
                              <a:gd name="adj2" fmla="val 50000"/>
                            </a:avLst>
                          </a:prstGeom>
                          <a:noFill/>
                          <a:ln w="19050" cap="flat" cmpd="sng">
                            <a:solidFill>
                              <a:srgbClr val="000000"/>
                            </a:solidFill>
                            <a:prstDash val="solid"/>
                            <a:headEnd type="none" w="med" len="med"/>
                            <a:tailEnd type="none" w="med" len="med"/>
                          </a:ln>
                        </wps:spPr>
                        <wps:bodyPr anchor="ctr" upright="1"/>
                      </wps:wsp>
                      <wps:wsp>
                        <wps:cNvPr id="16" name="矩形 16"/>
                        <wps:cNvSpPr/>
                        <wps:spPr>
                          <a:xfrm>
                            <a:off x="257175" y="1518285"/>
                            <a:ext cx="751205" cy="287655"/>
                          </a:xfrm>
                          <a:prstGeom prst="rect">
                            <a:avLst/>
                          </a:prstGeom>
                          <a:no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原辅料</w:t>
                              </w:r>
                            </w:p>
                          </w:txbxContent>
                        </wps:txbx>
                        <wps:bodyPr anchor="ctr" upright="1"/>
                      </wps:wsp>
                      <wps:wsp>
                        <wps:cNvPr id="18" name="矩形 18"/>
                        <wps:cNvSpPr/>
                        <wps:spPr>
                          <a:xfrm>
                            <a:off x="245110" y="2314575"/>
                            <a:ext cx="763270" cy="288290"/>
                          </a:xfrm>
                          <a:prstGeom prst="rect">
                            <a:avLst/>
                          </a:prstGeom>
                          <a:no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能源</w:t>
                              </w:r>
                            </w:p>
                          </w:txbxContent>
                        </wps:txbx>
                        <wps:bodyPr anchor="ctr" upright="1"/>
                      </wps:wsp>
                      <wps:wsp>
                        <wps:cNvPr id="19" name="直接箭头连接符 19"/>
                        <wps:cNvCnPr/>
                        <wps:spPr>
                          <a:xfrm>
                            <a:off x="1213485" y="2064385"/>
                            <a:ext cx="243205" cy="9525"/>
                          </a:xfrm>
                          <a:prstGeom prst="straightConnector1">
                            <a:avLst/>
                          </a:prstGeom>
                          <a:ln w="19050" cap="flat" cmpd="sng">
                            <a:solidFill>
                              <a:srgbClr val="000000"/>
                            </a:solidFill>
                            <a:prstDash val="solid"/>
                            <a:headEnd type="none" w="med" len="med"/>
                            <a:tailEnd type="arrow" w="med" len="med"/>
                          </a:ln>
                        </wps:spPr>
                        <wps:bodyPr/>
                      </wps:wsp>
                      <wps:wsp>
                        <wps:cNvPr id="20" name="右大括号 20"/>
                        <wps:cNvSpPr/>
                        <wps:spPr>
                          <a:xfrm>
                            <a:off x="3216233" y="205700"/>
                            <a:ext cx="594406" cy="3725500"/>
                          </a:xfrm>
                          <a:prstGeom prst="rightBrace">
                            <a:avLst>
                              <a:gd name="adj1" fmla="val 10475"/>
                              <a:gd name="adj2" fmla="val 50000"/>
                            </a:avLst>
                          </a:prstGeom>
                          <a:noFill/>
                          <a:ln w="19050" cap="flat" cmpd="sng">
                            <a:solidFill>
                              <a:srgbClr val="000000"/>
                            </a:solidFill>
                            <a:prstDash val="solid"/>
                            <a:headEnd type="none" w="med" len="med"/>
                            <a:tailEnd type="none" w="med" len="med"/>
                          </a:ln>
                        </wps:spPr>
                        <wps:bodyPr anchor="ctr" upright="1"/>
                      </wps:wsp>
                      <wps:wsp>
                        <wps:cNvPr id="21" name="矩形 21"/>
                        <wps:cNvSpPr/>
                        <wps:spPr>
                          <a:xfrm>
                            <a:off x="3868420" y="1953260"/>
                            <a:ext cx="825500" cy="288290"/>
                          </a:xfrm>
                          <a:prstGeom prst="rect">
                            <a:avLst/>
                          </a:prstGeom>
                          <a:no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废物排放</w:t>
                              </w:r>
                            </w:p>
                          </w:txbxContent>
                        </wps:txbx>
                        <wps:bodyPr anchor="ctr" upright="1"/>
                      </wps:wsp>
                      <wps:wsp>
                        <wps:cNvPr id="22" name="直接连接符 22"/>
                        <wps:cNvCnPr/>
                        <wps:spPr>
                          <a:xfrm>
                            <a:off x="1008310" y="1677200"/>
                            <a:ext cx="201302" cy="0"/>
                          </a:xfrm>
                          <a:prstGeom prst="line">
                            <a:avLst/>
                          </a:prstGeom>
                          <a:ln w="19050" cap="flat" cmpd="sng">
                            <a:solidFill>
                              <a:srgbClr val="000000"/>
                            </a:solidFill>
                            <a:prstDash val="solid"/>
                            <a:headEnd type="none" w="med" len="med"/>
                            <a:tailEnd type="none" w="med" len="med"/>
                          </a:ln>
                        </wps:spPr>
                        <wps:bodyPr upright="1"/>
                      </wps:wsp>
                      <wps:wsp>
                        <wps:cNvPr id="23" name="直接连接符 23"/>
                        <wps:cNvCnPr/>
                        <wps:spPr>
                          <a:xfrm>
                            <a:off x="1008310" y="2475600"/>
                            <a:ext cx="201302" cy="0"/>
                          </a:xfrm>
                          <a:prstGeom prst="line">
                            <a:avLst/>
                          </a:prstGeom>
                          <a:ln w="19050" cap="flat" cmpd="sng">
                            <a:solidFill>
                              <a:srgbClr val="000000"/>
                            </a:solidFill>
                            <a:prstDash val="solid"/>
                            <a:headEnd type="none" w="med" len="med"/>
                            <a:tailEnd type="none" w="med" len="med"/>
                          </a:ln>
                        </wps:spPr>
                        <wps:bodyPr upright="1"/>
                      </wps:wsp>
                      <wps:wsp>
                        <wps:cNvPr id="24" name="直接连接符 24"/>
                        <wps:cNvCnPr/>
                        <wps:spPr>
                          <a:xfrm>
                            <a:off x="1209612" y="1674900"/>
                            <a:ext cx="0" cy="800700"/>
                          </a:xfrm>
                          <a:prstGeom prst="line">
                            <a:avLst/>
                          </a:prstGeom>
                          <a:ln w="19050" cap="flat" cmpd="sng">
                            <a:solidFill>
                              <a:srgbClr val="000000"/>
                            </a:solidFill>
                            <a:prstDash val="solid"/>
                            <a:headEnd type="none" w="med" len="med"/>
                            <a:tailEnd type="none" w="med" len="med"/>
                          </a:ln>
                        </wps:spPr>
                        <wps:bodyPr upright="1"/>
                      </wps:wsp>
                      <wps:wsp>
                        <wps:cNvPr id="25" name="直接箭头连接符 25"/>
                        <wps:cNvCnPr/>
                        <wps:spPr>
                          <a:xfrm flipV="1">
                            <a:off x="3673338" y="2069200"/>
                            <a:ext cx="211802" cy="700"/>
                          </a:xfrm>
                          <a:prstGeom prst="straightConnector1">
                            <a:avLst/>
                          </a:prstGeom>
                          <a:ln w="19050" cap="flat" cmpd="sng">
                            <a:solidFill>
                              <a:srgbClr val="000000"/>
                            </a:solidFill>
                            <a:prstDash val="solid"/>
                            <a:headEnd type="none" w="med" len="med"/>
                            <a:tailEnd type="arrow" w="med" len="med"/>
                          </a:ln>
                        </wps:spPr>
                        <wps:bodyPr/>
                      </wps:wsp>
                      <wps:wsp>
                        <wps:cNvPr id="26" name="矩形 26"/>
                        <wps:cNvSpPr/>
                        <wps:spPr>
                          <a:xfrm>
                            <a:off x="1993221" y="3712800"/>
                            <a:ext cx="1223013" cy="287700"/>
                          </a:xfrm>
                          <a:prstGeom prst="rect">
                            <a:avLst/>
                          </a:prstGeom>
                          <a:noFill/>
                          <a:ln w="19050" cap="flat" cmpd="sng">
                            <a:solidFill>
                              <a:srgbClr val="000000"/>
                            </a:solidFill>
                            <a:prstDash val="solid"/>
                            <a:miter/>
                            <a:headEnd type="none" w="med" len="med"/>
                            <a:tailEnd type="none" w="med" len="med"/>
                          </a:ln>
                        </wps:spPr>
                        <wps:txb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产品包装</w:t>
                              </w:r>
                            </w:p>
                          </w:txbxContent>
                        </wps:txbx>
                        <wps:bodyPr anchor="ctr" upright="1"/>
                      </wps:wsp>
                    </wpc:wpc>
                  </a:graphicData>
                </a:graphic>
              </wp:inline>
            </w:drawing>
          </mc:Choice>
          <mc:Fallback>
            <w:pict>
              <v:group id="_x0000_s1026" o:spid="_x0000_s1026" o:spt="203" style="height:312.1pt;width:375.4pt;" coordsize="4767580,3963670" editas="canvas" o:gfxdata="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">
                <o:lock v:ext="edit" aspectratio="f"/>
                <v:shape id="_x0000_s1026" o:spid="_x0000_s1026" style="position:absolute;left:0;top:0;height:3963670;width:4767580;" filled="f" stroked="f" coordsize="21600,21600" o:gfxdata="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">
                  <v:fill on="f" focussize="0,0"/>
                  <v:stroke on="f"/>
                  <v:imagedata o:title=""/>
                  <o:lock v:ext="edit" aspectratio="t"/>
                </v:shape>
                <v:rect id="_x0000_s1026" o:spid="_x0000_s1026" o:spt="1" style="position:absolute;left:1983120;top:101000;height:288200;width:12236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5utHdYAAAAFAQAADwAAAAAAAAABACAAAAAi&#10;AAAAZHJzL2Rvd25yZXYueG1sUEsBAhQAFAAAAAgAh07iQIJGRzoMAgAAGQQAAA4AAAAAAAAAAQAg&#10;AAAAJQEAAGRycy9lMm9Eb2MueG1sUEsFBgAAAAAGAAYAWQEAAKMFAAAAAA==&#10;">
                  <v:fill on="f"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预混</w:t>
                        </w:r>
                      </w:p>
                    </w:txbxContent>
                  </v:textbox>
                </v:rect>
                <v:shape id="_x0000_s1026" o:spid="_x0000_s1026" o:spt="32" type="#_x0000_t32" style="position:absolute;left:2595227;top:389200;flip:x;height:215900;width:0;" filled="f" stroked="t" coordsize="21600,21600" o:gfxdata="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b+AW9UAAAAFAQAADwAAAAAA&#10;AAABACAAAAAiAAAAZHJzL2Rvd25yZXYueG1sUEsBAhQAFAAAAAgAh07iQGUTeugWAgAAAgQAAA4A&#10;AAAAAAAAAQAgAAAAJAEAAGRycy9lMm9Eb2MueG1sUEsFBgAAAAAGAAYAWQEAAKwFAAAAAA==&#10;">
                  <v:fill on="f" focussize="0,0"/>
                  <v:stroke weight="1pt" color="#000000" joinstyle="round" endarrow="open"/>
                  <v:imagedata o:title=""/>
                  <o:lock v:ext="edit" aspectratio="f"/>
                </v:shape>
                <v:rect id="_x0000_s1026" o:spid="_x0000_s1026" o:spt="1" style="position:absolute;left:1983720;top:613400;height:287700;width:12230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5utHdYAAAAFAQAADwAAAAAAAAABACAA&#10;AAAiAAAAZHJzL2Rvd25yZXYueG1sUEsBAhQAFAAAAAgAh07iQPiXBFoPAgAAGQQAAA4AAAAAAAAA&#10;AQAgAAAAJQEAAGRycy9lMm9Eb2MueG1sUEsFBgAAAAAGAAYAWQEAAKYFAAAAAA==&#10;">
                  <v:fill on="f" focussize="0,0"/>
                  <v:stroke weight="1.5pt" color="#000000" joinstyle="miter"/>
                  <v:imagedata o:title=""/>
                  <o:lock v:ext="edit" aspectratio="f"/>
                  <v:textbox>
                    <w:txbxContent>
                      <w:p>
                        <w:pPr>
                          <w:pStyle w:val="8"/>
                          <w:spacing w:before="0" w:beforeAutospacing="0" w:after="0"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装钵</w:t>
                        </w:r>
                      </w:p>
                    </w:txbxContent>
                  </v:textbox>
                </v:rect>
                <v:shape id="_x0000_s1026" o:spid="_x0000_s1026" o:spt="32" type="#_x0000_t32" style="position:absolute;left:2595227;top:901100;flip:x;height:216500;width:0;" filled="f" stroked="t" coordsize="21600,21600" o:gfxdata="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W/gFvVAAAABQEAAA8AAAAA&#10;AAAAAQAgAAAAIgAAAGRycy9kb3ducmV2LnhtbFBLAQIUABQAAAAIAIdO4kDxRtfKFwIAAAIEAAAO&#10;AAAAAAAAAAEAIAAAACQBAABkcnMvZTJvRG9jLnhtbFBLBQYAAAAABgAGAFkBAACtBQAAAAA=&#10;">
                  <v:fill on="f" focussize="0,0"/>
                  <v:stroke weight="1pt" color="#000000" joinstyle="round" endarrow="open"/>
                  <v:imagedata o:title=""/>
                  <o:lock v:ext="edit" aspectratio="f"/>
                </v:shape>
                <v:rect id="_x0000_s1026" o:spid="_x0000_s1026" o:spt="1" style="position:absolute;left:1983720;top:1132800;height:287700;width:12230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5utHdYAAAAFAQAADwAAAAAAAAABACAA&#10;AAAiAAAAZHJzL2Rvd25yZXYueG1sUEsBAhQAFAAAAAgAh07iQFNOS6cPAgAAGgQAAA4AAAAAAAAA&#10;AQAgAAAAJQEAAGRycy9lMm9Eb2MueG1sUEsFBgAAAAAGAAYAWQEAAKYFAAAAAA==&#10;">
                  <v:fill on="f" focussize="0,0"/>
                  <v:stroke weight="1.5pt" color="#000000" joinstyle="miter"/>
                  <v:imagedata o:title=""/>
                  <o:lock v:ext="edit" aspectratio="f"/>
                  <v:textbo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一次烧结</w:t>
                        </w:r>
                      </w:p>
                    </w:txbxContent>
                  </v:textbox>
                </v:rect>
                <v:shape id="_x0000_s1026" o:spid="_x0000_s1026" o:spt="32" type="#_x0000_t32" style="position:absolute;left:2595227;top:1430000;flip:x;height:215900;width:0;" filled="f" stroked="t" coordsize="21600,21600" o:gfxdata="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b+AW9UAAAAFAQAADwAAAAAA&#10;AAABACAAAAAiAAAAZHJzL2Rvd25yZXYueG1sUEsBAhQAFAAAAAgAh07iQIhH8u8WAgAAAwQAAA4A&#10;AAAAAAAAAQAgAAAAJAEAAGRycy9lMm9Eb2MueG1sUEsFBgAAAAAGAAYAWQEAAKwFAAAAAA==&#10;">
                  <v:fill on="f" focussize="0,0"/>
                  <v:stroke weight="1pt" color="#000000" joinstyle="round" endarrow="open"/>
                  <v:imagedata o:title=""/>
                  <o:lock v:ext="edit" aspectratio="f"/>
                </v:shape>
                <v:rect id="_x0000_s1026" o:spid="_x0000_s1026" o:spt="1" style="position:absolute;left:1983720;top:1661800;height:287600;width:12230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5utHdYAAAAFAQAADwAAAAAAAAABACAA&#10;AAAiAAAAZHJzL2Rvd25yZXYueG1sUEsBAhQAFAAAAAgAh07iQPnQl0QPAgAAGgQAAA4AAAAAAAAA&#10;AQAgAAAAJQEAAGRycy9lMm9Eb2MueG1sUEsFBgAAAAAGAAYAWQEAAKYFAAAAAA==&#10;">
                  <v:fill on="f" focussize="0,0"/>
                  <v:stroke weight="1.5pt" color="#000000" joinstyle="miter"/>
                  <v:imagedata o:title=""/>
                  <o:lock v:ext="edit" aspectratio="f"/>
                  <v:textbox>
                    <w:txbxContent>
                      <w:p>
                        <w:pPr>
                          <w:pStyle w:val="8"/>
                          <w:spacing w:before="0" w:beforeAutospacing="0" w:after="78" w:afterAutospacing="0"/>
                          <w:jc w:val="center"/>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处理</w:t>
                        </w:r>
                      </w:p>
                    </w:txbxContent>
                  </v:textbox>
                </v:rect>
                <v:shape id="_x0000_s1026" o:spid="_x0000_s1026" o:spt="32" type="#_x0000_t32" style="position:absolute;left:2595227;top:1953900;flip:x;height:215900;width:0;" filled="f" stroked="t" coordsize="21600,21600" o:gfxdata="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b+AW9UAAAAFAQAADwAAAAAA&#10;AAABACAAAAAiAAAAZHJzL2Rvd25yZXYueG1sUEsBAhQAFAAAAAgAh07iQI6+PZAWAgAAAwQAAA4A&#10;AAAAAAAAAQAgAAAAJAEAAGRycy9lMm9Eb2MueG1sUEsFBgAAAAAGAAYAWQEAAKwFAAAAAA==&#10;">
                  <v:fill on="f" focussize="0,0"/>
                  <v:stroke weight="1pt" color="#000000" joinstyle="round" endarrow="open"/>
                  <v:imagedata o:title=""/>
                  <o:lock v:ext="edit" aspectratio="f"/>
                </v:shape>
                <v:rect id="_x0000_s1026" o:spid="_x0000_s1026" o:spt="1" style="position:absolute;left:1983720;top:2185700;height:287600;width:12230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brR3WAAAABQEAAA8AAAAAAAAAAQAg&#10;AAAAIgAAAGRycy9kb3ducmV2LnhtbFBLAQIUABQAAAAIAIdO4kC6/PGHEAIAABoEAAAOAAAAAAAA&#10;AAEAIAAAACUBAABkcnMvZTJvRG9jLnhtbFBLBQYAAAAABgAGAFkBAACnBQAAAAA=&#10;">
                  <v:fill on="f" focussize="0,0"/>
                  <v:stroke weight="1.5pt" color="#000000" joinstyle="miter"/>
                  <v:imagedata o:title=""/>
                  <o:lock v:ext="edit" aspectratio="f"/>
                  <v:textbo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二次烧结</w:t>
                        </w:r>
                      </w:p>
                    </w:txbxContent>
                  </v:textbox>
                </v:rect>
                <v:shape id="_x0000_s1026" o:spid="_x0000_s1026" o:spt="32" type="#_x0000_t32" style="position:absolute;left:2595227;top:2458700;flip:x;height:215900;width:0;" filled="f" stroked="t" coordsize="21600,21600" o:gfxdata="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v4Bb1QAAAAUBAAAPAAAAAAAA&#10;AAEAIAAAACIAAABkcnMvZG93bnJldi54bWxQSwECFAAUAAAACACHTuJAoA2XAxUCAAAFBAAADgAA&#10;AAAAAAABACAAAAAkAQAAZHJzL2Uyb0RvYy54bWxQSwUGAAAAAAYABgBZAQAAqwUAAAAA&#10;">
                  <v:fill on="f" focussize="0,0"/>
                  <v:stroke weight="1pt" color="#000000" joinstyle="round" endarrow="open"/>
                  <v:imagedata o:title=""/>
                  <o:lock v:ext="edit" aspectratio="f"/>
                </v:shape>
                <v:rect id="_x0000_s1026" o:spid="_x0000_s1026" o:spt="1" style="position:absolute;left:1983720;top:2690500;height:287600;width:12230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5utHdYAAAAFAQAADwAAAAAAAAABACAA&#10;AAAiAAAAZHJzL2Rvd25yZXYueG1sUEsBAhQAFAAAAAgAh07iQFu+vQcPAgAAHAQAAA4AAAAAAAAA&#10;AQAgAAAAJQEAAGRycy9lMm9Eb2MueG1sUEsFBgAAAAAGAAYAWQEAAKYFAAAAAA==&#10;">
                  <v:fill on="f" focussize="0,0"/>
                  <v:stroke weight="1.5pt" color="#000000" joinstyle="miter"/>
                  <v:imagedata o:title=""/>
                  <o:lock v:ext="edit" aspectratio="f"/>
                  <v:textbo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破碎</w:t>
                        </w:r>
                      </w:p>
                    </w:txbxContent>
                  </v:textbox>
                </v:rect>
                <v:shape id="_x0000_s1026" o:spid="_x0000_s1026" o:spt="32" type="#_x0000_t32" style="position:absolute;left:2595227;top:2982600;flip:x;height:215900;width:600;" filled="f" stroked="t" coordsize="21600,21600" o:gfxdata="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v4Bb1QAAAAUBAAAPAAAAAAAA&#10;AAEAIAAAACIAAABkcnMvZG93bnJldi54bWxQSwECFAAUAAAACACHTuJAZjOVzhUCAAAHBAAADgAA&#10;AAAAAAABACAAAAAkAQAAZHJzL2Uyb0RvYy54bWxQSwUGAAAAAAYABgBZAQAAqwUAAAAA&#10;">
                  <v:fill on="f" focussize="0,0"/>
                  <v:stroke weight="1pt" color="#000000" joinstyle="round" endarrow="open"/>
                  <v:imagedata o:title=""/>
                  <o:lock v:ext="edit" aspectratio="f"/>
                </v:shape>
                <v:rect id="_x0000_s1026" o:spid="_x0000_s1026" o:spt="1" style="position:absolute;left:1983720;top:3214400;height:287600;width:12230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brR3WAAAABQEAAA8AAAAAAAAAAQAg&#10;AAAAIgAAAGRycy9kb3ducmV2LnhtbFBLAQIUABQAAAAIAIdO4kBOfdqOEAIAABwEAAAOAAAAAAAA&#10;AAEAIAAAACUBAABkcnMvZTJvRG9jLnhtbFBLBQYAAAAABgAGAFkBAACnBQAAAAA=&#10;">
                  <v:fill on="f" focussize="0,0"/>
                  <v:stroke weight="1.5pt" color="#000000" joinstyle="miter"/>
                  <v:imagedata o:title=""/>
                  <o:lock v:ext="edit" aspectratio="f"/>
                  <v:textbo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混批、筛分、除磁</w:t>
                        </w:r>
                      </w:p>
                    </w:txbxContent>
                  </v:textbox>
                </v:rect>
                <v:shape id="_x0000_s1026" o:spid="_x0000_s1026" o:spt="32" type="#_x0000_t32" style="position:absolute;left:2595227;top:3496900;flip:x;height:215900;width:600;" filled="f" stroked="t" coordsize="21600,21600" o:gfxdata="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b+AW9UAAAAFAQAADwAA&#10;AAAAAAABACAAAAAiAAAAZHJzL2Rvd25yZXYueG1sUEsBAhQAFAAAAAgAh07iQJ/ubtcZAgAABwQA&#10;AA4AAAAAAAAAAQAgAAAAJAEAAGRycy9lMm9Eb2MueG1sUEsFBgAAAAAGAAYAWQEAAK8FAAAAAA==&#10;">
                  <v:fill on="f" focussize="0,0"/>
                  <v:stroke weight="1pt" color="#000000" joinstyle="round" endarrow="open"/>
                  <v:imagedata o:title=""/>
                  <o:lock v:ext="edit" aspectratio="f"/>
                </v:shape>
                <v:shape id="_x0000_s1026" o:spid="_x0000_s1026" o:spt="87" type="#_x0000_t87" style="position:absolute;left:1364614;top:205700;height:3725500;width:593706;v-text-anchor:middle;" filled="f" stroked="t" coordsize="21600,21600" o:gfxdata="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atUR1AAAAAUBAAAPAAAAAAAAAAEAIAAAACIAAABkcnMvZG93bnJldi54bWxQ&#10;SwECFAAUAAAACACHTuJAlriOTDQCAABiBAAADgAAAAAAAAABACAAAAAjAQAAZHJzL2Uyb0RvYy54&#10;bWxQSwUGAAAAAAYABgBZAQAAyQUAAAAA&#10;" adj="358,10800">
                  <v:fill on="f" focussize="0,0"/>
                  <v:stroke weight="1.5pt" color="#000000" joinstyle="round"/>
                  <v:imagedata o:title=""/>
                  <o:lock v:ext="edit" aspectratio="f"/>
                </v:shape>
                <v:rect id="_x0000_s1026" o:spid="_x0000_s1026" o:spt="1" style="position:absolute;left:257175;top:1518285;height:287655;width:751205;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m60d1gAAAAUBAAAPAAAAAAAAAAEA&#10;IAAAACIAAABkcnMvZG93bnJldi54bWxQSwECFAAUAAAACACHTuJABIMxihECAAAaBAAADgAAAAAA&#10;AAABACAAAAAlAQAAZHJzL2Uyb0RvYy54bWxQSwUGAAAAAAYABgBZAQAAqAUAAAAA&#10;">
                  <v:fill on="f"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原辅料</w:t>
                        </w:r>
                      </w:p>
                    </w:txbxContent>
                  </v:textbox>
                </v:rect>
                <v:rect id="_x0000_s1026" o:spid="_x0000_s1026" o:spt="1" style="position:absolute;left:245110;top:2314575;height:288290;width:763270;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m60d1gAAAAUBAAAPAAAAAAAAAAEA&#10;IAAAACIAAABkcnMvZG93bnJldi54bWxQSwECFAAUAAAACACHTuJAA/IAxhECAAAaBAAADgAAAAAA&#10;AAABACAAAAAlAQAAZHJzL2Uyb0RvYy54bWxQSwUGAAAAAAYABgBZAQAAqAUAAAAA&#10;">
                  <v:fill on="f"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能源</w:t>
                        </w:r>
                      </w:p>
                    </w:txbxContent>
                  </v:textbox>
                </v:rect>
                <v:shape id="_x0000_s1026" o:spid="_x0000_s1026" o:spt="32" type="#_x0000_t32" style="position:absolute;left:1213485;top:2064385;height:9525;width:243205;" filled="f" stroked="t" coordsize="21600,21600" o:gfxdata="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Ye9U9YAAAAFAQAADwAAAAAAAAAB&#10;ACAAAAAiAAAAZHJzL2Rvd25yZXYueG1sUEsBAhQAFAAAAAgAh07iQGn5jRoSAgAA/gMAAA4AAAAA&#10;AAAAAQAgAAAAJQEAAGRycy9lMm9Eb2MueG1sUEsFBgAAAAAGAAYAWQEAAKkFAAAAAA==&#10;">
                  <v:fill on="f" focussize="0,0"/>
                  <v:stroke weight="1.5pt" color="#000000" joinstyle="round" endarrow="open"/>
                  <v:imagedata o:title=""/>
                  <o:lock v:ext="edit" aspectratio="f"/>
                </v:shape>
                <v:shape id="_x0000_s1026" o:spid="_x0000_s1026" o:spt="88" type="#_x0000_t88" style="position:absolute;left:3216233;top:205700;height:3725500;width:594406;v-text-anchor:middle;" filled="f" stroked="t" coordsize="21600,21600" o:gfxdata="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rXAitQAAAAFAQAADwAAAAAAAAABACAAAAAiAAAAZHJzL2Rvd25yZXYueG1s&#10;UEsBAhQAFAAAAAgAh07iQIx/P941AgAAYwQAAA4AAAAAAAAAAQAgAAAAIwEAAGRycy9lMm9Eb2Mu&#10;eG1sUEsFBgAAAAAGAAYAWQEAAMoFAAAAAA==&#10;" adj="360,10800">
                  <v:fill on="f" focussize="0,0"/>
                  <v:stroke weight="1.5pt" color="#000000" joinstyle="round"/>
                  <v:imagedata o:title=""/>
                  <o:lock v:ext="edit" aspectratio="f"/>
                </v:shape>
                <v:rect id="_x0000_s1026" o:spid="_x0000_s1026" o:spt="1" style="position:absolute;left:3868420;top:1953260;height:288290;width:825500;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m60d1gAAAAUBAAAPAAAAAAAAAAEA&#10;IAAAACIAAABkcnMvZG93bnJldi54bWxQSwECFAAUAAAACACHTuJA71d+HBECAAAbBAAADgAAAAAA&#10;AAABACAAAAAlAQAAZHJzL2Uyb0RvYy54bWxQSwUGAAAAAAYABgBZAQAAqAUAAAAA&#10;">
                  <v:fill on="f"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废物排放</w:t>
                        </w:r>
                      </w:p>
                    </w:txbxContent>
                  </v:textbox>
                </v:rect>
                <v:line id="_x0000_s1026" o:spid="_x0000_s1026" o:spt="20" style="position:absolute;left:1008310;top:1677200;height:0;width:201302;" filled="f" stroked="t" coordsize="21600,21600" o:gfxdata="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ENZntQAAAAFAQAADwAAAAAAAAABACAAAAAiAAAAZHJzL2Rvd25y&#10;ZXYueG1sUEsBAhQAFAAAAAgAh07iQDPdD+cCAgAA8gMAAA4AAAAAAAAAAQAgAAAAIwEAAGRycy9l&#10;Mm9Eb2MueG1sUEsFBgAAAAAGAAYAWQEAAJcFAAAAAA==&#10;">
                  <v:fill on="f" focussize="0,0"/>
                  <v:stroke weight="1.5pt" color="#000000" joinstyle="round"/>
                  <v:imagedata o:title=""/>
                  <o:lock v:ext="edit" aspectratio="f"/>
                </v:line>
                <v:line id="_x0000_s1026" o:spid="_x0000_s1026" o:spt="20" style="position:absolute;left:1008310;top:2475600;height:0;width:201302;" filled="f" stroked="t" coordsize="21600,21600" o:gfxdata="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xDWZ7UAAAABQEAAA8AAAAAAAAAAQAgAAAAIgAAAGRycy9kb3du&#10;cmV2LnhtbFBLAQIUABQAAAAIAIdO4kD7Sj0DAwIAAPIDAAAOAAAAAAAAAAEAIAAAACMBAABkcnMv&#10;ZTJvRG9jLnhtbFBLBQYAAAAABgAGAFkBAACYBQAAAAA=&#10;">
                  <v:fill on="f" focussize="0,0"/>
                  <v:stroke weight="1.5pt" color="#000000" joinstyle="round"/>
                  <v:imagedata o:title=""/>
                  <o:lock v:ext="edit" aspectratio="f"/>
                </v:line>
                <v:line id="_x0000_s1026" o:spid="_x0000_s1026" o:spt="20" style="position:absolute;left:1209612;top:1674900;height:800700;width:0;" filled="f" stroked="t" coordsize="21600,21600" o:gfxdata="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ENZntQAAAAFAQAADwAAAAAAAAABACAAAAAiAAAAZHJzL2Rvd25y&#10;ZXYueG1sUEsBAhQAFAAAAAgAh07iQIACQQwCAgAA8gMAAA4AAAAAAAAAAQAgAAAAIwEAAGRycy9l&#10;Mm9Eb2MueG1sUEsFBgAAAAAGAAYAWQEAAJcFAAAAAA==&#10;">
                  <v:fill on="f" focussize="0,0"/>
                  <v:stroke weight="1.5pt" color="#000000" joinstyle="round"/>
                  <v:imagedata o:title=""/>
                  <o:lock v:ext="edit" aspectratio="f"/>
                </v:line>
                <v:shape id="_x0000_s1026" o:spid="_x0000_s1026" o:spt="32" type="#_x0000_t32" style="position:absolute;left:3673338;top:2069200;flip:y;height:700;width:211802;" filled="f" stroked="t" coordsize="21600,21600" o:gfxdata="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SlWr3UAAAABQEAAA8A&#10;AAAAAAAAAQAgAAAAIgAAAGRycy9kb3ducmV2LnhtbFBLAQIUABQAAAAIAIdO4kB+L++rGwIAAAcE&#10;AAAOAAAAAAAAAAEAIAAAACMBAABkcnMvZTJvRG9jLnhtbFBLBQYAAAAABgAGAFkBAACwBQAAAAA=&#10;">
                  <v:fill on="f" focussize="0,0"/>
                  <v:stroke weight="1.5pt" color="#000000" joinstyle="round" endarrow="open"/>
                  <v:imagedata o:title=""/>
                  <o:lock v:ext="edit" aspectratio="f"/>
                </v:shape>
                <v:rect id="_x0000_s1026" o:spid="_x0000_s1026" o:spt="1" style="position:absolute;left:1993221;top:3712800;height:287700;width:1223013;v-text-anchor:middle;" filled="f" stroked="t" coordsize="21600,21600" o:gfxdata="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5utHdYAAAAFAQAADwAAAAAAAAAB&#10;ACAAAAAiAAAAZHJzL2Rvd25yZXYueG1sUEsBAhQAFAAAAAgAh07iQOXb7/YSAgAAHAQAAA4AAAAA&#10;AAAAAQAgAAAAJQEAAGRycy9lMm9Eb2MueG1sUEsFBgAAAAAGAAYAWQEAAKkFAAAAAA==&#10;">
                  <v:fill on="f" focussize="0,0"/>
                  <v:stroke weight="1.5pt" color="#000000" joinstyle="miter"/>
                  <v:imagedata o:title=""/>
                  <o:lock v:ext="edit" aspectratio="f"/>
                  <v:textbox>
                    <w:txbxContent>
                      <w:p>
                        <w:pPr>
                          <w:pStyle w:val="8"/>
                          <w:spacing w:before="0" w:beforeAutospacing="0" w:after="78" w:afterAutospacing="0"/>
                          <w:jc w:val="center"/>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产品包装</w:t>
                        </w: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rPr>
      </w:pPr>
      <w:r>
        <w:rPr>
          <w:rFonts w:hint="default" w:ascii="Times New Roman" w:hAnsi="Times New Roman" w:cs="Times New Roman"/>
          <w:lang w:val="en-US" w:eastAsia="zh-CN"/>
        </w:rPr>
        <w:t>注：处理为一次烧结和二次烧结中间的工序，主要为破碎、筛分、除磁。</w:t>
      </w:r>
    </w:p>
    <w:p>
      <w:pPr>
        <w:spacing w:line="360" w:lineRule="auto"/>
        <w:ind w:firstLine="420" w:firstLineChars="20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图1 镍钴酸锂生产工艺流程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3.2</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val="en-US" w:eastAsia="zh-CN"/>
        </w:rPr>
        <w:t>确定标准的主要技术内容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3.2.1</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val="en-US" w:eastAsia="zh-CN"/>
        </w:rPr>
        <w:t>基本要求</w:t>
      </w:r>
    </w:p>
    <w:p>
      <w:pPr>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基本要求宜包括应满足的节能环保法律法规、工艺技术、管理体系及相关产品标准等方法的要求，参照已</w:t>
      </w:r>
      <w:r>
        <w:rPr>
          <w:rFonts w:hint="default" w:ascii="Times New Roman" w:hAnsi="Times New Roman" w:eastAsia="宋体" w:cs="Times New Roman"/>
          <w:sz w:val="24"/>
          <w:szCs w:val="24"/>
          <w:lang w:val="en-US" w:eastAsia="zh-CN"/>
        </w:rPr>
        <w:t>发布实施</w:t>
      </w:r>
      <w:r>
        <w:rPr>
          <w:rFonts w:hint="default" w:ascii="Times New Roman" w:hAnsi="Times New Roman" w:eastAsia="宋体" w:cs="Times New Roman"/>
          <w:sz w:val="24"/>
          <w:szCs w:val="24"/>
        </w:rPr>
        <w:t>的《绿色设计产品评价技术规范 镍钴锰氢氧化物》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《绿色设计产品评价技术规范 镍钴锰酸锂》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已经报批的</w:t>
      </w:r>
      <w:r>
        <w:rPr>
          <w:rFonts w:hint="default" w:ascii="Times New Roman" w:hAnsi="Times New Roman" w:eastAsia="宋体" w:cs="Times New Roman"/>
          <w:sz w:val="24"/>
          <w:szCs w:val="24"/>
        </w:rPr>
        <w:t>《绿色设计产品评价技术规范 镍钴</w:t>
      </w:r>
      <w:r>
        <w:rPr>
          <w:rFonts w:hint="default" w:ascii="Times New Roman" w:hAnsi="Times New Roman" w:eastAsia="宋体" w:cs="Times New Roman"/>
          <w:sz w:val="24"/>
          <w:szCs w:val="24"/>
          <w:lang w:val="en-US" w:eastAsia="zh-CN"/>
        </w:rPr>
        <w:t>铝</w:t>
      </w:r>
      <w:r>
        <w:rPr>
          <w:rFonts w:hint="default" w:ascii="Times New Roman" w:hAnsi="Times New Roman" w:eastAsia="宋体" w:cs="Times New Roman"/>
          <w:sz w:val="24"/>
          <w:szCs w:val="24"/>
        </w:rPr>
        <w:t>氢氧化物》</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《绿色设计产品评价技术规范 镍钴</w:t>
      </w:r>
      <w:r>
        <w:rPr>
          <w:rFonts w:hint="default" w:ascii="Times New Roman" w:hAnsi="Times New Roman" w:eastAsia="宋体" w:cs="Times New Roman"/>
          <w:sz w:val="24"/>
          <w:szCs w:val="24"/>
          <w:lang w:val="en-US" w:eastAsia="zh-CN"/>
        </w:rPr>
        <w:t>铝</w:t>
      </w:r>
      <w:r>
        <w:rPr>
          <w:rFonts w:hint="default" w:ascii="Times New Roman" w:hAnsi="Times New Roman" w:eastAsia="宋体" w:cs="Times New Roman"/>
          <w:sz w:val="24"/>
          <w:szCs w:val="24"/>
        </w:rPr>
        <w:t>酸锂》，</w:t>
      </w:r>
      <w:r>
        <w:rPr>
          <w:rFonts w:hint="default" w:ascii="Times New Roman" w:hAnsi="Times New Roman" w:eastAsia="宋体" w:cs="Times New Roman"/>
          <w:bCs/>
          <w:sz w:val="24"/>
          <w:szCs w:val="24"/>
        </w:rPr>
        <w:t>确定基本要求如下：</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宋体" w:cs="Times New Roman"/>
          <w:sz w:val="24"/>
          <w:szCs w:val="24"/>
        </w:rPr>
      </w:pPr>
      <w:r>
        <w:rPr>
          <w:rFonts w:hint="default" w:ascii="宋体" w:hAnsi="宋体" w:eastAsia="宋体" w:cs="宋体"/>
          <w:kern w:val="0"/>
          <w:sz w:val="24"/>
          <w:szCs w:val="24"/>
          <w:lang w:val="en-US" w:eastAsia="zh-CN" w:bidi="ar"/>
        </w:rPr>
        <w:t xml:space="preserve">3.2.1.1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企业近三年无重大安全、环境污染和质量事故，应设立安环、质量管理机构，并配置专职管理人员</w:t>
      </w:r>
      <w:r>
        <w:rPr>
          <w:rFonts w:hint="default" w:ascii="Times New Roman" w:hAnsi="Times New Roman" w:eastAsia="宋体" w:cs="Times New Roman"/>
          <w:sz w:val="24"/>
          <w:szCs w:val="24"/>
          <w:lang w:eastAsia="zh-CN"/>
        </w:rPr>
        <w:t>。</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宋体" w:cs="Times New Roman"/>
          <w:sz w:val="24"/>
          <w:szCs w:val="24"/>
        </w:rPr>
      </w:pPr>
      <w:r>
        <w:rPr>
          <w:rFonts w:hint="default" w:ascii="宋体" w:hAnsi="宋体" w:eastAsia="宋体" w:cs="宋体"/>
          <w:kern w:val="0"/>
          <w:sz w:val="24"/>
          <w:szCs w:val="24"/>
          <w:lang w:val="en-US" w:eastAsia="zh-CN" w:bidi="ar"/>
        </w:rPr>
        <w:t>3.2.1.2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企业应采用国家鼓励的先进技术和工艺，不应使用国家或有关部门发布的淘汰或禁止的技术、工艺、装备及相关物质。</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Times New Roman" w:hAnsi="Times New Roman" w:eastAsia="宋体" w:cs="Times New Roman"/>
          <w:sz w:val="24"/>
          <w:szCs w:val="24"/>
        </w:rPr>
      </w:pPr>
      <w:r>
        <w:rPr>
          <w:rFonts w:hint="default" w:ascii="宋体" w:hAnsi="宋体" w:eastAsia="宋体" w:cs="宋体"/>
          <w:kern w:val="0"/>
          <w:sz w:val="24"/>
          <w:szCs w:val="24"/>
          <w:lang w:val="en-US" w:eastAsia="zh-CN" w:bidi="ar"/>
        </w:rPr>
        <w:t>3.2.1.3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企业的污染物排放应达到国家和地方污染物排放标准的要求，污染物总量控制应达到国家和地方污染物排放总量控制指标。</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3.2.1.4  企业的噪声排放应符合GB 12348的规定。</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3.2.1.5  企业安全生产管理应符合GB/T 33000的规定。</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3.2.1.6  企业应按照GB 17167的规定配备能源计量器具。</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3.2.1.7  企业应按照GB/T 19001、GB/T 23331、GB/T 24001 和 GB/T 45001分别建立、实施、保持并持续改进质量管理体系、能源管理体系、环境管理体系和职业健康安全管理体系。</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3.2.1.8  企业对产品主要原料供应方、生产协作方、相关服务方等提出相关质量、环境、能源和安全等方面的管理要求；宜开展绿色供应链管理，并建立绿色供应链管理绩效评价机制、程序，确定评价指标和评价方法。</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3.2.1.9  产生的固体废物应进行无害化、资源化处理，根据固体废物性质鉴别的结果，一般固体废弃物按照GB 18599的要求进行管控，危险固体废物按照GB 18597的要求进行管控。</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3.2.1.10  企业应按照《国家危险废物名录》和《危险化学品安全管理条例》建立并运行危险化学品安全管理制度，应向使用方提供符合GB/T 16483要求的产品安全技术说明书。</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3.2.1.11  产品说明书中应包含有害物质使用、需特殊处理材料及产品废弃后循环利用的相关说明要求。产品包装材料应采用可再生利用或可降解材料。</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3.2.1.12  企业宜按照《环境信息公开办法（试行）》第十九条公开环境信息。</w:t>
      </w:r>
    </w:p>
    <w:p>
      <w:pPr>
        <w:pStyle w:val="16"/>
        <w:keepNext w:val="0"/>
        <w:keepLines w:val="0"/>
        <w:pageBreakBefore w:val="0"/>
        <w:numPr>
          <w:ilvl w:val="0"/>
          <w:numId w:val="0"/>
        </w:numPr>
        <w:kinsoku/>
        <w:wordWrap/>
        <w:overflowPunct/>
        <w:topLinePunct w:val="0"/>
        <w:autoSpaceDE/>
        <w:autoSpaceDN/>
        <w:bidi w:val="0"/>
        <w:adjustRightInd/>
        <w:snapToGrid/>
        <w:spacing w:before="0" w:beforeLines="0" w:after="0" w:afterLines="0" w:line="360" w:lineRule="auto"/>
        <w:ind w:leftChars="0"/>
        <w:textAlignment w:val="auto"/>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3.2.1.13  产品应符合YS/T XXXX的规定，执行企业标准的应不低于国家和行业标准的要求。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3.2.2</w:t>
      </w:r>
      <w:r>
        <w:rPr>
          <w:rFonts w:hint="eastAsia" w:ascii="Times New Roman" w:hAnsi="Times New Roman" w:eastAsia="黑体" w:cs="Times New Roman"/>
          <w:b w:val="0"/>
          <w:bCs/>
          <w:sz w:val="24"/>
          <w:szCs w:val="24"/>
          <w:lang w:val="en-US" w:eastAsia="zh-CN"/>
        </w:rPr>
        <w:t xml:space="preserve">  </w:t>
      </w:r>
      <w:r>
        <w:rPr>
          <w:rFonts w:hint="default" w:ascii="Times New Roman" w:hAnsi="Times New Roman" w:eastAsia="黑体" w:cs="Times New Roman"/>
          <w:b w:val="0"/>
          <w:bCs/>
          <w:sz w:val="24"/>
          <w:szCs w:val="24"/>
          <w:lang w:val="en-US" w:eastAsia="zh-CN"/>
        </w:rPr>
        <w:t>评价指标</w:t>
      </w:r>
    </w:p>
    <w:p>
      <w:pPr>
        <w:widowControl/>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Cs/>
          <w:sz w:val="24"/>
          <w:szCs w:val="24"/>
        </w:rPr>
        <w:t>评价指标宜包括资源属性指标、能源属性指标、环境属性指标和品质属性指标等四类一级指标，在一级指标下设置可量化、可检测、可验证的二级指标，不同类别产品的一级指标可依据产品特点、对环境和人体健康影响程度、现有标准实施情况等因素选取。其中资源属性指标选择选取金属锂、金属镍、金属钴的消耗量</w:t>
      </w:r>
      <w:r>
        <w:rPr>
          <w:rFonts w:hint="default" w:ascii="Times New Roman" w:hAnsi="Times New Roman" w:eastAsia="宋体" w:cs="Times New Roman"/>
          <w:bCs/>
          <w:sz w:val="24"/>
          <w:szCs w:val="24"/>
          <w:lang w:val="en-US" w:eastAsia="zh-CN"/>
        </w:rPr>
        <w:t>以及</w:t>
      </w:r>
      <w:r>
        <w:rPr>
          <w:rFonts w:hint="default" w:ascii="Times New Roman" w:hAnsi="Times New Roman" w:eastAsia="宋体" w:cs="Times New Roman"/>
          <w:bCs/>
          <w:sz w:val="24"/>
          <w:szCs w:val="24"/>
        </w:rPr>
        <w:t>包装材质作为二级评价指标</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color w:val="000000"/>
          <w:sz w:val="24"/>
          <w:szCs w:val="24"/>
        </w:rPr>
        <w:t>能源属性选取单位产品综合能耗作为二级评价指标；环境属性根据网上公开的相关项目的环境影响评价文件以及企业反馈意见确定，选择粉尘</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废气中镍及其化合物</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废气中钴及其化合物</w:t>
      </w:r>
      <w:r>
        <w:rPr>
          <w:rFonts w:hint="default" w:ascii="Times New Roman" w:hAnsi="Times New Roman" w:eastAsia="宋体" w:cs="Times New Roman"/>
          <w:color w:val="000000"/>
          <w:sz w:val="24"/>
          <w:szCs w:val="24"/>
        </w:rPr>
        <w:t>作为二级评价指标。品质属性选取磁性异物作为二级评价指标。</w:t>
      </w:r>
    </w:p>
    <w:p>
      <w:pPr>
        <w:widowControl/>
        <w:spacing w:line="360" w:lineRule="auto"/>
        <w:ind w:firstLine="480" w:firstLineChars="200"/>
        <w:jc w:val="left"/>
        <w:rPr>
          <w:rFonts w:hint="default" w:ascii="Times New Roman" w:hAnsi="Times New Roman" w:cs="Times New Roman"/>
          <w:kern w:val="0"/>
          <w:szCs w:val="21"/>
        </w:rPr>
      </w:pPr>
      <w:r>
        <w:rPr>
          <w:rFonts w:hint="default" w:ascii="Times New Roman" w:hAnsi="Times New Roman" w:eastAsia="宋体" w:cs="Times New Roman"/>
          <w:sz w:val="24"/>
          <w:szCs w:val="24"/>
        </w:rPr>
        <w:t>本文绿色产品指标确定的依据为：选择所调研企业耗值最高的一家企业应不满足绿色产品的要求，但其指标不宜定的过于苛刻，通过适当工艺技术、管理等改进也能达到（其中部分指标由于各企业之间差距不大，本文选择全部满足）。</w:t>
      </w:r>
    </w:p>
    <w:p>
      <w:pPr>
        <w:snapToGrid w:val="0"/>
        <w:spacing w:line="360" w:lineRule="auto"/>
        <w:ind w:firstLine="480" w:firstLineChars="200"/>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1、根据镍钴酸锂生产企业数据调研情况，其调研含量和理论含量值见表1。</w:t>
      </w:r>
    </w:p>
    <w:p>
      <w:pPr>
        <w:snapToGrid w:val="0"/>
        <w:spacing w:line="360" w:lineRule="auto"/>
        <w:ind w:firstLine="420" w:firstLineChars="200"/>
        <w:jc w:val="center"/>
        <w:rPr>
          <w:rFonts w:hint="default" w:ascii="Times New Roman" w:hAnsi="Times New Roman" w:eastAsia="宋体" w:cs="Times New Roman"/>
          <w:sz w:val="21"/>
          <w:szCs w:val="21"/>
        </w:rPr>
      </w:pPr>
      <w:r>
        <w:rPr>
          <w:rFonts w:hint="default" w:ascii="宋体" w:hAnsi="宋体" w:eastAsia="宋体" w:cs="宋体"/>
          <w:kern w:val="0"/>
          <w:sz w:val="21"/>
          <w:szCs w:val="21"/>
          <w:lang w:val="en-US" w:eastAsia="zh-CN" w:bidi="ar"/>
        </w:rPr>
        <w:t>表1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镍钴酸锂</w:t>
      </w:r>
      <w:r>
        <w:rPr>
          <w:rFonts w:hint="default" w:ascii="Times New Roman" w:hAnsi="Times New Roman" w:eastAsia="宋体" w:cs="Times New Roman"/>
          <w:sz w:val="21"/>
          <w:szCs w:val="21"/>
        </w:rPr>
        <w:t>产品中主要金属元素含量</w:t>
      </w:r>
    </w:p>
    <w:tbl>
      <w:tblPr>
        <w:tblStyle w:val="10"/>
        <w:tblW w:w="8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09"/>
        <w:gridCol w:w="1815"/>
        <w:gridCol w:w="177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镍钴酸锂生产企业</w:t>
            </w:r>
          </w:p>
        </w:tc>
        <w:tc>
          <w:tcPr>
            <w:tcW w:w="1409"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产品序号</w:t>
            </w:r>
          </w:p>
        </w:tc>
        <w:tc>
          <w:tcPr>
            <w:tcW w:w="5430" w:type="dxa"/>
            <w:gridSpan w:val="3"/>
            <w:vAlign w:val="center"/>
          </w:tcPr>
          <w:p>
            <w:pPr>
              <w:jc w:val="cente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sz w:val="21"/>
                <w:szCs w:val="21"/>
                <w:vertAlign w:val="baseline"/>
                <w:lang w:val="en-US" w:eastAsia="zh-CN"/>
              </w:rPr>
              <w:t>主元素含量，%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409" w:type="dxa"/>
            <w:vMerge w:val="continue"/>
            <w:vAlign w:val="center"/>
          </w:tcPr>
          <w:p>
            <w:pPr>
              <w:jc w:val="center"/>
              <w:rPr>
                <w:rFonts w:hint="default" w:ascii="Times New Roman" w:hAnsi="Times New Roman" w:eastAsia="宋体" w:cs="Times New Roman"/>
                <w:sz w:val="21"/>
                <w:szCs w:val="21"/>
                <w:vertAlign w:val="baseline"/>
              </w:rPr>
            </w:pP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Li</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Ni</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企业A</w:t>
            </w: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7.24</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7.52</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54.39</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56.61</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4.41</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restart"/>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企业B</w:t>
            </w:r>
          </w:p>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6.80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7.80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28.96</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30.96</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29.08</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6.80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7.80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34.96</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36.96</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23.07</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6.80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7.80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46.95</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48.95</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11.04</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6.80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7.80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52.95</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54.95</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5.02</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restart"/>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企业C</w:t>
            </w: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7.10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7.50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43.00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47.00</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13.00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7.10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7.50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40.00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44.00</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16.00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7.10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7.60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50.00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54.00</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7.0</w:t>
            </w:r>
            <w:r>
              <w:rPr>
                <w:rFonts w:hint="eastAsia" w:ascii="宋体" w:hAnsi="宋体" w:eastAsia="宋体" w:cs="宋体"/>
                <w:kern w:val="0"/>
                <w:sz w:val="21"/>
                <w:szCs w:val="21"/>
                <w:lang w:val="en-US" w:eastAsia="zh-CN" w:bidi="ar"/>
              </w:rPr>
              <w:t>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7.10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7.60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53.00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57.00</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Merge w:val="continue"/>
            <w:vAlign w:val="center"/>
          </w:tcPr>
          <w:p>
            <w:pPr>
              <w:jc w:val="center"/>
              <w:rPr>
                <w:rFonts w:hint="default" w:ascii="宋体" w:hAnsi="宋体" w:eastAsia="宋体" w:cs="宋体"/>
                <w:kern w:val="0"/>
                <w:sz w:val="21"/>
                <w:szCs w:val="21"/>
                <w:lang w:val="en-US" w:eastAsia="zh-CN" w:bidi="ar"/>
              </w:rPr>
            </w:pP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7.10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7.60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58.00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60.00</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1.50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企业D</w:t>
            </w:r>
          </w:p>
        </w:tc>
        <w:tc>
          <w:tcPr>
            <w:tcW w:w="1409"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6.91</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7.31</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53.60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54.60</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5.50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7" w:type="dxa"/>
            <w:vAlign w:val="center"/>
          </w:tcPr>
          <w:p>
            <w:pPr>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企业E</w:t>
            </w:r>
          </w:p>
        </w:tc>
        <w:tc>
          <w:tcPr>
            <w:tcW w:w="1409" w:type="dxa"/>
            <w:vAlign w:val="center"/>
          </w:tcPr>
          <w:p>
            <w:pPr>
              <w:jc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181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6.6</w:t>
            </w:r>
            <w:r>
              <w:rPr>
                <w:rFonts w:hint="eastAsia" w:ascii="宋体" w:hAnsi="宋体" w:eastAsia="宋体" w:cs="宋体"/>
                <w:kern w:val="0"/>
                <w:sz w:val="21"/>
                <w:szCs w:val="21"/>
                <w:lang w:val="en-US" w:eastAsia="zh-CN" w:bidi="ar"/>
              </w:rPr>
              <w:t>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7.5</w:t>
            </w:r>
            <w:r>
              <w:rPr>
                <w:rFonts w:hint="eastAsia" w:ascii="宋体" w:hAnsi="宋体" w:eastAsia="宋体" w:cs="宋体"/>
                <w:kern w:val="0"/>
                <w:sz w:val="21"/>
                <w:szCs w:val="21"/>
                <w:lang w:val="en-US" w:eastAsia="zh-CN" w:bidi="ar"/>
              </w:rPr>
              <w:t>0</w:t>
            </w:r>
          </w:p>
        </w:tc>
        <w:tc>
          <w:tcPr>
            <w:tcW w:w="1770"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53</w:t>
            </w:r>
            <w:r>
              <w:rPr>
                <w:rFonts w:hint="eastAsia" w:ascii="宋体" w:hAnsi="宋体" w:eastAsia="宋体" w:cs="宋体"/>
                <w:kern w:val="0"/>
                <w:sz w:val="21"/>
                <w:szCs w:val="21"/>
                <w:lang w:val="en-US" w:eastAsia="zh-CN" w:bidi="ar"/>
              </w:rPr>
              <w:t>.00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56</w:t>
            </w:r>
            <w:r>
              <w:rPr>
                <w:rFonts w:hint="eastAsia" w:ascii="宋体" w:hAnsi="宋体" w:eastAsia="宋体" w:cs="宋体"/>
                <w:kern w:val="0"/>
                <w:sz w:val="21"/>
                <w:szCs w:val="21"/>
                <w:lang w:val="en-US" w:eastAsia="zh-CN" w:bidi="ar"/>
              </w:rPr>
              <w:t>.00</w:t>
            </w:r>
          </w:p>
        </w:tc>
        <w:tc>
          <w:tcPr>
            <w:tcW w:w="1845" w:type="dxa"/>
            <w:vAlign w:val="center"/>
          </w:tcPr>
          <w:p>
            <w:pPr>
              <w:jc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6</w:t>
            </w:r>
            <w:r>
              <w:rPr>
                <w:rFonts w:hint="eastAsia" w:ascii="宋体" w:hAnsi="宋体" w:eastAsia="宋体" w:cs="宋体"/>
                <w:kern w:val="0"/>
                <w:sz w:val="21"/>
                <w:szCs w:val="21"/>
                <w:lang w:val="en-US" w:eastAsia="zh-CN" w:bidi="ar"/>
              </w:rPr>
              <w:t>.00</w:t>
            </w:r>
            <w:r>
              <w:rPr>
                <w:rFonts w:hint="default" w:ascii="Times New Roman" w:hAnsi="Times New Roman" w:eastAsia="宋体" w:cs="Times New Roman"/>
                <w:kern w:val="0"/>
                <w:sz w:val="21"/>
                <w:szCs w:val="21"/>
                <w:lang w:val="en-US" w:eastAsia="zh-CN" w:bidi="ar"/>
              </w:rPr>
              <w:t>~</w:t>
            </w:r>
            <w:r>
              <w:rPr>
                <w:rFonts w:hint="default" w:ascii="宋体" w:hAnsi="宋体" w:eastAsia="宋体" w:cs="宋体"/>
                <w:kern w:val="0"/>
                <w:sz w:val="21"/>
                <w:szCs w:val="21"/>
                <w:lang w:val="en-US" w:eastAsia="zh-CN" w:bidi="ar"/>
              </w:rPr>
              <w:t>8</w:t>
            </w:r>
            <w:r>
              <w:rPr>
                <w:rFonts w:hint="eastAsia" w:ascii="宋体" w:hAnsi="宋体" w:eastAsia="宋体" w:cs="宋体"/>
                <w:kern w:val="0"/>
                <w:sz w:val="21"/>
                <w:szCs w:val="21"/>
                <w:lang w:val="en-US" w:eastAsia="zh-CN" w:bidi="ar"/>
              </w:rPr>
              <w:t>.00</w:t>
            </w:r>
          </w:p>
        </w:tc>
      </w:tr>
    </w:tbl>
    <w:p>
      <w:pPr>
        <w:pStyle w:val="2"/>
        <w:ind w:left="0" w:leftChars="0" w:firstLine="0" w:firstLineChars="0"/>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表1中产品主要金属元素含量满足YS/T XXXX  镍钴酸锂要求，经征求锂离子电池正极材料生产企业意见，镍钴酸锂常用型号为Ni9系（镍的摩尔比≥90%），因此选取Ni9系镍钴酸锂进行绿色产品设计评价。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2、镍钴酸锂产品生产企业金属利用率调研见表2。</w:t>
      </w:r>
    </w:p>
    <w:p>
      <w:pPr>
        <w:snapToGrid w:val="0"/>
        <w:spacing w:line="360" w:lineRule="auto"/>
        <w:ind w:firstLine="420" w:firstLineChars="200"/>
        <w:jc w:val="center"/>
        <w:rPr>
          <w:rFonts w:hint="default" w:ascii="Times New Roman" w:hAnsi="Times New Roman" w:eastAsia="宋体" w:cs="Times New Roman"/>
          <w:color w:val="000000"/>
          <w:sz w:val="21"/>
          <w:szCs w:val="21"/>
        </w:rPr>
      </w:pPr>
      <w:r>
        <w:rPr>
          <w:rFonts w:hint="default" w:ascii="宋体" w:hAnsi="宋体" w:eastAsia="宋体" w:cs="宋体"/>
          <w:color w:val="000000"/>
          <w:kern w:val="2"/>
          <w:sz w:val="21"/>
          <w:szCs w:val="21"/>
          <w:lang w:val="en-US" w:eastAsia="zh-CN" w:bidi="ar-SA"/>
        </w:rPr>
        <w:t>表2  Ni9</w:t>
      </w:r>
      <w:r>
        <w:rPr>
          <w:rFonts w:hint="default" w:ascii="Times New Roman" w:hAnsi="Times New Roman" w:eastAsia="宋体" w:cs="Times New Roman"/>
          <w:color w:val="000000"/>
          <w:sz w:val="21"/>
          <w:szCs w:val="21"/>
          <w:lang w:val="en-US" w:eastAsia="zh-CN"/>
        </w:rPr>
        <w:t>系</w:t>
      </w:r>
      <w:r>
        <w:rPr>
          <w:rFonts w:hint="default" w:ascii="Times New Roman" w:hAnsi="Times New Roman" w:eastAsia="宋体" w:cs="Times New Roman"/>
          <w:sz w:val="21"/>
          <w:szCs w:val="21"/>
          <w:lang w:val="en-US" w:eastAsia="zh-CN"/>
        </w:rPr>
        <w:t>镍钴酸锂</w:t>
      </w:r>
      <w:r>
        <w:rPr>
          <w:rFonts w:hint="default" w:ascii="Times New Roman" w:hAnsi="Times New Roman" w:eastAsia="宋体" w:cs="Times New Roman"/>
          <w:sz w:val="21"/>
          <w:szCs w:val="21"/>
        </w:rPr>
        <w:t>产品</w:t>
      </w:r>
      <w:r>
        <w:rPr>
          <w:rFonts w:hint="default" w:ascii="Times New Roman" w:hAnsi="Times New Roman" w:eastAsia="宋体" w:cs="Times New Roman"/>
          <w:color w:val="000000"/>
          <w:sz w:val="21"/>
          <w:szCs w:val="21"/>
        </w:rPr>
        <w:t>金属利用率</w:t>
      </w:r>
      <w:r>
        <w:rPr>
          <w:rFonts w:hint="default" w:ascii="宋体" w:hAnsi="宋体" w:eastAsia="宋体" w:cs="宋体"/>
          <w:color w:val="000000"/>
          <w:kern w:val="2"/>
          <w:sz w:val="21"/>
          <w:szCs w:val="21"/>
          <w:lang w:val="en-US" w:eastAsia="zh-CN" w:bidi="ar-SA"/>
        </w:rPr>
        <w:t>（%）</w:t>
      </w:r>
    </w:p>
    <w:tbl>
      <w:tblPr>
        <w:tblStyle w:val="10"/>
        <w:tblpPr w:leftFromText="180" w:rightFromText="180" w:vertAnchor="text" w:horzAnchor="page" w:tblpX="2025" w:tblpY="412"/>
        <w:tblOverlap w:val="never"/>
        <w:tblW w:w="8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22"/>
        <w:gridCol w:w="1815"/>
        <w:gridCol w:w="177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eastAsia" w:ascii="宋体" w:hAnsi="宋体" w:eastAsia="宋体" w:cs="宋体"/>
                <w:sz w:val="21"/>
                <w:szCs w:val="21"/>
                <w:vertAlign w:val="baseline"/>
                <w:lang w:val="en-US" w:eastAsia="zh-CN"/>
              </w:rPr>
              <w:t>N</w:t>
            </w:r>
            <w:r>
              <w:rPr>
                <w:rFonts w:hint="eastAsia" w:ascii="宋体" w:hAnsi="宋体" w:eastAsia="宋体" w:cs="宋体"/>
                <w:color w:val="000000"/>
                <w:kern w:val="2"/>
                <w:sz w:val="21"/>
                <w:szCs w:val="21"/>
                <w:lang w:val="en-US" w:eastAsia="zh-CN" w:bidi="ar-SA"/>
              </w:rPr>
              <w:t>i</w:t>
            </w:r>
            <w:r>
              <w:rPr>
                <w:rFonts w:hint="default" w:ascii="宋体" w:hAnsi="宋体" w:eastAsia="宋体" w:cs="宋体"/>
                <w:color w:val="000000"/>
                <w:kern w:val="2"/>
                <w:sz w:val="21"/>
                <w:szCs w:val="21"/>
                <w:lang w:val="en-US" w:eastAsia="zh-CN" w:bidi="ar-SA"/>
              </w:rPr>
              <w:t>9</w:t>
            </w:r>
            <w:r>
              <w:rPr>
                <w:rFonts w:hint="default" w:ascii="Times New Roman" w:hAnsi="Times New Roman" w:eastAsia="宋体" w:cs="Times New Roman"/>
                <w:sz w:val="21"/>
                <w:szCs w:val="21"/>
                <w:vertAlign w:val="baseline"/>
                <w:lang w:val="en-US" w:eastAsia="zh-CN"/>
              </w:rPr>
              <w:t>系镍钴酸锂生产企业</w:t>
            </w:r>
          </w:p>
        </w:tc>
        <w:tc>
          <w:tcPr>
            <w:tcW w:w="1222" w:type="dxa"/>
            <w:vMerge w:val="restart"/>
            <w:vAlign w:val="center"/>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产品序号</w:t>
            </w:r>
          </w:p>
        </w:tc>
        <w:tc>
          <w:tcPr>
            <w:tcW w:w="5430" w:type="dxa"/>
            <w:gridSpan w:val="3"/>
            <w:vAlign w:val="center"/>
          </w:tcPr>
          <w:p>
            <w:pPr>
              <w:jc w:val="center"/>
              <w:rPr>
                <w:rFonts w:hint="default" w:ascii="Times New Roman" w:hAnsi="Times New Roman" w:eastAsia="宋体" w:cs="Times New Roman"/>
                <w:sz w:val="21"/>
                <w:szCs w:val="21"/>
                <w:vertAlign w:val="baseline"/>
                <w:lang w:val="en-US"/>
              </w:rPr>
            </w:pPr>
            <w:r>
              <w:rPr>
                <w:rFonts w:hint="default" w:ascii="Times New Roman" w:hAnsi="Times New Roman" w:eastAsia="宋体" w:cs="Times New Roman"/>
                <w:sz w:val="21"/>
                <w:szCs w:val="21"/>
                <w:vertAlign w:val="baseline"/>
                <w:lang w:val="en-US" w:eastAsia="zh-CN"/>
              </w:rPr>
              <w:t>金</w:t>
            </w:r>
            <w:r>
              <w:rPr>
                <w:rFonts w:hint="default" w:ascii="宋体" w:hAnsi="宋体" w:eastAsia="宋体" w:cs="宋体"/>
                <w:color w:val="000000"/>
                <w:kern w:val="2"/>
                <w:sz w:val="21"/>
                <w:szCs w:val="21"/>
                <w:lang w:val="en-US" w:eastAsia="zh-CN" w:bidi="ar-SA"/>
              </w:rPr>
              <w:t>属利用率，%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Merge w:val="continue"/>
            <w:vAlign w:val="center"/>
          </w:tcPr>
          <w:p>
            <w:pPr>
              <w:jc w:val="center"/>
              <w:rPr>
                <w:rFonts w:hint="default" w:ascii="Times New Roman" w:hAnsi="Times New Roman" w:eastAsia="宋体" w:cs="Times New Roman"/>
                <w:sz w:val="21"/>
                <w:szCs w:val="21"/>
                <w:vertAlign w:val="baseline"/>
                <w:lang w:val="en-US" w:eastAsia="zh-CN"/>
              </w:rPr>
            </w:pPr>
          </w:p>
        </w:tc>
        <w:tc>
          <w:tcPr>
            <w:tcW w:w="1222" w:type="dxa"/>
            <w:vMerge w:val="continue"/>
            <w:vAlign w:val="center"/>
          </w:tcPr>
          <w:p>
            <w:pPr>
              <w:jc w:val="center"/>
              <w:rPr>
                <w:rFonts w:hint="default" w:ascii="Times New Roman" w:hAnsi="Times New Roman" w:eastAsia="宋体" w:cs="Times New Roman"/>
                <w:sz w:val="21"/>
                <w:szCs w:val="21"/>
                <w:vertAlign w:val="baseline"/>
              </w:rPr>
            </w:pPr>
          </w:p>
        </w:tc>
        <w:tc>
          <w:tcPr>
            <w:tcW w:w="18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Li</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Ni</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企业A</w:t>
            </w: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1</w:t>
            </w:r>
          </w:p>
        </w:tc>
        <w:tc>
          <w:tcPr>
            <w:tcW w:w="18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99.68</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96.80</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企业B</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1</w:t>
            </w:r>
          </w:p>
        </w:tc>
        <w:tc>
          <w:tcPr>
            <w:tcW w:w="18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99.54</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98.32</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企业C</w:t>
            </w: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1</w:t>
            </w:r>
          </w:p>
        </w:tc>
        <w:tc>
          <w:tcPr>
            <w:tcW w:w="18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99.41</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96.58</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Merge w:val="continue"/>
            <w:vAlign w:val="center"/>
          </w:tcPr>
          <w:p>
            <w:pPr>
              <w:jc w:val="center"/>
              <w:rPr>
                <w:rFonts w:hint="default" w:ascii="Times New Roman" w:hAnsi="Times New Roman" w:eastAsia="宋体" w:cs="Times New Roman"/>
                <w:sz w:val="21"/>
                <w:szCs w:val="21"/>
                <w:vertAlign w:val="baseline"/>
              </w:rPr>
            </w:pP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2</w:t>
            </w:r>
          </w:p>
        </w:tc>
        <w:tc>
          <w:tcPr>
            <w:tcW w:w="18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94.74</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94.11</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企业D</w:t>
            </w: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1</w:t>
            </w:r>
          </w:p>
        </w:tc>
        <w:tc>
          <w:tcPr>
            <w:tcW w:w="18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94.58</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96.90</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kern w:val="2"/>
                <w:sz w:val="21"/>
                <w:szCs w:val="21"/>
                <w:lang w:val="en-US" w:eastAsia="zh-CN" w:bidi="ar-SA"/>
              </w:rPr>
              <w:t>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0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企业E</w:t>
            </w:r>
          </w:p>
        </w:tc>
        <w:tc>
          <w:tcPr>
            <w:tcW w:w="122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81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97.83</w:t>
            </w:r>
          </w:p>
        </w:tc>
        <w:tc>
          <w:tcPr>
            <w:tcW w:w="177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98.03</w:t>
            </w:r>
          </w:p>
        </w:tc>
        <w:tc>
          <w:tcPr>
            <w:tcW w:w="18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98.68</w:t>
            </w:r>
          </w:p>
        </w:tc>
      </w:tr>
    </w:tbl>
    <w:p>
      <w:pPr>
        <w:snapToGrid w:val="0"/>
        <w:spacing w:line="360" w:lineRule="auto"/>
        <w:ind w:firstLine="480" w:firstLineChars="200"/>
        <w:rPr>
          <w:rFonts w:hint="default" w:ascii="Times New Roman" w:hAnsi="Times New Roman" w:eastAsia="宋体" w:cs="Times New Roman"/>
          <w:color w:val="000000"/>
          <w:sz w:val="24"/>
          <w:szCs w:val="24"/>
          <w:lang w:val="en-US" w:eastAsia="zh-CN"/>
        </w:rPr>
      </w:pPr>
    </w:p>
    <w:p>
      <w:pPr>
        <w:snapToGrid w:val="0"/>
        <w:spacing w:line="360" w:lineRule="auto"/>
        <w:ind w:firstLine="480" w:firstLineChars="200"/>
        <w:rPr>
          <w:rFonts w:hint="default" w:ascii="宋体" w:hAnsi="宋体" w:eastAsia="宋体" w:cs="宋体"/>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结合</w:t>
      </w:r>
      <w:r>
        <w:rPr>
          <w:rFonts w:hint="default" w:ascii="宋体" w:hAnsi="宋体" w:eastAsia="宋体" w:cs="宋体"/>
          <w:color w:val="000000"/>
          <w:kern w:val="2"/>
          <w:sz w:val="24"/>
          <w:szCs w:val="24"/>
          <w:lang w:val="en-US" w:eastAsia="zh-CN" w:bidi="ar-SA"/>
        </w:rPr>
        <w:t>表</w:t>
      </w:r>
      <w:r>
        <w:rPr>
          <w:rFonts w:hint="eastAsia" w:ascii="宋体" w:hAnsi="宋体" w:eastAsia="宋体" w:cs="宋体"/>
          <w:color w:val="000000"/>
          <w:kern w:val="2"/>
          <w:sz w:val="24"/>
          <w:szCs w:val="24"/>
          <w:lang w:val="en-US" w:eastAsia="zh-CN" w:bidi="ar-SA"/>
        </w:rPr>
        <w:t>2</w:t>
      </w:r>
      <w:r>
        <w:rPr>
          <w:rFonts w:hint="default" w:ascii="宋体" w:hAnsi="宋体" w:eastAsia="宋体" w:cs="宋体"/>
          <w:color w:val="000000"/>
          <w:kern w:val="2"/>
          <w:sz w:val="24"/>
          <w:szCs w:val="24"/>
          <w:lang w:val="en-US" w:eastAsia="zh-CN" w:bidi="ar-SA"/>
        </w:rPr>
        <w:t>中镍钴酸锂生产企业调研数据，确定Ni9系镍钴酸锂产品绿色产品评价中，金属</w:t>
      </w:r>
      <w:r>
        <w:rPr>
          <w:rFonts w:hint="eastAsia" w:ascii="宋体" w:hAnsi="宋体" w:eastAsia="宋体" w:cs="宋体"/>
          <w:color w:val="000000"/>
          <w:kern w:val="2"/>
          <w:sz w:val="24"/>
          <w:szCs w:val="24"/>
          <w:lang w:val="en-US" w:eastAsia="zh-CN" w:bidi="ar-SA"/>
        </w:rPr>
        <w:t>利用率</w:t>
      </w:r>
      <w:r>
        <w:rPr>
          <w:rFonts w:hint="default" w:ascii="宋体" w:hAnsi="宋体" w:eastAsia="宋体" w:cs="宋体"/>
          <w:color w:val="000000"/>
          <w:kern w:val="2"/>
          <w:sz w:val="24"/>
          <w:szCs w:val="24"/>
          <w:lang w:val="en-US" w:eastAsia="zh-CN" w:bidi="ar-SA"/>
        </w:rPr>
        <w:t>基准值要求为：锂的金属</w:t>
      </w:r>
      <w:r>
        <w:rPr>
          <w:rFonts w:hint="eastAsia" w:ascii="宋体" w:hAnsi="宋体" w:eastAsia="宋体" w:cs="宋体"/>
          <w:color w:val="000000"/>
          <w:kern w:val="2"/>
          <w:sz w:val="24"/>
          <w:szCs w:val="24"/>
          <w:lang w:val="en-US" w:eastAsia="zh-CN" w:bidi="ar-SA"/>
        </w:rPr>
        <w:t>利用率≥95.50%</w:t>
      </w:r>
      <w:r>
        <w:rPr>
          <w:rFonts w:hint="default" w:ascii="宋体" w:hAnsi="宋体" w:eastAsia="宋体" w:cs="宋体"/>
          <w:color w:val="000000"/>
          <w:kern w:val="2"/>
          <w:sz w:val="24"/>
          <w:szCs w:val="24"/>
          <w:lang w:val="en-US" w:eastAsia="zh-CN" w:bidi="ar-SA"/>
        </w:rPr>
        <w:t>，镍的</w:t>
      </w:r>
      <w:r>
        <w:rPr>
          <w:rFonts w:hint="eastAsia" w:ascii="宋体" w:hAnsi="宋体" w:eastAsia="宋体" w:cs="宋体"/>
          <w:color w:val="000000"/>
          <w:kern w:val="2"/>
          <w:sz w:val="24"/>
          <w:szCs w:val="24"/>
          <w:lang w:val="en-US" w:eastAsia="zh-CN" w:bidi="ar-SA"/>
        </w:rPr>
        <w:t>利用率≥96.50%</w:t>
      </w:r>
      <w:r>
        <w:rPr>
          <w:rFonts w:hint="default" w:ascii="宋体" w:hAnsi="宋体" w:eastAsia="宋体" w:cs="宋体"/>
          <w:color w:val="000000"/>
          <w:kern w:val="2"/>
          <w:sz w:val="24"/>
          <w:szCs w:val="24"/>
          <w:lang w:val="en-US" w:eastAsia="zh-CN" w:bidi="ar-SA"/>
        </w:rPr>
        <w:t>，钴的金属</w:t>
      </w:r>
      <w:r>
        <w:rPr>
          <w:rFonts w:hint="eastAsia" w:ascii="宋体" w:hAnsi="宋体" w:eastAsia="宋体" w:cs="宋体"/>
          <w:color w:val="000000"/>
          <w:kern w:val="2"/>
          <w:sz w:val="24"/>
          <w:szCs w:val="24"/>
          <w:lang w:val="en-US" w:eastAsia="zh-CN" w:bidi="ar-SA"/>
        </w:rPr>
        <w:t>利用率≥95.50%</w:t>
      </w:r>
      <w:r>
        <w:rPr>
          <w:rFonts w:hint="default" w:ascii="宋体" w:hAnsi="宋体" w:eastAsia="宋体" w:cs="宋体"/>
          <w:color w:val="000000"/>
          <w:kern w:val="2"/>
          <w:sz w:val="24"/>
          <w:szCs w:val="24"/>
          <w:lang w:val="en-US" w:eastAsia="zh-CN" w:bidi="ar-SA"/>
        </w:rPr>
        <w:t>。</w:t>
      </w:r>
    </w:p>
    <w:p>
      <w:pPr>
        <w:snapToGrid w:val="0"/>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3</w:t>
      </w:r>
      <w:r>
        <w:rPr>
          <w:rFonts w:hint="eastAsia" w:ascii="宋体" w:hAnsi="宋体" w:eastAsia="宋体" w:cs="宋体"/>
          <w:sz w:val="24"/>
          <w:szCs w:val="21"/>
        </w:rPr>
        <w:t>、</w:t>
      </w:r>
      <w:r>
        <w:rPr>
          <w:rFonts w:hint="eastAsia" w:ascii="宋体" w:hAnsi="宋体" w:eastAsia="宋体" w:cs="宋体"/>
          <w:color w:val="000000"/>
          <w:sz w:val="24"/>
          <w:szCs w:val="24"/>
          <w:lang w:val="en-US" w:eastAsia="zh-CN"/>
        </w:rPr>
        <w:t>镍钴酸锂产品生产企业</w:t>
      </w:r>
      <w:r>
        <w:rPr>
          <w:rFonts w:hint="eastAsia" w:ascii="宋体" w:hAnsi="宋体" w:eastAsia="宋体" w:cs="宋体"/>
          <w:sz w:val="24"/>
          <w:szCs w:val="21"/>
        </w:rPr>
        <w:t>单位产品综合能耗</w:t>
      </w:r>
      <w:r>
        <w:rPr>
          <w:rFonts w:hint="eastAsia" w:ascii="宋体" w:hAnsi="宋体" w:eastAsia="宋体" w:cs="宋体"/>
          <w:color w:val="000000"/>
          <w:sz w:val="24"/>
          <w:szCs w:val="24"/>
        </w:rPr>
        <w:t>调研见表</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p>
    <w:p>
      <w:pPr>
        <w:snapToGrid w:val="0"/>
        <w:spacing w:line="360" w:lineRule="auto"/>
        <w:ind w:firstLine="420" w:firstLineChars="200"/>
        <w:jc w:val="center"/>
        <w:rPr>
          <w:rFonts w:hint="default" w:ascii="Times New Roman" w:hAnsi="Times New Roman" w:eastAsia="宋体" w:cs="Times New Roman"/>
          <w:szCs w:val="21"/>
        </w:rPr>
      </w:pPr>
      <w:r>
        <w:rPr>
          <w:rFonts w:hint="eastAsia" w:ascii="宋体" w:hAnsi="宋体" w:eastAsia="宋体" w:cs="宋体"/>
          <w:sz w:val="21"/>
          <w:szCs w:val="21"/>
          <w:lang w:val="en-US" w:eastAsia="zh-CN"/>
        </w:rPr>
        <w:t xml:space="preserve">表3 </w:t>
      </w:r>
      <w:r>
        <w:rPr>
          <w:rFonts w:hint="eastAsia" w:ascii="宋体" w:hAnsi="宋体" w:eastAsia="宋体" w:cs="宋体"/>
          <w:sz w:val="21"/>
          <w:szCs w:val="21"/>
        </w:rPr>
        <w:t xml:space="preserve"> </w:t>
      </w:r>
      <w:r>
        <w:rPr>
          <w:rFonts w:hint="eastAsia" w:ascii="宋体" w:hAnsi="宋体" w:eastAsia="宋体" w:cs="宋体"/>
          <w:szCs w:val="21"/>
        </w:rPr>
        <w:t xml:space="preserve"> </w:t>
      </w:r>
      <w:r>
        <w:rPr>
          <w:rFonts w:hint="eastAsia" w:ascii="宋体" w:hAnsi="宋体" w:eastAsia="宋体" w:cs="宋体"/>
          <w:color w:val="000000"/>
          <w:szCs w:val="24"/>
          <w:lang w:val="en-US" w:eastAsia="zh-CN"/>
        </w:rPr>
        <w:t>Ni9系</w:t>
      </w:r>
      <w:r>
        <w:rPr>
          <w:rFonts w:hint="eastAsia" w:ascii="宋体" w:hAnsi="宋体" w:eastAsia="宋体" w:cs="宋体"/>
          <w:szCs w:val="21"/>
          <w:lang w:val="en-US" w:eastAsia="zh-CN"/>
        </w:rPr>
        <w:t>镍钴酸锂产品</w:t>
      </w:r>
      <w:r>
        <w:rPr>
          <w:rFonts w:hint="eastAsia" w:ascii="宋体" w:hAnsi="宋体" w:eastAsia="宋体" w:cs="宋体"/>
          <w:szCs w:val="21"/>
        </w:rPr>
        <w:t>单位产品综合能耗调研结果</w:t>
      </w:r>
    </w:p>
    <w:tbl>
      <w:tblPr>
        <w:tblStyle w:val="10"/>
        <w:tblW w:w="6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22"/>
        <w:gridCol w:w="3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40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Ni9系镍钴酸锂生产企业</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产品序号</w:t>
            </w:r>
          </w:p>
        </w:tc>
        <w:tc>
          <w:tcPr>
            <w:tcW w:w="3592"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单位产品综合能耗，</w:t>
            </w:r>
            <w:r>
              <w:rPr>
                <w:rFonts w:hint="eastAsia" w:ascii="宋体" w:hAnsi="宋体" w:eastAsia="宋体" w:cs="宋体"/>
                <w:szCs w:val="21"/>
              </w:rPr>
              <w:t>kgce/t产品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p>
            <w:pPr>
              <w:jc w:val="center"/>
              <w:rPr>
                <w:rFonts w:hint="eastAsia" w:ascii="宋体" w:hAnsi="宋体" w:eastAsia="宋体" w:cs="宋体"/>
                <w:sz w:val="21"/>
                <w:szCs w:val="21"/>
                <w:vertAlign w:val="baseline"/>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4" w:type="dxa"/>
            <w:vMerge w:val="restart"/>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企业C</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4" w:type="dxa"/>
            <w:vMerge w:val="continue"/>
            <w:vAlign w:val="center"/>
          </w:tcPr>
          <w:p>
            <w:pPr>
              <w:jc w:val="center"/>
              <w:rPr>
                <w:rFonts w:hint="eastAsia" w:ascii="宋体" w:hAnsi="宋体" w:eastAsia="宋体" w:cs="宋体"/>
                <w:sz w:val="21"/>
                <w:szCs w:val="21"/>
                <w:vertAlign w:val="baseline"/>
              </w:rPr>
            </w:pP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4"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4"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企业E</w:t>
            </w:r>
          </w:p>
        </w:tc>
        <w:tc>
          <w:tcPr>
            <w:tcW w:w="122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92"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3098</w:t>
            </w:r>
          </w:p>
        </w:tc>
      </w:tr>
    </w:tbl>
    <w:p>
      <w:pPr>
        <w:snapToGrid w:val="0"/>
        <w:spacing w:line="360" w:lineRule="auto"/>
        <w:ind w:firstLine="480" w:firstLineChars="200"/>
        <w:rPr>
          <w:rFonts w:hint="default" w:ascii="Times New Roman" w:hAnsi="Times New Roman" w:eastAsia="宋体" w:cs="Times New Roman"/>
          <w:color w:val="000000"/>
          <w:sz w:val="24"/>
          <w:szCs w:val="24"/>
          <w:lang w:val="en-US" w:eastAsia="zh-CN"/>
        </w:rPr>
      </w:pPr>
    </w:p>
    <w:p>
      <w:pPr>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表3中镍钴酸锂生产企业调研数据，</w:t>
      </w:r>
      <w:r>
        <w:rPr>
          <w:rFonts w:hint="eastAsia" w:ascii="宋体" w:hAnsi="宋体" w:eastAsia="宋体" w:cs="宋体"/>
          <w:sz w:val="24"/>
          <w:szCs w:val="21"/>
        </w:rPr>
        <w:t>单位产品综合能耗</w:t>
      </w:r>
      <w:r>
        <w:rPr>
          <w:rFonts w:hint="eastAsia" w:ascii="宋体" w:hAnsi="宋体" w:eastAsia="宋体" w:cs="宋体"/>
          <w:sz w:val="24"/>
          <w:szCs w:val="21"/>
          <w:lang w:val="en-US" w:eastAsia="zh-CN"/>
        </w:rPr>
        <w:t>差异来源于烧结工序中耗氧量不同，以及烧结温度不同导致用电量存在差异。结合镍钴酸锂生产企业反馈建议，</w:t>
      </w:r>
      <w:r>
        <w:rPr>
          <w:rFonts w:hint="eastAsia" w:ascii="宋体" w:hAnsi="宋体" w:eastAsia="宋体" w:cs="宋体"/>
          <w:color w:val="000000"/>
          <w:sz w:val="24"/>
          <w:szCs w:val="24"/>
          <w:lang w:val="en-US" w:eastAsia="zh-CN"/>
        </w:rPr>
        <w:t xml:space="preserve">确定Ni9系镍钴酸锂产品单位产品综合能耗基准值≤3400 </w:t>
      </w:r>
      <w:r>
        <w:rPr>
          <w:rFonts w:hint="eastAsia" w:ascii="宋体" w:hAnsi="宋体" w:eastAsia="宋体" w:cs="宋体"/>
          <w:color w:val="000000"/>
          <w:sz w:val="24"/>
          <w:szCs w:val="24"/>
        </w:rPr>
        <w:t>kgce/t</w:t>
      </w:r>
      <w:r>
        <w:rPr>
          <w:rFonts w:hint="eastAsia" w:ascii="宋体" w:hAnsi="宋体" w:eastAsia="宋体" w:cs="宋体"/>
          <w:color w:val="000000"/>
          <w:sz w:val="24"/>
          <w:szCs w:val="24"/>
          <w:lang w:val="en-US" w:eastAsia="zh-CN"/>
        </w:rPr>
        <w:t>镍钴酸锂。</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color w:val="000000"/>
          <w:sz w:val="24"/>
          <w:szCs w:val="24"/>
          <w:lang w:val="en-US" w:eastAsia="zh-CN"/>
        </w:rPr>
        <w:t>镍钴酸锂产品生产企业</w:t>
      </w:r>
      <w:r>
        <w:rPr>
          <w:rFonts w:hint="eastAsia" w:ascii="宋体" w:hAnsi="宋体" w:eastAsia="宋体" w:cs="宋体"/>
          <w:sz w:val="24"/>
          <w:szCs w:val="21"/>
        </w:rPr>
        <w:t>产品</w:t>
      </w:r>
      <w:r>
        <w:rPr>
          <w:rFonts w:hint="eastAsia" w:ascii="宋体" w:hAnsi="宋体" w:eastAsia="宋体" w:cs="宋体"/>
          <w:sz w:val="24"/>
          <w:szCs w:val="21"/>
          <w:lang w:val="en-US" w:eastAsia="zh-CN"/>
        </w:rPr>
        <w:t>磁性异物</w:t>
      </w:r>
      <w:r>
        <w:rPr>
          <w:rFonts w:hint="eastAsia" w:ascii="宋体" w:hAnsi="宋体" w:eastAsia="宋体" w:cs="宋体"/>
          <w:color w:val="000000"/>
          <w:sz w:val="24"/>
          <w:szCs w:val="24"/>
        </w:rPr>
        <w:t>调研见表</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p>
    <w:p>
      <w:pPr>
        <w:snapToGrid w:val="0"/>
        <w:spacing w:line="360" w:lineRule="auto"/>
        <w:ind w:firstLine="420" w:firstLineChars="200"/>
        <w:jc w:val="center"/>
        <w:rPr>
          <w:rFonts w:hint="default" w:ascii="Times New Roman" w:hAnsi="Times New Roman" w:eastAsia="宋体" w:cs="Times New Roman"/>
          <w:szCs w:val="21"/>
        </w:rPr>
      </w:pPr>
      <w:r>
        <w:rPr>
          <w:rFonts w:hint="eastAsia" w:ascii="宋体" w:hAnsi="宋体" w:eastAsia="宋体" w:cs="宋体"/>
          <w:szCs w:val="21"/>
        </w:rPr>
        <w:t>表</w:t>
      </w:r>
      <w:r>
        <w:rPr>
          <w:rFonts w:hint="eastAsia" w:ascii="宋体" w:hAnsi="宋体" w:eastAsia="宋体" w:cs="宋体"/>
          <w:szCs w:val="21"/>
          <w:lang w:val="en-US" w:eastAsia="zh-CN"/>
        </w:rPr>
        <w:t>4</w:t>
      </w:r>
      <w:r>
        <w:rPr>
          <w:rFonts w:hint="eastAsia" w:ascii="宋体" w:hAnsi="宋体" w:eastAsia="宋体" w:cs="宋体"/>
          <w:szCs w:val="21"/>
        </w:rPr>
        <w:t xml:space="preserve">   </w:t>
      </w:r>
      <w:r>
        <w:rPr>
          <w:rFonts w:hint="eastAsia" w:ascii="宋体" w:hAnsi="宋体" w:eastAsia="宋体" w:cs="宋体"/>
          <w:color w:val="000000"/>
          <w:szCs w:val="24"/>
          <w:lang w:val="en-US" w:eastAsia="zh-CN"/>
        </w:rPr>
        <w:t>Ni9系</w:t>
      </w:r>
      <w:r>
        <w:rPr>
          <w:rFonts w:hint="eastAsia" w:ascii="宋体" w:hAnsi="宋体" w:eastAsia="宋体" w:cs="宋体"/>
          <w:szCs w:val="21"/>
          <w:lang w:val="en-US" w:eastAsia="zh-CN"/>
        </w:rPr>
        <w:t>镍钴酸锂产品</w:t>
      </w:r>
      <w:r>
        <w:rPr>
          <w:rFonts w:hint="eastAsia" w:ascii="宋体" w:hAnsi="宋体" w:eastAsia="宋体" w:cs="宋体"/>
          <w:szCs w:val="21"/>
        </w:rPr>
        <w:t>磁性异物含量调研</w:t>
      </w:r>
      <w:r>
        <w:rPr>
          <w:rFonts w:hint="default" w:ascii="Times New Roman" w:hAnsi="Times New Roman" w:eastAsia="宋体" w:cs="Times New Roman"/>
          <w:szCs w:val="21"/>
        </w:rPr>
        <w:t>结果</w:t>
      </w:r>
    </w:p>
    <w:tbl>
      <w:tblPr>
        <w:tblStyle w:val="10"/>
        <w:tblW w:w="6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455"/>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Ni9系镍钴酸锂生产企业</w:t>
            </w:r>
          </w:p>
        </w:tc>
        <w:tc>
          <w:tcPr>
            <w:tcW w:w="14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产品序号</w:t>
            </w:r>
          </w:p>
        </w:tc>
        <w:tc>
          <w:tcPr>
            <w:tcW w:w="3033"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磁性异物（质量分数，%）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企业A</w:t>
            </w:r>
          </w:p>
        </w:tc>
        <w:tc>
          <w:tcPr>
            <w:tcW w:w="14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3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企业B</w:t>
            </w:r>
          </w:p>
          <w:p>
            <w:pPr>
              <w:jc w:val="center"/>
              <w:rPr>
                <w:rFonts w:hint="eastAsia" w:ascii="宋体" w:hAnsi="宋体" w:eastAsia="宋体" w:cs="宋体"/>
                <w:sz w:val="21"/>
                <w:szCs w:val="21"/>
                <w:vertAlign w:val="baseline"/>
              </w:rPr>
            </w:pPr>
          </w:p>
        </w:tc>
        <w:tc>
          <w:tcPr>
            <w:tcW w:w="14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3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0" w:type="dxa"/>
            <w:vMerge w:val="restart"/>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企业C</w:t>
            </w:r>
          </w:p>
        </w:tc>
        <w:tc>
          <w:tcPr>
            <w:tcW w:w="14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3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0" w:type="dxa"/>
            <w:vMerge w:val="continue"/>
            <w:vAlign w:val="center"/>
          </w:tcPr>
          <w:p>
            <w:pPr>
              <w:jc w:val="center"/>
              <w:rPr>
                <w:rFonts w:hint="eastAsia" w:ascii="宋体" w:hAnsi="宋体" w:eastAsia="宋体" w:cs="宋体"/>
                <w:sz w:val="21"/>
                <w:szCs w:val="21"/>
                <w:vertAlign w:val="baseline"/>
              </w:rPr>
            </w:pPr>
          </w:p>
        </w:tc>
        <w:tc>
          <w:tcPr>
            <w:tcW w:w="14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03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0"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企业D</w:t>
            </w:r>
          </w:p>
        </w:tc>
        <w:tc>
          <w:tcPr>
            <w:tcW w:w="14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3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企业E</w:t>
            </w:r>
          </w:p>
        </w:tc>
        <w:tc>
          <w:tcPr>
            <w:tcW w:w="1455"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03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≤0.000 005 0%</w:t>
            </w:r>
          </w:p>
        </w:tc>
      </w:tr>
    </w:tbl>
    <w:p>
      <w:pPr>
        <w:pStyle w:val="2"/>
        <w:ind w:left="0" w:leftChars="0" w:firstLine="0" w:firstLineChars="0"/>
        <w:rPr>
          <w:rFonts w:hint="default" w:ascii="Times New Roman" w:hAnsi="Times New Roman" w:cs="Times New Roman"/>
        </w:rPr>
      </w:pPr>
    </w:p>
    <w:p>
      <w:pPr>
        <w:snapToGrid w:val="0"/>
        <w:spacing w:before="156" w:beforeLines="5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现行的镍钴酸锂产品标准YS/T </w:t>
      </w:r>
      <w:r>
        <w:rPr>
          <w:rFonts w:hint="eastAsia" w:ascii="宋体" w:hAnsi="宋体" w:eastAsia="宋体" w:cs="宋体"/>
          <w:color w:val="000000"/>
          <w:sz w:val="24"/>
          <w:szCs w:val="24"/>
          <w:lang w:val="en-US" w:eastAsia="zh-CN"/>
        </w:rPr>
        <w:t>XXXX</w:t>
      </w:r>
      <w:r>
        <w:rPr>
          <w:rFonts w:hint="eastAsia" w:ascii="宋体" w:hAnsi="宋体" w:eastAsia="宋体" w:cs="宋体"/>
          <w:color w:val="000000"/>
          <w:sz w:val="24"/>
          <w:szCs w:val="24"/>
        </w:rPr>
        <w:t>《镍钴酸锂》中规定磁性异物含量应不大于0.000 005 0%，</w:t>
      </w:r>
      <w:r>
        <w:rPr>
          <w:rFonts w:hint="eastAsia" w:ascii="宋体" w:hAnsi="宋体" w:eastAsia="宋体" w:cs="宋体"/>
          <w:color w:val="000000"/>
          <w:sz w:val="24"/>
          <w:szCs w:val="24"/>
          <w:lang w:val="en-US" w:eastAsia="zh-CN"/>
        </w:rPr>
        <w:t>结合镍钴酸锂生产企业调研数据中磁性异物均满足产品标准要求，因此确定</w:t>
      </w:r>
      <w:r>
        <w:rPr>
          <w:rFonts w:hint="eastAsia" w:ascii="宋体" w:hAnsi="宋体" w:eastAsia="宋体" w:cs="宋体"/>
          <w:sz w:val="24"/>
          <w:szCs w:val="24"/>
        </w:rPr>
        <w:t>磁性异物含量</w:t>
      </w:r>
      <w:r>
        <w:rPr>
          <w:rFonts w:hint="eastAsia" w:ascii="宋体" w:hAnsi="宋体" w:eastAsia="宋体" w:cs="宋体"/>
          <w:sz w:val="24"/>
          <w:szCs w:val="24"/>
          <w:lang w:val="en-US" w:eastAsia="zh-CN"/>
        </w:rPr>
        <w:t>基准值为≤</w:t>
      </w:r>
      <w:r>
        <w:rPr>
          <w:rFonts w:hint="eastAsia" w:ascii="宋体" w:hAnsi="宋体" w:eastAsia="宋体" w:cs="宋体"/>
          <w:color w:val="000000"/>
          <w:sz w:val="24"/>
          <w:szCs w:val="24"/>
        </w:rPr>
        <w:t>0.000 005 0%。</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eastAsia="宋体" w:cs="Times New Roman"/>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w:t>
      </w:r>
      <w:r>
        <w:rPr>
          <w:rFonts w:hint="default" w:ascii="宋体" w:hAnsi="宋体" w:eastAsia="宋体" w:cs="宋体"/>
          <w:color w:val="000000"/>
          <w:kern w:val="2"/>
          <w:sz w:val="24"/>
          <w:szCs w:val="24"/>
          <w:lang w:val="en-US" w:eastAsia="zh-CN" w:bidi="ar-SA"/>
        </w:rPr>
        <w:t>、根据调研镍钴酸锂生产企业数据反馈，企业生产镍钴酸锂产品产生废气中的粉尘、镍及其化合物、钴及其化合物满足国家和地方标准；符合REACH要求及RoHS指令限值</w:t>
      </w:r>
      <w:r>
        <w:rPr>
          <w:rFonts w:hint="default" w:ascii="Times New Roman" w:hAnsi="Times New Roman" w:eastAsia="宋体" w:cs="Times New Roman"/>
          <w:color w:val="000000"/>
          <w:kern w:val="2"/>
          <w:sz w:val="24"/>
          <w:szCs w:val="24"/>
          <w:lang w:val="en-US" w:eastAsia="zh-CN" w:bidi="ar-SA"/>
        </w:rPr>
        <w:t>要求。</w:t>
      </w:r>
    </w:p>
    <w:p>
      <w:pPr>
        <w:snapToGrid w:val="0"/>
        <w:spacing w:before="156" w:beforeLines="50" w:line="360" w:lineRule="auto"/>
        <w:ind w:firstLine="480" w:firstLineChars="200"/>
        <w:rPr>
          <w:rFonts w:hint="default" w:ascii="Times New Roman" w:hAnsi="Times New Roman" w:eastAsia="黑体" w:cs="Times New Roman"/>
          <w:b w:val="0"/>
          <w:bCs/>
          <w:sz w:val="24"/>
          <w:szCs w:val="24"/>
        </w:rPr>
      </w:pPr>
      <w:r>
        <w:rPr>
          <w:rFonts w:hint="default" w:ascii="Times New Roman" w:hAnsi="Times New Roman" w:eastAsia="宋体" w:cs="Times New Roman"/>
          <w:color w:val="000000"/>
          <w:sz w:val="24"/>
          <w:szCs w:val="24"/>
        </w:rPr>
        <w:t>标准中其他部分的内容主要参照已</w:t>
      </w:r>
      <w:r>
        <w:rPr>
          <w:rFonts w:hint="default" w:ascii="Times New Roman" w:hAnsi="Times New Roman" w:eastAsia="宋体" w:cs="Times New Roman"/>
          <w:color w:val="000000"/>
          <w:sz w:val="24"/>
          <w:szCs w:val="24"/>
          <w:lang w:val="en-US" w:eastAsia="zh-CN"/>
        </w:rPr>
        <w:t>发布实施</w:t>
      </w:r>
      <w:r>
        <w:rPr>
          <w:rFonts w:hint="default" w:ascii="Times New Roman" w:hAnsi="Times New Roman" w:eastAsia="宋体" w:cs="Times New Roman"/>
          <w:color w:val="000000"/>
          <w:sz w:val="24"/>
          <w:szCs w:val="24"/>
        </w:rPr>
        <w:t>的中国有色金属工业协会团体标准《绿色设计产品评价技术规范 镍钴锰酸锂》、《绿色设计产品评价技术规范 镍钴锰氢氧化物》，</w:t>
      </w:r>
      <w:r>
        <w:rPr>
          <w:rFonts w:hint="default" w:ascii="Times New Roman" w:hAnsi="Times New Roman" w:eastAsia="宋体" w:cs="Times New Roman"/>
          <w:color w:val="000000"/>
          <w:sz w:val="24"/>
          <w:szCs w:val="24"/>
          <w:lang w:val="en-US" w:eastAsia="zh-CN"/>
        </w:rPr>
        <w:t>以及报批的</w:t>
      </w:r>
      <w:r>
        <w:rPr>
          <w:rFonts w:hint="default" w:ascii="Times New Roman" w:hAnsi="Times New Roman" w:eastAsia="宋体" w:cs="Times New Roman"/>
          <w:color w:val="000000"/>
          <w:sz w:val="24"/>
          <w:szCs w:val="24"/>
        </w:rPr>
        <w:t>中国有色金属工业协会团体标准《绿色设计产品评价技术规范 镍钴</w:t>
      </w:r>
      <w:r>
        <w:rPr>
          <w:rFonts w:hint="default" w:ascii="Times New Roman" w:hAnsi="Times New Roman" w:eastAsia="宋体" w:cs="Times New Roman"/>
          <w:color w:val="000000"/>
          <w:sz w:val="24"/>
          <w:szCs w:val="24"/>
          <w:lang w:val="en-US" w:eastAsia="zh-CN"/>
        </w:rPr>
        <w:t>铝</w:t>
      </w:r>
      <w:r>
        <w:rPr>
          <w:rFonts w:hint="default" w:ascii="Times New Roman" w:hAnsi="Times New Roman" w:eastAsia="宋体" w:cs="Times New Roman"/>
          <w:color w:val="000000"/>
          <w:sz w:val="24"/>
          <w:szCs w:val="24"/>
        </w:rPr>
        <w:t>酸锂》、《绿色设计产品评价技术规范 镍钴</w:t>
      </w:r>
      <w:r>
        <w:rPr>
          <w:rFonts w:hint="default" w:ascii="Times New Roman" w:hAnsi="Times New Roman" w:eastAsia="宋体" w:cs="Times New Roman"/>
          <w:color w:val="000000"/>
          <w:sz w:val="24"/>
          <w:szCs w:val="24"/>
          <w:lang w:val="en-US" w:eastAsia="zh-CN"/>
        </w:rPr>
        <w:t>铝</w:t>
      </w:r>
      <w:r>
        <w:rPr>
          <w:rFonts w:hint="default" w:ascii="Times New Roman" w:hAnsi="Times New Roman" w:eastAsia="宋体" w:cs="Times New Roman"/>
          <w:color w:val="000000"/>
          <w:sz w:val="24"/>
          <w:szCs w:val="24"/>
        </w:rPr>
        <w:t>氢氧化物》</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根据镍钴酸锂产品和生产工艺的特点进行相应修改。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四、采用国际标准和国外先进标准的程度</w:t>
      </w:r>
    </w:p>
    <w:p>
      <w:pPr>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没有查找到国内外</w:t>
      </w:r>
      <w:r>
        <w:rPr>
          <w:rFonts w:hint="default" w:ascii="Times New Roman" w:hAnsi="Times New Roman" w:cs="Times New Roman"/>
          <w:kern w:val="2"/>
          <w:sz w:val="24"/>
          <w:szCs w:val="22"/>
          <w:lang w:val="en-US" w:eastAsia="zh-CN" w:bidi="ar-SA"/>
        </w:rPr>
        <w:t>镍钴酸锂</w:t>
      </w:r>
      <w:r>
        <w:rPr>
          <w:rFonts w:hint="default" w:ascii="Times New Roman" w:hAnsi="Times New Roman" w:cs="Times New Roman" w:eastAsiaTheme="minorEastAsia"/>
          <w:kern w:val="2"/>
          <w:sz w:val="24"/>
          <w:szCs w:val="22"/>
          <w:lang w:val="en-US" w:eastAsia="zh-CN" w:bidi="ar-SA"/>
        </w:rPr>
        <w:t>绿色设计产品评价技术规范</w:t>
      </w:r>
      <w:r>
        <w:rPr>
          <w:rFonts w:hint="default" w:ascii="Times New Roman" w:hAnsi="Times New Roman" w:eastAsia="宋体" w:cs="Times New Roman"/>
          <w:sz w:val="24"/>
          <w:szCs w:val="24"/>
        </w:rPr>
        <w:t>的相关标准，故没有相应的国内外标准可采用。</w:t>
      </w:r>
    </w:p>
    <w:p>
      <w:pPr>
        <w:autoSpaceDE w:val="0"/>
        <w:autoSpaceDN w:val="0"/>
        <w:snapToGrid w:val="0"/>
        <w:spacing w:line="360" w:lineRule="auto"/>
        <w:ind w:firstLine="480" w:firstLineChars="200"/>
        <w:jc w:val="left"/>
        <w:rPr>
          <w:rFonts w:hint="default" w:ascii="宋体" w:hAnsi="宋体" w:eastAsia="宋体" w:cs="宋体"/>
          <w:color w:val="000000"/>
          <w:sz w:val="24"/>
          <w:szCs w:val="24"/>
        </w:rPr>
      </w:pPr>
      <w:r>
        <w:rPr>
          <w:rFonts w:hint="default" w:ascii="Times New Roman" w:hAnsi="Times New Roman" w:eastAsia="宋体" w:cs="Times New Roman"/>
          <w:color w:val="000000"/>
          <w:sz w:val="24"/>
          <w:szCs w:val="24"/>
        </w:rPr>
        <w:t>本标准主要参考了《绿色设计产品评价技术规范 镍钴锰酸锂》、《绿色设计产品评价技术规范 镍钴锰氢氧化物》、《绿色设计产品评价技术规范 镍钴</w:t>
      </w:r>
      <w:r>
        <w:rPr>
          <w:rFonts w:hint="default" w:ascii="Times New Roman" w:hAnsi="Times New Roman" w:eastAsia="宋体" w:cs="Times New Roman"/>
          <w:color w:val="000000"/>
          <w:sz w:val="24"/>
          <w:szCs w:val="24"/>
          <w:lang w:val="en-US" w:eastAsia="zh-CN"/>
        </w:rPr>
        <w:t>铝</w:t>
      </w:r>
      <w:r>
        <w:rPr>
          <w:rFonts w:hint="default" w:ascii="Times New Roman" w:hAnsi="Times New Roman" w:eastAsia="宋体" w:cs="Times New Roman"/>
          <w:color w:val="000000"/>
          <w:sz w:val="24"/>
          <w:szCs w:val="24"/>
        </w:rPr>
        <w:t>酸锂》、《绿</w:t>
      </w:r>
      <w:r>
        <w:rPr>
          <w:rFonts w:hint="default" w:ascii="宋体" w:hAnsi="宋体" w:eastAsia="宋体" w:cs="宋体"/>
          <w:color w:val="000000"/>
          <w:sz w:val="24"/>
          <w:szCs w:val="24"/>
        </w:rPr>
        <w:t>色设计产品评价技术规范 镍钴</w:t>
      </w:r>
      <w:r>
        <w:rPr>
          <w:rFonts w:hint="default" w:ascii="宋体" w:hAnsi="宋体" w:eastAsia="宋体" w:cs="宋体"/>
          <w:color w:val="000000"/>
          <w:sz w:val="24"/>
          <w:szCs w:val="24"/>
          <w:lang w:val="en-US" w:eastAsia="zh-CN"/>
        </w:rPr>
        <w:t>铝</w:t>
      </w:r>
      <w:r>
        <w:rPr>
          <w:rFonts w:hint="default" w:ascii="宋体" w:hAnsi="宋体" w:eastAsia="宋体" w:cs="宋体"/>
          <w:color w:val="000000"/>
          <w:sz w:val="24"/>
          <w:szCs w:val="24"/>
        </w:rPr>
        <w:t>氢氧化物》、GB/T 32161《生态设计产品评价通则》、GB/T 12348《工业企业厂界环境噪声排放标准》、GB/T 17167《用能单位能源计量器具配备和管理通则》、GB 18597《危险废物贮存污染控制标准》、GB/T 19001《质量管理体系 要求》、GB/T 23331《能源管理体系 要求》、GB/T 24001《环境管理体系 要求及使用指南》、GB/T 24040《环境管理 生命周期评价 原则与框架》、GB/T 24044《环境管理 生命周期评价 要求与指南》、GB/T 24533—2019《锂离子电池石墨类负极材料》、GB/T 28001《职业健康安全管理体系 规范》、GB/T 33000《企业安全生产标准化基本规范》。编制内容以GB/T 33761-2017《绿色产品评价通则》为基本框架，参照已发布的绿色产品评价相关的国家、行业及团体标准。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五、与有关的现行法律、法规和强制性国家标准及相关标准协调配套情况</w:t>
      </w:r>
    </w:p>
    <w:p>
      <w:pPr>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本标准与相关法律、法规、规章及相关标准协调一致，没有冲突。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六、重大分歧意见的出来经过和依据</w:t>
      </w:r>
    </w:p>
    <w:p>
      <w:pPr>
        <w:spacing w:line="360" w:lineRule="auto"/>
        <w:ind w:firstLine="48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无</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七、标准作为强制性或推荐性标准的建议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建议该标准作为</w:t>
      </w:r>
      <w:r>
        <w:rPr>
          <w:rFonts w:hint="default" w:ascii="Times New Roman" w:hAnsi="Times New Roman" w:eastAsia="宋体" w:cs="Times New Roman"/>
          <w:sz w:val="24"/>
          <w:szCs w:val="24"/>
          <w:lang w:val="en-US" w:eastAsia="zh-CN"/>
        </w:rPr>
        <w:t>团体标准发布实施</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八、贯彻标准的要求和措施建议，包括（组织措施、技术措施、过渡办法）</w:t>
      </w:r>
    </w:p>
    <w:p>
      <w:pPr>
        <w:spacing w:line="360" w:lineRule="auto"/>
        <w:ind w:firstLine="480"/>
        <w:rPr>
          <w:rFonts w:hint="default" w:ascii="Times New Roman" w:hAnsi="Times New Roman" w:eastAsia="宋体" w:cs="Times New Roman"/>
          <w:sz w:val="22"/>
          <w:szCs w:val="28"/>
        </w:rPr>
      </w:pPr>
      <w:r>
        <w:rPr>
          <w:rFonts w:hint="default" w:ascii="Times New Roman" w:hAnsi="Times New Roman" w:eastAsia="宋体" w:cs="Times New Roman"/>
          <w:sz w:val="24"/>
          <w:szCs w:val="24"/>
        </w:rPr>
        <w:t>由于本标准首次制定，没有特殊要求。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九、废止现有有关标准的建议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十、其他应予说明的事项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sz w:val="24"/>
          <w:szCs w:val="28"/>
        </w:rPr>
      </w:pPr>
    </w:p>
    <w:p>
      <w:pPr>
        <w:spacing w:line="360" w:lineRule="auto"/>
        <w:ind w:firstLine="2640" w:firstLineChars="11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w:t>
      </w:r>
      <w:r>
        <w:rPr>
          <w:rFonts w:hint="default" w:ascii="Times New Roman" w:hAnsi="Times New Roman" w:cs="Times New Roman"/>
          <w:color w:val="000000"/>
          <w:sz w:val="24"/>
          <w:szCs w:val="24"/>
        </w:rPr>
        <w:t>绿色设计产品评价技术规范 镍钴酸锂</w:t>
      </w:r>
      <w:r>
        <w:rPr>
          <w:rFonts w:hint="default" w:ascii="Times New Roman" w:hAnsi="Times New Roman" w:eastAsia="宋体" w:cs="Times New Roman"/>
          <w:sz w:val="24"/>
          <w:szCs w:val="28"/>
        </w:rPr>
        <w:t>》标准编制组</w:t>
      </w:r>
    </w:p>
    <w:p>
      <w:pPr>
        <w:spacing w:line="360" w:lineRule="auto"/>
        <w:ind w:firstLine="480"/>
        <w:rPr>
          <w:rFonts w:hint="default" w:ascii="宋体" w:hAnsi="宋体" w:eastAsia="宋体" w:cs="宋体"/>
          <w:color w:val="000000"/>
          <w:sz w:val="24"/>
          <w:szCs w:val="24"/>
          <w:lang w:val="en-US" w:eastAsia="zh-CN"/>
        </w:rPr>
      </w:pPr>
      <w:r>
        <w:rPr>
          <w:rFonts w:hint="default" w:ascii="Times New Roman" w:hAnsi="Times New Roman" w:eastAsia="宋体" w:cs="Times New Roman"/>
          <w:sz w:val="24"/>
          <w:szCs w:val="28"/>
        </w:rPr>
        <w:t xml:space="preserve">                                   </w:t>
      </w:r>
      <w:r>
        <w:rPr>
          <w:rFonts w:hint="default" w:ascii="Times New Roman" w:hAnsi="Times New Roman" w:eastAsia="宋体" w:cs="Times New Roman"/>
          <w:sz w:val="24"/>
          <w:szCs w:val="28"/>
          <w:lang w:val="en-US" w:eastAsia="zh-CN"/>
        </w:rPr>
        <w:t xml:space="preserve"> </w:t>
      </w:r>
      <w:r>
        <w:rPr>
          <w:rFonts w:hint="default" w:ascii="宋体" w:hAnsi="宋体" w:eastAsia="宋体" w:cs="宋体"/>
          <w:color w:val="000000"/>
          <w:sz w:val="24"/>
          <w:szCs w:val="24"/>
          <w:lang w:val="en-US" w:eastAsia="zh-CN"/>
        </w:rPr>
        <w:t xml:space="preserve"> </w:t>
      </w:r>
      <w:r>
        <w:rPr>
          <w:rFonts w:hint="default" w:ascii="宋体" w:hAnsi="宋体" w:eastAsia="宋体" w:cs="宋体"/>
          <w:color w:val="000000"/>
          <w:sz w:val="24"/>
          <w:szCs w:val="24"/>
        </w:rPr>
        <w:t>20</w:t>
      </w:r>
      <w:r>
        <w:rPr>
          <w:rFonts w:hint="default" w:ascii="宋体" w:hAnsi="宋体" w:eastAsia="宋体" w:cs="宋体"/>
          <w:color w:val="000000"/>
          <w:sz w:val="24"/>
          <w:szCs w:val="24"/>
          <w:lang w:val="en-US" w:eastAsia="zh-CN"/>
        </w:rPr>
        <w:t>2</w:t>
      </w:r>
      <w:r>
        <w:rPr>
          <w:rFonts w:hint="eastAsia" w:ascii="宋体" w:hAnsi="宋体" w:eastAsia="宋体" w:cs="宋体"/>
          <w:color w:val="000000"/>
          <w:sz w:val="24"/>
          <w:szCs w:val="24"/>
          <w:lang w:val="en-US" w:eastAsia="zh-CN"/>
        </w:rPr>
        <w:t>2</w:t>
      </w:r>
      <w:r>
        <w:rPr>
          <w:rFonts w:hint="default" w:ascii="宋体" w:hAnsi="宋体" w:eastAsia="宋体" w:cs="宋体"/>
          <w:color w:val="000000"/>
          <w:sz w:val="24"/>
          <w:szCs w:val="24"/>
        </w:rPr>
        <w:t>年</w:t>
      </w:r>
      <w:r>
        <w:rPr>
          <w:rFonts w:hint="eastAsia" w:ascii="宋体" w:hAnsi="宋体" w:eastAsia="宋体" w:cs="宋体"/>
          <w:color w:val="000000"/>
          <w:sz w:val="24"/>
          <w:szCs w:val="24"/>
          <w:lang w:val="en-US" w:eastAsia="zh-CN"/>
        </w:rPr>
        <w:t>4月</w:t>
      </w: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kern w:val="0"/>
          <w:sz w:val="32"/>
          <w:szCs w:val="21"/>
        </w:rPr>
      </w:pP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kern w:val="0"/>
          <w:sz w:val="32"/>
          <w:szCs w:val="21"/>
        </w:rPr>
      </w:pP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kern w:val="0"/>
          <w:sz w:val="32"/>
          <w:szCs w:val="21"/>
        </w:rPr>
      </w:pP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kern w:val="0"/>
          <w:sz w:val="32"/>
          <w:szCs w:val="21"/>
        </w:rPr>
      </w:pP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kern w:val="0"/>
          <w:sz w:val="32"/>
          <w:szCs w:val="21"/>
        </w:rPr>
      </w:pPr>
    </w:p>
    <w:p>
      <w:pPr>
        <w:pStyle w:val="6"/>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黑体" w:cs="Times New Roman"/>
          <w:kern w:val="0"/>
          <w:sz w:val="32"/>
          <w:szCs w:val="21"/>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b w:val="0"/>
          <w:bCs/>
          <w:sz w:val="24"/>
          <w:szCs w:val="24"/>
        </w:r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010DC"/>
    <w:rsid w:val="00725F6B"/>
    <w:rsid w:val="00A06E55"/>
    <w:rsid w:val="016553F1"/>
    <w:rsid w:val="01B042FF"/>
    <w:rsid w:val="01D56AF7"/>
    <w:rsid w:val="02513953"/>
    <w:rsid w:val="0292353D"/>
    <w:rsid w:val="03D97811"/>
    <w:rsid w:val="03F81B19"/>
    <w:rsid w:val="04A844D6"/>
    <w:rsid w:val="0531346A"/>
    <w:rsid w:val="05535CDF"/>
    <w:rsid w:val="05DA2FAD"/>
    <w:rsid w:val="07270BEE"/>
    <w:rsid w:val="07C25D83"/>
    <w:rsid w:val="0802758E"/>
    <w:rsid w:val="084E5D81"/>
    <w:rsid w:val="08FC42B9"/>
    <w:rsid w:val="0B0F3292"/>
    <w:rsid w:val="0B2C6F3B"/>
    <w:rsid w:val="0B7A42A4"/>
    <w:rsid w:val="0B8D7CE7"/>
    <w:rsid w:val="0C2E168A"/>
    <w:rsid w:val="0CC21911"/>
    <w:rsid w:val="0CF77A0F"/>
    <w:rsid w:val="0D355C04"/>
    <w:rsid w:val="0DAA1B81"/>
    <w:rsid w:val="0DC33AD5"/>
    <w:rsid w:val="0DD14A50"/>
    <w:rsid w:val="0F0771CD"/>
    <w:rsid w:val="0F0A6BBB"/>
    <w:rsid w:val="109D44C9"/>
    <w:rsid w:val="10F10508"/>
    <w:rsid w:val="11AB77EB"/>
    <w:rsid w:val="12B65F19"/>
    <w:rsid w:val="12D71933"/>
    <w:rsid w:val="12EC49FF"/>
    <w:rsid w:val="155D53AA"/>
    <w:rsid w:val="156515C1"/>
    <w:rsid w:val="15825126"/>
    <w:rsid w:val="158E5BBB"/>
    <w:rsid w:val="15D3464A"/>
    <w:rsid w:val="15EC51AC"/>
    <w:rsid w:val="16730E97"/>
    <w:rsid w:val="169E277C"/>
    <w:rsid w:val="16BD4BE4"/>
    <w:rsid w:val="16C2435B"/>
    <w:rsid w:val="178657DC"/>
    <w:rsid w:val="179252C4"/>
    <w:rsid w:val="181164BE"/>
    <w:rsid w:val="182826B5"/>
    <w:rsid w:val="185B7197"/>
    <w:rsid w:val="19B549F6"/>
    <w:rsid w:val="1A030D20"/>
    <w:rsid w:val="1AFF10B5"/>
    <w:rsid w:val="1B261934"/>
    <w:rsid w:val="1B305D92"/>
    <w:rsid w:val="1DC37E53"/>
    <w:rsid w:val="1DDB6559"/>
    <w:rsid w:val="1EAF0341"/>
    <w:rsid w:val="1F6F0F0C"/>
    <w:rsid w:val="1FA077BD"/>
    <w:rsid w:val="1FEC2A59"/>
    <w:rsid w:val="205931EE"/>
    <w:rsid w:val="20B010DC"/>
    <w:rsid w:val="20FC1025"/>
    <w:rsid w:val="211C73F8"/>
    <w:rsid w:val="215A134A"/>
    <w:rsid w:val="21F52690"/>
    <w:rsid w:val="2279582E"/>
    <w:rsid w:val="227E30BB"/>
    <w:rsid w:val="228A2FF1"/>
    <w:rsid w:val="238630BA"/>
    <w:rsid w:val="23FF0515"/>
    <w:rsid w:val="249A7208"/>
    <w:rsid w:val="24B37404"/>
    <w:rsid w:val="252B56E6"/>
    <w:rsid w:val="255260AB"/>
    <w:rsid w:val="26AC329F"/>
    <w:rsid w:val="26C135CA"/>
    <w:rsid w:val="27D4389C"/>
    <w:rsid w:val="28131116"/>
    <w:rsid w:val="28481A53"/>
    <w:rsid w:val="28FA733A"/>
    <w:rsid w:val="298E6EC6"/>
    <w:rsid w:val="29CE7FE0"/>
    <w:rsid w:val="2A633C13"/>
    <w:rsid w:val="2AD0334A"/>
    <w:rsid w:val="2AD954CE"/>
    <w:rsid w:val="2B4F50A9"/>
    <w:rsid w:val="2B515290"/>
    <w:rsid w:val="2B82176F"/>
    <w:rsid w:val="2BE279F8"/>
    <w:rsid w:val="2BED00B4"/>
    <w:rsid w:val="2D016548"/>
    <w:rsid w:val="2D033BC1"/>
    <w:rsid w:val="2D5215E6"/>
    <w:rsid w:val="2D72399C"/>
    <w:rsid w:val="2DD6444B"/>
    <w:rsid w:val="30EE3278"/>
    <w:rsid w:val="31B67FCF"/>
    <w:rsid w:val="31BC49C2"/>
    <w:rsid w:val="325751D2"/>
    <w:rsid w:val="32B3539F"/>
    <w:rsid w:val="32CA777D"/>
    <w:rsid w:val="32D23BBE"/>
    <w:rsid w:val="33446FC8"/>
    <w:rsid w:val="33624860"/>
    <w:rsid w:val="33B71BCC"/>
    <w:rsid w:val="344262FF"/>
    <w:rsid w:val="349755AF"/>
    <w:rsid w:val="351C568B"/>
    <w:rsid w:val="35735C38"/>
    <w:rsid w:val="358E57DC"/>
    <w:rsid w:val="35A563CF"/>
    <w:rsid w:val="35D239D4"/>
    <w:rsid w:val="35EB0129"/>
    <w:rsid w:val="36872074"/>
    <w:rsid w:val="3749062B"/>
    <w:rsid w:val="37CE0B93"/>
    <w:rsid w:val="38B2102F"/>
    <w:rsid w:val="39304E55"/>
    <w:rsid w:val="39C5551C"/>
    <w:rsid w:val="3A40194D"/>
    <w:rsid w:val="3AE31B4A"/>
    <w:rsid w:val="3AFB704D"/>
    <w:rsid w:val="3B2A40ED"/>
    <w:rsid w:val="3B4B06DB"/>
    <w:rsid w:val="3BDC7BD4"/>
    <w:rsid w:val="3BF407F9"/>
    <w:rsid w:val="3C046277"/>
    <w:rsid w:val="3D0C160C"/>
    <w:rsid w:val="3D100C69"/>
    <w:rsid w:val="3D414333"/>
    <w:rsid w:val="3E9073C6"/>
    <w:rsid w:val="3EDD273E"/>
    <w:rsid w:val="41001BE3"/>
    <w:rsid w:val="422E064A"/>
    <w:rsid w:val="43773261"/>
    <w:rsid w:val="44171BBF"/>
    <w:rsid w:val="44B90A36"/>
    <w:rsid w:val="455C2B77"/>
    <w:rsid w:val="45641588"/>
    <w:rsid w:val="45BE1EB1"/>
    <w:rsid w:val="45C1503F"/>
    <w:rsid w:val="4609214B"/>
    <w:rsid w:val="463E4403"/>
    <w:rsid w:val="46905E4C"/>
    <w:rsid w:val="474D355C"/>
    <w:rsid w:val="476B11C5"/>
    <w:rsid w:val="476E7EFD"/>
    <w:rsid w:val="479F7894"/>
    <w:rsid w:val="48181AF6"/>
    <w:rsid w:val="487F78CB"/>
    <w:rsid w:val="48AD0F93"/>
    <w:rsid w:val="48C6145F"/>
    <w:rsid w:val="498E3F4D"/>
    <w:rsid w:val="4A7B7C91"/>
    <w:rsid w:val="4ADC3DE3"/>
    <w:rsid w:val="4B124F17"/>
    <w:rsid w:val="4B8F29F5"/>
    <w:rsid w:val="4C1C116E"/>
    <w:rsid w:val="4D4B04BC"/>
    <w:rsid w:val="4E386AF6"/>
    <w:rsid w:val="4F3010A0"/>
    <w:rsid w:val="4F301EB7"/>
    <w:rsid w:val="4F4A0745"/>
    <w:rsid w:val="4F4C4809"/>
    <w:rsid w:val="4F7E4E13"/>
    <w:rsid w:val="50425E83"/>
    <w:rsid w:val="50610A0F"/>
    <w:rsid w:val="50B659BC"/>
    <w:rsid w:val="51353FEE"/>
    <w:rsid w:val="51662F13"/>
    <w:rsid w:val="52883614"/>
    <w:rsid w:val="52DA4DB5"/>
    <w:rsid w:val="52F64B83"/>
    <w:rsid w:val="53923522"/>
    <w:rsid w:val="53CA1F43"/>
    <w:rsid w:val="54150A83"/>
    <w:rsid w:val="543619FF"/>
    <w:rsid w:val="545C4973"/>
    <w:rsid w:val="547423FA"/>
    <w:rsid w:val="54F26A01"/>
    <w:rsid w:val="556C06CE"/>
    <w:rsid w:val="5695386C"/>
    <w:rsid w:val="570140CA"/>
    <w:rsid w:val="573A43C5"/>
    <w:rsid w:val="58693C1A"/>
    <w:rsid w:val="5926186C"/>
    <w:rsid w:val="594D2F8B"/>
    <w:rsid w:val="5996412E"/>
    <w:rsid w:val="59A87AEA"/>
    <w:rsid w:val="5A2D46E2"/>
    <w:rsid w:val="5ADF3404"/>
    <w:rsid w:val="5B1F6EA4"/>
    <w:rsid w:val="5BAB4D77"/>
    <w:rsid w:val="5C5D70CA"/>
    <w:rsid w:val="5C907979"/>
    <w:rsid w:val="5CE12A4F"/>
    <w:rsid w:val="5D00095D"/>
    <w:rsid w:val="5D2C5707"/>
    <w:rsid w:val="5D84152F"/>
    <w:rsid w:val="5DBC7659"/>
    <w:rsid w:val="5E53431A"/>
    <w:rsid w:val="5FA77F57"/>
    <w:rsid w:val="601453B1"/>
    <w:rsid w:val="614C0E7E"/>
    <w:rsid w:val="61AD533F"/>
    <w:rsid w:val="61E744C6"/>
    <w:rsid w:val="61F2556D"/>
    <w:rsid w:val="61FA63BE"/>
    <w:rsid w:val="621A35EC"/>
    <w:rsid w:val="62CF7536"/>
    <w:rsid w:val="638E1C01"/>
    <w:rsid w:val="63E15835"/>
    <w:rsid w:val="64E21DC6"/>
    <w:rsid w:val="64F44B4E"/>
    <w:rsid w:val="6504693A"/>
    <w:rsid w:val="65AD6C28"/>
    <w:rsid w:val="65BC44EE"/>
    <w:rsid w:val="65C159EF"/>
    <w:rsid w:val="65CF1A61"/>
    <w:rsid w:val="6629303A"/>
    <w:rsid w:val="66353E4B"/>
    <w:rsid w:val="66355A52"/>
    <w:rsid w:val="66405C56"/>
    <w:rsid w:val="665A0008"/>
    <w:rsid w:val="672F73F0"/>
    <w:rsid w:val="67B35415"/>
    <w:rsid w:val="67BC02C5"/>
    <w:rsid w:val="680F1AD4"/>
    <w:rsid w:val="680F524F"/>
    <w:rsid w:val="682A5B5C"/>
    <w:rsid w:val="687E506D"/>
    <w:rsid w:val="68D473E4"/>
    <w:rsid w:val="68E3614A"/>
    <w:rsid w:val="69055F82"/>
    <w:rsid w:val="696673E0"/>
    <w:rsid w:val="6A176CB2"/>
    <w:rsid w:val="6A8746C9"/>
    <w:rsid w:val="6B564AEF"/>
    <w:rsid w:val="6B6A10B4"/>
    <w:rsid w:val="6C5C78BC"/>
    <w:rsid w:val="6CD77C0E"/>
    <w:rsid w:val="6CDC6D09"/>
    <w:rsid w:val="6CED7893"/>
    <w:rsid w:val="6D2670FD"/>
    <w:rsid w:val="6DC328AC"/>
    <w:rsid w:val="6EBB212D"/>
    <w:rsid w:val="6EF243A0"/>
    <w:rsid w:val="6F1233C0"/>
    <w:rsid w:val="6F4128B2"/>
    <w:rsid w:val="6FE24315"/>
    <w:rsid w:val="719665B1"/>
    <w:rsid w:val="71E608A6"/>
    <w:rsid w:val="722356D8"/>
    <w:rsid w:val="72FD5643"/>
    <w:rsid w:val="73633563"/>
    <w:rsid w:val="736D68D9"/>
    <w:rsid w:val="741853B5"/>
    <w:rsid w:val="741D1082"/>
    <w:rsid w:val="754420DB"/>
    <w:rsid w:val="783C2A8D"/>
    <w:rsid w:val="792763DC"/>
    <w:rsid w:val="79932ACB"/>
    <w:rsid w:val="79F2715F"/>
    <w:rsid w:val="7A337A03"/>
    <w:rsid w:val="7A360237"/>
    <w:rsid w:val="7ADE7514"/>
    <w:rsid w:val="7B0E3519"/>
    <w:rsid w:val="7B870BD5"/>
    <w:rsid w:val="7BFD5DC2"/>
    <w:rsid w:val="7CA45C2C"/>
    <w:rsid w:val="7D3B2EF8"/>
    <w:rsid w:val="7DAE2140"/>
    <w:rsid w:val="7F3D4090"/>
    <w:rsid w:val="7F5C288E"/>
    <w:rsid w:val="7FDB4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List Paragraph"/>
    <w:basedOn w:val="1"/>
    <w:qFormat/>
    <w:uiPriority w:val="34"/>
    <w:pPr>
      <w:ind w:left="720"/>
      <w:contextualSpacing/>
    </w:pPr>
  </w:style>
  <w:style w:type="paragraph" w:styleId="5">
    <w:name w:val="annotation text"/>
    <w:basedOn w:val="1"/>
    <w:semiHidden/>
    <w:unhideWhenUsed/>
    <w:qFormat/>
    <w:uiPriority w:val="99"/>
    <w:pPr>
      <w:jc w:val="left"/>
    </w:pPr>
  </w:style>
  <w:style w:type="paragraph" w:styleId="6">
    <w:name w:val="Body Text Indent 2"/>
    <w:qFormat/>
    <w:uiPriority w:val="0"/>
    <w:pPr>
      <w:spacing w:line="360" w:lineRule="auto"/>
      <w:ind w:firstLine="510" w:firstLineChars="200"/>
      <w:jc w:val="both"/>
    </w:pPr>
    <w:rPr>
      <w:rFonts w:ascii="Times New Roman" w:hAnsi="Times New Roman" w:eastAsia="宋体" w:cs="Times New Roman"/>
      <w:sz w:val="24"/>
      <w:szCs w:val="24"/>
      <w:lang w:val="en-US" w:eastAsia="zh-CN" w:bidi="ar-SA"/>
    </w:rPr>
  </w:style>
  <w:style w:type="paragraph" w:styleId="7">
    <w:name w:val="endnote text"/>
    <w:basedOn w:val="1"/>
    <w:unhideWhenUsed/>
    <w:qFormat/>
    <w:uiPriority w:val="99"/>
    <w:pPr>
      <w:snapToGrid w:val="0"/>
    </w:pPr>
    <w:rPr>
      <w:rFonts w:ascii="Calibri" w:hAnsi="Calibri" w:eastAsia="宋体" w:cs="Times New Roman"/>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u w:val="single"/>
    </w:rPr>
  </w:style>
  <w:style w:type="paragraph" w:customStyle="1" w:styleId="13">
    <w:name w:val="正文格式"/>
    <w:basedOn w:val="1"/>
    <w:qFormat/>
    <w:uiPriority w:val="0"/>
    <w:pPr>
      <w:spacing w:line="360" w:lineRule="auto"/>
      <w:ind w:firstLine="485" w:firstLineChars="202"/>
    </w:pPr>
    <w:rPr>
      <w:rFonts w:ascii="宋体" w:hAnsi="宋体" w:eastAsia="宋体" w:cs="Times New Roman"/>
      <w:sz w:val="24"/>
      <w:szCs w:val="24"/>
    </w:rPr>
  </w:style>
  <w:style w:type="table" w:customStyle="1" w:styleId="14">
    <w:name w:val="网格型1"/>
    <w:basedOn w:val="9"/>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网格型2"/>
    <w:basedOn w:val="9"/>
    <w:qFormat/>
    <w:uiPriority w:val="59"/>
    <w:rPr>
      <w:rFonts w:ascii="Times New Roman" w:hAnsi="Times New Roman"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二级条标题"/>
    <w:basedOn w:val="17"/>
    <w:next w:val="18"/>
    <w:qFormat/>
    <w:uiPriority w:val="0"/>
    <w:pPr>
      <w:spacing w:before="50" w:after="50"/>
      <w:outlineLvl w:val="3"/>
    </w:pPr>
  </w:style>
  <w:style w:type="paragraph" w:customStyle="1" w:styleId="17">
    <w:name w:val="一级条标题"/>
    <w:next w:val="18"/>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2020-01-04T01:28:00Z</dcterms:created>
  <dc:creator>刘玮</dc:creator>
  <cp:lastModifiedBy>刘玮</cp:lastModifiedBy>
  <dcterms:modified xsi:type="dcterms:W3CDTF">2022-05-06T08:34:09Z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2052-11.8.2.11031</vt:lpwstr>
  </property>
  <property fmtid="{D5CDD505-2E9C-101B-9397-08002B2CF9AE}" pid="3" name="ICV">
    <vt:lpwstr>0F40752D1D844DFF97A3ACF669DF819B</vt:lpwstr>
  </property>
</Properties>
</file>