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sz w:val="32"/>
          <w:szCs w:val="21"/>
        </w:rPr>
      </w:pPr>
      <w:r>
        <w:rPr>
          <w:rFonts w:hint="eastAsia" w:ascii="黑体" w:hAnsi="黑体" w:eastAsia="黑体"/>
          <w:sz w:val="32"/>
          <w:szCs w:val="21"/>
        </w:rPr>
        <w:t>标准</w:t>
      </w:r>
      <w:r>
        <w:rPr>
          <w:rFonts w:hint="eastAsia" w:ascii="黑体" w:hAnsi="黑体" w:eastAsia="黑体"/>
          <w:sz w:val="32"/>
          <w:szCs w:val="21"/>
          <w:lang w:eastAsia="zh-CN"/>
        </w:rPr>
        <w:t>征求意见</w:t>
      </w:r>
      <w:r>
        <w:rPr>
          <w:rFonts w:hint="eastAsia" w:ascii="黑体" w:hAnsi="黑体" w:eastAsia="黑体"/>
          <w:sz w:val="32"/>
          <w:szCs w:val="21"/>
        </w:rPr>
        <w:t>稿意见汇总</w:t>
      </w:r>
      <w:r>
        <w:rPr>
          <w:rFonts w:hint="eastAsia" w:ascii="黑体" w:hAnsi="黑体" w:eastAsia="黑体"/>
          <w:sz w:val="32"/>
          <w:szCs w:val="21"/>
          <w:lang w:val="en-US" w:eastAsia="zh-CN"/>
        </w:rPr>
        <w:t>处理</w:t>
      </w:r>
      <w:r>
        <w:rPr>
          <w:rFonts w:hint="eastAsia" w:ascii="黑体" w:hAnsi="黑体" w:eastAsia="黑体"/>
          <w:sz w:val="32"/>
          <w:szCs w:val="21"/>
        </w:rPr>
        <w:t>表</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标准</w:t>
      </w:r>
      <w:r>
        <w:rPr>
          <w:rFonts w:hint="eastAsia" w:ascii="宋体" w:hAnsi="宋体" w:eastAsia="宋体" w:cs="宋体"/>
          <w:sz w:val="21"/>
          <w:szCs w:val="21"/>
          <w:lang w:val="en-US" w:eastAsia="zh-CN"/>
        </w:rPr>
        <w:t>项目</w:t>
      </w:r>
      <w:r>
        <w:rPr>
          <w:rFonts w:hint="eastAsia" w:ascii="宋体" w:hAnsi="宋体" w:eastAsia="宋体" w:cs="宋体"/>
          <w:sz w:val="21"/>
          <w:szCs w:val="21"/>
        </w:rPr>
        <w:t>名称：</w:t>
      </w:r>
      <w:r>
        <w:rPr>
          <w:rFonts w:hint="eastAsia" w:ascii="黑体" w:hAnsi="黑体" w:eastAsia="黑体" w:cs="黑体"/>
          <w:sz w:val="21"/>
          <w:szCs w:val="21"/>
        </w:rPr>
        <w:t>锂离子电池正极材料前驱体行业绿色工厂评价要求</w:t>
      </w:r>
      <w:r>
        <w:rPr>
          <w:rFonts w:hint="eastAsia" w:ascii="宋体" w:hAnsi="宋体" w:eastAsia="宋体" w:cs="宋体"/>
          <w:sz w:val="21"/>
          <w:szCs w:val="21"/>
        </w:rPr>
        <w:t xml:space="preserve">  承办人：</w:t>
      </w:r>
      <w:r>
        <w:rPr>
          <w:rFonts w:hint="eastAsia" w:ascii="宋体" w:hAnsi="宋体" w:eastAsia="宋体" w:cs="宋体"/>
          <w:sz w:val="21"/>
          <w:szCs w:val="21"/>
          <w:lang w:val="en-US" w:eastAsia="zh-CN"/>
        </w:rPr>
        <w:t>刘玮</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共</w:t>
      </w:r>
      <w:r>
        <w:rPr>
          <w:rFonts w:hint="eastAsia" w:ascii="宋体" w:hAnsi="宋体" w:eastAsia="宋体" w:cs="宋体"/>
          <w:sz w:val="21"/>
          <w:szCs w:val="21"/>
          <w:lang w:val="en-US" w:eastAsia="zh-CN"/>
        </w:rPr>
        <w:t>2</w:t>
      </w:r>
      <w:r>
        <w:rPr>
          <w:rFonts w:hint="eastAsia" w:ascii="宋体" w:hAnsi="宋体" w:eastAsia="宋体" w:cs="宋体"/>
          <w:sz w:val="21"/>
          <w:szCs w:val="21"/>
        </w:rPr>
        <w:t>页 第1页</w:t>
      </w:r>
    </w:p>
    <w:p>
      <w:pPr>
        <w:pStyle w:val="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标准负责起草单位：</w:t>
      </w:r>
      <w:r>
        <w:rPr>
          <w:rFonts w:hint="eastAsia" w:ascii="宋体" w:hAnsi="宋体" w:eastAsia="宋体" w:cs="宋体"/>
          <w:sz w:val="21"/>
          <w:szCs w:val="21"/>
          <w:lang w:val="en-US" w:eastAsia="zh-CN"/>
        </w:rPr>
        <w:t>金驰能源材料</w:t>
      </w:r>
      <w:r>
        <w:rPr>
          <w:rFonts w:hint="eastAsia" w:ascii="宋体" w:hAnsi="宋体" w:eastAsia="宋体" w:cs="宋体"/>
          <w:sz w:val="21"/>
          <w:szCs w:val="21"/>
          <w:lang w:eastAsia="zh-CN"/>
        </w:rPr>
        <w:t>有限公司</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r>
        <w:rPr>
          <w:rFonts w:hint="eastAsia" w:ascii="宋体" w:hAnsi="宋体" w:eastAsia="宋体" w:cs="宋体"/>
          <w:sz w:val="21"/>
          <w:szCs w:val="21"/>
          <w:lang w:val="en-US" w:eastAsia="zh-CN"/>
        </w:rPr>
        <w:t xml:space="preserve">18874837040      </w:t>
      </w: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18</w:t>
      </w:r>
      <w:r>
        <w:rPr>
          <w:rFonts w:hint="eastAsia" w:ascii="宋体" w:hAnsi="宋体" w:eastAsia="宋体" w:cs="宋体"/>
          <w:sz w:val="21"/>
          <w:szCs w:val="21"/>
        </w:rPr>
        <w:t>日填写</w:t>
      </w:r>
    </w:p>
    <w:p>
      <w:pPr>
        <w:pStyle w:val="3"/>
        <w:spacing w:line="240" w:lineRule="auto"/>
        <w:ind w:left="-706" w:leftChars="-294" w:firstLine="417" w:firstLineChars="199"/>
        <w:rPr>
          <w:rFonts w:hint="eastAsia" w:ascii="宋体" w:hAnsi="宋体" w:eastAsia="宋体" w:cs="宋体"/>
          <w:sz w:val="21"/>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16"/>
        <w:gridCol w:w="2950"/>
        <w:gridCol w:w="2384"/>
        <w:gridCol w:w="1613"/>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标准章</w:t>
            </w:r>
          </w:p>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条编号</w:t>
            </w:r>
          </w:p>
        </w:tc>
        <w:tc>
          <w:tcPr>
            <w:tcW w:w="2950"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意见内容</w:t>
            </w:r>
          </w:p>
        </w:tc>
        <w:tc>
          <w:tcPr>
            <w:tcW w:w="2384"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提出单位</w:t>
            </w:r>
          </w:p>
        </w:tc>
        <w:tc>
          <w:tcPr>
            <w:tcW w:w="1613"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处理意见</w:t>
            </w:r>
          </w:p>
        </w:tc>
        <w:tc>
          <w:tcPr>
            <w:tcW w:w="702"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2</w:t>
            </w: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引用的标准GB/T 36132应加年代号，且应与后文引用的标准保持一致</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西北有色金属研究院</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采纳</w:t>
            </w:r>
          </w:p>
        </w:tc>
        <w:tc>
          <w:tcPr>
            <w:tcW w:w="702"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5.1.1.3</w:t>
            </w: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近三年（含成立不足三年）应无较大及以上安全、环保、质量等事故，将“较大”改为“重大”</w:t>
            </w:r>
          </w:p>
        </w:tc>
        <w:tc>
          <w:tcPr>
            <w:tcW w:w="2384" w:type="dxa"/>
            <w:noWrap w:val="0"/>
            <w:vAlign w:val="center"/>
          </w:tcPr>
          <w:p>
            <w:pPr>
              <w:widowControl w:val="0"/>
              <w:spacing w:line="240" w:lineRule="auto"/>
              <w:ind w:firstLine="0" w:firstLineChars="0"/>
              <w:jc w:val="both"/>
              <w:rPr>
                <w:rFonts w:hint="default" w:ascii="Times New Roman" w:hAnsi="Times New Roman" w:eastAsia="宋体" w:cs="Times New Roman"/>
                <w:kern w:val="2"/>
                <w:sz w:val="21"/>
                <w:szCs w:val="21"/>
                <w:lang w:val="en-US" w:eastAsia="zh-CN"/>
              </w:rPr>
            </w:pPr>
            <w:r>
              <w:rPr>
                <w:rFonts w:hint="eastAsia" w:eastAsia="宋体" w:cs="Times New Roman"/>
                <w:kern w:val="2"/>
                <w:sz w:val="21"/>
                <w:szCs w:val="21"/>
                <w:lang w:val="en-US" w:eastAsia="zh-CN"/>
              </w:rPr>
              <w:t>西安泰金工业电化学技术有限公司</w:t>
            </w:r>
          </w:p>
        </w:tc>
        <w:tc>
          <w:tcPr>
            <w:tcW w:w="1613" w:type="dxa"/>
            <w:noWrap w:val="0"/>
            <w:vAlign w:val="center"/>
          </w:tcPr>
          <w:p>
            <w:pPr>
              <w:widowControl w:val="0"/>
              <w:spacing w:line="240" w:lineRule="auto"/>
              <w:ind w:firstLine="0" w:firstLineChars="0"/>
              <w:jc w:val="both"/>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不采纳。应对工厂安全、环保、质量要求控制严格</w:t>
            </w:r>
          </w:p>
        </w:tc>
        <w:tc>
          <w:tcPr>
            <w:tcW w:w="702"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5.2.3.1</w:t>
            </w: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专业设备应结合锂离子电池正极材料前驱体生产特点，列举专用设备名称</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株洲硬质合金集团有限公司</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采纳</w:t>
            </w:r>
          </w:p>
        </w:tc>
        <w:tc>
          <w:tcPr>
            <w:tcW w:w="702"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5.4.2.6</w:t>
            </w: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2"/>
                <w:sz w:val="21"/>
                <w:szCs w:val="21"/>
                <w:lang w:val="en-US" w:eastAsia="zh-CN"/>
              </w:rPr>
            </w:pPr>
            <w:r>
              <w:rPr>
                <w:rFonts w:hint="eastAsia" w:ascii="宋体" w:hAnsi="宋体" w:eastAsia="宋体" w:cs="宋体"/>
                <w:sz w:val="21"/>
                <w:szCs w:val="21"/>
                <w:lang w:val="en-US" w:eastAsia="zh-CN"/>
              </w:rPr>
              <w:t>将“</w:t>
            </w:r>
            <w:r>
              <w:rPr>
                <w:rFonts w:hint="eastAsia" w:ascii="宋体" w:hAnsi="宋体" w:eastAsia="宋体" w:cs="宋体"/>
                <w:sz w:val="21"/>
                <w:szCs w:val="21"/>
              </w:rPr>
              <w:t>宜使用回收料、可回收材料替代原生材料、不可回收材料</w:t>
            </w:r>
            <w:r>
              <w:rPr>
                <w:rFonts w:hint="eastAsia" w:ascii="宋体" w:hAnsi="宋体" w:eastAsia="宋体" w:cs="宋体"/>
                <w:sz w:val="21"/>
                <w:szCs w:val="21"/>
                <w:lang w:val="en-US" w:eastAsia="zh-CN"/>
              </w:rPr>
              <w:t>”分开描述，修改为“</w:t>
            </w:r>
            <w:r>
              <w:rPr>
                <w:rFonts w:hint="eastAsia" w:ascii="宋体" w:hAnsi="宋体" w:eastAsia="宋体" w:cs="宋体"/>
                <w:sz w:val="21"/>
                <w:szCs w:val="21"/>
              </w:rPr>
              <w:t>宜使用回收料替代原生材料、可回收材料</w:t>
            </w:r>
            <w:r>
              <w:rPr>
                <w:rFonts w:hint="eastAsia" w:ascii="宋体" w:hAnsi="宋体" w:eastAsia="宋体" w:cs="宋体"/>
                <w:sz w:val="21"/>
                <w:szCs w:val="21"/>
                <w:lang w:val="en-US" w:eastAsia="zh-CN"/>
              </w:rPr>
              <w:t>替代</w:t>
            </w:r>
            <w:r>
              <w:rPr>
                <w:rFonts w:hint="eastAsia" w:ascii="宋体" w:hAnsi="宋体" w:eastAsia="宋体" w:cs="宋体"/>
                <w:sz w:val="21"/>
                <w:szCs w:val="21"/>
              </w:rPr>
              <w:t>不可回收材</w:t>
            </w:r>
            <w:r>
              <w:rPr>
                <w:rFonts w:hint="eastAsia" w:ascii="宋体" w:hAnsi="宋体" w:eastAsia="宋体" w:cs="宋体"/>
                <w:sz w:val="21"/>
                <w:szCs w:val="21"/>
                <w:lang w:val="en-US" w:eastAsia="zh-CN"/>
              </w:rPr>
              <w:t>料”</w:t>
            </w:r>
          </w:p>
        </w:tc>
        <w:tc>
          <w:tcPr>
            <w:tcW w:w="2384" w:type="dxa"/>
            <w:noWrap w:val="0"/>
            <w:vAlign w:val="center"/>
          </w:tcPr>
          <w:p>
            <w:pPr>
              <w:widowControl w:val="0"/>
              <w:spacing w:line="240" w:lineRule="auto"/>
              <w:ind w:firstLine="0" w:firstLineChars="0"/>
              <w:jc w:val="both"/>
              <w:rPr>
                <w:rFonts w:hint="eastAsia" w:ascii="Times New Roman" w:hAnsi="Times New Roman" w:eastAsia="宋体" w:cs="Times New Roman"/>
                <w:kern w:val="2"/>
                <w:sz w:val="21"/>
                <w:szCs w:val="21"/>
                <w:lang w:val="en-US" w:eastAsia="zh-CN"/>
              </w:rPr>
            </w:pPr>
            <w:r>
              <w:rPr>
                <w:rFonts w:hint="eastAsia" w:ascii="宋体" w:hAnsi="宋体" w:eastAsia="宋体" w:cs="宋体"/>
                <w:sz w:val="21"/>
                <w:szCs w:val="21"/>
              </w:rPr>
              <w:t>江西理工大学</w:t>
            </w:r>
          </w:p>
        </w:tc>
        <w:tc>
          <w:tcPr>
            <w:tcW w:w="1613"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5.5.2.2</w:t>
            </w: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2"/>
                <w:sz w:val="21"/>
                <w:szCs w:val="21"/>
                <w:lang w:val="en-US" w:eastAsia="zh-CN"/>
              </w:rPr>
            </w:pPr>
            <w:r>
              <w:rPr>
                <w:rFonts w:hint="eastAsia" w:ascii="宋体" w:hAnsi="宋体" w:eastAsia="宋体" w:cs="宋体"/>
                <w:sz w:val="21"/>
                <w:szCs w:val="21"/>
                <w:lang w:val="en-US" w:eastAsia="zh-CN"/>
              </w:rPr>
              <w:t>将“</w:t>
            </w:r>
            <w:r>
              <w:rPr>
                <w:rFonts w:hint="eastAsia" w:ascii="宋体" w:hAnsi="宋体" w:eastAsia="宋体" w:cs="宋体"/>
                <w:sz w:val="21"/>
                <w:szCs w:val="21"/>
              </w:rPr>
              <w:t>有毒有害物质的贮存、输送、生产和使用场所</w:t>
            </w:r>
            <w:r>
              <w:rPr>
                <w:rFonts w:hint="eastAsia" w:ascii="宋体" w:hAnsi="宋体" w:eastAsia="宋体" w:cs="宋体"/>
                <w:sz w:val="21"/>
                <w:szCs w:val="21"/>
                <w:lang w:val="en-US" w:eastAsia="zh-CN"/>
              </w:rPr>
              <w:t>”，修改为</w:t>
            </w:r>
            <w:r>
              <w:rPr>
                <w:rFonts w:hint="eastAsia" w:ascii="宋体" w:hAnsi="宋体" w:eastAsia="宋体" w:cs="宋体"/>
                <w:sz w:val="21"/>
                <w:szCs w:val="21"/>
              </w:rPr>
              <w:t>有毒有害物质的</w:t>
            </w:r>
            <w:r>
              <w:rPr>
                <w:rFonts w:hint="eastAsia" w:ascii="宋体" w:hAnsi="宋体" w:eastAsia="宋体" w:cs="宋体"/>
                <w:sz w:val="21"/>
                <w:szCs w:val="21"/>
                <w:lang w:val="en-US" w:eastAsia="zh-CN"/>
              </w:rPr>
              <w:t>产生、</w:t>
            </w:r>
            <w:r>
              <w:rPr>
                <w:rFonts w:hint="eastAsia" w:ascii="宋体" w:hAnsi="宋体" w:eastAsia="宋体" w:cs="宋体"/>
                <w:sz w:val="21"/>
                <w:szCs w:val="21"/>
              </w:rPr>
              <w:t>贮存、</w:t>
            </w:r>
            <w:r>
              <w:rPr>
                <w:rFonts w:hint="eastAsia" w:ascii="宋体" w:hAnsi="宋体" w:eastAsia="宋体" w:cs="宋体"/>
                <w:sz w:val="21"/>
                <w:szCs w:val="21"/>
                <w:lang w:val="en-US" w:eastAsia="zh-CN"/>
              </w:rPr>
              <w:t>输送和使用场所</w:t>
            </w:r>
          </w:p>
        </w:tc>
        <w:tc>
          <w:tcPr>
            <w:tcW w:w="2384" w:type="dxa"/>
            <w:noWrap w:val="0"/>
            <w:vAlign w:val="center"/>
          </w:tcPr>
          <w:p>
            <w:pPr>
              <w:widowControl w:val="0"/>
              <w:spacing w:line="240" w:lineRule="auto"/>
              <w:ind w:firstLine="0" w:firstLineChars="0"/>
              <w:jc w:val="both"/>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sz w:val="21"/>
                <w:szCs w:val="21"/>
                <w:lang w:val="en-US" w:eastAsia="zh-CN"/>
              </w:rPr>
              <w:t>国标（北京）检验认证有限公司</w:t>
            </w:r>
          </w:p>
        </w:tc>
        <w:tc>
          <w:tcPr>
            <w:tcW w:w="1613"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6</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5.5.3</w:t>
            </w: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应是对工厂减碳提出要求，将“生产的主营产品”删除，且将“碳足迹”修改为“碳排放”</w:t>
            </w:r>
          </w:p>
        </w:tc>
        <w:tc>
          <w:tcPr>
            <w:tcW w:w="2384" w:type="dxa"/>
            <w:noWrap w:val="0"/>
            <w:vAlign w:val="center"/>
          </w:tcPr>
          <w:p>
            <w:pPr>
              <w:widowControl w:val="0"/>
              <w:spacing w:line="240" w:lineRule="auto"/>
              <w:ind w:firstLine="0" w:firstLineChars="0"/>
              <w:jc w:val="both"/>
              <w:rPr>
                <w:rFonts w:hint="eastAsia" w:ascii="宋体" w:hAnsi="宋体" w:eastAsia="宋体" w:cs="宋体"/>
                <w:kern w:val="2"/>
                <w:sz w:val="21"/>
                <w:szCs w:val="21"/>
              </w:rPr>
            </w:pPr>
            <w:r>
              <w:rPr>
                <w:rFonts w:hint="eastAsia" w:ascii="Times New Roman" w:hAnsi="Times New Roman" w:eastAsia="宋体" w:cs="Times New Roman"/>
                <w:kern w:val="2"/>
                <w:sz w:val="21"/>
                <w:szCs w:val="21"/>
                <w:lang w:val="en-US" w:eastAsia="zh-CN"/>
              </w:rPr>
              <w:t>矿冶科技集团有限公司</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7</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5.5.4</w:t>
            </w: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修改为“可回收利用率”，对工厂生产的产品可回收利用率计算</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崇义章源钨业股份有限公司</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8</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5.7.3</w:t>
            </w:r>
          </w:p>
        </w:tc>
        <w:tc>
          <w:tcPr>
            <w:tcW w:w="2950" w:type="dxa"/>
            <w:noWrap w:val="0"/>
            <w:vAlign w:val="center"/>
          </w:tcPr>
          <w:p>
            <w:pPr>
              <w:widowControl w:val="0"/>
              <w:spacing w:line="240" w:lineRule="auto"/>
              <w:ind w:firstLine="0" w:firstLineChars="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删除“工厂使用的绿色物料应选自省级以上政府相关部门发布的资源综合利用产品目录、有毒有害原料（产品）替代目录等”</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钢铁研究总院</w:t>
            </w:r>
          </w:p>
        </w:tc>
        <w:tc>
          <w:tcPr>
            <w:tcW w:w="1613" w:type="dxa"/>
            <w:noWrap w:val="0"/>
            <w:vAlign w:val="center"/>
          </w:tcPr>
          <w:p>
            <w:pPr>
              <w:widowControl w:val="0"/>
              <w:spacing w:line="240" w:lineRule="auto"/>
              <w:ind w:firstLine="0" w:firstLineChars="0"/>
              <w:jc w:val="both"/>
              <w:rPr>
                <w:rFonts w:hint="eastAsia" w:ascii="宋体" w:hAnsi="宋体" w:eastAsia="宋体" w:cs="宋体"/>
                <w:kern w:val="0"/>
                <w:sz w:val="21"/>
                <w:szCs w:val="21"/>
                <w:lang w:val="en-US" w:eastAsia="zh-CN"/>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7</w:t>
            </w: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ascii="Times New Roman" w:hAnsi="Times New Roman" w:eastAsia="宋体" w:cs="Times New Roman"/>
                <w:color w:val="000000"/>
                <w:kern w:val="2"/>
                <w:sz w:val="21"/>
                <w:szCs w:val="21"/>
              </w:rPr>
              <w:t>标志、包装</w:t>
            </w:r>
            <w:r>
              <w:rPr>
                <w:rFonts w:hint="default" w:ascii="Times New Roman" w:hAnsi="Times New Roman" w:eastAsia="宋体" w:cs="Times New Roman"/>
                <w:color w:val="000000"/>
                <w:kern w:val="2"/>
                <w:sz w:val="21"/>
                <w:szCs w:val="21"/>
              </w:rPr>
              <w:t>、运输、贮存和质量证明书</w:t>
            </w:r>
            <w:r>
              <w:rPr>
                <w:rFonts w:hint="eastAsia" w:ascii="Times New Roman" w:hAnsi="Times New Roman" w:eastAsia="宋体" w:cs="Times New Roman"/>
                <w:color w:val="000000"/>
                <w:kern w:val="2"/>
                <w:sz w:val="21"/>
                <w:szCs w:val="21"/>
                <w:lang w:eastAsia="zh-CN"/>
              </w:rPr>
              <w:t>，</w:t>
            </w:r>
            <w:r>
              <w:rPr>
                <w:rFonts w:hint="eastAsia" w:ascii="Times New Roman" w:hAnsi="Times New Roman" w:eastAsia="宋体" w:cs="Times New Roman"/>
                <w:color w:val="000000"/>
                <w:kern w:val="2"/>
                <w:sz w:val="21"/>
                <w:szCs w:val="21"/>
                <w:lang w:val="en-US" w:eastAsia="zh-CN"/>
              </w:rPr>
              <w:t>应按照随行文件最新版修改</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广东省科学院工业分析检测中心</w:t>
            </w:r>
          </w:p>
        </w:tc>
        <w:tc>
          <w:tcPr>
            <w:tcW w:w="1613"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10</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附录A</w:t>
            </w: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表头将“评价要素”修改为评价要求</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全国有色金属标准化技术委员会</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bl>
    <w:p>
      <w:pPr>
        <w:pStyle w:val="3"/>
        <w:spacing w:line="240" w:lineRule="auto"/>
        <w:ind w:left="-706" w:leftChars="-294" w:firstLine="417" w:firstLineChars="199"/>
        <w:rPr>
          <w:rFonts w:hint="eastAsia" w:ascii="宋体" w:hAnsi="宋体" w:eastAsia="宋体" w:cs="宋体"/>
          <w:sz w:val="21"/>
          <w:szCs w:val="21"/>
        </w:rPr>
      </w:pPr>
    </w:p>
    <w:p>
      <w:pPr>
        <w:pStyle w:val="3"/>
        <w:spacing w:line="240" w:lineRule="auto"/>
        <w:ind w:left="-706" w:leftChars="-294" w:firstLine="417" w:firstLineChars="199"/>
        <w:rPr>
          <w:rFonts w:hint="eastAsia" w:ascii="宋体" w:hAnsi="宋体" w:eastAsia="宋体" w:cs="宋体"/>
          <w:sz w:val="21"/>
          <w:szCs w:val="21"/>
        </w:rPr>
      </w:pPr>
    </w:p>
    <w:p>
      <w:pPr>
        <w:pStyle w:val="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sz w:val="32"/>
          <w:szCs w:val="21"/>
        </w:rPr>
      </w:pPr>
    </w:p>
    <w:p>
      <w:pPr>
        <w:pStyle w:val="3"/>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sz w:val="32"/>
          <w:szCs w:val="21"/>
        </w:rPr>
      </w:pPr>
      <w:bookmarkStart w:id="0" w:name="_GoBack"/>
      <w:r>
        <w:rPr>
          <w:rFonts w:hint="eastAsia" w:ascii="黑体" w:hAnsi="黑体" w:eastAsia="黑体"/>
          <w:sz w:val="32"/>
          <w:szCs w:val="21"/>
        </w:rPr>
        <w:t>标准</w:t>
      </w:r>
      <w:r>
        <w:rPr>
          <w:rFonts w:hint="eastAsia" w:ascii="黑体" w:hAnsi="黑体" w:eastAsia="黑体"/>
          <w:sz w:val="32"/>
          <w:szCs w:val="21"/>
          <w:lang w:eastAsia="zh-CN"/>
        </w:rPr>
        <w:t>征求意见</w:t>
      </w:r>
      <w:r>
        <w:rPr>
          <w:rFonts w:hint="eastAsia" w:ascii="黑体" w:hAnsi="黑体" w:eastAsia="黑体"/>
          <w:sz w:val="32"/>
          <w:szCs w:val="21"/>
        </w:rPr>
        <w:t>稿意见汇总</w:t>
      </w:r>
      <w:r>
        <w:rPr>
          <w:rFonts w:hint="eastAsia" w:ascii="黑体" w:hAnsi="黑体" w:eastAsia="黑体"/>
          <w:sz w:val="32"/>
          <w:szCs w:val="21"/>
          <w:lang w:val="en-US" w:eastAsia="zh-CN"/>
        </w:rPr>
        <w:t>处理</w:t>
      </w:r>
      <w:r>
        <w:rPr>
          <w:rFonts w:hint="eastAsia" w:ascii="黑体" w:hAnsi="黑体" w:eastAsia="黑体"/>
          <w:sz w:val="32"/>
          <w:szCs w:val="21"/>
        </w:rPr>
        <w:t>表</w:t>
      </w:r>
    </w:p>
    <w:bookmarkEnd w:id="0"/>
    <w:p>
      <w:pPr>
        <w:pStyle w:val="3"/>
        <w:spacing w:line="240" w:lineRule="auto"/>
        <w:ind w:left="-706" w:leftChars="-294" w:firstLine="417" w:firstLineChars="199"/>
        <w:rPr>
          <w:rFonts w:hint="eastAsia" w:ascii="宋体" w:hAnsi="宋体" w:eastAsia="宋体" w:cs="宋体"/>
          <w:sz w:val="21"/>
          <w:szCs w:val="21"/>
        </w:rPr>
      </w:pPr>
      <w:r>
        <w:rPr>
          <w:rFonts w:hint="eastAsia" w:ascii="宋体" w:hAnsi="宋体" w:eastAsia="宋体" w:cs="宋体"/>
          <w:sz w:val="21"/>
          <w:szCs w:val="21"/>
        </w:rPr>
        <w:t>标准</w:t>
      </w:r>
      <w:r>
        <w:rPr>
          <w:rFonts w:hint="eastAsia" w:ascii="宋体" w:hAnsi="宋体" w:eastAsia="宋体" w:cs="宋体"/>
          <w:sz w:val="21"/>
          <w:szCs w:val="21"/>
          <w:lang w:val="en-US" w:eastAsia="zh-CN"/>
        </w:rPr>
        <w:t>项目</w:t>
      </w:r>
      <w:r>
        <w:rPr>
          <w:rFonts w:hint="eastAsia" w:ascii="宋体" w:hAnsi="宋体" w:eastAsia="宋体" w:cs="宋体"/>
          <w:sz w:val="21"/>
          <w:szCs w:val="21"/>
        </w:rPr>
        <w:t>名称：</w:t>
      </w:r>
      <w:r>
        <w:rPr>
          <w:rFonts w:hint="eastAsia" w:ascii="黑体" w:hAnsi="黑体" w:eastAsia="黑体" w:cs="黑体"/>
          <w:sz w:val="21"/>
          <w:szCs w:val="21"/>
        </w:rPr>
        <w:t>锂离子电池正极材料前驱体行业绿色工厂评价要求</w:t>
      </w:r>
      <w:r>
        <w:rPr>
          <w:rFonts w:hint="eastAsia" w:ascii="宋体" w:hAnsi="宋体" w:eastAsia="宋体" w:cs="宋体"/>
          <w:sz w:val="21"/>
          <w:szCs w:val="21"/>
        </w:rPr>
        <w:t xml:space="preserve">  承办人：</w:t>
      </w:r>
      <w:r>
        <w:rPr>
          <w:rFonts w:hint="eastAsia" w:ascii="宋体" w:hAnsi="宋体" w:eastAsia="宋体" w:cs="宋体"/>
          <w:sz w:val="21"/>
          <w:szCs w:val="21"/>
          <w:lang w:val="en-US" w:eastAsia="zh-CN"/>
        </w:rPr>
        <w:t>刘玮</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共</w:t>
      </w:r>
      <w:r>
        <w:rPr>
          <w:rFonts w:hint="eastAsia" w:ascii="宋体" w:hAnsi="宋体" w:eastAsia="宋体" w:cs="宋体"/>
          <w:sz w:val="21"/>
          <w:szCs w:val="21"/>
          <w:lang w:val="en-US" w:eastAsia="zh-CN"/>
        </w:rPr>
        <w:t>2</w:t>
      </w:r>
      <w:r>
        <w:rPr>
          <w:rFonts w:hint="eastAsia" w:ascii="宋体" w:hAnsi="宋体" w:eastAsia="宋体" w:cs="宋体"/>
          <w:sz w:val="21"/>
          <w:szCs w:val="21"/>
        </w:rPr>
        <w:t>页 第</w:t>
      </w:r>
      <w:r>
        <w:rPr>
          <w:rFonts w:hint="eastAsia" w:ascii="宋体" w:hAnsi="宋体" w:eastAsia="宋体" w:cs="宋体"/>
          <w:sz w:val="21"/>
          <w:szCs w:val="21"/>
          <w:lang w:val="en-US" w:eastAsia="zh-CN"/>
        </w:rPr>
        <w:t>2</w:t>
      </w:r>
      <w:r>
        <w:rPr>
          <w:rFonts w:hint="eastAsia" w:ascii="宋体" w:hAnsi="宋体" w:eastAsia="宋体" w:cs="宋体"/>
          <w:sz w:val="21"/>
          <w:szCs w:val="21"/>
        </w:rPr>
        <w:t>页</w:t>
      </w:r>
    </w:p>
    <w:p>
      <w:pPr>
        <w:pStyle w:val="3"/>
        <w:spacing w:line="240" w:lineRule="auto"/>
        <w:ind w:left="-706" w:leftChars="-294" w:firstLine="417" w:firstLineChars="199"/>
        <w:rPr>
          <w:rFonts w:hint="eastAsia" w:ascii="宋体" w:hAnsi="宋体" w:eastAsia="宋体" w:cs="宋体"/>
          <w:sz w:val="21"/>
          <w:szCs w:val="21"/>
        </w:rPr>
      </w:pPr>
      <w:r>
        <w:rPr>
          <w:rFonts w:hint="eastAsia" w:ascii="宋体" w:hAnsi="宋体" w:eastAsia="宋体" w:cs="宋体"/>
          <w:sz w:val="21"/>
          <w:szCs w:val="21"/>
        </w:rPr>
        <w:t>标准负责起草单位：</w:t>
      </w:r>
      <w:r>
        <w:rPr>
          <w:rFonts w:hint="eastAsia" w:ascii="宋体" w:hAnsi="宋体" w:eastAsia="宋体" w:cs="宋体"/>
          <w:sz w:val="21"/>
          <w:szCs w:val="21"/>
          <w:lang w:val="en-US" w:eastAsia="zh-CN"/>
        </w:rPr>
        <w:t>金驰能源材料</w:t>
      </w:r>
      <w:r>
        <w:rPr>
          <w:rFonts w:hint="eastAsia" w:ascii="宋体" w:hAnsi="宋体" w:eastAsia="宋体" w:cs="宋体"/>
          <w:sz w:val="21"/>
          <w:szCs w:val="21"/>
          <w:lang w:eastAsia="zh-CN"/>
        </w:rPr>
        <w:t>有限公司</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r>
        <w:rPr>
          <w:rFonts w:hint="eastAsia" w:ascii="宋体" w:hAnsi="宋体" w:eastAsia="宋体" w:cs="宋体"/>
          <w:sz w:val="21"/>
          <w:szCs w:val="21"/>
          <w:lang w:val="en-US" w:eastAsia="zh-CN"/>
        </w:rPr>
        <w:t xml:space="preserve">18874837040       </w:t>
      </w: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18</w:t>
      </w:r>
      <w:r>
        <w:rPr>
          <w:rFonts w:hint="eastAsia" w:ascii="宋体" w:hAnsi="宋体" w:eastAsia="宋体" w:cs="宋体"/>
          <w:sz w:val="21"/>
          <w:szCs w:val="21"/>
        </w:rPr>
        <w:t>日填写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16"/>
        <w:gridCol w:w="2950"/>
        <w:gridCol w:w="2384"/>
        <w:gridCol w:w="1613"/>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标准章</w:t>
            </w:r>
          </w:p>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条编号</w:t>
            </w:r>
          </w:p>
        </w:tc>
        <w:tc>
          <w:tcPr>
            <w:tcW w:w="2950"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意见内容</w:t>
            </w:r>
          </w:p>
        </w:tc>
        <w:tc>
          <w:tcPr>
            <w:tcW w:w="2384"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提出单位</w:t>
            </w:r>
          </w:p>
        </w:tc>
        <w:tc>
          <w:tcPr>
            <w:tcW w:w="1613"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处理意见</w:t>
            </w:r>
          </w:p>
        </w:tc>
        <w:tc>
          <w:tcPr>
            <w:tcW w:w="702"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bidi="ar-SA"/>
              </w:rPr>
              <w:t>11</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附录A</w:t>
            </w:r>
          </w:p>
        </w:tc>
        <w:tc>
          <w:tcPr>
            <w:tcW w:w="2950"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评价要求应与前文相对应</w:t>
            </w:r>
          </w:p>
        </w:tc>
        <w:tc>
          <w:tcPr>
            <w:tcW w:w="2384" w:type="dxa"/>
            <w:noWrap w:val="0"/>
            <w:vAlign w:val="center"/>
          </w:tcPr>
          <w:p>
            <w:pPr>
              <w:widowControl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kern w:val="2"/>
                <w:sz w:val="21"/>
                <w:szCs w:val="21"/>
                <w:lang w:val="en-US" w:eastAsia="zh-CN"/>
              </w:rPr>
              <w:t>江西省锂电产品质量监督检验中心</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12</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sz w:val="21"/>
                <w:szCs w:val="21"/>
              </w:rPr>
              <w:t>广东佳纳能源科技有限公司</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p>
        </w:tc>
        <w:tc>
          <w:tcPr>
            <w:tcW w:w="702"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bidi="ar-SA"/>
              </w:rPr>
              <w:t>13</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default" w:ascii="Times New Roman" w:hAnsi="Times New Roman" w:eastAsia="宋体" w:cs="Times New Roman"/>
                <w:kern w:val="2"/>
                <w:sz w:val="21"/>
                <w:szCs w:val="21"/>
                <w:lang w:val="en-US" w:eastAsia="zh-CN"/>
              </w:rPr>
            </w:pPr>
            <w:r>
              <w:rPr>
                <w:rFonts w:hint="eastAsia" w:ascii="宋体" w:hAnsi="宋体" w:eastAsia="宋体" w:cs="宋体"/>
                <w:kern w:val="2"/>
                <w:sz w:val="21"/>
                <w:szCs w:val="21"/>
                <w:lang w:val="en-US" w:eastAsia="zh-CN"/>
              </w:rPr>
              <w:t>江苏威拉里新材料科技有限公司</w:t>
            </w:r>
          </w:p>
        </w:tc>
        <w:tc>
          <w:tcPr>
            <w:tcW w:w="1613" w:type="dxa"/>
            <w:noWrap w:val="0"/>
            <w:vAlign w:val="center"/>
          </w:tcPr>
          <w:p>
            <w:pPr>
              <w:widowControl w:val="0"/>
              <w:spacing w:line="240" w:lineRule="auto"/>
              <w:ind w:firstLine="0" w:firstLineChars="0"/>
              <w:jc w:val="both"/>
              <w:rPr>
                <w:rFonts w:hint="default" w:ascii="宋体" w:hAnsi="宋体" w:eastAsia="宋体" w:cs="宋体"/>
                <w:kern w:val="0"/>
                <w:sz w:val="21"/>
                <w:szCs w:val="21"/>
                <w:lang w:val="en-US" w:eastAsia="zh-CN"/>
              </w:rPr>
            </w:pPr>
          </w:p>
        </w:tc>
        <w:tc>
          <w:tcPr>
            <w:tcW w:w="702"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bidi="ar-SA"/>
              </w:rPr>
              <w:t>14</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自贡硬质合金有限责任公司</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p>
        </w:tc>
        <w:tc>
          <w:tcPr>
            <w:tcW w:w="702"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15</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eastAsia" w:ascii="宋体" w:hAnsi="宋体" w:eastAsia="宋体" w:cs="宋体"/>
                <w:kern w:val="2"/>
                <w:sz w:val="21"/>
                <w:szCs w:val="21"/>
              </w:rPr>
            </w:pPr>
            <w:r>
              <w:rPr>
                <w:rFonts w:hint="eastAsia" w:ascii="宋体" w:hAnsi="宋体" w:eastAsia="宋体" w:cs="宋体"/>
                <w:sz w:val="21"/>
                <w:szCs w:val="21"/>
                <w:lang w:val="en-US" w:eastAsia="zh-CN"/>
              </w:rPr>
              <w:t>清远佳致新材料研究院有限责任公司</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p>
        </w:tc>
        <w:tc>
          <w:tcPr>
            <w:tcW w:w="702"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中南大学</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p>
        </w:tc>
        <w:tc>
          <w:tcPr>
            <w:tcW w:w="702"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w:t>
            </w:r>
          </w:p>
        </w:tc>
      </w:tr>
    </w:tbl>
    <w:p>
      <w:pPr>
        <w:keepNext w:val="0"/>
        <w:keepLines w:val="0"/>
        <w:pageBreakBefore w:val="0"/>
        <w:widowControl/>
        <w:kinsoku/>
        <w:wordWrap/>
        <w:overflowPunct/>
        <w:topLinePunct w:val="0"/>
        <w:autoSpaceDE/>
        <w:autoSpaceDN/>
        <w:bidi w:val="0"/>
        <w:adjustRightInd/>
        <w:snapToGrid/>
        <w:spacing w:before="156" w:beforeLines="50" w:line="360" w:lineRule="auto"/>
        <w:ind w:firstLine="0" w:firstLineChars="0"/>
        <w:jc w:val="left"/>
        <w:textAlignment w:val="auto"/>
        <w:rPr>
          <w:rFonts w:hint="eastAsia" w:ascii="宋体" w:hAnsi="宋体" w:eastAsia="宋体" w:cs="宋体"/>
        </w:rPr>
      </w:pPr>
      <w:r>
        <w:rPr>
          <w:rFonts w:hint="eastAsia" w:ascii="宋体" w:hAnsi="宋体" w:eastAsia="宋体" w:cs="宋体"/>
        </w:rPr>
        <w:t>说明：</w:t>
      </w: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发送“征求意见稿”的单位数：</w:t>
      </w:r>
      <w:r>
        <w:rPr>
          <w:rFonts w:hint="eastAsia" w:ascii="宋体" w:hAnsi="宋体" w:eastAsia="宋体" w:cs="宋体"/>
          <w:lang w:val="en-US" w:eastAsia="zh-CN"/>
        </w:rPr>
        <w:t>16</w:t>
      </w:r>
      <w:r>
        <w:rPr>
          <w:rFonts w:hint="eastAsia" w:ascii="宋体" w:hAnsi="宋体" w:eastAsia="宋体" w:cs="宋体"/>
        </w:rPr>
        <w:t>个。</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收到“征求意见稿”后，回函的单位数：</w:t>
      </w:r>
      <w:r>
        <w:rPr>
          <w:rFonts w:hint="eastAsia" w:ascii="宋体" w:hAnsi="宋体" w:eastAsia="宋体" w:cs="宋体"/>
          <w:lang w:val="en-US" w:eastAsia="zh-CN"/>
        </w:rPr>
        <w:t>16</w:t>
      </w:r>
      <w:r>
        <w:rPr>
          <w:rFonts w:hint="eastAsia" w:ascii="宋体" w:hAnsi="宋体" w:eastAsia="宋体" w:cs="宋体"/>
        </w:rPr>
        <w:t>个。</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收到“征求意见稿”后，回函并有建议或意见的单位数：</w:t>
      </w:r>
      <w:r>
        <w:rPr>
          <w:rFonts w:hint="eastAsia" w:ascii="宋体" w:hAnsi="宋体" w:eastAsia="宋体" w:cs="宋体"/>
          <w:lang w:val="en-US" w:eastAsia="zh-CN"/>
        </w:rPr>
        <w:t>11</w:t>
      </w:r>
      <w:r>
        <w:rPr>
          <w:rFonts w:hint="eastAsia" w:ascii="宋体" w:hAnsi="宋体" w:eastAsia="宋体" w:cs="宋体"/>
        </w:rPr>
        <w:t>个。</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 xml:space="preserve">没有回函的单位数：0个。 </w:t>
      </w:r>
    </w:p>
    <w:p/>
    <w:sectPr>
      <w:pgSz w:w="11906" w:h="16838"/>
      <w:pgMar w:top="1440" w:right="1466" w:bottom="1440" w:left="13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C7CFE"/>
    <w:rsid w:val="532C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Times New Roman" w:hAnsi="Times New Roman" w:eastAsia="宋体"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Paragraph"/>
    <w:basedOn w:val="1"/>
    <w:qFormat/>
    <w:uiPriority w:val="34"/>
    <w:pPr>
      <w:ind w:left="720"/>
      <w:contextualSpacing/>
    </w:pPr>
  </w:style>
  <w:style w:type="paragraph" w:styleId="3">
    <w:name w:val="Body Text Indent 2"/>
    <w:basedOn w:val="1"/>
    <w:qFormat/>
    <w:uiPriority w:val="0"/>
    <w:pPr>
      <w:spacing w:line="360" w:lineRule="auto"/>
      <w:ind w:firstLine="51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2022-05-06T08:22:00Z</dcterms:created>
  <dc:creator>刘玮</dc:creator>
  <cp:lastModifiedBy>刘玮</cp:lastModifiedBy>
  <dcterms:modified xsi:type="dcterms:W3CDTF">2022-05-06T08:25:25Z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2052-11.8.2.11031</vt:lpwstr>
  </property>
  <property fmtid="{D5CDD505-2E9C-101B-9397-08002B2CF9AE}" pid="3" name="ICV">
    <vt:lpwstr>6B2F0EA622BD41DCBC5EEC2144DFBD3D</vt:lpwstr>
  </property>
</Properties>
</file>