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spacing w:line="360" w:lineRule="exact"/>
      </w:pPr>
      <w:bookmarkStart w:id="0" w:name="SectionMark0"/>
      <w:r>
        <w:drawing>
          <wp:anchor distT="0" distB="0" distL="114300" distR="114300" simplePos="0" relativeHeight="251665408" behindDoc="0" locked="1" layoutInCell="1" allowOverlap="1">
            <wp:simplePos x="0" y="0"/>
            <wp:positionH relativeFrom="margin">
              <wp:posOffset>4284345</wp:posOffset>
            </wp:positionH>
            <wp:positionV relativeFrom="margin">
              <wp:posOffset>107315</wp:posOffset>
            </wp:positionV>
            <wp:extent cx="1403350" cy="720090"/>
            <wp:effectExtent l="0" t="0" r="13970" b="11430"/>
            <wp:wrapNone/>
            <wp:docPr id="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BPicture" descr="GB"/>
                    <pic:cNvPicPr>
                      <a:picLocks noChangeAspect="1"/>
                    </pic:cNvPicPr>
                  </pic:nvPicPr>
                  <pic:blipFill>
                    <a:blip r:embed="rId17"/>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6"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700pt;height:0pt;width:482pt;z-index:251664384;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YEPMm5wEAANwDAAAOAAAAZHJzL2Uyb0RvYy54bWytU82O0zAQ&#10;viPxDpbvNGmFyipquoct5YKgEvAAU9tJLPlPHrdpn4XX4MSFx9nXYOx0u7BceiAHZ+wZfzPfN+PV&#10;/ckadlQRtXctn89qzpQTXmrXt/zb1+2bO84wgZNgvFMtPyvk9+vXr1ZjaNTCD95IFRmBOGzG0PIh&#10;pdBUFYpBWcCZD8qRs/PRQqJt7CsZYSR0a6pFXS+r0UcZohcKkU43k5NfEOMtgL7rtFAbLw5WuTSh&#10;RmUgESUcdEC+LtV2nRLpc9ehSsy0nJimslISsvd5rdYraPoIYdDiUgLcUsILTha0o6RXqA0kYIeo&#10;/4GyWkSPvksz4W01ESmKEIt5/UKbLwMEVbiQ1BiuouP/gxWfjrvItGz5kjMHlhr++P3H489f7C5r&#10;MwZsKOTB7eJlh2EXM9FTF23+EwV2Knqer3qqU2KCDpfzxfxtTVKLJ1/1fDFETB+UtywbLTfaZarQ&#10;wPEjJkpGoU8h+dg4NtK4Lt4VPKDB66jhBG0DFY+uL5fRGy232ph8BWO/fzCRHYGavy1f5kTAf4Xl&#10;LBvAYYorrmksBgXyvZMsnQPJ4ug18FyDVZIzo+jxZIsAoUmgzS2RlNo4qiDLOgmZrb2XZ2rCIUTd&#10;DyTFvFSZPdT0Uu9lQPNU/bkvSM+P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qwO9QAAAAK&#10;AQAADwAAAAAAAAABACAAAAAiAAAAZHJzL2Rvd25yZXYueG1sUEsBAhQAFAAAAAgAh07iQNgQ8ybn&#10;AQAA3AMAAA4AAAAAAAAAAQAgAAAAIwEAAGRycy9lMm9Eb2MueG1sUEsFBgAAAAAGAAYAWQEAAHwF&#10;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0"/>
                              <w:rPr>
                                <w:rFonts w:hint="eastAsia"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mSkPGyQEAAKYDAAAOAAAAZHJzL2Uyb0RvYy54bWyt&#10;U01v2zAMvQ/YfxB0X+ykW7E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KZKQ8bJAQAApgMAAA4AAAAAAAAAAQAgAAAAKQEA&#10;AGRycy9lMm9Eb2MueG1sUEsFBgAAAAAGAAYAWQEAAGQFAAAAAA==&#10;">
                <v:fill on="t" focussize="0,0"/>
                <v:stroke on="f"/>
                <v:imagedata o:title=""/>
                <o:lock v:ext="edit" aspectratio="f"/>
                <v:textbox inset="0mm,0mm,0mm,0mm">
                  <w:txbxContent>
                    <w:p>
                      <w:pPr>
                        <w:pStyle w:val="50"/>
                        <w:rPr>
                          <w:rFonts w:hint="eastAsia"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1"/>
                              <w:rPr>
                                <w:rFonts w:hint="eastAsia"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pPr>
                        <w:pStyle w:val="51"/>
                        <w:rPr>
                          <w:rFonts w:hint="eastAsia"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104775</wp:posOffset>
                </wp:positionH>
                <wp:positionV relativeFrom="margin">
                  <wp:posOffset>2952750</wp:posOffset>
                </wp:positionV>
                <wp:extent cx="6057900" cy="5286375"/>
                <wp:effectExtent l="0" t="0" r="7620" b="1905"/>
                <wp:wrapNone/>
                <wp:docPr id="3" name="fmFrame4"/>
                <wp:cNvGraphicFramePr/>
                <a:graphic xmlns:a="http://schemas.openxmlformats.org/drawingml/2006/main">
                  <a:graphicData uri="http://schemas.microsoft.com/office/word/2010/wordprocessingShape">
                    <wps:wsp>
                      <wps:cNvSpPr txBox="1"/>
                      <wps:spPr>
                        <a:xfrm>
                          <a:off x="0" y="0"/>
                          <a:ext cx="6057900" cy="5286375"/>
                        </a:xfrm>
                        <a:prstGeom prst="rect">
                          <a:avLst/>
                        </a:prstGeom>
                        <a:solidFill>
                          <a:srgbClr val="FFFFFF"/>
                        </a:solidFill>
                        <a:ln>
                          <a:noFill/>
                        </a:ln>
                      </wps:spPr>
                      <wps:txbx>
                        <w:txbxContent>
                          <w:p>
                            <w:pPr>
                              <w:ind w:left="23" w:leftChars="-6" w:hanging="36" w:hangingChars="7"/>
                              <w:jc w:val="center"/>
                              <w:rPr>
                                <w:rFonts w:hint="eastAsia" w:ascii="黑体" w:eastAsia="黑体"/>
                                <w:sz w:val="52"/>
                                <w:szCs w:val="52"/>
                              </w:rPr>
                            </w:pPr>
                            <w:r>
                              <w:rPr>
                                <w:rFonts w:hint="eastAsia" w:ascii="黑体" w:eastAsia="黑体"/>
                                <w:sz w:val="52"/>
                                <w:szCs w:val="52"/>
                              </w:rPr>
                              <w:t>稀土铁合金化学分析方法</w:t>
                            </w:r>
                          </w:p>
                          <w:p>
                            <w:pPr>
                              <w:ind w:left="23" w:leftChars="-6" w:hanging="36" w:hangingChars="7"/>
                              <w:jc w:val="center"/>
                              <w:rPr>
                                <w:rFonts w:hint="eastAsia" w:ascii="黑体" w:eastAsia="黑体"/>
                                <w:sz w:val="52"/>
                                <w:szCs w:val="52"/>
                              </w:rPr>
                            </w:pPr>
                            <w:r>
                              <w:rPr>
                                <w:rFonts w:hint="eastAsia" w:ascii="黑体" w:eastAsia="黑体"/>
                                <w:sz w:val="52"/>
                                <w:szCs w:val="52"/>
                              </w:rPr>
                              <w:t>第8部分：硅量的测定</w:t>
                            </w:r>
                          </w:p>
                          <w:p>
                            <w:pPr>
                              <w:ind w:left="23" w:leftChars="-6" w:hanging="36" w:hangingChars="7"/>
                              <w:jc w:val="center"/>
                              <w:rPr>
                                <w:rFonts w:hint="eastAsia" w:ascii="黑体" w:eastAsia="黑体"/>
                                <w:sz w:val="52"/>
                                <w:szCs w:val="52"/>
                              </w:rPr>
                            </w:pPr>
                            <w:r>
                              <w:rPr>
                                <w:rFonts w:hint="eastAsia" w:ascii="黑体" w:eastAsia="黑体"/>
                                <w:sz w:val="52"/>
                                <w:szCs w:val="52"/>
                              </w:rPr>
                              <w:t>钼蓝分光光度法</w:t>
                            </w:r>
                          </w:p>
                          <w:p>
                            <w:pPr>
                              <w:ind w:left="23" w:leftChars="-6" w:hanging="36" w:hangingChars="7"/>
                              <w:jc w:val="center"/>
                              <w:rPr>
                                <w:rFonts w:hint="eastAsia" w:ascii="黑体" w:eastAsia="黑体"/>
                                <w:sz w:val="52"/>
                                <w:szCs w:val="52"/>
                              </w:rPr>
                            </w:pPr>
                          </w:p>
                          <w:p>
                            <w:pPr>
                              <w:pStyle w:val="61"/>
                              <w:tabs>
                                <w:tab w:val="left" w:pos="7155"/>
                              </w:tabs>
                              <w:spacing w:before="0"/>
                              <w:rPr>
                                <w:rFonts w:eastAsia="黑体"/>
                                <w:b/>
                                <w:bCs/>
                                <w:szCs w:val="28"/>
                              </w:rPr>
                            </w:pPr>
                            <w:r>
                              <w:rPr>
                                <w:rFonts w:eastAsia="黑体"/>
                                <w:b/>
                                <w:bCs/>
                                <w:szCs w:val="28"/>
                              </w:rPr>
                              <w:t>Chemical analysis methods for rare earth ferroalloy-</w:t>
                            </w:r>
                          </w:p>
                          <w:p>
                            <w:pPr>
                              <w:pStyle w:val="61"/>
                              <w:tabs>
                                <w:tab w:val="left" w:pos="7155"/>
                              </w:tabs>
                              <w:spacing w:before="0"/>
                              <w:rPr>
                                <w:rFonts w:eastAsia="黑体"/>
                                <w:b/>
                                <w:bCs/>
                                <w:szCs w:val="28"/>
                              </w:rPr>
                            </w:pPr>
                            <w:r>
                              <w:rPr>
                                <w:rFonts w:eastAsia="黑体"/>
                                <w:b/>
                                <w:bCs/>
                                <w:szCs w:val="28"/>
                              </w:rPr>
                              <w:t xml:space="preserve">Part </w:t>
                            </w:r>
                            <w:r>
                              <w:rPr>
                                <w:rFonts w:hint="eastAsia" w:eastAsia="黑体"/>
                                <w:b/>
                                <w:bCs/>
                                <w:szCs w:val="28"/>
                              </w:rPr>
                              <w:t>8</w:t>
                            </w:r>
                            <w:r>
                              <w:rPr>
                                <w:rFonts w:eastAsia="黑体"/>
                                <w:b/>
                                <w:bCs/>
                                <w:szCs w:val="28"/>
                              </w:rPr>
                              <w:t>: Determination of silicon content</w:t>
                            </w:r>
                          </w:p>
                          <w:p>
                            <w:pPr>
                              <w:pStyle w:val="61"/>
                              <w:tabs>
                                <w:tab w:val="left" w:pos="7155"/>
                              </w:tabs>
                              <w:spacing w:before="0"/>
                              <w:rPr>
                                <w:rFonts w:eastAsia="黑体"/>
                                <w:b/>
                                <w:bCs/>
                                <w:szCs w:val="28"/>
                              </w:rPr>
                            </w:pPr>
                            <w:r>
                              <w:rPr>
                                <w:rFonts w:hint="eastAsia" w:eastAsia="黑体"/>
                                <w:b/>
                                <w:bCs/>
                                <w:szCs w:val="28"/>
                              </w:rPr>
                              <w:t>Molybdenum blue spectrophotometry</w:t>
                            </w:r>
                          </w:p>
                          <w:p>
                            <w:pPr>
                              <w:pStyle w:val="61"/>
                              <w:tabs>
                                <w:tab w:val="left" w:pos="7155"/>
                              </w:tabs>
                              <w:spacing w:line="240" w:lineRule="auto"/>
                              <w:rPr>
                                <w:rFonts w:hint="eastAsia"/>
                                <w:sz w:val="24"/>
                                <w:szCs w:val="24"/>
                              </w:rPr>
                            </w:pPr>
                            <w:r>
                              <w:rPr>
                                <w:rFonts w:hint="eastAsia" w:ascii="宋体" w:hAnsi="宋体"/>
                                <w:szCs w:val="28"/>
                              </w:rPr>
                              <w:t>（</w:t>
                            </w:r>
                            <w:r>
                              <w:rPr>
                                <w:rFonts w:hint="eastAsia" w:ascii="宋体" w:hAnsi="宋体"/>
                                <w:szCs w:val="28"/>
                                <w:lang w:val="en-US" w:eastAsia="zh-CN"/>
                              </w:rPr>
                              <w:t>送审稿</w:t>
                            </w:r>
                            <w:r>
                              <w:rPr>
                                <w:rFonts w:hint="eastAsia" w:ascii="宋体" w:hAnsi="宋体"/>
                                <w:szCs w:val="28"/>
                              </w:rPr>
                              <w:t>）</w:t>
                            </w:r>
                          </w:p>
                        </w:txbxContent>
                      </wps:txbx>
                      <wps:bodyPr wrap="square" lIns="0" tIns="0" rIns="0" bIns="0" upright="1"/>
                    </wps:wsp>
                  </a:graphicData>
                </a:graphic>
              </wp:anchor>
            </w:drawing>
          </mc:Choice>
          <mc:Fallback>
            <w:pict>
              <v:shape id="fmFrame4" o:spid="_x0000_s1026" o:spt="202" type="#_x0000_t202" style="position:absolute;left:0pt;margin-left:8.25pt;margin-top:232.5pt;height:416.25pt;width:477pt;mso-position-horizontal-relative:margin;mso-position-vertical-relative:margin;z-index:251661312;mso-width-relative:page;mso-height-relative:page;" fillcolor="#FFFFFF" filled="t" stroked="f" coordsize="21600,21600" o:gfxdata="UEsDBAoAAAAAAIdO4kAAAAAAAAAAAAAAAAAEAAAAZHJzL1BLAwQUAAAACACHTuJARaYC/tkAAAAL&#10;AQAADwAAAGRycy9kb3ducmV2LnhtbE2PwU7DMBBE70j8g7VIXBB1GpGUhjiVaOEGh5aqZzdekoh4&#10;HdlO0/49y4keZ2c0+6ZcnW0vTuhD50jBfJaAQKqd6ahRsP96f3wGEaImo3tHqOCCAVbV7U2pC+Mm&#10;2uJpFxvBJRQKraCNcSikDHWLVoeZG5DY+3be6sjSN9J4PXG57WWaJLm0uiP+0OoB1y3WP7vRKsg3&#10;fpy2tH7Y7N8+9OfQpIfXy0Gp+7t58gIi4jn+h+EPn9GhYqajG8kE0bPOM04qeMoz3sSB5SLhy5Gd&#10;dLnIQFalvN5Q/QJQSwMEFAAAAAgAh07iQCNH1j/JAQAApwMAAA4AAABkcnMvZTJvRG9jLnhtbK1T&#10;TW/bMAy9D9h/EHRf7KZL2hlxCmxBhgHDVqDbD5BlyRagr1FK7Pz7UbKdbt2lh/lgUyT1yPdI7x5G&#10;o8lZQFDO1vRmVVIiLHetsl1Nf/44vrunJERmW6adFTW9iEAf9m/f7AZfibXrnW4FEASxoRp8TfsY&#10;fVUUgffCsLByXlgMSgeGRTxCV7TABkQ3uliX5bYYHLQeHBchoPcwBemMCK8BdFIqLg6On4ywcUIF&#10;oVlESqFXPtB97lZKweN3KYOIRNcUmcb8xiJoN+ld7Hes6oD5XvG5BfaaFl5wMkxZLHqFOrDIyAnU&#10;P1BGcXDBybjizhQTkawIsrgpX2jz1DMvMheUOvir6OH/wfJv50cgqq3pLSWWGRy4NEdA433SZvCh&#10;wpQnj0lx/OhG3JjFH9CZKI8STPoiGYJxVPZyVVaMkXB0bsvN3YcSQxxjm/X99vZuk3CK5+seQvws&#10;nCHJqCng6LKi7Pw1xCl1SUnVgtOqPSqt8wG65pMGcmY45mN+ZvS/0rRNydalaxNi8hSJ5EQmWXFs&#10;xpl549oLEh9wPWoafp0YCEr0F4v6p11aDFiMZjFOHlTXI4ssVi6A88t0511LC/LnObfx/H/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pgL+2QAAAAsBAAAPAAAAAAAAAAEAIAAAACIAAABkcnMv&#10;ZG93bnJldi54bWxQSwECFAAUAAAACACHTuJAI0fWP8kBAACnAwAADgAAAAAAAAABACAAAAAoAQAA&#10;ZHJzL2Uyb0RvYy54bWxQSwUGAAAAAAYABgBZAQAAYwUAAAAA&#10;">
                <v:fill on="t" focussize="0,0"/>
                <v:stroke on="f"/>
                <v:imagedata o:title=""/>
                <o:lock v:ext="edit" aspectratio="f"/>
                <v:textbox inset="0mm,0mm,0mm,0mm">
                  <w:txbxContent>
                    <w:p>
                      <w:pPr>
                        <w:ind w:left="23" w:leftChars="-6" w:hanging="36" w:hangingChars="7"/>
                        <w:jc w:val="center"/>
                        <w:rPr>
                          <w:rFonts w:hint="eastAsia" w:ascii="黑体" w:eastAsia="黑体"/>
                          <w:sz w:val="52"/>
                          <w:szCs w:val="52"/>
                        </w:rPr>
                      </w:pPr>
                      <w:r>
                        <w:rPr>
                          <w:rFonts w:hint="eastAsia" w:ascii="黑体" w:eastAsia="黑体"/>
                          <w:sz w:val="52"/>
                          <w:szCs w:val="52"/>
                        </w:rPr>
                        <w:t>稀土铁合金化学分析方法</w:t>
                      </w:r>
                    </w:p>
                    <w:p>
                      <w:pPr>
                        <w:ind w:left="23" w:leftChars="-6" w:hanging="36" w:hangingChars="7"/>
                        <w:jc w:val="center"/>
                        <w:rPr>
                          <w:rFonts w:hint="eastAsia" w:ascii="黑体" w:eastAsia="黑体"/>
                          <w:sz w:val="52"/>
                          <w:szCs w:val="52"/>
                        </w:rPr>
                      </w:pPr>
                      <w:r>
                        <w:rPr>
                          <w:rFonts w:hint="eastAsia" w:ascii="黑体" w:eastAsia="黑体"/>
                          <w:sz w:val="52"/>
                          <w:szCs w:val="52"/>
                        </w:rPr>
                        <w:t>第8部分：硅量的测定</w:t>
                      </w:r>
                    </w:p>
                    <w:p>
                      <w:pPr>
                        <w:ind w:left="23" w:leftChars="-6" w:hanging="36" w:hangingChars="7"/>
                        <w:jc w:val="center"/>
                        <w:rPr>
                          <w:rFonts w:hint="eastAsia" w:ascii="黑体" w:eastAsia="黑体"/>
                          <w:sz w:val="52"/>
                          <w:szCs w:val="52"/>
                        </w:rPr>
                      </w:pPr>
                      <w:r>
                        <w:rPr>
                          <w:rFonts w:hint="eastAsia" w:ascii="黑体" w:eastAsia="黑体"/>
                          <w:sz w:val="52"/>
                          <w:szCs w:val="52"/>
                        </w:rPr>
                        <w:t>钼蓝分光光度法</w:t>
                      </w:r>
                    </w:p>
                    <w:p>
                      <w:pPr>
                        <w:ind w:left="23" w:leftChars="-6" w:hanging="36" w:hangingChars="7"/>
                        <w:jc w:val="center"/>
                        <w:rPr>
                          <w:rFonts w:hint="eastAsia" w:ascii="黑体" w:eastAsia="黑体"/>
                          <w:sz w:val="52"/>
                          <w:szCs w:val="52"/>
                        </w:rPr>
                      </w:pPr>
                    </w:p>
                    <w:p>
                      <w:pPr>
                        <w:pStyle w:val="61"/>
                        <w:tabs>
                          <w:tab w:val="left" w:pos="7155"/>
                        </w:tabs>
                        <w:spacing w:before="0"/>
                        <w:rPr>
                          <w:rFonts w:eastAsia="黑体"/>
                          <w:b/>
                          <w:bCs/>
                          <w:szCs w:val="28"/>
                        </w:rPr>
                      </w:pPr>
                      <w:r>
                        <w:rPr>
                          <w:rFonts w:eastAsia="黑体"/>
                          <w:b/>
                          <w:bCs/>
                          <w:szCs w:val="28"/>
                        </w:rPr>
                        <w:t>Chemical analysis methods for rare earth ferroalloy-</w:t>
                      </w:r>
                    </w:p>
                    <w:p>
                      <w:pPr>
                        <w:pStyle w:val="61"/>
                        <w:tabs>
                          <w:tab w:val="left" w:pos="7155"/>
                        </w:tabs>
                        <w:spacing w:before="0"/>
                        <w:rPr>
                          <w:rFonts w:eastAsia="黑体"/>
                          <w:b/>
                          <w:bCs/>
                          <w:szCs w:val="28"/>
                        </w:rPr>
                      </w:pPr>
                      <w:r>
                        <w:rPr>
                          <w:rFonts w:eastAsia="黑体"/>
                          <w:b/>
                          <w:bCs/>
                          <w:szCs w:val="28"/>
                        </w:rPr>
                        <w:t xml:space="preserve">Part </w:t>
                      </w:r>
                      <w:r>
                        <w:rPr>
                          <w:rFonts w:hint="eastAsia" w:eastAsia="黑体"/>
                          <w:b/>
                          <w:bCs/>
                          <w:szCs w:val="28"/>
                        </w:rPr>
                        <w:t>8</w:t>
                      </w:r>
                      <w:r>
                        <w:rPr>
                          <w:rFonts w:eastAsia="黑体"/>
                          <w:b/>
                          <w:bCs/>
                          <w:szCs w:val="28"/>
                        </w:rPr>
                        <w:t>: Determination of silicon content</w:t>
                      </w:r>
                    </w:p>
                    <w:p>
                      <w:pPr>
                        <w:pStyle w:val="61"/>
                        <w:tabs>
                          <w:tab w:val="left" w:pos="7155"/>
                        </w:tabs>
                        <w:spacing w:before="0"/>
                        <w:rPr>
                          <w:rFonts w:eastAsia="黑体"/>
                          <w:b/>
                          <w:bCs/>
                          <w:szCs w:val="28"/>
                        </w:rPr>
                      </w:pPr>
                      <w:r>
                        <w:rPr>
                          <w:rFonts w:hint="eastAsia" w:eastAsia="黑体"/>
                          <w:b/>
                          <w:bCs/>
                          <w:szCs w:val="28"/>
                        </w:rPr>
                        <w:t>Molybdenum blue spectrophotometry</w:t>
                      </w:r>
                    </w:p>
                    <w:p>
                      <w:pPr>
                        <w:pStyle w:val="61"/>
                        <w:tabs>
                          <w:tab w:val="left" w:pos="7155"/>
                        </w:tabs>
                        <w:spacing w:line="240" w:lineRule="auto"/>
                        <w:rPr>
                          <w:rFonts w:hint="eastAsia"/>
                          <w:sz w:val="24"/>
                          <w:szCs w:val="24"/>
                        </w:rPr>
                      </w:pPr>
                      <w:r>
                        <w:rPr>
                          <w:rFonts w:hint="eastAsia" w:ascii="宋体" w:hAnsi="宋体"/>
                          <w:szCs w:val="28"/>
                        </w:rPr>
                        <w:t>（</w:t>
                      </w:r>
                      <w:r>
                        <w:rPr>
                          <w:rFonts w:hint="eastAsia" w:ascii="宋体" w:hAnsi="宋体"/>
                          <w:szCs w:val="28"/>
                          <w:lang w:val="en-US" w:eastAsia="zh-CN"/>
                        </w:rPr>
                        <w:t>送审稿</w:t>
                      </w:r>
                      <w:r>
                        <w:rPr>
                          <w:rFonts w:hint="eastAsia" w:ascii="宋体" w:hAnsi="宋体"/>
                          <w:szCs w:val="28"/>
                        </w:rPr>
                        <w:t>）</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53"/>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53"/>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page">
                  <wp:posOffset>900430</wp:posOffset>
                </wp:positionH>
                <wp:positionV relativeFrom="page">
                  <wp:posOffset>360045</wp:posOffset>
                </wp:positionV>
                <wp:extent cx="2540000" cy="657860"/>
                <wp:effectExtent l="0" t="0" r="5080" b="1270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42"/>
                              <w:spacing w:line="0" w:lineRule="atLeast"/>
                              <w:rPr>
                                <w:rFonts w:hint="eastAsia" w:ascii="黑体"/>
                              </w:rPr>
                            </w:pPr>
                            <w:r>
                              <w:rPr>
                                <w:rFonts w:hint="eastAsia" w:ascii="黑体"/>
                              </w:rPr>
                              <w:t xml:space="preserve">ICS </w:t>
                            </w:r>
                            <w:r>
                              <w:rPr>
                                <w:rFonts w:ascii="黑体"/>
                              </w:rPr>
                              <w:t>77.120.99</w:t>
                            </w:r>
                          </w:p>
                          <w:p>
                            <w:pPr>
                              <w:pStyle w:val="42"/>
                              <w:spacing w:line="0" w:lineRule="atLeast"/>
                            </w:pPr>
                            <w:r>
                              <w:rPr>
                                <w:rFonts w:hint="eastAsia" w:ascii="黑体"/>
                              </w:rPr>
                              <w:t>CCS H 14</w:t>
                            </w:r>
                          </w:p>
                        </w:txbxContent>
                      </wps:txbx>
                      <wps:bodyPr wrap="square" lIns="0" tIns="0" rIns="0" bIns="0" upright="1"/>
                    </wps:wsp>
                  </a:graphicData>
                </a:graphic>
              </wp:anchor>
            </w:drawing>
          </mc:Choice>
          <mc:Fallback>
            <w:pict>
              <v:shape id="fmFrame1" o:spid="_x0000_s1026" o:spt="202" type="#_x0000_t202" style="position:absolute;left:0pt;margin-left:70.9pt;margin-top:28.35pt;height:51.8pt;width:200pt;mso-position-horizontal-relative:page;mso-position-vertical-relative:page;z-index:251659264;mso-width-relative:page;mso-height-relative:page;" fillcolor="#FFFFFF" filled="t" stroked="f" coordsize="21600,21600"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DZwOAJyAEAAKYDAAAOAAAAZHJzL2Uyb0RvYy54bWytU02P&#10;0zAQvSPxHyzfadKKLauo6UpQFSEhQNrlBziOk1jyFzNuk/57xk7aheWyB3xwxjPjN/OeJ7uHyRp2&#10;VoDau5qvVyVnyknfatfX/OfT8d09ZxiFa4XxTtX8opA/7N++2Y2hUhs/eNMqYATisBpDzYcYQ1UU&#10;KAdlBa58UI6CnQcrIh2hL1oQI6FbU2zKcluMHtoAXipE8h7mIF8Q4TWAvuu0VAcvT1a5OKOCMiIS&#10;JRx0QL7P3XadkvF716GKzNScmMa8UxGym7QX+52oehBh0HJpQbymhRecrNCOit6gDiIKdgL9D5TV&#10;Ejz6Lq6kt8VMJCtCLNblC20eBxFU5kJSY7iJjv8PVn47/wCmW5oEzpyw9OCdPQIZ66TNGLCilMdA&#10;SXH66KeUt/iRnIny1IFNXyLDKE7KXm7KqikySc7N3fuSFmeSYtu7D/fbLH3xfDsAxs/KW5aMmgO9&#10;XBZUnL9ipIqUek1JxdAb3R61MfkAffPJADsLeuVjXqlJuvJXmnEp2fl0bQ4nT5E4zlySFadmWgg2&#10;vr0Q75Gmo+b46yRAcWa+OJI/jdLVgKvRXI1TAN0PxCJrlQvQ8+WGllFL8/HnObfx/Hv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7C59m1wAAAAoBAAAPAAAAAAAAAAEAIAAAACIAAABkcnMvZG93&#10;bnJldi54bWxQSwECFAAUAAAACACHTuJA2cDgCcgBAACmAwAADgAAAAAAAAABACAAAAAmAQAAZHJz&#10;L2Uyb0RvYy54bWxQSwUGAAAAAAYABgBZAQAAYAUAAAAA&#10;">
                <v:fill on="t" focussize="0,0"/>
                <v:stroke on="f"/>
                <v:imagedata o:title=""/>
                <o:lock v:ext="edit" aspectratio="f"/>
                <v:textbox inset="0mm,0mm,0mm,0mm">
                  <w:txbxContent>
                    <w:p>
                      <w:pPr>
                        <w:pStyle w:val="42"/>
                        <w:spacing w:line="0" w:lineRule="atLeast"/>
                        <w:rPr>
                          <w:rFonts w:hint="eastAsia" w:ascii="黑体"/>
                        </w:rPr>
                      </w:pPr>
                      <w:r>
                        <w:rPr>
                          <w:rFonts w:hint="eastAsia" w:ascii="黑体"/>
                        </w:rPr>
                        <w:t xml:space="preserve">ICS </w:t>
                      </w:r>
                      <w:r>
                        <w:rPr>
                          <w:rFonts w:ascii="黑体"/>
                        </w:rPr>
                        <w:t>77.120.99</w:t>
                      </w:r>
                    </w:p>
                    <w:p>
                      <w:pPr>
                        <w:pStyle w:val="42"/>
                        <w:spacing w:line="0" w:lineRule="atLeast"/>
                      </w:pPr>
                      <w:r>
                        <w:rPr>
                          <w:rFonts w:hint="eastAsia" w:ascii="黑体"/>
                        </w:rPr>
                        <w:t>CCS H 14</w:t>
                      </w:r>
                    </w:p>
                  </w:txbxContent>
                </v:textbox>
                <w10:anchorlock/>
              </v:shape>
            </w:pict>
          </mc:Fallback>
        </mc:AlternateContent>
      </w:r>
    </w:p>
    <w:p>
      <w:pPr>
        <w:pStyle w:val="57"/>
        <w:spacing w:line="360" w:lineRule="exact"/>
      </w:pPr>
      <w:r>
        <w:t xml:space="preserve"> </w:t>
      </w:r>
    </w:p>
    <w:p>
      <w:pPr>
        <w:spacing w:line="360" w:lineRule="exact"/>
      </w:pPr>
    </w:p>
    <w:p>
      <w:pPr>
        <w:spacing w:line="360" w:lineRule="exact"/>
      </w:pPr>
    </w:p>
    <w:p>
      <w:pPr>
        <w:spacing w:line="360" w:lineRule="exact"/>
      </w:pPr>
    </w:p>
    <w:p>
      <w:pPr>
        <w:spacing w:line="360" w:lineRule="exact"/>
      </w:pPr>
    </w:p>
    <w:p>
      <w:pPr>
        <w:spacing w:before="510" w:line="360" w:lineRule="exact"/>
        <w:ind w:left="2814" w:leftChars="1340"/>
        <w:jc w:val="right"/>
        <w:rPr>
          <w:rFonts w:eastAsia="黑体"/>
          <w:bCs/>
          <w:szCs w:val="21"/>
        </w:rPr>
      </w:pPr>
      <w:r>
        <w:rPr>
          <w:rFonts w:eastAsia="黑体"/>
          <w:bCs/>
          <w:sz w:val="28"/>
        </w:rPr>
        <w:t>GB/T XXXXX.8—202X</w:t>
      </w:r>
    </w:p>
    <w:p>
      <w:pPr>
        <w:spacing w:line="360" w:lineRule="exact"/>
        <w:ind w:firstLine="540"/>
        <w:rPr>
          <w:rFonts w:hint="eastAsia"/>
        </w:rPr>
        <w:sectPr>
          <w:headerReference r:id="rId5" w:type="first"/>
          <w:headerReference r:id="rId3" w:type="default"/>
          <w:footerReference r:id="rId6" w:type="default"/>
          <w:headerReference r:id="rId4" w:type="even"/>
          <w:footerReference r:id="rId7" w:type="even"/>
          <w:pgSz w:w="11907" w:h="16839"/>
          <w:pgMar w:top="567" w:right="851" w:bottom="85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w:rPr>
          <w:sz w:val="20"/>
        </w:rPr>
        <mc:AlternateContent>
          <mc:Choice Requires="wpg">
            <w:drawing>
              <wp:anchor distT="0" distB="0" distL="114300" distR="114300" simplePos="0" relativeHeight="251668480" behindDoc="0" locked="0" layoutInCell="1" allowOverlap="1">
                <wp:simplePos x="0" y="0"/>
                <wp:positionH relativeFrom="column">
                  <wp:posOffset>1251585</wp:posOffset>
                </wp:positionH>
                <wp:positionV relativeFrom="paragraph">
                  <wp:posOffset>7188200</wp:posOffset>
                </wp:positionV>
                <wp:extent cx="3656965" cy="599440"/>
                <wp:effectExtent l="0" t="0" r="635" b="10160"/>
                <wp:wrapNone/>
                <wp:docPr id="12" name="组合 15"/>
                <wp:cNvGraphicFramePr/>
                <a:graphic xmlns:a="http://schemas.openxmlformats.org/drawingml/2006/main">
                  <a:graphicData uri="http://schemas.microsoft.com/office/word/2010/wordprocessingGroup">
                    <wpg:wgp>
                      <wpg:cNvGrpSpPr/>
                      <wpg:grpSpPr>
                        <a:xfrm>
                          <a:off x="0" y="0"/>
                          <a:ext cx="3656965" cy="599440"/>
                          <a:chOff x="3359" y="14917"/>
                          <a:chExt cx="5759" cy="944"/>
                        </a:xfrm>
                      </wpg:grpSpPr>
                      <wps:wsp>
                        <wps:cNvPr id="10" name="fmFrame7"/>
                        <wps:cNvSpPr txBox="1"/>
                        <wps:spPr>
                          <a:xfrm>
                            <a:off x="3359" y="14917"/>
                            <a:ext cx="5759" cy="944"/>
                          </a:xfrm>
                          <a:prstGeom prst="rect">
                            <a:avLst/>
                          </a:prstGeom>
                          <a:solidFill>
                            <a:srgbClr val="FFFFFF"/>
                          </a:solidFill>
                          <a:ln>
                            <a:noFill/>
                          </a:ln>
                        </wps:spPr>
                        <wps:txbx>
                          <w:txbxContent>
                            <w:p>
                              <w:pPr>
                                <w:pStyle w:val="48"/>
                                <w:spacing w:line="400" w:lineRule="exact"/>
                                <w:rPr>
                                  <w:rStyle w:val="37"/>
                                  <w:rFonts w:hint="eastAsia"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48"/>
                                <w:spacing w:line="400" w:lineRule="exact"/>
                                <w:rPr>
                                  <w:rFonts w:hint="eastAsia"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pPr>
                                <w:pStyle w:val="48"/>
                              </w:pPr>
                            </w:p>
                          </w:txbxContent>
                        </wps:txbx>
                        <wps:bodyPr wrap="square" lIns="0" tIns="0" rIns="0" bIns="0" upright="1"/>
                      </wps:wsp>
                      <wps:wsp>
                        <wps:cNvPr id="11" name="文本框 14"/>
                        <wps:cNvSpPr txBox="1"/>
                        <wps:spPr>
                          <a:xfrm>
                            <a:off x="7884" y="14975"/>
                            <a:ext cx="1020" cy="843"/>
                          </a:xfrm>
                          <a:prstGeom prst="rect">
                            <a:avLst/>
                          </a:prstGeom>
                          <a:noFill/>
                          <a:ln>
                            <a:noFill/>
                          </a:ln>
                        </wps:spPr>
                        <wps:txbx>
                          <w:txbxContent>
                            <w:p>
                              <w:pPr>
                                <w:rPr>
                                  <w:spacing w:val="10"/>
                                </w:rPr>
                              </w:pPr>
                              <w:r>
                                <w:rPr>
                                  <w:rFonts w:hint="eastAsia" w:ascii="黑体" w:eastAsia="黑体"/>
                                  <w:spacing w:val="10"/>
                                  <w:sz w:val="28"/>
                                </w:rPr>
                                <w:t>发布</w:t>
                              </w:r>
                            </w:p>
                          </w:txbxContent>
                        </wps:txbx>
                        <wps:bodyPr wrap="square" upright="1"/>
                      </wps:wsp>
                    </wpg:wgp>
                  </a:graphicData>
                </a:graphic>
              </wp:anchor>
            </w:drawing>
          </mc:Choice>
          <mc:Fallback>
            <w:pict>
              <v:group id="组合 15" o:spid="_x0000_s1026" o:spt="203" style="position:absolute;left:0pt;margin-left:98.55pt;margin-top:566pt;height:47.2pt;width:287.95pt;z-index:251668480;mso-width-relative:page;mso-height-relative:page;" coordorigin="3359,14917" coordsize="5759,944" o:gfxdata="UEsDBAoAAAAAAIdO4kAAAAAAAAAAAAAAAAAEAAAAZHJzL1BLAwQUAAAACACHTuJAsi9Op9oAAAAN&#10;AQAADwAAAGRycy9kb3ducmV2LnhtbE1PQU7DMBC8I/EHa5G4UccJNCXEqVAFnKpKtEioNzfZJlHj&#10;dRS7Sft7lhPcZnZGszP58mI7MeLgW0ca1CwCgVS6qqVaw9fu/WEBwgdDlekcoYYrelgWtze5ySo3&#10;0SeO21ALDiGfGQ1NCH0mpS8btMbPXI/E2tEN1gSmQy2rwUwcbjsZR9FcWtMSf2hMj6sGy9P2bDV8&#10;TGZ6TdTbuD4dV9f97mnzvVao9f2dil5ABLyEPzP81ufqUHCngztT5UXH/DlVbGWgkphXsSVNEwYH&#10;PsXx/BFkkcv/K4ofUEsDBBQAAAAIAIdO4kB/cI2CgQIAAFsGAAAOAAAAZHJzL2Uyb0RvYy54bWy9&#10;Vc1u1DAQviPxDpbvNJv936jZSrBshYSgUuEBvI7zIyW2GXs36R0BR06cuHDnDXgeymswdpItXVqp&#10;FMQesmOPPTPf980kxydNVZKdAFMoGdPwaECJkFwlhcxi+vrV+tGcEmOZTFippIjphTD0ZPnwwXGt&#10;IzFUuSoTAQSDSBPVOqa5tToKAsNzUTFzpLSQ6EwVVMziErIgAVZj9KoMhoPBNKgVJBoUF8bg7qp1&#10;0i4i3CWgStOCi5Xi20pI20YFUTKLkExeaEOXvto0Fdy+TFMjLCljikitf2IStDfuGSyPWZQB03nB&#10;uxLYXUo4wFSxQmLSfagVs4xsofgtVFVwUEal9oirKmiBeEYQRTg44OYU1FZ7LFlUZ3pPOgp1wPq9&#10;w/IXuzMgRYKdMKREsgoV//Ht7fePH0g4cezUOovw0Cnoc30G3UbWrhzgJoXK/SMU0nheL/a8isYS&#10;jpuj6WS6mE4o4eibLBbjcUc8z1Edd200miwoQW84XoSzVhWeP+3uT2bO6y7jVecM+ryBK29fTa2x&#10;Jc0VT+bveDrPmRaefuMo6HnC1ml5Sqs1IGG+XJcazziOiG0eK8QUtvSZyODmDVTdhLln7HbELNJg&#10;7KlQFXFGTAF73Lce2z03tiWnP+KyGlUWybooS7+AbPOkBLJjOA9r/+v4vHaslO6wVO5aG9HtINk9&#10;GGfZZtP4fjDRRiUXCLzGOYqpebNlICgpn0kUwA1db0BvbHpjq6HIckThyfIJUEDXdf9DybBX8vLT&#10;+8vPXy+/vCOh7697qDmbz8d9B8/85LCoVzMcDJEG17/z8eha//6xmntNWPRPRLpNAD9Y+M7xs9a9&#10;H91L7de174irb8L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IvTqfaAAAADQEAAA8AAAAAAAAA&#10;AQAgAAAAIgAAAGRycy9kb3ducmV2LnhtbFBLAQIUABQAAAAIAIdO4kB/cI2CgQIAAFsGAAAOAAAA&#10;AAAAAAEAIAAAACkBAABkcnMvZTJvRG9jLnhtbFBLBQYAAAAABgAGAFkBAAAcBgAAAAA=&#10;">
                <o:lock v:ext="edit" aspectratio="f"/>
                <v:shape id="fmFrame7" o:spid="_x0000_s1026" o:spt="202" type="#_x0000_t202" style="position:absolute;left:3359;top:14917;height:944;width:5759;" fillcolor="#FFFFFF" filled="t" stroked="f" coordsize="21600,21600" o:gfxdata="UEsDBAoAAAAAAIdO4kAAAAAAAAAAAAAAAAAEAAAAZHJzL1BLAwQUAAAACACHTuJAhhGHUbwAAADb&#10;AAAADwAAAGRycy9kb3ducmV2LnhtbEWPT4vCMBDF74LfIYzgRTTVg0jXKPgPPOwedMXz0IxtsZmU&#10;JFr99juHBW8zvDfv/Wa5frlGPSnE2rOB6SQDRVx4W3Np4PJ7GC9AxYRssfFMBt4UYb3q95aYW9/x&#10;iZ7nVCoJ4ZijgSqlNtc6FhU5jBPfEot288FhkjWU2gbsJNw1epZlc+2wZmmosKVtRcX9/HAG5rvw&#10;6E68He0u+2/8acvZdfO+GjMcTLMvUIle6WP+vz5a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Rh1G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pStyle w:val="48"/>
                          <w:spacing w:line="400" w:lineRule="exact"/>
                          <w:rPr>
                            <w:rStyle w:val="37"/>
                            <w:rFonts w:hint="eastAsia"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48"/>
                          <w:spacing w:line="400" w:lineRule="exact"/>
                          <w:rPr>
                            <w:rFonts w:hint="eastAsia"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pPr>
                          <w:pStyle w:val="48"/>
                        </w:pPr>
                      </w:p>
                    </w:txbxContent>
                  </v:textbox>
                </v:shape>
                <v:shape id="文本框 14" o:spid="_x0000_s1026" o:spt="202" type="#_x0000_t202" style="position:absolute;left:7884;top:14975;height:843;width:102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pacing w:val="10"/>
                          </w:rPr>
                        </w:pPr>
                        <w:r>
                          <w:rPr>
                            <w:rFonts w:hint="eastAsia" w:ascii="黑体" w:eastAsia="黑体"/>
                            <w:spacing w:val="10"/>
                            <w:sz w:val="28"/>
                          </w:rPr>
                          <w:t>发布</w:t>
                        </w:r>
                      </w:p>
                    </w:txbxContent>
                  </v:textbox>
                </v:shape>
              </v:group>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ge">
                  <wp:posOffset>9274810</wp:posOffset>
                </wp:positionV>
                <wp:extent cx="6172200" cy="0"/>
                <wp:effectExtent l="0" t="0" r="0" b="0"/>
                <wp:wrapNone/>
                <wp:docPr id="9" name="直线 12"/>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pt;margin-top:730.3pt;height:0pt;width:486pt;mso-position-vertical-relative:page;z-index:251667456;mso-width-relative:page;mso-height-relative:page;" filled="f" stroked="t" coordsize="21600,21600" o:gfxdata="UEsDBAoAAAAAAIdO4kAAAAAAAAAAAAAAAAAEAAAAZHJzL1BLAwQUAAAACACHTuJAfYh8f9QAAAAK&#10;AQAADwAAAGRycy9kb3ducmV2LnhtbE2PzU7DMBCE70i8g7VIXCpqN6AAIU4PQG5cKCCu23hJIuJ1&#10;Grs/8PQshwqO+81odqZcHvygdjTFPrCFxdyAIm6C67m18PpSX9yAignZ4RCYLHxRhGV1elJi4cKe&#10;n2m3Sq2SEI4FWuhSGgutY9ORxzgPI7FoH2HymOScWu0m3Eu4H3RmTK499iwfOhzpvqPmc7X1FmL9&#10;Rpv6e9bMzPtlGyjbPDw9orXnZwtzByrRIf2Z4be+VIdKOq3Dll1UgwUZkoRe5SYHJfrtdSZofUS6&#10;KvX/CdUPUEsDBBQAAAAIAIdO4kA6LmiO6AEAANwDAAAOAAAAZHJzL2Uyb0RvYy54bWytU0tu2zAQ&#10;3RfoHQjua1kGkraC5SzippuiNdDmAGOSkgjwBw5t2WfpNbrqpsfJNTqkHKdNNl7EC3nIGb557w25&#10;vDlYw/Yqovau5fVszplywkvt+pbf/7h794EzTOAkGO9Uy48K+c3q7ZvlGBq18IM3UkVGIA6bMbR8&#10;SCk0VYViUBZw5oNylOx8tJBoGftKRhgJ3ZpqMZ9fV6OPMkQvFCLtrqckPyHGSwB912mh1l7srHJp&#10;Qo3KQCJJOOiAfFXYdp0S6VvXoUrMtJyUpvKlJhRv87daLaHpI4RBixMFuITCM00WtKOmZ6g1JGC7&#10;qF9AWS2iR9+lmfC2moQUR0hFPX/mzfcBgipayGoMZ9Px9WDF1/0mMi1b/pEzB5YG/vDz18PvP6xe&#10;ZHPGgA3V3LpNPK0wbGJWeuiizf+kgR2KocezoeqQmKDN6/r9gmbOmXjMVU8HQ8T0WXnLctByo13W&#10;Cg3sv2CiZlT6WJK3jWMjsbxaXBEc0MXraOAU2kDk0fXlLHqj5Z02Jp/A2G9vTWR7yMMvvyyJcP8r&#10;y03WgMNUV1LTtRgUyE9OsnQMZIuj18AzBaskZ0bR48kRAUKTQJtLKqm1ccQguzr5mKOtl0cawi5E&#10;3Q/kRF1Y5gwNvfA9XdB8q/5dF6SnR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2IfH/UAAAA&#10;CgEAAA8AAAAAAAAAAQAgAAAAIgAAAGRycy9kb3ducmV2LnhtbFBLAQIUABQAAAAIAIdO4kA6LmiO&#10;6AEAANwDAAAOAAAAAAAAAAEAIAAAACMBAABkcnMvZTJvRG9jLnhtbFBLBQYAAAAABgAGAFkBAAB9&#1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100965</wp:posOffset>
                </wp:positionV>
                <wp:extent cx="6120130" cy="0"/>
                <wp:effectExtent l="0" t="0" r="0" b="0"/>
                <wp:wrapNone/>
                <wp:docPr id="8" name="直线 10"/>
                <wp:cNvGraphicFramePr/>
                <a:graphic xmlns:a="http://schemas.openxmlformats.org/drawingml/2006/main">
                  <a:graphicData uri="http://schemas.microsoft.com/office/word/2010/wordprocessingShape">
                    <wps:wsp>
                      <wps:cNvCnPr/>
                      <wps:spPr>
                        <a:xfrm flipH="1">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x;margin-left:12.6pt;margin-top:7.95pt;height:0pt;width:481.9pt;z-index:251666432;mso-width-relative:page;mso-height-relative:page;" filled="f" stroked="t" coordsize="21600,21600" o:gfxdata="UEsDBAoAAAAAAIdO4kAAAAAAAAAAAAAAAAAEAAAAZHJzL1BLAwQUAAAACACHTuJAVEpl/dUAAAAI&#10;AQAADwAAAGRycy9kb3ducmV2LnhtbE2PwU7DMBBE70j8g7VI3KjdoKImxKkQAi5ISJTA2Ym3SVR7&#10;HcVuWv6eRRzocWdGs2/Kzck7MeMUh0AalgsFAqkNdqBOQ/3xfLMGEZMha1wg1PCNETbV5UVpChuO&#10;9I7zNnWCSygWRkOf0lhIGdsevYmLMCKxtwuTN4nPqZN2Mkcu905mSt1JbwbiD70Z8bHHdr89eA0P&#10;X69Pt29z44OzeVd/Wl+rl0zr66ulugeR8JT+w/CLz+hQMVMTDmSjcBqyVcZJ1lc5CPbzdc7bmj9B&#10;VqU8H1D9AFBLAwQUAAAACACHTuJArvbY7+0BAADmAwAADgAAAGRycy9lMm9Eb2MueG1srVNLjhMx&#10;EN0jcQfLe9JJ0Iyglc4sJgwsEIwEHKDiT7cl/+Ry0slZuAYrNhxnrkHZncnAsMkCL6yyq/yq3qvy&#10;6ubgLNurhCb4ji9mc86UF0Ea33f829e7V284wwxegg1edfyokN+sX75YjbFVyzAEK1ViBOKxHWPH&#10;h5xj2zQoBuUAZyEqT04dkoNMx9Q3MsFI6M42y/n8uhlDkjEFoRDpdjM5+QkxXQIYtDZCbYLYOeXz&#10;hJqUhUyUcDAR+bpWq7US+bPWqDKzHSemue6UhOxt2Zv1Cto+QRyMOJUAl5TwjJMD4ynpGWoDGdgu&#10;mX+gnBEpYNB5JoJrJiJVEWKxmD/T5ssAUVUuJDXGs+j4/2DFp/19YkZ2nNruwVHDH77/ePj5iy2q&#10;OGPElmJu/X0iqcoJ430qTA86OaatiR9oiip3YsMOVdrjWVp1yEzQ5fWC+L0m1cWjr5kgClRMmN+r&#10;4FgxOm6NL6yhhf1HzJSWQh9DyrX1bOz426vlFcEBjaCm1pPpItFA39e3GKyRd8ba8gJTv721ie2h&#10;jEFdpfOE+1dYSbIBHKa46poGZFAg33nJ8jGSQJ7+BS8lOCU5s4q+UbHqKGUw9pJISm09VfCkaLG2&#10;QR6pHbuYTD+QEotaZfFQ+2u9p1Et8/XnuSI9fc/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RK&#10;Zf3VAAAACAEAAA8AAAAAAAAAAQAgAAAAIgAAAGRycy9kb3ducmV2LnhtbFBLAQIUABQAAAAIAIdO&#10;4kCu9tjv7QEAAOYDAAAOAAAAAAAAAAEAIAAAACQBAABkcnMvZTJvRG9jLnhtbFBLBQYAAAAABgAG&#10;AFkBAACDBQAAAAA=&#10;">
                <v:fill on="f" focussize="0,0"/>
                <v:stroke color="#000000" joinstyle="round"/>
                <v:imagedata o:title=""/>
                <o:lock v:ext="edit" aspectratio="f"/>
              </v:line>
            </w:pict>
          </mc:Fallback>
        </mc:AlternateContent>
      </w:r>
    </w:p>
    <w:bookmarkEnd w:id="0"/>
    <w:p>
      <w:pPr>
        <w:pStyle w:val="45"/>
        <w:spacing w:before="0" w:after="680" w:line="360" w:lineRule="exact"/>
        <w:ind w:firstLine="4320" w:firstLineChars="1350"/>
        <w:jc w:val="both"/>
        <w:rPr>
          <w:rFonts w:ascii="Times New Roman"/>
        </w:rPr>
      </w:pPr>
      <w:r>
        <w:rPr>
          <w:rFonts w:ascii="Times New Roman"/>
        </w:rPr>
        <w:t>前　言</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szCs w:val="20"/>
        </w:rPr>
      </w:pPr>
      <w:r>
        <w:rPr>
          <w:szCs w:val="20"/>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宋体"/>
          <w:lang w:val="en-US" w:eastAsia="zh-CN"/>
        </w:rPr>
      </w:pPr>
      <w:r>
        <w:rPr>
          <w:szCs w:val="20"/>
        </w:rPr>
        <w:t>本文件是</w:t>
      </w:r>
      <w:r>
        <w:t>GB/T XXXXX-202X《</w:t>
      </w:r>
      <w:r>
        <w:rPr>
          <w:szCs w:val="21"/>
        </w:rPr>
        <w:t>稀土铁合金化学分析方法</w:t>
      </w:r>
      <w:r>
        <w:t>》</w:t>
      </w:r>
      <w:r>
        <w:rPr>
          <w:szCs w:val="20"/>
        </w:rPr>
        <w:t>的第8部分</w:t>
      </w:r>
      <w:r>
        <w:rPr>
          <w:rFonts w:hint="eastAsia"/>
          <w:szCs w:val="20"/>
          <w:lang w:eastAsia="zh-CN"/>
        </w:rPr>
        <w:t>。</w:t>
      </w:r>
      <w:r>
        <w:t>GB/T XXXXX-202X《</w:t>
      </w:r>
      <w:r>
        <w:rPr>
          <w:szCs w:val="21"/>
        </w:rPr>
        <w:t>稀土铁合金化学分析方法</w:t>
      </w:r>
      <w:r>
        <w:t>》</w:t>
      </w:r>
      <w:r>
        <w:rPr>
          <w:rFonts w:hint="eastAsia"/>
          <w:lang w:val="en-US" w:eastAsia="zh-CN"/>
        </w:rPr>
        <w:t>已经发布了以下部分：</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第1部分：GB/T XXXXX.1-202X  稀土总量的测定 重量法；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szCs w:val="21"/>
        </w:rPr>
      </w:pPr>
      <w:r>
        <w:rPr>
          <w:szCs w:val="21"/>
        </w:rPr>
        <w:t xml:space="preserve">    </w:t>
      </w:r>
      <w:r>
        <w:rPr>
          <w:rFonts w:eastAsia="黑体"/>
          <w:szCs w:val="21"/>
        </w:rPr>
        <w:t>──</w:t>
      </w:r>
      <w:r>
        <w:rPr>
          <w:szCs w:val="21"/>
        </w:rPr>
        <w:t>第2部分：GB/T XXXXX.2-202X  铁量的测定  重铬酸钾滴定法；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第3部分：GB/T XXXXX.3-202X  稀土杂质量的测定  电感耦合等离子体原子发射光谱法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第4部分：GB/T XXXXX.4-202X  钙、镁、铝、镍、锰量的测定  电感耦合等离子体原子发射光谱法；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第5部分：GB/T XXXXX.5-202X  钛、钼、钨的测定  电感耦合等离子体原子发射光谱法；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第6部分：GB/T XXXXX.6-202X  碳、硫量的测定  高频-红外吸收法；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第7部分：GB/T XXXXX.7-202X  氧量的测定  脉冲-红外吸收法；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第8部分：GB/T XXXXX.8-202X  硅量的测定  钼蓝分光光度法；</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jc w:val="left"/>
        <w:textAlignment w:val="auto"/>
        <w:rPr>
          <w:szCs w:val="21"/>
        </w:rPr>
      </w:pPr>
      <w:r>
        <w:rPr>
          <w:rFonts w:eastAsia="黑体"/>
          <w:szCs w:val="21"/>
        </w:rPr>
        <w:t>──</w:t>
      </w:r>
      <w:r>
        <w:rPr>
          <w:szCs w:val="21"/>
        </w:rPr>
        <w:t>第9部分：GB/T XXXXX.9-202X  磷量的测定  钼蓝分光光度法；</w:t>
      </w:r>
    </w:p>
    <w:p>
      <w:pPr>
        <w:keepNext w:val="0"/>
        <w:keepLines w:val="0"/>
        <w:pageBreakBefore w:val="0"/>
        <w:widowControl w:val="0"/>
        <w:tabs>
          <w:tab w:val="left" w:pos="750"/>
        </w:tabs>
        <w:kinsoku/>
        <w:wordWrap/>
        <w:overflowPunct/>
        <w:topLinePunct w:val="0"/>
        <w:autoSpaceDE/>
        <w:autoSpaceDN/>
        <w:bidi w:val="0"/>
        <w:adjustRightInd/>
        <w:snapToGrid/>
        <w:spacing w:line="360" w:lineRule="exact"/>
        <w:ind w:firstLine="420" w:firstLineChars="200"/>
        <w:textAlignment w:val="auto"/>
      </w:pPr>
      <w:r>
        <w:t>本部分为第8部分。</w:t>
      </w:r>
    </w:p>
    <w:p>
      <w:pPr>
        <w:keepNext w:val="0"/>
        <w:keepLines w:val="0"/>
        <w:pageBreakBefore w:val="0"/>
        <w:widowControl w:val="0"/>
        <w:tabs>
          <w:tab w:val="left" w:pos="750"/>
        </w:tabs>
        <w:kinsoku/>
        <w:wordWrap/>
        <w:overflowPunct/>
        <w:topLinePunct w:val="0"/>
        <w:autoSpaceDE/>
        <w:autoSpaceDN/>
        <w:bidi w:val="0"/>
        <w:adjustRightInd/>
        <w:snapToGrid/>
        <w:spacing w:line="360" w:lineRule="exact"/>
        <w:ind w:firstLine="420" w:firstLineChars="200"/>
        <w:textAlignment w:val="auto"/>
      </w:pPr>
      <w:r>
        <w:t>本部分由全国稀土标准化技术委员会（SAC/TC 229）归口。</w:t>
      </w:r>
    </w:p>
    <w:p>
      <w:pPr>
        <w:keepNext w:val="0"/>
        <w:keepLines w:val="0"/>
        <w:pageBreakBefore w:val="0"/>
        <w:widowControl w:val="0"/>
        <w:tabs>
          <w:tab w:val="left" w:pos="750"/>
        </w:tabs>
        <w:kinsoku/>
        <w:wordWrap/>
        <w:overflowPunct/>
        <w:topLinePunct w:val="0"/>
        <w:autoSpaceDE/>
        <w:autoSpaceDN/>
        <w:bidi w:val="0"/>
        <w:adjustRightInd/>
        <w:spacing w:line="360" w:lineRule="exact"/>
        <w:ind w:firstLine="420" w:firstLineChars="200"/>
        <w:textAlignment w:val="auto"/>
        <w:rPr>
          <w:rFonts w:hint="default" w:eastAsia="宋体"/>
          <w:lang w:val="en-US" w:eastAsia="zh-CN"/>
        </w:rPr>
      </w:pPr>
      <w:r>
        <w:t>本部分起草单位：</w:t>
      </w:r>
      <w:r>
        <w:rPr>
          <w:rFonts w:hint="eastAsia"/>
          <w:lang w:val="en-US" w:eastAsia="zh-CN"/>
        </w:rPr>
        <w:t>国标（北京）检验认证有限公司、福建省长汀金龙稀土有限公司、中国北方稀土（集团）高科技股份有限公司、赣州晨光稀土新材料股份有限公司、中国科学院海西研究院厦门稀土材料研究所、江西理工大学、江阴加华新材料资源有限公司</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szCs w:val="21"/>
          <w:lang w:val="en-US" w:eastAsia="zh-CN"/>
        </w:rPr>
        <w:sectPr>
          <w:headerReference r:id="rId8" w:type="default"/>
          <w:footerReference r:id="rId9" w:type="default"/>
          <w:type w:val="oddPage"/>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t>本部分主要起草人：</w:t>
      </w:r>
      <w:r>
        <w:rPr>
          <w:szCs w:val="21"/>
        </w:rPr>
        <w:t xml:space="preserve"> </w:t>
      </w:r>
      <w:r>
        <w:rPr>
          <w:rFonts w:hint="eastAsia"/>
          <w:szCs w:val="21"/>
          <w:lang w:val="en-US" w:eastAsia="zh-CN"/>
        </w:rPr>
        <w:t>邓楠、栗生辰、王金凤、王佳敏、徐宁、陈燕、张其凯、刘连和、姚京璧、吴伟明</w:t>
      </w:r>
    </w:p>
    <w:p>
      <w:pPr>
        <w:pStyle w:val="45"/>
        <w:spacing w:beforeLines="100" w:after="680" w:line="360" w:lineRule="exact"/>
        <w:ind w:firstLine="4320" w:firstLineChars="1350"/>
        <w:jc w:val="both"/>
        <w:rPr>
          <w:rFonts w:hint="eastAsia"/>
        </w:rPr>
      </w:pPr>
      <w:r>
        <w:rPr>
          <w:rFonts w:ascii="Times New Roman"/>
          <w:szCs w:val="22"/>
        </w:rPr>
        <w:t>引　</w:t>
      </w:r>
      <w:r>
        <w:rPr>
          <w:rFonts w:ascii="Times New Roman"/>
        </w:rPr>
        <w:t>言</w:t>
      </w:r>
    </w:p>
    <w:p>
      <w:pPr>
        <w:adjustRightInd w:val="0"/>
        <w:snapToGrid w:val="0"/>
        <w:spacing w:line="360" w:lineRule="exact"/>
        <w:ind w:firstLine="420" w:firstLineChars="200"/>
        <w:rPr>
          <w:rFonts w:hint="eastAsia"/>
        </w:rPr>
      </w:pPr>
      <w:r>
        <w:rPr>
          <w:rFonts w:hint="eastAsia" w:hAnsi="宋体"/>
          <w:szCs w:val="21"/>
        </w:rPr>
        <w:t>稀土铁合金为稀土元素与铁元素的中间合金。随着稀土应用领域的拓展，稀土铁合金种类日益增多，市场需求越来越大。目前，镧铁（LaFe）、铈铁（CeFe）、镧铈铁（LaCe-Fe）合金主要用作冶金领域添加剂，添加至钢中起到净化、变质和微合金化作用；镝铁（DyFe）、钆铁（GdFe）、钬铁（HoFe）、钇铁（ YFe）合金由于可取代部分单一重稀土金属，成为钕铁硼磁性材料比较合适的备选材料；钇铁（ YFe）合金还广范应用于超磁致伸缩材料、光记录材料、钢铁的添加剂、球墨铸铁的球化剂、蠕化剂等。 随着稀土铁合金产品种类和应用领域的不断开发，供需双方对标准的需求日益明显。</w:t>
      </w:r>
    </w:p>
    <w:p>
      <w:pPr>
        <w:adjustRightInd w:val="0"/>
        <w:snapToGrid w:val="0"/>
        <w:spacing w:line="360" w:lineRule="exact"/>
        <w:ind w:firstLine="420" w:firstLineChars="200"/>
        <w:rPr>
          <w:rFonts w:hint="default" w:eastAsia="宋体"/>
          <w:szCs w:val="24"/>
          <w:highlight w:val="none"/>
          <w:lang w:val="en-US" w:eastAsia="zh-CN"/>
        </w:rPr>
      </w:pPr>
      <w:r>
        <w:rPr>
          <w:rFonts w:hint="eastAsia"/>
          <w:szCs w:val="24"/>
          <w:highlight w:val="none"/>
        </w:rPr>
        <w:t>本</w:t>
      </w:r>
      <w:r>
        <w:rPr>
          <w:rFonts w:hint="eastAsia"/>
          <w:szCs w:val="24"/>
          <w:highlight w:val="none"/>
          <w:lang w:val="en-US" w:eastAsia="zh-CN"/>
        </w:rPr>
        <w:t>文件</w:t>
      </w:r>
      <w:r>
        <w:rPr>
          <w:rFonts w:hint="eastAsia"/>
          <w:szCs w:val="24"/>
          <w:highlight w:val="none"/>
        </w:rPr>
        <w:t>为</w:t>
      </w:r>
      <w:r>
        <w:rPr>
          <w:rFonts w:hint="eastAsia"/>
          <w:szCs w:val="24"/>
          <w:highlight w:val="none"/>
          <w:lang w:val="en-US" w:eastAsia="zh-CN"/>
        </w:rPr>
        <w:t>标准的</w:t>
      </w:r>
      <w:r>
        <w:rPr>
          <w:rFonts w:hint="eastAsia"/>
          <w:szCs w:val="24"/>
          <w:highlight w:val="none"/>
        </w:rPr>
        <w:t>第8部分</w:t>
      </w:r>
      <w:r>
        <w:rPr>
          <w:rFonts w:hint="eastAsia"/>
          <w:szCs w:val="24"/>
          <w:highlight w:val="none"/>
          <w:lang w:eastAsia="zh-CN"/>
        </w:rPr>
        <w:t>：</w:t>
      </w:r>
      <w:r>
        <w:rPr>
          <w:szCs w:val="24"/>
          <w:highlight w:val="none"/>
        </w:rPr>
        <w:t>钼蓝分光光度法测定硅量</w:t>
      </w:r>
      <w:r>
        <w:rPr>
          <w:rFonts w:hint="eastAsia"/>
          <w:szCs w:val="24"/>
          <w:highlight w:val="none"/>
        </w:rPr>
        <w:t>。</w:t>
      </w:r>
      <w:r>
        <w:rPr>
          <w:rFonts w:hint="eastAsia"/>
          <w:szCs w:val="24"/>
          <w:highlight w:val="none"/>
          <w:lang w:val="en-US" w:eastAsia="zh-CN"/>
        </w:rPr>
        <w:t>在</w:t>
      </w:r>
      <w:r>
        <w:rPr>
          <w:rFonts w:hint="eastAsia" w:hAnsi="宋体"/>
          <w:szCs w:val="21"/>
          <w:highlight w:val="none"/>
        </w:rPr>
        <w:t>《镝铁合金化学分析》和《铈铁合金化学分析》中硅为仪器法测定，</w:t>
      </w:r>
      <w:r>
        <w:rPr>
          <w:rFonts w:hint="eastAsia" w:hAnsi="宋体"/>
          <w:szCs w:val="21"/>
          <w:highlight w:val="none"/>
          <w:lang w:val="en-US" w:eastAsia="zh-CN"/>
        </w:rPr>
        <w:t>而</w:t>
      </w:r>
      <w:r>
        <w:rPr>
          <w:szCs w:val="24"/>
          <w:highlight w:val="none"/>
        </w:rPr>
        <w:t>钼蓝分光光度法</w:t>
      </w:r>
      <w:r>
        <w:rPr>
          <w:rFonts w:hint="eastAsia"/>
          <w:szCs w:val="24"/>
          <w:highlight w:val="none"/>
        </w:rPr>
        <w:t>是经典的化学分析方法，</w:t>
      </w:r>
      <w:r>
        <w:rPr>
          <w:rFonts w:hint="eastAsia"/>
          <w:szCs w:val="24"/>
          <w:highlight w:val="none"/>
          <w:lang w:val="en-US" w:eastAsia="zh-CN"/>
        </w:rPr>
        <w:t>比仪器法经典准确，可作为仲裁检验方法。</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szCs w:val="21"/>
          <w:lang w:val="en-US" w:eastAsia="zh-CN"/>
        </w:rPr>
        <w:sectPr>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rPr>
        <w:t>建立《</w:t>
      </w:r>
      <w:r>
        <w:rPr>
          <w:rFonts w:hint="eastAsia"/>
          <w:lang w:val="en-US" w:eastAsia="zh-CN"/>
        </w:rPr>
        <w:t>稀土铁合金化学分析方法</w:t>
      </w:r>
      <w:r>
        <w:rPr>
          <w:rFonts w:hint="eastAsia"/>
        </w:rPr>
        <w:t>》系列方法标准，规范检测流程，给出精密度要求，有利于提高检测数据的可比性，减少供需双方关于检测结果的纠纷，也有利于规范相关产品的质量控制，促进其应用。</w:t>
      </w:r>
    </w:p>
    <w:p>
      <w:pPr>
        <w:pStyle w:val="58"/>
        <w:tabs>
          <w:tab w:val="left" w:pos="360"/>
        </w:tabs>
        <w:spacing w:before="0" w:after="0" w:line="240" w:lineRule="auto"/>
        <w:rPr>
          <w:rFonts w:ascii="Times New Roman"/>
        </w:rPr>
      </w:pPr>
      <w:r>
        <w:rPr>
          <w:rFonts w:ascii="Times New Roman"/>
        </w:rPr>
        <w:t>稀土铁合金化学分析方法</w:t>
      </w:r>
    </w:p>
    <w:p>
      <w:pPr>
        <w:pStyle w:val="41"/>
        <w:ind w:firstLine="0" w:firstLineChars="0"/>
        <w:jc w:val="center"/>
        <w:rPr>
          <w:rFonts w:ascii="Times New Roman" w:eastAsia="黑体"/>
          <w:sz w:val="32"/>
          <w:szCs w:val="32"/>
        </w:rPr>
      </w:pPr>
      <w:r>
        <w:rPr>
          <w:rFonts w:ascii="Times New Roman" w:eastAsia="黑体"/>
          <w:sz w:val="32"/>
          <w:szCs w:val="32"/>
        </w:rPr>
        <w:t>第8部分：硅量的测定</w:t>
      </w:r>
    </w:p>
    <w:p>
      <w:pPr>
        <w:pStyle w:val="58"/>
        <w:tabs>
          <w:tab w:val="left" w:pos="360"/>
        </w:tabs>
        <w:spacing w:before="0" w:after="680" w:line="240" w:lineRule="auto"/>
        <w:rPr>
          <w:rFonts w:ascii="Times New Roman"/>
        </w:rPr>
      </w:pPr>
      <w:r>
        <w:rPr>
          <w:rFonts w:ascii="Times New Roman"/>
        </w:rPr>
        <w:t>钼蓝分光光度法</w:t>
      </w:r>
    </w:p>
    <w:p>
      <w:pPr>
        <w:pStyle w:val="66"/>
        <w:numPr>
          <w:ilvl w:val="0"/>
          <w:numId w:val="3"/>
        </w:numPr>
        <w:snapToGrid w:val="0"/>
        <w:spacing w:before="312" w:beforeLines="100" w:after="312" w:afterLines="100" w:line="360" w:lineRule="atLeast"/>
        <w:ind w:firstLineChars="0"/>
        <w:outlineLvl w:val="1"/>
        <w:rPr>
          <w:rFonts w:eastAsia="黑体"/>
          <w:szCs w:val="21"/>
        </w:rPr>
      </w:pPr>
      <w:r>
        <w:rPr>
          <w:rFonts w:eastAsia="黑体"/>
          <w:szCs w:val="21"/>
        </w:rPr>
        <w:t xml:space="preserve">  范围</w:t>
      </w:r>
    </w:p>
    <w:p>
      <w:pPr>
        <w:keepNext w:val="0"/>
        <w:keepLines w:val="0"/>
        <w:pageBreakBefore w:val="0"/>
        <w:widowControl w:val="0"/>
        <w:tabs>
          <w:tab w:val="left" w:pos="0"/>
        </w:tabs>
        <w:kinsoku/>
        <w:wordWrap/>
        <w:overflowPunct/>
        <w:topLinePunct w:val="0"/>
        <w:bidi w:val="0"/>
        <w:adjustRightInd/>
        <w:snapToGrid/>
        <w:spacing w:line="360" w:lineRule="exact"/>
        <w:ind w:firstLine="420" w:firstLineChars="0"/>
        <w:textAlignment w:val="auto"/>
        <w:rPr>
          <w:szCs w:val="21"/>
        </w:rPr>
      </w:pPr>
      <w:r>
        <w:rPr>
          <w:szCs w:val="21"/>
        </w:rPr>
        <w:t>本文件规定了稀土铁合金中硅含量的测定方法。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0"/>
        <w:textAlignment w:val="auto"/>
        <w:rPr>
          <w:szCs w:val="20"/>
        </w:rPr>
      </w:pPr>
      <w:r>
        <w:rPr>
          <w:szCs w:val="21"/>
        </w:rPr>
        <w:t>本文件适用于稀土铁合金中硅含量的测定。测定范围:0.005%~0.20%。</w:t>
      </w:r>
    </w:p>
    <w:p>
      <w:pPr>
        <w:pStyle w:val="66"/>
        <w:numPr>
          <w:ilvl w:val="0"/>
          <w:numId w:val="3"/>
        </w:numPr>
        <w:snapToGrid w:val="0"/>
        <w:spacing w:before="312" w:beforeLines="100" w:after="312" w:afterLines="100" w:line="360" w:lineRule="atLeast"/>
        <w:ind w:firstLineChars="0"/>
        <w:outlineLvl w:val="1"/>
        <w:rPr>
          <w:rFonts w:eastAsia="黑体"/>
          <w:szCs w:val="21"/>
        </w:rPr>
      </w:pPr>
      <w:r>
        <w:rPr>
          <w:rFonts w:eastAsia="黑体"/>
          <w:szCs w:val="21"/>
        </w:rPr>
        <w:t xml:space="preserve">  规范性引用文件</w:t>
      </w:r>
    </w:p>
    <w:p>
      <w:pPr>
        <w:adjustRightInd w:val="0"/>
        <w:snapToGrid w:val="0"/>
        <w:spacing w:line="360" w:lineRule="exact"/>
        <w:ind w:firstLine="420"/>
        <w:rPr>
          <w:bCs/>
          <w:szCs w:val="21"/>
        </w:rPr>
      </w:pPr>
      <w:r>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rPr>
          <w:rFonts w:hint="eastAsia"/>
          <w:bCs/>
          <w:szCs w:val="21"/>
          <w:highlight w:val="none"/>
          <w:lang w:val="en-US" w:eastAsia="zh-CN"/>
        </w:rPr>
      </w:pPr>
      <w:r>
        <w:rPr>
          <w:rFonts w:hint="eastAsia"/>
          <w:bCs/>
          <w:szCs w:val="21"/>
          <w:highlight w:val="none"/>
          <w:lang w:val="en-US" w:eastAsia="zh-CN"/>
        </w:rPr>
        <w:t>GB/T 6682 分析实验室用水规格和试验方法</w:t>
      </w:r>
    </w:p>
    <w:p>
      <w:pPr>
        <w:snapToGrid w:val="0"/>
        <w:spacing w:line="360" w:lineRule="exact"/>
        <w:ind w:firstLine="420"/>
        <w:rPr>
          <w:rFonts w:hint="default"/>
          <w:bCs/>
          <w:szCs w:val="21"/>
          <w:highlight w:val="none"/>
          <w:lang w:val="en-US" w:eastAsia="zh-CN"/>
        </w:rPr>
      </w:pPr>
      <w:r>
        <w:rPr>
          <w:bCs/>
          <w:szCs w:val="21"/>
        </w:rPr>
        <w:t>GB/T 15676  稀土术语</w:t>
      </w:r>
    </w:p>
    <w:p>
      <w:pPr>
        <w:snapToGrid w:val="0"/>
        <w:spacing w:line="360" w:lineRule="exact"/>
        <w:ind w:firstLine="420"/>
        <w:rPr>
          <w:rFonts w:hint="default" w:eastAsia="宋体"/>
          <w:bCs/>
          <w:szCs w:val="21"/>
          <w:lang w:val="en-US" w:eastAsia="zh-CN"/>
        </w:rPr>
      </w:pPr>
      <w:r>
        <w:rPr>
          <w:bCs/>
          <w:szCs w:val="21"/>
        </w:rPr>
        <w:t>GB/T 8170  数值修约规则与极限数值的表示和判定</w:t>
      </w:r>
    </w:p>
    <w:p>
      <w:pPr>
        <w:pStyle w:val="66"/>
        <w:numPr>
          <w:ilvl w:val="0"/>
          <w:numId w:val="3"/>
        </w:numPr>
        <w:snapToGrid w:val="0"/>
        <w:spacing w:before="312" w:beforeLines="100" w:after="312" w:afterLines="100" w:line="360" w:lineRule="atLeast"/>
        <w:ind w:firstLineChars="0"/>
        <w:outlineLvl w:val="1"/>
        <w:rPr>
          <w:rFonts w:eastAsia="黑体"/>
          <w:szCs w:val="21"/>
        </w:rPr>
      </w:pPr>
      <w:r>
        <w:rPr>
          <w:rFonts w:eastAsia="黑体"/>
          <w:szCs w:val="21"/>
        </w:rPr>
        <w:t xml:space="preserve">  术语和定义</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0"/>
        <w:textAlignment w:val="auto"/>
        <w:rPr>
          <w:bCs/>
          <w:szCs w:val="21"/>
        </w:rPr>
      </w:pPr>
      <w:r>
        <w:rPr>
          <w:bCs/>
          <w:szCs w:val="21"/>
        </w:rPr>
        <w:t>GB/T 15676《稀土术语》界定的术语和定义适用于本文件</w:t>
      </w:r>
      <w:r>
        <w:t>。</w:t>
      </w:r>
    </w:p>
    <w:p>
      <w:pPr>
        <w:pStyle w:val="66"/>
        <w:numPr>
          <w:ilvl w:val="0"/>
          <w:numId w:val="3"/>
        </w:numPr>
        <w:adjustRightInd w:val="0"/>
        <w:snapToGrid w:val="0"/>
        <w:spacing w:before="312" w:beforeLines="100" w:after="312" w:afterLines="100" w:line="360" w:lineRule="exact"/>
        <w:ind w:firstLineChars="0"/>
        <w:outlineLvl w:val="1"/>
        <w:rPr>
          <w:rFonts w:eastAsia="黑体"/>
          <w:szCs w:val="21"/>
        </w:rPr>
      </w:pPr>
      <w:r>
        <w:rPr>
          <w:rFonts w:eastAsia="黑体"/>
          <w:szCs w:val="21"/>
        </w:rPr>
        <w:t xml:space="preserve">  方法原理</w:t>
      </w:r>
    </w:p>
    <w:p>
      <w:pPr>
        <w:adjustRightInd w:val="0"/>
        <w:snapToGrid w:val="0"/>
        <w:spacing w:line="360" w:lineRule="exact"/>
        <w:ind w:firstLine="420" w:firstLineChars="200"/>
        <w:rPr>
          <w:szCs w:val="21"/>
        </w:rPr>
      </w:pPr>
      <w:r>
        <w:rPr>
          <w:szCs w:val="21"/>
        </w:rPr>
        <w:t>试样以稀酸溶解，在稀酸介质中，硅与钼酸铵形成硅钼杂多酸，在硫酸和草酸介质中分解磷、砷杂多酸，用抗坏血酸还原硅钼杂多酸为蓝色低价络合物，于分光光度计波长810nm处</w:t>
      </w:r>
      <w:r>
        <w:rPr>
          <w:szCs w:val="21"/>
          <w:highlight w:val="none"/>
        </w:rPr>
        <w:t>测</w:t>
      </w:r>
      <w:r>
        <w:rPr>
          <w:rFonts w:hint="eastAsia"/>
          <w:szCs w:val="21"/>
          <w:highlight w:val="none"/>
          <w:lang w:val="en-US" w:eastAsia="zh-CN"/>
        </w:rPr>
        <w:t>量</w:t>
      </w:r>
      <w:r>
        <w:rPr>
          <w:szCs w:val="21"/>
        </w:rPr>
        <w:t>吸光度，以标准曲线法求得相应的硅量。</w:t>
      </w:r>
    </w:p>
    <w:p>
      <w:pPr>
        <w:pStyle w:val="66"/>
        <w:numPr>
          <w:ilvl w:val="0"/>
          <w:numId w:val="3"/>
        </w:numPr>
        <w:snapToGrid w:val="0"/>
        <w:spacing w:before="312" w:beforeLines="100" w:after="312" w:afterLines="100" w:line="360" w:lineRule="exact"/>
        <w:ind w:firstLineChars="0"/>
        <w:outlineLvl w:val="1"/>
        <w:rPr>
          <w:rFonts w:eastAsia="黑体"/>
          <w:szCs w:val="21"/>
        </w:rPr>
      </w:pPr>
      <w:r>
        <w:rPr>
          <w:rFonts w:eastAsia="黑体"/>
          <w:szCs w:val="21"/>
        </w:rPr>
        <w:t xml:space="preserve">  </w:t>
      </w:r>
      <w:r>
        <w:rPr>
          <w:rFonts w:hint="eastAsia" w:eastAsia="黑体"/>
          <w:szCs w:val="21"/>
          <w:lang w:val="en-US" w:eastAsia="zh-CN"/>
        </w:rPr>
        <w:t>试剂</w:t>
      </w:r>
    </w:p>
    <w:p>
      <w:pPr>
        <w:pStyle w:val="41"/>
        <w:adjustRightInd w:val="0"/>
        <w:snapToGrid w:val="0"/>
        <w:spacing w:line="360" w:lineRule="exact"/>
        <w:ind w:firstLine="420"/>
        <w:rPr>
          <w:rFonts w:hint="default" w:ascii="Times New Roman"/>
          <w:bCs/>
          <w:kern w:val="2"/>
          <w:szCs w:val="24"/>
          <w:highlight w:val="none"/>
          <w:lang w:val="en-US" w:eastAsia="zh-CN"/>
        </w:rPr>
      </w:pPr>
      <w:r>
        <w:rPr>
          <w:rFonts w:ascii="Times New Roman"/>
          <w:bCs/>
          <w:kern w:val="2"/>
          <w:szCs w:val="24"/>
          <w:highlight w:val="none"/>
        </w:rPr>
        <w:t>除非另有说明，在分析中仅使用确认为优级纯及以上试剂和蒸馏水或去离子水或</w:t>
      </w:r>
      <w:r>
        <w:rPr>
          <w:rFonts w:hint="eastAsia" w:ascii="Times New Roman"/>
          <w:bCs/>
          <w:kern w:val="2"/>
          <w:szCs w:val="24"/>
          <w:highlight w:val="none"/>
          <w:lang w:val="en-US" w:eastAsia="zh-CN"/>
        </w:rPr>
        <w:t>二级</w:t>
      </w:r>
      <w:r>
        <w:rPr>
          <w:rFonts w:ascii="Times New Roman"/>
          <w:bCs/>
          <w:kern w:val="2"/>
          <w:szCs w:val="24"/>
          <w:highlight w:val="none"/>
        </w:rPr>
        <w:t>水。</w:t>
      </w:r>
    </w:p>
    <w:p>
      <w:pPr>
        <w:numPr>
          <w:ilvl w:val="0"/>
          <w:numId w:val="4"/>
        </w:numPr>
        <w:autoSpaceDE w:val="0"/>
        <w:autoSpaceDN w:val="0"/>
        <w:spacing w:line="360" w:lineRule="exact"/>
        <w:ind w:left="0" w:firstLine="0"/>
        <w:jc w:val="left"/>
        <w:rPr>
          <w:szCs w:val="21"/>
          <w:highlight w:val="none"/>
        </w:rPr>
      </w:pPr>
      <w:r>
        <w:rPr>
          <w:szCs w:val="21"/>
          <w:highlight w:val="none"/>
        </w:rPr>
        <w:t xml:space="preserve"> 混和酸：将180</w:t>
      </w:r>
      <w:r>
        <w:rPr>
          <w:rFonts w:hint="eastAsia"/>
          <w:szCs w:val="21"/>
          <w:highlight w:val="none"/>
          <w:lang w:val="en-US" w:eastAsia="zh-CN"/>
        </w:rPr>
        <w:t xml:space="preserve"> </w:t>
      </w:r>
      <w:r>
        <w:rPr>
          <w:szCs w:val="21"/>
          <w:highlight w:val="none"/>
        </w:rPr>
        <w:t>mL盐酸（优级纯）和60</w:t>
      </w:r>
      <w:r>
        <w:rPr>
          <w:rFonts w:hint="eastAsia"/>
          <w:szCs w:val="21"/>
          <w:highlight w:val="none"/>
          <w:lang w:val="en-US" w:eastAsia="zh-CN"/>
        </w:rPr>
        <w:t xml:space="preserve"> </w:t>
      </w:r>
      <w:r>
        <w:rPr>
          <w:szCs w:val="21"/>
          <w:highlight w:val="none"/>
        </w:rPr>
        <w:t>mL硝酸（优级纯）</w:t>
      </w:r>
      <w:r>
        <w:rPr>
          <w:rFonts w:hint="eastAsia"/>
          <w:szCs w:val="21"/>
          <w:highlight w:val="none"/>
          <w:lang w:eastAsia="zh-CN"/>
        </w:rPr>
        <w:t>，</w:t>
      </w:r>
      <w:r>
        <w:rPr>
          <w:rFonts w:hint="eastAsia"/>
          <w:szCs w:val="21"/>
          <w:highlight w:val="none"/>
          <w:lang w:val="en-US" w:eastAsia="zh-CN"/>
        </w:rPr>
        <w:t>加入</w:t>
      </w:r>
      <w:r>
        <w:rPr>
          <w:rFonts w:hint="default" w:ascii="Times New Roman" w:hAnsi="Times New Roman" w:cs="Times New Roman"/>
          <w:szCs w:val="21"/>
          <w:highlight w:val="none"/>
          <w:lang w:val="en-US" w:eastAsia="zh-CN"/>
        </w:rPr>
        <w:t>760</w:t>
      </w:r>
      <w:r>
        <w:rPr>
          <w:rFonts w:hint="eastAsia" w:cs="Times New Roman"/>
          <w:szCs w:val="21"/>
          <w:highlight w:val="none"/>
          <w:lang w:val="en-US" w:eastAsia="zh-CN"/>
        </w:rPr>
        <w:t xml:space="preserve"> </w:t>
      </w:r>
      <w:r>
        <w:rPr>
          <w:rFonts w:hint="default" w:ascii="Times New Roman" w:hAnsi="Times New Roman" w:cs="Times New Roman"/>
          <w:szCs w:val="21"/>
          <w:highlight w:val="none"/>
          <w:lang w:val="en-US" w:eastAsia="zh-CN"/>
        </w:rPr>
        <w:t>mL</w:t>
      </w:r>
      <w:r>
        <w:rPr>
          <w:rFonts w:hint="eastAsia" w:cs="Times New Roman"/>
          <w:szCs w:val="21"/>
          <w:highlight w:val="none"/>
          <w:lang w:val="en-US" w:eastAsia="zh-CN"/>
        </w:rPr>
        <w:t>去离子</w:t>
      </w:r>
      <w:r>
        <w:rPr>
          <w:rFonts w:hint="default" w:ascii="Times New Roman" w:hAnsi="Times New Roman" w:cs="Times New Roman"/>
          <w:szCs w:val="21"/>
          <w:highlight w:val="none"/>
          <w:lang w:val="en-US" w:eastAsia="zh-CN"/>
        </w:rPr>
        <w:t>水</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混合均匀。</w:t>
      </w:r>
    </w:p>
    <w:p>
      <w:pPr>
        <w:numPr>
          <w:ilvl w:val="0"/>
          <w:numId w:val="4"/>
        </w:numPr>
        <w:autoSpaceDE w:val="0"/>
        <w:autoSpaceDN w:val="0"/>
        <w:spacing w:line="360" w:lineRule="exact"/>
        <w:ind w:left="0" w:firstLine="0"/>
        <w:jc w:val="left"/>
        <w:rPr>
          <w:szCs w:val="21"/>
          <w:highlight w:val="none"/>
        </w:rPr>
      </w:pPr>
      <w:r>
        <w:rPr>
          <w:rFonts w:hint="eastAsia"/>
          <w:szCs w:val="21"/>
          <w:highlight w:val="none"/>
        </w:rPr>
        <w:t xml:space="preserve"> 硫酸</w:t>
      </w:r>
      <w:r>
        <w:rPr>
          <w:rFonts w:hint="eastAsia"/>
          <w:szCs w:val="21"/>
          <w:highlight w:val="none"/>
          <w:lang w:val="en-US" w:eastAsia="zh-CN"/>
        </w:rPr>
        <w:t>溶液</w:t>
      </w:r>
      <w:r>
        <w:rPr>
          <w:rFonts w:hint="eastAsia"/>
          <w:szCs w:val="21"/>
          <w:highlight w:val="none"/>
          <w:lang w:eastAsia="zh-CN"/>
        </w:rPr>
        <w:t>（</w:t>
      </w:r>
      <w:r>
        <w:rPr>
          <w:rFonts w:hint="eastAsia" w:cs="Times New Roman"/>
          <w:szCs w:val="21"/>
          <w:highlight w:val="none"/>
          <w:lang w:val="en-US" w:eastAsia="zh-CN"/>
        </w:rPr>
        <w:t>1+2</w:t>
      </w:r>
      <w:r>
        <w:rPr>
          <w:rFonts w:hint="eastAsia"/>
          <w:szCs w:val="21"/>
          <w:highlight w:val="none"/>
          <w:lang w:eastAsia="zh-CN"/>
        </w:rPr>
        <w:t>）</w:t>
      </w:r>
      <w:r>
        <w:rPr>
          <w:rFonts w:hint="eastAsia"/>
          <w:szCs w:val="21"/>
          <w:highlight w:val="none"/>
        </w:rPr>
        <w:t>。</w:t>
      </w:r>
    </w:p>
    <w:p>
      <w:pPr>
        <w:numPr>
          <w:ilvl w:val="0"/>
          <w:numId w:val="4"/>
        </w:numPr>
        <w:autoSpaceDE w:val="0"/>
        <w:autoSpaceDN w:val="0"/>
        <w:spacing w:line="360" w:lineRule="exact"/>
        <w:ind w:left="0" w:firstLine="0"/>
        <w:jc w:val="left"/>
        <w:rPr>
          <w:szCs w:val="21"/>
          <w:highlight w:val="none"/>
        </w:rPr>
      </w:pPr>
      <w:r>
        <w:rPr>
          <w:szCs w:val="21"/>
          <w:highlight w:val="none"/>
        </w:rPr>
        <w:t xml:space="preserve"> 硫酸</w:t>
      </w:r>
      <w:r>
        <w:rPr>
          <w:rFonts w:hint="eastAsia"/>
          <w:szCs w:val="21"/>
          <w:highlight w:val="none"/>
          <w:lang w:val="en-US" w:eastAsia="zh-CN"/>
        </w:rPr>
        <w:t>溶液</w:t>
      </w:r>
      <w:r>
        <w:rPr>
          <w:szCs w:val="21"/>
          <w:highlight w:val="none"/>
        </w:rPr>
        <w:t>（</w:t>
      </w:r>
      <w:r>
        <w:rPr>
          <w:rFonts w:hint="eastAsia" w:cs="Times New Roman"/>
          <w:szCs w:val="21"/>
          <w:highlight w:val="none"/>
          <w:lang w:val="en-US" w:eastAsia="zh-CN"/>
        </w:rPr>
        <w:t>1+5</w:t>
      </w:r>
      <w:r>
        <w:rPr>
          <w:szCs w:val="21"/>
          <w:highlight w:val="none"/>
        </w:rPr>
        <w:t>）。</w:t>
      </w:r>
    </w:p>
    <w:p>
      <w:pPr>
        <w:numPr>
          <w:ilvl w:val="0"/>
          <w:numId w:val="4"/>
        </w:numPr>
        <w:autoSpaceDE w:val="0"/>
        <w:autoSpaceDN w:val="0"/>
        <w:spacing w:line="360" w:lineRule="exact"/>
        <w:ind w:left="0" w:firstLine="0"/>
        <w:jc w:val="left"/>
        <w:rPr>
          <w:szCs w:val="21"/>
          <w:highlight w:val="none"/>
        </w:rPr>
      </w:pPr>
      <w:r>
        <w:rPr>
          <w:szCs w:val="21"/>
          <w:highlight w:val="none"/>
        </w:rPr>
        <w:t xml:space="preserve"> 钼酸铵</w:t>
      </w:r>
      <w:r>
        <w:rPr>
          <w:rFonts w:hint="eastAsia"/>
          <w:szCs w:val="21"/>
          <w:highlight w:val="none"/>
          <w:lang w:eastAsia="zh-CN"/>
        </w:rPr>
        <w:t>（</w:t>
      </w:r>
      <w:r>
        <w:rPr>
          <w:szCs w:val="21"/>
          <w:highlight w:val="none"/>
        </w:rPr>
        <w:t>50</w:t>
      </w:r>
      <w:r>
        <w:rPr>
          <w:rFonts w:hint="eastAsia"/>
          <w:szCs w:val="21"/>
          <w:highlight w:val="none"/>
          <w:lang w:val="en-US" w:eastAsia="zh-CN"/>
        </w:rPr>
        <w:t xml:space="preserve"> </w:t>
      </w:r>
      <w:r>
        <w:rPr>
          <w:szCs w:val="21"/>
          <w:highlight w:val="none"/>
        </w:rPr>
        <w:t>g/L</w:t>
      </w:r>
      <w:r>
        <w:rPr>
          <w:rFonts w:hint="eastAsia"/>
          <w:szCs w:val="21"/>
          <w:highlight w:val="none"/>
          <w:lang w:eastAsia="zh-CN"/>
        </w:rPr>
        <w:t>）</w:t>
      </w:r>
      <w:r>
        <w:rPr>
          <w:szCs w:val="21"/>
          <w:highlight w:val="none"/>
        </w:rPr>
        <w:t>。</w:t>
      </w:r>
    </w:p>
    <w:p>
      <w:pPr>
        <w:numPr>
          <w:ilvl w:val="0"/>
          <w:numId w:val="4"/>
        </w:numPr>
        <w:autoSpaceDE w:val="0"/>
        <w:autoSpaceDN w:val="0"/>
        <w:spacing w:line="360" w:lineRule="exact"/>
        <w:ind w:left="0" w:firstLine="0"/>
        <w:jc w:val="left"/>
        <w:rPr>
          <w:szCs w:val="21"/>
          <w:highlight w:val="none"/>
        </w:rPr>
      </w:pPr>
      <w:r>
        <w:rPr>
          <w:szCs w:val="21"/>
          <w:highlight w:val="none"/>
        </w:rPr>
        <w:t xml:space="preserve"> 草酸-硫酸混合酸：1g草酸溶于100mL硫酸（5.</w:t>
      </w:r>
      <w:r>
        <w:rPr>
          <w:rFonts w:hint="eastAsia"/>
          <w:szCs w:val="21"/>
          <w:highlight w:val="none"/>
          <w:lang w:val="en-US" w:eastAsia="zh-CN"/>
        </w:rPr>
        <w:t>3</w:t>
      </w:r>
      <w:r>
        <w:rPr>
          <w:szCs w:val="21"/>
          <w:highlight w:val="none"/>
        </w:rPr>
        <w:t>）中。</w:t>
      </w:r>
    </w:p>
    <w:p>
      <w:pPr>
        <w:numPr>
          <w:ilvl w:val="0"/>
          <w:numId w:val="4"/>
        </w:numPr>
        <w:autoSpaceDE w:val="0"/>
        <w:autoSpaceDN w:val="0"/>
        <w:spacing w:line="360" w:lineRule="exact"/>
        <w:ind w:left="0" w:firstLine="0"/>
        <w:jc w:val="left"/>
        <w:rPr>
          <w:szCs w:val="21"/>
          <w:highlight w:val="none"/>
        </w:rPr>
      </w:pPr>
      <w:r>
        <w:rPr>
          <w:szCs w:val="21"/>
          <w:highlight w:val="none"/>
        </w:rPr>
        <w:t xml:space="preserve"> 抗坏血酸</w:t>
      </w:r>
      <w:r>
        <w:rPr>
          <w:rFonts w:hint="eastAsia"/>
          <w:szCs w:val="21"/>
          <w:highlight w:val="none"/>
        </w:rPr>
        <w:t>（</w:t>
      </w:r>
      <w:r>
        <w:rPr>
          <w:szCs w:val="21"/>
          <w:highlight w:val="none"/>
        </w:rPr>
        <w:t>20</w:t>
      </w:r>
      <w:r>
        <w:rPr>
          <w:rFonts w:hint="eastAsia"/>
          <w:szCs w:val="21"/>
          <w:highlight w:val="none"/>
          <w:lang w:val="en-US" w:eastAsia="zh-CN"/>
        </w:rPr>
        <w:t xml:space="preserve"> </w:t>
      </w:r>
      <w:r>
        <w:rPr>
          <w:szCs w:val="21"/>
          <w:highlight w:val="none"/>
        </w:rPr>
        <w:t>g/L</w:t>
      </w:r>
      <w:r>
        <w:rPr>
          <w:rFonts w:hint="eastAsia"/>
          <w:szCs w:val="21"/>
          <w:highlight w:val="none"/>
        </w:rPr>
        <w:t>）</w:t>
      </w:r>
      <w:r>
        <w:rPr>
          <w:szCs w:val="21"/>
          <w:highlight w:val="none"/>
        </w:rPr>
        <w:t>，用时配制。</w:t>
      </w:r>
    </w:p>
    <w:p>
      <w:pPr>
        <w:numPr>
          <w:ilvl w:val="0"/>
          <w:numId w:val="4"/>
        </w:numPr>
        <w:autoSpaceDE w:val="0"/>
        <w:autoSpaceDN w:val="0"/>
        <w:spacing w:line="360" w:lineRule="exact"/>
        <w:ind w:left="0" w:firstLine="0"/>
        <w:jc w:val="left"/>
        <w:rPr>
          <w:szCs w:val="21"/>
          <w:highlight w:val="none"/>
        </w:rPr>
      </w:pPr>
      <w:r>
        <w:rPr>
          <w:szCs w:val="21"/>
          <w:highlight w:val="none"/>
        </w:rPr>
        <w:t xml:space="preserve"> 硅标准贮存溶</w:t>
      </w:r>
      <w:r>
        <w:rPr>
          <w:rFonts w:hint="eastAsia"/>
          <w:szCs w:val="21"/>
          <w:highlight w:val="none"/>
          <w:lang w:val="en-US" w:eastAsia="zh-CN"/>
        </w:rPr>
        <w:t>液</w:t>
      </w:r>
      <w:r>
        <w:rPr>
          <w:szCs w:val="21"/>
          <w:highlight w:val="none"/>
        </w:rPr>
        <w:t>：</w:t>
      </w:r>
      <w:r>
        <w:rPr>
          <w:rFonts w:hint="eastAsia"/>
          <w:szCs w:val="21"/>
          <w:highlight w:val="none"/>
          <w:lang w:val="en-US" w:eastAsia="zh-CN"/>
        </w:rPr>
        <w:t>优先</w:t>
      </w:r>
      <w:r>
        <w:rPr>
          <w:szCs w:val="21"/>
          <w:highlight w:val="none"/>
        </w:rPr>
        <w:t>使用有证标准溶液。或称取0.2140</w:t>
      </w:r>
      <w:r>
        <w:rPr>
          <w:rFonts w:hint="eastAsia"/>
          <w:szCs w:val="21"/>
          <w:highlight w:val="none"/>
          <w:lang w:val="en-US" w:eastAsia="zh-CN"/>
        </w:rPr>
        <w:t xml:space="preserve"> </w:t>
      </w:r>
      <w:r>
        <w:rPr>
          <w:szCs w:val="21"/>
          <w:highlight w:val="none"/>
        </w:rPr>
        <w:t>g二氧化硅</w:t>
      </w:r>
      <w:r>
        <w:rPr>
          <w:rFonts w:hint="eastAsia"/>
          <w:szCs w:val="21"/>
          <w:highlight w:val="none"/>
        </w:rPr>
        <w:t>（</w:t>
      </w:r>
      <w:r>
        <w:rPr>
          <w:szCs w:val="21"/>
          <w:highlight w:val="none"/>
        </w:rPr>
        <w:t>SiO</w:t>
      </w:r>
      <w:r>
        <w:rPr>
          <w:szCs w:val="21"/>
          <w:highlight w:val="none"/>
          <w:vertAlign w:val="subscript"/>
        </w:rPr>
        <w:t>2</w:t>
      </w:r>
      <w:r>
        <w:rPr>
          <w:szCs w:val="21"/>
          <w:highlight w:val="none"/>
        </w:rPr>
        <w:t>，纯度&gt;99.9%，120</w:t>
      </w:r>
      <w:r>
        <w:rPr>
          <w:rFonts w:hint="eastAsia"/>
          <w:szCs w:val="21"/>
          <w:highlight w:val="none"/>
          <w:lang w:val="en-US" w:eastAsia="zh-CN"/>
        </w:rPr>
        <w:t xml:space="preserve"> </w:t>
      </w:r>
      <w:r>
        <w:rPr>
          <w:szCs w:val="21"/>
          <w:highlight w:val="none"/>
        </w:rPr>
        <w:t>℃烘干2</w:t>
      </w:r>
      <w:r>
        <w:rPr>
          <w:rFonts w:hint="eastAsia"/>
          <w:szCs w:val="21"/>
          <w:highlight w:val="none"/>
          <w:lang w:val="en-US" w:eastAsia="zh-CN"/>
        </w:rPr>
        <w:t xml:space="preserve"> </w:t>
      </w:r>
      <w:r>
        <w:rPr>
          <w:szCs w:val="21"/>
          <w:highlight w:val="none"/>
        </w:rPr>
        <w:t>h</w:t>
      </w:r>
      <w:r>
        <w:rPr>
          <w:rFonts w:hint="eastAsia"/>
          <w:szCs w:val="21"/>
          <w:highlight w:val="none"/>
        </w:rPr>
        <w:t>）</w:t>
      </w:r>
      <w:r>
        <w:rPr>
          <w:szCs w:val="21"/>
          <w:highlight w:val="none"/>
        </w:rPr>
        <w:t>，置于铂坩埚中，加入1</w:t>
      </w:r>
      <w:r>
        <w:rPr>
          <w:rFonts w:hint="eastAsia"/>
          <w:szCs w:val="21"/>
          <w:highlight w:val="none"/>
          <w:lang w:val="en-US" w:eastAsia="zh-CN"/>
        </w:rPr>
        <w:t xml:space="preserve"> </w:t>
      </w:r>
      <w:r>
        <w:rPr>
          <w:szCs w:val="21"/>
          <w:highlight w:val="none"/>
        </w:rPr>
        <w:t>g无水碳酸钠</w:t>
      </w:r>
      <w:r>
        <w:rPr>
          <w:rFonts w:hint="eastAsia"/>
          <w:szCs w:val="21"/>
          <w:highlight w:val="none"/>
        </w:rPr>
        <w:t>（</w:t>
      </w:r>
      <w:r>
        <w:rPr>
          <w:szCs w:val="21"/>
          <w:highlight w:val="none"/>
        </w:rPr>
        <w:t>优级纯</w:t>
      </w:r>
      <w:r>
        <w:rPr>
          <w:rFonts w:hint="eastAsia"/>
          <w:szCs w:val="21"/>
          <w:highlight w:val="none"/>
        </w:rPr>
        <w:t>）</w:t>
      </w:r>
      <w:r>
        <w:rPr>
          <w:szCs w:val="21"/>
          <w:highlight w:val="none"/>
        </w:rPr>
        <w:t>，于</w:t>
      </w:r>
      <w:r>
        <w:rPr>
          <w:rFonts w:hint="eastAsia"/>
          <w:szCs w:val="21"/>
          <w:highlight w:val="none"/>
          <w:lang w:val="en-US" w:eastAsia="zh-CN"/>
        </w:rPr>
        <w:t xml:space="preserve">1000 </w:t>
      </w:r>
      <w:r>
        <w:rPr>
          <w:szCs w:val="21"/>
          <w:highlight w:val="none"/>
        </w:rPr>
        <w:t>℃</w:t>
      </w:r>
      <w:r>
        <w:rPr>
          <w:rFonts w:hint="eastAsia"/>
          <w:szCs w:val="21"/>
          <w:highlight w:val="none"/>
          <w:lang w:val="en-US" w:eastAsia="zh-CN"/>
        </w:rPr>
        <w:t xml:space="preserve">±20 </w:t>
      </w:r>
      <w:r>
        <w:rPr>
          <w:szCs w:val="21"/>
          <w:highlight w:val="none"/>
        </w:rPr>
        <w:t>℃加热至完全熔融，冷却，溶于水。稍移入1000</w:t>
      </w:r>
      <w:r>
        <w:rPr>
          <w:rFonts w:hint="eastAsia"/>
          <w:szCs w:val="21"/>
          <w:highlight w:val="none"/>
          <w:lang w:val="en-US" w:eastAsia="zh-CN"/>
        </w:rPr>
        <w:t xml:space="preserve"> </w:t>
      </w:r>
      <w:r>
        <w:rPr>
          <w:szCs w:val="21"/>
          <w:highlight w:val="none"/>
        </w:rPr>
        <w:t>mL容量瓶中，用水稀释至刻度</w:t>
      </w:r>
      <w:r>
        <w:rPr>
          <w:rFonts w:hint="eastAsia"/>
          <w:szCs w:val="21"/>
          <w:highlight w:val="none"/>
          <w:lang w:eastAsia="zh-CN"/>
        </w:rPr>
        <w:t>，</w:t>
      </w:r>
      <w:r>
        <w:rPr>
          <w:rFonts w:hint="eastAsia"/>
          <w:szCs w:val="21"/>
          <w:highlight w:val="none"/>
          <w:lang w:val="en-US" w:eastAsia="zh-CN"/>
        </w:rPr>
        <w:t>混匀</w:t>
      </w:r>
      <w:r>
        <w:rPr>
          <w:szCs w:val="21"/>
          <w:highlight w:val="none"/>
        </w:rPr>
        <w:t>。此溶液1</w:t>
      </w:r>
      <w:r>
        <w:rPr>
          <w:rFonts w:hint="eastAsia"/>
          <w:szCs w:val="21"/>
          <w:highlight w:val="none"/>
          <w:lang w:val="en-US" w:eastAsia="zh-CN"/>
        </w:rPr>
        <w:t xml:space="preserve"> </w:t>
      </w:r>
      <w:r>
        <w:rPr>
          <w:szCs w:val="21"/>
          <w:highlight w:val="none"/>
        </w:rPr>
        <w:t>mL含100</w:t>
      </w:r>
      <w:r>
        <w:rPr>
          <w:rFonts w:hint="eastAsia"/>
          <w:szCs w:val="21"/>
          <w:highlight w:val="none"/>
          <w:lang w:val="en-US" w:eastAsia="zh-CN"/>
        </w:rPr>
        <w:t xml:space="preserve"> </w:t>
      </w:r>
      <w:r>
        <w:rPr>
          <w:szCs w:val="21"/>
          <w:highlight w:val="none"/>
        </w:rPr>
        <w:t>µg硅。</w:t>
      </w:r>
    </w:p>
    <w:p>
      <w:pPr>
        <w:numPr>
          <w:ilvl w:val="0"/>
          <w:numId w:val="4"/>
        </w:numPr>
        <w:autoSpaceDE w:val="0"/>
        <w:autoSpaceDN w:val="0"/>
        <w:spacing w:line="360" w:lineRule="exact"/>
        <w:ind w:left="0" w:firstLine="0"/>
        <w:jc w:val="left"/>
        <w:rPr>
          <w:szCs w:val="21"/>
          <w:highlight w:val="none"/>
        </w:rPr>
      </w:pPr>
      <w:r>
        <w:rPr>
          <w:szCs w:val="21"/>
          <w:highlight w:val="none"/>
        </w:rPr>
        <w:t xml:space="preserve"> 硅标准溶液:移取10.00</w:t>
      </w:r>
      <w:r>
        <w:rPr>
          <w:rFonts w:hint="eastAsia"/>
          <w:szCs w:val="21"/>
          <w:highlight w:val="none"/>
          <w:lang w:val="en-US" w:eastAsia="zh-CN"/>
        </w:rPr>
        <w:t xml:space="preserve"> </w:t>
      </w:r>
      <w:r>
        <w:rPr>
          <w:szCs w:val="21"/>
          <w:highlight w:val="none"/>
        </w:rPr>
        <w:t>mL硅标准贮存溶液</w:t>
      </w:r>
      <w:r>
        <w:rPr>
          <w:rFonts w:hint="eastAsia"/>
          <w:szCs w:val="21"/>
          <w:highlight w:val="none"/>
        </w:rPr>
        <w:t>（</w:t>
      </w:r>
      <w:r>
        <w:rPr>
          <w:szCs w:val="21"/>
          <w:highlight w:val="none"/>
        </w:rPr>
        <w:t>5.</w:t>
      </w:r>
      <w:r>
        <w:rPr>
          <w:rFonts w:hint="eastAsia"/>
          <w:szCs w:val="21"/>
          <w:highlight w:val="none"/>
          <w:lang w:val="en-US" w:eastAsia="zh-CN"/>
        </w:rPr>
        <w:t>7</w:t>
      </w:r>
      <w:r>
        <w:rPr>
          <w:rFonts w:hint="eastAsia"/>
          <w:szCs w:val="21"/>
          <w:highlight w:val="none"/>
        </w:rPr>
        <w:t>）</w:t>
      </w:r>
      <w:r>
        <w:rPr>
          <w:szCs w:val="21"/>
          <w:highlight w:val="none"/>
        </w:rPr>
        <w:t>置于100</w:t>
      </w:r>
      <w:r>
        <w:rPr>
          <w:rFonts w:hint="eastAsia"/>
          <w:szCs w:val="21"/>
          <w:highlight w:val="none"/>
          <w:lang w:val="en-US" w:eastAsia="zh-CN"/>
        </w:rPr>
        <w:t xml:space="preserve"> </w:t>
      </w:r>
      <w:r>
        <w:rPr>
          <w:szCs w:val="21"/>
          <w:highlight w:val="none"/>
        </w:rPr>
        <w:t>mL容量瓶中，用水稀释至刻度，混匀。此溶液1</w:t>
      </w:r>
      <w:r>
        <w:rPr>
          <w:rFonts w:hint="eastAsia"/>
          <w:szCs w:val="21"/>
          <w:highlight w:val="none"/>
          <w:lang w:val="en-US" w:eastAsia="zh-CN"/>
        </w:rPr>
        <w:t xml:space="preserve"> </w:t>
      </w:r>
      <w:r>
        <w:rPr>
          <w:szCs w:val="21"/>
          <w:highlight w:val="none"/>
        </w:rPr>
        <w:t>mL含10</w:t>
      </w:r>
      <w:r>
        <w:rPr>
          <w:rFonts w:hint="eastAsia"/>
          <w:szCs w:val="21"/>
          <w:highlight w:val="none"/>
          <w:lang w:val="en-US" w:eastAsia="zh-CN"/>
        </w:rPr>
        <w:t xml:space="preserve"> </w:t>
      </w:r>
      <w:r>
        <w:rPr>
          <w:szCs w:val="21"/>
          <w:highlight w:val="none"/>
        </w:rPr>
        <w:t>µg硅。</w:t>
      </w:r>
    </w:p>
    <w:p>
      <w:pPr>
        <w:pStyle w:val="66"/>
        <w:numPr>
          <w:ilvl w:val="0"/>
          <w:numId w:val="3"/>
        </w:numPr>
        <w:snapToGrid w:val="0"/>
        <w:spacing w:before="312" w:beforeLines="100" w:after="312" w:afterLines="100" w:line="360" w:lineRule="atLeast"/>
        <w:ind w:firstLineChars="0"/>
        <w:outlineLvl w:val="1"/>
        <w:rPr>
          <w:rFonts w:eastAsia="黑体"/>
          <w:szCs w:val="21"/>
        </w:rPr>
      </w:pPr>
      <w:r>
        <w:rPr>
          <w:rFonts w:eastAsia="黑体"/>
          <w:szCs w:val="21"/>
        </w:rPr>
        <w:t xml:space="preserve"> 仪器设备</w:t>
      </w:r>
    </w:p>
    <w:p>
      <w:pPr>
        <w:pStyle w:val="66"/>
        <w:adjustRightInd w:val="0"/>
        <w:snapToGrid w:val="0"/>
        <w:spacing w:line="360" w:lineRule="atLeast"/>
        <w:outlineLvl w:val="1"/>
        <w:rPr>
          <w:szCs w:val="21"/>
        </w:rPr>
      </w:pPr>
      <w:r>
        <w:rPr>
          <w:rFonts w:hint="eastAsia"/>
          <w:szCs w:val="21"/>
          <w:lang w:val="en-US" w:eastAsia="zh-CN"/>
        </w:rPr>
        <w:t>可见</w:t>
      </w:r>
      <w:r>
        <w:rPr>
          <w:szCs w:val="21"/>
        </w:rPr>
        <w:t>分光光度计。</w:t>
      </w:r>
    </w:p>
    <w:p>
      <w:pPr>
        <w:pStyle w:val="66"/>
        <w:adjustRightInd w:val="0"/>
        <w:snapToGrid w:val="0"/>
        <w:spacing w:line="360" w:lineRule="atLeast"/>
        <w:outlineLvl w:val="1"/>
        <w:rPr>
          <w:rFonts w:hint="eastAsia"/>
          <w:szCs w:val="21"/>
          <w:lang w:val="en-US" w:eastAsia="zh-CN"/>
        </w:rPr>
      </w:pPr>
      <w:r>
        <w:rPr>
          <w:rFonts w:hint="eastAsia"/>
          <w:szCs w:val="21"/>
          <w:lang w:val="en-US" w:eastAsia="zh-CN"/>
        </w:rPr>
        <w:t>在仪器最佳工作条件下，凡达到下列指标者均可使用。</w:t>
      </w:r>
    </w:p>
    <w:p>
      <w:pPr>
        <w:pStyle w:val="66"/>
        <w:adjustRightInd w:val="0"/>
        <w:snapToGrid w:val="0"/>
        <w:spacing w:line="360" w:lineRule="atLeast"/>
        <w:outlineLvl w:val="1"/>
        <w:rPr>
          <w:rFonts w:hint="eastAsia"/>
          <w:szCs w:val="21"/>
          <w:lang w:val="en-US" w:eastAsia="zh-CN"/>
        </w:rPr>
      </w:pPr>
      <w:r>
        <w:rPr>
          <w:rFonts w:hint="eastAsia"/>
          <w:szCs w:val="21"/>
          <w:lang w:val="en-US" w:eastAsia="zh-CN"/>
        </w:rPr>
        <w:t>——波长810 nm处光谱带宽不大于10 nm，波长测量精确至±2 nm；</w:t>
      </w:r>
    </w:p>
    <w:p>
      <w:pPr>
        <w:pStyle w:val="66"/>
        <w:adjustRightInd w:val="0"/>
        <w:snapToGrid w:val="0"/>
        <w:spacing w:line="360" w:lineRule="atLeast"/>
        <w:outlineLvl w:val="1"/>
        <w:rPr>
          <w:rFonts w:hint="default"/>
          <w:szCs w:val="21"/>
          <w:lang w:val="en-US" w:eastAsia="zh-CN"/>
        </w:rPr>
      </w:pPr>
      <w:r>
        <w:rPr>
          <w:rFonts w:hint="eastAsia"/>
          <w:szCs w:val="21"/>
          <w:lang w:val="en-US" w:eastAsia="zh-CN"/>
        </w:rPr>
        <w:t>——精密度：用校准曲线最高浓度溶液测量10次吸光度，相对标准偏差不大于0.3%。</w:t>
      </w:r>
    </w:p>
    <w:p>
      <w:pPr>
        <w:pStyle w:val="66"/>
        <w:numPr>
          <w:ilvl w:val="0"/>
          <w:numId w:val="3"/>
        </w:numPr>
        <w:snapToGrid w:val="0"/>
        <w:spacing w:before="312" w:beforeLines="100" w:after="312" w:afterLines="100" w:line="360" w:lineRule="atLeast"/>
        <w:ind w:firstLineChars="0"/>
        <w:outlineLvl w:val="1"/>
        <w:rPr>
          <w:rFonts w:eastAsia="黑体"/>
          <w:szCs w:val="21"/>
        </w:rPr>
      </w:pPr>
      <w:r>
        <w:rPr>
          <w:rFonts w:eastAsia="黑体"/>
          <w:szCs w:val="21"/>
        </w:rPr>
        <w:t xml:space="preserve"> 样品</w:t>
      </w:r>
    </w:p>
    <w:p>
      <w:pPr>
        <w:adjustRightInd w:val="0"/>
        <w:snapToGrid w:val="0"/>
        <w:spacing w:line="360" w:lineRule="exact"/>
        <w:ind w:firstLine="420" w:firstLineChars="200"/>
        <w:rPr>
          <w:rFonts w:hint="default" w:eastAsia="宋体"/>
          <w:szCs w:val="21"/>
          <w:highlight w:val="yellow"/>
          <w:lang w:val="en-US" w:eastAsia="zh-CN"/>
        </w:rPr>
      </w:pPr>
      <w:r>
        <w:rPr>
          <w:kern w:val="0"/>
          <w:szCs w:val="20"/>
          <w:highlight w:val="none"/>
        </w:rPr>
        <w:t>样品需去掉表面氧化层。取样后，立即称量。</w:t>
      </w:r>
    </w:p>
    <w:p>
      <w:pPr>
        <w:pStyle w:val="66"/>
        <w:numPr>
          <w:ilvl w:val="0"/>
          <w:numId w:val="3"/>
        </w:numPr>
        <w:snapToGrid w:val="0"/>
        <w:spacing w:before="312" w:beforeLines="100" w:after="312" w:afterLines="100" w:line="360" w:lineRule="atLeast"/>
        <w:ind w:firstLineChars="0"/>
        <w:outlineLvl w:val="1"/>
        <w:rPr>
          <w:rFonts w:eastAsia="黑体"/>
          <w:szCs w:val="21"/>
        </w:rPr>
      </w:pPr>
      <w:r>
        <w:rPr>
          <w:rFonts w:eastAsia="黑体"/>
          <w:szCs w:val="21"/>
        </w:rPr>
        <w:t xml:space="preserve"> 试验步骤</w:t>
      </w:r>
    </w:p>
    <w:p>
      <w:pPr>
        <w:pStyle w:val="66"/>
        <w:numPr>
          <w:ilvl w:val="1"/>
          <w:numId w:val="5"/>
        </w:numPr>
        <w:snapToGrid w:val="0"/>
        <w:spacing w:before="156" w:beforeLines="50" w:after="156" w:afterLines="50" w:line="360" w:lineRule="atLeast"/>
        <w:ind w:firstLineChars="0"/>
        <w:outlineLvl w:val="1"/>
        <w:rPr>
          <w:rFonts w:eastAsia="黑体"/>
          <w:szCs w:val="21"/>
        </w:rPr>
      </w:pPr>
      <w:r>
        <w:rPr>
          <w:rFonts w:eastAsia="黑体"/>
          <w:szCs w:val="21"/>
        </w:rPr>
        <w:t>试</w:t>
      </w:r>
      <w:r>
        <w:rPr>
          <w:rFonts w:hint="eastAsia" w:eastAsia="黑体"/>
          <w:szCs w:val="21"/>
          <w:lang w:val="en-US" w:eastAsia="zh-CN"/>
        </w:rPr>
        <w:t>样</w:t>
      </w:r>
    </w:p>
    <w:p>
      <w:pPr>
        <w:adjustRightInd w:val="0"/>
        <w:snapToGrid w:val="0"/>
        <w:spacing w:line="360" w:lineRule="exact"/>
        <w:ind w:firstLine="420" w:firstLineChars="200"/>
        <w:rPr>
          <w:sz w:val="24"/>
        </w:rPr>
      </w:pPr>
      <w:r>
        <w:rPr>
          <w:kern w:val="0"/>
          <w:szCs w:val="20"/>
        </w:rPr>
        <w:t>称取样品</w:t>
      </w:r>
      <w:r>
        <w:rPr>
          <w:rFonts w:hint="eastAsia"/>
          <w:kern w:val="0"/>
          <w:szCs w:val="20"/>
          <w:lang w:val="en-US" w:eastAsia="zh-CN"/>
        </w:rPr>
        <w:t>2.00 g</w:t>
      </w:r>
      <w:r>
        <w:rPr>
          <w:kern w:val="0"/>
          <w:szCs w:val="20"/>
        </w:rPr>
        <w:t>，精确至0.0001 g。</w:t>
      </w:r>
    </w:p>
    <w:p>
      <w:pPr>
        <w:pStyle w:val="66"/>
        <w:numPr>
          <w:ilvl w:val="1"/>
          <w:numId w:val="5"/>
        </w:numPr>
        <w:snapToGrid w:val="0"/>
        <w:spacing w:before="156" w:beforeLines="50" w:after="156" w:afterLines="50" w:line="360" w:lineRule="atLeast"/>
        <w:ind w:firstLineChars="0"/>
        <w:outlineLvl w:val="1"/>
        <w:rPr>
          <w:rFonts w:eastAsia="黑体"/>
          <w:szCs w:val="21"/>
        </w:rPr>
      </w:pPr>
      <w:r>
        <w:rPr>
          <w:rFonts w:eastAsia="黑体"/>
          <w:szCs w:val="21"/>
        </w:rPr>
        <w:t>平行试验</w:t>
      </w:r>
    </w:p>
    <w:p>
      <w:pPr>
        <w:pStyle w:val="66"/>
        <w:adjustRightInd w:val="0"/>
        <w:snapToGrid w:val="0"/>
        <w:spacing w:line="360" w:lineRule="atLeast"/>
        <w:outlineLvl w:val="1"/>
        <w:rPr>
          <w:rFonts w:eastAsia="黑体"/>
          <w:szCs w:val="21"/>
          <w:highlight w:val="none"/>
        </w:rPr>
      </w:pPr>
      <w:r>
        <w:rPr>
          <w:rFonts w:hint="eastAsia"/>
          <w:szCs w:val="21"/>
          <w:highlight w:val="none"/>
          <w:lang w:val="en-US" w:eastAsia="zh-CN"/>
        </w:rPr>
        <w:t>平行做两份试验</w:t>
      </w:r>
      <w:r>
        <w:rPr>
          <w:szCs w:val="21"/>
          <w:highlight w:val="none"/>
        </w:rPr>
        <w:t>。</w:t>
      </w:r>
    </w:p>
    <w:p>
      <w:pPr>
        <w:pStyle w:val="66"/>
        <w:numPr>
          <w:ilvl w:val="1"/>
          <w:numId w:val="5"/>
        </w:numPr>
        <w:snapToGrid w:val="0"/>
        <w:spacing w:before="156" w:beforeLines="50" w:after="156" w:afterLines="50" w:line="360" w:lineRule="atLeast"/>
        <w:ind w:firstLineChars="0"/>
        <w:outlineLvl w:val="1"/>
        <w:rPr>
          <w:rFonts w:eastAsia="黑体"/>
          <w:szCs w:val="21"/>
          <w:highlight w:val="none"/>
        </w:rPr>
      </w:pPr>
      <w:r>
        <w:rPr>
          <w:rFonts w:eastAsia="黑体"/>
          <w:szCs w:val="21"/>
          <w:highlight w:val="none"/>
        </w:rPr>
        <w:t>空白试验</w:t>
      </w:r>
    </w:p>
    <w:p>
      <w:pPr>
        <w:numPr>
          <w:ilvl w:val="2"/>
          <w:numId w:val="5"/>
        </w:numPr>
        <w:spacing w:line="360" w:lineRule="exact"/>
        <w:ind w:left="709" w:leftChars="0" w:hanging="709" w:firstLineChars="0"/>
        <w:rPr>
          <w:szCs w:val="21"/>
          <w:highlight w:val="none"/>
        </w:rPr>
      </w:pPr>
      <w:r>
        <w:rPr>
          <w:rFonts w:hint="eastAsia" w:ascii="黑体" w:hAnsi="黑体" w:eastAsia="黑体" w:cs="黑体"/>
          <w:szCs w:val="21"/>
          <w:lang w:val="en-US" w:eastAsia="zh-CN"/>
        </w:rPr>
        <w:t xml:space="preserve"> </w:t>
      </w:r>
      <w:r>
        <w:rPr>
          <w:szCs w:val="21"/>
        </w:rPr>
        <w:t>空白试验：钆铁合金、镝铁合金、钬铁合金、钇铁合</w:t>
      </w:r>
      <w:r>
        <w:rPr>
          <w:szCs w:val="21"/>
          <w:highlight w:val="none"/>
        </w:rPr>
        <w:t>金</w:t>
      </w:r>
      <w:r>
        <w:rPr>
          <w:rFonts w:hint="eastAsia"/>
          <w:szCs w:val="21"/>
          <w:highlight w:val="none"/>
          <w:lang w:val="en-US" w:eastAsia="zh-CN"/>
        </w:rPr>
        <w:t>试样</w:t>
      </w:r>
      <w:r>
        <w:rPr>
          <w:szCs w:val="21"/>
          <w:highlight w:val="none"/>
        </w:rPr>
        <w:t>，随同试样做空白试验。</w:t>
      </w:r>
    </w:p>
    <w:p>
      <w:pPr>
        <w:numPr>
          <w:ilvl w:val="2"/>
          <w:numId w:val="5"/>
        </w:numPr>
        <w:spacing w:line="360" w:lineRule="exact"/>
        <w:ind w:left="709" w:leftChars="0" w:hanging="709" w:firstLineChars="0"/>
        <w:rPr>
          <w:szCs w:val="21"/>
          <w:highlight w:val="none"/>
        </w:rPr>
      </w:pPr>
      <w:r>
        <w:rPr>
          <w:rFonts w:hint="eastAsia" w:ascii="黑体" w:hAnsi="黑体" w:eastAsia="黑体" w:cs="黑体"/>
          <w:szCs w:val="21"/>
          <w:highlight w:val="none"/>
          <w:lang w:val="en-US" w:eastAsia="zh-CN"/>
        </w:rPr>
        <w:t xml:space="preserve"> </w:t>
      </w:r>
      <w:r>
        <w:rPr>
          <w:szCs w:val="21"/>
          <w:highlight w:val="none"/>
        </w:rPr>
        <w:t>铁基空白试验：</w:t>
      </w:r>
      <w:bookmarkStart w:id="3" w:name="_GoBack"/>
      <w:bookmarkEnd w:id="3"/>
      <w:r>
        <w:rPr>
          <w:szCs w:val="21"/>
          <w:highlight w:val="none"/>
        </w:rPr>
        <w:t>镧铁合金、铈铁合金、镧铈铁合金</w:t>
      </w:r>
      <w:r>
        <w:rPr>
          <w:rFonts w:hint="eastAsia"/>
          <w:szCs w:val="21"/>
          <w:highlight w:val="none"/>
          <w:lang w:val="en-US" w:eastAsia="zh-CN"/>
        </w:rPr>
        <w:t>试样</w:t>
      </w:r>
      <w:r>
        <w:rPr>
          <w:szCs w:val="21"/>
          <w:highlight w:val="none"/>
        </w:rPr>
        <w:t>，根据</w:t>
      </w:r>
      <w:r>
        <w:rPr>
          <w:rFonts w:hint="eastAsia"/>
          <w:szCs w:val="21"/>
          <w:highlight w:val="none"/>
          <w:lang w:eastAsia="zh-CN"/>
        </w:rPr>
        <w:t>试样</w:t>
      </w:r>
      <w:r>
        <w:rPr>
          <w:szCs w:val="21"/>
          <w:highlight w:val="none"/>
        </w:rPr>
        <w:t>量称取适量纯铁</w:t>
      </w:r>
      <w:r>
        <w:rPr>
          <w:rFonts w:hint="eastAsia"/>
          <w:szCs w:val="21"/>
          <w:highlight w:val="none"/>
          <w:lang w:eastAsia="zh-CN"/>
        </w:rPr>
        <w:t>，</w:t>
      </w:r>
      <w:r>
        <w:rPr>
          <w:szCs w:val="21"/>
          <w:highlight w:val="none"/>
        </w:rPr>
        <w:t>随同试样做空白试验。</w:t>
      </w:r>
    </w:p>
    <w:p>
      <w:pPr>
        <w:pStyle w:val="66"/>
        <w:numPr>
          <w:ilvl w:val="1"/>
          <w:numId w:val="5"/>
        </w:numPr>
        <w:snapToGrid w:val="0"/>
        <w:spacing w:before="156" w:beforeLines="50" w:after="156" w:afterLines="50" w:line="360" w:lineRule="atLeast"/>
        <w:ind w:firstLineChars="0"/>
        <w:outlineLvl w:val="1"/>
        <w:rPr>
          <w:rFonts w:eastAsia="黑体"/>
          <w:szCs w:val="21"/>
          <w:highlight w:val="none"/>
        </w:rPr>
      </w:pPr>
      <w:r>
        <w:rPr>
          <w:rFonts w:eastAsia="黑体"/>
          <w:szCs w:val="21"/>
          <w:highlight w:val="none"/>
        </w:rPr>
        <w:t>试</w:t>
      </w:r>
      <w:r>
        <w:rPr>
          <w:rFonts w:hint="eastAsia" w:eastAsia="黑体"/>
          <w:szCs w:val="21"/>
          <w:highlight w:val="none"/>
          <w:lang w:val="en-US" w:eastAsia="zh-CN"/>
        </w:rPr>
        <w:t>样</w:t>
      </w:r>
      <w:r>
        <w:rPr>
          <w:rFonts w:eastAsia="黑体"/>
          <w:szCs w:val="21"/>
          <w:highlight w:val="none"/>
        </w:rPr>
        <w:t>的溶解</w:t>
      </w:r>
    </w:p>
    <w:p>
      <w:pPr>
        <w:pStyle w:val="66"/>
        <w:adjustRightInd w:val="0"/>
        <w:snapToGrid w:val="0"/>
        <w:spacing w:line="360" w:lineRule="atLeast"/>
        <w:outlineLvl w:val="1"/>
        <w:rPr>
          <w:rFonts w:eastAsia="黑体"/>
          <w:szCs w:val="21"/>
        </w:rPr>
      </w:pPr>
      <w:r>
        <w:rPr>
          <w:szCs w:val="21"/>
          <w:highlight w:val="none"/>
        </w:rPr>
        <w:t>将试</w:t>
      </w:r>
      <w:r>
        <w:rPr>
          <w:rFonts w:hint="eastAsia"/>
          <w:szCs w:val="21"/>
          <w:highlight w:val="none"/>
          <w:lang w:val="en-US" w:eastAsia="zh-CN"/>
        </w:rPr>
        <w:t>样</w:t>
      </w:r>
      <w:r>
        <w:rPr>
          <w:rFonts w:hint="eastAsia"/>
          <w:szCs w:val="21"/>
          <w:highlight w:val="none"/>
        </w:rPr>
        <w:t>（</w:t>
      </w:r>
      <w:r>
        <w:rPr>
          <w:szCs w:val="21"/>
          <w:highlight w:val="none"/>
        </w:rPr>
        <w:t>8.1</w:t>
      </w:r>
      <w:r>
        <w:rPr>
          <w:rFonts w:hint="eastAsia"/>
          <w:szCs w:val="21"/>
          <w:highlight w:val="none"/>
        </w:rPr>
        <w:t>）</w:t>
      </w:r>
      <w:r>
        <w:rPr>
          <w:szCs w:val="21"/>
          <w:highlight w:val="none"/>
        </w:rPr>
        <w:t>置于250</w:t>
      </w:r>
      <w:r>
        <w:rPr>
          <w:rFonts w:hint="eastAsia"/>
          <w:szCs w:val="21"/>
          <w:highlight w:val="none"/>
          <w:lang w:val="en-US" w:eastAsia="zh-CN"/>
        </w:rPr>
        <w:t xml:space="preserve"> </w:t>
      </w:r>
      <w:r>
        <w:rPr>
          <w:szCs w:val="21"/>
          <w:highlight w:val="none"/>
        </w:rPr>
        <w:t>mL聚四</w:t>
      </w:r>
      <w:r>
        <w:rPr>
          <w:szCs w:val="21"/>
        </w:rPr>
        <w:t>氟乙烯烧杯中，加入约20</w:t>
      </w:r>
      <w:r>
        <w:rPr>
          <w:rFonts w:hint="eastAsia"/>
          <w:szCs w:val="21"/>
          <w:lang w:val="en-US" w:eastAsia="zh-CN"/>
        </w:rPr>
        <w:t xml:space="preserve"> </w:t>
      </w:r>
      <w:r>
        <w:rPr>
          <w:szCs w:val="21"/>
        </w:rPr>
        <w:t>mL水，40</w:t>
      </w:r>
      <w:r>
        <w:rPr>
          <w:rFonts w:hint="eastAsia"/>
          <w:szCs w:val="21"/>
          <w:lang w:val="en-US" w:eastAsia="zh-CN"/>
        </w:rPr>
        <w:t xml:space="preserve"> </w:t>
      </w:r>
      <w:r>
        <w:rPr>
          <w:szCs w:val="21"/>
        </w:rPr>
        <w:t>mL混合酸（5.</w:t>
      </w:r>
      <w:r>
        <w:rPr>
          <w:rFonts w:hint="eastAsia"/>
          <w:szCs w:val="21"/>
          <w:lang w:val="en-US" w:eastAsia="zh-CN"/>
        </w:rPr>
        <w:t>1</w:t>
      </w:r>
      <w:r>
        <w:rPr>
          <w:szCs w:val="21"/>
        </w:rPr>
        <w:t>），盖上烧杯盖，低温微热溶解</w:t>
      </w:r>
      <w:r>
        <w:rPr>
          <w:rFonts w:hint="eastAsia"/>
          <w:szCs w:val="21"/>
          <w:lang w:eastAsia="zh-CN"/>
        </w:rPr>
        <w:t>试样</w:t>
      </w:r>
      <w:r>
        <w:rPr>
          <w:szCs w:val="21"/>
        </w:rPr>
        <w:t>，溶解过程中不断补加水，保持溶液体积无明显减少。溶解至</w:t>
      </w:r>
      <w:r>
        <w:rPr>
          <w:rFonts w:hint="eastAsia"/>
          <w:szCs w:val="21"/>
          <w:lang w:val="en-US" w:eastAsia="zh-CN"/>
        </w:rPr>
        <w:t>试样</w:t>
      </w:r>
      <w:r>
        <w:rPr>
          <w:szCs w:val="21"/>
        </w:rPr>
        <w:t>反应完全</w:t>
      </w:r>
      <w:r>
        <w:rPr>
          <w:rFonts w:hint="eastAsia"/>
          <w:szCs w:val="21"/>
          <w:lang w:val="en-US" w:eastAsia="zh-CN"/>
        </w:rPr>
        <w:t>后取下</w:t>
      </w:r>
      <w:r>
        <w:rPr>
          <w:szCs w:val="21"/>
        </w:rPr>
        <w:t>，用水洗杯壁及烧杯盖，冷却至室温，将溶液转移至2</w:t>
      </w:r>
      <w:r>
        <w:rPr>
          <w:rFonts w:hint="eastAsia"/>
          <w:szCs w:val="21"/>
          <w:lang w:val="en-US" w:eastAsia="zh-CN"/>
        </w:rPr>
        <w:t>5</w:t>
      </w:r>
      <w:r>
        <w:rPr>
          <w:szCs w:val="21"/>
        </w:rPr>
        <w:t>0</w:t>
      </w:r>
      <w:r>
        <w:rPr>
          <w:rFonts w:hint="eastAsia"/>
          <w:szCs w:val="21"/>
          <w:lang w:val="en-US" w:eastAsia="zh-CN"/>
        </w:rPr>
        <w:t xml:space="preserve"> </w:t>
      </w:r>
      <w:r>
        <w:rPr>
          <w:szCs w:val="21"/>
        </w:rPr>
        <w:t>mL容量瓶中，用水稀释至刻度，混匀。</w:t>
      </w:r>
    </w:p>
    <w:p>
      <w:pPr>
        <w:pStyle w:val="66"/>
        <w:numPr>
          <w:ilvl w:val="1"/>
          <w:numId w:val="5"/>
        </w:numPr>
        <w:snapToGrid w:val="0"/>
        <w:spacing w:before="156" w:beforeLines="50" w:after="156" w:afterLines="50" w:line="360" w:lineRule="atLeast"/>
        <w:ind w:firstLineChars="0"/>
        <w:outlineLvl w:val="1"/>
        <w:rPr>
          <w:rFonts w:eastAsia="黑体"/>
          <w:szCs w:val="21"/>
        </w:rPr>
      </w:pPr>
      <w:r>
        <w:rPr>
          <w:rFonts w:hint="eastAsia" w:eastAsia="黑体"/>
          <w:szCs w:val="21"/>
          <w:lang w:val="en-US" w:eastAsia="zh-CN"/>
        </w:rPr>
        <w:t>显色</w:t>
      </w:r>
    </w:p>
    <w:p>
      <w:pPr>
        <w:numPr>
          <w:ilvl w:val="0"/>
          <w:numId w:val="0"/>
        </w:numPr>
        <w:adjustRightInd w:val="0"/>
        <w:snapToGrid w:val="0"/>
        <w:spacing w:line="360" w:lineRule="exact"/>
        <w:ind w:leftChars="0"/>
        <w:rPr>
          <w:szCs w:val="21"/>
          <w:highlight w:val="none"/>
        </w:rPr>
      </w:pPr>
      <w:r>
        <w:rPr>
          <w:rFonts w:hint="eastAsia" w:ascii="黑体" w:hAnsi="黑体" w:eastAsia="黑体" w:cs="黑体"/>
          <w:b w:val="0"/>
          <w:bCs w:val="0"/>
          <w:kern w:val="0"/>
          <w:szCs w:val="20"/>
          <w:highlight w:val="none"/>
          <w:lang w:val="en-US" w:eastAsia="zh-CN"/>
        </w:rPr>
        <w:t>8.5.1</w:t>
      </w:r>
      <w:r>
        <w:rPr>
          <w:rFonts w:hint="eastAsia" w:asciiTheme="minorEastAsia" w:hAnsiTheme="minorEastAsia" w:eastAsiaTheme="minorEastAsia" w:cstheme="minorEastAsia"/>
          <w:b w:val="0"/>
          <w:bCs w:val="0"/>
          <w:kern w:val="0"/>
          <w:szCs w:val="20"/>
          <w:highlight w:val="none"/>
          <w:lang w:val="en-US" w:eastAsia="zh-CN"/>
        </w:rPr>
        <w:t>当试样为</w:t>
      </w:r>
      <w:r>
        <w:rPr>
          <w:szCs w:val="21"/>
          <w:highlight w:val="none"/>
        </w:rPr>
        <w:t>钆铁合金、镝铁合金、钬铁合金、钇铁合金</w:t>
      </w:r>
      <w:r>
        <w:rPr>
          <w:rFonts w:hint="eastAsia"/>
          <w:szCs w:val="21"/>
          <w:highlight w:val="none"/>
          <w:lang w:val="en-US" w:eastAsia="zh-CN"/>
        </w:rPr>
        <w:t>时</w:t>
      </w:r>
      <w:r>
        <w:rPr>
          <w:szCs w:val="21"/>
          <w:highlight w:val="none"/>
        </w:rPr>
        <w:t>：分取5.00mL试液（8.4）于50</w:t>
      </w:r>
      <w:r>
        <w:rPr>
          <w:rFonts w:hint="eastAsia"/>
          <w:szCs w:val="21"/>
          <w:highlight w:val="none"/>
          <w:lang w:val="en-US" w:eastAsia="zh-CN"/>
        </w:rPr>
        <w:t xml:space="preserve"> </w:t>
      </w:r>
      <w:r>
        <w:rPr>
          <w:szCs w:val="21"/>
          <w:highlight w:val="none"/>
        </w:rPr>
        <w:t>mL容量瓶，加入10</w:t>
      </w:r>
      <w:r>
        <w:rPr>
          <w:rFonts w:hint="eastAsia"/>
          <w:szCs w:val="21"/>
          <w:highlight w:val="none"/>
          <w:lang w:val="en-US" w:eastAsia="zh-CN"/>
        </w:rPr>
        <w:t xml:space="preserve"> </w:t>
      </w:r>
      <w:r>
        <w:rPr>
          <w:szCs w:val="21"/>
          <w:highlight w:val="none"/>
        </w:rPr>
        <w:t>mL水，加入0.4</w:t>
      </w:r>
      <w:r>
        <w:rPr>
          <w:rFonts w:hint="eastAsia"/>
          <w:szCs w:val="21"/>
          <w:highlight w:val="none"/>
          <w:lang w:val="en-US" w:eastAsia="zh-CN"/>
        </w:rPr>
        <w:t xml:space="preserve"> </w:t>
      </w:r>
      <w:r>
        <w:rPr>
          <w:szCs w:val="21"/>
          <w:highlight w:val="none"/>
        </w:rPr>
        <w:t>mL硫酸溶液（5.</w:t>
      </w:r>
      <w:r>
        <w:rPr>
          <w:rFonts w:hint="eastAsia"/>
          <w:szCs w:val="21"/>
          <w:highlight w:val="none"/>
          <w:lang w:val="en-US" w:eastAsia="zh-CN"/>
        </w:rPr>
        <w:t>2</w:t>
      </w:r>
      <w:r>
        <w:rPr>
          <w:szCs w:val="21"/>
          <w:highlight w:val="none"/>
        </w:rPr>
        <w:t>），5.0</w:t>
      </w:r>
      <w:r>
        <w:rPr>
          <w:rFonts w:hint="eastAsia"/>
          <w:szCs w:val="21"/>
          <w:highlight w:val="none"/>
          <w:lang w:val="en-US" w:eastAsia="zh-CN"/>
        </w:rPr>
        <w:t xml:space="preserve"> </w:t>
      </w:r>
      <w:r>
        <w:rPr>
          <w:szCs w:val="21"/>
          <w:highlight w:val="none"/>
        </w:rPr>
        <w:t>mL钼酸铵溶液（</w:t>
      </w:r>
      <w:r>
        <w:rPr>
          <w:rFonts w:hint="eastAsia"/>
          <w:szCs w:val="21"/>
          <w:highlight w:val="none"/>
          <w:lang w:val="en-US" w:eastAsia="zh-CN"/>
        </w:rPr>
        <w:t>5.4</w:t>
      </w:r>
      <w:r>
        <w:rPr>
          <w:szCs w:val="21"/>
          <w:highlight w:val="none"/>
        </w:rPr>
        <w:t>），</w:t>
      </w:r>
      <w:r>
        <w:rPr>
          <w:rFonts w:hint="eastAsia"/>
          <w:color w:val="000000" w:themeColor="text1"/>
          <w:szCs w:val="21"/>
          <w:highlight w:val="none"/>
          <w14:textFill>
            <w14:solidFill>
              <w14:schemeClr w14:val="tx1"/>
            </w14:solidFill>
          </w14:textFill>
        </w:rPr>
        <w:t>在不低于20℃的室温下放置</w:t>
      </w:r>
      <w:r>
        <w:rPr>
          <w:rFonts w:hint="eastAsia"/>
          <w:color w:val="000000" w:themeColor="text1"/>
          <w:szCs w:val="21"/>
          <w:highlight w:val="none"/>
          <w:lang w:val="en-US" w:eastAsia="zh-CN"/>
          <w14:textFill>
            <w14:solidFill>
              <w14:schemeClr w14:val="tx1"/>
            </w14:solidFill>
          </w14:textFill>
        </w:rPr>
        <w:t xml:space="preserve">20 </w:t>
      </w:r>
      <w:r>
        <w:rPr>
          <w:rFonts w:hint="eastAsia"/>
          <w:color w:val="000000" w:themeColor="text1"/>
          <w:szCs w:val="21"/>
          <w:highlight w:val="none"/>
          <w14:textFill>
            <w14:solidFill>
              <w14:schemeClr w14:val="tx1"/>
            </w14:solidFill>
          </w14:textFill>
        </w:rPr>
        <w:t>min</w:t>
      </w:r>
      <w:r>
        <w:rPr>
          <w:szCs w:val="21"/>
          <w:highlight w:val="none"/>
        </w:rPr>
        <w:t>；加入5.0</w:t>
      </w:r>
      <w:r>
        <w:rPr>
          <w:rFonts w:hint="eastAsia"/>
          <w:szCs w:val="21"/>
          <w:highlight w:val="none"/>
          <w:lang w:val="en-US" w:eastAsia="zh-CN"/>
        </w:rPr>
        <w:t xml:space="preserve"> </w:t>
      </w:r>
      <w:r>
        <w:rPr>
          <w:szCs w:val="21"/>
          <w:highlight w:val="none"/>
        </w:rPr>
        <w:t>mL草酸-硫酸混合酸（5.</w:t>
      </w:r>
      <w:r>
        <w:rPr>
          <w:rFonts w:hint="eastAsia"/>
          <w:szCs w:val="21"/>
          <w:highlight w:val="none"/>
          <w:lang w:val="en-US" w:eastAsia="zh-CN"/>
        </w:rPr>
        <w:t>5</w:t>
      </w:r>
      <w:r>
        <w:rPr>
          <w:szCs w:val="21"/>
          <w:highlight w:val="none"/>
        </w:rPr>
        <w:t>）；立即加入5.0</w:t>
      </w:r>
      <w:r>
        <w:rPr>
          <w:rFonts w:hint="eastAsia"/>
          <w:szCs w:val="21"/>
          <w:highlight w:val="none"/>
          <w:lang w:val="en-US" w:eastAsia="zh-CN"/>
        </w:rPr>
        <w:t xml:space="preserve"> </w:t>
      </w:r>
      <w:r>
        <w:rPr>
          <w:szCs w:val="21"/>
          <w:highlight w:val="none"/>
        </w:rPr>
        <w:t>mL抗坏血酸溶液（5.</w:t>
      </w:r>
      <w:r>
        <w:rPr>
          <w:rFonts w:hint="eastAsia"/>
          <w:szCs w:val="21"/>
          <w:highlight w:val="none"/>
          <w:lang w:val="en-US" w:eastAsia="zh-CN"/>
        </w:rPr>
        <w:t>6</w:t>
      </w:r>
      <w:r>
        <w:rPr>
          <w:szCs w:val="21"/>
          <w:highlight w:val="none"/>
        </w:rPr>
        <w:t>）</w:t>
      </w:r>
      <w:r>
        <w:rPr>
          <w:rFonts w:hint="eastAsia"/>
          <w:szCs w:val="21"/>
          <w:highlight w:val="none"/>
          <w:lang w:eastAsia="zh-CN"/>
        </w:rPr>
        <w:t>，</w:t>
      </w:r>
      <w:r>
        <w:rPr>
          <w:szCs w:val="21"/>
          <w:highlight w:val="none"/>
        </w:rPr>
        <w:t>每次加入一种溶液后都要摇匀</w:t>
      </w:r>
      <w:r>
        <w:rPr>
          <w:rFonts w:hint="eastAsia"/>
          <w:szCs w:val="21"/>
          <w:highlight w:val="none"/>
          <w:lang w:eastAsia="zh-CN"/>
        </w:rPr>
        <w:t>。</w:t>
      </w:r>
      <w:r>
        <w:rPr>
          <w:szCs w:val="21"/>
          <w:highlight w:val="none"/>
        </w:rPr>
        <w:t>用水稀释至刻度，混匀；</w:t>
      </w:r>
      <w:r>
        <w:rPr>
          <w:rFonts w:hint="eastAsia"/>
          <w:szCs w:val="21"/>
          <w:highlight w:val="none"/>
          <w:lang w:val="en-US" w:eastAsia="zh-CN"/>
        </w:rPr>
        <w:t>放</w:t>
      </w:r>
      <w:r>
        <w:rPr>
          <w:szCs w:val="21"/>
          <w:highlight w:val="none"/>
        </w:rPr>
        <w:t>置</w:t>
      </w:r>
      <w:r>
        <w:rPr>
          <w:rFonts w:hint="eastAsia"/>
          <w:szCs w:val="21"/>
          <w:highlight w:val="none"/>
          <w:lang w:val="en-US" w:eastAsia="zh-CN"/>
        </w:rPr>
        <w:t xml:space="preserve">20 </w:t>
      </w:r>
      <w:r>
        <w:rPr>
          <w:szCs w:val="21"/>
          <w:highlight w:val="none"/>
        </w:rPr>
        <w:t>min。</w:t>
      </w:r>
    </w:p>
    <w:p>
      <w:pPr>
        <w:adjustRightInd w:val="0"/>
        <w:snapToGrid w:val="0"/>
        <w:spacing w:line="360" w:lineRule="exact"/>
        <w:rPr>
          <w:szCs w:val="21"/>
          <w:highlight w:val="none"/>
        </w:rPr>
      </w:pPr>
      <w:r>
        <w:rPr>
          <w:rFonts w:hint="eastAsia" w:ascii="黑体" w:hAnsi="黑体" w:eastAsia="黑体" w:cs="黑体"/>
          <w:szCs w:val="21"/>
          <w:highlight w:val="none"/>
          <w:lang w:val="en-US" w:eastAsia="zh-CN"/>
        </w:rPr>
        <w:t xml:space="preserve">8.5.2 </w:t>
      </w:r>
      <w:r>
        <w:rPr>
          <w:rFonts w:hint="eastAsia" w:asciiTheme="minorEastAsia" w:hAnsiTheme="minorEastAsia" w:eastAsiaTheme="minorEastAsia" w:cstheme="minorEastAsia"/>
          <w:b w:val="0"/>
          <w:bCs w:val="0"/>
          <w:kern w:val="0"/>
          <w:szCs w:val="20"/>
          <w:highlight w:val="none"/>
          <w:lang w:val="en-US" w:eastAsia="zh-CN"/>
        </w:rPr>
        <w:t>当试样为</w:t>
      </w:r>
      <w:r>
        <w:rPr>
          <w:szCs w:val="21"/>
          <w:highlight w:val="none"/>
        </w:rPr>
        <w:t>镧铁合金、铈铁合金、镧铈铁合金</w:t>
      </w:r>
      <w:r>
        <w:rPr>
          <w:rFonts w:hint="eastAsia"/>
          <w:szCs w:val="21"/>
          <w:highlight w:val="none"/>
          <w:lang w:val="en-US" w:eastAsia="zh-CN"/>
        </w:rPr>
        <w:t>时</w:t>
      </w:r>
      <w:r>
        <w:rPr>
          <w:szCs w:val="21"/>
          <w:highlight w:val="none"/>
        </w:rPr>
        <w:t>：分取5.00</w:t>
      </w:r>
      <w:r>
        <w:rPr>
          <w:rFonts w:hint="eastAsia"/>
          <w:szCs w:val="21"/>
          <w:highlight w:val="none"/>
          <w:lang w:val="en-US" w:eastAsia="zh-CN"/>
        </w:rPr>
        <w:t xml:space="preserve"> </w:t>
      </w:r>
      <w:r>
        <w:rPr>
          <w:szCs w:val="21"/>
          <w:highlight w:val="none"/>
        </w:rPr>
        <w:t>mL试液（8.4）两份于50</w:t>
      </w:r>
      <w:r>
        <w:rPr>
          <w:rFonts w:hint="eastAsia"/>
          <w:szCs w:val="21"/>
          <w:highlight w:val="none"/>
          <w:lang w:val="en-US" w:eastAsia="zh-CN"/>
        </w:rPr>
        <w:t xml:space="preserve"> </w:t>
      </w:r>
      <w:r>
        <w:rPr>
          <w:szCs w:val="21"/>
          <w:highlight w:val="none"/>
        </w:rPr>
        <w:t>mL容量瓶中，加入10</w:t>
      </w:r>
      <w:r>
        <w:rPr>
          <w:rFonts w:hint="eastAsia"/>
          <w:szCs w:val="21"/>
          <w:highlight w:val="none"/>
          <w:lang w:val="en-US" w:eastAsia="zh-CN"/>
        </w:rPr>
        <w:t xml:space="preserve"> </w:t>
      </w:r>
      <w:r>
        <w:rPr>
          <w:szCs w:val="21"/>
          <w:highlight w:val="none"/>
        </w:rPr>
        <w:t>mL水。一份溶液制备显色液</w:t>
      </w:r>
      <w:r>
        <w:rPr>
          <w:rFonts w:hint="eastAsia"/>
          <w:szCs w:val="21"/>
          <w:highlight w:val="none"/>
          <w:lang w:eastAsia="zh-CN"/>
        </w:rPr>
        <w:t>，</w:t>
      </w:r>
      <w:r>
        <w:rPr>
          <w:rFonts w:hint="eastAsia"/>
          <w:szCs w:val="21"/>
          <w:highlight w:val="none"/>
          <w:lang w:val="en-US" w:eastAsia="zh-CN"/>
        </w:rPr>
        <w:t>其余步骤同8.5.1；</w:t>
      </w:r>
      <w:r>
        <w:rPr>
          <w:szCs w:val="21"/>
          <w:highlight w:val="none"/>
        </w:rPr>
        <w:t>另一份溶液制备参比液</w:t>
      </w:r>
      <w:r>
        <w:rPr>
          <w:rFonts w:hint="eastAsia"/>
          <w:szCs w:val="21"/>
          <w:highlight w:val="none"/>
          <w:lang w:eastAsia="zh-CN"/>
        </w:rPr>
        <w:t>，</w:t>
      </w:r>
      <w:r>
        <w:rPr>
          <w:rFonts w:hint="eastAsia"/>
          <w:szCs w:val="21"/>
          <w:highlight w:val="none"/>
          <w:lang w:val="en-US" w:eastAsia="zh-CN"/>
        </w:rPr>
        <w:t>分别加入</w:t>
      </w:r>
      <w:r>
        <w:rPr>
          <w:szCs w:val="21"/>
          <w:highlight w:val="none"/>
        </w:rPr>
        <w:t>5.0</w:t>
      </w:r>
      <w:r>
        <w:rPr>
          <w:rFonts w:hint="eastAsia"/>
          <w:szCs w:val="21"/>
          <w:highlight w:val="none"/>
          <w:lang w:val="en-US" w:eastAsia="zh-CN"/>
        </w:rPr>
        <w:t xml:space="preserve"> </w:t>
      </w:r>
      <w:r>
        <w:rPr>
          <w:szCs w:val="21"/>
          <w:highlight w:val="none"/>
        </w:rPr>
        <w:t>mL草酸-硫酸混合酸（5.</w:t>
      </w:r>
      <w:r>
        <w:rPr>
          <w:rFonts w:hint="eastAsia"/>
          <w:szCs w:val="21"/>
          <w:highlight w:val="none"/>
          <w:lang w:val="en-US" w:eastAsia="zh-CN"/>
        </w:rPr>
        <w:t>5</w:t>
      </w:r>
      <w:r>
        <w:rPr>
          <w:szCs w:val="21"/>
          <w:highlight w:val="none"/>
        </w:rPr>
        <w:t>）</w:t>
      </w:r>
      <w:r>
        <w:rPr>
          <w:rFonts w:hint="eastAsia"/>
          <w:szCs w:val="21"/>
          <w:highlight w:val="none"/>
          <w:lang w:eastAsia="zh-CN"/>
        </w:rPr>
        <w:t>，</w:t>
      </w:r>
      <w:r>
        <w:rPr>
          <w:szCs w:val="21"/>
          <w:highlight w:val="none"/>
        </w:rPr>
        <w:t>0.4</w:t>
      </w:r>
      <w:r>
        <w:rPr>
          <w:rFonts w:hint="eastAsia"/>
          <w:szCs w:val="21"/>
          <w:highlight w:val="none"/>
          <w:lang w:val="en-US" w:eastAsia="zh-CN"/>
        </w:rPr>
        <w:t xml:space="preserve"> </w:t>
      </w:r>
      <w:r>
        <w:rPr>
          <w:szCs w:val="21"/>
          <w:highlight w:val="none"/>
        </w:rPr>
        <w:t>mL硫酸溶液（5.</w:t>
      </w:r>
      <w:r>
        <w:rPr>
          <w:rFonts w:hint="eastAsia"/>
          <w:szCs w:val="21"/>
          <w:highlight w:val="none"/>
          <w:lang w:val="en-US" w:eastAsia="zh-CN"/>
        </w:rPr>
        <w:t>2</w:t>
      </w:r>
      <w:r>
        <w:rPr>
          <w:szCs w:val="21"/>
          <w:highlight w:val="none"/>
        </w:rPr>
        <w:t>），5.0</w:t>
      </w:r>
      <w:r>
        <w:rPr>
          <w:rFonts w:hint="eastAsia"/>
          <w:szCs w:val="21"/>
          <w:highlight w:val="none"/>
          <w:lang w:val="en-US" w:eastAsia="zh-CN"/>
        </w:rPr>
        <w:t xml:space="preserve"> </w:t>
      </w:r>
      <w:r>
        <w:rPr>
          <w:szCs w:val="21"/>
          <w:highlight w:val="none"/>
        </w:rPr>
        <w:t>mL钼酸铵溶液（5.</w:t>
      </w:r>
      <w:r>
        <w:rPr>
          <w:rFonts w:hint="eastAsia"/>
          <w:szCs w:val="21"/>
          <w:highlight w:val="none"/>
          <w:lang w:val="en-US" w:eastAsia="zh-CN"/>
        </w:rPr>
        <w:t>4</w:t>
      </w:r>
      <w:r>
        <w:rPr>
          <w:szCs w:val="21"/>
          <w:highlight w:val="none"/>
        </w:rPr>
        <w:t>）</w:t>
      </w:r>
      <w:r>
        <w:rPr>
          <w:rFonts w:hint="eastAsia"/>
          <w:szCs w:val="21"/>
          <w:highlight w:val="none"/>
          <w:lang w:eastAsia="zh-CN"/>
        </w:rPr>
        <w:t>，</w:t>
      </w:r>
      <w:r>
        <w:rPr>
          <w:szCs w:val="21"/>
          <w:highlight w:val="none"/>
        </w:rPr>
        <w:t>立即加入5.0</w:t>
      </w:r>
      <w:r>
        <w:rPr>
          <w:rFonts w:hint="eastAsia"/>
          <w:szCs w:val="21"/>
          <w:highlight w:val="none"/>
          <w:lang w:val="en-US" w:eastAsia="zh-CN"/>
        </w:rPr>
        <w:t xml:space="preserve"> </w:t>
      </w:r>
      <w:r>
        <w:rPr>
          <w:szCs w:val="21"/>
          <w:highlight w:val="none"/>
        </w:rPr>
        <w:t>mL抗坏血酸溶液（5.</w:t>
      </w:r>
      <w:r>
        <w:rPr>
          <w:rFonts w:hint="eastAsia"/>
          <w:szCs w:val="21"/>
          <w:highlight w:val="none"/>
          <w:lang w:val="en-US" w:eastAsia="zh-CN"/>
        </w:rPr>
        <w:t>6</w:t>
      </w:r>
      <w:r>
        <w:rPr>
          <w:szCs w:val="21"/>
          <w:highlight w:val="none"/>
        </w:rPr>
        <w:t>）</w:t>
      </w:r>
      <w:r>
        <w:rPr>
          <w:rFonts w:hint="eastAsia"/>
          <w:szCs w:val="21"/>
          <w:highlight w:val="none"/>
          <w:lang w:eastAsia="zh-CN"/>
        </w:rPr>
        <w:t>。</w:t>
      </w:r>
      <w:r>
        <w:rPr>
          <w:szCs w:val="21"/>
          <w:highlight w:val="none"/>
        </w:rPr>
        <w:t>用水稀释至刻度，混匀；</w:t>
      </w:r>
      <w:r>
        <w:rPr>
          <w:rFonts w:hint="eastAsia"/>
          <w:color w:val="000000" w:themeColor="text1"/>
          <w:szCs w:val="21"/>
          <w:highlight w:val="none"/>
          <w14:textFill>
            <w14:solidFill>
              <w14:schemeClr w14:val="tx1"/>
            </w14:solidFill>
          </w14:textFill>
        </w:rPr>
        <w:t>在不低于20℃的室温下放置</w:t>
      </w:r>
      <w:r>
        <w:rPr>
          <w:rFonts w:hint="eastAsia"/>
          <w:color w:val="000000" w:themeColor="text1"/>
          <w:szCs w:val="21"/>
          <w:highlight w:val="none"/>
          <w:lang w:val="en-US" w:eastAsia="zh-CN"/>
          <w14:textFill>
            <w14:solidFill>
              <w14:schemeClr w14:val="tx1"/>
            </w14:solidFill>
          </w14:textFill>
        </w:rPr>
        <w:t xml:space="preserve">20 </w:t>
      </w:r>
      <w:r>
        <w:rPr>
          <w:rFonts w:hint="eastAsia"/>
          <w:color w:val="000000" w:themeColor="text1"/>
          <w:szCs w:val="21"/>
          <w:highlight w:val="none"/>
          <w14:textFill>
            <w14:solidFill>
              <w14:schemeClr w14:val="tx1"/>
            </w14:solidFill>
          </w14:textFill>
        </w:rPr>
        <w:t>min</w:t>
      </w:r>
      <w:r>
        <w:rPr>
          <w:szCs w:val="21"/>
          <w:highlight w:val="none"/>
        </w:rPr>
        <w:t>。</w:t>
      </w:r>
    </w:p>
    <w:p>
      <w:pPr>
        <w:pStyle w:val="66"/>
        <w:numPr>
          <w:ilvl w:val="1"/>
          <w:numId w:val="5"/>
        </w:numPr>
        <w:snapToGrid w:val="0"/>
        <w:spacing w:before="156" w:beforeLines="50" w:after="156" w:afterLines="50" w:line="360" w:lineRule="atLeast"/>
        <w:ind w:firstLineChars="0"/>
        <w:outlineLvl w:val="1"/>
        <w:rPr>
          <w:rFonts w:eastAsia="黑体"/>
          <w:szCs w:val="21"/>
        </w:rPr>
      </w:pPr>
      <w:r>
        <w:rPr>
          <w:rFonts w:hint="eastAsia" w:eastAsia="黑体"/>
          <w:szCs w:val="21"/>
          <w:lang w:val="en-US" w:eastAsia="zh-CN"/>
        </w:rPr>
        <w:t>测定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szCs w:val="21"/>
        </w:rPr>
      </w:pPr>
      <w:r>
        <w:rPr>
          <w:szCs w:val="21"/>
        </w:rPr>
        <w:t>移取部分试液</w:t>
      </w:r>
      <w:r>
        <w:rPr>
          <w:rFonts w:hint="eastAsia"/>
          <w:szCs w:val="21"/>
        </w:rPr>
        <w:t>（</w:t>
      </w:r>
      <w:r>
        <w:rPr>
          <w:szCs w:val="21"/>
        </w:rPr>
        <w:t>8.5</w:t>
      </w:r>
      <w:r>
        <w:rPr>
          <w:rFonts w:hint="eastAsia"/>
          <w:szCs w:val="21"/>
        </w:rPr>
        <w:t>）</w:t>
      </w:r>
      <w:r>
        <w:rPr>
          <w:szCs w:val="21"/>
        </w:rPr>
        <w:t>于1</w:t>
      </w:r>
      <w:r>
        <w:rPr>
          <w:rFonts w:hint="eastAsia"/>
          <w:szCs w:val="21"/>
          <w:lang w:val="en-US" w:eastAsia="zh-CN"/>
        </w:rPr>
        <w:t xml:space="preserve"> </w:t>
      </w:r>
      <w:r>
        <w:rPr>
          <w:szCs w:val="21"/>
        </w:rPr>
        <w:t>cm吸收池中</w:t>
      </w:r>
      <w:r>
        <w:rPr>
          <w:rFonts w:hint="eastAsia"/>
          <w:szCs w:val="21"/>
          <w:lang w:eastAsia="zh-CN"/>
        </w:rPr>
        <w:t>。</w:t>
      </w:r>
      <w:r>
        <w:rPr>
          <w:szCs w:val="21"/>
        </w:rPr>
        <w:t>钆铁合金、镝铁合金、钬铁合金、钇铁合金</w:t>
      </w:r>
      <w:r>
        <w:rPr>
          <w:rFonts w:hint="eastAsia"/>
          <w:szCs w:val="21"/>
          <w:lang w:val="en-US" w:eastAsia="zh-CN"/>
        </w:rPr>
        <w:t>试样</w:t>
      </w:r>
      <w:r>
        <w:rPr>
          <w:szCs w:val="21"/>
        </w:rPr>
        <w:t>以试剂空白溶液为参比</w:t>
      </w:r>
      <w:r>
        <w:rPr>
          <w:rFonts w:hint="eastAsia"/>
          <w:szCs w:val="21"/>
          <w:lang w:eastAsia="zh-CN"/>
        </w:rPr>
        <w:t>；</w:t>
      </w:r>
      <w:r>
        <w:rPr>
          <w:szCs w:val="21"/>
        </w:rPr>
        <w:t>镧铁合金、铈铁合金、镧铈铁合金</w:t>
      </w:r>
      <w:r>
        <w:rPr>
          <w:rFonts w:hint="eastAsia"/>
          <w:szCs w:val="21"/>
          <w:lang w:val="en-US" w:eastAsia="zh-CN"/>
        </w:rPr>
        <w:t>试样以</w:t>
      </w:r>
      <w:r>
        <w:rPr>
          <w:szCs w:val="21"/>
        </w:rPr>
        <w:t>参比溶液为参比</w:t>
      </w:r>
      <w:r>
        <w:rPr>
          <w:rFonts w:hint="eastAsia"/>
          <w:szCs w:val="21"/>
          <w:lang w:eastAsia="zh-CN"/>
        </w:rPr>
        <w:t>。</w:t>
      </w:r>
      <w:r>
        <w:rPr>
          <w:szCs w:val="21"/>
        </w:rPr>
        <w:t>于分光光度计波长810</w:t>
      </w:r>
      <w:r>
        <w:rPr>
          <w:rFonts w:hint="eastAsia"/>
          <w:szCs w:val="21"/>
          <w:lang w:val="en-US" w:eastAsia="zh-CN"/>
        </w:rPr>
        <w:t xml:space="preserve"> </w:t>
      </w:r>
      <w:r>
        <w:rPr>
          <w:szCs w:val="21"/>
        </w:rPr>
        <w:t>nm处，测量吸光度。从工作曲线上查出相应的硅量。</w:t>
      </w:r>
    </w:p>
    <w:p>
      <w:pPr>
        <w:pStyle w:val="66"/>
        <w:numPr>
          <w:ilvl w:val="1"/>
          <w:numId w:val="5"/>
        </w:numPr>
        <w:snapToGrid w:val="0"/>
        <w:spacing w:before="156" w:beforeLines="50" w:after="156" w:afterLines="50" w:line="360" w:lineRule="atLeast"/>
        <w:ind w:firstLineChars="0"/>
        <w:outlineLvl w:val="1"/>
        <w:rPr>
          <w:rFonts w:eastAsia="黑体"/>
          <w:szCs w:val="21"/>
        </w:rPr>
      </w:pPr>
      <w:r>
        <w:rPr>
          <w:rFonts w:hint="eastAsia" w:eastAsia="黑体"/>
          <w:szCs w:val="21"/>
          <w:lang w:val="en-US" w:eastAsia="zh-CN"/>
        </w:rPr>
        <w:t>工作</w:t>
      </w:r>
      <w:r>
        <w:rPr>
          <w:rFonts w:eastAsia="黑体"/>
          <w:szCs w:val="21"/>
        </w:rPr>
        <w:t>曲线的绘制</w:t>
      </w:r>
      <w:r>
        <w:rPr>
          <w:rFonts w:hint="eastAsia" w:eastAsia="黑体"/>
          <w:szCs w:val="21"/>
          <w:lang w:val="en-US" w:eastAsia="zh-CN"/>
        </w:rPr>
        <w:t>与测定</w:t>
      </w:r>
    </w:p>
    <w:p>
      <w:pPr>
        <w:numPr>
          <w:ilvl w:val="2"/>
          <w:numId w:val="5"/>
        </w:numPr>
        <w:spacing w:line="360" w:lineRule="exact"/>
        <w:ind w:left="709" w:leftChars="0" w:hanging="709" w:firstLineChars="0"/>
        <w:rPr>
          <w:rFonts w:hint="eastAsia"/>
          <w:szCs w:val="21"/>
          <w:lang w:val="en-US" w:eastAsia="zh-CN"/>
        </w:rPr>
      </w:pPr>
      <w:r>
        <w:rPr>
          <w:szCs w:val="21"/>
        </w:rPr>
        <w:t>钆铁合金、镝铁合金、钬铁合金、钇铁合金</w:t>
      </w:r>
      <w:r>
        <w:rPr>
          <w:rFonts w:hint="eastAsia"/>
          <w:szCs w:val="21"/>
          <w:lang w:val="en-US" w:eastAsia="zh-CN"/>
        </w:rPr>
        <w:t>工作曲线的绘制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lang w:val="en-US" w:eastAsia="zh-CN"/>
        </w:rPr>
        <w:t>依次</w:t>
      </w:r>
      <w:r>
        <w:rPr>
          <w:szCs w:val="21"/>
        </w:rPr>
        <w:t>移取0，</w:t>
      </w:r>
      <w:r>
        <w:rPr>
          <w:rFonts w:hint="eastAsia"/>
          <w:szCs w:val="21"/>
          <w:lang w:val="en-US" w:eastAsia="zh-CN"/>
        </w:rPr>
        <w:t xml:space="preserve">0.20 </w:t>
      </w:r>
      <w:r>
        <w:rPr>
          <w:szCs w:val="21"/>
        </w:rPr>
        <w:t>mL</w:t>
      </w:r>
      <w:r>
        <w:rPr>
          <w:rFonts w:hint="eastAsia"/>
          <w:szCs w:val="21"/>
          <w:lang w:eastAsia="zh-CN"/>
        </w:rPr>
        <w:t>，</w:t>
      </w:r>
      <w:r>
        <w:rPr>
          <w:szCs w:val="21"/>
        </w:rPr>
        <w:t>0.50</w:t>
      </w:r>
      <w:r>
        <w:rPr>
          <w:rFonts w:hint="eastAsia"/>
          <w:szCs w:val="21"/>
          <w:lang w:val="en-US" w:eastAsia="zh-CN"/>
        </w:rPr>
        <w:t xml:space="preserve"> </w:t>
      </w:r>
      <w:r>
        <w:rPr>
          <w:szCs w:val="21"/>
        </w:rPr>
        <w:t>mL，1.00</w:t>
      </w:r>
      <w:r>
        <w:rPr>
          <w:rFonts w:hint="eastAsia"/>
          <w:szCs w:val="21"/>
          <w:lang w:val="en-US" w:eastAsia="zh-CN"/>
        </w:rPr>
        <w:t xml:space="preserve"> </w:t>
      </w:r>
      <w:r>
        <w:rPr>
          <w:szCs w:val="21"/>
        </w:rPr>
        <w:t>mL，2.00</w:t>
      </w:r>
      <w:r>
        <w:rPr>
          <w:rFonts w:hint="eastAsia"/>
          <w:szCs w:val="21"/>
          <w:lang w:val="en-US" w:eastAsia="zh-CN"/>
        </w:rPr>
        <w:t xml:space="preserve"> </w:t>
      </w:r>
      <w:r>
        <w:rPr>
          <w:szCs w:val="21"/>
        </w:rPr>
        <w:t>mL，4.00</w:t>
      </w:r>
      <w:r>
        <w:rPr>
          <w:rFonts w:hint="eastAsia"/>
          <w:szCs w:val="21"/>
          <w:lang w:val="en-US" w:eastAsia="zh-CN"/>
        </w:rPr>
        <w:t xml:space="preserve"> </w:t>
      </w:r>
      <w:r>
        <w:rPr>
          <w:szCs w:val="21"/>
        </w:rPr>
        <w:t>mL，</w:t>
      </w:r>
      <w:r>
        <w:rPr>
          <w:rFonts w:hint="eastAsia"/>
          <w:szCs w:val="21"/>
          <w:lang w:val="en-US" w:eastAsia="zh-CN"/>
        </w:rPr>
        <w:t>8</w:t>
      </w:r>
      <w:r>
        <w:rPr>
          <w:szCs w:val="21"/>
        </w:rPr>
        <w:t>.00</w:t>
      </w:r>
      <w:r>
        <w:rPr>
          <w:rFonts w:hint="eastAsia"/>
          <w:szCs w:val="21"/>
          <w:lang w:val="en-US" w:eastAsia="zh-CN"/>
        </w:rPr>
        <w:t xml:space="preserve"> </w:t>
      </w:r>
      <w:r>
        <w:rPr>
          <w:szCs w:val="21"/>
        </w:rPr>
        <w:t>mL硅标准溶液</w:t>
      </w:r>
      <w:r>
        <w:rPr>
          <w:rFonts w:hint="eastAsia"/>
          <w:szCs w:val="21"/>
        </w:rPr>
        <w:t>（</w:t>
      </w:r>
      <w:r>
        <w:rPr>
          <w:szCs w:val="21"/>
        </w:rPr>
        <w:t>5.9</w:t>
      </w:r>
      <w:r>
        <w:rPr>
          <w:rFonts w:hint="eastAsia"/>
          <w:szCs w:val="21"/>
        </w:rPr>
        <w:t>）</w:t>
      </w:r>
      <w:r>
        <w:rPr>
          <w:szCs w:val="21"/>
        </w:rPr>
        <w:t>，用水稀释至约20</w:t>
      </w:r>
      <w:r>
        <w:rPr>
          <w:rFonts w:hint="eastAsia"/>
          <w:szCs w:val="21"/>
          <w:highlight w:val="none"/>
          <w:lang w:val="en-US" w:eastAsia="zh-CN"/>
        </w:rPr>
        <w:t xml:space="preserve"> </w:t>
      </w:r>
      <w:r>
        <w:rPr>
          <w:szCs w:val="21"/>
          <w:highlight w:val="none"/>
        </w:rPr>
        <w:t>mL</w:t>
      </w:r>
      <w:r>
        <w:rPr>
          <w:szCs w:val="21"/>
        </w:rPr>
        <w:t>。</w:t>
      </w:r>
      <w:bookmarkStart w:id="1" w:name="_Hlk88767543"/>
      <w:r>
        <w:rPr>
          <w:szCs w:val="21"/>
        </w:rPr>
        <w:t>以下步骤同8.5.1。</w:t>
      </w:r>
      <w:bookmarkEnd w:id="1"/>
      <w:r>
        <w:rPr>
          <w:szCs w:val="21"/>
        </w:rPr>
        <w:t>移取部分溶液</w:t>
      </w:r>
      <w:r>
        <w:rPr>
          <w:rFonts w:hint="eastAsia"/>
          <w:szCs w:val="21"/>
        </w:rPr>
        <w:t>（</w:t>
      </w:r>
      <w:r>
        <w:rPr>
          <w:szCs w:val="21"/>
        </w:rPr>
        <w:t>8.6.1</w:t>
      </w:r>
      <w:r>
        <w:rPr>
          <w:rFonts w:hint="eastAsia"/>
          <w:szCs w:val="21"/>
        </w:rPr>
        <w:t>）</w:t>
      </w:r>
      <w:r>
        <w:rPr>
          <w:szCs w:val="21"/>
        </w:rPr>
        <w:t>于1</w:t>
      </w:r>
      <w:r>
        <w:rPr>
          <w:rFonts w:hint="eastAsia"/>
          <w:szCs w:val="21"/>
          <w:lang w:val="en-US" w:eastAsia="zh-CN"/>
        </w:rPr>
        <w:t xml:space="preserve"> </w:t>
      </w:r>
      <w:r>
        <w:rPr>
          <w:szCs w:val="21"/>
        </w:rPr>
        <w:t>cm吸收池中，于分光光度计波长810</w:t>
      </w:r>
      <w:r>
        <w:rPr>
          <w:rFonts w:hint="eastAsia"/>
          <w:szCs w:val="21"/>
          <w:lang w:val="en-US" w:eastAsia="zh-CN"/>
        </w:rPr>
        <w:t xml:space="preserve"> </w:t>
      </w:r>
      <w:r>
        <w:rPr>
          <w:szCs w:val="21"/>
        </w:rPr>
        <w:t>nm处，以试剂空白溶液为参比，测量吸光度。以硅含量为横坐标，吸光度为纵坐标，绘制工作曲线。</w:t>
      </w:r>
    </w:p>
    <w:p>
      <w:pPr>
        <w:numPr>
          <w:ilvl w:val="2"/>
          <w:numId w:val="5"/>
        </w:numPr>
        <w:spacing w:line="360" w:lineRule="exact"/>
        <w:ind w:left="709" w:leftChars="0" w:hanging="709" w:firstLineChars="0"/>
        <w:rPr>
          <w:szCs w:val="21"/>
        </w:rPr>
      </w:pPr>
      <w:r>
        <w:rPr>
          <w:rFonts w:hint="eastAsia" w:ascii="黑体" w:hAnsi="黑体" w:eastAsia="黑体" w:cs="黑体"/>
          <w:szCs w:val="21"/>
          <w:lang w:val="en-US" w:eastAsia="zh-CN"/>
        </w:rPr>
        <w:t xml:space="preserve"> </w:t>
      </w:r>
      <w:r>
        <w:rPr>
          <w:szCs w:val="21"/>
        </w:rPr>
        <w:t>镧铁合金、铈铁合金、镧铈铁合金</w:t>
      </w:r>
      <w:r>
        <w:rPr>
          <w:rFonts w:hint="eastAsia"/>
          <w:szCs w:val="21"/>
          <w:lang w:val="en-US" w:eastAsia="zh-CN"/>
        </w:rPr>
        <w:t>工作曲线的绘制</w:t>
      </w:r>
    </w:p>
    <w:p>
      <w:pPr>
        <w:numPr>
          <w:ilvl w:val="0"/>
          <w:numId w:val="0"/>
        </w:numPr>
        <w:spacing w:line="360" w:lineRule="exact"/>
        <w:ind w:leftChars="0" w:firstLine="420" w:firstLineChars="200"/>
        <w:rPr>
          <w:rFonts w:eastAsia="黑体"/>
          <w:szCs w:val="21"/>
        </w:rPr>
      </w:pPr>
      <w:r>
        <w:rPr>
          <w:szCs w:val="21"/>
        </w:rPr>
        <w:t>分取5.00</w:t>
      </w:r>
      <w:r>
        <w:rPr>
          <w:rFonts w:hint="eastAsia"/>
          <w:szCs w:val="21"/>
          <w:lang w:val="en-US" w:eastAsia="zh-CN"/>
        </w:rPr>
        <w:t xml:space="preserve"> </w:t>
      </w:r>
      <w:r>
        <w:rPr>
          <w:szCs w:val="21"/>
        </w:rPr>
        <w:t>mL铁基</w:t>
      </w:r>
      <w:r>
        <w:rPr>
          <w:rFonts w:hint="eastAsia"/>
          <w:szCs w:val="21"/>
          <w:lang w:val="en-US" w:eastAsia="zh-CN"/>
        </w:rPr>
        <w:t>试验</w:t>
      </w:r>
      <w:r>
        <w:rPr>
          <w:szCs w:val="21"/>
        </w:rPr>
        <w:t>溶液（8.3.2）于一组50</w:t>
      </w:r>
      <w:r>
        <w:rPr>
          <w:rFonts w:hint="eastAsia"/>
          <w:szCs w:val="21"/>
          <w:lang w:val="en-US" w:eastAsia="zh-CN"/>
        </w:rPr>
        <w:t xml:space="preserve"> </w:t>
      </w:r>
      <w:r>
        <w:rPr>
          <w:szCs w:val="21"/>
        </w:rPr>
        <w:t>m</w:t>
      </w:r>
      <w:r>
        <w:rPr>
          <w:rFonts w:hint="eastAsia"/>
          <w:szCs w:val="21"/>
          <w:lang w:val="en-US" w:eastAsia="zh-CN"/>
        </w:rPr>
        <w:t>L</w:t>
      </w:r>
      <w:r>
        <w:rPr>
          <w:szCs w:val="21"/>
        </w:rPr>
        <w:t>容量瓶中，</w:t>
      </w:r>
      <w:r>
        <w:rPr>
          <w:rFonts w:hint="eastAsia"/>
          <w:szCs w:val="21"/>
          <w:lang w:val="en-US" w:eastAsia="zh-CN"/>
        </w:rPr>
        <w:t>依次</w:t>
      </w:r>
      <w:r>
        <w:rPr>
          <w:szCs w:val="21"/>
        </w:rPr>
        <w:t>移取0，0，</w:t>
      </w:r>
      <w:r>
        <w:rPr>
          <w:rFonts w:hint="eastAsia"/>
          <w:szCs w:val="21"/>
          <w:lang w:val="en-US" w:eastAsia="zh-CN"/>
        </w:rPr>
        <w:t xml:space="preserve">0.20 </w:t>
      </w:r>
      <w:r>
        <w:rPr>
          <w:szCs w:val="21"/>
        </w:rPr>
        <w:t>mL</w:t>
      </w:r>
      <w:r>
        <w:rPr>
          <w:rFonts w:hint="eastAsia"/>
          <w:szCs w:val="21"/>
          <w:lang w:eastAsia="zh-CN"/>
        </w:rPr>
        <w:t>，</w:t>
      </w:r>
      <w:r>
        <w:rPr>
          <w:szCs w:val="21"/>
        </w:rPr>
        <w:t>0.50</w:t>
      </w:r>
      <w:r>
        <w:rPr>
          <w:rFonts w:hint="eastAsia"/>
          <w:szCs w:val="21"/>
          <w:lang w:val="en-US" w:eastAsia="zh-CN"/>
        </w:rPr>
        <w:t xml:space="preserve"> </w:t>
      </w:r>
      <w:r>
        <w:rPr>
          <w:szCs w:val="21"/>
        </w:rPr>
        <w:t>mL，1.00</w:t>
      </w:r>
      <w:r>
        <w:rPr>
          <w:rFonts w:hint="eastAsia"/>
          <w:szCs w:val="21"/>
          <w:lang w:val="en-US" w:eastAsia="zh-CN"/>
        </w:rPr>
        <w:t xml:space="preserve"> </w:t>
      </w:r>
      <w:r>
        <w:rPr>
          <w:szCs w:val="21"/>
        </w:rPr>
        <w:t>mL，2.00</w:t>
      </w:r>
      <w:r>
        <w:rPr>
          <w:rFonts w:hint="eastAsia"/>
          <w:szCs w:val="21"/>
          <w:lang w:val="en-US" w:eastAsia="zh-CN"/>
        </w:rPr>
        <w:t xml:space="preserve"> </w:t>
      </w:r>
      <w:r>
        <w:rPr>
          <w:szCs w:val="21"/>
        </w:rPr>
        <w:t>mL，4.00</w:t>
      </w:r>
      <w:r>
        <w:rPr>
          <w:rFonts w:hint="eastAsia"/>
          <w:szCs w:val="21"/>
          <w:lang w:val="en-US" w:eastAsia="zh-CN"/>
        </w:rPr>
        <w:t xml:space="preserve"> </w:t>
      </w:r>
      <w:r>
        <w:rPr>
          <w:szCs w:val="21"/>
        </w:rPr>
        <w:t>mL，</w:t>
      </w:r>
      <w:r>
        <w:rPr>
          <w:rFonts w:hint="eastAsia"/>
          <w:szCs w:val="21"/>
          <w:lang w:val="en-US" w:eastAsia="zh-CN"/>
        </w:rPr>
        <w:t>8</w:t>
      </w:r>
      <w:r>
        <w:rPr>
          <w:szCs w:val="21"/>
        </w:rPr>
        <w:t>.00</w:t>
      </w:r>
      <w:r>
        <w:rPr>
          <w:rFonts w:hint="eastAsia"/>
          <w:szCs w:val="21"/>
          <w:lang w:val="en-US" w:eastAsia="zh-CN"/>
        </w:rPr>
        <w:t xml:space="preserve"> </w:t>
      </w:r>
      <w:r>
        <w:rPr>
          <w:szCs w:val="21"/>
        </w:rPr>
        <w:t>mL硅标准溶液</w:t>
      </w:r>
      <w:r>
        <w:rPr>
          <w:rFonts w:hint="eastAsia"/>
          <w:szCs w:val="21"/>
        </w:rPr>
        <w:t>（</w:t>
      </w:r>
      <w:r>
        <w:rPr>
          <w:szCs w:val="21"/>
        </w:rPr>
        <w:t>5.9</w:t>
      </w:r>
      <w:r>
        <w:rPr>
          <w:rFonts w:hint="eastAsia"/>
          <w:szCs w:val="21"/>
        </w:rPr>
        <w:t>）</w:t>
      </w:r>
      <w:r>
        <w:rPr>
          <w:szCs w:val="21"/>
        </w:rPr>
        <w:t>，用水稀释至约20</w:t>
      </w:r>
      <w:r>
        <w:rPr>
          <w:rFonts w:hint="eastAsia"/>
          <w:szCs w:val="21"/>
          <w:lang w:val="en-US" w:eastAsia="zh-CN"/>
        </w:rPr>
        <w:t xml:space="preserve"> </w:t>
      </w:r>
      <w:r>
        <w:rPr>
          <w:szCs w:val="21"/>
        </w:rPr>
        <w:t>mL。其中一份不加硅标准的铁基试验溶液按8.5.2制备参比溶液。其余试液按8.5.2制备显色溶液。移取部分溶液</w:t>
      </w:r>
      <w:r>
        <w:rPr>
          <w:rFonts w:hint="eastAsia"/>
          <w:szCs w:val="21"/>
        </w:rPr>
        <w:t>（</w:t>
      </w:r>
      <w:r>
        <w:rPr>
          <w:szCs w:val="21"/>
        </w:rPr>
        <w:t>8.6.2</w:t>
      </w:r>
      <w:r>
        <w:rPr>
          <w:rFonts w:hint="eastAsia"/>
          <w:szCs w:val="21"/>
        </w:rPr>
        <w:t>）</w:t>
      </w:r>
      <w:r>
        <w:rPr>
          <w:szCs w:val="21"/>
        </w:rPr>
        <w:t>于1</w:t>
      </w:r>
      <w:r>
        <w:rPr>
          <w:rFonts w:hint="eastAsia"/>
          <w:szCs w:val="21"/>
          <w:lang w:val="en-US" w:eastAsia="zh-CN"/>
        </w:rPr>
        <w:t xml:space="preserve"> </w:t>
      </w:r>
      <w:r>
        <w:rPr>
          <w:szCs w:val="21"/>
        </w:rPr>
        <w:t>cm吸收池中，于分光光度计波长810</w:t>
      </w:r>
      <w:r>
        <w:rPr>
          <w:rFonts w:hint="eastAsia"/>
          <w:szCs w:val="21"/>
          <w:lang w:val="en-US" w:eastAsia="zh-CN"/>
        </w:rPr>
        <w:t xml:space="preserve"> </w:t>
      </w:r>
      <w:r>
        <w:rPr>
          <w:szCs w:val="21"/>
        </w:rPr>
        <w:t>nm处，以参比溶液为参比，测量吸光度。以硅含量为横坐标，吸光度为纵坐标，绘制工作曲线。</w:t>
      </w:r>
    </w:p>
    <w:p>
      <w:pPr>
        <w:pStyle w:val="66"/>
        <w:numPr>
          <w:ilvl w:val="0"/>
          <w:numId w:val="3"/>
        </w:numPr>
        <w:adjustRightInd w:val="0"/>
        <w:snapToGrid w:val="0"/>
        <w:spacing w:before="312" w:beforeLines="100" w:after="312" w:afterLines="100" w:line="360" w:lineRule="atLeast"/>
        <w:ind w:firstLineChars="0"/>
        <w:outlineLvl w:val="1"/>
        <w:rPr>
          <w:rFonts w:eastAsia="黑体"/>
          <w:szCs w:val="21"/>
        </w:rPr>
      </w:pPr>
      <w:r>
        <w:rPr>
          <w:rFonts w:eastAsia="黑体"/>
          <w:szCs w:val="21"/>
        </w:rPr>
        <w:t xml:space="preserve"> 试验数据处理</w:t>
      </w:r>
    </w:p>
    <w:p>
      <w:pPr>
        <w:adjustRightInd w:val="0"/>
        <w:snapToGrid w:val="0"/>
        <w:spacing w:line="360" w:lineRule="exact"/>
        <w:ind w:firstLine="420" w:firstLineChars="200"/>
        <w:rPr>
          <w:kern w:val="0"/>
          <w:szCs w:val="20"/>
        </w:rPr>
      </w:pPr>
      <w:r>
        <w:rPr>
          <w:kern w:val="0"/>
          <w:szCs w:val="20"/>
        </w:rPr>
        <w:t>硅的含量以质量分数</w:t>
      </w:r>
      <w:r>
        <w:rPr>
          <w:i/>
          <w:kern w:val="0"/>
          <w:szCs w:val="20"/>
        </w:rPr>
        <w:t>w</w:t>
      </w:r>
      <w:r>
        <w:rPr>
          <w:kern w:val="0"/>
          <w:szCs w:val="20"/>
        </w:rPr>
        <w:t>计，按式（1）计算：</w:t>
      </w:r>
    </w:p>
    <w:p>
      <w:pPr>
        <w:spacing w:before="156" w:beforeLines="50"/>
        <w:jc w:val="center"/>
        <w:rPr>
          <w:sz w:val="24"/>
          <w:highlight w:val="none"/>
        </w:rPr>
      </w:pPr>
      <w:r>
        <w:rPr>
          <w:rFonts w:hint="eastAsia"/>
          <w:szCs w:val="21"/>
          <w:lang w:val="en-US" w:eastAsia="zh-CN"/>
        </w:rPr>
        <w:t xml:space="preserve">                              </w:t>
      </w:r>
      <m:oMath>
        <m:r>
          <m:rPr/>
          <w:rPr>
            <w:rFonts w:hint="default" w:ascii="Cambria Math"/>
            <w:szCs w:val="21"/>
            <w:lang w:val="en-US" w:eastAsia="zh-CN"/>
          </w:rPr>
          <m:t>w</m:t>
        </m:r>
        <m:r>
          <m:rPr>
            <m:sty m:val="p"/>
          </m:rPr>
          <w:rPr>
            <w:rFonts w:hint="default" w:ascii="Cambria Math" w:hAnsi="Cambria Math"/>
            <w:szCs w:val="21"/>
            <w:lang w:val="en-US" w:eastAsia="zh-CN"/>
          </w:rPr>
          <m:t>(Si)</m:t>
        </m:r>
        <m:r>
          <m:rPr/>
          <w:rPr>
            <w:rFonts w:ascii="Cambria Math" w:hAnsi="Cambria Math"/>
            <w:szCs w:val="21"/>
            <w:lang w:val="en-US"/>
          </w:rPr>
          <m:t>=</m:t>
        </m:r>
        <m:f>
          <m:fPr>
            <m:ctrlPr>
              <w:rPr>
                <w:rFonts w:ascii="Cambria Math" w:hAnsi="Cambria Math"/>
                <w:i/>
                <w:szCs w:val="21"/>
                <w:highlight w:val="none"/>
                <w:lang w:val="en-US"/>
              </w:rPr>
            </m:ctrlPr>
          </m:fPr>
          <m:num>
            <m:sSub>
              <m:sSubPr>
                <m:ctrlPr>
                  <w:rPr>
                    <w:rFonts w:ascii="Cambria Math" w:hAnsi="Cambria Math"/>
                    <w:i/>
                    <w:szCs w:val="21"/>
                    <w:highlight w:val="none"/>
                    <w:lang w:val="en-US"/>
                  </w:rPr>
                </m:ctrlPr>
              </m:sSubPr>
              <m:e>
                <m:r>
                  <m:rPr>
                    <m:sty m:val="p"/>
                  </m:rPr>
                  <w:rPr>
                    <w:rFonts w:hint="eastAsia" w:ascii="Cambria Math" w:hAnsi="Cambria Math"/>
                    <w:szCs w:val="21"/>
                    <w:highlight w:val="none"/>
                    <w:lang w:val="en-US" w:eastAsia="zh-CN"/>
                  </w:rPr>
                  <m:t>（</m:t>
                </m:r>
                <m:r>
                  <m:rPr/>
                  <w:rPr>
                    <w:rFonts w:hint="default" w:ascii="Cambria Math" w:hAnsi="Cambria Math"/>
                    <w:szCs w:val="21"/>
                    <w:highlight w:val="none"/>
                    <w:lang w:val="en-US" w:eastAsia="zh-CN"/>
                  </w:rPr>
                  <m:t>m</m:t>
                </m:r>
                <m:ctrlPr>
                  <w:rPr>
                    <w:rFonts w:ascii="Cambria Math" w:hAnsi="Cambria Math"/>
                    <w:i/>
                    <w:szCs w:val="21"/>
                    <w:highlight w:val="none"/>
                    <w:lang w:val="en-US"/>
                  </w:rPr>
                </m:ctrlPr>
              </m:e>
              <m:sub>
                <m:r>
                  <m:rPr/>
                  <w:rPr>
                    <w:rFonts w:hint="default" w:ascii="Cambria Math" w:hAnsi="Cambria Math"/>
                    <w:szCs w:val="21"/>
                    <w:highlight w:val="none"/>
                    <w:lang w:val="en-US" w:eastAsia="zh-CN"/>
                  </w:rPr>
                  <m:t>1</m:t>
                </m:r>
                <m:ctrlPr>
                  <w:rPr>
                    <w:rFonts w:ascii="Cambria Math" w:hAnsi="Cambria Math"/>
                    <w:i/>
                    <w:szCs w:val="21"/>
                    <w:highlight w:val="none"/>
                    <w:lang w:val="en-US"/>
                  </w:rPr>
                </m:ctrlPr>
              </m:sub>
            </m:sSub>
            <m:r>
              <m:rPr/>
              <w:rPr>
                <w:rFonts w:hint="default" w:ascii="Cambria Math" w:hAnsi="Cambria Math"/>
                <w:szCs w:val="21"/>
                <w:highlight w:val="none"/>
                <w:lang w:val="en-US" w:eastAsia="zh-CN"/>
              </w:rPr>
              <m:t>−</m:t>
            </m:r>
            <m:sSub>
              <m:sSubPr>
                <m:ctrlPr>
                  <w:rPr>
                    <w:rFonts w:hint="default" w:ascii="Cambria Math" w:hAnsi="Cambria Math"/>
                    <w:i/>
                    <w:szCs w:val="21"/>
                    <w:highlight w:val="none"/>
                    <w:lang w:val="en-US" w:eastAsia="zh-CN"/>
                  </w:rPr>
                </m:ctrlPr>
              </m:sSubPr>
              <m:e>
                <m:r>
                  <m:rPr/>
                  <w:rPr>
                    <w:rFonts w:hint="default" w:ascii="Cambria Math" w:hAnsi="Cambria Math"/>
                    <w:szCs w:val="21"/>
                    <w:highlight w:val="none"/>
                    <w:lang w:val="en-US" w:eastAsia="zh-CN"/>
                  </w:rPr>
                  <m:t>m</m:t>
                </m:r>
                <m:ctrlPr>
                  <w:rPr>
                    <w:rFonts w:hint="default" w:ascii="Cambria Math" w:hAnsi="Cambria Math"/>
                    <w:i/>
                    <w:szCs w:val="21"/>
                    <w:highlight w:val="none"/>
                    <w:lang w:val="en-US" w:eastAsia="zh-CN"/>
                  </w:rPr>
                </m:ctrlPr>
              </m:e>
              <m:sub>
                <m:r>
                  <m:rPr/>
                  <w:rPr>
                    <w:rFonts w:hint="default" w:ascii="Cambria Math" w:hAnsi="Cambria Math"/>
                    <w:szCs w:val="21"/>
                    <w:highlight w:val="none"/>
                    <w:lang w:val="en-US" w:eastAsia="zh-CN"/>
                  </w:rPr>
                  <m:t>0</m:t>
                </m:r>
                <m:ctrlPr>
                  <w:rPr>
                    <w:rFonts w:hint="default" w:ascii="Cambria Math" w:hAnsi="Cambria Math"/>
                    <w:i/>
                    <w:szCs w:val="21"/>
                    <w:highlight w:val="none"/>
                    <w:lang w:val="en-US" w:eastAsia="zh-CN"/>
                  </w:rPr>
                </m:ctrlPr>
              </m:sub>
            </m:sSub>
            <m:r>
              <m:rPr>
                <m:sty m:val="p"/>
              </m:rPr>
              <w:rPr>
                <w:rFonts w:hint="eastAsia" w:ascii="Cambria Math" w:hAnsi="Cambria Math"/>
                <w:szCs w:val="21"/>
                <w:highlight w:val="none"/>
                <w:lang w:val="en-US" w:eastAsia="zh-CN"/>
              </w:rPr>
              <m:t>）</m:t>
            </m:r>
            <m:r>
              <m:rPr>
                <m:sty m:val="p"/>
              </m:rPr>
              <w:rPr>
                <w:rFonts w:ascii="Cambria Math" w:hAnsi="Cambria Math"/>
                <w:szCs w:val="21"/>
                <w:highlight w:val="none"/>
                <w:lang w:val="en-US"/>
              </w:rPr>
              <m:t>∙</m:t>
            </m:r>
            <m:r>
              <m:rPr/>
              <w:rPr>
                <w:rFonts w:hint="default" w:ascii="Cambria Math" w:hAnsi="Cambria Math"/>
                <w:szCs w:val="21"/>
                <w:highlight w:val="none"/>
                <w:lang w:val="en-US" w:eastAsia="zh-CN"/>
              </w:rPr>
              <m:t>V</m:t>
            </m:r>
            <m:r>
              <m:rPr/>
              <w:rPr>
                <w:rFonts w:ascii="Cambria Math" w:hAnsi="Cambria Math"/>
                <w:szCs w:val="21"/>
                <w:highlight w:val="none"/>
                <w:lang w:val="en-US"/>
              </w:rPr>
              <m:t>×</m:t>
            </m:r>
            <m:sSup>
              <m:sSupPr>
                <m:ctrlPr>
                  <w:rPr>
                    <w:rFonts w:ascii="Cambria Math" w:hAnsi="Cambria Math"/>
                    <w:i/>
                    <w:szCs w:val="21"/>
                    <w:highlight w:val="none"/>
                    <w:lang w:val="en-US"/>
                  </w:rPr>
                </m:ctrlPr>
              </m:sSupPr>
              <m:e>
                <m:r>
                  <m:rPr/>
                  <w:rPr>
                    <w:rFonts w:hint="default" w:ascii="Cambria Math" w:hAnsi="Cambria Math"/>
                    <w:szCs w:val="21"/>
                    <w:highlight w:val="none"/>
                    <w:lang w:val="en-US" w:eastAsia="zh-CN"/>
                  </w:rPr>
                  <m:t>10</m:t>
                </m:r>
                <m:ctrlPr>
                  <w:rPr>
                    <w:rFonts w:ascii="Cambria Math" w:hAnsi="Cambria Math"/>
                    <w:i/>
                    <w:szCs w:val="21"/>
                    <w:highlight w:val="none"/>
                    <w:lang w:val="en-US"/>
                  </w:rPr>
                </m:ctrlPr>
              </m:e>
              <m:sup>
                <m:r>
                  <m:rPr/>
                  <w:rPr>
                    <w:rFonts w:hint="default" w:ascii="Cambria Math" w:hAnsi="Cambria Math"/>
                    <w:szCs w:val="21"/>
                    <w:highlight w:val="none"/>
                    <w:lang w:val="en-US" w:eastAsia="zh-CN"/>
                  </w:rPr>
                  <m:t>−6</m:t>
                </m:r>
                <m:ctrlPr>
                  <w:rPr>
                    <w:rFonts w:ascii="Cambria Math" w:hAnsi="Cambria Math"/>
                    <w:i/>
                    <w:szCs w:val="21"/>
                    <w:highlight w:val="none"/>
                    <w:lang w:val="en-US"/>
                  </w:rPr>
                </m:ctrlPr>
              </m:sup>
            </m:sSup>
            <m:ctrlPr>
              <w:rPr>
                <w:rFonts w:ascii="Cambria Math" w:hAnsi="Cambria Math"/>
                <w:i/>
                <w:szCs w:val="21"/>
                <w:highlight w:val="none"/>
                <w:lang w:val="en-US"/>
              </w:rPr>
            </m:ctrlPr>
          </m:num>
          <m:den>
            <m:r>
              <m:rPr/>
              <w:rPr>
                <w:rFonts w:hint="default" w:ascii="Cambria Math" w:hAnsi="Cambria Math"/>
                <w:szCs w:val="21"/>
                <w:highlight w:val="none"/>
                <w:lang w:val="en-US" w:eastAsia="zh-CN"/>
              </w:rPr>
              <m:t>m</m:t>
            </m:r>
            <m:r>
              <m:rPr/>
              <w:rPr>
                <w:rFonts w:ascii="Cambria Math" w:hAnsi="Cambria Math"/>
                <w:szCs w:val="21"/>
                <w:highlight w:val="none"/>
                <w:lang w:val="en-US"/>
              </w:rPr>
              <m:t>∙</m:t>
            </m:r>
            <m:r>
              <m:rPr/>
              <w:rPr>
                <w:rFonts w:hint="default" w:ascii="Cambria Math" w:hAnsi="Cambria Math"/>
                <w:szCs w:val="21"/>
                <w:highlight w:val="none"/>
                <w:lang w:val="en-US" w:eastAsia="zh-CN"/>
              </w:rPr>
              <m:t xml:space="preserve"> </m:t>
            </m:r>
            <m:sSub>
              <m:sSubPr>
                <m:ctrlPr>
                  <w:rPr>
                    <w:rFonts w:ascii="Cambria Math" w:hAnsi="Cambria Math"/>
                    <w:i/>
                    <w:szCs w:val="21"/>
                    <w:highlight w:val="none"/>
                    <w:lang w:val="en-US"/>
                  </w:rPr>
                </m:ctrlPr>
              </m:sSubPr>
              <m:e>
                <m:r>
                  <m:rPr/>
                  <w:rPr>
                    <w:rFonts w:hint="default" w:ascii="Cambria Math" w:hAnsi="Cambria Math"/>
                    <w:szCs w:val="21"/>
                    <w:highlight w:val="none"/>
                    <w:lang w:val="en-US" w:eastAsia="zh-CN"/>
                  </w:rPr>
                  <m:t>V</m:t>
                </m:r>
                <m:ctrlPr>
                  <w:rPr>
                    <w:rFonts w:ascii="Cambria Math" w:hAnsi="Cambria Math"/>
                    <w:i/>
                    <w:szCs w:val="21"/>
                    <w:highlight w:val="none"/>
                    <w:lang w:val="en-US"/>
                  </w:rPr>
                </m:ctrlPr>
              </m:e>
              <m:sub>
                <m:r>
                  <m:rPr/>
                  <w:rPr>
                    <w:rFonts w:hint="default" w:ascii="Cambria Math" w:hAnsi="Cambria Math"/>
                    <w:szCs w:val="21"/>
                    <w:highlight w:val="none"/>
                    <w:lang w:val="en-US" w:eastAsia="zh-CN"/>
                  </w:rPr>
                  <m:t>1</m:t>
                </m:r>
                <m:ctrlPr>
                  <w:rPr>
                    <w:rFonts w:ascii="Cambria Math" w:hAnsi="Cambria Math"/>
                    <w:i/>
                    <w:szCs w:val="21"/>
                    <w:highlight w:val="none"/>
                    <w:lang w:val="en-US"/>
                  </w:rPr>
                </m:ctrlPr>
              </m:sub>
            </m:sSub>
            <m:ctrlPr>
              <w:rPr>
                <w:rFonts w:ascii="Cambria Math" w:hAnsi="Cambria Math"/>
                <w:i/>
                <w:szCs w:val="21"/>
                <w:highlight w:val="none"/>
                <w:lang w:val="en-US"/>
              </w:rPr>
            </m:ctrlPr>
          </m:den>
        </m:f>
        <m:r>
          <m:rPr/>
          <w:rPr>
            <w:rFonts w:ascii="Cambria Math" w:hAnsi="Cambria Math"/>
            <w:szCs w:val="21"/>
            <w:highlight w:val="none"/>
            <w:lang w:val="en-US"/>
          </w:rPr>
          <m:t>×</m:t>
        </m:r>
        <m:r>
          <m:rPr/>
          <w:rPr>
            <w:rFonts w:hint="default" w:ascii="Cambria Math" w:hAnsi="Cambria Math"/>
            <w:szCs w:val="21"/>
            <w:highlight w:val="none"/>
            <w:lang w:val="en-US" w:eastAsia="zh-CN"/>
          </w:rPr>
          <m:t>100</m:t>
        </m:r>
      </m:oMath>
      <w:r>
        <w:rPr>
          <w:szCs w:val="21"/>
          <w:highlight w:val="none"/>
        </w:rPr>
        <w:t>……………………………（1）</w:t>
      </w:r>
    </w:p>
    <w:p>
      <w:pPr>
        <w:spacing w:line="360" w:lineRule="exact"/>
        <w:ind w:firstLine="420" w:firstLineChars="200"/>
        <w:jc w:val="left"/>
        <w:rPr>
          <w:i/>
          <w:spacing w:val="6"/>
        </w:rPr>
      </w:pPr>
      <w:r>
        <w:rPr>
          <w:szCs w:val="21"/>
        </w:rPr>
        <w:t>式中：</w:t>
      </w:r>
    </w:p>
    <w:p>
      <w:pPr>
        <w:spacing w:line="360" w:lineRule="exact"/>
        <w:ind w:firstLine="420" w:firstLineChars="200"/>
        <w:rPr>
          <w:szCs w:val="21"/>
        </w:rPr>
      </w:pPr>
      <w:r>
        <w:rPr>
          <w:i/>
          <w:szCs w:val="21"/>
        </w:rPr>
        <w:t>m</w:t>
      </w:r>
      <w:r>
        <w:rPr>
          <w:szCs w:val="21"/>
          <w:vertAlign w:val="subscript"/>
        </w:rPr>
        <w:t>1</w:t>
      </w:r>
      <w:r>
        <w:rPr>
          <w:spacing w:val="6"/>
        </w:rPr>
        <w:t xml:space="preserve"> </w:t>
      </w:r>
      <w:r>
        <w:rPr>
          <w:szCs w:val="21"/>
        </w:rPr>
        <w:t>——自标准曲线上查得</w:t>
      </w:r>
      <w:r>
        <w:rPr>
          <w:rFonts w:hint="eastAsia"/>
          <w:szCs w:val="21"/>
          <w:lang w:val="en-US" w:eastAsia="zh-CN"/>
        </w:rPr>
        <w:t>试液</w:t>
      </w:r>
      <w:r>
        <w:rPr>
          <w:szCs w:val="21"/>
        </w:rPr>
        <w:t>的硅含量，单位为微克</w:t>
      </w:r>
      <w:r>
        <w:rPr>
          <w:rFonts w:hint="eastAsia"/>
          <w:szCs w:val="21"/>
        </w:rPr>
        <w:t>（</w:t>
      </w:r>
      <w:r>
        <w:rPr>
          <w:szCs w:val="21"/>
        </w:rPr>
        <w:t>µg</w:t>
      </w:r>
      <w:r>
        <w:rPr>
          <w:rFonts w:hint="eastAsia"/>
          <w:szCs w:val="21"/>
        </w:rPr>
        <w:t>）</w:t>
      </w:r>
      <w:r>
        <w:rPr>
          <w:szCs w:val="21"/>
        </w:rPr>
        <w:t>；</w:t>
      </w:r>
    </w:p>
    <w:p>
      <w:pPr>
        <w:spacing w:line="360" w:lineRule="exact"/>
        <w:ind w:firstLine="420" w:firstLineChars="200"/>
        <w:rPr>
          <w:szCs w:val="21"/>
        </w:rPr>
      </w:pPr>
      <w:r>
        <w:rPr>
          <w:i/>
          <w:szCs w:val="21"/>
        </w:rPr>
        <w:t>m</w:t>
      </w:r>
      <w:r>
        <w:rPr>
          <w:rFonts w:hint="eastAsia"/>
          <w:szCs w:val="21"/>
          <w:vertAlign w:val="subscript"/>
          <w:lang w:val="en-US" w:eastAsia="zh-CN"/>
        </w:rPr>
        <w:t>0</w:t>
      </w:r>
      <w:r>
        <w:rPr>
          <w:spacing w:val="6"/>
        </w:rPr>
        <w:t xml:space="preserve"> </w:t>
      </w:r>
      <w:r>
        <w:rPr>
          <w:szCs w:val="21"/>
        </w:rPr>
        <w:t>——自标准曲线上查得</w:t>
      </w:r>
      <w:r>
        <w:rPr>
          <w:rFonts w:hint="eastAsia"/>
          <w:szCs w:val="21"/>
          <w:lang w:val="en-US" w:eastAsia="zh-CN"/>
        </w:rPr>
        <w:t>空白试液</w:t>
      </w:r>
      <w:r>
        <w:rPr>
          <w:szCs w:val="21"/>
        </w:rPr>
        <w:t>的硅含量，单位为微克</w:t>
      </w:r>
      <w:r>
        <w:rPr>
          <w:rFonts w:hint="eastAsia"/>
          <w:szCs w:val="21"/>
        </w:rPr>
        <w:t>（</w:t>
      </w:r>
      <w:r>
        <w:rPr>
          <w:szCs w:val="21"/>
        </w:rPr>
        <w:t>µg</w:t>
      </w:r>
      <w:r>
        <w:rPr>
          <w:rFonts w:hint="eastAsia"/>
          <w:szCs w:val="21"/>
        </w:rPr>
        <w:t>）</w:t>
      </w:r>
      <w:r>
        <w:rPr>
          <w:szCs w:val="21"/>
        </w:rPr>
        <w:t>；</w:t>
      </w:r>
    </w:p>
    <w:p>
      <w:pPr>
        <w:spacing w:line="360" w:lineRule="exact"/>
        <w:ind w:firstLine="420" w:firstLineChars="200"/>
        <w:jc w:val="left"/>
        <w:rPr>
          <w:szCs w:val="21"/>
        </w:rPr>
      </w:pPr>
      <w:r>
        <w:rPr>
          <w:i/>
          <w:szCs w:val="21"/>
        </w:rPr>
        <w:t>V</w:t>
      </w:r>
      <w:r>
        <w:rPr>
          <w:szCs w:val="21"/>
        </w:rPr>
        <w:t xml:space="preserve"> ——</w:t>
      </w:r>
      <w:r>
        <w:rPr>
          <w:kern w:val="0"/>
          <w:szCs w:val="21"/>
        </w:rPr>
        <w:t>试液总体积，单位为毫升（mL）；</w:t>
      </w:r>
    </w:p>
    <w:p>
      <w:pPr>
        <w:spacing w:line="360" w:lineRule="exact"/>
        <w:ind w:firstLine="420" w:firstLineChars="200"/>
        <w:jc w:val="left"/>
        <w:rPr>
          <w:kern w:val="0"/>
          <w:szCs w:val="21"/>
        </w:rPr>
      </w:pPr>
      <w:r>
        <w:rPr>
          <w:i/>
          <w:szCs w:val="21"/>
        </w:rPr>
        <w:t>V</w:t>
      </w:r>
      <w:r>
        <w:rPr>
          <w:szCs w:val="21"/>
          <w:vertAlign w:val="subscript"/>
        </w:rPr>
        <w:t>1</w:t>
      </w:r>
      <w:r>
        <w:rPr>
          <w:szCs w:val="21"/>
        </w:rPr>
        <w:t>——</w:t>
      </w:r>
      <w:r>
        <w:rPr>
          <w:kern w:val="0"/>
          <w:szCs w:val="21"/>
        </w:rPr>
        <w:t>分取试液的体积，单位为毫升（mL）；</w:t>
      </w:r>
    </w:p>
    <w:p>
      <w:pPr>
        <w:spacing w:line="360" w:lineRule="exact"/>
        <w:ind w:firstLine="420" w:firstLineChars="200"/>
        <w:jc w:val="left"/>
        <w:rPr>
          <w:kern w:val="0"/>
          <w:szCs w:val="21"/>
        </w:rPr>
      </w:pPr>
      <w:r>
        <w:rPr>
          <w:i/>
          <w:szCs w:val="21"/>
        </w:rPr>
        <w:t>m</w:t>
      </w:r>
      <w:r>
        <w:rPr>
          <w:szCs w:val="21"/>
        </w:rPr>
        <w:t>——</w:t>
      </w:r>
      <w:r>
        <w:rPr>
          <w:kern w:val="0"/>
          <w:szCs w:val="21"/>
        </w:rPr>
        <w:t>样品的质量，单位为克（g）。</w:t>
      </w:r>
    </w:p>
    <w:p>
      <w:pPr>
        <w:spacing w:line="360" w:lineRule="exact"/>
        <w:ind w:firstLine="420" w:firstLineChars="200"/>
        <w:jc w:val="left"/>
        <w:rPr>
          <w:rFonts w:hint="eastAsia"/>
          <w:kern w:val="0"/>
          <w:szCs w:val="21"/>
          <w:highlight w:val="none"/>
          <w:lang w:val="en-US" w:eastAsia="zh-CN"/>
        </w:rPr>
      </w:pPr>
    </w:p>
    <w:p>
      <w:pPr>
        <w:spacing w:line="360" w:lineRule="exact"/>
        <w:ind w:firstLine="420" w:firstLineChars="200"/>
        <w:jc w:val="left"/>
        <w:rPr>
          <w:rFonts w:hint="default" w:eastAsia="宋体"/>
          <w:kern w:val="0"/>
          <w:szCs w:val="21"/>
          <w:highlight w:val="none"/>
          <w:lang w:val="en-US" w:eastAsia="zh-CN"/>
        </w:rPr>
      </w:pPr>
      <w:r>
        <w:rPr>
          <w:rFonts w:hint="eastAsia"/>
          <w:kern w:val="0"/>
          <w:szCs w:val="21"/>
          <w:highlight w:val="none"/>
          <w:lang w:val="en-US" w:eastAsia="zh-CN"/>
        </w:rPr>
        <w:t>两次平行测定结果胡绝对差值不大于表１中相应重复性限时，取其平均值为测定结果，所得结果保留两位有效数字，数值修约按GB/T 8170的规定执行。</w:t>
      </w:r>
    </w:p>
    <w:p>
      <w:pPr>
        <w:pStyle w:val="66"/>
        <w:numPr>
          <w:ilvl w:val="0"/>
          <w:numId w:val="3"/>
        </w:numPr>
        <w:adjustRightInd w:val="0"/>
        <w:snapToGrid w:val="0"/>
        <w:spacing w:before="312" w:beforeLines="100" w:after="312" w:afterLines="100" w:line="360" w:lineRule="atLeast"/>
        <w:ind w:firstLineChars="0"/>
        <w:outlineLvl w:val="1"/>
        <w:rPr>
          <w:rFonts w:eastAsia="黑体"/>
          <w:szCs w:val="21"/>
        </w:rPr>
      </w:pPr>
      <w:r>
        <w:rPr>
          <w:rFonts w:eastAsia="黑体"/>
          <w:szCs w:val="21"/>
        </w:rPr>
        <w:t xml:space="preserve"> 精密度</w:t>
      </w:r>
    </w:p>
    <w:p>
      <w:pPr>
        <w:pStyle w:val="66"/>
        <w:numPr>
          <w:ilvl w:val="1"/>
          <w:numId w:val="6"/>
        </w:numPr>
        <w:snapToGrid w:val="0"/>
        <w:spacing w:before="156" w:beforeLines="50" w:after="156" w:afterLines="50" w:line="360" w:lineRule="atLeast"/>
        <w:ind w:firstLineChars="0"/>
        <w:outlineLvl w:val="1"/>
        <w:rPr>
          <w:rFonts w:eastAsia="黑体"/>
          <w:szCs w:val="21"/>
        </w:rPr>
      </w:pPr>
      <w:r>
        <w:rPr>
          <w:rFonts w:eastAsia="黑体"/>
          <w:szCs w:val="21"/>
        </w:rPr>
        <w:t>重复性</w:t>
      </w:r>
    </w:p>
    <w:p>
      <w:pPr>
        <w:spacing w:line="360" w:lineRule="exact"/>
        <w:ind w:firstLine="420" w:firstLineChars="200"/>
      </w:pPr>
      <w:r>
        <w:t>在重复性条件下获得的两次独立测试结果的绝对差值不超过重复性限（</w:t>
      </w:r>
      <w:r>
        <w:rPr>
          <w:i/>
        </w:rPr>
        <w:t>r</w:t>
      </w:r>
      <w:r>
        <w:t>），超过重复性限（</w:t>
      </w:r>
      <w:r>
        <w:rPr>
          <w:i/>
        </w:rPr>
        <w:t>r</w:t>
      </w:r>
      <w:r>
        <w:t>）的情况不超过5%，重复性限（</w:t>
      </w:r>
      <w:r>
        <w:rPr>
          <w:i/>
        </w:rPr>
        <w:t>r</w:t>
      </w:r>
      <w:r>
        <w:t>）按表2数据采用线性内插法或</w:t>
      </w:r>
      <w:r>
        <w:rPr>
          <w:highlight w:val="none"/>
        </w:rPr>
        <w:t>外延法</w:t>
      </w:r>
      <w:r>
        <w:t>求得。</w:t>
      </w:r>
    </w:p>
    <w:p>
      <w:pPr>
        <w:spacing w:before="156" w:beforeLines="50" w:after="156" w:afterLines="50" w:line="300" w:lineRule="exact"/>
        <w:jc w:val="center"/>
        <w:rPr>
          <w:rFonts w:hint="default" w:eastAsia="黑体"/>
          <w:highlight w:val="yellow"/>
          <w:lang w:val="en-US" w:eastAsia="zh-CN"/>
        </w:rPr>
      </w:pPr>
      <w:r>
        <w:rPr>
          <w:rFonts w:eastAsia="黑体"/>
          <w:highlight w:val="none"/>
        </w:rPr>
        <w:t>表</w:t>
      </w:r>
      <w:r>
        <w:rPr>
          <w:rFonts w:hint="eastAsia" w:eastAsia="黑体"/>
          <w:highlight w:val="none"/>
          <w:lang w:val="en-US" w:eastAsia="zh-CN"/>
        </w:rPr>
        <w:t>1</w:t>
      </w:r>
      <w:r>
        <w:rPr>
          <w:rFonts w:eastAsia="黑体"/>
          <w:highlight w:val="none"/>
        </w:rPr>
        <w:t xml:space="preserve">  重复性限</w:t>
      </w:r>
      <w:r>
        <w:rPr>
          <w:rFonts w:hint="eastAsia" w:eastAsia="黑体"/>
          <w:highlight w:val="none"/>
          <w:lang w:val="en-US" w:eastAsia="zh-CN"/>
        </w:rPr>
        <w:t xml:space="preserve"> </w:t>
      </w:r>
    </w:p>
    <w:tbl>
      <w:tblPr>
        <w:tblStyle w:val="23"/>
        <w:tblW w:w="5000" w:type="pct"/>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0" w:type="dxa"/>
          <w:bottom w:w="0" w:type="dxa"/>
          <w:right w:w="0" w:type="dxa"/>
        </w:tblCellMar>
      </w:tblPr>
      <w:tblGrid>
        <w:gridCol w:w="4917"/>
        <w:gridCol w:w="44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12" w:space="0"/>
              <w:bottom w:val="single" w:color="auto" w:sz="12" w:space="0"/>
              <w:right w:val="single" w:color="auto" w:sz="4" w:space="0"/>
            </w:tcBorders>
            <w:noWrap w:val="0"/>
            <w:vAlign w:val="center"/>
          </w:tcPr>
          <w:p>
            <w:pPr>
              <w:adjustRightInd w:val="0"/>
              <w:jc w:val="center"/>
              <w:rPr>
                <w:i/>
                <w:kern w:val="0"/>
                <w:sz w:val="18"/>
                <w:szCs w:val="18"/>
              </w:rPr>
            </w:pPr>
            <w:r>
              <w:rPr>
                <w:kern w:val="0"/>
                <w:sz w:val="18"/>
                <w:szCs w:val="18"/>
              </w:rPr>
              <w:t>硅的质量分数</w:t>
            </w:r>
          </w:p>
          <w:p>
            <w:pPr>
              <w:adjustRightInd w:val="0"/>
              <w:jc w:val="center"/>
              <w:rPr>
                <w:sz w:val="18"/>
                <w:szCs w:val="18"/>
              </w:rPr>
            </w:pPr>
            <w:r>
              <w:rPr>
                <w:kern w:val="0"/>
                <w:sz w:val="18"/>
                <w:szCs w:val="18"/>
              </w:rPr>
              <w:t>%</w:t>
            </w:r>
          </w:p>
        </w:tc>
        <w:tc>
          <w:tcPr>
            <w:tcW w:w="2380" w:type="pct"/>
            <w:tcBorders>
              <w:top w:val="single" w:color="auto" w:sz="12" w:space="0"/>
              <w:left w:val="single" w:color="auto" w:sz="4" w:space="0"/>
              <w:bottom w:val="single" w:color="auto" w:sz="12" w:space="0"/>
            </w:tcBorders>
            <w:noWrap w:val="0"/>
            <w:vAlign w:val="center"/>
          </w:tcPr>
          <w:p>
            <w:pPr>
              <w:jc w:val="center"/>
              <w:rPr>
                <w:sz w:val="18"/>
                <w:szCs w:val="18"/>
              </w:rPr>
            </w:pPr>
            <w:r>
              <w:rPr>
                <w:sz w:val="18"/>
                <w:szCs w:val="18"/>
              </w:rPr>
              <w:t>重复性限（</w:t>
            </w:r>
            <w:r>
              <w:rPr>
                <w:i/>
                <w:sz w:val="18"/>
                <w:szCs w:val="18"/>
              </w:rPr>
              <w:t>r</w:t>
            </w:r>
            <w:r>
              <w:rPr>
                <w:sz w:val="18"/>
                <w:szCs w:val="18"/>
              </w:rPr>
              <w:t>）</w:t>
            </w:r>
          </w:p>
          <w:p>
            <w:pPr>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12"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0.0072</w:t>
            </w:r>
          </w:p>
        </w:tc>
        <w:tc>
          <w:tcPr>
            <w:tcW w:w="2380" w:type="pct"/>
            <w:tcBorders>
              <w:top w:val="single" w:color="auto" w:sz="12" w:space="0"/>
              <w:left w:val="single" w:color="auto" w:sz="4" w:space="0"/>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0.0004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0.017</w:t>
            </w:r>
          </w:p>
        </w:tc>
        <w:tc>
          <w:tcPr>
            <w:tcW w:w="2380" w:type="pct"/>
            <w:tcBorders>
              <w:top w:val="single" w:color="auto" w:sz="4" w:space="0"/>
              <w:left w:val="single" w:color="auto" w:sz="4" w:space="0"/>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0.027</w:t>
            </w:r>
          </w:p>
        </w:tc>
        <w:tc>
          <w:tcPr>
            <w:tcW w:w="2380" w:type="pct"/>
            <w:tcBorders>
              <w:top w:val="single" w:color="auto" w:sz="4" w:space="0"/>
              <w:left w:val="single" w:color="auto" w:sz="4" w:space="0"/>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0.053</w:t>
            </w:r>
          </w:p>
        </w:tc>
        <w:tc>
          <w:tcPr>
            <w:tcW w:w="2380" w:type="pct"/>
            <w:tcBorders>
              <w:top w:val="single" w:color="auto" w:sz="4" w:space="0"/>
              <w:left w:val="single" w:color="auto" w:sz="4" w:space="0"/>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0.004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0.077</w:t>
            </w:r>
          </w:p>
        </w:tc>
        <w:tc>
          <w:tcPr>
            <w:tcW w:w="2380" w:type="pct"/>
            <w:tcBorders>
              <w:top w:val="single" w:color="auto" w:sz="4" w:space="0"/>
              <w:left w:val="single" w:color="auto" w:sz="4" w:space="0"/>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4" w:space="0"/>
              <w:bottom w:val="single" w:color="auto" w:sz="4"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0.10</w:t>
            </w:r>
          </w:p>
        </w:tc>
        <w:tc>
          <w:tcPr>
            <w:tcW w:w="2380" w:type="pct"/>
            <w:tcBorders>
              <w:top w:val="single" w:color="auto" w:sz="4" w:space="0"/>
              <w:left w:val="single" w:color="auto" w:sz="4" w:space="0"/>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2620" w:type="pct"/>
            <w:tcBorders>
              <w:top w:val="single" w:color="auto" w:sz="4" w:space="0"/>
              <w:bottom w:val="single" w:color="auto" w:sz="12" w:space="0"/>
              <w:righ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0.20</w:t>
            </w:r>
          </w:p>
        </w:tc>
        <w:tc>
          <w:tcPr>
            <w:tcW w:w="2380" w:type="pct"/>
            <w:tcBorders>
              <w:top w:val="single" w:color="auto" w:sz="4" w:space="0"/>
              <w:left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0.02</w:t>
            </w:r>
          </w:p>
        </w:tc>
      </w:tr>
    </w:tbl>
    <w:p>
      <w:pPr>
        <w:pStyle w:val="66"/>
        <w:numPr>
          <w:ilvl w:val="1"/>
          <w:numId w:val="6"/>
        </w:numPr>
        <w:adjustRightInd w:val="0"/>
        <w:snapToGrid w:val="0"/>
        <w:spacing w:before="156" w:beforeLines="50" w:after="156" w:afterLines="50" w:line="360" w:lineRule="atLeast"/>
        <w:ind w:firstLineChars="0"/>
        <w:outlineLvl w:val="1"/>
        <w:rPr>
          <w:rFonts w:eastAsia="黑体"/>
          <w:szCs w:val="21"/>
        </w:rPr>
      </w:pPr>
      <w:r>
        <w:rPr>
          <w:rFonts w:eastAsia="黑体"/>
          <w:szCs w:val="21"/>
        </w:rPr>
        <w:t>再现性</w:t>
      </w:r>
    </w:p>
    <w:p>
      <w:pPr>
        <w:spacing w:line="360" w:lineRule="exact"/>
        <w:ind w:firstLine="420" w:firstLineChars="200"/>
      </w:pPr>
      <w:r>
        <w:t>在再现性条件下获得的两次独立测试结果的绝对差值不大于再现性限（</w:t>
      </w:r>
      <w:r>
        <w:rPr>
          <w:i/>
        </w:rPr>
        <w:t>R</w:t>
      </w:r>
      <w:r>
        <w:t>），超过再现性限（</w:t>
      </w:r>
      <w:r>
        <w:rPr>
          <w:i/>
        </w:rPr>
        <w:t>R</w:t>
      </w:r>
      <w:r>
        <w:t>）的情况不超过5%，再现性限（</w:t>
      </w:r>
      <w:r>
        <w:rPr>
          <w:i/>
        </w:rPr>
        <w:t>R</w:t>
      </w:r>
      <w:r>
        <w:t>）按表3数据采用线性内插法或外延法求得。</w:t>
      </w:r>
    </w:p>
    <w:p>
      <w:pPr>
        <w:adjustRightInd w:val="0"/>
        <w:snapToGrid w:val="0"/>
        <w:spacing w:before="156" w:beforeLines="50" w:after="156" w:afterLines="50" w:line="300" w:lineRule="exact"/>
        <w:jc w:val="center"/>
        <w:rPr>
          <w:rFonts w:eastAsia="黑体"/>
        </w:rPr>
      </w:pPr>
      <w:r>
        <w:rPr>
          <w:rFonts w:eastAsia="黑体"/>
        </w:rPr>
        <w:t>表</w:t>
      </w:r>
      <w:r>
        <w:rPr>
          <w:rFonts w:hint="eastAsia" w:eastAsia="黑体"/>
          <w:lang w:val="en-US" w:eastAsia="zh-CN"/>
        </w:rPr>
        <w:t>2</w:t>
      </w:r>
      <w:r>
        <w:rPr>
          <w:rFonts w:eastAsia="黑体"/>
        </w:rPr>
        <w:t xml:space="preserve">  再现性限</w:t>
      </w:r>
    </w:p>
    <w:tbl>
      <w:tblPr>
        <w:tblStyle w:val="23"/>
        <w:tblW w:w="5016"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930"/>
        <w:gridCol w:w="4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618" w:type="pct"/>
            <w:tcBorders>
              <w:top w:val="single" w:color="auto" w:sz="12" w:space="0"/>
              <w:bottom w:val="single" w:color="auto" w:sz="12" w:space="0"/>
            </w:tcBorders>
            <w:noWrap w:val="0"/>
            <w:vAlign w:val="center"/>
          </w:tcPr>
          <w:p>
            <w:pPr>
              <w:adjustRightInd w:val="0"/>
              <w:jc w:val="center"/>
              <w:rPr>
                <w:i/>
                <w:kern w:val="0"/>
                <w:sz w:val="18"/>
                <w:szCs w:val="20"/>
              </w:rPr>
            </w:pPr>
            <w:r>
              <w:rPr>
                <w:kern w:val="0"/>
                <w:sz w:val="18"/>
                <w:szCs w:val="20"/>
              </w:rPr>
              <w:t>硅的质量分数</w:t>
            </w:r>
          </w:p>
          <w:p>
            <w:pPr>
              <w:adjustRightInd w:val="0"/>
              <w:jc w:val="center"/>
              <w:rPr>
                <w:sz w:val="18"/>
                <w:szCs w:val="20"/>
              </w:rPr>
            </w:pPr>
            <w:r>
              <w:rPr>
                <w:kern w:val="0"/>
                <w:sz w:val="18"/>
                <w:szCs w:val="20"/>
              </w:rPr>
              <w:t>%</w:t>
            </w:r>
          </w:p>
        </w:tc>
        <w:tc>
          <w:tcPr>
            <w:tcW w:w="2381" w:type="pct"/>
            <w:tcBorders>
              <w:top w:val="single" w:color="auto" w:sz="12" w:space="0"/>
              <w:bottom w:val="single" w:color="auto" w:sz="12" w:space="0"/>
            </w:tcBorders>
            <w:noWrap w:val="0"/>
            <w:vAlign w:val="center"/>
          </w:tcPr>
          <w:p>
            <w:pPr>
              <w:jc w:val="center"/>
              <w:rPr>
                <w:sz w:val="18"/>
                <w:szCs w:val="18"/>
              </w:rPr>
            </w:pPr>
            <w:r>
              <w:rPr>
                <w:sz w:val="18"/>
                <w:szCs w:val="18"/>
              </w:rPr>
              <w:t>再现性限（</w:t>
            </w:r>
            <w:r>
              <w:rPr>
                <w:i/>
                <w:sz w:val="18"/>
                <w:szCs w:val="18"/>
              </w:rPr>
              <w:t>R</w:t>
            </w:r>
            <w:r>
              <w:rPr>
                <w:sz w:val="18"/>
                <w:szCs w:val="18"/>
              </w:rPr>
              <w:t>）</w:t>
            </w:r>
          </w:p>
          <w:p>
            <w:pPr>
              <w:jc w:val="center"/>
            </w:pPr>
            <w:r>
              <w:rPr>
                <w:kern w:val="0"/>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2618" w:type="pct"/>
            <w:tcBorders>
              <w:top w:val="single" w:color="auto" w:sz="12" w:space="0"/>
              <w:bottom w:val="single" w:color="auto" w:sz="4" w:space="0"/>
            </w:tcBorders>
            <w:noWrap w:val="0"/>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0.0072</w:t>
            </w:r>
          </w:p>
        </w:tc>
        <w:tc>
          <w:tcPr>
            <w:tcW w:w="2381" w:type="pct"/>
            <w:tcBorders>
              <w:top w:val="single" w:color="auto" w:sz="12"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1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0.017</w:t>
            </w:r>
          </w:p>
        </w:tc>
        <w:tc>
          <w:tcPr>
            <w:tcW w:w="2381"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1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0.027</w:t>
            </w:r>
          </w:p>
        </w:tc>
        <w:tc>
          <w:tcPr>
            <w:tcW w:w="2381"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1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0.053</w:t>
            </w:r>
          </w:p>
        </w:tc>
        <w:tc>
          <w:tcPr>
            <w:tcW w:w="2381"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1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0.077</w:t>
            </w:r>
          </w:p>
        </w:tc>
        <w:tc>
          <w:tcPr>
            <w:tcW w:w="2381"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1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0.10</w:t>
            </w:r>
          </w:p>
        </w:tc>
        <w:tc>
          <w:tcPr>
            <w:tcW w:w="2381" w:type="pct"/>
            <w:tcBorders>
              <w:top w:val="single" w:color="auto" w:sz="4" w:space="0"/>
              <w:bottom w:val="single" w:color="auto" w:sz="4" w:space="0"/>
            </w:tcBorders>
            <w:noWrap w:val="0"/>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618" w:type="pct"/>
            <w:tcBorders>
              <w:top w:val="single" w:color="auto" w:sz="4" w:space="0"/>
              <w:bottom w:val="single" w:color="auto" w:sz="12"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0.20</w:t>
            </w:r>
          </w:p>
        </w:tc>
        <w:tc>
          <w:tcPr>
            <w:tcW w:w="2381" w:type="pct"/>
            <w:tcBorders>
              <w:top w:val="single" w:color="auto" w:sz="4" w:space="0"/>
              <w:bottom w:val="single" w:color="auto" w:sz="12" w:space="0"/>
            </w:tcBorders>
            <w:noWrap w:val="0"/>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0.03</w:t>
            </w:r>
          </w:p>
        </w:tc>
      </w:tr>
    </w:tbl>
    <w:p>
      <w:pPr>
        <w:pStyle w:val="66"/>
        <w:snapToGrid w:val="0"/>
        <w:spacing w:before="312" w:beforeLines="100" w:after="312" w:afterLines="100" w:line="360" w:lineRule="atLeast"/>
        <w:ind w:firstLine="0" w:firstLineChars="0"/>
        <w:outlineLvl w:val="1"/>
        <w:rPr>
          <w:rFonts w:eastAsia="黑体"/>
          <w:szCs w:val="21"/>
        </w:rPr>
      </w:pPr>
      <w:r>
        <w:rPr>
          <w:rFonts w:eastAsia="黑体"/>
          <w:szCs w:val="21"/>
        </w:rPr>
        <mc:AlternateContent>
          <mc:Choice Requires="wps">
            <w:drawing>
              <wp:anchor distT="0" distB="0" distL="114300" distR="114300" simplePos="0" relativeHeight="251669504" behindDoc="0" locked="0" layoutInCell="1" allowOverlap="1">
                <wp:simplePos x="0" y="0"/>
                <wp:positionH relativeFrom="column">
                  <wp:posOffset>1850390</wp:posOffset>
                </wp:positionH>
                <wp:positionV relativeFrom="paragraph">
                  <wp:posOffset>201930</wp:posOffset>
                </wp:positionV>
                <wp:extent cx="2200275" cy="0"/>
                <wp:effectExtent l="0" t="9525" r="9525" b="12700"/>
                <wp:wrapNone/>
                <wp:docPr id="14" name="自选图形 2"/>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45.7pt;margin-top:15.9pt;height:0pt;width:173.25pt;z-index:251669504;mso-width-relative:page;mso-height-relative:page;" filled="f" stroked="t" coordsize="21600,21600" o:gfxdata="UEsDBAoAAAAAAIdO4kAAAAAAAAAAAAAAAAAEAAAAZHJzL1BLAwQUAAAACACHTuJA0ao/b9UAAAAJ&#10;AQAADwAAAGRycy9kb3ducmV2LnhtbE2PwU6EMBCG7ya+QzMmXoxb2DXIspQ9mHjyIK4+QKGzQKRT&#10;QstS394xHvQ4M1/++f7yGO0oLjj7wZGCdJOAQGqdGahT8PH+fJ+D8EGT0aMjVPCFHo7V9VWpC+NW&#10;esPLKXSCQ8gXWkEfwlRI6dserfYbNyHx7exmqwOPcyfNrFcOt6PcJkkmrR6IP/R6wqce28/TYhXE&#10;14xCrPPYrLS8+PyujtrWSt3epMkBRMAY/mD40Wd1qNipcQsZL0YF2336wKiCXcoVGMh2j3sQze9C&#10;VqX836D6BlBLAwQUAAAACACHTuJAFsBUpPUBAADlAwAADgAAAGRycy9lMm9Eb2MueG1srVNLjhMx&#10;EN0jcQfLe9JJxPBppTOLhGGDIBJwgIrt7rbkn1yedLJjhzgDO5bcAW4z0nALyu5MBoZNFvTCXbar&#10;XtV7VV5c7q1hOxVRe9fw2WTKmXLCS+26hn/8cPXkBWeYwEkw3qmGHxTyy+XjR4sh1Grue2+kioxA&#10;HNZDaHifUqirCkWvLODEB+XosvXRQqJt7CoZYSB0a6r5dPqsGnyUIXqhEOl0PV7yI2I8B9C3rRZq&#10;7cW1VS6NqFEZSEQJex2QL0u1batEete2qBIzDSemqayUhOxtXqvlAuouQui1OJYA55TwgJMF7Sjp&#10;CWoNCdh11P9AWS2iR9+mifC2GokURYjFbPpAm/c9BFW4kNQYTqLj/4MVb3ebyLSkSXjKmQNLHb/9&#10;/P3Xpy83X3/e/PjG5lmiIWBNniu3iccdhk3MfPdttPlPTNi+yHo4yar2iQk6nFPb588vOBN3d9V9&#10;YIiYXitvWTYajimC7vq08s5R83ycFVlh9wYTpabAu4Cc1Tg2UOUvpxfUTwE0jS1NAZk2ECN0XQlG&#10;b7S80sbkEIzddmUi20GeiPJlhgT8l1vOsgbsR79yNc5Kr0C+cpKlQyCpHD0RnmuwSnJmFL2obBEg&#10;1Am0OceTUhtHFWSRR1mztfXyUNQu59T9UuNxUvN4/bkv0fe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ao/b9UAAAAJAQAADwAAAAAAAAABACAAAAAiAAAAZHJzL2Rvd25yZXYueG1sUEsBAhQA&#10;FAAAAAgAh07iQBbAVKT1AQAA5QMAAA4AAAAAAAAAAQAgAAAAJAEAAGRycy9lMm9Eb2MueG1sUEsF&#10;BgAAAAAGAAYAWQEAAIsFAAAAAA==&#10;">
                <v:fill on="f" focussize="0,0"/>
                <v:stroke weight="1.5pt" color="#000000" joinstyle="round"/>
                <v:imagedata o:title=""/>
                <o:lock v:ext="edit" aspectratio="f"/>
              </v:shape>
            </w:pict>
          </mc:Fallback>
        </mc:AlternateContent>
      </w:r>
    </w:p>
    <w:p>
      <w:pPr>
        <w:pStyle w:val="41"/>
        <w:spacing w:line="360" w:lineRule="exact"/>
        <w:ind w:firstLine="0" w:firstLineChars="0"/>
        <w:jc w:val="center"/>
        <w:rPr>
          <w:rFonts w:hint="default" w:ascii="Times New Roman" w:hAnsi="Times New Roman" w:eastAsia="黑体" w:cs="Times New Roman"/>
          <w:szCs w:val="21"/>
        </w:rPr>
      </w:pPr>
      <w:r>
        <w:rPr>
          <w:rFonts w:eastAsia="黑体"/>
          <w:szCs w:val="21"/>
        </w:rPr>
        <w:br w:type="page"/>
      </w:r>
      <w:r>
        <w:rPr>
          <w:rFonts w:hint="default" w:ascii="Times New Roman" w:hAnsi="Times New Roman" w:eastAsia="黑体" w:cs="Times New Roman"/>
          <w:szCs w:val="21"/>
        </w:rPr>
        <w:t>附 录 A</w:t>
      </w:r>
    </w:p>
    <w:p>
      <w:pPr>
        <w:pStyle w:val="41"/>
        <w:spacing w:line="360" w:lineRule="exact"/>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（资料性）</w:t>
      </w:r>
    </w:p>
    <w:p>
      <w:pPr>
        <w:pStyle w:val="11"/>
        <w:spacing w:line="360" w:lineRule="exact"/>
        <w:ind w:firstLine="0" w:firstLineChars="0"/>
        <w:jc w:val="center"/>
        <w:rPr>
          <w:rFonts w:hint="default" w:ascii="Times New Roman" w:hAnsi="Times New Roman" w:cs="Times New Roman"/>
        </w:rPr>
      </w:pPr>
      <w:r>
        <w:rPr>
          <w:rFonts w:hint="default" w:ascii="Times New Roman" w:hAnsi="Times New Roman" w:eastAsia="黑体" w:cs="Times New Roman"/>
          <w:szCs w:val="21"/>
        </w:rPr>
        <w:t>精密度试验原始数据</w:t>
      </w:r>
    </w:p>
    <w:p>
      <w:pPr>
        <w:pStyle w:val="41"/>
        <w:spacing w:before="284" w:line="360" w:lineRule="exact"/>
        <w:ind w:firstLine="420" w:firstLineChars="0"/>
        <w:rPr>
          <w:rFonts w:hint="default" w:ascii="Times New Roman" w:hAnsi="Times New Roman" w:eastAsia="黑体" w:cs="Times New Roman"/>
          <w:szCs w:val="21"/>
        </w:rPr>
      </w:pPr>
      <w:r>
        <w:rPr>
          <w:rFonts w:hint="default" w:ascii="Times New Roman" w:hAnsi="Times New Roman" w:cs="Times New Roman"/>
          <w:szCs w:val="21"/>
        </w:rPr>
        <w:t>精密度数据</w:t>
      </w:r>
      <w:r>
        <w:rPr>
          <w:rFonts w:hint="default" w:ascii="Times New Roman" w:hAnsi="Times New Roman" w:cs="Times New Roman"/>
        </w:rPr>
        <w:t>是在202</w:t>
      </w:r>
      <w:r>
        <w:rPr>
          <w:rFonts w:hint="eastAsia" w:ascii="Times New Roman" w:hAnsi="Times New Roman" w:cs="Times New Roman"/>
          <w:lang w:val="en-US" w:eastAsia="zh-CN"/>
        </w:rPr>
        <w:t>1</w:t>
      </w:r>
      <w:r>
        <w:rPr>
          <w:rFonts w:hint="default" w:ascii="Times New Roman" w:hAnsi="Times New Roman" w:cs="Times New Roman"/>
        </w:rPr>
        <w:t>年由</w:t>
      </w:r>
      <w:r>
        <w:rPr>
          <w:rFonts w:hint="eastAsia" w:ascii="Times New Roman" w:hAnsi="Times New Roman" w:cs="Times New Roman"/>
          <w:lang w:val="en-US" w:eastAsia="zh-CN"/>
        </w:rPr>
        <w:t>7</w:t>
      </w:r>
      <w:r>
        <w:rPr>
          <w:rFonts w:hint="default" w:ascii="Times New Roman" w:hAnsi="Times New Roman" w:cs="Times New Roman"/>
        </w:rPr>
        <w:t>家试验室对</w:t>
      </w:r>
      <w:r>
        <w:rPr>
          <w:rFonts w:hint="eastAsia" w:ascii="Times New Roman" w:hAnsi="Times New Roman" w:cs="Times New Roman"/>
          <w:lang w:val="en-US" w:eastAsia="zh-CN"/>
        </w:rPr>
        <w:t>硅</w:t>
      </w:r>
      <w:r>
        <w:rPr>
          <w:rFonts w:hint="default" w:ascii="Times New Roman" w:hAnsi="Times New Roman" w:cs="Times New Roman"/>
        </w:rPr>
        <w:t>含量的</w:t>
      </w:r>
      <w:r>
        <w:rPr>
          <w:rFonts w:hint="eastAsia" w:ascii="Times New Roman" w:hAnsi="Times New Roman" w:cs="Times New Roman"/>
          <w:lang w:val="en-US" w:eastAsia="zh-CN"/>
        </w:rPr>
        <w:t>7</w:t>
      </w:r>
      <w:r>
        <w:rPr>
          <w:rFonts w:hint="default" w:ascii="Times New Roman" w:hAnsi="Times New Roman" w:cs="Times New Roman"/>
        </w:rPr>
        <w:t>个不同水平样品进行共同试验确定的。每个实验室对每个水平的钠含量在重复性条件下独立测定</w:t>
      </w:r>
      <w:r>
        <w:rPr>
          <w:rFonts w:hint="eastAsia" w:ascii="Times New Roman" w:hAnsi="Times New Roman" w:cs="Times New Roman"/>
          <w:lang w:val="en-US" w:eastAsia="zh-CN"/>
        </w:rPr>
        <w:t>11</w:t>
      </w:r>
      <w:r>
        <w:rPr>
          <w:rFonts w:hint="default" w:ascii="Times New Roman" w:hAnsi="Times New Roman" w:cs="Times New Roman"/>
        </w:rPr>
        <w:t>次。测量原始数据见表A.1。</w:t>
      </w:r>
    </w:p>
    <w:p>
      <w:pPr>
        <w:widowControl/>
        <w:spacing w:line="312" w:lineRule="auto"/>
        <w:rPr>
          <w:bCs/>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eastAsia="黑体"/>
          <w:szCs w:val="21"/>
        </w:rPr>
      </w:pPr>
      <w:r>
        <w:rPr>
          <w:rFonts w:eastAsia="黑体"/>
          <w:szCs w:val="21"/>
        </w:rPr>
        <w:t xml:space="preserve">表A.1  </w:t>
      </w:r>
      <w:r>
        <w:rPr>
          <w:rFonts w:hint="eastAsia" w:eastAsia="黑体"/>
          <w:szCs w:val="21"/>
          <w:lang w:val="en-US" w:eastAsia="zh-CN"/>
        </w:rPr>
        <w:t>精密度试验</w:t>
      </w:r>
      <w:r>
        <w:rPr>
          <w:rFonts w:eastAsia="黑体"/>
          <w:szCs w:val="21"/>
        </w:rPr>
        <w:t>原始测定数据</w:t>
      </w:r>
    </w:p>
    <w:tbl>
      <w:tblPr>
        <w:tblStyle w:val="23"/>
        <w:tblW w:w="4996" w:type="pct"/>
        <w:jc w:val="center"/>
        <w:tblLayout w:type="autofit"/>
        <w:tblCellMar>
          <w:top w:w="0" w:type="dxa"/>
          <w:left w:w="108" w:type="dxa"/>
          <w:bottom w:w="0" w:type="dxa"/>
          <w:right w:w="108" w:type="dxa"/>
        </w:tblCellMar>
      </w:tblPr>
      <w:tblGrid>
        <w:gridCol w:w="1245"/>
        <w:gridCol w:w="1069"/>
        <w:gridCol w:w="1208"/>
        <w:gridCol w:w="1208"/>
        <w:gridCol w:w="1204"/>
        <w:gridCol w:w="1208"/>
        <w:gridCol w:w="1209"/>
        <w:gridCol w:w="1211"/>
      </w:tblGrid>
      <w:tr>
        <w:tblPrEx>
          <w:tblCellMar>
            <w:top w:w="0" w:type="dxa"/>
            <w:left w:w="108" w:type="dxa"/>
            <w:bottom w:w="0" w:type="dxa"/>
            <w:right w:w="108" w:type="dxa"/>
          </w:tblCellMar>
        </w:tblPrEx>
        <w:trPr>
          <w:trHeight w:val="272" w:hRule="atLeast"/>
          <w:tblHeader/>
          <w:jc w:val="center"/>
        </w:trPr>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实验室</w:t>
            </w:r>
          </w:p>
        </w:tc>
        <w:tc>
          <w:tcPr>
            <w:tcW w:w="6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水平1</w:t>
            </w:r>
          </w:p>
        </w:tc>
        <w:tc>
          <w:tcPr>
            <w:tcW w:w="6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水平2</w:t>
            </w:r>
          </w:p>
        </w:tc>
        <w:tc>
          <w:tcPr>
            <w:tcW w:w="6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水平3</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水平4</w:t>
            </w:r>
          </w:p>
        </w:tc>
        <w:tc>
          <w:tcPr>
            <w:tcW w:w="6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水平5</w:t>
            </w:r>
          </w:p>
        </w:tc>
        <w:tc>
          <w:tcPr>
            <w:tcW w:w="6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水平6</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水平</w:t>
            </w:r>
            <w:r>
              <w:rPr>
                <w:rFonts w:hint="eastAsia" w:cs="Times New Roman"/>
                <w:kern w:val="0"/>
                <w:sz w:val="18"/>
                <w:szCs w:val="18"/>
                <w:lang w:val="en-US" w:eastAsia="zh-CN"/>
              </w:rPr>
              <w:t>7</w:t>
            </w:r>
          </w:p>
        </w:tc>
      </w:tr>
      <w:tr>
        <w:tblPrEx>
          <w:tblCellMar>
            <w:top w:w="0" w:type="dxa"/>
            <w:left w:w="108" w:type="dxa"/>
            <w:bottom w:w="0" w:type="dxa"/>
            <w:right w:w="108" w:type="dxa"/>
          </w:tblCellMar>
        </w:tblPrEx>
        <w:trPr>
          <w:trHeight w:val="270" w:hRule="atLeast"/>
          <w:jc w:val="center"/>
        </w:trPr>
        <w:tc>
          <w:tcPr>
            <w:tcW w:w="705"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bookmarkStart w:id="2" w:name="OLE_LINK2" w:colFirst="2" w:colLast="2"/>
            <w:r>
              <w:rPr>
                <w:rFonts w:hint="eastAsia" w:cs="Times New Roman"/>
                <w:kern w:val="0"/>
                <w:sz w:val="18"/>
                <w:szCs w:val="18"/>
                <w:lang w:val="en-US" w:eastAsia="zh-CN"/>
              </w:rPr>
              <w:t>1#</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0.00740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0.00735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0.00690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0.00707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0.00701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0.0805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0.00691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0.00712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0.00723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0.0770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0.00728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0.00682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bottom w:val="nil"/>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ascii="Times New Roman" w:hAnsi="Times New Roman" w:eastAsia="Times New Roman"/>
                <w:color w:val="000000"/>
                <w:sz w:val="18"/>
                <w:szCs w:val="24"/>
              </w:rPr>
              <w:t xml:space="preserve">0.00684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0.0489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0.0796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bookmarkEnd w:id="2"/>
      <w:tr>
        <w:tblPrEx>
          <w:tblCellMar>
            <w:top w:w="0" w:type="dxa"/>
            <w:left w:w="108" w:type="dxa"/>
            <w:bottom w:w="0" w:type="dxa"/>
            <w:right w:w="108" w:type="dxa"/>
          </w:tblCellMar>
        </w:tblPrEx>
        <w:trPr>
          <w:trHeight w:val="270" w:hRule="atLeast"/>
          <w:jc w:val="center"/>
        </w:trPr>
        <w:tc>
          <w:tcPr>
            <w:tcW w:w="705"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2#</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0.0482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0.0486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0.0790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0.203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0.0822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Times New Roman" w:cs="Times New Roman"/>
                <w:color w:val="000000"/>
                <w:kern w:val="2"/>
                <w:sz w:val="18"/>
                <w:szCs w:val="24"/>
                <w:lang w:val="en-US" w:eastAsia="zh-CN" w:bidi="ar-SA"/>
              </w:rPr>
            </w:pPr>
            <w:r>
              <w:rPr>
                <w:rFonts w:hint="eastAsia" w:eastAsia="Times New Roman" w:cs="Times New Roman"/>
                <w:color w:val="000000"/>
                <w:kern w:val="2"/>
                <w:sz w:val="18"/>
                <w:szCs w:val="24"/>
                <w:lang w:val="en-US" w:eastAsia="zh-CN" w:bidi="ar-SA"/>
              </w:rPr>
              <w:t>/</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0.0143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3#</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0.00747</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0.0172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0.0279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0.00742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0.00705</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0.0479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0.0718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0.00757</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0.0287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0.00744</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0.096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0.00715</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0.00728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0.0266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0.0473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0.00689</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0.0286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0.00706</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0.0734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0.00688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0.0169</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0.0267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0.0776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0.00689</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0.0176</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90" w:hRule="atLeast"/>
          <w:jc w:val="center"/>
        </w:trPr>
        <w:tc>
          <w:tcPr>
            <w:tcW w:w="705"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4#</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0.00738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0.207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0.00738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0.208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0.00723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0.0235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0.00768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0.0226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0.00753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0.0774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0.206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0.00738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0.00737</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0.0224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0.00755</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0.0235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0.0786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0.00728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0.0776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0.00750</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r>
      <w:tr>
        <w:tblPrEx>
          <w:tblCellMar>
            <w:top w:w="0" w:type="dxa"/>
            <w:left w:w="108" w:type="dxa"/>
            <w:bottom w:w="0" w:type="dxa"/>
            <w:right w:w="108" w:type="dxa"/>
          </w:tblCellMar>
        </w:tblPrEx>
        <w:trPr>
          <w:trHeight w:val="330" w:hRule="atLeast"/>
          <w:jc w:val="center"/>
        </w:trPr>
        <w:tc>
          <w:tcPr>
            <w:tcW w:w="70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0.00732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0.0230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0.0520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5#</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0.0574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0.210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0.0577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0.0578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0.0765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0.0774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0.0112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0.0309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0.0581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r>
      <w:tr>
        <w:tblPrEx>
          <w:tblCellMar>
            <w:top w:w="0" w:type="dxa"/>
            <w:left w:w="108" w:type="dxa"/>
            <w:bottom w:w="0" w:type="dxa"/>
            <w:right w:w="108" w:type="dxa"/>
          </w:tblCellMar>
        </w:tblPrEx>
        <w:trPr>
          <w:trHeight w:val="270" w:hRule="atLeast"/>
          <w:jc w:val="center"/>
        </w:trPr>
        <w:tc>
          <w:tcPr>
            <w:tcW w:w="705" w:type="pct"/>
            <w:vMerge w:val="restart"/>
            <w:tcBorders>
              <w:top w:val="nil"/>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6#</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0.0295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0.0297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0.110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0.00992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0.0104</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0.0105</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0.0286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0.0106</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0.0760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0.0104</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0.0292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0.0106</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0.0796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0.0107</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0.0205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0.0554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0.0801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0.0109</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0.0289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0.0560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0.0799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0.197 </w:t>
            </w:r>
          </w:p>
        </w:tc>
      </w:tr>
      <w:tr>
        <w:tblPrEx>
          <w:tblCellMar>
            <w:top w:w="0" w:type="dxa"/>
            <w:left w:w="108" w:type="dxa"/>
            <w:bottom w:w="0" w:type="dxa"/>
            <w:right w:w="108" w:type="dxa"/>
          </w:tblCellMar>
        </w:tblPrEx>
        <w:trPr>
          <w:trHeight w:val="270" w:hRule="atLeast"/>
          <w:jc w:val="center"/>
        </w:trPr>
        <w:tc>
          <w:tcPr>
            <w:tcW w:w="705"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18"/>
                <w:szCs w:val="18"/>
              </w:rPr>
            </w:pPr>
            <w:r>
              <w:rPr>
                <w:rFonts w:hint="eastAsia" w:cs="Times New Roman"/>
                <w:kern w:val="0"/>
                <w:sz w:val="18"/>
                <w:szCs w:val="18"/>
                <w:lang w:val="en-US" w:eastAsia="zh-CN"/>
              </w:rPr>
              <w:t>7#</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0.00688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0.00748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0.0269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0.0542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0.0753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0.191 </w:t>
            </w:r>
          </w:p>
        </w:tc>
      </w:tr>
      <w:tr>
        <w:tblPrEx>
          <w:tblCellMar>
            <w:top w:w="0" w:type="dxa"/>
            <w:left w:w="108" w:type="dxa"/>
            <w:bottom w:w="0" w:type="dxa"/>
            <w:right w:w="108" w:type="dxa"/>
          </w:tblCellMar>
        </w:tblPrEx>
        <w:trPr>
          <w:trHeight w:val="9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0.00764</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0.0170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0.0261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0.0728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0.00703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0.0748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0.00718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0.0160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0.0268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0.0508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0.0760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0.189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0.00763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0.0267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0.0767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0.00747</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0.0162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0.0539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0.0759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0.00732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0.0158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0.0265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0.0531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0.0742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0.00703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0.0164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0.0263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0.0744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0.00673</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0.0254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0.0497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0.0785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tblPrEx>
          <w:tblCellMar>
            <w:top w:w="0" w:type="dxa"/>
            <w:left w:w="108" w:type="dxa"/>
            <w:bottom w:w="0" w:type="dxa"/>
            <w:right w:w="108" w:type="dxa"/>
          </w:tblCellMar>
        </w:tblPrEx>
        <w:trPr>
          <w:trHeight w:val="270" w:hRule="atLeast"/>
          <w:jc w:val="center"/>
        </w:trPr>
        <w:tc>
          <w:tcPr>
            <w:tcW w:w="705" w:type="pct"/>
            <w:vMerge w:val="continue"/>
            <w:tcBorders>
              <w:left w:val="single" w:color="auto" w:sz="4" w:space="0"/>
              <w:bottom w:val="single" w:color="auto" w:sz="4" w:space="0"/>
              <w:right w:val="single" w:color="auto" w:sz="4" w:space="0"/>
            </w:tcBorders>
            <w:shd w:val="clear" w:color="auto" w:fill="auto"/>
            <w:noWrap/>
            <w:vAlign w:val="center"/>
          </w:tcPr>
          <w:p>
            <w:pPr>
              <w:widowControl/>
              <w:rPr>
                <w:rFonts w:hint="default" w:ascii="Times New Roman" w:hAnsi="Times New Roman" w:cs="Times New Roman"/>
                <w:kern w:val="0"/>
                <w:sz w:val="18"/>
                <w:szCs w:val="18"/>
              </w:rPr>
            </w:pP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3"/>
                <w:szCs w:val="20"/>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0.00718</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0.0163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0.0253 </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0.0517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0.0777 </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r>
    </w:tbl>
    <w:p>
      <w:pPr>
        <w:spacing w:line="312" w:lineRule="auto"/>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备注：由于样品量不足，实验室2缺少水平1的测试数据。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eastAsia="黑体"/>
          <w:szCs w:val="21"/>
        </w:rPr>
      </w:pPr>
    </w:p>
    <w:p>
      <w:pPr>
        <w:pStyle w:val="66"/>
        <w:snapToGrid w:val="0"/>
        <w:spacing w:before="312" w:beforeLines="100" w:after="312" w:afterLines="100" w:line="360" w:lineRule="atLeast"/>
        <w:ind w:firstLine="0" w:firstLineChars="0"/>
        <w:outlineLvl w:val="1"/>
        <w:rPr>
          <w:rFonts w:eastAsia="黑体"/>
          <w:szCs w:val="21"/>
        </w:rPr>
      </w:pPr>
    </w:p>
    <w:sectPr>
      <w:headerReference r:id="rId12" w:type="first"/>
      <w:footerReference r:id="rId15" w:type="first"/>
      <w:headerReference r:id="rId10" w:type="default"/>
      <w:footerReference r:id="rId13" w:type="default"/>
      <w:headerReference r:id="rId11" w:type="even"/>
      <w:footerReference r:id="rId14" w:type="even"/>
      <w:pgSz w:w="11906" w:h="16838"/>
      <w:pgMar w:top="2268" w:right="1134" w:bottom="851" w:left="1418" w:header="1418" w:footer="680" w:gutter="0"/>
      <w:pgBorders>
        <w:top w:val="none" w:sz="0" w:space="0"/>
        <w:left w:val="none" w:sz="0" w:space="0"/>
        <w:bottom w:val="none" w:sz="0" w:space="0"/>
        <w:right w:val="none" w:sz="0" w:space="0"/>
      </w:pgBorders>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Style w:val="27"/>
      </w:rPr>
    </w:pPr>
    <w:r>
      <w:fldChar w:fldCharType="begin"/>
    </w:r>
    <w:r>
      <w:rPr>
        <w:rStyle w:val="27"/>
      </w:rPr>
      <w:instrText xml:space="preserve">PAGE  </w:instrText>
    </w:r>
    <w:r>
      <w:fldChar w:fldCharType="separate"/>
    </w:r>
    <w:r>
      <w:rPr>
        <w:rStyle w:val="2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PAGE   \* MERGEFORMAT </w:instrText>
    </w:r>
    <w:r>
      <w:fldChar w:fldCharType="separate"/>
    </w:r>
    <w:r>
      <w:rPr>
        <w:lang w:val="zh-CN"/>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 PAGE   \* MERGEFORMAT </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12690.—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rPr>
      <w:t>G</w:t>
    </w:r>
    <w:r>
      <w:t>B/T XX</w:t>
    </w:r>
    <w:r>
      <w:rPr>
        <w:rFonts w:hint="eastAsia"/>
      </w:rPr>
      <w:t>X</w:t>
    </w:r>
    <w:r>
      <w:t>XX</w:t>
    </w:r>
    <w:r>
      <w:rPr>
        <w:rFonts w:hint="eastAsia"/>
      </w:rPr>
      <w:t>.8</w:t>
    </w:r>
    <w: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sz w:val="21"/>
        <w:szCs w:val="21"/>
      </w:rPr>
    </w:pPr>
    <w:r>
      <w:rPr>
        <w:sz w:val="21"/>
        <w:szCs w:val="21"/>
      </w:rPr>
      <w:t xml:space="preserve">GB/T </w:t>
    </w:r>
    <w:r>
      <w:rPr>
        <w:rFonts w:hint="eastAsia"/>
        <w:sz w:val="21"/>
        <w:szCs w:val="21"/>
      </w:rPr>
      <w:t>XXXXX</w:t>
    </w:r>
    <w:r>
      <w:rPr>
        <w:sz w:val="21"/>
        <w:szCs w:val="21"/>
      </w:rPr>
      <w:t>.8-202X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szCs w:val="21"/>
      </w:rPr>
    </w:pPr>
    <w:r>
      <w:rPr>
        <w:rFonts w:eastAsia="黑体"/>
        <w:sz w:val="21"/>
        <w:szCs w:val="21"/>
      </w:rPr>
      <w:t>GB/T</w:t>
    </w:r>
    <w:r>
      <w:rPr>
        <w:rFonts w:hint="eastAsia" w:eastAsia="黑体"/>
        <w:sz w:val="21"/>
        <w:szCs w:val="21"/>
      </w:rPr>
      <w:t xml:space="preserve"> XXXXX</w:t>
    </w:r>
    <w:r>
      <w:rPr>
        <w:rFonts w:eastAsia="黑体"/>
        <w:sz w:val="21"/>
        <w:szCs w:val="21"/>
      </w:rPr>
      <w:t>.8—202X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ascii="黑体" w:hAnsi="黑体" w:eastAsia="黑体"/>
        <w:sz w:val="21"/>
        <w:szCs w:val="21"/>
      </w:rPr>
    </w:pPr>
    <w:r>
      <w:rPr>
        <w:rFonts w:eastAsia="黑体"/>
        <w:sz w:val="21"/>
        <w:szCs w:val="21"/>
      </w:rPr>
      <w:t xml:space="preserve">GB/T </w:t>
    </w:r>
    <w:r>
      <w:rPr>
        <w:rFonts w:hint="eastAsia" w:eastAsia="黑体"/>
        <w:sz w:val="21"/>
        <w:szCs w:val="21"/>
      </w:rPr>
      <w:t>XXXXX</w:t>
    </w:r>
    <w:r>
      <w:rPr>
        <w:rFonts w:eastAsia="黑体"/>
        <w:sz w:val="21"/>
        <w:szCs w:val="21"/>
      </w:rPr>
      <w:t>.8—202X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219EF"/>
    <w:multiLevelType w:val="multilevel"/>
    <w:tmpl w:val="05F219EF"/>
    <w:lvl w:ilvl="0" w:tentative="0">
      <w:start w:val="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黑体" w:hAnsi="黑体" w:eastAsia="黑体" w:cs="黑体"/>
        <w:sz w:val="21"/>
        <w:szCs w:val="21"/>
      </w:rPr>
    </w:lvl>
    <w:lvl w:ilvl="2" w:tentative="0">
      <w:start w:val="1"/>
      <w:numFmt w:val="decimal"/>
      <w:lvlText w:val="%1.%2.%3"/>
      <w:lvlJc w:val="left"/>
      <w:pPr>
        <w:ind w:left="709" w:hanging="709"/>
      </w:pPr>
      <w:rPr>
        <w:rFonts w:hint="default" w:ascii="黑体" w:hAnsi="黑体" w:eastAsia="黑体" w:cs="黑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39E656C"/>
    <w:multiLevelType w:val="multilevel"/>
    <w:tmpl w:val="339E656C"/>
    <w:lvl w:ilvl="0" w:tentative="0">
      <w:start w:val="1"/>
      <w:numFmt w:val="decimal"/>
      <w:suff w:val="nothing"/>
      <w:lvlText w:val="%1"/>
      <w:lvlJc w:val="left"/>
      <w:pPr>
        <w:ind w:left="420" w:hanging="420"/>
      </w:pPr>
      <w:rPr>
        <w:rFonts w:hint="default" w:ascii="黑体" w:hAnsi="黑体" w:eastAsia="黑体" w:cs="黑体"/>
      </w:rPr>
    </w:lvl>
    <w:lvl w:ilvl="1" w:tentative="0">
      <w:start w:val="1"/>
      <w:numFmt w:val="decimal"/>
      <w:isLgl/>
      <w:lvlText w:val="%1.%2"/>
      <w:lvlJc w:val="left"/>
      <w:pPr>
        <w:ind w:left="405" w:hanging="40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080" w:hanging="1080"/>
      </w:pPr>
      <w:rPr>
        <w:rFonts w:hint="default" w:ascii="黑体" w:hAnsi="黑体" w:eastAsia="黑体"/>
      </w:rPr>
    </w:lvl>
    <w:lvl w:ilvl="6" w:tentative="0">
      <w:start w:val="1"/>
      <w:numFmt w:val="decimal"/>
      <w:isLgl/>
      <w:lvlText w:val="%1.%2.%3.%4.%5.%6.%7"/>
      <w:lvlJc w:val="left"/>
      <w:pPr>
        <w:ind w:left="1080" w:hanging="1080"/>
      </w:pPr>
      <w:rPr>
        <w:rFonts w:hint="default" w:ascii="黑体" w:hAnsi="黑体" w:eastAsia="黑体"/>
      </w:rPr>
    </w:lvl>
    <w:lvl w:ilvl="7" w:tentative="0">
      <w:start w:val="1"/>
      <w:numFmt w:val="decimal"/>
      <w:isLgl/>
      <w:lvlText w:val="%1.%2.%3.%4.%5.%6.%7.%8"/>
      <w:lvlJc w:val="left"/>
      <w:pPr>
        <w:ind w:left="1440" w:hanging="1440"/>
      </w:pPr>
      <w:rPr>
        <w:rFonts w:hint="default" w:ascii="黑体" w:hAnsi="黑体" w:eastAsia="黑体"/>
      </w:rPr>
    </w:lvl>
    <w:lvl w:ilvl="8" w:tentative="0">
      <w:start w:val="1"/>
      <w:numFmt w:val="decimal"/>
      <w:isLgl/>
      <w:lvlText w:val="%1.%2.%3.%4.%5.%6.%7.%8.%9"/>
      <w:lvlJc w:val="left"/>
      <w:pPr>
        <w:ind w:left="1440" w:hanging="1440"/>
      </w:pPr>
      <w:rPr>
        <w:rFonts w:hint="default" w:ascii="黑体" w:hAnsi="黑体" w:eastAsia="黑体"/>
      </w:rPr>
    </w:lvl>
  </w:abstractNum>
  <w:abstractNum w:abstractNumId="2">
    <w:nsid w:val="39246A1E"/>
    <w:multiLevelType w:val="multilevel"/>
    <w:tmpl w:val="39246A1E"/>
    <w:lvl w:ilvl="0" w:tentative="0">
      <w:start w:val="6"/>
      <w:numFmt w:val="decimal"/>
      <w:pStyle w:val="46"/>
      <w:lvlText w:val="%1"/>
      <w:lvlJc w:val="left"/>
      <w:pPr>
        <w:tabs>
          <w:tab w:val="left" w:pos="360"/>
        </w:tabs>
        <w:ind w:left="360" w:hanging="360"/>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
    <w:nsid w:val="39E42C35"/>
    <w:multiLevelType w:val="multilevel"/>
    <w:tmpl w:val="39E42C35"/>
    <w:lvl w:ilvl="0" w:tentative="0">
      <w:start w:val="1"/>
      <w:numFmt w:val="chineseCountingThousand"/>
      <w:pStyle w:val="2"/>
      <w:suff w:val="nothing"/>
      <w:lvlText w:val="第%1章"/>
      <w:lvlJc w:val="left"/>
      <w:pPr>
        <w:ind w:left="0" w:firstLine="0"/>
      </w:pPr>
      <w:rPr>
        <w:rFonts w:hint="default"/>
      </w:rPr>
    </w:lvl>
    <w:lvl w:ilvl="1" w:tentative="0">
      <w:start w:val="1"/>
      <w:numFmt w:val="none"/>
      <w:pStyle w:val="3"/>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abstractNum w:abstractNumId="4">
    <w:nsid w:val="48D25D52"/>
    <w:multiLevelType w:val="multilevel"/>
    <w:tmpl w:val="48D25D52"/>
    <w:lvl w:ilvl="0" w:tentative="0">
      <w:start w:val="1"/>
      <w:numFmt w:val="decimal"/>
      <w:suff w:val="nothing"/>
      <w:lvlText w:val="5.%1"/>
      <w:lvlJc w:val="left"/>
      <w:pPr>
        <w:ind w:left="840" w:hanging="420"/>
      </w:pPr>
      <w:rPr>
        <w:rFonts w:hint="default" w:ascii="黑体" w:hAnsi="黑体" w:eastAsia="黑体" w:cs="黑体"/>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75E2F2B2"/>
    <w:multiLevelType w:val="multilevel"/>
    <w:tmpl w:val="75E2F2B2"/>
    <w:lvl w:ilvl="0" w:tentative="0">
      <w:start w:val="1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黑体" w:hAnsi="黑体" w:eastAsia="黑体" w:cs="黑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C5"/>
    <w:rsid w:val="000009F7"/>
    <w:rsid w:val="00001465"/>
    <w:rsid w:val="000019C0"/>
    <w:rsid w:val="00005259"/>
    <w:rsid w:val="000052C1"/>
    <w:rsid w:val="00006BA0"/>
    <w:rsid w:val="0001140E"/>
    <w:rsid w:val="00011F61"/>
    <w:rsid w:val="000156F9"/>
    <w:rsid w:val="00016AA1"/>
    <w:rsid w:val="00017A67"/>
    <w:rsid w:val="00022628"/>
    <w:rsid w:val="000244FB"/>
    <w:rsid w:val="000250FF"/>
    <w:rsid w:val="0002609A"/>
    <w:rsid w:val="00026235"/>
    <w:rsid w:val="0003229B"/>
    <w:rsid w:val="000329D7"/>
    <w:rsid w:val="00036588"/>
    <w:rsid w:val="00041436"/>
    <w:rsid w:val="000505DB"/>
    <w:rsid w:val="00050B57"/>
    <w:rsid w:val="00052314"/>
    <w:rsid w:val="00053C45"/>
    <w:rsid w:val="00056461"/>
    <w:rsid w:val="00057E42"/>
    <w:rsid w:val="00057F18"/>
    <w:rsid w:val="000612D7"/>
    <w:rsid w:val="00064D0C"/>
    <w:rsid w:val="00066F3C"/>
    <w:rsid w:val="00070FB4"/>
    <w:rsid w:val="000745DF"/>
    <w:rsid w:val="00075CA3"/>
    <w:rsid w:val="00076E2E"/>
    <w:rsid w:val="00076F65"/>
    <w:rsid w:val="00080A2D"/>
    <w:rsid w:val="000817D9"/>
    <w:rsid w:val="00081995"/>
    <w:rsid w:val="00082187"/>
    <w:rsid w:val="0008478F"/>
    <w:rsid w:val="00086889"/>
    <w:rsid w:val="00090709"/>
    <w:rsid w:val="00090B76"/>
    <w:rsid w:val="00091376"/>
    <w:rsid w:val="000A138F"/>
    <w:rsid w:val="000A23EB"/>
    <w:rsid w:val="000A298F"/>
    <w:rsid w:val="000A45A0"/>
    <w:rsid w:val="000A7164"/>
    <w:rsid w:val="000A7FDF"/>
    <w:rsid w:val="000B115A"/>
    <w:rsid w:val="000B3171"/>
    <w:rsid w:val="000B6108"/>
    <w:rsid w:val="000C12C6"/>
    <w:rsid w:val="000C3F11"/>
    <w:rsid w:val="000C5D3A"/>
    <w:rsid w:val="000D260D"/>
    <w:rsid w:val="000D78A4"/>
    <w:rsid w:val="000E09A9"/>
    <w:rsid w:val="000E2878"/>
    <w:rsid w:val="000E4E18"/>
    <w:rsid w:val="000E60BE"/>
    <w:rsid w:val="000E7700"/>
    <w:rsid w:val="000F2B0D"/>
    <w:rsid w:val="000F3F79"/>
    <w:rsid w:val="000F468B"/>
    <w:rsid w:val="000F5032"/>
    <w:rsid w:val="000F6B17"/>
    <w:rsid w:val="000F7109"/>
    <w:rsid w:val="000F760C"/>
    <w:rsid w:val="00101EF8"/>
    <w:rsid w:val="00103678"/>
    <w:rsid w:val="00104F2B"/>
    <w:rsid w:val="00110ADF"/>
    <w:rsid w:val="001165AE"/>
    <w:rsid w:val="001169A4"/>
    <w:rsid w:val="00116A6A"/>
    <w:rsid w:val="0012192E"/>
    <w:rsid w:val="00127204"/>
    <w:rsid w:val="001273CF"/>
    <w:rsid w:val="00130982"/>
    <w:rsid w:val="0013140B"/>
    <w:rsid w:val="001319A2"/>
    <w:rsid w:val="00132800"/>
    <w:rsid w:val="001346CB"/>
    <w:rsid w:val="00136249"/>
    <w:rsid w:val="001506CD"/>
    <w:rsid w:val="001518E8"/>
    <w:rsid w:val="001524CD"/>
    <w:rsid w:val="00152AA4"/>
    <w:rsid w:val="00156677"/>
    <w:rsid w:val="001576C6"/>
    <w:rsid w:val="00160F7D"/>
    <w:rsid w:val="001610FB"/>
    <w:rsid w:val="00171E70"/>
    <w:rsid w:val="00175602"/>
    <w:rsid w:val="001806E7"/>
    <w:rsid w:val="00180DE1"/>
    <w:rsid w:val="001818FB"/>
    <w:rsid w:val="0018287C"/>
    <w:rsid w:val="00184704"/>
    <w:rsid w:val="00186D9C"/>
    <w:rsid w:val="00187B71"/>
    <w:rsid w:val="001A00DD"/>
    <w:rsid w:val="001A20BF"/>
    <w:rsid w:val="001A2551"/>
    <w:rsid w:val="001A7680"/>
    <w:rsid w:val="001A777D"/>
    <w:rsid w:val="001B2261"/>
    <w:rsid w:val="001B4114"/>
    <w:rsid w:val="001B5B29"/>
    <w:rsid w:val="001B6FB2"/>
    <w:rsid w:val="001C134A"/>
    <w:rsid w:val="001C2A92"/>
    <w:rsid w:val="001C42AF"/>
    <w:rsid w:val="001E26B9"/>
    <w:rsid w:val="001E3A82"/>
    <w:rsid w:val="001E51E4"/>
    <w:rsid w:val="001E7AB1"/>
    <w:rsid w:val="001F2F14"/>
    <w:rsid w:val="001F40DE"/>
    <w:rsid w:val="001F7999"/>
    <w:rsid w:val="002105A2"/>
    <w:rsid w:val="00210BA4"/>
    <w:rsid w:val="002111F4"/>
    <w:rsid w:val="00212F92"/>
    <w:rsid w:val="002156AF"/>
    <w:rsid w:val="00216C4F"/>
    <w:rsid w:val="00217E03"/>
    <w:rsid w:val="0022110E"/>
    <w:rsid w:val="002211D7"/>
    <w:rsid w:val="00221824"/>
    <w:rsid w:val="00222A6E"/>
    <w:rsid w:val="002245CE"/>
    <w:rsid w:val="00224B82"/>
    <w:rsid w:val="00225550"/>
    <w:rsid w:val="002329A2"/>
    <w:rsid w:val="00234F0D"/>
    <w:rsid w:val="00235139"/>
    <w:rsid w:val="002356D9"/>
    <w:rsid w:val="00235FF9"/>
    <w:rsid w:val="00237CE4"/>
    <w:rsid w:val="00240A54"/>
    <w:rsid w:val="0024102B"/>
    <w:rsid w:val="00244336"/>
    <w:rsid w:val="00244A2E"/>
    <w:rsid w:val="00250B7B"/>
    <w:rsid w:val="00255275"/>
    <w:rsid w:val="00255815"/>
    <w:rsid w:val="0025648B"/>
    <w:rsid w:val="00257FFB"/>
    <w:rsid w:val="0026042A"/>
    <w:rsid w:val="002630C1"/>
    <w:rsid w:val="00265CFE"/>
    <w:rsid w:val="00270C18"/>
    <w:rsid w:val="00272124"/>
    <w:rsid w:val="00272E24"/>
    <w:rsid w:val="00276068"/>
    <w:rsid w:val="0028212B"/>
    <w:rsid w:val="00286CD8"/>
    <w:rsid w:val="002911ED"/>
    <w:rsid w:val="002917F8"/>
    <w:rsid w:val="00295418"/>
    <w:rsid w:val="002954CC"/>
    <w:rsid w:val="00295993"/>
    <w:rsid w:val="002A2C75"/>
    <w:rsid w:val="002A3C06"/>
    <w:rsid w:val="002A58FE"/>
    <w:rsid w:val="002A5E93"/>
    <w:rsid w:val="002A5FA6"/>
    <w:rsid w:val="002A6EC8"/>
    <w:rsid w:val="002A7C29"/>
    <w:rsid w:val="002B0EFD"/>
    <w:rsid w:val="002B1DA7"/>
    <w:rsid w:val="002B5437"/>
    <w:rsid w:val="002B5839"/>
    <w:rsid w:val="002B59C5"/>
    <w:rsid w:val="002B5B6B"/>
    <w:rsid w:val="002B6851"/>
    <w:rsid w:val="002C04DE"/>
    <w:rsid w:val="002C0C2B"/>
    <w:rsid w:val="002C1403"/>
    <w:rsid w:val="002C1FA0"/>
    <w:rsid w:val="002C2A7F"/>
    <w:rsid w:val="002C2B81"/>
    <w:rsid w:val="002C4CCD"/>
    <w:rsid w:val="002C6600"/>
    <w:rsid w:val="002C6758"/>
    <w:rsid w:val="002D3A54"/>
    <w:rsid w:val="002E149F"/>
    <w:rsid w:val="002E34FD"/>
    <w:rsid w:val="002E6CFE"/>
    <w:rsid w:val="002F2A4C"/>
    <w:rsid w:val="002F3495"/>
    <w:rsid w:val="002F4CE1"/>
    <w:rsid w:val="002F6901"/>
    <w:rsid w:val="00301AAB"/>
    <w:rsid w:val="00301B8A"/>
    <w:rsid w:val="003023A2"/>
    <w:rsid w:val="00303662"/>
    <w:rsid w:val="00306C8F"/>
    <w:rsid w:val="00307949"/>
    <w:rsid w:val="003150CA"/>
    <w:rsid w:val="0031521A"/>
    <w:rsid w:val="00325FAE"/>
    <w:rsid w:val="00327EBE"/>
    <w:rsid w:val="00333917"/>
    <w:rsid w:val="00334267"/>
    <w:rsid w:val="00334B24"/>
    <w:rsid w:val="003367E6"/>
    <w:rsid w:val="00336FB2"/>
    <w:rsid w:val="003424BB"/>
    <w:rsid w:val="00343181"/>
    <w:rsid w:val="00346705"/>
    <w:rsid w:val="00347DE2"/>
    <w:rsid w:val="00350833"/>
    <w:rsid w:val="00350898"/>
    <w:rsid w:val="0035135A"/>
    <w:rsid w:val="00357B37"/>
    <w:rsid w:val="0036180B"/>
    <w:rsid w:val="00361E74"/>
    <w:rsid w:val="00362D37"/>
    <w:rsid w:val="00363035"/>
    <w:rsid w:val="00364304"/>
    <w:rsid w:val="0036552A"/>
    <w:rsid w:val="003655A8"/>
    <w:rsid w:val="003660AB"/>
    <w:rsid w:val="00374E2D"/>
    <w:rsid w:val="003803FC"/>
    <w:rsid w:val="00380C26"/>
    <w:rsid w:val="00381AEF"/>
    <w:rsid w:val="00381C3A"/>
    <w:rsid w:val="003829B3"/>
    <w:rsid w:val="00387865"/>
    <w:rsid w:val="0039033E"/>
    <w:rsid w:val="003943FB"/>
    <w:rsid w:val="003952D6"/>
    <w:rsid w:val="003A4DB4"/>
    <w:rsid w:val="003B4D1F"/>
    <w:rsid w:val="003B58CD"/>
    <w:rsid w:val="003B674B"/>
    <w:rsid w:val="003B6CAB"/>
    <w:rsid w:val="003B6D8B"/>
    <w:rsid w:val="003B71D9"/>
    <w:rsid w:val="003B7AE2"/>
    <w:rsid w:val="003C0D97"/>
    <w:rsid w:val="003C132C"/>
    <w:rsid w:val="003C5AD3"/>
    <w:rsid w:val="003C7AFF"/>
    <w:rsid w:val="003D372A"/>
    <w:rsid w:val="003D3C54"/>
    <w:rsid w:val="003D5027"/>
    <w:rsid w:val="003D5FED"/>
    <w:rsid w:val="003D6630"/>
    <w:rsid w:val="003E2866"/>
    <w:rsid w:val="003E2FCB"/>
    <w:rsid w:val="003E3504"/>
    <w:rsid w:val="003E7D11"/>
    <w:rsid w:val="003F5C0F"/>
    <w:rsid w:val="003F6729"/>
    <w:rsid w:val="004044F5"/>
    <w:rsid w:val="004046CA"/>
    <w:rsid w:val="00406890"/>
    <w:rsid w:val="004124A0"/>
    <w:rsid w:val="00413FF9"/>
    <w:rsid w:val="00414AE2"/>
    <w:rsid w:val="00414B9C"/>
    <w:rsid w:val="00415A4D"/>
    <w:rsid w:val="00416474"/>
    <w:rsid w:val="00420652"/>
    <w:rsid w:val="00421536"/>
    <w:rsid w:val="00421B8D"/>
    <w:rsid w:val="00424500"/>
    <w:rsid w:val="00425660"/>
    <w:rsid w:val="00427F67"/>
    <w:rsid w:val="00430368"/>
    <w:rsid w:val="004318BD"/>
    <w:rsid w:val="004318F4"/>
    <w:rsid w:val="0043329D"/>
    <w:rsid w:val="004356C4"/>
    <w:rsid w:val="00444A0C"/>
    <w:rsid w:val="00446A88"/>
    <w:rsid w:val="00446D6D"/>
    <w:rsid w:val="00452CCD"/>
    <w:rsid w:val="00454721"/>
    <w:rsid w:val="00455F98"/>
    <w:rsid w:val="00456891"/>
    <w:rsid w:val="00456FD3"/>
    <w:rsid w:val="0045720B"/>
    <w:rsid w:val="004614CB"/>
    <w:rsid w:val="00461B2E"/>
    <w:rsid w:val="00461FF9"/>
    <w:rsid w:val="00462ACA"/>
    <w:rsid w:val="004639BC"/>
    <w:rsid w:val="004642E0"/>
    <w:rsid w:val="00464B1D"/>
    <w:rsid w:val="00465E0E"/>
    <w:rsid w:val="00466B66"/>
    <w:rsid w:val="004677B9"/>
    <w:rsid w:val="00470CA5"/>
    <w:rsid w:val="004720FF"/>
    <w:rsid w:val="004802C3"/>
    <w:rsid w:val="004848C6"/>
    <w:rsid w:val="00486793"/>
    <w:rsid w:val="004869E2"/>
    <w:rsid w:val="0049473F"/>
    <w:rsid w:val="00494E5C"/>
    <w:rsid w:val="00495762"/>
    <w:rsid w:val="00495F3A"/>
    <w:rsid w:val="00496527"/>
    <w:rsid w:val="004965AE"/>
    <w:rsid w:val="004A144C"/>
    <w:rsid w:val="004A3703"/>
    <w:rsid w:val="004A3EE9"/>
    <w:rsid w:val="004A4E9F"/>
    <w:rsid w:val="004A5A6B"/>
    <w:rsid w:val="004A5B2C"/>
    <w:rsid w:val="004A656F"/>
    <w:rsid w:val="004A7B24"/>
    <w:rsid w:val="004A7C23"/>
    <w:rsid w:val="004B096C"/>
    <w:rsid w:val="004B17A5"/>
    <w:rsid w:val="004B1813"/>
    <w:rsid w:val="004B346E"/>
    <w:rsid w:val="004B47FC"/>
    <w:rsid w:val="004B6065"/>
    <w:rsid w:val="004C7353"/>
    <w:rsid w:val="004D34CB"/>
    <w:rsid w:val="004D623B"/>
    <w:rsid w:val="004E1B1C"/>
    <w:rsid w:val="004F19EE"/>
    <w:rsid w:val="004F57A7"/>
    <w:rsid w:val="005003C0"/>
    <w:rsid w:val="00505CB0"/>
    <w:rsid w:val="00511152"/>
    <w:rsid w:val="005126FA"/>
    <w:rsid w:val="00512D50"/>
    <w:rsid w:val="00517A7A"/>
    <w:rsid w:val="00521851"/>
    <w:rsid w:val="00522333"/>
    <w:rsid w:val="00524284"/>
    <w:rsid w:val="00527C2F"/>
    <w:rsid w:val="005308A2"/>
    <w:rsid w:val="0053183F"/>
    <w:rsid w:val="0053421D"/>
    <w:rsid w:val="005346DB"/>
    <w:rsid w:val="00537120"/>
    <w:rsid w:val="0054061C"/>
    <w:rsid w:val="00541D9A"/>
    <w:rsid w:val="00542CDF"/>
    <w:rsid w:val="00542EB6"/>
    <w:rsid w:val="00543405"/>
    <w:rsid w:val="0054677E"/>
    <w:rsid w:val="00547951"/>
    <w:rsid w:val="00553389"/>
    <w:rsid w:val="0055391B"/>
    <w:rsid w:val="00553B2D"/>
    <w:rsid w:val="00554135"/>
    <w:rsid w:val="005611B6"/>
    <w:rsid w:val="005627A1"/>
    <w:rsid w:val="00562B13"/>
    <w:rsid w:val="00564802"/>
    <w:rsid w:val="00564870"/>
    <w:rsid w:val="00566DDD"/>
    <w:rsid w:val="00567FB5"/>
    <w:rsid w:val="00572C7D"/>
    <w:rsid w:val="0057769C"/>
    <w:rsid w:val="0058237F"/>
    <w:rsid w:val="005828E7"/>
    <w:rsid w:val="005863CA"/>
    <w:rsid w:val="00586943"/>
    <w:rsid w:val="00586E17"/>
    <w:rsid w:val="005903AE"/>
    <w:rsid w:val="00591369"/>
    <w:rsid w:val="00591A1A"/>
    <w:rsid w:val="005936F4"/>
    <w:rsid w:val="005A699B"/>
    <w:rsid w:val="005A6ABA"/>
    <w:rsid w:val="005A7072"/>
    <w:rsid w:val="005A7235"/>
    <w:rsid w:val="005A7E9E"/>
    <w:rsid w:val="005B11AA"/>
    <w:rsid w:val="005B25C4"/>
    <w:rsid w:val="005B47D0"/>
    <w:rsid w:val="005B50D1"/>
    <w:rsid w:val="005C1B8B"/>
    <w:rsid w:val="005C3627"/>
    <w:rsid w:val="005C42E5"/>
    <w:rsid w:val="005C49BE"/>
    <w:rsid w:val="005C5604"/>
    <w:rsid w:val="005C6981"/>
    <w:rsid w:val="005C7430"/>
    <w:rsid w:val="005D00E3"/>
    <w:rsid w:val="005D5744"/>
    <w:rsid w:val="005D7646"/>
    <w:rsid w:val="005E2EEC"/>
    <w:rsid w:val="005E35AF"/>
    <w:rsid w:val="005F0E45"/>
    <w:rsid w:val="005F27FD"/>
    <w:rsid w:val="005F3D25"/>
    <w:rsid w:val="005F448F"/>
    <w:rsid w:val="006001FF"/>
    <w:rsid w:val="00600313"/>
    <w:rsid w:val="0060375D"/>
    <w:rsid w:val="006047B9"/>
    <w:rsid w:val="00604EA2"/>
    <w:rsid w:val="006074D1"/>
    <w:rsid w:val="00607AEC"/>
    <w:rsid w:val="00611B8A"/>
    <w:rsid w:val="006157DC"/>
    <w:rsid w:val="0061783E"/>
    <w:rsid w:val="006243DD"/>
    <w:rsid w:val="00624A13"/>
    <w:rsid w:val="00626756"/>
    <w:rsid w:val="00631809"/>
    <w:rsid w:val="006329AC"/>
    <w:rsid w:val="006348F1"/>
    <w:rsid w:val="00634AC9"/>
    <w:rsid w:val="006359D3"/>
    <w:rsid w:val="00635CC8"/>
    <w:rsid w:val="006365B7"/>
    <w:rsid w:val="00636877"/>
    <w:rsid w:val="00636B28"/>
    <w:rsid w:val="00641F08"/>
    <w:rsid w:val="006432BF"/>
    <w:rsid w:val="00643577"/>
    <w:rsid w:val="006438B0"/>
    <w:rsid w:val="00646955"/>
    <w:rsid w:val="00646A06"/>
    <w:rsid w:val="006471C8"/>
    <w:rsid w:val="006474C5"/>
    <w:rsid w:val="00647705"/>
    <w:rsid w:val="00647B21"/>
    <w:rsid w:val="00654911"/>
    <w:rsid w:val="006558F1"/>
    <w:rsid w:val="0066513A"/>
    <w:rsid w:val="00665B35"/>
    <w:rsid w:val="0066689B"/>
    <w:rsid w:val="0066750C"/>
    <w:rsid w:val="0067000D"/>
    <w:rsid w:val="00671DA0"/>
    <w:rsid w:val="00673F40"/>
    <w:rsid w:val="0067752F"/>
    <w:rsid w:val="00677FD5"/>
    <w:rsid w:val="00680E06"/>
    <w:rsid w:val="006811A6"/>
    <w:rsid w:val="0068287F"/>
    <w:rsid w:val="00682B27"/>
    <w:rsid w:val="006848A1"/>
    <w:rsid w:val="00690F1B"/>
    <w:rsid w:val="00692645"/>
    <w:rsid w:val="0069294D"/>
    <w:rsid w:val="00692FA4"/>
    <w:rsid w:val="0069462F"/>
    <w:rsid w:val="00694727"/>
    <w:rsid w:val="00695DEC"/>
    <w:rsid w:val="00697928"/>
    <w:rsid w:val="006A5122"/>
    <w:rsid w:val="006B0C23"/>
    <w:rsid w:val="006B0C8C"/>
    <w:rsid w:val="006B17F8"/>
    <w:rsid w:val="006B2627"/>
    <w:rsid w:val="006C0D99"/>
    <w:rsid w:val="006C0E6A"/>
    <w:rsid w:val="006C2789"/>
    <w:rsid w:val="006C37F7"/>
    <w:rsid w:val="006C5C8F"/>
    <w:rsid w:val="006D4E2D"/>
    <w:rsid w:val="006D5040"/>
    <w:rsid w:val="006E135C"/>
    <w:rsid w:val="006E1BD0"/>
    <w:rsid w:val="006E331A"/>
    <w:rsid w:val="006E3DF2"/>
    <w:rsid w:val="006E508B"/>
    <w:rsid w:val="006E5871"/>
    <w:rsid w:val="006E5C62"/>
    <w:rsid w:val="006E6228"/>
    <w:rsid w:val="006E6369"/>
    <w:rsid w:val="006F203A"/>
    <w:rsid w:val="006F55F3"/>
    <w:rsid w:val="00701A19"/>
    <w:rsid w:val="007020DD"/>
    <w:rsid w:val="007045BE"/>
    <w:rsid w:val="007076A8"/>
    <w:rsid w:val="00707AAB"/>
    <w:rsid w:val="007136F0"/>
    <w:rsid w:val="00713EC8"/>
    <w:rsid w:val="00713F90"/>
    <w:rsid w:val="00722092"/>
    <w:rsid w:val="007230F0"/>
    <w:rsid w:val="00723E76"/>
    <w:rsid w:val="0072781F"/>
    <w:rsid w:val="00727EDD"/>
    <w:rsid w:val="00731350"/>
    <w:rsid w:val="007315C8"/>
    <w:rsid w:val="007330A2"/>
    <w:rsid w:val="007338A8"/>
    <w:rsid w:val="00733FB0"/>
    <w:rsid w:val="00737022"/>
    <w:rsid w:val="00741977"/>
    <w:rsid w:val="00741B12"/>
    <w:rsid w:val="00742D7E"/>
    <w:rsid w:val="00742F16"/>
    <w:rsid w:val="00743FFE"/>
    <w:rsid w:val="00753366"/>
    <w:rsid w:val="00755AF9"/>
    <w:rsid w:val="00760749"/>
    <w:rsid w:val="007634E3"/>
    <w:rsid w:val="0076361E"/>
    <w:rsid w:val="00765FDA"/>
    <w:rsid w:val="0076719F"/>
    <w:rsid w:val="00771F36"/>
    <w:rsid w:val="007745D0"/>
    <w:rsid w:val="00780A5D"/>
    <w:rsid w:val="007877E4"/>
    <w:rsid w:val="007906E9"/>
    <w:rsid w:val="00791632"/>
    <w:rsid w:val="00794E05"/>
    <w:rsid w:val="00794F36"/>
    <w:rsid w:val="007A07AE"/>
    <w:rsid w:val="007A4ABE"/>
    <w:rsid w:val="007A6970"/>
    <w:rsid w:val="007B1A81"/>
    <w:rsid w:val="007B1E93"/>
    <w:rsid w:val="007B4008"/>
    <w:rsid w:val="007B750B"/>
    <w:rsid w:val="007C1BE8"/>
    <w:rsid w:val="007C1ED1"/>
    <w:rsid w:val="007C5A42"/>
    <w:rsid w:val="007D1623"/>
    <w:rsid w:val="007D1C66"/>
    <w:rsid w:val="007D3EDD"/>
    <w:rsid w:val="007D45CD"/>
    <w:rsid w:val="007E0DE3"/>
    <w:rsid w:val="007E2004"/>
    <w:rsid w:val="007E44C2"/>
    <w:rsid w:val="007E4555"/>
    <w:rsid w:val="007E514B"/>
    <w:rsid w:val="007F38F5"/>
    <w:rsid w:val="008007E8"/>
    <w:rsid w:val="0081030B"/>
    <w:rsid w:val="00814403"/>
    <w:rsid w:val="00814CFF"/>
    <w:rsid w:val="00815864"/>
    <w:rsid w:val="008207B8"/>
    <w:rsid w:val="00820C0A"/>
    <w:rsid w:val="00820F72"/>
    <w:rsid w:val="00821450"/>
    <w:rsid w:val="00826691"/>
    <w:rsid w:val="00834422"/>
    <w:rsid w:val="0083794D"/>
    <w:rsid w:val="00841F4D"/>
    <w:rsid w:val="00841FDF"/>
    <w:rsid w:val="00843B8B"/>
    <w:rsid w:val="008540FA"/>
    <w:rsid w:val="00856369"/>
    <w:rsid w:val="00857104"/>
    <w:rsid w:val="008573FE"/>
    <w:rsid w:val="008618D8"/>
    <w:rsid w:val="00861D41"/>
    <w:rsid w:val="00863AB3"/>
    <w:rsid w:val="00865223"/>
    <w:rsid w:val="00865CB5"/>
    <w:rsid w:val="00866EB5"/>
    <w:rsid w:val="00867EDD"/>
    <w:rsid w:val="008749B5"/>
    <w:rsid w:val="00877E9A"/>
    <w:rsid w:val="008805B2"/>
    <w:rsid w:val="00883E25"/>
    <w:rsid w:val="00890716"/>
    <w:rsid w:val="00890AE4"/>
    <w:rsid w:val="0089192A"/>
    <w:rsid w:val="00891CAE"/>
    <w:rsid w:val="0089407B"/>
    <w:rsid w:val="008955A6"/>
    <w:rsid w:val="0089663D"/>
    <w:rsid w:val="00896F53"/>
    <w:rsid w:val="008A066E"/>
    <w:rsid w:val="008A7CCC"/>
    <w:rsid w:val="008B132B"/>
    <w:rsid w:val="008B3A18"/>
    <w:rsid w:val="008B434D"/>
    <w:rsid w:val="008C2876"/>
    <w:rsid w:val="008C46C4"/>
    <w:rsid w:val="008C7F70"/>
    <w:rsid w:val="008D190E"/>
    <w:rsid w:val="008D2271"/>
    <w:rsid w:val="008D26AE"/>
    <w:rsid w:val="008E300B"/>
    <w:rsid w:val="008E46B3"/>
    <w:rsid w:val="008E4C6F"/>
    <w:rsid w:val="008E780D"/>
    <w:rsid w:val="00900A69"/>
    <w:rsid w:val="00903413"/>
    <w:rsid w:val="0090407F"/>
    <w:rsid w:val="009050C2"/>
    <w:rsid w:val="00907F1C"/>
    <w:rsid w:val="00910CEE"/>
    <w:rsid w:val="009139E6"/>
    <w:rsid w:val="00914B85"/>
    <w:rsid w:val="009174BD"/>
    <w:rsid w:val="0092076D"/>
    <w:rsid w:val="00921AA2"/>
    <w:rsid w:val="0092211A"/>
    <w:rsid w:val="00926BB2"/>
    <w:rsid w:val="00933F08"/>
    <w:rsid w:val="00934489"/>
    <w:rsid w:val="00935FD8"/>
    <w:rsid w:val="00936C70"/>
    <w:rsid w:val="00937168"/>
    <w:rsid w:val="009560AC"/>
    <w:rsid w:val="00960167"/>
    <w:rsid w:val="0096029A"/>
    <w:rsid w:val="00960934"/>
    <w:rsid w:val="0096108C"/>
    <w:rsid w:val="00961B24"/>
    <w:rsid w:val="00961BBC"/>
    <w:rsid w:val="0096448A"/>
    <w:rsid w:val="00964C6C"/>
    <w:rsid w:val="0096703C"/>
    <w:rsid w:val="00967C71"/>
    <w:rsid w:val="00970AA9"/>
    <w:rsid w:val="00970E56"/>
    <w:rsid w:val="009715AC"/>
    <w:rsid w:val="009725E1"/>
    <w:rsid w:val="0097301E"/>
    <w:rsid w:val="00975A5B"/>
    <w:rsid w:val="00977372"/>
    <w:rsid w:val="00985A25"/>
    <w:rsid w:val="009863F1"/>
    <w:rsid w:val="00986FBB"/>
    <w:rsid w:val="00990AED"/>
    <w:rsid w:val="00991142"/>
    <w:rsid w:val="009A1574"/>
    <w:rsid w:val="009A3629"/>
    <w:rsid w:val="009A6E85"/>
    <w:rsid w:val="009A73AB"/>
    <w:rsid w:val="009B1611"/>
    <w:rsid w:val="009B3339"/>
    <w:rsid w:val="009B44DE"/>
    <w:rsid w:val="009B51B3"/>
    <w:rsid w:val="009B56AD"/>
    <w:rsid w:val="009B5D1F"/>
    <w:rsid w:val="009B6CB5"/>
    <w:rsid w:val="009B766D"/>
    <w:rsid w:val="009B7BDF"/>
    <w:rsid w:val="009C181D"/>
    <w:rsid w:val="009C1993"/>
    <w:rsid w:val="009C65C2"/>
    <w:rsid w:val="009C7DDF"/>
    <w:rsid w:val="009D0ACE"/>
    <w:rsid w:val="009D3C86"/>
    <w:rsid w:val="009D4711"/>
    <w:rsid w:val="009D5941"/>
    <w:rsid w:val="009D6C93"/>
    <w:rsid w:val="009E0CE8"/>
    <w:rsid w:val="009E0EF0"/>
    <w:rsid w:val="009E1B30"/>
    <w:rsid w:val="009E311B"/>
    <w:rsid w:val="009E3DDB"/>
    <w:rsid w:val="009E47F5"/>
    <w:rsid w:val="009E4F36"/>
    <w:rsid w:val="009E68E4"/>
    <w:rsid w:val="009F22CC"/>
    <w:rsid w:val="009F2F7C"/>
    <w:rsid w:val="009F4D12"/>
    <w:rsid w:val="009F6DED"/>
    <w:rsid w:val="009F7321"/>
    <w:rsid w:val="009F7F04"/>
    <w:rsid w:val="00A0124F"/>
    <w:rsid w:val="00A0747A"/>
    <w:rsid w:val="00A11005"/>
    <w:rsid w:val="00A1264A"/>
    <w:rsid w:val="00A210D6"/>
    <w:rsid w:val="00A2687B"/>
    <w:rsid w:val="00A3003A"/>
    <w:rsid w:val="00A300D6"/>
    <w:rsid w:val="00A32912"/>
    <w:rsid w:val="00A34230"/>
    <w:rsid w:val="00A35340"/>
    <w:rsid w:val="00A37A4E"/>
    <w:rsid w:val="00A41445"/>
    <w:rsid w:val="00A422C8"/>
    <w:rsid w:val="00A4313D"/>
    <w:rsid w:val="00A504FE"/>
    <w:rsid w:val="00A50E6F"/>
    <w:rsid w:val="00A52CCD"/>
    <w:rsid w:val="00A52D7D"/>
    <w:rsid w:val="00A53123"/>
    <w:rsid w:val="00A5381A"/>
    <w:rsid w:val="00A54768"/>
    <w:rsid w:val="00A56381"/>
    <w:rsid w:val="00A62883"/>
    <w:rsid w:val="00A77977"/>
    <w:rsid w:val="00A80457"/>
    <w:rsid w:val="00A8280D"/>
    <w:rsid w:val="00A8379F"/>
    <w:rsid w:val="00A8687B"/>
    <w:rsid w:val="00A86A4C"/>
    <w:rsid w:val="00A9148C"/>
    <w:rsid w:val="00A96178"/>
    <w:rsid w:val="00A96AF1"/>
    <w:rsid w:val="00AA38E3"/>
    <w:rsid w:val="00AA3B66"/>
    <w:rsid w:val="00AB10D2"/>
    <w:rsid w:val="00AB4709"/>
    <w:rsid w:val="00AB4A4B"/>
    <w:rsid w:val="00AC2285"/>
    <w:rsid w:val="00AC3BB2"/>
    <w:rsid w:val="00AC7AA3"/>
    <w:rsid w:val="00AC7C39"/>
    <w:rsid w:val="00AD03A7"/>
    <w:rsid w:val="00AD0D54"/>
    <w:rsid w:val="00AD1D4A"/>
    <w:rsid w:val="00AD42AD"/>
    <w:rsid w:val="00AD4A6D"/>
    <w:rsid w:val="00AD5EA0"/>
    <w:rsid w:val="00AD698C"/>
    <w:rsid w:val="00AE10E0"/>
    <w:rsid w:val="00AE5DD1"/>
    <w:rsid w:val="00AE6607"/>
    <w:rsid w:val="00AE78F7"/>
    <w:rsid w:val="00AF21BF"/>
    <w:rsid w:val="00AF41EE"/>
    <w:rsid w:val="00AF66A5"/>
    <w:rsid w:val="00AF7451"/>
    <w:rsid w:val="00AF769C"/>
    <w:rsid w:val="00B03830"/>
    <w:rsid w:val="00B059A2"/>
    <w:rsid w:val="00B12055"/>
    <w:rsid w:val="00B13E1D"/>
    <w:rsid w:val="00B175A4"/>
    <w:rsid w:val="00B22E5F"/>
    <w:rsid w:val="00B2371B"/>
    <w:rsid w:val="00B2375A"/>
    <w:rsid w:val="00B241A3"/>
    <w:rsid w:val="00B27E7D"/>
    <w:rsid w:val="00B30095"/>
    <w:rsid w:val="00B310EE"/>
    <w:rsid w:val="00B3154F"/>
    <w:rsid w:val="00B31E02"/>
    <w:rsid w:val="00B34041"/>
    <w:rsid w:val="00B3546F"/>
    <w:rsid w:val="00B36865"/>
    <w:rsid w:val="00B42ADE"/>
    <w:rsid w:val="00B45546"/>
    <w:rsid w:val="00B465AB"/>
    <w:rsid w:val="00B5126E"/>
    <w:rsid w:val="00B54962"/>
    <w:rsid w:val="00B560DC"/>
    <w:rsid w:val="00B61263"/>
    <w:rsid w:val="00B61A2D"/>
    <w:rsid w:val="00B625A0"/>
    <w:rsid w:val="00B64E78"/>
    <w:rsid w:val="00B661C3"/>
    <w:rsid w:val="00B67DE5"/>
    <w:rsid w:val="00B7074E"/>
    <w:rsid w:val="00B70DFD"/>
    <w:rsid w:val="00B71B34"/>
    <w:rsid w:val="00B725E1"/>
    <w:rsid w:val="00B730F4"/>
    <w:rsid w:val="00B7339D"/>
    <w:rsid w:val="00B84572"/>
    <w:rsid w:val="00B8558F"/>
    <w:rsid w:val="00B87792"/>
    <w:rsid w:val="00B87B80"/>
    <w:rsid w:val="00BA0B39"/>
    <w:rsid w:val="00BA118B"/>
    <w:rsid w:val="00BA30A3"/>
    <w:rsid w:val="00BA7306"/>
    <w:rsid w:val="00BB13FB"/>
    <w:rsid w:val="00BB184A"/>
    <w:rsid w:val="00BB3A66"/>
    <w:rsid w:val="00BB40EA"/>
    <w:rsid w:val="00BB563B"/>
    <w:rsid w:val="00BB5B81"/>
    <w:rsid w:val="00BB667B"/>
    <w:rsid w:val="00BC306A"/>
    <w:rsid w:val="00BC527D"/>
    <w:rsid w:val="00BC6CE3"/>
    <w:rsid w:val="00BD213D"/>
    <w:rsid w:val="00BD2F8F"/>
    <w:rsid w:val="00BD4976"/>
    <w:rsid w:val="00BE0830"/>
    <w:rsid w:val="00BE1052"/>
    <w:rsid w:val="00BE1939"/>
    <w:rsid w:val="00BE38FA"/>
    <w:rsid w:val="00BE409B"/>
    <w:rsid w:val="00BE6B41"/>
    <w:rsid w:val="00BE6C5F"/>
    <w:rsid w:val="00BF4714"/>
    <w:rsid w:val="00BF5390"/>
    <w:rsid w:val="00BF57F1"/>
    <w:rsid w:val="00BF74AC"/>
    <w:rsid w:val="00C0206A"/>
    <w:rsid w:val="00C1087D"/>
    <w:rsid w:val="00C12DE0"/>
    <w:rsid w:val="00C137A6"/>
    <w:rsid w:val="00C14E29"/>
    <w:rsid w:val="00C16A92"/>
    <w:rsid w:val="00C20635"/>
    <w:rsid w:val="00C20FD1"/>
    <w:rsid w:val="00C22D6F"/>
    <w:rsid w:val="00C33171"/>
    <w:rsid w:val="00C35C92"/>
    <w:rsid w:val="00C433B5"/>
    <w:rsid w:val="00C44644"/>
    <w:rsid w:val="00C447FE"/>
    <w:rsid w:val="00C527A9"/>
    <w:rsid w:val="00C52E87"/>
    <w:rsid w:val="00C573CD"/>
    <w:rsid w:val="00C6382D"/>
    <w:rsid w:val="00C7083E"/>
    <w:rsid w:val="00C73312"/>
    <w:rsid w:val="00C7352F"/>
    <w:rsid w:val="00C73EB4"/>
    <w:rsid w:val="00C745EB"/>
    <w:rsid w:val="00C74B58"/>
    <w:rsid w:val="00C81DFA"/>
    <w:rsid w:val="00C82672"/>
    <w:rsid w:val="00C92850"/>
    <w:rsid w:val="00C9321A"/>
    <w:rsid w:val="00C93D39"/>
    <w:rsid w:val="00C94171"/>
    <w:rsid w:val="00C96102"/>
    <w:rsid w:val="00C97847"/>
    <w:rsid w:val="00CA0EB3"/>
    <w:rsid w:val="00CA2A84"/>
    <w:rsid w:val="00CA51FB"/>
    <w:rsid w:val="00CA576C"/>
    <w:rsid w:val="00CA7AA6"/>
    <w:rsid w:val="00CB0D39"/>
    <w:rsid w:val="00CC1D19"/>
    <w:rsid w:val="00CC482F"/>
    <w:rsid w:val="00CD1377"/>
    <w:rsid w:val="00CD2259"/>
    <w:rsid w:val="00CD34EE"/>
    <w:rsid w:val="00CD3B2D"/>
    <w:rsid w:val="00CD415F"/>
    <w:rsid w:val="00CD55F8"/>
    <w:rsid w:val="00CD58DF"/>
    <w:rsid w:val="00CD6296"/>
    <w:rsid w:val="00CE00B4"/>
    <w:rsid w:val="00CE3672"/>
    <w:rsid w:val="00CE53CF"/>
    <w:rsid w:val="00CE74FC"/>
    <w:rsid w:val="00CF003B"/>
    <w:rsid w:val="00CF293D"/>
    <w:rsid w:val="00CF5523"/>
    <w:rsid w:val="00CF56BA"/>
    <w:rsid w:val="00CF5C51"/>
    <w:rsid w:val="00CF648F"/>
    <w:rsid w:val="00CF7CD1"/>
    <w:rsid w:val="00D04D48"/>
    <w:rsid w:val="00D05D7F"/>
    <w:rsid w:val="00D07998"/>
    <w:rsid w:val="00D07AF7"/>
    <w:rsid w:val="00D07BF1"/>
    <w:rsid w:val="00D07D3E"/>
    <w:rsid w:val="00D12516"/>
    <w:rsid w:val="00D16162"/>
    <w:rsid w:val="00D17B05"/>
    <w:rsid w:val="00D2040A"/>
    <w:rsid w:val="00D31F45"/>
    <w:rsid w:val="00D361A1"/>
    <w:rsid w:val="00D4026E"/>
    <w:rsid w:val="00D40A97"/>
    <w:rsid w:val="00D44B85"/>
    <w:rsid w:val="00D45161"/>
    <w:rsid w:val="00D6189F"/>
    <w:rsid w:val="00D61AF1"/>
    <w:rsid w:val="00D65D36"/>
    <w:rsid w:val="00D65DD8"/>
    <w:rsid w:val="00D669A0"/>
    <w:rsid w:val="00D710DA"/>
    <w:rsid w:val="00D73616"/>
    <w:rsid w:val="00D763F5"/>
    <w:rsid w:val="00D76F46"/>
    <w:rsid w:val="00D80566"/>
    <w:rsid w:val="00D8137B"/>
    <w:rsid w:val="00D86339"/>
    <w:rsid w:val="00D90014"/>
    <w:rsid w:val="00D91024"/>
    <w:rsid w:val="00D92FAE"/>
    <w:rsid w:val="00D96A30"/>
    <w:rsid w:val="00DA3D60"/>
    <w:rsid w:val="00DA563A"/>
    <w:rsid w:val="00DB0FD8"/>
    <w:rsid w:val="00DB234B"/>
    <w:rsid w:val="00DB55CB"/>
    <w:rsid w:val="00DB5AC7"/>
    <w:rsid w:val="00DB6254"/>
    <w:rsid w:val="00DC0B56"/>
    <w:rsid w:val="00DC31B9"/>
    <w:rsid w:val="00DC3386"/>
    <w:rsid w:val="00DC3CB0"/>
    <w:rsid w:val="00DC53B2"/>
    <w:rsid w:val="00DC6003"/>
    <w:rsid w:val="00DD0344"/>
    <w:rsid w:val="00DD164E"/>
    <w:rsid w:val="00DD18DA"/>
    <w:rsid w:val="00DD1DD4"/>
    <w:rsid w:val="00DD20AE"/>
    <w:rsid w:val="00DD44A2"/>
    <w:rsid w:val="00DD756E"/>
    <w:rsid w:val="00DE2BE8"/>
    <w:rsid w:val="00DE2CE6"/>
    <w:rsid w:val="00DE3D9A"/>
    <w:rsid w:val="00DE6661"/>
    <w:rsid w:val="00DF66B2"/>
    <w:rsid w:val="00DF7915"/>
    <w:rsid w:val="00E0234E"/>
    <w:rsid w:val="00E0284B"/>
    <w:rsid w:val="00E03D38"/>
    <w:rsid w:val="00E04325"/>
    <w:rsid w:val="00E04350"/>
    <w:rsid w:val="00E046F3"/>
    <w:rsid w:val="00E05056"/>
    <w:rsid w:val="00E0604A"/>
    <w:rsid w:val="00E07E71"/>
    <w:rsid w:val="00E10DC1"/>
    <w:rsid w:val="00E11DC8"/>
    <w:rsid w:val="00E13A39"/>
    <w:rsid w:val="00E1453E"/>
    <w:rsid w:val="00E148A3"/>
    <w:rsid w:val="00E179E3"/>
    <w:rsid w:val="00E2022F"/>
    <w:rsid w:val="00E2360E"/>
    <w:rsid w:val="00E26AF2"/>
    <w:rsid w:val="00E3038D"/>
    <w:rsid w:val="00E30519"/>
    <w:rsid w:val="00E30659"/>
    <w:rsid w:val="00E3138D"/>
    <w:rsid w:val="00E357D0"/>
    <w:rsid w:val="00E35B37"/>
    <w:rsid w:val="00E44B7C"/>
    <w:rsid w:val="00E4690C"/>
    <w:rsid w:val="00E5128D"/>
    <w:rsid w:val="00E523E2"/>
    <w:rsid w:val="00E5338D"/>
    <w:rsid w:val="00E53AAC"/>
    <w:rsid w:val="00E55114"/>
    <w:rsid w:val="00E56F8C"/>
    <w:rsid w:val="00E6383B"/>
    <w:rsid w:val="00E66646"/>
    <w:rsid w:val="00E676EA"/>
    <w:rsid w:val="00E67EA1"/>
    <w:rsid w:val="00E737D8"/>
    <w:rsid w:val="00E73939"/>
    <w:rsid w:val="00E76548"/>
    <w:rsid w:val="00E83BFD"/>
    <w:rsid w:val="00E86A10"/>
    <w:rsid w:val="00E87CA2"/>
    <w:rsid w:val="00E91CC1"/>
    <w:rsid w:val="00E9425E"/>
    <w:rsid w:val="00E94324"/>
    <w:rsid w:val="00E9576F"/>
    <w:rsid w:val="00E96E72"/>
    <w:rsid w:val="00E97432"/>
    <w:rsid w:val="00E97536"/>
    <w:rsid w:val="00EA5C74"/>
    <w:rsid w:val="00EA6723"/>
    <w:rsid w:val="00EB197D"/>
    <w:rsid w:val="00EB7238"/>
    <w:rsid w:val="00EC313D"/>
    <w:rsid w:val="00EC5F98"/>
    <w:rsid w:val="00EC7CE3"/>
    <w:rsid w:val="00ED09F3"/>
    <w:rsid w:val="00ED43CF"/>
    <w:rsid w:val="00ED4977"/>
    <w:rsid w:val="00ED655A"/>
    <w:rsid w:val="00EE3655"/>
    <w:rsid w:val="00EE6A57"/>
    <w:rsid w:val="00EF1CBF"/>
    <w:rsid w:val="00EF2867"/>
    <w:rsid w:val="00EF59CC"/>
    <w:rsid w:val="00F00B10"/>
    <w:rsid w:val="00F00E67"/>
    <w:rsid w:val="00F0269C"/>
    <w:rsid w:val="00F03537"/>
    <w:rsid w:val="00F072FE"/>
    <w:rsid w:val="00F10F88"/>
    <w:rsid w:val="00F1191C"/>
    <w:rsid w:val="00F140FE"/>
    <w:rsid w:val="00F1529D"/>
    <w:rsid w:val="00F15605"/>
    <w:rsid w:val="00F1561E"/>
    <w:rsid w:val="00F200B5"/>
    <w:rsid w:val="00F20542"/>
    <w:rsid w:val="00F2502C"/>
    <w:rsid w:val="00F25055"/>
    <w:rsid w:val="00F25E81"/>
    <w:rsid w:val="00F2673F"/>
    <w:rsid w:val="00F2710A"/>
    <w:rsid w:val="00F3101A"/>
    <w:rsid w:val="00F34FE8"/>
    <w:rsid w:val="00F35B69"/>
    <w:rsid w:val="00F431AD"/>
    <w:rsid w:val="00F44404"/>
    <w:rsid w:val="00F46E50"/>
    <w:rsid w:val="00F52AEE"/>
    <w:rsid w:val="00F53379"/>
    <w:rsid w:val="00F606E9"/>
    <w:rsid w:val="00F60ABB"/>
    <w:rsid w:val="00F6356B"/>
    <w:rsid w:val="00F65A0F"/>
    <w:rsid w:val="00F67AB5"/>
    <w:rsid w:val="00F67B93"/>
    <w:rsid w:val="00F708A1"/>
    <w:rsid w:val="00F712E0"/>
    <w:rsid w:val="00F74246"/>
    <w:rsid w:val="00F7424A"/>
    <w:rsid w:val="00F747D2"/>
    <w:rsid w:val="00F748FA"/>
    <w:rsid w:val="00F83370"/>
    <w:rsid w:val="00F94E00"/>
    <w:rsid w:val="00F950C6"/>
    <w:rsid w:val="00F951CF"/>
    <w:rsid w:val="00F95A0A"/>
    <w:rsid w:val="00F97A57"/>
    <w:rsid w:val="00FA4029"/>
    <w:rsid w:val="00FA4B86"/>
    <w:rsid w:val="00FA6ECB"/>
    <w:rsid w:val="00FB5BA9"/>
    <w:rsid w:val="00FC0A67"/>
    <w:rsid w:val="00FC19AD"/>
    <w:rsid w:val="00FD045B"/>
    <w:rsid w:val="00FD3185"/>
    <w:rsid w:val="00FD5C9E"/>
    <w:rsid w:val="00FD6EA7"/>
    <w:rsid w:val="00FD7156"/>
    <w:rsid w:val="00FD77A4"/>
    <w:rsid w:val="00FE13BB"/>
    <w:rsid w:val="00FE1B19"/>
    <w:rsid w:val="00FE1DBA"/>
    <w:rsid w:val="00FE4883"/>
    <w:rsid w:val="00FE62E6"/>
    <w:rsid w:val="00FE666B"/>
    <w:rsid w:val="0187775A"/>
    <w:rsid w:val="018E53BB"/>
    <w:rsid w:val="02BF0509"/>
    <w:rsid w:val="03570CE8"/>
    <w:rsid w:val="03612439"/>
    <w:rsid w:val="0512661D"/>
    <w:rsid w:val="05892984"/>
    <w:rsid w:val="06EA3E96"/>
    <w:rsid w:val="09434204"/>
    <w:rsid w:val="0C7778BC"/>
    <w:rsid w:val="0F166DFC"/>
    <w:rsid w:val="0F631828"/>
    <w:rsid w:val="0FF75267"/>
    <w:rsid w:val="130E5FB3"/>
    <w:rsid w:val="13B10D10"/>
    <w:rsid w:val="13E21CBC"/>
    <w:rsid w:val="14462317"/>
    <w:rsid w:val="19F36CF5"/>
    <w:rsid w:val="1A7D0B14"/>
    <w:rsid w:val="1AE714AC"/>
    <w:rsid w:val="1BA66B3F"/>
    <w:rsid w:val="1CDE3AF1"/>
    <w:rsid w:val="1F215BCF"/>
    <w:rsid w:val="21C21F96"/>
    <w:rsid w:val="22A46395"/>
    <w:rsid w:val="2338147C"/>
    <w:rsid w:val="242E12C4"/>
    <w:rsid w:val="24A86190"/>
    <w:rsid w:val="24BF2F6C"/>
    <w:rsid w:val="254F010E"/>
    <w:rsid w:val="258E471C"/>
    <w:rsid w:val="2B005924"/>
    <w:rsid w:val="2D3354D6"/>
    <w:rsid w:val="2DA0203D"/>
    <w:rsid w:val="2DC727C5"/>
    <w:rsid w:val="30D03F07"/>
    <w:rsid w:val="31216334"/>
    <w:rsid w:val="3509794F"/>
    <w:rsid w:val="36722B24"/>
    <w:rsid w:val="37692BA9"/>
    <w:rsid w:val="389F3EDA"/>
    <w:rsid w:val="3A066F2B"/>
    <w:rsid w:val="3AC87286"/>
    <w:rsid w:val="3B340CC8"/>
    <w:rsid w:val="3C885115"/>
    <w:rsid w:val="3D9B3FD0"/>
    <w:rsid w:val="3EEC0B96"/>
    <w:rsid w:val="40F924D6"/>
    <w:rsid w:val="414E4D73"/>
    <w:rsid w:val="42D039DC"/>
    <w:rsid w:val="42F045DB"/>
    <w:rsid w:val="443919F2"/>
    <w:rsid w:val="45A328B5"/>
    <w:rsid w:val="45AD2199"/>
    <w:rsid w:val="46D8797F"/>
    <w:rsid w:val="4A3E237C"/>
    <w:rsid w:val="4B094F15"/>
    <w:rsid w:val="4B9D718B"/>
    <w:rsid w:val="4BFB6776"/>
    <w:rsid w:val="4C9A4A52"/>
    <w:rsid w:val="4CBF5D9B"/>
    <w:rsid w:val="4CC34F69"/>
    <w:rsid w:val="4D2306A1"/>
    <w:rsid w:val="4E42112C"/>
    <w:rsid w:val="4E431F51"/>
    <w:rsid w:val="532B0605"/>
    <w:rsid w:val="5434715C"/>
    <w:rsid w:val="559410F9"/>
    <w:rsid w:val="569326CC"/>
    <w:rsid w:val="570655DD"/>
    <w:rsid w:val="5AD7787F"/>
    <w:rsid w:val="5D761F5E"/>
    <w:rsid w:val="5E825FC4"/>
    <w:rsid w:val="60700018"/>
    <w:rsid w:val="61C76B6D"/>
    <w:rsid w:val="62336BDB"/>
    <w:rsid w:val="634560D1"/>
    <w:rsid w:val="635E47DB"/>
    <w:rsid w:val="64C44C16"/>
    <w:rsid w:val="65283949"/>
    <w:rsid w:val="661832E3"/>
    <w:rsid w:val="694A2BC9"/>
    <w:rsid w:val="6A7F4138"/>
    <w:rsid w:val="6B411343"/>
    <w:rsid w:val="6C457540"/>
    <w:rsid w:val="6E215CAD"/>
    <w:rsid w:val="6E9E1F6D"/>
    <w:rsid w:val="702E0F9F"/>
    <w:rsid w:val="711F134F"/>
    <w:rsid w:val="76E55325"/>
    <w:rsid w:val="79C93603"/>
    <w:rsid w:val="7A6533F8"/>
    <w:rsid w:val="7B715F11"/>
    <w:rsid w:val="7C3A0D77"/>
    <w:rsid w:val="7F1A5283"/>
    <w:rsid w:val="7FC20F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11">
    <w:name w:val="Normal Indent"/>
    <w:basedOn w:val="1"/>
    <w:unhideWhenUsed/>
    <w:qFormat/>
    <w:uiPriority w:val="99"/>
    <w:pPr>
      <w:ind w:firstLine="420" w:firstLineChars="200"/>
    </w:pPr>
  </w:style>
  <w:style w:type="paragraph" w:styleId="12">
    <w:name w:val="Document Map"/>
    <w:basedOn w:val="1"/>
    <w:link w:val="29"/>
    <w:qFormat/>
    <w:uiPriority w:val="0"/>
    <w:rPr>
      <w:rFonts w:ascii="宋体"/>
      <w:sz w:val="18"/>
      <w:szCs w:val="18"/>
    </w:rPr>
  </w:style>
  <w:style w:type="paragraph" w:styleId="13">
    <w:name w:val="annotation text"/>
    <w:basedOn w:val="1"/>
    <w:link w:val="30"/>
    <w:qFormat/>
    <w:uiPriority w:val="0"/>
    <w:pPr>
      <w:jc w:val="left"/>
    </w:pPr>
  </w:style>
  <w:style w:type="paragraph" w:styleId="14">
    <w:name w:val="Body Text Indent"/>
    <w:basedOn w:val="1"/>
    <w:semiHidden/>
    <w:qFormat/>
    <w:uiPriority w:val="0"/>
    <w:pPr>
      <w:adjustRightInd w:val="0"/>
      <w:spacing w:line="300" w:lineRule="exact"/>
      <w:ind w:firstLine="420" w:firstLineChars="200"/>
      <w:textAlignment w:val="baseline"/>
    </w:pPr>
    <w:rPr>
      <w:kern w:val="0"/>
      <w:szCs w:val="20"/>
    </w:rPr>
  </w:style>
  <w:style w:type="paragraph" w:styleId="15">
    <w:name w:val="List 2"/>
    <w:basedOn w:val="1"/>
    <w:qFormat/>
    <w:uiPriority w:val="0"/>
    <w:pPr>
      <w:ind w:left="100" w:leftChars="200" w:hanging="200" w:hangingChars="200"/>
      <w:contextualSpacing/>
    </w:pPr>
  </w:style>
  <w:style w:type="paragraph" w:styleId="16">
    <w:name w:val="Plain Text"/>
    <w:basedOn w:val="1"/>
    <w:link w:val="31"/>
    <w:qFormat/>
    <w:uiPriority w:val="0"/>
    <w:rPr>
      <w:rFonts w:ascii="宋体" w:hAnsi="Courier New" w:cs="Courier New"/>
      <w:szCs w:val="21"/>
    </w:rPr>
  </w:style>
  <w:style w:type="paragraph" w:styleId="17">
    <w:name w:val="Date"/>
    <w:basedOn w:val="1"/>
    <w:next w:val="1"/>
    <w:link w:val="32"/>
    <w:semiHidden/>
    <w:qFormat/>
    <w:uiPriority w:val="0"/>
    <w:pPr>
      <w:ind w:left="100" w:leftChars="2500"/>
    </w:pPr>
  </w:style>
  <w:style w:type="paragraph" w:styleId="18">
    <w:name w:val="Balloon Text"/>
    <w:basedOn w:val="1"/>
    <w:link w:val="33"/>
    <w:qFormat/>
    <w:uiPriority w:val="0"/>
    <w:rPr>
      <w:sz w:val="18"/>
      <w:szCs w:val="18"/>
    </w:rPr>
  </w:style>
  <w:style w:type="paragraph" w:styleId="19">
    <w:name w:val="footer"/>
    <w:basedOn w:val="1"/>
    <w:link w:val="34"/>
    <w:qFormat/>
    <w:uiPriority w:val="99"/>
    <w:pPr>
      <w:tabs>
        <w:tab w:val="center" w:pos="4153"/>
        <w:tab w:val="right" w:pos="8306"/>
      </w:tabs>
      <w:snapToGrid w:val="0"/>
      <w:jc w:val="left"/>
    </w:pPr>
    <w:rPr>
      <w:sz w:val="18"/>
      <w:szCs w:val="18"/>
    </w:rPr>
  </w:style>
  <w:style w:type="paragraph" w:styleId="20">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21">
    <w:name w:val="Normal (Web)"/>
    <w:basedOn w:val="1"/>
    <w:unhideWhenUsed/>
    <w:qFormat/>
    <w:uiPriority w:val="99"/>
    <w:rPr>
      <w:sz w:val="24"/>
    </w:rPr>
  </w:style>
  <w:style w:type="paragraph" w:styleId="22">
    <w:name w:val="annotation subject"/>
    <w:basedOn w:val="13"/>
    <w:next w:val="13"/>
    <w:link w:val="36"/>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semiHidden/>
    <w:qFormat/>
    <w:uiPriority w:val="0"/>
  </w:style>
  <w:style w:type="character" w:styleId="28">
    <w:name w:val="annotation reference"/>
    <w:qFormat/>
    <w:uiPriority w:val="0"/>
    <w:rPr>
      <w:sz w:val="21"/>
      <w:szCs w:val="21"/>
    </w:rPr>
  </w:style>
  <w:style w:type="character" w:customStyle="1" w:styleId="29">
    <w:name w:val="文档结构图 字符"/>
    <w:link w:val="12"/>
    <w:qFormat/>
    <w:uiPriority w:val="0"/>
    <w:rPr>
      <w:rFonts w:ascii="宋体"/>
      <w:kern w:val="2"/>
      <w:sz w:val="18"/>
      <w:szCs w:val="18"/>
    </w:rPr>
  </w:style>
  <w:style w:type="character" w:customStyle="1" w:styleId="30">
    <w:name w:val="批注文字 字符"/>
    <w:link w:val="13"/>
    <w:qFormat/>
    <w:uiPriority w:val="0"/>
    <w:rPr>
      <w:kern w:val="2"/>
      <w:sz w:val="21"/>
      <w:szCs w:val="24"/>
    </w:rPr>
  </w:style>
  <w:style w:type="character" w:customStyle="1" w:styleId="31">
    <w:name w:val="纯文本 字符"/>
    <w:link w:val="16"/>
    <w:qFormat/>
    <w:uiPriority w:val="0"/>
    <w:rPr>
      <w:rFonts w:ascii="宋体" w:hAnsi="Courier New" w:eastAsia="宋体" w:cs="Courier New"/>
      <w:kern w:val="2"/>
      <w:sz w:val="21"/>
      <w:szCs w:val="21"/>
      <w:lang w:val="en-US" w:eastAsia="zh-CN" w:bidi="ar-SA"/>
    </w:rPr>
  </w:style>
  <w:style w:type="character" w:customStyle="1" w:styleId="32">
    <w:name w:val="日期 字符"/>
    <w:link w:val="17"/>
    <w:semiHidden/>
    <w:qFormat/>
    <w:uiPriority w:val="0"/>
    <w:rPr>
      <w:kern w:val="2"/>
      <w:sz w:val="21"/>
      <w:szCs w:val="24"/>
      <w:lang w:bidi="ar-SA"/>
    </w:rPr>
  </w:style>
  <w:style w:type="character" w:customStyle="1" w:styleId="33">
    <w:name w:val="批注框文本 字符"/>
    <w:link w:val="18"/>
    <w:qFormat/>
    <w:uiPriority w:val="0"/>
    <w:rPr>
      <w:kern w:val="2"/>
      <w:sz w:val="18"/>
      <w:szCs w:val="18"/>
    </w:rPr>
  </w:style>
  <w:style w:type="character" w:customStyle="1" w:styleId="34">
    <w:name w:val="页脚 字符"/>
    <w:link w:val="19"/>
    <w:qFormat/>
    <w:uiPriority w:val="99"/>
    <w:rPr>
      <w:kern w:val="2"/>
      <w:sz w:val="18"/>
      <w:szCs w:val="18"/>
    </w:rPr>
  </w:style>
  <w:style w:type="character" w:customStyle="1" w:styleId="35">
    <w:name w:val="页眉 字符"/>
    <w:link w:val="20"/>
    <w:qFormat/>
    <w:uiPriority w:val="99"/>
    <w:rPr>
      <w:kern w:val="2"/>
      <w:sz w:val="18"/>
      <w:szCs w:val="18"/>
    </w:rPr>
  </w:style>
  <w:style w:type="character" w:customStyle="1" w:styleId="36">
    <w:name w:val="批注主题 字符"/>
    <w:link w:val="22"/>
    <w:qFormat/>
    <w:uiPriority w:val="0"/>
    <w:rPr>
      <w:b/>
      <w:bCs/>
      <w:kern w:val="2"/>
      <w:sz w:val="21"/>
      <w:szCs w:val="24"/>
    </w:rPr>
  </w:style>
  <w:style w:type="character" w:customStyle="1" w:styleId="37">
    <w:name w:val="发布"/>
    <w:qFormat/>
    <w:uiPriority w:val="0"/>
    <w:rPr>
      <w:rFonts w:ascii="黑体" w:eastAsia="黑体"/>
      <w:spacing w:val="22"/>
      <w:w w:val="100"/>
      <w:position w:val="3"/>
      <w:sz w:val="28"/>
    </w:rPr>
  </w:style>
  <w:style w:type="character" w:customStyle="1" w:styleId="38">
    <w:name w:val="列项——（一级） Char"/>
    <w:link w:val="39"/>
    <w:qFormat/>
    <w:locked/>
    <w:uiPriority w:val="0"/>
    <w:rPr>
      <w:rFonts w:ascii="宋体"/>
      <w:sz w:val="21"/>
      <w:szCs w:val="22"/>
      <w:lang w:val="en-US" w:eastAsia="zh-CN" w:bidi="ar-SA"/>
    </w:rPr>
  </w:style>
  <w:style w:type="paragraph" w:customStyle="1" w:styleId="39">
    <w:name w:val="列项——（一级）"/>
    <w:link w:val="38"/>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40">
    <w:name w:val="段 Char"/>
    <w:link w:val="41"/>
    <w:qFormat/>
    <w:uiPriority w:val="0"/>
    <w:rPr>
      <w:rFonts w:ascii="宋体"/>
      <w:sz w:val="21"/>
      <w:lang w:val="en-US" w:eastAsia="zh-CN" w:bidi="ar-SA"/>
    </w:rPr>
  </w:style>
  <w:style w:type="paragraph" w:customStyle="1" w:styleId="41">
    <w:name w:val="段"/>
    <w:link w:val="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4">
    <w:name w:val="标准"/>
    <w:basedOn w:val="1"/>
    <w:qFormat/>
    <w:uiPriority w:val="0"/>
    <w:pPr>
      <w:adjustRightInd w:val="0"/>
      <w:spacing w:line="312" w:lineRule="atLeast"/>
      <w:jc w:val="center"/>
      <w:textAlignment w:val="baseline"/>
    </w:pPr>
    <w:rPr>
      <w:kern w:val="0"/>
      <w:szCs w:val="20"/>
    </w:rPr>
  </w:style>
  <w:style w:type="paragraph" w:customStyle="1" w:styleId="4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正文表标题"/>
    <w:next w:val="4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
    <w:name w:val="发布部门"/>
    <w:next w:val="4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9">
    <w:name w:val="标准书眉一"/>
    <w:qFormat/>
    <w:uiPriority w:val="0"/>
    <w:pPr>
      <w:jc w:val="both"/>
    </w:pPr>
    <w:rPr>
      <w:rFonts w:ascii="Times New Roman" w:hAnsi="Times New Roman" w:eastAsia="宋体" w:cs="Times New Roman"/>
      <w:lang w:val="en-US" w:eastAsia="zh-CN" w:bidi="ar-SA"/>
    </w:rPr>
  </w:style>
  <w:style w:type="paragraph" w:customStyle="1" w:styleId="50">
    <w:name w:val="实施日期"/>
    <w:basedOn w:val="51"/>
    <w:qFormat/>
    <w:uiPriority w:val="0"/>
    <w:pPr>
      <w:framePr w:hSpace="0" w:xAlign="right"/>
      <w:jc w:val="right"/>
    </w:pPr>
  </w:style>
  <w:style w:type="paragraph" w:customStyle="1" w:styleId="5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标准书眉_偶数页"/>
    <w:basedOn w:val="47"/>
    <w:next w:val="1"/>
    <w:qFormat/>
    <w:uiPriority w:val="0"/>
    <w:pPr>
      <w:jc w:val="left"/>
    </w:pPr>
  </w:style>
  <w:style w:type="paragraph" w:customStyle="1" w:styleId="55">
    <w:name w:val="二级条标题"/>
    <w:basedOn w:val="56"/>
    <w:next w:val="1"/>
    <w:qFormat/>
    <w:uiPriority w:val="0"/>
    <w:pPr>
      <w:outlineLvl w:val="3"/>
    </w:pPr>
  </w:style>
  <w:style w:type="paragraph" w:customStyle="1" w:styleId="56">
    <w:name w:val="一级条标题"/>
    <w:next w:val="1"/>
    <w:qFormat/>
    <w:uiPriority w:val="0"/>
    <w:pPr>
      <w:outlineLvl w:val="2"/>
    </w:pPr>
    <w:rPr>
      <w:rFonts w:ascii="Times New Roman" w:hAnsi="Times New Roman" w:eastAsia="黑体" w:cs="Times New Roman"/>
      <w:kern w:val="2"/>
      <w:sz w:val="21"/>
      <w:szCs w:val="24"/>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目次、标准名称标题"/>
    <w:basedOn w:val="1"/>
    <w:next w:val="4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章标题"/>
    <w:next w:val="4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0">
    <w:name w:val="四级条标题"/>
    <w:basedOn w:val="1"/>
    <w:next w:val="41"/>
    <w:qFormat/>
    <w:uiPriority w:val="0"/>
    <w:pPr>
      <w:widowControl/>
      <w:outlineLvl w:val="5"/>
    </w:pPr>
    <w:rPr>
      <w:rFonts w:ascii="黑体" w:eastAsia="黑体"/>
      <w:kern w:val="0"/>
      <w:szCs w:val="20"/>
    </w:rPr>
  </w:style>
  <w:style w:type="paragraph" w:customStyle="1" w:styleId="6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4">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5">
    <w:name w:val="样式1"/>
    <w:basedOn w:val="1"/>
    <w:qFormat/>
    <w:uiPriority w:val="0"/>
    <w:pPr>
      <w:tabs>
        <w:tab w:val="left" w:pos="525"/>
      </w:tabs>
    </w:pPr>
    <w:rPr>
      <w:rFonts w:ascii="宋体" w:hAnsi="宋体"/>
      <w:szCs w:val="21"/>
    </w:rPr>
  </w:style>
  <w:style w:type="paragraph" w:styleId="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3925</Words>
  <Characters>7128</Characters>
  <Lines>47</Lines>
  <Paragraphs>13</Paragraphs>
  <TotalTime>3</TotalTime>
  <ScaleCrop>false</ScaleCrop>
  <LinksUpToDate>false</LinksUpToDate>
  <CharactersWithSpaces>7797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2020-11-29T10:07:00Z</dcterms:created>
  <dc:creator>USER</dc:creator>
  <cp:lastModifiedBy>韩梦阳</cp:lastModifiedBy>
  <cp:lastPrinted>2020-11-23T06:15:00Z</cp:lastPrinted>
  <dcterms:modified xsi:type="dcterms:W3CDTF">2022-04-24T04:36:49Z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FF29DBDD950C4646A7B90CAA8729FD53</vt:lpwstr>
  </property>
  <property fmtid="{D5CDD505-2E9C-101B-9397-08002B2CF9AE}" pid="4" name="commondata">
    <vt:lpwstr>eyJoZGlkIjoiY2NiNWU3NTgxYjQ5MTFjOWVlOTI1OGQ2NGRjYjE5MmQifQ==</vt:lpwstr>
  </property>
</Properties>
</file>