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9"/>
        <w:framePr w:w="0" w:hRule="auto" w:wrap="auto" w:vAnchor="margin" w:hAnchor="text" w:xAlign="left" w:yAlign="inline"/>
        <w:ind w:right="628"/>
        <w:rPr>
          <w:rFonts w:eastAsia="黑体"/>
          <w:color w:val="000000"/>
          <w:w w:val="120"/>
          <w:sz w:val="144"/>
          <w:szCs w:val="144"/>
          <w:highlight w:val="none"/>
        </w:rPr>
      </w:pPr>
      <w:bookmarkStart w:id="63" w:name="_GoBack"/>
      <w:bookmarkEnd w:id="63"/>
      <w:bookmarkStart w:id="0" w:name="SectionMark0"/>
      <w:r>
        <w:rPr>
          <w:rFonts w:hint="eastAsia" w:ascii="黑体" w:hAnsi="黑体" w:eastAsia="黑体" w:cs="黑体"/>
          <w:sz w:val="144"/>
          <w:highlight w:val="none"/>
        </w:rPr>
        <mc:AlternateContent>
          <mc:Choice Requires="wps">
            <w:drawing>
              <wp:anchor distT="0" distB="0" distL="114300" distR="114300" simplePos="0" relativeHeight="251667456" behindDoc="0" locked="0" layoutInCell="1" allowOverlap="1">
                <wp:simplePos x="0" y="0"/>
                <wp:positionH relativeFrom="column">
                  <wp:posOffset>66675</wp:posOffset>
                </wp:positionH>
                <wp:positionV relativeFrom="paragraph">
                  <wp:posOffset>118110</wp:posOffset>
                </wp:positionV>
                <wp:extent cx="1109980" cy="643255"/>
                <wp:effectExtent l="0" t="0" r="7620" b="4445"/>
                <wp:wrapNone/>
                <wp:docPr id="9" name="矩形 96"/>
                <wp:cNvGraphicFramePr/>
                <a:graphic xmlns:a="http://schemas.openxmlformats.org/drawingml/2006/main">
                  <a:graphicData uri="http://schemas.microsoft.com/office/word/2010/wordprocessingShape">
                    <wps:wsp>
                      <wps:cNvSpPr/>
                      <wps:spPr>
                        <a:xfrm>
                          <a:off x="0" y="0"/>
                          <a:ext cx="1109980" cy="643255"/>
                        </a:xfrm>
                        <a:prstGeom prst="rect">
                          <a:avLst/>
                        </a:prstGeom>
                        <a:solidFill>
                          <a:srgbClr val="FFFFFF"/>
                        </a:solidFill>
                        <a:ln>
                          <a:noFill/>
                        </a:ln>
                        <a:effectLst/>
                      </wps:spPr>
                      <wps:txbx>
                        <w:txbxContent>
                          <w:p>
                            <w:pPr>
                              <w:pStyle w:val="85"/>
                              <w:rPr>
                                <w:rFonts w:hint="eastAsia" w:ascii="黑体" w:hAnsi="黑体" w:eastAsia="黑体" w:cs="黑体"/>
                                <w:sz w:val="21"/>
                                <w:szCs w:val="21"/>
                              </w:rPr>
                            </w:pPr>
                            <w:r>
                              <w:rPr>
                                <w:rFonts w:hint="eastAsia" w:ascii="黑体" w:hAnsi="黑体" w:eastAsia="黑体" w:cs="黑体"/>
                                <w:sz w:val="21"/>
                                <w:szCs w:val="21"/>
                              </w:rPr>
                              <w:t>ICS 77.120.99</w:t>
                            </w:r>
                          </w:p>
                          <w:p>
                            <w:pPr>
                              <w:pStyle w:val="85"/>
                              <w:rPr>
                                <w:rFonts w:hint="eastAsia" w:ascii="黑体" w:hAnsi="黑体" w:eastAsia="黑体" w:cs="黑体"/>
                                <w:sz w:val="21"/>
                                <w:szCs w:val="21"/>
                              </w:rPr>
                            </w:pPr>
                            <w:r>
                              <w:rPr>
                                <w:rFonts w:hint="eastAsia" w:ascii="黑体" w:hAnsi="黑体" w:eastAsia="黑体" w:cs="黑体"/>
                                <w:sz w:val="21"/>
                                <w:szCs w:val="21"/>
                              </w:rPr>
                              <w:t>H 01</w:t>
                            </w:r>
                          </w:p>
                        </w:txbxContent>
                      </wps:txbx>
                      <wps:bodyPr vert="horz" wrap="square" anchor="t" anchorCtr="0" upright="1"/>
                    </wps:wsp>
                  </a:graphicData>
                </a:graphic>
              </wp:anchor>
            </w:drawing>
          </mc:Choice>
          <mc:Fallback>
            <w:pict>
              <v:rect id="矩形 96" o:spid="_x0000_s1026" o:spt="1" style="position:absolute;left:0pt;margin-left:5.25pt;margin-top:9.3pt;height:50.65pt;width:87.4pt;z-index:251667456;mso-width-relative:page;mso-height-relative:page;" fillcolor="#FFFFFF" filled="t" stroked="f" coordsize="21600,21600" o:gfxdata="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lDxBfNYAAAAJAQAADwAAAAAAAAAB&#10;ACAAAAAiAAAAZHJzL2Rvd25yZXYueG1sUEsBAhQAFAAAAAgAh07iQDo1rinZAQAArAMAAA4AAAAA&#10;AAAAAQAgAAAAJQEAAGRycy9lMm9Eb2MueG1sUEsFBgAAAAAGAAYAWQEAAHAFAAAAAA==&#10;">
                <v:fill on="t" focussize="0,0"/>
                <v:stroke on="f"/>
                <v:imagedata o:title=""/>
                <o:lock v:ext="edit" aspectratio="f"/>
                <v:textbox>
                  <w:txbxContent>
                    <w:p>
                      <w:pPr>
                        <w:pStyle w:val="85"/>
                        <w:rPr>
                          <w:rFonts w:hint="eastAsia" w:ascii="黑体" w:hAnsi="黑体" w:eastAsia="黑体" w:cs="黑体"/>
                          <w:sz w:val="21"/>
                          <w:szCs w:val="21"/>
                        </w:rPr>
                      </w:pPr>
                      <w:r>
                        <w:rPr>
                          <w:rFonts w:hint="eastAsia" w:ascii="黑体" w:hAnsi="黑体" w:eastAsia="黑体" w:cs="黑体"/>
                          <w:sz w:val="21"/>
                          <w:szCs w:val="21"/>
                        </w:rPr>
                        <w:t>ICS 77.120.99</w:t>
                      </w:r>
                    </w:p>
                    <w:p>
                      <w:pPr>
                        <w:pStyle w:val="85"/>
                        <w:rPr>
                          <w:rFonts w:hint="eastAsia" w:ascii="黑体" w:hAnsi="黑体" w:eastAsia="黑体" w:cs="黑体"/>
                          <w:sz w:val="21"/>
                          <w:szCs w:val="21"/>
                        </w:rPr>
                      </w:pPr>
                      <w:r>
                        <w:rPr>
                          <w:rFonts w:hint="eastAsia" w:ascii="黑体" w:hAnsi="黑体" w:eastAsia="黑体" w:cs="黑体"/>
                          <w:sz w:val="21"/>
                          <w:szCs w:val="21"/>
                        </w:rPr>
                        <w:t>H 01</w:t>
                      </w:r>
                    </w:p>
                  </w:txbxContent>
                </v:textbox>
              </v:rect>
            </w:pict>
          </mc:Fallback>
        </mc:AlternateContent>
      </w:r>
      <w:r>
        <w:rPr>
          <w:rFonts w:eastAsia="黑体"/>
          <w:color w:val="000000"/>
          <w:w w:val="120"/>
          <w:sz w:val="144"/>
          <w:szCs w:val="144"/>
          <w:highlight w:val="none"/>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8890000</wp:posOffset>
                </wp:positionV>
                <wp:extent cx="6121400" cy="0"/>
                <wp:effectExtent l="0" t="6350" r="0" b="6350"/>
                <wp:wrapNone/>
                <wp:docPr id="8" name="直线 11"/>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11" o:spid="_x0000_s1026" o:spt="20" style="position:absolute;left:0pt;margin-left:0pt;margin-top:700pt;height:0pt;width:482pt;z-index:251666432;mso-width-relative:page;mso-height-relative:page;" filled="f" stroked="t" coordsize="21600,21600" o:gfxdata="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Gw37+&#10;1QAAAAoBAAAPAAAAAAAAAAEAIAAAACIAAABkcnMvZG93bnJldi54bWxQSwECFAAUAAAACACHTuJA&#10;5NgOausBAADrAwAADgAAAAAAAAABACAAAAAkAQAAZHJzL2Uyb0RvYy54bWxQSwUGAAAAAAYABgBZ&#10;AQAAgQUAAAAA&#10;">
                <v:fill on="f" focussize="0,0"/>
                <v:stroke weight="1pt" color="#000000" joinstyle="round"/>
                <v:imagedata o:title=""/>
                <o:lock v:ext="edit" aspectratio="f"/>
              </v:line>
            </w:pict>
          </mc:Fallback>
        </mc:AlternateContent>
      </w:r>
      <w:r>
        <w:rPr>
          <w:rFonts w:eastAsia="黑体"/>
          <w:color w:val="000000"/>
          <w:w w:val="120"/>
          <w:sz w:val="144"/>
          <w:szCs w:val="144"/>
          <w:highlight w:val="none"/>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2273300</wp:posOffset>
                </wp:positionV>
                <wp:extent cx="6121400" cy="0"/>
                <wp:effectExtent l="0" t="6350" r="0" b="6350"/>
                <wp:wrapNone/>
                <wp:docPr id="7" name="直线 10"/>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10" o:spid="_x0000_s1026" o:spt="20" style="position:absolute;left:0pt;margin-left:0pt;margin-top:179pt;height:0pt;width:482pt;z-index:251665408;mso-width-relative:page;mso-height-relative:page;" filled="f" stroked="t" coordsize="21600,21600" o:gfxdata="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6mo&#10;VtYAAAAIAQAADwAAAAAAAAABACAAAAAiAAAAZHJzL2Rvd25yZXYueG1sUEsBAhQAFAAAAAgAh07i&#10;QFqUuvDrAQAA6wMAAA4AAAAAAAAAAQAgAAAAJQEAAGRycy9lMm9Eb2MueG1sUEsFBgAAAAAGAAYA&#10;WQEAAIIFAAAAAA==&#10;">
                <v:fill on="f" focussize="0,0"/>
                <v:stroke weight="1pt" color="#000000" joinstyle="round"/>
                <v:imagedata o:title=""/>
                <o:lock v:ext="edit" aspectratio="f"/>
              </v:line>
            </w:pict>
          </mc:Fallback>
        </mc:AlternateContent>
      </w:r>
      <w:r>
        <w:rPr>
          <w:rFonts w:eastAsia="黑体"/>
          <w:color w:val="000000"/>
          <w:w w:val="120"/>
          <w:sz w:val="144"/>
          <w:szCs w:val="144"/>
          <w:highlight w:val="none"/>
        </w:rPr>
        <mc:AlternateContent>
          <mc:Choice Requires="wps">
            <w:drawing>
              <wp:anchor distT="0" distB="0" distL="114300" distR="114300" simplePos="0" relativeHeight="251664384" behindDoc="0" locked="1" layoutInCell="1" allowOverlap="1">
                <wp:simplePos x="0" y="0"/>
                <wp:positionH relativeFrom="margin">
                  <wp:align>center</wp:align>
                </wp:positionH>
                <wp:positionV relativeFrom="margin">
                  <wp:posOffset>8946515</wp:posOffset>
                </wp:positionV>
                <wp:extent cx="6120130" cy="661670"/>
                <wp:effectExtent l="0" t="0" r="1270" b="11430"/>
                <wp:wrapNone/>
                <wp:docPr id="6" name="fmFrame7"/>
                <wp:cNvGraphicFramePr/>
                <a:graphic xmlns:a="http://schemas.openxmlformats.org/drawingml/2006/main">
                  <a:graphicData uri="http://schemas.microsoft.com/office/word/2010/wordprocessingShape">
                    <wps:wsp>
                      <wps:cNvSpPr txBox="1"/>
                      <wps:spPr>
                        <a:xfrm>
                          <a:off x="0" y="0"/>
                          <a:ext cx="6120130" cy="661670"/>
                        </a:xfrm>
                        <a:prstGeom prst="rect">
                          <a:avLst/>
                        </a:prstGeom>
                        <a:solidFill>
                          <a:srgbClr val="FFFFFF"/>
                        </a:solidFill>
                        <a:ln>
                          <a:noFill/>
                        </a:ln>
                        <a:effectLst/>
                      </wps:spPr>
                      <wps:txbx>
                        <w:txbxContent>
                          <w:p>
                            <w:pPr>
                              <w:pStyle w:val="69"/>
                              <w:spacing w:line="240" w:lineRule="atLeast"/>
                              <w:rPr>
                                <w:rFonts w:hint="eastAsia" w:ascii="黑体" w:hAnsi="黑体" w:eastAsia="黑体"/>
                                <w:b w:val="0"/>
                                <w:spacing w:val="22"/>
                                <w:w w:val="100"/>
                                <w:position w:val="3"/>
                                <w:sz w:val="32"/>
                                <w:szCs w:val="24"/>
                              </w:rPr>
                            </w:pPr>
                            <w:r>
                              <w:rPr>
                                <w:rFonts w:hint="eastAsia" w:ascii="黑体" w:hAnsi="黑体" w:eastAsia="黑体"/>
                                <w:b w:val="0"/>
                                <w:spacing w:val="0"/>
                                <w:w w:val="100"/>
                              </w:rPr>
                              <w:t xml:space="preserve">中华人民共和国工业和信息化部  </w:t>
                            </w:r>
                            <w:r>
                              <w:rPr>
                                <w:rFonts w:hint="eastAsia" w:ascii="黑体" w:hAnsi="黑体" w:eastAsia="黑体"/>
                                <w:b w:val="0"/>
                                <w:spacing w:val="0"/>
                                <w:w w:val="100"/>
                                <w:sz w:val="24"/>
                                <w:szCs w:val="21"/>
                              </w:rPr>
                              <w:t>发  布</w:t>
                            </w:r>
                          </w:p>
                          <w:p>
                            <w:pPr>
                              <w:rPr>
                                <w:rFonts w:hint="eastAsia"/>
                              </w:rPr>
                            </w:pPr>
                          </w:p>
                        </w:txbxContent>
                      </wps:txbx>
                      <wps:bodyPr vert="horz" wrap="square" lIns="0" tIns="0" rIns="0" bIns="0" anchor="t" anchorCtr="0" upright="1"/>
                    </wps:wsp>
                  </a:graphicData>
                </a:graphic>
              </wp:anchor>
            </w:drawing>
          </mc:Choice>
          <mc:Fallback>
            <w:pict>
              <v:shape id="fmFrame7" o:spid="_x0000_s1026" o:spt="202" type="#_x0000_t202" style="position:absolute;left:0pt;margin-top:704.45pt;height:52.1pt;width:481.9pt;mso-position-horizontal:center;mso-position-horizontal-relative:margin;mso-position-vertical-relative:margin;z-index:251664384;mso-width-relative:page;mso-height-relative:page;" fillcolor="#FFFFFF" filled="t" stroked="f" coordsize="21600,21600" o:gfxdata="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h80fq2QAAAAoB&#10;AAAPAAAAAAAAAAEAIAAAACIAAABkcnMvZG93bnJldi54bWxQSwECFAAUAAAACACHTuJAfjV6weEB&#10;AADZAwAADgAAAAAAAAABACAAAAAoAQAAZHJzL2Uyb0RvYy54bWxQSwUGAAAAAAYABgBZAQAAewUA&#10;AAAA&#10;">
                <v:fill on="t" focussize="0,0"/>
                <v:stroke on="f"/>
                <v:imagedata o:title=""/>
                <o:lock v:ext="edit" aspectratio="f"/>
                <v:textbox inset="0mm,0mm,0mm,0mm">
                  <w:txbxContent>
                    <w:p>
                      <w:pPr>
                        <w:pStyle w:val="69"/>
                        <w:spacing w:line="240" w:lineRule="atLeast"/>
                        <w:rPr>
                          <w:rFonts w:hint="eastAsia" w:ascii="黑体" w:hAnsi="黑体" w:eastAsia="黑体"/>
                          <w:b w:val="0"/>
                          <w:spacing w:val="22"/>
                          <w:w w:val="100"/>
                          <w:position w:val="3"/>
                          <w:sz w:val="32"/>
                          <w:szCs w:val="24"/>
                        </w:rPr>
                      </w:pPr>
                      <w:r>
                        <w:rPr>
                          <w:rFonts w:hint="eastAsia" w:ascii="黑体" w:hAnsi="黑体" w:eastAsia="黑体"/>
                          <w:b w:val="0"/>
                          <w:spacing w:val="0"/>
                          <w:w w:val="100"/>
                        </w:rPr>
                        <w:t xml:space="preserve">中华人民共和国工业和信息化部  </w:t>
                      </w:r>
                      <w:r>
                        <w:rPr>
                          <w:rFonts w:hint="eastAsia" w:ascii="黑体" w:hAnsi="黑体" w:eastAsia="黑体"/>
                          <w:b w:val="0"/>
                          <w:spacing w:val="0"/>
                          <w:w w:val="100"/>
                          <w:sz w:val="24"/>
                          <w:szCs w:val="21"/>
                        </w:rPr>
                        <w:t>发  布</w:t>
                      </w:r>
                    </w:p>
                    <w:p>
                      <w:pPr>
                        <w:rPr>
                          <w:rFonts w:hint="eastAsia"/>
                        </w:rPr>
                      </w:pPr>
                    </w:p>
                  </w:txbxContent>
                </v:textbox>
                <w10:anchorlock/>
              </v:shape>
            </w:pict>
          </mc:Fallback>
        </mc:AlternateContent>
      </w:r>
      <w:r>
        <w:rPr>
          <w:rFonts w:eastAsia="黑体"/>
          <w:color w:val="000000"/>
          <w:w w:val="120"/>
          <w:sz w:val="144"/>
          <w:szCs w:val="144"/>
          <w:highlight w:val="none"/>
        </w:rPr>
        <mc:AlternateContent>
          <mc:Choice Requires="wps">
            <w:drawing>
              <wp:anchor distT="0" distB="0" distL="114300" distR="114300" simplePos="0" relativeHeight="251663360" behindDoc="0" locked="1" layoutInCell="1" allowOverlap="1">
                <wp:simplePos x="0" y="0"/>
                <wp:positionH relativeFrom="margin">
                  <wp:posOffset>4100830</wp:posOffset>
                </wp:positionH>
                <wp:positionV relativeFrom="margin">
                  <wp:posOffset>8563610</wp:posOffset>
                </wp:positionV>
                <wp:extent cx="2019300" cy="312420"/>
                <wp:effectExtent l="0" t="0" r="0" b="5080"/>
                <wp:wrapNone/>
                <wp:docPr id="5"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a:effectLst/>
                      </wps:spPr>
                      <wps:txbx>
                        <w:txbxContent>
                          <w:p>
                            <w:pPr>
                              <w:pStyle w:val="83"/>
                            </w:pPr>
                            <w:r>
                              <w:rPr>
                                <w:rFonts w:hint="eastAsia" w:ascii="黑体" w:hAnsi="黑体"/>
                                <w:lang w:val="en-US" w:eastAsia="zh-CN"/>
                              </w:rPr>
                              <w:t>202</w:t>
                            </w:r>
                            <w:r>
                              <w:rPr>
                                <w:rFonts w:hint="eastAsia" w:ascii="黑体" w:hAnsi="黑体"/>
                              </w:rPr>
                              <w:t>X-XX-XX</w:t>
                            </w:r>
                            <w:r>
                              <w:rPr>
                                <w:rFonts w:hint="eastAsia"/>
                              </w:rPr>
                              <w:t>实施</w:t>
                            </w:r>
                          </w:p>
                        </w:txbxContent>
                      </wps:txbx>
                      <wps:bodyPr vert="horz" wrap="square" lIns="0" tIns="0" rIns="0" bIns="0" anchor="t" anchorCtr="0" upright="1"/>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63360;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L9qtfaAAAA&#10;DQEAAA8AAAAAAAAAAQAgAAAAIgAAAGRycy9kb3ducmV2LnhtbFBLAQIUABQAAAAIAIdO4kB3TsZr&#10;4gEAANkDAAAOAAAAAAAAAAEAIAAAACkBAABkcnMvZTJvRG9jLnhtbFBLBQYAAAAABgAGAFkBAAB9&#10;BQAAAAA=&#10;">
                <v:fill on="t" focussize="0,0"/>
                <v:stroke on="f"/>
                <v:imagedata o:title=""/>
                <o:lock v:ext="edit" aspectratio="f"/>
                <v:textbox inset="0mm,0mm,0mm,0mm">
                  <w:txbxContent>
                    <w:p>
                      <w:pPr>
                        <w:pStyle w:val="83"/>
                      </w:pPr>
                      <w:r>
                        <w:rPr>
                          <w:rFonts w:hint="eastAsia" w:ascii="黑体" w:hAnsi="黑体"/>
                          <w:lang w:val="en-US" w:eastAsia="zh-CN"/>
                        </w:rPr>
                        <w:t>202</w:t>
                      </w:r>
                      <w:r>
                        <w:rPr>
                          <w:rFonts w:hint="eastAsia" w:ascii="黑体" w:hAnsi="黑体"/>
                        </w:rPr>
                        <w:t>X-XX-XX</w:t>
                      </w:r>
                      <w:r>
                        <w:rPr>
                          <w:rFonts w:hint="eastAsia"/>
                        </w:rPr>
                        <w:t>实施</w:t>
                      </w:r>
                    </w:p>
                  </w:txbxContent>
                </v:textbox>
                <w10:anchorlock/>
              </v:shape>
            </w:pict>
          </mc:Fallback>
        </mc:AlternateContent>
      </w:r>
      <w:r>
        <w:rPr>
          <w:rFonts w:eastAsia="黑体"/>
          <w:color w:val="000000"/>
          <w:w w:val="120"/>
          <w:sz w:val="144"/>
          <w:szCs w:val="144"/>
          <w:highlight w:val="none"/>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8563610</wp:posOffset>
                </wp:positionV>
                <wp:extent cx="2019300" cy="312420"/>
                <wp:effectExtent l="0" t="0" r="0" b="5080"/>
                <wp:wrapNone/>
                <wp:docPr id="4"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a:effectLst/>
                      </wps:spPr>
                      <wps:txbx>
                        <w:txbxContent>
                          <w:p>
                            <w:pPr>
                              <w:pStyle w:val="66"/>
                            </w:pPr>
                            <w:r>
                              <w:rPr>
                                <w:rFonts w:hint="eastAsia" w:ascii="黑体" w:hAnsi="黑体"/>
                                <w:lang w:val="en-US" w:eastAsia="zh-CN"/>
                              </w:rPr>
                              <w:t>202</w:t>
                            </w:r>
                            <w:r>
                              <w:rPr>
                                <w:rFonts w:hint="eastAsia" w:ascii="黑体" w:hAnsi="黑体"/>
                              </w:rPr>
                              <w:t>X-XX-XX</w:t>
                            </w:r>
                            <w:r>
                              <w:rPr>
                                <w:rFonts w:hint="eastAsia"/>
                              </w:rPr>
                              <w:t>发布</w:t>
                            </w:r>
                          </w:p>
                        </w:txbxContent>
                      </wps:txbx>
                      <wps:bodyPr vert="horz" wrap="square" lIns="0" tIns="0" rIns="0" bIns="0" anchor="t" anchorCtr="0" upright="1"/>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2336;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fNsqI2AAAAAoB&#10;AAAPAAAAAAAAAAEAIAAAACIAAABkcnMvZG93bnJldi54bWxQSwECFAAUAAAACACHTuJAI1mkLeIB&#10;AADZAwAADgAAAAAAAAABACAAAAAnAQAAZHJzL2Uyb0RvYy54bWxQSwUGAAAAAAYABgBZAQAAewUA&#10;AAAA&#10;">
                <v:fill on="t" focussize="0,0"/>
                <v:stroke on="f"/>
                <v:imagedata o:title=""/>
                <o:lock v:ext="edit" aspectratio="f"/>
                <v:textbox inset="0mm,0mm,0mm,0mm">
                  <w:txbxContent>
                    <w:p>
                      <w:pPr>
                        <w:pStyle w:val="66"/>
                      </w:pPr>
                      <w:r>
                        <w:rPr>
                          <w:rFonts w:hint="eastAsia" w:ascii="黑体" w:hAnsi="黑体"/>
                          <w:lang w:val="en-US" w:eastAsia="zh-CN"/>
                        </w:rPr>
                        <w:t>202</w:t>
                      </w:r>
                      <w:r>
                        <w:rPr>
                          <w:rFonts w:hint="eastAsia" w:ascii="黑体" w:hAnsi="黑体"/>
                        </w:rPr>
                        <w:t>X-XX-XX</w:t>
                      </w:r>
                      <w:r>
                        <w:rPr>
                          <w:rFonts w:hint="eastAsia"/>
                        </w:rPr>
                        <w:t>发布</w:t>
                      </w:r>
                    </w:p>
                  </w:txbxContent>
                </v:textbox>
                <w10:anchorlock/>
              </v:shape>
            </w:pict>
          </mc:Fallback>
        </mc:AlternateContent>
      </w:r>
      <w:r>
        <w:rPr>
          <w:rFonts w:eastAsia="黑体"/>
          <w:color w:val="000000"/>
          <w:w w:val="120"/>
          <w:sz w:val="144"/>
          <w:szCs w:val="144"/>
          <w:highlight w:val="none"/>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3635375</wp:posOffset>
                </wp:positionV>
                <wp:extent cx="5969000" cy="4681220"/>
                <wp:effectExtent l="0" t="0" r="0" b="5080"/>
                <wp:wrapNone/>
                <wp:docPr id="3" name="fmFrame4"/>
                <wp:cNvGraphicFramePr/>
                <a:graphic xmlns:a="http://schemas.openxmlformats.org/drawingml/2006/main">
                  <a:graphicData uri="http://schemas.microsoft.com/office/word/2010/wordprocessingShape">
                    <wps:wsp>
                      <wps:cNvSpPr txBox="1"/>
                      <wps:spPr>
                        <a:xfrm>
                          <a:off x="0" y="0"/>
                          <a:ext cx="5969000" cy="4681220"/>
                        </a:xfrm>
                        <a:prstGeom prst="rect">
                          <a:avLst/>
                        </a:prstGeom>
                        <a:solidFill>
                          <a:srgbClr val="FFFFFF"/>
                        </a:solidFill>
                        <a:ln>
                          <a:noFill/>
                        </a:ln>
                        <a:effectLst/>
                      </wps:spPr>
                      <wps:txbx>
                        <w:txbxContent>
                          <w:p>
                            <w:pPr>
                              <w:pStyle w:val="107"/>
                              <w:rPr>
                                <w:color w:val="000000"/>
                              </w:rPr>
                            </w:pPr>
                            <w:r>
                              <w:rPr>
                                <w:rFonts w:hint="eastAsia"/>
                                <w:color w:val="000000"/>
                              </w:rPr>
                              <w:t>稀土</w:t>
                            </w:r>
                            <w:r>
                              <w:rPr>
                                <w:color w:val="000000"/>
                              </w:rPr>
                              <w:t>抛光粉</w:t>
                            </w:r>
                            <w:r>
                              <w:rPr>
                                <w:rFonts w:hint="eastAsia"/>
                                <w:color w:val="000000"/>
                              </w:rPr>
                              <w:t>绿色工厂</w:t>
                            </w:r>
                            <w:r>
                              <w:rPr>
                                <w:color w:val="000000"/>
                              </w:rPr>
                              <w:t>评价</w:t>
                            </w:r>
                            <w:r>
                              <w:rPr>
                                <w:rFonts w:hint="eastAsia"/>
                                <w:color w:val="000000"/>
                              </w:rPr>
                              <w:t>要求</w:t>
                            </w:r>
                          </w:p>
                          <w:p>
                            <w:pPr>
                              <w:pStyle w:val="110"/>
                              <w:rPr>
                                <w:bCs/>
                                <w:color w:val="000000"/>
                              </w:rPr>
                            </w:pPr>
                            <w:r>
                              <w:rPr>
                                <w:rFonts w:hAnsi="宋体"/>
                                <w:bCs/>
                                <w:color w:val="000000"/>
                              </w:rPr>
                              <w:t>Green Factory E</w:t>
                            </w:r>
                            <w:r>
                              <w:rPr>
                                <w:bCs/>
                                <w:color w:val="000000"/>
                              </w:rPr>
                              <w:t xml:space="preserve">valuation </w:t>
                            </w:r>
                            <w:r>
                              <w:rPr>
                                <w:rFonts w:hint="eastAsia"/>
                                <w:bCs/>
                                <w:color w:val="000000"/>
                                <w:lang w:val="en-US" w:eastAsia="zh-CN"/>
                              </w:rPr>
                              <w:t>Requirements</w:t>
                            </w:r>
                            <w:r>
                              <w:rPr>
                                <w:bCs/>
                                <w:color w:val="000000"/>
                              </w:rPr>
                              <w:t xml:space="preserve"> </w:t>
                            </w:r>
                            <w:r>
                              <w:rPr>
                                <w:rFonts w:hint="eastAsia"/>
                                <w:bCs/>
                                <w:color w:val="000000"/>
                                <w:lang w:val="en-US" w:eastAsia="zh-CN"/>
                              </w:rPr>
                              <w:t>For Rare Earth</w:t>
                            </w:r>
                            <w:r>
                              <w:rPr>
                                <w:bCs/>
                                <w:color w:val="000000"/>
                              </w:rPr>
                              <w:t xml:space="preserve"> </w:t>
                            </w:r>
                            <w:r>
                              <w:rPr>
                                <w:rFonts w:hint="eastAsia" w:ascii="Times New Roman"/>
                                <w:lang w:val="en-US" w:eastAsia="zh-CN"/>
                              </w:rPr>
                              <w:t>P</w:t>
                            </w:r>
                            <w:r>
                              <w:rPr>
                                <w:rFonts w:ascii="Times New Roman"/>
                              </w:rPr>
                              <w:t xml:space="preserve">olishing </w:t>
                            </w:r>
                            <w:r>
                              <w:rPr>
                                <w:rFonts w:hint="eastAsia" w:ascii="Times New Roman"/>
                                <w:lang w:val="en-US" w:eastAsia="zh-CN"/>
                              </w:rPr>
                              <w:t>P</w:t>
                            </w:r>
                            <w:r>
                              <w:rPr>
                                <w:rFonts w:ascii="Times New Roman"/>
                              </w:rPr>
                              <w:t>owder</w:t>
                            </w:r>
                            <w:r>
                              <w:rPr>
                                <w:rFonts w:hint="eastAsia" w:ascii="Times New Roman"/>
                                <w:lang w:val="en-US" w:eastAsia="zh-CN"/>
                              </w:rPr>
                              <w:t xml:space="preserve"> </w:t>
                            </w:r>
                            <w:r>
                              <w:rPr>
                                <w:bCs/>
                                <w:color w:val="000000"/>
                              </w:rPr>
                              <w:t>Factory</w:t>
                            </w:r>
                          </w:p>
                          <w:p>
                            <w:pPr>
                              <w:pStyle w:val="127"/>
                              <w:rPr>
                                <w:rFonts w:hint="eastAsia"/>
                                <w:color w:val="000000"/>
                              </w:rPr>
                            </w:pPr>
                            <w:r>
                              <w:rPr>
                                <w:rFonts w:hint="eastAsia"/>
                                <w:color w:val="000000"/>
                              </w:rPr>
                              <w:t>（</w:t>
                            </w:r>
                            <w:r>
                              <w:rPr>
                                <w:rFonts w:hint="eastAsia"/>
                                <w:color w:val="000000"/>
                                <w:lang w:val="en-US" w:eastAsia="zh-CN"/>
                              </w:rPr>
                              <w:t>审定</w:t>
                            </w:r>
                            <w:r>
                              <w:rPr>
                                <w:rFonts w:hint="eastAsia"/>
                                <w:color w:val="000000"/>
                              </w:rPr>
                              <w:t>稿）</w:t>
                            </w:r>
                          </w:p>
                          <w:p>
                            <w:pPr>
                              <w:pStyle w:val="109"/>
                            </w:pPr>
                          </w:p>
                        </w:txbxContent>
                      </wps:txbx>
                      <wps:bodyPr vert="horz" wrap="square" lIns="0" tIns="0" rIns="0" bIns="0" anchor="t" anchorCtr="0" upright="1"/>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1312;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RXn3HYAAAA&#10;CQEAAA8AAAAAAAAAAQAgAAAAIgAAAGRycy9kb3ducmV2LnhtbFBLAQIUABQAAAAIAIdO4kB5ToYA&#10;5AEAANoDAAAOAAAAAAAAAAEAIAAAACcBAABkcnMvZTJvRG9jLnhtbFBLBQYAAAAABgAGAFkBAAB9&#10;BQAAAAA=&#10;">
                <v:fill on="t" focussize="0,0"/>
                <v:stroke on="f"/>
                <v:imagedata o:title=""/>
                <o:lock v:ext="edit" aspectratio="f"/>
                <v:textbox inset="0mm,0mm,0mm,0mm">
                  <w:txbxContent>
                    <w:p>
                      <w:pPr>
                        <w:pStyle w:val="107"/>
                        <w:rPr>
                          <w:color w:val="000000"/>
                        </w:rPr>
                      </w:pPr>
                      <w:r>
                        <w:rPr>
                          <w:rFonts w:hint="eastAsia"/>
                          <w:color w:val="000000"/>
                        </w:rPr>
                        <w:t>稀土</w:t>
                      </w:r>
                      <w:r>
                        <w:rPr>
                          <w:color w:val="000000"/>
                        </w:rPr>
                        <w:t>抛光粉</w:t>
                      </w:r>
                      <w:r>
                        <w:rPr>
                          <w:rFonts w:hint="eastAsia"/>
                          <w:color w:val="000000"/>
                        </w:rPr>
                        <w:t>绿色工厂</w:t>
                      </w:r>
                      <w:r>
                        <w:rPr>
                          <w:color w:val="000000"/>
                        </w:rPr>
                        <w:t>评价</w:t>
                      </w:r>
                      <w:r>
                        <w:rPr>
                          <w:rFonts w:hint="eastAsia"/>
                          <w:color w:val="000000"/>
                        </w:rPr>
                        <w:t>要求</w:t>
                      </w:r>
                    </w:p>
                    <w:p>
                      <w:pPr>
                        <w:pStyle w:val="110"/>
                        <w:rPr>
                          <w:bCs/>
                          <w:color w:val="000000"/>
                        </w:rPr>
                      </w:pPr>
                      <w:r>
                        <w:rPr>
                          <w:rFonts w:hAnsi="宋体"/>
                          <w:bCs/>
                          <w:color w:val="000000"/>
                        </w:rPr>
                        <w:t>Green Factory E</w:t>
                      </w:r>
                      <w:r>
                        <w:rPr>
                          <w:bCs/>
                          <w:color w:val="000000"/>
                        </w:rPr>
                        <w:t xml:space="preserve">valuation </w:t>
                      </w:r>
                      <w:r>
                        <w:rPr>
                          <w:rFonts w:hint="eastAsia"/>
                          <w:bCs/>
                          <w:color w:val="000000"/>
                          <w:lang w:val="en-US" w:eastAsia="zh-CN"/>
                        </w:rPr>
                        <w:t>Requirements</w:t>
                      </w:r>
                      <w:r>
                        <w:rPr>
                          <w:bCs/>
                          <w:color w:val="000000"/>
                        </w:rPr>
                        <w:t xml:space="preserve"> </w:t>
                      </w:r>
                      <w:r>
                        <w:rPr>
                          <w:rFonts w:hint="eastAsia"/>
                          <w:bCs/>
                          <w:color w:val="000000"/>
                          <w:lang w:val="en-US" w:eastAsia="zh-CN"/>
                        </w:rPr>
                        <w:t>For Rare Earth</w:t>
                      </w:r>
                      <w:r>
                        <w:rPr>
                          <w:bCs/>
                          <w:color w:val="000000"/>
                        </w:rPr>
                        <w:t xml:space="preserve"> </w:t>
                      </w:r>
                      <w:r>
                        <w:rPr>
                          <w:rFonts w:hint="eastAsia" w:ascii="Times New Roman"/>
                          <w:lang w:val="en-US" w:eastAsia="zh-CN"/>
                        </w:rPr>
                        <w:t>P</w:t>
                      </w:r>
                      <w:r>
                        <w:rPr>
                          <w:rFonts w:ascii="Times New Roman"/>
                        </w:rPr>
                        <w:t xml:space="preserve">olishing </w:t>
                      </w:r>
                      <w:r>
                        <w:rPr>
                          <w:rFonts w:hint="eastAsia" w:ascii="Times New Roman"/>
                          <w:lang w:val="en-US" w:eastAsia="zh-CN"/>
                        </w:rPr>
                        <w:t>P</w:t>
                      </w:r>
                      <w:r>
                        <w:rPr>
                          <w:rFonts w:ascii="Times New Roman"/>
                        </w:rPr>
                        <w:t>owder</w:t>
                      </w:r>
                      <w:r>
                        <w:rPr>
                          <w:rFonts w:hint="eastAsia" w:ascii="Times New Roman"/>
                          <w:lang w:val="en-US" w:eastAsia="zh-CN"/>
                        </w:rPr>
                        <w:t xml:space="preserve"> </w:t>
                      </w:r>
                      <w:r>
                        <w:rPr>
                          <w:bCs/>
                          <w:color w:val="000000"/>
                        </w:rPr>
                        <w:t>Factory</w:t>
                      </w:r>
                    </w:p>
                    <w:p>
                      <w:pPr>
                        <w:pStyle w:val="127"/>
                        <w:rPr>
                          <w:rFonts w:hint="eastAsia"/>
                          <w:color w:val="000000"/>
                        </w:rPr>
                      </w:pPr>
                      <w:r>
                        <w:rPr>
                          <w:rFonts w:hint="eastAsia"/>
                          <w:color w:val="000000"/>
                        </w:rPr>
                        <w:t>（</w:t>
                      </w:r>
                      <w:r>
                        <w:rPr>
                          <w:rFonts w:hint="eastAsia"/>
                          <w:color w:val="000000"/>
                          <w:lang w:val="en-US" w:eastAsia="zh-CN"/>
                        </w:rPr>
                        <w:t>审定</w:t>
                      </w:r>
                      <w:r>
                        <w:rPr>
                          <w:rFonts w:hint="eastAsia"/>
                          <w:color w:val="000000"/>
                        </w:rPr>
                        <w:t>稿）</w:t>
                      </w:r>
                    </w:p>
                    <w:p>
                      <w:pPr>
                        <w:pStyle w:val="109"/>
                      </w:pPr>
                    </w:p>
                  </w:txbxContent>
                </v:textbox>
                <w10:anchorlock/>
              </v:shape>
            </w:pict>
          </mc:Fallback>
        </mc:AlternateContent>
      </w:r>
      <w:r>
        <w:rPr>
          <w:rFonts w:eastAsia="黑体"/>
          <w:color w:val="000000"/>
          <w:w w:val="120"/>
          <w:sz w:val="144"/>
          <w:szCs w:val="144"/>
          <w:highlight w:val="none"/>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1401445</wp:posOffset>
                </wp:positionV>
                <wp:extent cx="5802630" cy="860425"/>
                <wp:effectExtent l="0" t="0" r="1270" b="3175"/>
                <wp:wrapNone/>
                <wp:docPr id="2" name="fmFrame3"/>
                <wp:cNvGraphicFramePr/>
                <a:graphic xmlns:a="http://schemas.openxmlformats.org/drawingml/2006/main">
                  <a:graphicData uri="http://schemas.microsoft.com/office/word/2010/wordprocessingShape">
                    <wps:wsp>
                      <wps:cNvSpPr txBox="1"/>
                      <wps:spPr>
                        <a:xfrm>
                          <a:off x="0" y="0"/>
                          <a:ext cx="5802630" cy="860425"/>
                        </a:xfrm>
                        <a:prstGeom prst="rect">
                          <a:avLst/>
                        </a:prstGeom>
                        <a:solidFill>
                          <a:srgbClr val="FFFFFF"/>
                        </a:solidFill>
                        <a:ln>
                          <a:noFill/>
                        </a:ln>
                        <a:effectLst/>
                      </wps:spPr>
                      <wps:txbx>
                        <w:txbxContent>
                          <w:p>
                            <w:pPr>
                              <w:pStyle w:val="87"/>
                              <w:rPr>
                                <w:rFonts w:hint="eastAsia"/>
                              </w:rPr>
                            </w:pPr>
                          </w:p>
                          <w:p>
                            <w:pPr>
                              <w:pStyle w:val="87"/>
                              <w:wordWrap w:val="0"/>
                              <w:rPr>
                                <w:rFonts w:hint="eastAsia"/>
                              </w:rPr>
                            </w:pPr>
                            <w:r>
                              <w:rPr>
                                <w:rFonts w:hint="eastAsia"/>
                              </w:rPr>
                              <w:t xml:space="preserve">   X</w:t>
                            </w:r>
                            <w:r>
                              <w:t>B/T</w:t>
                            </w:r>
                            <w:r>
                              <w:rPr>
                                <w:rFonts w:hint="eastAsia"/>
                              </w:rPr>
                              <w:t xml:space="preserve"> </w:t>
                            </w:r>
                            <w:r>
                              <w:rPr>
                                <w:rFonts w:ascii="黑体" w:hAnsi="黑体" w:eastAsia="黑体"/>
                              </w:rPr>
                              <w:t>XXX</w:t>
                            </w:r>
                            <w:r>
                              <w:rPr>
                                <w:rFonts w:hint="eastAsia" w:ascii="黑体" w:hAnsi="黑体" w:eastAsia="黑体"/>
                                <w:lang w:val="en-US" w:eastAsia="zh-CN"/>
                              </w:rPr>
                              <w:t>X</w:t>
                            </w:r>
                            <w:r>
                              <w:rPr>
                                <w:rFonts w:eastAsia="黑体"/>
                              </w:rPr>
                              <w:t>-20</w:t>
                            </w:r>
                            <w:r>
                              <w:rPr>
                                <w:rFonts w:hint="eastAsia" w:ascii="黑体" w:hAnsi="黑体" w:eastAsia="黑体"/>
                                <w:lang w:val="en-US" w:eastAsia="zh-CN"/>
                              </w:rPr>
                              <w:t>2</w:t>
                            </w:r>
                            <w:r>
                              <w:rPr>
                                <w:rFonts w:ascii="黑体" w:hAnsi="黑体" w:eastAsia="黑体"/>
                              </w:rPr>
                              <w:t>X</w:t>
                            </w:r>
                          </w:p>
                          <w:p>
                            <w:pPr>
                              <w:pStyle w:val="86"/>
                            </w:pPr>
                          </w:p>
                        </w:txbxContent>
                      </wps:txbx>
                      <wps:bodyPr vert="horz" wrap="square" lIns="0" tIns="0" rIns="0" bIns="0" anchor="t" anchorCtr="0" upright="1"/>
                    </wps:wsp>
                  </a:graphicData>
                </a:graphic>
              </wp:anchor>
            </w:drawing>
          </mc:Choice>
          <mc:Fallback>
            <w:pict>
              <v:shape id="fmFrame3" o:spid="_x0000_s1026" o:spt="202" type="#_x0000_t202" style="position:absolute;left:0pt;margin-left:0pt;margin-top:110.35pt;height:67.75pt;width:456.9pt;mso-position-horizontal-relative:margin;mso-position-vertical-relative:margin;z-index:251660288;mso-width-relative:page;mso-height-relative:page;" fillcolor="#FFFFFF" filled="t" stroked="f" coordsize="21600,21600" o:gfxdata="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BQGk+9gAAAAIAQAA&#10;DwAAAAAAAAABACAAAAAiAAAAZHJzL2Rvd25yZXYueG1sUEsBAhQAFAAAAAgAh07iQFbqMzHgAQAA&#10;2QMAAA4AAAAAAAAAAQAgAAAAJwEAAGRycy9lMm9Eb2MueG1sUEsFBgAAAAAGAAYAWQEAAHkFAAAA&#10;AA==&#10;">
                <v:fill on="t" focussize="0,0"/>
                <v:stroke on="f"/>
                <v:imagedata o:title=""/>
                <o:lock v:ext="edit" aspectratio="f"/>
                <v:textbox inset="0mm,0mm,0mm,0mm">
                  <w:txbxContent>
                    <w:p>
                      <w:pPr>
                        <w:pStyle w:val="87"/>
                        <w:rPr>
                          <w:rFonts w:hint="eastAsia"/>
                        </w:rPr>
                      </w:pPr>
                    </w:p>
                    <w:p>
                      <w:pPr>
                        <w:pStyle w:val="87"/>
                        <w:wordWrap w:val="0"/>
                        <w:rPr>
                          <w:rFonts w:hint="eastAsia"/>
                        </w:rPr>
                      </w:pPr>
                      <w:r>
                        <w:rPr>
                          <w:rFonts w:hint="eastAsia"/>
                        </w:rPr>
                        <w:t xml:space="preserve">   X</w:t>
                      </w:r>
                      <w:r>
                        <w:t>B/T</w:t>
                      </w:r>
                      <w:r>
                        <w:rPr>
                          <w:rFonts w:hint="eastAsia"/>
                        </w:rPr>
                        <w:t xml:space="preserve"> </w:t>
                      </w:r>
                      <w:r>
                        <w:rPr>
                          <w:rFonts w:ascii="黑体" w:hAnsi="黑体" w:eastAsia="黑体"/>
                        </w:rPr>
                        <w:t>XXX</w:t>
                      </w:r>
                      <w:r>
                        <w:rPr>
                          <w:rFonts w:hint="eastAsia" w:ascii="黑体" w:hAnsi="黑体" w:eastAsia="黑体"/>
                          <w:lang w:val="en-US" w:eastAsia="zh-CN"/>
                        </w:rPr>
                        <w:t>X</w:t>
                      </w:r>
                      <w:r>
                        <w:rPr>
                          <w:rFonts w:eastAsia="黑体"/>
                        </w:rPr>
                        <w:t>-20</w:t>
                      </w:r>
                      <w:r>
                        <w:rPr>
                          <w:rFonts w:hint="eastAsia" w:ascii="黑体" w:hAnsi="黑体" w:eastAsia="黑体"/>
                          <w:lang w:val="en-US" w:eastAsia="zh-CN"/>
                        </w:rPr>
                        <w:t>2</w:t>
                      </w:r>
                      <w:r>
                        <w:rPr>
                          <w:rFonts w:ascii="黑体" w:hAnsi="黑体" w:eastAsia="黑体"/>
                        </w:rPr>
                        <w:t>X</w:t>
                      </w:r>
                    </w:p>
                    <w:p>
                      <w:pPr>
                        <w:pStyle w:val="86"/>
                      </w:pPr>
                    </w:p>
                  </w:txbxContent>
                </v:textbox>
                <w10:anchorlock/>
              </v:shape>
            </w:pict>
          </mc:Fallback>
        </mc:AlternateContent>
      </w:r>
      <w:r>
        <w:rPr>
          <w:rFonts w:eastAsia="黑体"/>
          <w:color w:val="000000"/>
          <w:w w:val="120"/>
          <w:sz w:val="144"/>
          <w:szCs w:val="144"/>
          <w:highlight w:val="none"/>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1010920</wp:posOffset>
                </wp:positionV>
                <wp:extent cx="6120130" cy="391160"/>
                <wp:effectExtent l="0" t="0" r="1270" b="2540"/>
                <wp:wrapNone/>
                <wp:docPr id="1" name="fmFrame2"/>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a:noFill/>
                        </a:ln>
                        <a:effectLst/>
                      </wps:spPr>
                      <wps:txbx>
                        <w:txbxContent>
                          <w:p>
                            <w:pPr>
                              <w:pStyle w:val="70"/>
                              <w:rPr>
                                <w:w w:val="135"/>
                              </w:rPr>
                            </w:pPr>
                            <w:r>
                              <w:rPr>
                                <w:rFonts w:hint="eastAsia"/>
                                <w:w w:val="135"/>
                              </w:rPr>
                              <w:t>中华人民共和国稀土行业标准</w:t>
                            </w:r>
                          </w:p>
                          <w:p>
                            <w:pPr>
                              <w:pStyle w:val="120"/>
                            </w:pPr>
                            <w:r>
                              <w:rPr>
                                <w:rFonts w:hint="eastAsia"/>
                              </w:rPr>
                              <w:t>标准</w:t>
                            </w:r>
                          </w:p>
                        </w:txbxContent>
                      </wps:txbx>
                      <wps:bodyPr vert="horz" wrap="square" lIns="0" tIns="0" rIns="0" bIns="0" anchor="t" anchorCtr="0" upright="1"/>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59264;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GDkcF1wAAAAgBAAAP&#10;AAAAAAAAAAEAIAAAACIAAABkcnMvZG93bnJldi54bWxQSwECFAAUAAAACACHTuJAUkIY8OABAADZ&#10;AwAADgAAAAAAAAABACAAAAAmAQAAZHJzL2Uyb0RvYy54bWxQSwUGAAAAAAYABgBZAQAAeAUAAAAA&#10;">
                <v:fill on="t" focussize="0,0"/>
                <v:stroke on="f"/>
                <v:imagedata o:title=""/>
                <o:lock v:ext="edit" aspectratio="f"/>
                <v:textbox inset="0mm,0mm,0mm,0mm">
                  <w:txbxContent>
                    <w:p>
                      <w:pPr>
                        <w:pStyle w:val="70"/>
                        <w:rPr>
                          <w:w w:val="135"/>
                        </w:rPr>
                      </w:pPr>
                      <w:r>
                        <w:rPr>
                          <w:rFonts w:hint="eastAsia"/>
                          <w:w w:val="135"/>
                        </w:rPr>
                        <w:t>中华人民共和国稀土行业标准</w:t>
                      </w:r>
                    </w:p>
                    <w:p>
                      <w:pPr>
                        <w:pStyle w:val="120"/>
                      </w:pPr>
                      <w:r>
                        <w:rPr>
                          <w:rFonts w:hint="eastAsia"/>
                        </w:rPr>
                        <w:t>标准</w:t>
                      </w:r>
                    </w:p>
                  </w:txbxContent>
                </v:textbox>
                <w10:anchorlock/>
              </v:shape>
            </w:pict>
          </mc:Fallback>
        </mc:AlternateContent>
      </w:r>
      <w:r>
        <w:rPr>
          <w:rFonts w:eastAsia="黑体"/>
          <w:color w:val="000000"/>
          <w:w w:val="120"/>
          <w:sz w:val="144"/>
          <w:szCs w:val="144"/>
          <w:highlight w:val="none"/>
        </w:rPr>
        <w:t>XB</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tabs>
          <w:tab w:val="left" w:pos="7485"/>
        </w:tabs>
        <w:rPr>
          <w:highlight w:val="none"/>
        </w:rPr>
      </w:pPr>
      <w:r>
        <w:rPr>
          <w:highlight w:val="none"/>
        </w:rPr>
        <w:tab/>
      </w:r>
    </w:p>
    <w:p>
      <w:pPr>
        <w:rPr>
          <w:highlight w:val="none"/>
        </w:rPr>
      </w:pPr>
    </w:p>
    <w:p>
      <w:pPr>
        <w:rPr>
          <w:highlight w:val="none"/>
        </w:rPr>
        <w:sectPr>
          <w:headerReference r:id="rId7" w:type="first"/>
          <w:headerReference r:id="rId5" w:type="default"/>
          <w:headerReference r:id="rId6" w:type="even"/>
          <w:pgSz w:w="11907" w:h="16839"/>
          <w:pgMar w:top="567" w:right="851" w:bottom="1361" w:left="1418" w:header="0" w:footer="0" w:gutter="0"/>
          <w:pgNumType w:start="1"/>
          <w:cols w:space="720" w:num="1"/>
          <w:titlePg/>
          <w:docGrid w:type="lines" w:linePitch="312" w:charSpace="0"/>
        </w:sectPr>
      </w:pPr>
    </w:p>
    <w:bookmarkEnd w:id="0"/>
    <w:p>
      <w:pPr>
        <w:spacing w:before="0" w:beforeLines="0" w:after="0" w:afterLines="0" w:line="240" w:lineRule="auto"/>
        <w:ind w:left="0" w:leftChars="0" w:right="0" w:rightChars="0" w:firstLine="0" w:firstLineChars="0"/>
        <w:jc w:val="center"/>
        <w:rPr>
          <w:rFonts w:hint="eastAsia" w:ascii="黑体" w:hAnsi="黑体" w:eastAsia="黑体" w:cs="黑体"/>
          <w:sz w:val="28"/>
          <w:szCs w:val="36"/>
        </w:rPr>
      </w:pPr>
      <w:r>
        <w:rPr>
          <w:rFonts w:hint="eastAsia" w:ascii="黑体" w:hAnsi="黑体" w:eastAsia="黑体" w:cs="黑体"/>
          <w:sz w:val="28"/>
          <w:szCs w:val="36"/>
        </w:rPr>
        <w:t>目</w:t>
      </w:r>
      <w:r>
        <w:rPr>
          <w:rFonts w:hint="eastAsia" w:ascii="黑体" w:hAnsi="黑体" w:eastAsia="黑体" w:cs="黑体"/>
          <w:sz w:val="28"/>
          <w:szCs w:val="36"/>
          <w:lang w:val="en-US" w:eastAsia="zh-CN"/>
        </w:rPr>
        <w:t xml:space="preserve"> </w:t>
      </w:r>
      <w:r>
        <w:rPr>
          <w:rFonts w:hint="eastAsia" w:ascii="黑体" w:hAnsi="黑体" w:eastAsia="黑体" w:cs="黑体"/>
          <w:sz w:val="28"/>
          <w:szCs w:val="36"/>
        </w:rPr>
        <w:t>录</w:t>
      </w:r>
    </w:p>
    <w:p>
      <w:pPr>
        <w:pStyle w:val="134"/>
        <w:keepNext w:val="0"/>
        <w:keepLines w:val="0"/>
        <w:pageBreakBefore w:val="0"/>
        <w:tabs>
          <w:tab w:val="right" w:leader="dot" w:pos="9354"/>
        </w:tabs>
        <w:kinsoku/>
        <w:wordWrap/>
        <w:overflowPunct/>
        <w:topLinePunct w:val="0"/>
        <w:autoSpaceDE/>
        <w:autoSpaceDN/>
        <w:bidi w:val="0"/>
        <w:adjustRightInd/>
        <w:snapToGrid/>
        <w:spacing w:line="360" w:lineRule="exact"/>
        <w:textAlignment w:val="auto"/>
        <w:rPr>
          <w:rFonts w:hint="eastAsia" w:ascii="黑体" w:hAnsi="黑体" w:eastAsia="黑体" w:cs="黑体"/>
          <w:sz w:val="21"/>
          <w:szCs w:val="21"/>
        </w:rPr>
      </w:pPr>
      <w:r>
        <w:rPr>
          <w:rFonts w:hint="eastAsia" w:ascii="黑体" w:hAnsi="黑体" w:eastAsia="黑体" w:cs="黑体"/>
          <w:sz w:val="21"/>
          <w:szCs w:val="21"/>
          <w:highlight w:val="none"/>
        </w:rPr>
        <w:fldChar w:fldCharType="begin"/>
      </w:r>
      <w:r>
        <w:rPr>
          <w:rFonts w:hint="eastAsia" w:ascii="黑体" w:hAnsi="黑体" w:eastAsia="黑体" w:cs="黑体"/>
          <w:sz w:val="21"/>
          <w:szCs w:val="21"/>
          <w:highlight w:val="none"/>
        </w:rPr>
        <w:instrText xml:space="preserve"> HYPERLINK \l _Toc19724 </w:instrText>
      </w:r>
      <w:r>
        <w:rPr>
          <w:rFonts w:hint="eastAsia" w:ascii="黑体" w:hAnsi="黑体" w:eastAsia="黑体" w:cs="黑体"/>
          <w:sz w:val="21"/>
          <w:szCs w:val="21"/>
          <w:highlight w:val="none"/>
        </w:rPr>
        <w:fldChar w:fldCharType="separate"/>
      </w:r>
      <w:r>
        <w:rPr>
          <w:rFonts w:hint="eastAsia" w:ascii="黑体" w:hAnsi="黑体" w:eastAsia="黑体" w:cs="黑体"/>
          <w:sz w:val="21"/>
          <w:szCs w:val="21"/>
          <w:highlight w:val="none"/>
        </w:rPr>
        <w:t>前言</w:t>
      </w:r>
      <w:r>
        <w:rPr>
          <w:rFonts w:hint="eastAsia" w:ascii="黑体" w:hAnsi="黑体" w:eastAsia="黑体" w:cs="黑体"/>
          <w:sz w:val="21"/>
          <w:szCs w:val="21"/>
        </w:rPr>
        <w:tab/>
      </w:r>
      <w:r>
        <w:rPr>
          <w:rFonts w:hint="eastAsia" w:ascii="黑体" w:hAnsi="黑体" w:eastAsia="黑体" w:cs="黑体"/>
          <w:sz w:val="21"/>
          <w:szCs w:val="21"/>
          <w:highlight w:val="none"/>
          <w:lang w:val="en-US" w:eastAsia="zh-CN"/>
        </w:rPr>
        <w:t>Ⅰ</w:t>
      </w:r>
      <w:r>
        <w:rPr>
          <w:rFonts w:hint="eastAsia" w:ascii="黑体" w:hAnsi="黑体" w:eastAsia="黑体" w:cs="黑体"/>
          <w:sz w:val="21"/>
          <w:szCs w:val="21"/>
          <w:highlight w:val="none"/>
        </w:rPr>
        <w:fldChar w:fldCharType="end"/>
      </w:r>
      <w:r>
        <w:rPr>
          <w:rFonts w:hint="eastAsia" w:ascii="黑体" w:hAnsi="黑体" w:eastAsia="黑体" w:cs="黑体"/>
          <w:sz w:val="21"/>
          <w:szCs w:val="21"/>
          <w:highlight w:val="none"/>
        </w:rPr>
        <w:fldChar w:fldCharType="begin"/>
      </w:r>
      <w:r>
        <w:rPr>
          <w:rFonts w:hint="eastAsia" w:ascii="黑体" w:hAnsi="黑体" w:eastAsia="黑体" w:cs="黑体"/>
          <w:sz w:val="21"/>
          <w:szCs w:val="21"/>
          <w:highlight w:val="none"/>
        </w:rPr>
        <w:instrText xml:space="preserve">TOC \o "1-1" \h \u </w:instrText>
      </w:r>
      <w:r>
        <w:rPr>
          <w:rFonts w:hint="eastAsia" w:ascii="黑体" w:hAnsi="黑体" w:eastAsia="黑体" w:cs="黑体"/>
          <w:sz w:val="21"/>
          <w:szCs w:val="21"/>
          <w:highlight w:val="none"/>
        </w:rPr>
        <w:fldChar w:fldCharType="separate"/>
      </w:r>
    </w:p>
    <w:p>
      <w:pPr>
        <w:pStyle w:val="134"/>
        <w:keepNext w:val="0"/>
        <w:keepLines w:val="0"/>
        <w:pageBreakBefore w:val="0"/>
        <w:tabs>
          <w:tab w:val="right" w:leader="dot" w:pos="9354"/>
        </w:tabs>
        <w:kinsoku/>
        <w:wordWrap/>
        <w:overflowPunct/>
        <w:topLinePunct w:val="0"/>
        <w:autoSpaceDE/>
        <w:autoSpaceDN/>
        <w:bidi w:val="0"/>
        <w:adjustRightInd/>
        <w:snapToGrid/>
        <w:spacing w:line="360" w:lineRule="exact"/>
        <w:textAlignment w:val="auto"/>
        <w:rPr>
          <w:rFonts w:hint="eastAsia" w:ascii="黑体" w:hAnsi="黑体" w:eastAsia="黑体" w:cs="黑体"/>
          <w:sz w:val="21"/>
          <w:szCs w:val="21"/>
        </w:rPr>
      </w:pPr>
      <w:r>
        <w:rPr>
          <w:rFonts w:hint="eastAsia" w:ascii="黑体" w:hAnsi="黑体" w:eastAsia="黑体" w:cs="黑体"/>
          <w:sz w:val="21"/>
          <w:szCs w:val="21"/>
          <w:highlight w:val="none"/>
        </w:rPr>
        <w:fldChar w:fldCharType="begin"/>
      </w:r>
      <w:r>
        <w:rPr>
          <w:rFonts w:hint="eastAsia" w:ascii="黑体" w:hAnsi="黑体" w:eastAsia="黑体" w:cs="黑体"/>
          <w:sz w:val="21"/>
          <w:szCs w:val="21"/>
          <w:highlight w:val="none"/>
        </w:rPr>
        <w:instrText xml:space="preserve"> HYPERLINK \l _Toc23756 </w:instrText>
      </w:r>
      <w:r>
        <w:rPr>
          <w:rFonts w:hint="eastAsia" w:ascii="黑体" w:hAnsi="黑体" w:eastAsia="黑体" w:cs="黑体"/>
          <w:sz w:val="21"/>
          <w:szCs w:val="21"/>
          <w:highlight w:val="none"/>
        </w:rPr>
        <w:fldChar w:fldCharType="separate"/>
      </w:r>
      <w:r>
        <w:rPr>
          <w:rFonts w:hint="eastAsia" w:ascii="黑体" w:hAnsi="黑体" w:eastAsia="黑体" w:cs="黑体"/>
          <w:sz w:val="21"/>
          <w:szCs w:val="21"/>
          <w:highlight w:val="none"/>
        </w:rPr>
        <w:t>1 范围</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_Toc23756 \h </w:instrText>
      </w:r>
      <w:r>
        <w:rPr>
          <w:rFonts w:hint="eastAsia" w:ascii="黑体" w:hAnsi="黑体" w:eastAsia="黑体" w:cs="黑体"/>
          <w:sz w:val="21"/>
          <w:szCs w:val="21"/>
        </w:rPr>
        <w:fldChar w:fldCharType="separate"/>
      </w:r>
      <w:r>
        <w:rPr>
          <w:rFonts w:hint="eastAsia" w:ascii="黑体" w:hAnsi="黑体" w:eastAsia="黑体" w:cs="黑体"/>
          <w:sz w:val="21"/>
          <w:szCs w:val="21"/>
        </w:rPr>
        <w:t>1</w:t>
      </w:r>
      <w:r>
        <w:rPr>
          <w:rFonts w:hint="eastAsia" w:ascii="黑体" w:hAnsi="黑体" w:eastAsia="黑体" w:cs="黑体"/>
          <w:sz w:val="21"/>
          <w:szCs w:val="21"/>
        </w:rPr>
        <w:fldChar w:fldCharType="end"/>
      </w:r>
      <w:r>
        <w:rPr>
          <w:rFonts w:hint="eastAsia" w:ascii="黑体" w:hAnsi="黑体" w:eastAsia="黑体" w:cs="黑体"/>
          <w:sz w:val="21"/>
          <w:szCs w:val="21"/>
          <w:highlight w:val="none"/>
        </w:rPr>
        <w:fldChar w:fldCharType="end"/>
      </w:r>
    </w:p>
    <w:p>
      <w:pPr>
        <w:pStyle w:val="134"/>
        <w:keepNext w:val="0"/>
        <w:keepLines w:val="0"/>
        <w:pageBreakBefore w:val="0"/>
        <w:tabs>
          <w:tab w:val="right" w:leader="dot" w:pos="9354"/>
        </w:tabs>
        <w:kinsoku/>
        <w:wordWrap/>
        <w:overflowPunct/>
        <w:topLinePunct w:val="0"/>
        <w:autoSpaceDE/>
        <w:autoSpaceDN/>
        <w:bidi w:val="0"/>
        <w:adjustRightInd/>
        <w:snapToGrid/>
        <w:spacing w:line="360" w:lineRule="exact"/>
        <w:textAlignment w:val="auto"/>
        <w:rPr>
          <w:rFonts w:hint="eastAsia" w:ascii="黑体" w:hAnsi="黑体" w:eastAsia="黑体" w:cs="黑体"/>
          <w:sz w:val="21"/>
          <w:szCs w:val="21"/>
        </w:rPr>
      </w:pPr>
      <w:r>
        <w:rPr>
          <w:rFonts w:hint="eastAsia" w:ascii="黑体" w:hAnsi="黑体" w:eastAsia="黑体" w:cs="黑体"/>
          <w:sz w:val="21"/>
          <w:szCs w:val="21"/>
          <w:highlight w:val="none"/>
        </w:rPr>
        <w:fldChar w:fldCharType="begin"/>
      </w:r>
      <w:r>
        <w:rPr>
          <w:rFonts w:hint="eastAsia" w:ascii="黑体" w:hAnsi="黑体" w:eastAsia="黑体" w:cs="黑体"/>
          <w:sz w:val="21"/>
          <w:szCs w:val="21"/>
          <w:highlight w:val="none"/>
        </w:rPr>
        <w:instrText xml:space="preserve"> HYPERLINK \l _Toc8213 </w:instrText>
      </w:r>
      <w:r>
        <w:rPr>
          <w:rFonts w:hint="eastAsia" w:ascii="黑体" w:hAnsi="黑体" w:eastAsia="黑体" w:cs="黑体"/>
          <w:sz w:val="21"/>
          <w:szCs w:val="21"/>
          <w:highlight w:val="none"/>
        </w:rPr>
        <w:fldChar w:fldCharType="separate"/>
      </w:r>
      <w:r>
        <w:rPr>
          <w:rFonts w:hint="eastAsia" w:ascii="黑体" w:hAnsi="黑体" w:eastAsia="黑体" w:cs="黑体"/>
          <w:sz w:val="21"/>
          <w:szCs w:val="21"/>
          <w:highlight w:val="none"/>
        </w:rPr>
        <w:t>2 规范性引用文件</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_Toc8213 \h </w:instrText>
      </w:r>
      <w:r>
        <w:rPr>
          <w:rFonts w:hint="eastAsia" w:ascii="黑体" w:hAnsi="黑体" w:eastAsia="黑体" w:cs="黑体"/>
          <w:sz w:val="21"/>
          <w:szCs w:val="21"/>
        </w:rPr>
        <w:fldChar w:fldCharType="separate"/>
      </w:r>
      <w:r>
        <w:rPr>
          <w:rFonts w:hint="eastAsia" w:ascii="黑体" w:hAnsi="黑体" w:eastAsia="黑体" w:cs="黑体"/>
          <w:sz w:val="21"/>
          <w:szCs w:val="21"/>
        </w:rPr>
        <w:t>1</w:t>
      </w:r>
      <w:r>
        <w:rPr>
          <w:rFonts w:hint="eastAsia" w:ascii="黑体" w:hAnsi="黑体" w:eastAsia="黑体" w:cs="黑体"/>
          <w:sz w:val="21"/>
          <w:szCs w:val="21"/>
        </w:rPr>
        <w:fldChar w:fldCharType="end"/>
      </w:r>
      <w:r>
        <w:rPr>
          <w:rFonts w:hint="eastAsia" w:ascii="黑体" w:hAnsi="黑体" w:eastAsia="黑体" w:cs="黑体"/>
          <w:sz w:val="21"/>
          <w:szCs w:val="21"/>
          <w:highlight w:val="none"/>
        </w:rPr>
        <w:fldChar w:fldCharType="end"/>
      </w:r>
    </w:p>
    <w:p>
      <w:pPr>
        <w:pStyle w:val="134"/>
        <w:keepNext w:val="0"/>
        <w:keepLines w:val="0"/>
        <w:pageBreakBefore w:val="0"/>
        <w:tabs>
          <w:tab w:val="right" w:leader="dot" w:pos="9354"/>
        </w:tabs>
        <w:kinsoku/>
        <w:wordWrap/>
        <w:overflowPunct/>
        <w:topLinePunct w:val="0"/>
        <w:autoSpaceDE/>
        <w:autoSpaceDN/>
        <w:bidi w:val="0"/>
        <w:adjustRightInd/>
        <w:snapToGrid/>
        <w:spacing w:line="360" w:lineRule="exact"/>
        <w:textAlignment w:val="auto"/>
        <w:rPr>
          <w:rFonts w:hint="eastAsia" w:ascii="黑体" w:hAnsi="黑体" w:eastAsia="黑体" w:cs="黑体"/>
          <w:sz w:val="21"/>
          <w:szCs w:val="21"/>
        </w:rPr>
      </w:pPr>
      <w:r>
        <w:rPr>
          <w:rFonts w:hint="eastAsia" w:ascii="黑体" w:hAnsi="黑体" w:eastAsia="黑体" w:cs="黑体"/>
          <w:sz w:val="21"/>
          <w:szCs w:val="21"/>
          <w:highlight w:val="none"/>
        </w:rPr>
        <w:fldChar w:fldCharType="begin"/>
      </w:r>
      <w:r>
        <w:rPr>
          <w:rFonts w:hint="eastAsia" w:ascii="黑体" w:hAnsi="黑体" w:eastAsia="黑体" w:cs="黑体"/>
          <w:sz w:val="21"/>
          <w:szCs w:val="21"/>
          <w:highlight w:val="none"/>
        </w:rPr>
        <w:instrText xml:space="preserve"> HYPERLINK \l _Toc22840 </w:instrText>
      </w:r>
      <w:r>
        <w:rPr>
          <w:rFonts w:hint="eastAsia" w:ascii="黑体" w:hAnsi="黑体" w:eastAsia="黑体" w:cs="黑体"/>
          <w:sz w:val="21"/>
          <w:szCs w:val="21"/>
          <w:highlight w:val="none"/>
        </w:rPr>
        <w:fldChar w:fldCharType="separate"/>
      </w:r>
      <w:r>
        <w:rPr>
          <w:rFonts w:hint="eastAsia" w:ascii="黑体" w:hAnsi="黑体" w:eastAsia="黑体" w:cs="黑体"/>
          <w:sz w:val="21"/>
          <w:szCs w:val="21"/>
          <w:highlight w:val="none"/>
        </w:rPr>
        <w:t>3 术语和定义</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_Toc22840 \h </w:instrText>
      </w:r>
      <w:r>
        <w:rPr>
          <w:rFonts w:hint="eastAsia" w:ascii="黑体" w:hAnsi="黑体" w:eastAsia="黑体" w:cs="黑体"/>
          <w:sz w:val="21"/>
          <w:szCs w:val="21"/>
        </w:rPr>
        <w:fldChar w:fldCharType="separate"/>
      </w:r>
      <w:r>
        <w:rPr>
          <w:rFonts w:hint="eastAsia" w:ascii="黑体" w:hAnsi="黑体" w:eastAsia="黑体" w:cs="黑体"/>
          <w:sz w:val="21"/>
          <w:szCs w:val="21"/>
        </w:rPr>
        <w:t>2</w:t>
      </w:r>
      <w:r>
        <w:rPr>
          <w:rFonts w:hint="eastAsia" w:ascii="黑体" w:hAnsi="黑体" w:eastAsia="黑体" w:cs="黑体"/>
          <w:sz w:val="21"/>
          <w:szCs w:val="21"/>
        </w:rPr>
        <w:fldChar w:fldCharType="end"/>
      </w:r>
      <w:r>
        <w:rPr>
          <w:rFonts w:hint="eastAsia" w:ascii="黑体" w:hAnsi="黑体" w:eastAsia="黑体" w:cs="黑体"/>
          <w:sz w:val="21"/>
          <w:szCs w:val="21"/>
          <w:highlight w:val="none"/>
        </w:rPr>
        <w:fldChar w:fldCharType="end"/>
      </w:r>
    </w:p>
    <w:p>
      <w:pPr>
        <w:pStyle w:val="134"/>
        <w:keepNext w:val="0"/>
        <w:keepLines w:val="0"/>
        <w:pageBreakBefore w:val="0"/>
        <w:tabs>
          <w:tab w:val="right" w:leader="dot" w:pos="9354"/>
        </w:tabs>
        <w:kinsoku/>
        <w:wordWrap/>
        <w:overflowPunct/>
        <w:topLinePunct w:val="0"/>
        <w:autoSpaceDE/>
        <w:autoSpaceDN/>
        <w:bidi w:val="0"/>
        <w:adjustRightInd/>
        <w:snapToGrid/>
        <w:spacing w:line="360" w:lineRule="exact"/>
        <w:textAlignment w:val="auto"/>
        <w:rPr>
          <w:rFonts w:hint="eastAsia" w:ascii="黑体" w:hAnsi="黑体" w:eastAsia="黑体" w:cs="黑体"/>
          <w:sz w:val="21"/>
          <w:szCs w:val="21"/>
        </w:rPr>
      </w:pPr>
      <w:r>
        <w:rPr>
          <w:rFonts w:hint="eastAsia" w:ascii="黑体" w:hAnsi="黑体" w:eastAsia="黑体" w:cs="黑体"/>
          <w:sz w:val="21"/>
          <w:szCs w:val="21"/>
          <w:highlight w:val="none"/>
        </w:rPr>
        <w:fldChar w:fldCharType="begin"/>
      </w:r>
      <w:r>
        <w:rPr>
          <w:rFonts w:hint="eastAsia" w:ascii="黑体" w:hAnsi="黑体" w:eastAsia="黑体" w:cs="黑体"/>
          <w:sz w:val="21"/>
          <w:szCs w:val="21"/>
          <w:highlight w:val="none"/>
        </w:rPr>
        <w:instrText xml:space="preserve"> HYPERLINK \l _Toc6026 </w:instrText>
      </w:r>
      <w:r>
        <w:rPr>
          <w:rFonts w:hint="eastAsia" w:ascii="黑体" w:hAnsi="黑体" w:eastAsia="黑体" w:cs="黑体"/>
          <w:sz w:val="21"/>
          <w:szCs w:val="21"/>
          <w:highlight w:val="none"/>
        </w:rPr>
        <w:fldChar w:fldCharType="separate"/>
      </w:r>
      <w:r>
        <w:rPr>
          <w:rFonts w:hint="eastAsia" w:ascii="黑体" w:hAnsi="黑体" w:eastAsia="黑体" w:cs="黑体"/>
          <w:sz w:val="21"/>
          <w:szCs w:val="21"/>
          <w:highlight w:val="none"/>
        </w:rPr>
        <w:t>4 总则</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_Toc6026 \h </w:instrText>
      </w:r>
      <w:r>
        <w:rPr>
          <w:rFonts w:hint="eastAsia" w:ascii="黑体" w:hAnsi="黑体" w:eastAsia="黑体" w:cs="黑体"/>
          <w:sz w:val="21"/>
          <w:szCs w:val="21"/>
        </w:rPr>
        <w:fldChar w:fldCharType="separate"/>
      </w:r>
      <w:r>
        <w:rPr>
          <w:rFonts w:hint="eastAsia" w:ascii="黑体" w:hAnsi="黑体" w:eastAsia="黑体" w:cs="黑体"/>
          <w:sz w:val="21"/>
          <w:szCs w:val="21"/>
        </w:rPr>
        <w:t>2</w:t>
      </w:r>
      <w:r>
        <w:rPr>
          <w:rFonts w:hint="eastAsia" w:ascii="黑体" w:hAnsi="黑体" w:eastAsia="黑体" w:cs="黑体"/>
          <w:sz w:val="21"/>
          <w:szCs w:val="21"/>
        </w:rPr>
        <w:fldChar w:fldCharType="end"/>
      </w:r>
      <w:r>
        <w:rPr>
          <w:rFonts w:hint="eastAsia" w:ascii="黑体" w:hAnsi="黑体" w:eastAsia="黑体" w:cs="黑体"/>
          <w:sz w:val="21"/>
          <w:szCs w:val="21"/>
          <w:highlight w:val="none"/>
        </w:rPr>
        <w:fldChar w:fldCharType="end"/>
      </w:r>
    </w:p>
    <w:p>
      <w:pPr>
        <w:pStyle w:val="134"/>
        <w:keepNext w:val="0"/>
        <w:keepLines w:val="0"/>
        <w:pageBreakBefore w:val="0"/>
        <w:tabs>
          <w:tab w:val="right" w:leader="dot" w:pos="9354"/>
        </w:tabs>
        <w:kinsoku/>
        <w:wordWrap/>
        <w:overflowPunct/>
        <w:topLinePunct w:val="0"/>
        <w:autoSpaceDE/>
        <w:autoSpaceDN/>
        <w:bidi w:val="0"/>
        <w:adjustRightInd/>
        <w:snapToGrid/>
        <w:spacing w:line="360" w:lineRule="exact"/>
        <w:textAlignment w:val="auto"/>
        <w:rPr>
          <w:rFonts w:hint="eastAsia" w:ascii="黑体" w:hAnsi="黑体" w:eastAsia="黑体" w:cs="黑体"/>
          <w:sz w:val="21"/>
          <w:szCs w:val="21"/>
        </w:rPr>
      </w:pPr>
      <w:r>
        <w:rPr>
          <w:rFonts w:hint="eastAsia" w:ascii="黑体" w:hAnsi="黑体" w:eastAsia="黑体" w:cs="黑体"/>
          <w:sz w:val="21"/>
          <w:szCs w:val="21"/>
          <w:highlight w:val="none"/>
        </w:rPr>
        <w:fldChar w:fldCharType="begin"/>
      </w:r>
      <w:r>
        <w:rPr>
          <w:rFonts w:hint="eastAsia" w:ascii="黑体" w:hAnsi="黑体" w:eastAsia="黑体" w:cs="黑体"/>
          <w:sz w:val="21"/>
          <w:szCs w:val="21"/>
          <w:highlight w:val="none"/>
        </w:rPr>
        <w:instrText xml:space="preserve"> HYPERLINK \l _Toc1879 </w:instrText>
      </w:r>
      <w:r>
        <w:rPr>
          <w:rFonts w:hint="eastAsia" w:ascii="黑体" w:hAnsi="黑体" w:eastAsia="黑体" w:cs="黑体"/>
          <w:sz w:val="21"/>
          <w:szCs w:val="21"/>
          <w:highlight w:val="none"/>
        </w:rPr>
        <w:fldChar w:fldCharType="separate"/>
      </w:r>
      <w:r>
        <w:rPr>
          <w:rFonts w:hint="eastAsia" w:ascii="黑体" w:hAnsi="黑体" w:eastAsia="黑体" w:cs="黑体"/>
          <w:sz w:val="21"/>
          <w:szCs w:val="21"/>
          <w:highlight w:val="none"/>
        </w:rPr>
        <w:t>5 评价要求</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_Toc1879 \h </w:instrText>
      </w:r>
      <w:r>
        <w:rPr>
          <w:rFonts w:hint="eastAsia" w:ascii="黑体" w:hAnsi="黑体" w:eastAsia="黑体" w:cs="黑体"/>
          <w:sz w:val="21"/>
          <w:szCs w:val="21"/>
        </w:rPr>
        <w:fldChar w:fldCharType="separate"/>
      </w:r>
      <w:r>
        <w:rPr>
          <w:rFonts w:hint="eastAsia" w:ascii="黑体" w:hAnsi="黑体" w:eastAsia="黑体" w:cs="黑体"/>
          <w:sz w:val="21"/>
          <w:szCs w:val="21"/>
        </w:rPr>
        <w:t>4</w:t>
      </w:r>
      <w:r>
        <w:rPr>
          <w:rFonts w:hint="eastAsia" w:ascii="黑体" w:hAnsi="黑体" w:eastAsia="黑体" w:cs="黑体"/>
          <w:sz w:val="21"/>
          <w:szCs w:val="21"/>
        </w:rPr>
        <w:fldChar w:fldCharType="end"/>
      </w:r>
      <w:r>
        <w:rPr>
          <w:rFonts w:hint="eastAsia" w:ascii="黑体" w:hAnsi="黑体" w:eastAsia="黑体" w:cs="黑体"/>
          <w:sz w:val="21"/>
          <w:szCs w:val="21"/>
          <w:highlight w:val="none"/>
        </w:rPr>
        <w:fldChar w:fldCharType="end"/>
      </w:r>
    </w:p>
    <w:p>
      <w:pPr>
        <w:pStyle w:val="134"/>
        <w:keepNext w:val="0"/>
        <w:keepLines w:val="0"/>
        <w:pageBreakBefore w:val="0"/>
        <w:tabs>
          <w:tab w:val="right" w:leader="dot" w:pos="9354"/>
        </w:tabs>
        <w:kinsoku/>
        <w:wordWrap/>
        <w:overflowPunct/>
        <w:topLinePunct w:val="0"/>
        <w:autoSpaceDE/>
        <w:autoSpaceDN/>
        <w:bidi w:val="0"/>
        <w:adjustRightInd/>
        <w:snapToGrid/>
        <w:spacing w:line="360" w:lineRule="exact"/>
        <w:textAlignment w:val="auto"/>
        <w:rPr>
          <w:rFonts w:hint="eastAsia" w:ascii="黑体" w:hAnsi="黑体" w:eastAsia="黑体" w:cs="黑体"/>
          <w:sz w:val="21"/>
          <w:szCs w:val="21"/>
        </w:rPr>
      </w:pPr>
      <w:r>
        <w:rPr>
          <w:rFonts w:hint="eastAsia" w:ascii="黑体" w:hAnsi="黑体" w:eastAsia="黑体" w:cs="黑体"/>
          <w:sz w:val="21"/>
          <w:szCs w:val="21"/>
          <w:highlight w:val="none"/>
        </w:rPr>
        <w:fldChar w:fldCharType="begin"/>
      </w:r>
      <w:r>
        <w:rPr>
          <w:rFonts w:hint="eastAsia" w:ascii="黑体" w:hAnsi="黑体" w:eastAsia="黑体" w:cs="黑体"/>
          <w:sz w:val="21"/>
          <w:szCs w:val="21"/>
          <w:highlight w:val="none"/>
        </w:rPr>
        <w:instrText xml:space="preserve"> HYPERLINK \l _Toc16339 </w:instrText>
      </w:r>
      <w:r>
        <w:rPr>
          <w:rFonts w:hint="eastAsia" w:ascii="黑体" w:hAnsi="黑体" w:eastAsia="黑体" w:cs="黑体"/>
          <w:sz w:val="21"/>
          <w:szCs w:val="21"/>
          <w:highlight w:val="none"/>
        </w:rPr>
        <w:fldChar w:fldCharType="separate"/>
      </w:r>
      <w:r>
        <w:rPr>
          <w:rFonts w:hint="eastAsia" w:ascii="黑体" w:hAnsi="黑体" w:eastAsia="黑体" w:cs="黑体"/>
          <w:sz w:val="21"/>
          <w:szCs w:val="21"/>
        </w:rPr>
        <w:t>6 评价程序</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_Toc16339 \h </w:instrText>
      </w:r>
      <w:r>
        <w:rPr>
          <w:rFonts w:hint="eastAsia" w:ascii="黑体" w:hAnsi="黑体" w:eastAsia="黑体" w:cs="黑体"/>
          <w:sz w:val="21"/>
          <w:szCs w:val="21"/>
        </w:rPr>
        <w:fldChar w:fldCharType="separate"/>
      </w:r>
      <w:r>
        <w:rPr>
          <w:rFonts w:hint="eastAsia" w:ascii="黑体" w:hAnsi="黑体" w:eastAsia="黑体" w:cs="黑体"/>
          <w:sz w:val="21"/>
          <w:szCs w:val="21"/>
        </w:rPr>
        <w:t>8</w:t>
      </w:r>
      <w:r>
        <w:rPr>
          <w:rFonts w:hint="eastAsia" w:ascii="黑体" w:hAnsi="黑体" w:eastAsia="黑体" w:cs="黑体"/>
          <w:sz w:val="21"/>
          <w:szCs w:val="21"/>
        </w:rPr>
        <w:fldChar w:fldCharType="end"/>
      </w:r>
      <w:r>
        <w:rPr>
          <w:rFonts w:hint="eastAsia" w:ascii="黑体" w:hAnsi="黑体" w:eastAsia="黑体" w:cs="黑体"/>
          <w:sz w:val="21"/>
          <w:szCs w:val="21"/>
          <w:highlight w:val="none"/>
        </w:rPr>
        <w:fldChar w:fldCharType="end"/>
      </w:r>
    </w:p>
    <w:p>
      <w:pPr>
        <w:pStyle w:val="134"/>
        <w:keepNext w:val="0"/>
        <w:keepLines w:val="0"/>
        <w:pageBreakBefore w:val="0"/>
        <w:tabs>
          <w:tab w:val="right" w:leader="dot" w:pos="9354"/>
        </w:tabs>
        <w:kinsoku/>
        <w:wordWrap/>
        <w:overflowPunct/>
        <w:topLinePunct w:val="0"/>
        <w:autoSpaceDE/>
        <w:autoSpaceDN/>
        <w:bidi w:val="0"/>
        <w:adjustRightInd/>
        <w:snapToGrid/>
        <w:spacing w:line="360" w:lineRule="exact"/>
        <w:textAlignment w:val="auto"/>
        <w:rPr>
          <w:rFonts w:hint="eastAsia" w:ascii="黑体" w:hAnsi="黑体" w:eastAsia="黑体" w:cs="黑体"/>
          <w:sz w:val="21"/>
          <w:szCs w:val="21"/>
        </w:rPr>
      </w:pPr>
      <w:r>
        <w:rPr>
          <w:rFonts w:hint="eastAsia" w:ascii="黑体" w:hAnsi="黑体" w:eastAsia="黑体" w:cs="黑体"/>
          <w:sz w:val="21"/>
          <w:szCs w:val="21"/>
          <w:highlight w:val="none"/>
        </w:rPr>
        <w:fldChar w:fldCharType="begin"/>
      </w:r>
      <w:r>
        <w:rPr>
          <w:rFonts w:hint="eastAsia" w:ascii="黑体" w:hAnsi="黑体" w:eastAsia="黑体" w:cs="黑体"/>
          <w:sz w:val="21"/>
          <w:szCs w:val="21"/>
          <w:highlight w:val="none"/>
        </w:rPr>
        <w:instrText xml:space="preserve"> HYPERLINK \l _Toc9766 </w:instrText>
      </w:r>
      <w:r>
        <w:rPr>
          <w:rFonts w:hint="eastAsia" w:ascii="黑体" w:hAnsi="黑体" w:eastAsia="黑体" w:cs="黑体"/>
          <w:sz w:val="21"/>
          <w:szCs w:val="21"/>
          <w:highlight w:val="none"/>
        </w:rPr>
        <w:fldChar w:fldCharType="separate"/>
      </w:r>
      <w:r>
        <w:rPr>
          <w:rFonts w:hint="eastAsia" w:ascii="黑体" w:hAnsi="黑体" w:eastAsia="黑体" w:cs="黑体"/>
          <w:sz w:val="21"/>
          <w:szCs w:val="21"/>
        </w:rPr>
        <w:t>7 评价报告</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_Toc9766 \h </w:instrText>
      </w:r>
      <w:r>
        <w:rPr>
          <w:rFonts w:hint="eastAsia" w:ascii="黑体" w:hAnsi="黑体" w:eastAsia="黑体" w:cs="黑体"/>
          <w:sz w:val="21"/>
          <w:szCs w:val="21"/>
        </w:rPr>
        <w:fldChar w:fldCharType="separate"/>
      </w:r>
      <w:r>
        <w:rPr>
          <w:rFonts w:hint="eastAsia" w:ascii="黑体" w:hAnsi="黑体" w:eastAsia="黑体" w:cs="黑体"/>
          <w:sz w:val="21"/>
          <w:szCs w:val="21"/>
        </w:rPr>
        <w:t>8</w:t>
      </w:r>
      <w:r>
        <w:rPr>
          <w:rFonts w:hint="eastAsia" w:ascii="黑体" w:hAnsi="黑体" w:eastAsia="黑体" w:cs="黑体"/>
          <w:sz w:val="21"/>
          <w:szCs w:val="21"/>
        </w:rPr>
        <w:fldChar w:fldCharType="end"/>
      </w:r>
      <w:r>
        <w:rPr>
          <w:rFonts w:hint="eastAsia" w:ascii="黑体" w:hAnsi="黑体" w:eastAsia="黑体" w:cs="黑体"/>
          <w:sz w:val="21"/>
          <w:szCs w:val="21"/>
          <w:highlight w:val="none"/>
        </w:rPr>
        <w:fldChar w:fldCharType="end"/>
      </w:r>
    </w:p>
    <w:p>
      <w:pPr>
        <w:pStyle w:val="134"/>
        <w:keepNext w:val="0"/>
        <w:keepLines w:val="0"/>
        <w:pageBreakBefore w:val="0"/>
        <w:tabs>
          <w:tab w:val="right" w:leader="dot" w:pos="9354"/>
        </w:tabs>
        <w:kinsoku/>
        <w:wordWrap/>
        <w:overflowPunct/>
        <w:topLinePunct w:val="0"/>
        <w:autoSpaceDE/>
        <w:autoSpaceDN/>
        <w:bidi w:val="0"/>
        <w:adjustRightInd/>
        <w:snapToGrid/>
        <w:spacing w:line="360" w:lineRule="exact"/>
        <w:textAlignment w:val="auto"/>
        <w:rPr>
          <w:rFonts w:hint="eastAsia" w:ascii="黑体" w:hAnsi="黑体" w:eastAsia="黑体" w:cs="黑体"/>
          <w:sz w:val="21"/>
          <w:szCs w:val="21"/>
        </w:rPr>
      </w:pPr>
      <w:r>
        <w:rPr>
          <w:rFonts w:hint="eastAsia" w:ascii="黑体" w:hAnsi="黑体" w:eastAsia="黑体" w:cs="黑体"/>
          <w:sz w:val="21"/>
          <w:szCs w:val="21"/>
          <w:highlight w:val="none"/>
        </w:rPr>
        <w:fldChar w:fldCharType="begin"/>
      </w:r>
      <w:r>
        <w:rPr>
          <w:rFonts w:hint="eastAsia" w:ascii="黑体" w:hAnsi="黑体" w:eastAsia="黑体" w:cs="黑体"/>
          <w:sz w:val="21"/>
          <w:szCs w:val="21"/>
          <w:highlight w:val="none"/>
        </w:rPr>
        <w:instrText xml:space="preserve"> HYPERLINK \l _Toc11720 </w:instrText>
      </w:r>
      <w:r>
        <w:rPr>
          <w:rFonts w:hint="eastAsia" w:ascii="黑体" w:hAnsi="黑体" w:eastAsia="黑体" w:cs="黑体"/>
          <w:sz w:val="21"/>
          <w:szCs w:val="21"/>
          <w:highlight w:val="none"/>
        </w:rPr>
        <w:fldChar w:fldCharType="separate"/>
      </w:r>
      <w:r>
        <w:rPr>
          <w:rFonts w:hint="eastAsia" w:ascii="黑体" w:hAnsi="黑体" w:eastAsia="黑体" w:cs="黑体"/>
          <w:sz w:val="21"/>
          <w:szCs w:val="21"/>
          <w:highlight w:val="none"/>
        </w:rPr>
        <w:t>附录 A</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_Toc11720 \h </w:instrText>
      </w:r>
      <w:r>
        <w:rPr>
          <w:rFonts w:hint="eastAsia" w:ascii="黑体" w:hAnsi="黑体" w:eastAsia="黑体" w:cs="黑体"/>
          <w:sz w:val="21"/>
          <w:szCs w:val="21"/>
        </w:rPr>
        <w:fldChar w:fldCharType="separate"/>
      </w:r>
      <w:r>
        <w:rPr>
          <w:rFonts w:hint="eastAsia" w:ascii="黑体" w:hAnsi="黑体" w:eastAsia="黑体" w:cs="黑体"/>
          <w:sz w:val="21"/>
          <w:szCs w:val="21"/>
        </w:rPr>
        <w:t>9</w:t>
      </w:r>
      <w:r>
        <w:rPr>
          <w:rFonts w:hint="eastAsia" w:ascii="黑体" w:hAnsi="黑体" w:eastAsia="黑体" w:cs="黑体"/>
          <w:sz w:val="21"/>
          <w:szCs w:val="21"/>
        </w:rPr>
        <w:fldChar w:fldCharType="end"/>
      </w:r>
      <w:r>
        <w:rPr>
          <w:rFonts w:hint="eastAsia" w:ascii="黑体" w:hAnsi="黑体" w:eastAsia="黑体" w:cs="黑体"/>
          <w:sz w:val="21"/>
          <w:szCs w:val="21"/>
          <w:highlight w:val="none"/>
        </w:rPr>
        <w:fldChar w:fldCharType="end"/>
      </w:r>
    </w:p>
    <w:p>
      <w:pPr>
        <w:pStyle w:val="134"/>
        <w:keepNext w:val="0"/>
        <w:keepLines w:val="0"/>
        <w:pageBreakBefore w:val="0"/>
        <w:tabs>
          <w:tab w:val="right" w:leader="dot" w:pos="9354"/>
        </w:tabs>
        <w:kinsoku/>
        <w:wordWrap/>
        <w:overflowPunct/>
        <w:topLinePunct w:val="0"/>
        <w:autoSpaceDE/>
        <w:autoSpaceDN/>
        <w:bidi w:val="0"/>
        <w:adjustRightInd/>
        <w:snapToGrid/>
        <w:spacing w:line="360" w:lineRule="exact"/>
        <w:textAlignment w:val="auto"/>
        <w:rPr>
          <w:rFonts w:hint="eastAsia" w:ascii="黑体" w:hAnsi="黑体" w:eastAsia="黑体" w:cs="黑体"/>
          <w:sz w:val="21"/>
          <w:szCs w:val="21"/>
        </w:rPr>
      </w:pPr>
      <w:r>
        <w:rPr>
          <w:rFonts w:hint="eastAsia" w:ascii="黑体" w:hAnsi="黑体" w:eastAsia="黑体" w:cs="黑体"/>
          <w:sz w:val="21"/>
          <w:szCs w:val="21"/>
          <w:highlight w:val="none"/>
        </w:rPr>
        <w:fldChar w:fldCharType="begin"/>
      </w:r>
      <w:r>
        <w:rPr>
          <w:rFonts w:hint="eastAsia" w:ascii="黑体" w:hAnsi="黑体" w:eastAsia="黑体" w:cs="黑体"/>
          <w:sz w:val="21"/>
          <w:szCs w:val="21"/>
          <w:highlight w:val="none"/>
        </w:rPr>
        <w:instrText xml:space="preserve"> HYPERLINK \l _Toc19896 </w:instrText>
      </w:r>
      <w:r>
        <w:rPr>
          <w:rFonts w:hint="eastAsia" w:ascii="黑体" w:hAnsi="黑体" w:eastAsia="黑体" w:cs="黑体"/>
          <w:sz w:val="21"/>
          <w:szCs w:val="21"/>
          <w:highlight w:val="none"/>
        </w:rPr>
        <w:fldChar w:fldCharType="separate"/>
      </w:r>
      <w:r>
        <w:rPr>
          <w:rFonts w:hint="eastAsia" w:ascii="黑体" w:hAnsi="黑体" w:eastAsia="黑体" w:cs="黑体"/>
          <w:bCs w:val="0"/>
          <w:sz w:val="21"/>
          <w:szCs w:val="21"/>
        </w:rPr>
        <w:t>附录 B</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_Toc19896 \h </w:instrText>
      </w:r>
      <w:r>
        <w:rPr>
          <w:rFonts w:hint="eastAsia" w:ascii="黑体" w:hAnsi="黑体" w:eastAsia="黑体" w:cs="黑体"/>
          <w:sz w:val="21"/>
          <w:szCs w:val="21"/>
        </w:rPr>
        <w:fldChar w:fldCharType="separate"/>
      </w:r>
      <w:r>
        <w:rPr>
          <w:rFonts w:hint="eastAsia" w:ascii="黑体" w:hAnsi="黑体" w:eastAsia="黑体" w:cs="黑体"/>
          <w:sz w:val="21"/>
          <w:szCs w:val="21"/>
        </w:rPr>
        <w:t>16</w:t>
      </w:r>
      <w:r>
        <w:rPr>
          <w:rFonts w:hint="eastAsia" w:ascii="黑体" w:hAnsi="黑体" w:eastAsia="黑体" w:cs="黑体"/>
          <w:sz w:val="21"/>
          <w:szCs w:val="21"/>
        </w:rPr>
        <w:fldChar w:fldCharType="end"/>
      </w:r>
      <w:r>
        <w:rPr>
          <w:rFonts w:hint="eastAsia" w:ascii="黑体" w:hAnsi="黑体" w:eastAsia="黑体" w:cs="黑体"/>
          <w:sz w:val="21"/>
          <w:szCs w:val="21"/>
          <w:highlight w:val="none"/>
        </w:rPr>
        <w:fldChar w:fldCharType="end"/>
      </w:r>
    </w:p>
    <w:p>
      <w:pPr>
        <w:pStyle w:val="134"/>
        <w:keepNext w:val="0"/>
        <w:keepLines w:val="0"/>
        <w:pageBreakBefore w:val="0"/>
        <w:tabs>
          <w:tab w:val="right" w:leader="dot" w:pos="9354"/>
        </w:tabs>
        <w:kinsoku/>
        <w:wordWrap/>
        <w:overflowPunct/>
        <w:topLinePunct w:val="0"/>
        <w:autoSpaceDE/>
        <w:autoSpaceDN/>
        <w:bidi w:val="0"/>
        <w:adjustRightInd/>
        <w:snapToGrid/>
        <w:spacing w:line="360" w:lineRule="exact"/>
        <w:textAlignment w:val="auto"/>
        <w:rPr>
          <w:rFonts w:hint="eastAsia" w:ascii="黑体" w:hAnsi="黑体" w:eastAsia="黑体" w:cs="黑体"/>
          <w:sz w:val="21"/>
          <w:szCs w:val="21"/>
        </w:rPr>
      </w:pPr>
      <w:r>
        <w:rPr>
          <w:rFonts w:hint="eastAsia" w:ascii="黑体" w:hAnsi="黑体" w:eastAsia="黑体" w:cs="黑体"/>
          <w:sz w:val="21"/>
          <w:szCs w:val="21"/>
          <w:highlight w:val="none"/>
        </w:rPr>
        <w:fldChar w:fldCharType="begin"/>
      </w:r>
      <w:r>
        <w:rPr>
          <w:rFonts w:hint="eastAsia" w:ascii="黑体" w:hAnsi="黑体" w:eastAsia="黑体" w:cs="黑体"/>
          <w:sz w:val="21"/>
          <w:szCs w:val="21"/>
          <w:highlight w:val="none"/>
        </w:rPr>
        <w:instrText xml:space="preserve"> HYPERLINK \l _Toc961 </w:instrText>
      </w:r>
      <w:r>
        <w:rPr>
          <w:rFonts w:hint="eastAsia" w:ascii="黑体" w:hAnsi="黑体" w:eastAsia="黑体" w:cs="黑体"/>
          <w:sz w:val="21"/>
          <w:szCs w:val="21"/>
          <w:highlight w:val="none"/>
        </w:rPr>
        <w:fldChar w:fldCharType="separate"/>
      </w:r>
      <w:r>
        <w:rPr>
          <w:rFonts w:hint="eastAsia" w:ascii="黑体" w:hAnsi="黑体" w:eastAsia="黑体" w:cs="黑体"/>
          <w:sz w:val="21"/>
          <w:szCs w:val="21"/>
          <w:highlight w:val="none"/>
        </w:rPr>
        <w:t>参考文献</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_Toc961 \h </w:instrText>
      </w:r>
      <w:r>
        <w:rPr>
          <w:rFonts w:hint="eastAsia" w:ascii="黑体" w:hAnsi="黑体" w:eastAsia="黑体" w:cs="黑体"/>
          <w:sz w:val="21"/>
          <w:szCs w:val="21"/>
        </w:rPr>
        <w:fldChar w:fldCharType="separate"/>
      </w:r>
      <w:r>
        <w:rPr>
          <w:rFonts w:hint="eastAsia" w:ascii="黑体" w:hAnsi="黑体" w:eastAsia="黑体" w:cs="黑体"/>
          <w:sz w:val="21"/>
          <w:szCs w:val="21"/>
        </w:rPr>
        <w:t>19</w:t>
      </w:r>
      <w:r>
        <w:rPr>
          <w:rFonts w:hint="eastAsia" w:ascii="黑体" w:hAnsi="黑体" w:eastAsia="黑体" w:cs="黑体"/>
          <w:sz w:val="21"/>
          <w:szCs w:val="21"/>
        </w:rPr>
        <w:fldChar w:fldCharType="end"/>
      </w:r>
      <w:r>
        <w:rPr>
          <w:rFonts w:hint="eastAsia" w:ascii="黑体" w:hAnsi="黑体" w:eastAsia="黑体" w:cs="黑体"/>
          <w:sz w:val="21"/>
          <w:szCs w:val="21"/>
          <w:highlight w:val="none"/>
        </w:rPr>
        <w:fldChar w:fldCharType="end"/>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黑体" w:hAnsi="黑体" w:eastAsia="黑体"/>
          <w:sz w:val="30"/>
          <w:szCs w:val="30"/>
          <w:highlight w:val="none"/>
        </w:rPr>
      </w:pPr>
      <w:r>
        <w:rPr>
          <w:rFonts w:hint="eastAsia" w:ascii="黑体" w:hAnsi="黑体" w:eastAsia="黑体" w:cs="黑体"/>
          <w:sz w:val="21"/>
          <w:szCs w:val="21"/>
          <w:highlight w:val="none"/>
        </w:rPr>
        <w:fldChar w:fldCharType="end"/>
      </w:r>
    </w:p>
    <w:p>
      <w:pPr>
        <w:rPr>
          <w:sz w:val="32"/>
          <w:szCs w:val="32"/>
          <w:highlight w:val="none"/>
        </w:rPr>
      </w:pPr>
    </w:p>
    <w:p>
      <w:pPr>
        <w:rPr>
          <w:sz w:val="32"/>
          <w:szCs w:val="32"/>
          <w:highlight w:val="none"/>
        </w:rPr>
      </w:pPr>
    </w:p>
    <w:p>
      <w:pPr>
        <w:rPr>
          <w:sz w:val="32"/>
          <w:szCs w:val="32"/>
          <w:highlight w:val="none"/>
        </w:rPr>
      </w:pPr>
    </w:p>
    <w:p>
      <w:pPr>
        <w:rPr>
          <w:sz w:val="32"/>
          <w:szCs w:val="32"/>
          <w:highlight w:val="none"/>
        </w:rPr>
      </w:pPr>
    </w:p>
    <w:p>
      <w:pPr>
        <w:rPr>
          <w:sz w:val="32"/>
          <w:szCs w:val="32"/>
          <w:highlight w:val="none"/>
        </w:rPr>
      </w:pPr>
    </w:p>
    <w:p>
      <w:pPr>
        <w:rPr>
          <w:sz w:val="32"/>
          <w:szCs w:val="32"/>
          <w:highlight w:val="none"/>
        </w:rPr>
      </w:pPr>
    </w:p>
    <w:p>
      <w:pPr>
        <w:rPr>
          <w:sz w:val="32"/>
          <w:szCs w:val="32"/>
          <w:highlight w:val="none"/>
        </w:rPr>
      </w:pPr>
    </w:p>
    <w:p>
      <w:pPr>
        <w:rPr>
          <w:sz w:val="32"/>
          <w:szCs w:val="32"/>
          <w:highlight w:val="none"/>
        </w:rPr>
      </w:pPr>
    </w:p>
    <w:p>
      <w:pPr>
        <w:rPr>
          <w:sz w:val="32"/>
          <w:szCs w:val="32"/>
          <w:highlight w:val="none"/>
        </w:rPr>
      </w:pPr>
    </w:p>
    <w:p>
      <w:pPr>
        <w:rPr>
          <w:sz w:val="32"/>
          <w:szCs w:val="32"/>
          <w:highlight w:val="none"/>
        </w:rPr>
        <w:sectPr>
          <w:headerReference r:id="rId8" w:type="default"/>
          <w:footerReference r:id="rId9" w:type="default"/>
          <w:footerReference r:id="rId10" w:type="even"/>
          <w:type w:val="continuous"/>
          <w:pgSz w:w="11906" w:h="16838"/>
          <w:pgMar w:top="1134" w:right="1418" w:bottom="1418" w:left="1134" w:header="851" w:footer="992" w:gutter="0"/>
          <w:pgNumType w:fmt="upperRoman" w:start="1"/>
          <w:cols w:space="720" w:num="1"/>
          <w:docGrid w:type="lines" w:linePitch="317" w:charSpace="0"/>
        </w:sectPr>
      </w:pPr>
    </w:p>
    <w:p>
      <w:pPr>
        <w:pStyle w:val="31"/>
        <w:rPr>
          <w:highlight w:val="none"/>
        </w:rPr>
      </w:pPr>
      <w:bookmarkStart w:id="1" w:name="_Toc11596"/>
      <w:bookmarkStart w:id="2" w:name="_Toc19724"/>
      <w:r>
        <w:rPr>
          <w:rFonts w:hint="eastAsia"/>
          <w:highlight w:val="none"/>
        </w:rPr>
        <w:t>前</w:t>
      </w:r>
      <w:bookmarkEnd w:id="1"/>
      <w:bookmarkStart w:id="3" w:name="_Toc26412"/>
      <w:r>
        <w:rPr>
          <w:rFonts w:hint="eastAsia"/>
          <w:highlight w:val="none"/>
        </w:rPr>
        <w:t>言</w:t>
      </w:r>
      <w:bookmarkEnd w:id="2"/>
      <w:bookmarkEnd w:id="3"/>
    </w:p>
    <w:p>
      <w:pPr>
        <w:rPr>
          <w:highlight w:val="none"/>
        </w:rPr>
      </w:pPr>
    </w:p>
    <w:p>
      <w:pPr>
        <w:adjustRightInd w:val="0"/>
        <w:snapToGrid w:val="0"/>
        <w:ind w:firstLine="420" w:firstLineChars="200"/>
        <w:rPr>
          <w:rFonts w:hint="eastAsia"/>
          <w:highlight w:val="none"/>
        </w:rPr>
      </w:pPr>
      <w:bookmarkStart w:id="4" w:name="_Hlk57730768"/>
      <w:r>
        <w:rPr>
          <w:rFonts w:hint="eastAsia"/>
          <w:highlight w:val="none"/>
        </w:rPr>
        <w:t>本文件按照GB/T 1.1-2020《标准化工作导则 第1部分：标准化文件的结构和起草规则》的规定起草。</w:t>
      </w:r>
    </w:p>
    <w:bookmarkEnd w:id="4"/>
    <w:p>
      <w:pPr>
        <w:adjustRightInd w:val="0"/>
        <w:snapToGrid w:val="0"/>
        <w:ind w:firstLine="420" w:firstLineChars="200"/>
        <w:rPr>
          <w:highlight w:val="none"/>
        </w:rPr>
      </w:pPr>
      <w:r>
        <w:rPr>
          <w:rFonts w:hint="eastAsia"/>
          <w:highlight w:val="none"/>
        </w:rPr>
        <w:t>本文件</w:t>
      </w:r>
      <w:r>
        <w:rPr>
          <w:highlight w:val="none"/>
        </w:rPr>
        <w:t>由全国稀土标准化技术委员会（SAC/TC 229）提出并归口。</w:t>
      </w:r>
    </w:p>
    <w:p>
      <w:pPr>
        <w:adjustRightInd w:val="0"/>
        <w:snapToGrid w:val="0"/>
        <w:ind w:firstLine="420" w:firstLineChars="200"/>
        <w:rPr>
          <w:highlight w:val="none"/>
        </w:rPr>
      </w:pPr>
      <w:r>
        <w:rPr>
          <w:rFonts w:hint="eastAsia"/>
          <w:highlight w:val="none"/>
        </w:rPr>
        <w:t>本文件</w:t>
      </w:r>
      <w:r>
        <w:rPr>
          <w:highlight w:val="none"/>
        </w:rPr>
        <w:t>起草单位：</w:t>
      </w:r>
      <w:r>
        <w:rPr>
          <w:rFonts w:hint="eastAsia"/>
          <w:highlight w:val="none"/>
        </w:rPr>
        <w:t>包头天骄</w:t>
      </w:r>
      <w:r>
        <w:rPr>
          <w:highlight w:val="none"/>
        </w:rPr>
        <w:t>清美稀土抛光</w:t>
      </w:r>
      <w:r>
        <w:rPr>
          <w:rFonts w:hint="eastAsia"/>
          <w:highlight w:val="none"/>
        </w:rPr>
        <w:t>粉</w:t>
      </w:r>
      <w:r>
        <w:rPr>
          <w:highlight w:val="none"/>
        </w:rPr>
        <w:t>有限公司</w:t>
      </w:r>
      <w:r>
        <w:rPr>
          <w:rFonts w:hint="eastAsia"/>
          <w:highlight w:val="none"/>
        </w:rPr>
        <w:t>等</w:t>
      </w:r>
    </w:p>
    <w:p>
      <w:pPr>
        <w:adjustRightInd w:val="0"/>
        <w:snapToGrid w:val="0"/>
        <w:ind w:firstLine="420" w:firstLineChars="200"/>
        <w:rPr>
          <w:highlight w:val="none"/>
        </w:rPr>
      </w:pPr>
      <w:r>
        <w:rPr>
          <w:rFonts w:hint="eastAsia"/>
          <w:highlight w:val="none"/>
        </w:rPr>
        <w:t>本文件</w:t>
      </w:r>
      <w:r>
        <w:rPr>
          <w:highlight w:val="none"/>
        </w:rPr>
        <w:t>主要起草人：</w:t>
      </w:r>
    </w:p>
    <w:p>
      <w:pPr>
        <w:jc w:val="center"/>
        <w:rPr>
          <w:rFonts w:ascii="黑体" w:hAnsi="黑体" w:eastAsia="黑体"/>
          <w:sz w:val="30"/>
          <w:szCs w:val="30"/>
          <w:highlight w:val="none"/>
        </w:rPr>
      </w:pPr>
    </w:p>
    <w:p>
      <w:pPr>
        <w:rPr>
          <w:highlight w:val="none"/>
        </w:rPr>
      </w:pPr>
      <w:bookmarkStart w:id="5" w:name="_Toc955_WPSOffice_Level1"/>
      <w:bookmarkStart w:id="6" w:name="_Toc1613_WPSOffice_Level1"/>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tabs>
          <w:tab w:val="left" w:pos="6255"/>
        </w:tabs>
        <w:rPr>
          <w:highlight w:val="none"/>
        </w:rPr>
      </w:pPr>
      <w:r>
        <w:rPr>
          <w:highlight w:val="none"/>
        </w:rPr>
        <w:tab/>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sectPr>
          <w:headerReference r:id="rId11" w:type="default"/>
          <w:footerReference r:id="rId12" w:type="default"/>
          <w:footerReference r:id="rId13" w:type="even"/>
          <w:pgSz w:w="11906" w:h="16838"/>
          <w:pgMar w:top="1134" w:right="1418" w:bottom="1418" w:left="1134" w:header="851" w:footer="992" w:gutter="0"/>
          <w:pgNumType w:fmt="upperRoman" w:start="1"/>
          <w:cols w:space="720" w:num="1"/>
          <w:docGrid w:type="lines" w:linePitch="317" w:charSpace="0"/>
        </w:sectPr>
      </w:pPr>
    </w:p>
    <w:p>
      <w:pPr>
        <w:pStyle w:val="31"/>
        <w:rPr>
          <w:highlight w:val="none"/>
        </w:rPr>
      </w:pPr>
      <w:bookmarkStart w:id="7" w:name="_Toc9432"/>
      <w:bookmarkStart w:id="8" w:name="_Toc30871"/>
      <w:r>
        <w:rPr>
          <w:highlight w:val="none"/>
        </w:rPr>
        <w:t>稀土抛光粉</w:t>
      </w:r>
      <w:r>
        <w:rPr>
          <w:rFonts w:hint="eastAsia"/>
          <w:highlight w:val="none"/>
        </w:rPr>
        <w:t>绿色工厂评价要求</w:t>
      </w:r>
      <w:bookmarkEnd w:id="5"/>
      <w:bookmarkEnd w:id="6"/>
      <w:bookmarkEnd w:id="7"/>
      <w:bookmarkEnd w:id="8"/>
    </w:p>
    <w:p>
      <w:pPr>
        <w:pStyle w:val="3"/>
        <w:outlineLvl w:val="0"/>
        <w:rPr>
          <w:highlight w:val="none"/>
        </w:rPr>
      </w:pPr>
      <w:bookmarkStart w:id="9" w:name="_Toc531265187"/>
      <w:bookmarkStart w:id="10" w:name="_Toc96"/>
      <w:bookmarkStart w:id="11" w:name="_Toc29401_WPSOffice_Level1"/>
      <w:bookmarkStart w:id="12" w:name="_Toc9882"/>
      <w:bookmarkStart w:id="13" w:name="_Toc14631"/>
      <w:bookmarkStart w:id="14" w:name="_Toc23756"/>
      <w:bookmarkStart w:id="15" w:name="_Toc14354"/>
      <w:bookmarkStart w:id="16" w:name="_Toc14040_WPSOffice_Level1"/>
      <w:bookmarkStart w:id="17" w:name="_Toc40971599"/>
      <w:bookmarkStart w:id="18" w:name="_Toc381480737"/>
      <w:r>
        <w:rPr>
          <w:rFonts w:hint="eastAsia"/>
          <w:highlight w:val="none"/>
        </w:rPr>
        <w:t>1 范围</w:t>
      </w:r>
      <w:bookmarkEnd w:id="9"/>
      <w:bookmarkEnd w:id="10"/>
      <w:bookmarkEnd w:id="11"/>
      <w:bookmarkEnd w:id="12"/>
      <w:bookmarkEnd w:id="13"/>
      <w:bookmarkEnd w:id="14"/>
      <w:bookmarkEnd w:id="15"/>
      <w:bookmarkEnd w:id="16"/>
      <w:bookmarkEnd w:id="17"/>
      <w:bookmarkEnd w:id="18"/>
    </w:p>
    <w:p>
      <w:pPr>
        <w:keepNext w:val="0"/>
        <w:keepLines w:val="0"/>
        <w:pageBreakBefore w:val="0"/>
        <w:widowControl w:val="0"/>
        <w:kinsoku/>
        <w:wordWrap/>
        <w:overflowPunct/>
        <w:topLinePunct w:val="0"/>
        <w:autoSpaceDE/>
        <w:autoSpaceDN/>
        <w:bidi w:val="0"/>
        <w:adjustRightInd/>
        <w:snapToGrid/>
        <w:ind w:firstLine="420" w:firstLineChars="200"/>
        <w:textAlignment w:val="auto"/>
        <w:rPr>
          <w:highlight w:val="none"/>
        </w:rPr>
      </w:pPr>
      <w:bookmarkStart w:id="19" w:name="_Hlk52635897"/>
      <w:r>
        <w:rPr>
          <w:rFonts w:hint="eastAsia"/>
          <w:highlight w:val="none"/>
        </w:rPr>
        <w:t>本文件规定了稀土抛光</w:t>
      </w:r>
      <w:r>
        <w:rPr>
          <w:rFonts w:hint="eastAsia"/>
          <w:highlight w:val="none"/>
          <w:lang w:val="en-US" w:eastAsia="zh-CN"/>
        </w:rPr>
        <w:t>粉</w:t>
      </w:r>
      <w:r>
        <w:rPr>
          <w:rFonts w:hint="eastAsia"/>
          <w:highlight w:val="none"/>
        </w:rPr>
        <w:t>绿色工厂评价的</w:t>
      </w:r>
      <w:r>
        <w:rPr>
          <w:rFonts w:hint="eastAsia"/>
          <w:highlight w:val="none"/>
          <w:lang w:val="en-US" w:eastAsia="zh-CN"/>
        </w:rPr>
        <w:t>术语与定义、总则</w:t>
      </w:r>
      <w:r>
        <w:rPr>
          <w:rFonts w:hint="eastAsia"/>
          <w:highlight w:val="none"/>
        </w:rPr>
        <w:t>、</w:t>
      </w:r>
      <w:r>
        <w:rPr>
          <w:rFonts w:hint="eastAsia"/>
          <w:highlight w:val="none"/>
          <w:lang w:val="en-US" w:eastAsia="zh-CN"/>
        </w:rPr>
        <w:t>评价要求、评价程序和评价报告</w:t>
      </w:r>
      <w:r>
        <w:rPr>
          <w:rFonts w:hint="eastAsia"/>
          <w:highlight w:val="none"/>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highlight w:val="none"/>
        </w:rPr>
      </w:pPr>
      <w:bookmarkStart w:id="20" w:name="_Toc381480738"/>
      <w:r>
        <w:rPr>
          <w:rFonts w:hint="eastAsia"/>
          <w:highlight w:val="none"/>
        </w:rPr>
        <w:t>本文件适用于</w:t>
      </w:r>
      <w:r>
        <w:rPr>
          <w:rFonts w:hint="eastAsia"/>
          <w:highlight w:val="none"/>
          <w:lang w:val="en-US" w:eastAsia="zh-CN"/>
        </w:rPr>
        <w:t>稀土企业中</w:t>
      </w:r>
      <w:r>
        <w:rPr>
          <w:highlight w:val="none"/>
        </w:rPr>
        <w:t>从事稀土</w:t>
      </w:r>
      <w:r>
        <w:rPr>
          <w:rFonts w:hint="eastAsia"/>
          <w:highlight w:val="none"/>
        </w:rPr>
        <w:t>抛光</w:t>
      </w:r>
      <w:r>
        <w:rPr>
          <w:rFonts w:hint="eastAsia"/>
          <w:highlight w:val="none"/>
          <w:lang w:val="en-US" w:eastAsia="zh-CN"/>
        </w:rPr>
        <w:t>粉</w:t>
      </w:r>
      <w:r>
        <w:rPr>
          <w:rFonts w:hint="eastAsia"/>
          <w:highlight w:val="none"/>
        </w:rPr>
        <w:t>生产的企业</w:t>
      </w:r>
      <w:r>
        <w:rPr>
          <w:rFonts w:hint="eastAsia"/>
          <w:highlight w:val="none"/>
          <w:lang w:val="en-US" w:eastAsia="zh-CN"/>
        </w:rPr>
        <w:t>或企业</w:t>
      </w:r>
      <w:r>
        <w:rPr>
          <w:rFonts w:hint="eastAsia"/>
          <w:highlight w:val="none"/>
        </w:rPr>
        <w:t>生产单元的绿色工厂评价。</w:t>
      </w:r>
      <w:bookmarkEnd w:id="19"/>
    </w:p>
    <w:p>
      <w:pPr>
        <w:pStyle w:val="3"/>
        <w:outlineLvl w:val="0"/>
        <w:rPr>
          <w:highlight w:val="none"/>
        </w:rPr>
      </w:pPr>
      <w:bookmarkStart w:id="21" w:name="_Toc531265188"/>
      <w:bookmarkStart w:id="22" w:name="_Toc2981"/>
      <w:bookmarkStart w:id="23" w:name="_Toc8213"/>
      <w:bookmarkStart w:id="24" w:name="_Toc20985"/>
      <w:bookmarkStart w:id="25" w:name="_Toc40971600"/>
      <w:bookmarkStart w:id="26" w:name="_Toc20169_WPSOffice_Level1"/>
      <w:bookmarkStart w:id="27" w:name="_Toc20399"/>
      <w:bookmarkStart w:id="28" w:name="_Toc12888_WPSOffice_Level1"/>
      <w:bookmarkStart w:id="29" w:name="_Toc2392"/>
      <w:r>
        <w:rPr>
          <w:rFonts w:hint="eastAsia"/>
          <w:highlight w:val="none"/>
        </w:rPr>
        <w:t>2 规范性引用文件</w:t>
      </w:r>
      <w:bookmarkEnd w:id="20"/>
      <w:bookmarkEnd w:id="21"/>
      <w:bookmarkEnd w:id="22"/>
      <w:bookmarkEnd w:id="23"/>
      <w:bookmarkEnd w:id="24"/>
      <w:bookmarkEnd w:id="25"/>
      <w:bookmarkEnd w:id="26"/>
      <w:bookmarkEnd w:id="27"/>
      <w:bookmarkEnd w:id="28"/>
      <w:bookmarkEnd w:id="29"/>
    </w:p>
    <w:p>
      <w:pPr>
        <w:adjustRightInd w:val="0"/>
        <w:snapToGrid w:val="0"/>
        <w:ind w:firstLine="420" w:firstLineChars="200"/>
        <w:rPr>
          <w:rFonts w:ascii="Times New Roman" w:hAnsi="Times New Roman"/>
          <w:highlight w:val="none"/>
        </w:rPr>
      </w:pPr>
      <w:r>
        <w:rPr>
          <w:rFonts w:ascii="Times New Roman" w:hAnsi="Times New Roman"/>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GB/T 7119 节水型企业评价导则</w:t>
      </w:r>
    </w:p>
    <w:p>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GB/T 8170 数值修约规则与极限数值的表示和判定</w:t>
      </w:r>
    </w:p>
    <w:p>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 17167 用能单位能源计量器具配备和管理通则</w:t>
      </w:r>
    </w:p>
    <w:p>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 18580 室内装饰装修材料 人造板及其制品中甲醛释放限量</w:t>
      </w:r>
    </w:p>
    <w:p>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 18581 室内装饰装修材料 溶剂型木器涂料中有害物质限量</w:t>
      </w:r>
    </w:p>
    <w:p>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 18582室内装饰装修材料 内墙涂料有害物质限量</w:t>
      </w:r>
    </w:p>
    <w:p>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 18583 室内装饰装修材料 胶粘剂中有害物质限量</w:t>
      </w:r>
    </w:p>
    <w:p>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 18584 室内装饰装修材料 木家具中有害物质限量</w:t>
      </w:r>
    </w:p>
    <w:p>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 18585 室内装饰装修材料 壁纸中有害物质限量</w:t>
      </w:r>
    </w:p>
    <w:p>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 18586 室内装饰装修材料 聚氯乙烯卷材地板中有害物质限量</w:t>
      </w:r>
    </w:p>
    <w:p>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 18587 室内装饰装修材料 地毯、地毯衬垫及地毯胶粘剂有害物质释放限量</w:t>
      </w:r>
    </w:p>
    <w:p>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 18599 一般工业固体废弃物贮存、处置场污染控制标准</w:t>
      </w:r>
    </w:p>
    <w:p>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 18613 中小型三相异步电动机能效限定值及能效等级</w:t>
      </w:r>
    </w:p>
    <w:p>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GB/T 19001 质量管理体系 要求</w:t>
      </w:r>
    </w:p>
    <w:p>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 19153 容积式空气压缩机能效限定值及能效等级</w:t>
      </w:r>
    </w:p>
    <w:p>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 19576 单元式空气调节机能效限定值及能效等级</w:t>
      </w:r>
    </w:p>
    <w:p>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 19577 冷水机组能效限定值及能效等级</w:t>
      </w:r>
    </w:p>
    <w:p>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 19761 通风机能效限定值及能效等级</w:t>
      </w:r>
    </w:p>
    <w:p>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 19762 清水离心泵能效限定值及节能评价值</w:t>
      </w:r>
    </w:p>
    <w:p>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 20052 三相配电变压器能效限定值及能效等级</w:t>
      </w:r>
    </w:p>
    <w:p>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GB/T 20902 有色金属冶炼企业能源计量器具配备和管理要求</w:t>
      </w:r>
    </w:p>
    <w:p>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 21454 多联式空调(热泵)机组能效限定值及能源效率等级</w:t>
      </w:r>
    </w:p>
    <w:p>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GB/T 23331 能源管理体系 要求及使用指南</w:t>
      </w:r>
    </w:p>
    <w:p>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GB/T 24001 环境管理体系 要求及使用指南</w:t>
      </w:r>
    </w:p>
    <w:p>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GB/T 24256 产品生态设计通则</w:t>
      </w:r>
    </w:p>
    <w:p>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 24500 工业锅炉能效限定值及能效等级</w:t>
      </w:r>
    </w:p>
    <w:p>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 24789 用水单位水计量器具配备和管理通则</w:t>
      </w:r>
    </w:p>
    <w:p>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 26451 稀土工业污染物排放标准</w:t>
      </w:r>
    </w:p>
    <w:p>
      <w:pPr>
        <w:pStyle w:val="3"/>
        <w:keepNext/>
        <w:keepLines/>
        <w:pageBreakBefore w:val="0"/>
        <w:widowControl w:val="0"/>
        <w:kinsoku/>
        <w:wordWrap/>
        <w:overflowPunct/>
        <w:topLinePunct w:val="0"/>
        <w:autoSpaceDE/>
        <w:autoSpaceDN/>
        <w:bidi w:val="0"/>
        <w:adjustRightInd/>
        <w:snapToGrid/>
        <w:spacing w:before="0" w:after="0"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 24790 电力变压器能效限定值及能效等级</w:t>
      </w:r>
    </w:p>
    <w:p>
      <w:pPr>
        <w:pStyle w:val="3"/>
        <w:keepNext/>
        <w:keepLines/>
        <w:pageBreakBefore w:val="0"/>
        <w:widowControl w:val="0"/>
        <w:kinsoku/>
        <w:wordWrap/>
        <w:overflowPunct/>
        <w:topLinePunct w:val="0"/>
        <w:autoSpaceDE/>
        <w:autoSpaceDN/>
        <w:bidi w:val="0"/>
        <w:adjustRightInd/>
        <w:snapToGrid/>
        <w:spacing w:before="0" w:after="0"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GB/T 29115 工业企业节约原材料评价导则</w:t>
      </w:r>
    </w:p>
    <w:p>
      <w:pPr>
        <w:pStyle w:val="3"/>
        <w:keepNext/>
        <w:keepLines/>
        <w:pageBreakBefore w:val="0"/>
        <w:widowControl w:val="0"/>
        <w:kinsoku/>
        <w:wordWrap/>
        <w:overflowPunct/>
        <w:topLinePunct w:val="0"/>
        <w:autoSpaceDE/>
        <w:autoSpaceDN/>
        <w:bidi w:val="0"/>
        <w:adjustRightInd/>
        <w:snapToGrid/>
        <w:spacing w:before="0" w:after="0"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 29435 稀土冶炼加工企业单位产品能源消耗限额</w:t>
      </w:r>
    </w:p>
    <w:p>
      <w:pPr>
        <w:pStyle w:val="3"/>
        <w:keepNext/>
        <w:keepLines/>
        <w:pageBreakBefore w:val="0"/>
        <w:widowControl w:val="0"/>
        <w:kinsoku/>
        <w:wordWrap/>
        <w:overflowPunct/>
        <w:topLinePunct w:val="0"/>
        <w:autoSpaceDE/>
        <w:autoSpaceDN/>
        <w:bidi w:val="0"/>
        <w:adjustRightInd/>
        <w:snapToGrid/>
        <w:spacing w:before="0" w:after="0"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GB/T 32150 工业企业温室气体排放核算和报告通则</w:t>
      </w:r>
    </w:p>
    <w:p>
      <w:pPr>
        <w:pStyle w:val="3"/>
        <w:keepNext/>
        <w:keepLines/>
        <w:pageBreakBefore w:val="0"/>
        <w:widowControl w:val="0"/>
        <w:kinsoku/>
        <w:wordWrap/>
        <w:overflowPunct/>
        <w:topLinePunct w:val="0"/>
        <w:autoSpaceDE/>
        <w:autoSpaceDN/>
        <w:bidi w:val="0"/>
        <w:adjustRightInd/>
        <w:snapToGrid/>
        <w:spacing w:before="0" w:after="0"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GB/T 32161 生态设计产品评价通则</w:t>
      </w:r>
    </w:p>
    <w:p>
      <w:pPr>
        <w:pStyle w:val="3"/>
        <w:keepNext/>
        <w:keepLines/>
        <w:pageBreakBefore w:val="0"/>
        <w:widowControl w:val="0"/>
        <w:kinsoku/>
        <w:wordWrap/>
        <w:overflowPunct/>
        <w:topLinePunct w:val="0"/>
        <w:autoSpaceDE/>
        <w:autoSpaceDN/>
        <w:bidi w:val="0"/>
        <w:adjustRightInd/>
        <w:snapToGrid/>
        <w:spacing w:before="0" w:after="0"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GB/T 33000 企业安全生产标准化基本规范</w:t>
      </w:r>
    </w:p>
    <w:p>
      <w:pPr>
        <w:pStyle w:val="3"/>
        <w:keepNext/>
        <w:keepLines/>
        <w:pageBreakBefore w:val="0"/>
        <w:widowControl w:val="0"/>
        <w:kinsoku/>
        <w:wordWrap/>
        <w:overflowPunct/>
        <w:topLinePunct w:val="0"/>
        <w:autoSpaceDE/>
        <w:autoSpaceDN/>
        <w:bidi w:val="0"/>
        <w:adjustRightInd/>
        <w:snapToGrid/>
        <w:spacing w:before="0" w:after="0"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GB/T 36000 社会责任指南</w:t>
      </w:r>
    </w:p>
    <w:p>
      <w:pPr>
        <w:pStyle w:val="3"/>
        <w:keepNext/>
        <w:keepLines/>
        <w:pageBreakBefore w:val="0"/>
        <w:widowControl w:val="0"/>
        <w:kinsoku/>
        <w:wordWrap/>
        <w:overflowPunct/>
        <w:topLinePunct w:val="0"/>
        <w:autoSpaceDE/>
        <w:autoSpaceDN/>
        <w:bidi w:val="0"/>
        <w:adjustRightInd/>
        <w:snapToGrid/>
        <w:spacing w:before="0" w:after="0"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GB/T 36132 绿色工厂评价通则</w:t>
      </w:r>
    </w:p>
    <w:p>
      <w:pPr>
        <w:rPr>
          <w:rFonts w:hint="default"/>
        </w:rPr>
      </w:pPr>
      <w:r>
        <w:rPr>
          <w:rFonts w:hint="default"/>
        </w:rPr>
        <w:t>GB391761稀土产品的包装、标志、运输和贮存</w:t>
      </w:r>
    </w:p>
    <w:p>
      <w:pPr>
        <w:pStyle w:val="3"/>
        <w:keepNext/>
        <w:keepLines/>
        <w:pageBreakBefore w:val="0"/>
        <w:widowControl w:val="0"/>
        <w:kinsoku/>
        <w:wordWrap/>
        <w:overflowPunct/>
        <w:topLinePunct w:val="0"/>
        <w:autoSpaceDE/>
        <w:autoSpaceDN/>
        <w:bidi w:val="0"/>
        <w:adjustRightInd/>
        <w:snapToGrid/>
        <w:spacing w:before="0" w:after="0"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GB/T 45001职业健康安全管理体系 要求及使用指南</w:t>
      </w:r>
    </w:p>
    <w:p>
      <w:pPr>
        <w:pStyle w:val="3"/>
        <w:keepNext/>
        <w:keepLines/>
        <w:pageBreakBefore w:val="0"/>
        <w:widowControl w:val="0"/>
        <w:kinsoku/>
        <w:wordWrap/>
        <w:overflowPunct/>
        <w:topLinePunct w:val="0"/>
        <w:autoSpaceDE/>
        <w:autoSpaceDN/>
        <w:bidi w:val="0"/>
        <w:adjustRightInd/>
        <w:snapToGrid/>
        <w:spacing w:before="0" w:after="0"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 50034 建筑照明设计标准</w:t>
      </w:r>
    </w:p>
    <w:p>
      <w:pPr>
        <w:pStyle w:val="3"/>
        <w:keepNext/>
        <w:keepLines/>
        <w:pageBreakBefore w:val="0"/>
        <w:widowControl w:val="0"/>
        <w:kinsoku/>
        <w:wordWrap/>
        <w:overflowPunct/>
        <w:topLinePunct w:val="0"/>
        <w:autoSpaceDE/>
        <w:autoSpaceDN/>
        <w:bidi w:val="0"/>
        <w:adjustRightInd/>
        <w:snapToGrid/>
        <w:spacing w:before="0" w:after="0"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HJ</w:t>
      </w:r>
      <w:r>
        <w:rPr>
          <w:rFonts w:hint="eastAsia" w:ascii="Times New Roman" w:hAnsi="Times New Roman" w:eastAsia="宋体" w:cs="Times New Roman"/>
          <w:color w:val="auto"/>
          <w:highlight w:val="none"/>
          <w:lang w:val="en-US" w:eastAsia="zh-CN"/>
        </w:rPr>
        <w:t xml:space="preserve"> </w:t>
      </w:r>
      <w:r>
        <w:rPr>
          <w:rFonts w:hint="default" w:ascii="Times New Roman" w:hAnsi="Times New Roman" w:eastAsia="宋体" w:cs="Times New Roman"/>
          <w:color w:val="auto"/>
          <w:highlight w:val="none"/>
        </w:rPr>
        <w:t>1125 排污许可证申请与核发技术规范 稀有稀土金属冶炼</w:t>
      </w:r>
    </w:p>
    <w:p>
      <w:pPr>
        <w:pStyle w:val="3"/>
        <w:keepNext/>
        <w:keepLines/>
        <w:pageBreakBefore w:val="0"/>
        <w:widowControl w:val="0"/>
        <w:kinsoku/>
        <w:wordWrap/>
        <w:overflowPunct/>
        <w:topLinePunct w:val="0"/>
        <w:autoSpaceDE/>
        <w:autoSpaceDN/>
        <w:bidi w:val="0"/>
        <w:adjustRightInd/>
        <w:snapToGrid/>
        <w:spacing w:before="0" w:after="0"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RB/T 117能源管理体系 有色金属企业认证要求</w:t>
      </w:r>
    </w:p>
    <w:p>
      <w:pPr>
        <w:pStyle w:val="3"/>
        <w:keepNext/>
        <w:keepLines/>
        <w:pageBreakBefore w:val="0"/>
        <w:widowControl w:val="0"/>
        <w:kinsoku/>
        <w:wordWrap/>
        <w:overflowPunct/>
        <w:topLinePunct w:val="0"/>
        <w:autoSpaceDE/>
        <w:autoSpaceDN/>
        <w:bidi w:val="0"/>
        <w:adjustRightInd/>
        <w:snapToGrid/>
        <w:spacing w:before="0" w:after="0"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XB/T 803 稀土采选冶行业绿色工厂评价导则</w:t>
      </w:r>
    </w:p>
    <w:p>
      <w:pPr>
        <w:pStyle w:val="3"/>
        <w:keepNext/>
        <w:keepLines/>
        <w:pageBreakBefore w:val="0"/>
        <w:widowControl w:val="0"/>
        <w:kinsoku/>
        <w:wordWrap/>
        <w:overflowPunct/>
        <w:topLinePunct w:val="0"/>
        <w:autoSpaceDE/>
        <w:autoSpaceDN/>
        <w:bidi w:val="0"/>
        <w:adjustRightInd/>
        <w:snapToGrid/>
        <w:spacing w:before="0" w:after="0"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ISO 14021 环境管理 环境标志和声明 自我环境声明 (Ⅱ型环境标志)</w:t>
      </w:r>
    </w:p>
    <w:p>
      <w:pPr>
        <w:pStyle w:val="3"/>
        <w:outlineLvl w:val="0"/>
        <w:rPr>
          <w:highlight w:val="none"/>
        </w:rPr>
      </w:pPr>
      <w:bookmarkStart w:id="30" w:name="_Toc20524"/>
      <w:bookmarkStart w:id="31" w:name="_Toc22840"/>
      <w:r>
        <w:rPr>
          <w:rFonts w:hint="eastAsia"/>
          <w:highlight w:val="none"/>
        </w:rPr>
        <w:t>3 术语和定义</w:t>
      </w:r>
      <w:bookmarkEnd w:id="30"/>
      <w:bookmarkEnd w:id="31"/>
    </w:p>
    <w:p>
      <w:pPr>
        <w:rPr>
          <w:highlight w:val="none"/>
        </w:rPr>
      </w:pPr>
      <w:r>
        <w:rPr>
          <w:rFonts w:ascii="Times New Roman" w:hAnsi="Times New Roman"/>
        </w:rPr>
        <w:t>GB/T 36132界定的及下列术语和定义适用于本文件</w:t>
      </w:r>
      <w:r>
        <w:rPr>
          <w:rFonts w:hint="eastAsia" w:ascii="Times New Roman" w:hAnsi="Times New Roman"/>
        </w:rPr>
        <w:t>。为便于使用，以下重复列出了GB/T 36132中的某些术语和定义。</w:t>
      </w:r>
    </w:p>
    <w:p>
      <w:pPr>
        <w:ind w:left="0" w:leftChars="0" w:firstLine="0" w:firstLineChars="0"/>
        <w:rPr>
          <w:rFonts w:hint="eastAsia" w:ascii="黑体" w:hAnsi="黑体" w:eastAsia="黑体" w:cs="黑体"/>
          <w:highlight w:val="none"/>
        </w:rPr>
      </w:pPr>
      <w:r>
        <w:rPr>
          <w:rFonts w:hint="eastAsia" w:ascii="黑体" w:hAnsi="黑体" w:eastAsia="黑体" w:cs="黑体"/>
          <w:highlight w:val="none"/>
        </w:rPr>
        <w:t>3.1</w:t>
      </w:r>
    </w:p>
    <w:p>
      <w:pPr>
        <w:rPr>
          <w:rFonts w:hint="eastAsia" w:ascii="黑体" w:hAnsi="黑体" w:eastAsia="黑体" w:cs="黑体"/>
          <w:highlight w:val="none"/>
        </w:rPr>
      </w:pPr>
      <w:r>
        <w:rPr>
          <w:rFonts w:hint="eastAsia"/>
          <w:highlight w:val="none"/>
        </w:rPr>
        <w:t xml:space="preserve">绿色工厂 </w:t>
      </w:r>
      <w:r>
        <w:rPr>
          <w:rFonts w:hint="eastAsia" w:ascii="黑体" w:hAnsi="黑体" w:eastAsia="黑体" w:cs="黑体"/>
          <w:highlight w:val="none"/>
        </w:rPr>
        <w:t>green factory</w:t>
      </w:r>
    </w:p>
    <w:p>
      <w:pPr>
        <w:rPr>
          <w:highlight w:val="none"/>
        </w:rPr>
      </w:pPr>
      <w:r>
        <w:rPr>
          <w:rFonts w:hint="eastAsia"/>
          <w:highlight w:val="none"/>
        </w:rPr>
        <w:t>实</w:t>
      </w:r>
      <w:r>
        <w:rPr>
          <w:highlight w:val="none"/>
        </w:rPr>
        <w:t>现了用地集约化、原料无害化、生产洁净化、废物资源化、能源低碳化的工厂。</w:t>
      </w:r>
    </w:p>
    <w:p>
      <w:pPr>
        <w:rPr>
          <w:highlight w:val="none"/>
        </w:rPr>
      </w:pPr>
      <w:r>
        <w:rPr>
          <w:highlight w:val="none"/>
        </w:rPr>
        <w:t>[GB/T 36132-2018，定义3.1]</w:t>
      </w:r>
    </w:p>
    <w:p>
      <w:pPr>
        <w:ind w:left="0" w:leftChars="0" w:firstLine="0" w:firstLineChars="0"/>
        <w:rPr>
          <w:rFonts w:hint="eastAsia" w:ascii="黑体" w:hAnsi="黑体" w:eastAsia="黑体" w:cs="黑体"/>
          <w:highlight w:val="none"/>
        </w:rPr>
      </w:pPr>
      <w:r>
        <w:rPr>
          <w:rFonts w:hint="eastAsia" w:ascii="黑体" w:hAnsi="黑体" w:eastAsia="黑体" w:cs="黑体"/>
          <w:highlight w:val="none"/>
        </w:rPr>
        <w:t>3.2</w:t>
      </w:r>
    </w:p>
    <w:p>
      <w:pPr>
        <w:rPr>
          <w:highlight w:val="none"/>
        </w:rPr>
      </w:pPr>
      <w:r>
        <w:rPr>
          <w:rFonts w:hint="eastAsia"/>
          <w:highlight w:val="none"/>
        </w:rPr>
        <w:t>相关方 i</w:t>
      </w:r>
      <w:r>
        <w:rPr>
          <w:rFonts w:hint="eastAsia" w:ascii="黑体" w:hAnsi="黑体" w:eastAsia="黑体" w:cs="黑体"/>
          <w:highlight w:val="none"/>
        </w:rPr>
        <w:t>nterested party; stakeholder</w:t>
      </w:r>
    </w:p>
    <w:p>
      <w:pPr>
        <w:rPr>
          <w:highlight w:val="none"/>
        </w:rPr>
      </w:pPr>
      <w:r>
        <w:rPr>
          <w:highlight w:val="none"/>
        </w:rPr>
        <w:t>可影响绿色工厂创建的决策或活动、受绿色工厂创建的决策或活动所影响、或自认为受绿色工厂创建的决策或活动影响的个人或组织。</w:t>
      </w:r>
    </w:p>
    <w:p>
      <w:pPr>
        <w:rPr>
          <w:highlight w:val="none"/>
        </w:rPr>
      </w:pPr>
      <w:r>
        <w:rPr>
          <w:highlight w:val="none"/>
        </w:rPr>
        <w:t>[GB/T36132-2018，定义3.3]</w:t>
      </w:r>
    </w:p>
    <w:p>
      <w:pPr>
        <w:ind w:left="0" w:leftChars="0" w:firstLine="0" w:firstLineChars="0"/>
        <w:rPr>
          <w:rFonts w:hint="eastAsia" w:ascii="黑体" w:hAnsi="黑体" w:eastAsia="黑体" w:cs="黑体"/>
          <w:highlight w:val="none"/>
        </w:rPr>
      </w:pPr>
      <w:r>
        <w:rPr>
          <w:rFonts w:hint="eastAsia" w:ascii="黑体" w:hAnsi="黑体" w:eastAsia="黑体" w:cs="黑体"/>
          <w:highlight w:val="none"/>
        </w:rPr>
        <w:t>3.3</w:t>
      </w:r>
    </w:p>
    <w:p>
      <w:pPr>
        <w:rPr>
          <w:highlight w:val="none"/>
        </w:rPr>
      </w:pPr>
      <w:r>
        <w:rPr>
          <w:rFonts w:hint="eastAsia"/>
          <w:highlight w:val="none"/>
        </w:rPr>
        <w:t>稀土抛光粉</w:t>
      </w:r>
      <w:r>
        <w:rPr>
          <w:rFonts w:hint="eastAsia" w:ascii="黑体" w:hAnsi="黑体" w:eastAsia="黑体" w:cs="黑体"/>
          <w:highlight w:val="none"/>
        </w:rPr>
        <w:t>rare earth polishing powder</w:t>
      </w:r>
    </w:p>
    <w:p>
      <w:pPr>
        <w:ind w:firstLine="420"/>
        <w:rPr>
          <w:rFonts w:hint="eastAsia" w:ascii="Times New Roman"/>
          <w:color w:val="FF0000"/>
          <w:highlight w:val="none"/>
        </w:rPr>
      </w:pPr>
      <w:r>
        <w:t>以铈</w:t>
      </w:r>
      <w:r>
        <w:rPr>
          <w:rFonts w:hint="eastAsia"/>
          <w:lang w:val="en-US" w:eastAsia="zh-CN"/>
        </w:rPr>
        <w:t>基</w:t>
      </w:r>
      <w:r>
        <w:t>稀土化合物为主</w:t>
      </w:r>
      <w:r>
        <w:rPr>
          <w:rFonts w:hint="eastAsia"/>
          <w:lang w:val="en-US" w:eastAsia="zh-CN"/>
        </w:rPr>
        <w:t>要</w:t>
      </w:r>
      <w:r>
        <w:t>原料,经化学加工制得的具有一定抛削力的粉末状化合物。</w:t>
      </w:r>
    </w:p>
    <w:p>
      <w:pPr>
        <w:pStyle w:val="3"/>
        <w:outlineLvl w:val="0"/>
        <w:rPr>
          <w:highlight w:val="none"/>
        </w:rPr>
      </w:pPr>
      <w:bookmarkStart w:id="32" w:name="_Toc6026"/>
      <w:bookmarkStart w:id="33" w:name="_Toc20073"/>
      <w:r>
        <w:rPr>
          <w:rFonts w:hint="eastAsia"/>
          <w:highlight w:val="none"/>
        </w:rPr>
        <w:t>4 总则</w:t>
      </w:r>
      <w:bookmarkEnd w:id="32"/>
      <w:bookmarkEnd w:id="33"/>
    </w:p>
    <w:p>
      <w:pPr>
        <w:pStyle w:val="3"/>
        <w:bidi w:val="0"/>
      </w:pPr>
      <w:r>
        <w:rPr>
          <w:rFonts w:hint="eastAsia"/>
        </w:rPr>
        <w:t>4.1 评价原则</w:t>
      </w:r>
    </w:p>
    <w:p>
      <w:pPr>
        <w:pStyle w:val="4"/>
        <w:bidi w:val="0"/>
      </w:pPr>
      <w:r>
        <w:rPr>
          <w:rFonts w:hint="eastAsia"/>
        </w:rPr>
        <w:t>4.1.1 一致性原则</w:t>
      </w:r>
    </w:p>
    <w:p>
      <w:pPr>
        <w:rPr>
          <w:highlight w:val="none"/>
        </w:rPr>
      </w:pPr>
      <w:r>
        <w:rPr>
          <w:highlight w:val="none"/>
        </w:rPr>
        <w:t>评价总体结构与GB/T 36132</w:t>
      </w:r>
      <w:r>
        <w:rPr>
          <w:rFonts w:hint="eastAsia"/>
          <w:highlight w:val="none"/>
        </w:rPr>
        <w:t>、</w:t>
      </w:r>
      <w:r>
        <w:rPr>
          <w:rFonts w:hint="eastAsia"/>
          <w:highlight w:val="none"/>
          <w:lang w:val="en-US" w:eastAsia="zh-CN"/>
        </w:rPr>
        <w:t>XB/T 803-2021</w:t>
      </w:r>
      <w:r>
        <w:rPr>
          <w:rFonts w:hint="eastAsia"/>
          <w:highlight w:val="none"/>
        </w:rPr>
        <w:t>《稀土采选冶行业绿色工厂评价导则》</w:t>
      </w:r>
      <w:r>
        <w:rPr>
          <w:highlight w:val="none"/>
        </w:rPr>
        <w:t>提出的相关评价指标体系和要求保持一致，包括基本要求、基础设施、管理体系、能源与资源投入、产品、环境排放、绩效共7个一级指标。</w:t>
      </w:r>
    </w:p>
    <w:p>
      <w:pPr>
        <w:rPr>
          <w:rFonts w:hint="eastAsia"/>
          <w:highlight w:val="none"/>
        </w:rPr>
      </w:pPr>
      <w:r>
        <w:rPr>
          <w:rFonts w:hint="eastAsia"/>
          <w:highlight w:val="none"/>
        </w:rPr>
        <w:t>稀土抛光粉绿色工厂评价体系框架如图1所示。</w:t>
      </w:r>
    </w:p>
    <w:p>
      <w:pPr>
        <w:rPr>
          <w:rFonts w:hint="eastAsia"/>
          <w:highlight w:val="none"/>
        </w:rPr>
      </w:pPr>
      <w:r>
        <w:rPr>
          <w:rFonts w:ascii="Times New Roman" w:hAnsi="Times New Roman"/>
        </w:rPr>
        <mc:AlternateContent>
          <mc:Choice Requires="wpg">
            <w:drawing>
              <wp:anchor distT="0" distB="0" distL="114300" distR="114300" simplePos="0" relativeHeight="251668480" behindDoc="0" locked="0" layoutInCell="1" allowOverlap="1">
                <wp:simplePos x="0" y="0"/>
                <wp:positionH relativeFrom="column">
                  <wp:posOffset>1103630</wp:posOffset>
                </wp:positionH>
                <wp:positionV relativeFrom="paragraph">
                  <wp:posOffset>106045</wp:posOffset>
                </wp:positionV>
                <wp:extent cx="3741420" cy="2148205"/>
                <wp:effectExtent l="12700" t="12700" r="17780" b="23495"/>
                <wp:wrapNone/>
                <wp:docPr id="17" name="组合 11"/>
                <wp:cNvGraphicFramePr/>
                <a:graphic xmlns:a="http://schemas.openxmlformats.org/drawingml/2006/main">
                  <a:graphicData uri="http://schemas.microsoft.com/office/word/2010/wordprocessingGroup">
                    <wpg:wgp>
                      <wpg:cNvGrpSpPr/>
                      <wpg:grpSpPr>
                        <a:xfrm>
                          <a:off x="0" y="0"/>
                          <a:ext cx="3741420" cy="2148205"/>
                          <a:chOff x="0" y="0"/>
                          <a:chExt cx="69956" cy="40164"/>
                        </a:xfrm>
                      </wpg:grpSpPr>
                      <wps:wsp>
                        <wps:cNvPr id="10" name="矩形: 圆角 2"/>
                        <wps:cNvSpPr/>
                        <wps:spPr>
                          <a:xfrm>
                            <a:off x="0" y="0"/>
                            <a:ext cx="57666" cy="7964"/>
                          </a:xfrm>
                          <a:prstGeom prst="roundRect">
                            <a:avLst>
                              <a:gd name="adj" fmla="val 16667"/>
                            </a:avLst>
                          </a:prstGeom>
                          <a:noFill/>
                          <a:ln w="25400" cap="flat" cmpd="sng">
                            <a:solidFill>
                              <a:srgbClr val="1F4D78"/>
                            </a:solidFill>
                            <a:prstDash val="solid"/>
                            <a:miter/>
                            <a:headEnd type="none" w="med" len="med"/>
                            <a:tailEnd type="none" w="med" len="med"/>
                          </a:ln>
                        </wps:spPr>
                        <wps:txbx>
                          <w:txbxContent>
                            <w:p>
                              <w:pPr>
                                <w:jc w:val="center"/>
                                <w:rPr>
                                  <w:kern w:val="0"/>
                                  <w:sz w:val="24"/>
                                </w:rPr>
                              </w:pPr>
                              <w:r>
                                <w:rPr>
                                  <w:rFonts w:hint="eastAsia" w:ascii="Calibri" w:eastAsia="宋体" w:cs="Times New Roman"/>
                                  <w:color w:val="000000"/>
                                  <w:kern w:val="24"/>
                                </w:rPr>
                                <w:t xml:space="preserve">管理体系 </w:t>
                              </w:r>
                              <w:r>
                                <w:rPr>
                                  <w:rFonts w:ascii="Calibri" w:eastAsia="宋体" w:cs="Times New Roman"/>
                                  <w:color w:val="000000"/>
                                  <w:kern w:val="24"/>
                                </w:rPr>
                                <w:t>5.3</w:t>
                              </w:r>
                            </w:p>
                          </w:txbxContent>
                        </wps:txbx>
                        <wps:bodyPr vert="horz" wrap="square" anchor="ctr" anchorCtr="0" upright="1"/>
                      </wps:wsp>
                      <wps:wsp>
                        <wps:cNvPr id="11" name="矩形: 圆角 3"/>
                        <wps:cNvSpPr/>
                        <wps:spPr>
                          <a:xfrm>
                            <a:off x="0" y="32200"/>
                            <a:ext cx="57666" cy="7964"/>
                          </a:xfrm>
                          <a:prstGeom prst="roundRect">
                            <a:avLst>
                              <a:gd name="adj" fmla="val 16667"/>
                            </a:avLst>
                          </a:prstGeom>
                          <a:noFill/>
                          <a:ln w="25400" cap="flat" cmpd="sng">
                            <a:solidFill>
                              <a:srgbClr val="1F4D78"/>
                            </a:solidFill>
                            <a:prstDash val="solid"/>
                            <a:miter/>
                            <a:headEnd type="none" w="med" len="med"/>
                            <a:tailEnd type="none" w="med" len="med"/>
                          </a:ln>
                        </wps:spPr>
                        <wps:txbx>
                          <w:txbxContent>
                            <w:p>
                              <w:pPr>
                                <w:jc w:val="center"/>
                                <w:rPr>
                                  <w:kern w:val="0"/>
                                  <w:sz w:val="24"/>
                                </w:rPr>
                              </w:pPr>
                              <w:r>
                                <w:rPr>
                                  <w:rFonts w:hint="eastAsia" w:ascii="Calibri" w:eastAsia="宋体" w:cs="Times New Roman"/>
                                  <w:color w:val="000000"/>
                                  <w:kern w:val="24"/>
                                </w:rPr>
                                <w:t xml:space="preserve">基础设施 </w:t>
                              </w:r>
                              <w:r>
                                <w:rPr>
                                  <w:rFonts w:ascii="Calibri" w:eastAsia="宋体" w:cs="Times New Roman"/>
                                  <w:color w:val="000000"/>
                                  <w:kern w:val="24"/>
                                </w:rPr>
                                <w:t>5.2</w:t>
                              </w:r>
                            </w:p>
                          </w:txbxContent>
                        </wps:txbx>
                        <wps:bodyPr vert="horz" wrap="square" anchor="ctr" anchorCtr="0" upright="1"/>
                      </wps:wsp>
                      <wps:wsp>
                        <wps:cNvPr id="12" name="矩形: 圆角 4"/>
                        <wps:cNvSpPr/>
                        <wps:spPr>
                          <a:xfrm>
                            <a:off x="0" y="9168"/>
                            <a:ext cx="15190" cy="21828"/>
                          </a:xfrm>
                          <a:prstGeom prst="roundRect">
                            <a:avLst>
                              <a:gd name="adj" fmla="val 16667"/>
                            </a:avLst>
                          </a:prstGeom>
                          <a:noFill/>
                          <a:ln w="25400" cap="flat" cmpd="sng">
                            <a:solidFill>
                              <a:srgbClr val="1F4D78"/>
                            </a:solidFill>
                            <a:prstDash val="solid"/>
                            <a:miter/>
                            <a:headEnd type="none" w="med" len="med"/>
                            <a:tailEnd type="none" w="med" len="med"/>
                          </a:ln>
                        </wps:spPr>
                        <wps:txbx>
                          <w:txbxContent>
                            <w:p>
                              <w:pPr>
                                <w:ind w:left="0" w:leftChars="0" w:firstLine="0" w:firstLineChars="0"/>
                                <w:jc w:val="center"/>
                                <w:rPr>
                                  <w:kern w:val="0"/>
                                  <w:sz w:val="24"/>
                                </w:rPr>
                              </w:pPr>
                              <w:r>
                                <w:rPr>
                                  <w:rFonts w:hint="eastAsia" w:ascii="Calibri" w:eastAsia="宋体" w:cs="Times New Roman"/>
                                  <w:color w:val="000000"/>
                                  <w:kern w:val="24"/>
                                </w:rPr>
                                <w:t xml:space="preserve">能源与资源投入 </w:t>
                              </w:r>
                              <w:r>
                                <w:rPr>
                                  <w:rFonts w:ascii="Calibri" w:eastAsia="宋体" w:cs="Times New Roman"/>
                                  <w:color w:val="000000"/>
                                  <w:kern w:val="24"/>
                                </w:rPr>
                                <w:t>5.4</w:t>
                              </w:r>
                            </w:p>
                          </w:txbxContent>
                        </wps:txbx>
                        <wps:bodyPr vert="horz" wrap="square" lIns="72000" tIns="45720" rIns="72000" bIns="45720" anchor="ctr" anchorCtr="0" upright="1"/>
                      </wps:wsp>
                      <wps:wsp>
                        <wps:cNvPr id="13" name="矩形: 圆角 5"/>
                        <wps:cNvSpPr/>
                        <wps:spPr>
                          <a:xfrm>
                            <a:off x="42475" y="9168"/>
                            <a:ext cx="15191" cy="10152"/>
                          </a:xfrm>
                          <a:prstGeom prst="roundRect">
                            <a:avLst>
                              <a:gd name="adj" fmla="val 16667"/>
                            </a:avLst>
                          </a:prstGeom>
                          <a:noFill/>
                          <a:ln w="25400" cap="flat" cmpd="sng">
                            <a:solidFill>
                              <a:srgbClr val="1F4D78"/>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kern w:val="0"/>
                                  <w:sz w:val="24"/>
                                </w:rPr>
                              </w:pPr>
                              <w:r>
                                <w:rPr>
                                  <w:rFonts w:hint="eastAsia" w:ascii="Calibri" w:eastAsia="宋体" w:cs="Times New Roman"/>
                                  <w:color w:val="000000"/>
                                  <w:kern w:val="24"/>
                                </w:rPr>
                                <w:t xml:space="preserve">产品 </w:t>
                              </w:r>
                              <w:r>
                                <w:rPr>
                                  <w:rFonts w:ascii="Calibri" w:eastAsia="宋体" w:cs="Times New Roman"/>
                                  <w:color w:val="000000"/>
                                  <w:kern w:val="24"/>
                                </w:rPr>
                                <w:t>5.5</w:t>
                              </w:r>
                            </w:p>
                          </w:txbxContent>
                        </wps:txbx>
                        <wps:bodyPr vert="horz" wrap="square" lIns="72000" tIns="45720" rIns="72000" bIns="45720" anchor="ctr" anchorCtr="0" upright="1"/>
                      </wps:wsp>
                      <wps:wsp>
                        <wps:cNvPr id="14" name="矩形: 圆角 6"/>
                        <wps:cNvSpPr/>
                        <wps:spPr>
                          <a:xfrm>
                            <a:off x="42475" y="20684"/>
                            <a:ext cx="15191" cy="10152"/>
                          </a:xfrm>
                          <a:prstGeom prst="roundRect">
                            <a:avLst>
                              <a:gd name="adj" fmla="val 16667"/>
                            </a:avLst>
                          </a:prstGeom>
                          <a:noFill/>
                          <a:ln w="25400" cap="flat" cmpd="sng">
                            <a:solidFill>
                              <a:srgbClr val="1F4D78"/>
                            </a:solidFill>
                            <a:prstDash val="solid"/>
                            <a:miter/>
                            <a:headEnd type="none" w="med" len="med"/>
                            <a:tailEnd type="none" w="med" len="med"/>
                          </a:ln>
                        </wps:spPr>
                        <wps:txbx>
                          <w:txbxContent>
                            <w:p>
                              <w:pPr>
                                <w:spacing w:line="240" w:lineRule="auto"/>
                                <w:ind w:left="0" w:leftChars="0" w:firstLine="0" w:firstLineChars="0"/>
                                <w:jc w:val="center"/>
                                <w:rPr>
                                  <w:kern w:val="0"/>
                                  <w:sz w:val="24"/>
                                </w:rPr>
                              </w:pPr>
                              <w:r>
                                <w:rPr>
                                  <w:rFonts w:hint="eastAsia" w:ascii="Calibri" w:eastAsia="宋体" w:cs="Times New Roman"/>
                                  <w:color w:val="000000"/>
                                  <w:kern w:val="24"/>
                                </w:rPr>
                                <w:t xml:space="preserve">环境排放 </w:t>
                              </w:r>
                              <w:r>
                                <w:rPr>
                                  <w:rFonts w:ascii="Calibri" w:eastAsia="宋体" w:cs="Times New Roman"/>
                                  <w:color w:val="000000"/>
                                  <w:kern w:val="24"/>
                                </w:rPr>
                                <w:t>5.6</w:t>
                              </w:r>
                            </w:p>
                          </w:txbxContent>
                        </wps:txbx>
                        <wps:bodyPr vert="horz" wrap="square" lIns="72000" tIns="45720" rIns="72000" bIns="45720" anchor="ctr" anchorCtr="0" upright="1"/>
                      </wps:wsp>
                      <wps:wsp>
                        <wps:cNvPr id="15" name="矩形: 圆角 7"/>
                        <wps:cNvSpPr/>
                        <wps:spPr>
                          <a:xfrm>
                            <a:off x="59190" y="0"/>
                            <a:ext cx="10766" cy="40164"/>
                          </a:xfrm>
                          <a:prstGeom prst="roundRect">
                            <a:avLst>
                              <a:gd name="adj" fmla="val 16667"/>
                            </a:avLst>
                          </a:prstGeom>
                          <a:noFill/>
                          <a:ln w="25400" cap="flat" cmpd="sng">
                            <a:solidFill>
                              <a:srgbClr val="1F4D78"/>
                            </a:solidFill>
                            <a:prstDash val="solid"/>
                            <a:miter/>
                            <a:headEnd type="none" w="med" len="med"/>
                            <a:tailEnd type="none" w="med" len="med"/>
                          </a:ln>
                        </wps:spPr>
                        <wps:txbx>
                          <w:txbxContent>
                            <w:p>
                              <w:pPr>
                                <w:ind w:left="0" w:leftChars="0" w:firstLine="0" w:firstLineChars="0"/>
                                <w:jc w:val="center"/>
                                <w:rPr>
                                  <w:rFonts w:hint="eastAsia" w:ascii="Calibri" w:eastAsia="宋体" w:cs="Times New Roman"/>
                                  <w:color w:val="000000"/>
                                  <w:kern w:val="24"/>
                                </w:rPr>
                              </w:pPr>
                            </w:p>
                            <w:p>
                              <w:pPr>
                                <w:ind w:left="0" w:leftChars="0" w:firstLine="0" w:firstLineChars="0"/>
                                <w:jc w:val="center"/>
                                <w:rPr>
                                  <w:rFonts w:hint="eastAsia" w:ascii="Calibri" w:eastAsia="宋体" w:cs="Times New Roman"/>
                                  <w:color w:val="000000"/>
                                  <w:kern w:val="24"/>
                                </w:rPr>
                              </w:pPr>
                            </w:p>
                            <w:p>
                              <w:pPr>
                                <w:ind w:left="0" w:leftChars="0" w:firstLine="0" w:firstLineChars="0"/>
                                <w:jc w:val="center"/>
                                <w:rPr>
                                  <w:rFonts w:hint="eastAsia" w:ascii="Calibri" w:eastAsia="宋体" w:cs="Times New Roman"/>
                                  <w:color w:val="000000"/>
                                  <w:kern w:val="24"/>
                                </w:rPr>
                              </w:pPr>
                            </w:p>
                            <w:p>
                              <w:pPr>
                                <w:ind w:left="0" w:leftChars="0" w:firstLine="0" w:firstLineChars="0"/>
                                <w:jc w:val="center"/>
                                <w:rPr>
                                  <w:kern w:val="0"/>
                                  <w:sz w:val="24"/>
                                </w:rPr>
                              </w:pPr>
                              <w:r>
                                <w:rPr>
                                  <w:rFonts w:hint="eastAsia" w:ascii="Calibri" w:eastAsia="宋体" w:cs="Times New Roman"/>
                                  <w:color w:val="000000"/>
                                  <w:kern w:val="24"/>
                                </w:rPr>
                                <w:t xml:space="preserve">绩效 </w:t>
                              </w:r>
                              <w:r>
                                <w:rPr>
                                  <w:rFonts w:ascii="Calibri" w:eastAsia="宋体" w:cs="Times New Roman"/>
                                  <w:color w:val="000000"/>
                                  <w:kern w:val="24"/>
                                </w:rPr>
                                <w:t>5.7</w:t>
                              </w:r>
                            </w:p>
                          </w:txbxContent>
                        </wps:txbx>
                        <wps:bodyPr vert="horz" wrap="square" anchor="ctr" anchorCtr="0" upright="1"/>
                      </wps:wsp>
                      <wps:wsp>
                        <wps:cNvPr id="16" name="箭头: 右 8"/>
                        <wps:cNvSpPr/>
                        <wps:spPr>
                          <a:xfrm>
                            <a:off x="17427" y="12628"/>
                            <a:ext cx="22811" cy="14908"/>
                          </a:xfrm>
                          <a:prstGeom prst="rightArrow">
                            <a:avLst>
                              <a:gd name="adj1" fmla="val 50000"/>
                              <a:gd name="adj2" fmla="val 49990"/>
                            </a:avLst>
                          </a:prstGeom>
                          <a:noFill/>
                          <a:ln w="25400" cap="flat" cmpd="sng">
                            <a:solidFill>
                              <a:srgbClr val="1F4D78"/>
                            </a:solidFill>
                            <a:prstDash val="dash"/>
                            <a:miter/>
                            <a:headEnd type="none" w="med" len="med"/>
                            <a:tailEnd type="none" w="med" len="med"/>
                          </a:ln>
                        </wps:spPr>
                        <wps:txbx>
                          <w:txbxContent>
                            <w:p>
                              <w:pPr>
                                <w:ind w:left="0" w:leftChars="0" w:firstLine="210" w:firstLineChars="100"/>
                                <w:jc w:val="both"/>
                                <w:rPr>
                                  <w:kern w:val="0"/>
                                  <w:sz w:val="24"/>
                                </w:rPr>
                              </w:pPr>
                              <w:r>
                                <w:rPr>
                                  <w:rFonts w:hint="eastAsia" w:ascii="Calibri" w:eastAsia="宋体" w:cs="Times New Roman"/>
                                  <w:color w:val="000000"/>
                                  <w:kern w:val="24"/>
                                </w:rPr>
                                <w:t>生产过程</w:t>
                              </w:r>
                            </w:p>
                          </w:txbxContent>
                        </wps:txbx>
                        <wps:bodyPr vert="horz" wrap="square" anchor="ctr" anchorCtr="0" upright="1"/>
                      </wps:wsp>
                    </wpg:wgp>
                  </a:graphicData>
                </a:graphic>
              </wp:anchor>
            </w:drawing>
          </mc:Choice>
          <mc:Fallback>
            <w:pict>
              <v:group id="组合 11" o:spid="_x0000_s1026" o:spt="203" style="position:absolute;left:0pt;margin-left:86.9pt;margin-top:8.35pt;height:169.15pt;width:294.6pt;z-index:251668480;mso-width-relative:page;mso-height-relative:page;" coordsize="69956,40164" o:gfxdata="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">
                <o:lock v:ext="edit" aspectratio="f"/>
                <v:roundrect id="矩形: 圆角 2" o:spid="_x0000_s1026" o:spt="2" style="position:absolute;left:0;top:0;height:7964;width:57666;v-text-anchor:middle;" filled="f" stroked="t" coordsize="21600,21600" arcsize="0.166666666666667" o:gfxdata="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KqGKLsAAADb&#10;AAAADwAAAAAAAAABACAAAAAiAAAAZHJzL2Rvd25yZXYueG1sUEsBAhQAFAAAAAgAh07iQDMvBZ47&#10;AAAAOQAAABAAAAAAAAAAAQAgAAAACgEAAGRycy9zaGFwZXhtbC54bWxQSwUGAAAAAAYABgBbAQAA&#10;tAMAAAAA&#10;">
                  <v:fill on="f" focussize="0,0"/>
                  <v:stroke weight="2pt" color="#1F4D78" joinstyle="miter"/>
                  <v:imagedata o:title=""/>
                  <o:lock v:ext="edit" aspectratio="f"/>
                  <v:textbox>
                    <w:txbxContent>
                      <w:p>
                        <w:pPr>
                          <w:jc w:val="center"/>
                          <w:rPr>
                            <w:kern w:val="0"/>
                            <w:sz w:val="24"/>
                          </w:rPr>
                        </w:pPr>
                        <w:r>
                          <w:rPr>
                            <w:rFonts w:hint="eastAsia" w:ascii="Calibri" w:eastAsia="宋体" w:cs="Times New Roman"/>
                            <w:color w:val="000000"/>
                            <w:kern w:val="24"/>
                          </w:rPr>
                          <w:t xml:space="preserve">管理体系 </w:t>
                        </w:r>
                        <w:r>
                          <w:rPr>
                            <w:rFonts w:ascii="Calibri" w:eastAsia="宋体" w:cs="Times New Roman"/>
                            <w:color w:val="000000"/>
                            <w:kern w:val="24"/>
                          </w:rPr>
                          <w:t>5.3</w:t>
                        </w:r>
                      </w:p>
                    </w:txbxContent>
                  </v:textbox>
                </v:roundrect>
                <v:roundrect id="矩形: 圆角 3" o:spid="_x0000_s1026" o:spt="2" style="position:absolute;left:0;top:32200;height:7964;width:57666;v-text-anchor:middle;" filled="f" stroked="t" coordsize="21600,21600" arcsize="0.166666666666667" o:gfxdata="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fmI7O5AAAA2wAA&#10;AA8AAAAAAAAAAQAgAAAAIgAAAGRycy9kb3ducmV2LnhtbFBLAQIUABQAAAAIAIdO4kAzLwWeOwAA&#10;ADkAAAAQAAAAAAAAAAEAIAAAAAgBAABkcnMvc2hhcGV4bWwueG1sUEsFBgAAAAAGAAYAWwEAALID&#10;AAAAAA==&#10;">
                  <v:fill on="f" focussize="0,0"/>
                  <v:stroke weight="2pt" color="#1F4D78" joinstyle="miter"/>
                  <v:imagedata o:title=""/>
                  <o:lock v:ext="edit" aspectratio="f"/>
                  <v:textbox>
                    <w:txbxContent>
                      <w:p>
                        <w:pPr>
                          <w:jc w:val="center"/>
                          <w:rPr>
                            <w:kern w:val="0"/>
                            <w:sz w:val="24"/>
                          </w:rPr>
                        </w:pPr>
                        <w:r>
                          <w:rPr>
                            <w:rFonts w:hint="eastAsia" w:ascii="Calibri" w:eastAsia="宋体" w:cs="Times New Roman"/>
                            <w:color w:val="000000"/>
                            <w:kern w:val="24"/>
                          </w:rPr>
                          <w:t xml:space="preserve">基础设施 </w:t>
                        </w:r>
                        <w:r>
                          <w:rPr>
                            <w:rFonts w:ascii="Calibri" w:eastAsia="宋体" w:cs="Times New Roman"/>
                            <w:color w:val="000000"/>
                            <w:kern w:val="24"/>
                          </w:rPr>
                          <w:t>5.2</w:t>
                        </w:r>
                      </w:p>
                    </w:txbxContent>
                  </v:textbox>
                </v:roundrect>
                <v:roundrect id="矩形: 圆角 4" o:spid="_x0000_s1026" o:spt="2" style="position:absolute;left:0;top:9168;height:21828;width:15190;v-text-anchor:middle;" filled="f" stroked="t" coordsize="21600,21600" arcsize="0.166666666666667" o:gfxdata="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yD5bsAAADb&#10;AAAADwAAAAAAAAABACAAAAAiAAAAZHJzL2Rvd25yZXYueG1sUEsBAhQAFAAAAAgAh07iQDMvBZ47&#10;AAAAOQAAABAAAAAAAAAAAQAgAAAACgEAAGRycy9zaGFwZXhtbC54bWxQSwUGAAAAAAYABgBbAQAA&#10;tAMAAAAA&#10;">
                  <v:fill on="f" focussize="0,0"/>
                  <v:stroke weight="2pt" color="#1F4D78" joinstyle="miter"/>
                  <v:imagedata o:title=""/>
                  <o:lock v:ext="edit" aspectratio="f"/>
                  <v:textbox inset="2mm,1.27mm,2mm,1.27mm">
                    <w:txbxContent>
                      <w:p>
                        <w:pPr>
                          <w:ind w:left="0" w:leftChars="0" w:firstLine="0" w:firstLineChars="0"/>
                          <w:jc w:val="center"/>
                          <w:rPr>
                            <w:kern w:val="0"/>
                            <w:sz w:val="24"/>
                          </w:rPr>
                        </w:pPr>
                        <w:r>
                          <w:rPr>
                            <w:rFonts w:hint="eastAsia" w:ascii="Calibri" w:eastAsia="宋体" w:cs="Times New Roman"/>
                            <w:color w:val="000000"/>
                            <w:kern w:val="24"/>
                          </w:rPr>
                          <w:t xml:space="preserve">能源与资源投入 </w:t>
                        </w:r>
                        <w:r>
                          <w:rPr>
                            <w:rFonts w:ascii="Calibri" w:eastAsia="宋体" w:cs="Times New Roman"/>
                            <w:color w:val="000000"/>
                            <w:kern w:val="24"/>
                          </w:rPr>
                          <w:t>5.4</w:t>
                        </w:r>
                      </w:p>
                    </w:txbxContent>
                  </v:textbox>
                </v:roundrect>
                <v:roundrect id="矩形: 圆角 5" o:spid="_x0000_s1026" o:spt="2" style="position:absolute;left:42475;top:9168;height:10152;width:15191;v-text-anchor:middle;" filled="f" stroked="t" coordsize="21600,21600" arcsize="0.166666666666667" o:gfxdata="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sCZ+ugAAANsA&#10;AAAPAAAAAAAAAAEAIAAAACIAAABkcnMvZG93bnJldi54bWxQSwECFAAUAAAACACHTuJAMy8FnjsA&#10;AAA5AAAAEAAAAAAAAAABACAAAAAJAQAAZHJzL3NoYXBleG1sLnhtbFBLBQYAAAAABgAGAFsBAACz&#10;AwAAAAA=&#10;">
                  <v:fill on="f" focussize="0,0"/>
                  <v:stroke weight="2pt" color="#1F4D78" joinstyle="miter"/>
                  <v:imagedata o:title=""/>
                  <o:lock v:ext="edit" aspectratio="f"/>
                  <v:textbox inset="2mm,1.27mm,2mm,1.27mm">
                    <w:txbxContent>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kern w:val="0"/>
                            <w:sz w:val="24"/>
                          </w:rPr>
                        </w:pPr>
                        <w:r>
                          <w:rPr>
                            <w:rFonts w:hint="eastAsia" w:ascii="Calibri" w:eastAsia="宋体" w:cs="Times New Roman"/>
                            <w:color w:val="000000"/>
                            <w:kern w:val="24"/>
                          </w:rPr>
                          <w:t xml:space="preserve">产品 </w:t>
                        </w:r>
                        <w:r>
                          <w:rPr>
                            <w:rFonts w:ascii="Calibri" w:eastAsia="宋体" w:cs="Times New Roman"/>
                            <w:color w:val="000000"/>
                            <w:kern w:val="24"/>
                          </w:rPr>
                          <w:t>5.5</w:t>
                        </w:r>
                      </w:p>
                    </w:txbxContent>
                  </v:textbox>
                </v:roundrect>
                <v:roundrect id="矩形: 圆角 6" o:spid="_x0000_s1026" o:spt="2" style="position:absolute;left:42475;top:20684;height:10152;width:15191;v-text-anchor:middle;" filled="f" stroked="t" coordsize="21600,21600" arcsize="0.166666666666667" o:gfxdata="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Wb4KugAAANsA&#10;AAAPAAAAAAAAAAEAIAAAACIAAABkcnMvZG93bnJldi54bWxQSwECFAAUAAAACACHTuJAMy8FnjsA&#10;AAA5AAAAEAAAAAAAAAABACAAAAAJAQAAZHJzL3NoYXBleG1sLnhtbFBLBQYAAAAABgAGAFsBAACz&#10;AwAAAAA=&#10;">
                  <v:fill on="f" focussize="0,0"/>
                  <v:stroke weight="2pt" color="#1F4D78" joinstyle="miter"/>
                  <v:imagedata o:title=""/>
                  <o:lock v:ext="edit" aspectratio="f"/>
                  <v:textbox inset="2mm,1.27mm,2mm,1.27mm">
                    <w:txbxContent>
                      <w:p>
                        <w:pPr>
                          <w:spacing w:line="240" w:lineRule="auto"/>
                          <w:ind w:left="0" w:leftChars="0" w:firstLine="0" w:firstLineChars="0"/>
                          <w:jc w:val="center"/>
                          <w:rPr>
                            <w:kern w:val="0"/>
                            <w:sz w:val="24"/>
                          </w:rPr>
                        </w:pPr>
                        <w:r>
                          <w:rPr>
                            <w:rFonts w:hint="eastAsia" w:ascii="Calibri" w:eastAsia="宋体" w:cs="Times New Roman"/>
                            <w:color w:val="000000"/>
                            <w:kern w:val="24"/>
                          </w:rPr>
                          <w:t xml:space="preserve">环境排放 </w:t>
                        </w:r>
                        <w:r>
                          <w:rPr>
                            <w:rFonts w:ascii="Calibri" w:eastAsia="宋体" w:cs="Times New Roman"/>
                            <w:color w:val="000000"/>
                            <w:kern w:val="24"/>
                          </w:rPr>
                          <w:t>5.6</w:t>
                        </w:r>
                      </w:p>
                    </w:txbxContent>
                  </v:textbox>
                </v:roundrect>
                <v:roundrect id="矩形: 圆角 7" o:spid="_x0000_s1026" o:spt="2" style="position:absolute;left:59190;top:0;height:40164;width:10766;v-text-anchor:middle;" filled="f" stroked="t" coordsize="21600,21600" arcsize="0.166666666666667" o:gfxdata="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43SWwtwAAANsAAAAP&#10;AAAAAAAAAAEAIAAAACIAAABkcnMvZG93bnJldi54bWxQSwECFAAUAAAACACHTuJAMy8FnjsAAAA5&#10;AAAAEAAAAAAAAAABACAAAAAGAQAAZHJzL3NoYXBleG1sLnhtbFBLBQYAAAAABgAGAFsBAACwAwAA&#10;AAA=&#10;">
                  <v:fill on="f" focussize="0,0"/>
                  <v:stroke weight="2pt" color="#1F4D78" joinstyle="miter"/>
                  <v:imagedata o:title=""/>
                  <o:lock v:ext="edit" aspectratio="f"/>
                  <v:textbox>
                    <w:txbxContent>
                      <w:p>
                        <w:pPr>
                          <w:ind w:left="0" w:leftChars="0" w:firstLine="0" w:firstLineChars="0"/>
                          <w:jc w:val="center"/>
                          <w:rPr>
                            <w:rFonts w:hint="eastAsia" w:ascii="Calibri" w:eastAsia="宋体" w:cs="Times New Roman"/>
                            <w:color w:val="000000"/>
                            <w:kern w:val="24"/>
                          </w:rPr>
                        </w:pPr>
                      </w:p>
                      <w:p>
                        <w:pPr>
                          <w:ind w:left="0" w:leftChars="0" w:firstLine="0" w:firstLineChars="0"/>
                          <w:jc w:val="center"/>
                          <w:rPr>
                            <w:rFonts w:hint="eastAsia" w:ascii="Calibri" w:eastAsia="宋体" w:cs="Times New Roman"/>
                            <w:color w:val="000000"/>
                            <w:kern w:val="24"/>
                          </w:rPr>
                        </w:pPr>
                      </w:p>
                      <w:p>
                        <w:pPr>
                          <w:ind w:left="0" w:leftChars="0" w:firstLine="0" w:firstLineChars="0"/>
                          <w:jc w:val="center"/>
                          <w:rPr>
                            <w:rFonts w:hint="eastAsia" w:ascii="Calibri" w:eastAsia="宋体" w:cs="Times New Roman"/>
                            <w:color w:val="000000"/>
                            <w:kern w:val="24"/>
                          </w:rPr>
                        </w:pPr>
                      </w:p>
                      <w:p>
                        <w:pPr>
                          <w:ind w:left="0" w:leftChars="0" w:firstLine="0" w:firstLineChars="0"/>
                          <w:jc w:val="center"/>
                          <w:rPr>
                            <w:kern w:val="0"/>
                            <w:sz w:val="24"/>
                          </w:rPr>
                        </w:pPr>
                        <w:r>
                          <w:rPr>
                            <w:rFonts w:hint="eastAsia" w:ascii="Calibri" w:eastAsia="宋体" w:cs="Times New Roman"/>
                            <w:color w:val="000000"/>
                            <w:kern w:val="24"/>
                          </w:rPr>
                          <w:t xml:space="preserve">绩效 </w:t>
                        </w:r>
                        <w:r>
                          <w:rPr>
                            <w:rFonts w:ascii="Calibri" w:eastAsia="宋体" w:cs="Times New Roman"/>
                            <w:color w:val="000000"/>
                            <w:kern w:val="24"/>
                          </w:rPr>
                          <w:t>5.7</w:t>
                        </w:r>
                      </w:p>
                    </w:txbxContent>
                  </v:textbox>
                </v:roundrect>
                <v:shape id="箭头: 右 8" o:spid="_x0000_s1026" o:spt="13" type="#_x0000_t13" style="position:absolute;left:17427;top:12628;height:14908;width:22811;v-text-anchor:middle;" filled="f" stroked="t" coordsize="21600,21600" o:gfxdata="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kWgprsAAADb&#10;AAAADwAAAAAAAAABACAAAAAiAAAAZHJzL2Rvd25yZXYueG1sUEsBAhQAFAAAAAgAh07iQDMvBZ47&#10;AAAAOQAAABAAAAAAAAAAAQAgAAAACgEAAGRycy9zaGFwZXhtbC54bWxQSwUGAAAAAAYABgBbAQAA&#10;tAMAAAAA&#10;" adj="14544,5400">
                  <v:fill on="f" focussize="0,0"/>
                  <v:stroke weight="2pt" color="#1F4D78" joinstyle="miter" dashstyle="dash"/>
                  <v:imagedata o:title=""/>
                  <o:lock v:ext="edit" aspectratio="f"/>
                  <v:textbox>
                    <w:txbxContent>
                      <w:p>
                        <w:pPr>
                          <w:ind w:left="0" w:leftChars="0" w:firstLine="210" w:firstLineChars="100"/>
                          <w:jc w:val="both"/>
                          <w:rPr>
                            <w:kern w:val="0"/>
                            <w:sz w:val="24"/>
                          </w:rPr>
                        </w:pPr>
                        <w:r>
                          <w:rPr>
                            <w:rFonts w:hint="eastAsia" w:ascii="Calibri" w:eastAsia="宋体" w:cs="Times New Roman"/>
                            <w:color w:val="000000"/>
                            <w:kern w:val="24"/>
                          </w:rPr>
                          <w:t>生产过程</w:t>
                        </w:r>
                      </w:p>
                    </w:txbxContent>
                  </v:textbox>
                </v:shape>
              </v:group>
            </w:pict>
          </mc:Fallback>
        </mc:AlternateContent>
      </w: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jc w:val="center"/>
        <w:rPr>
          <w:highlight w:val="none"/>
        </w:rPr>
      </w:pPr>
      <w:r>
        <w:rPr>
          <w:rFonts w:hint="eastAsia"/>
          <w:highlight w:val="none"/>
        </w:rPr>
        <w:t>图1</w:t>
      </w:r>
      <w:r>
        <w:rPr>
          <w:highlight w:val="none"/>
        </w:rPr>
        <w:t xml:space="preserve"> </w:t>
      </w:r>
      <w:r>
        <w:rPr>
          <w:rFonts w:hint="eastAsia"/>
          <w:highlight w:val="none"/>
        </w:rPr>
        <w:t>稀土抛光粉绿色工厂评价体系框图</w:t>
      </w:r>
    </w:p>
    <w:p>
      <w:pPr>
        <w:pStyle w:val="4"/>
        <w:bidi w:val="0"/>
      </w:pPr>
      <w:r>
        <w:rPr>
          <w:rFonts w:hint="eastAsia"/>
        </w:rPr>
        <w:t>4.1.2 系统性原则</w:t>
      </w:r>
    </w:p>
    <w:p>
      <w:pPr>
        <w:rPr>
          <w:highlight w:val="none"/>
        </w:rPr>
      </w:pPr>
      <w:r>
        <w:rPr>
          <w:rFonts w:hint="eastAsia"/>
          <w:highlight w:val="none"/>
        </w:rPr>
        <w:t>评价指标采取定性与定量相结合、过程与绩效相结合的方式，形成完整的综合性评价指标体系。</w:t>
      </w:r>
    </w:p>
    <w:p>
      <w:pPr>
        <w:pStyle w:val="3"/>
        <w:bidi w:val="0"/>
      </w:pPr>
      <w:r>
        <w:rPr>
          <w:rFonts w:hint="eastAsia"/>
        </w:rPr>
        <w:t>4.2 评价指标</w:t>
      </w:r>
    </w:p>
    <w:p>
      <w:pPr>
        <w:pStyle w:val="4"/>
        <w:bidi w:val="0"/>
      </w:pPr>
      <w:r>
        <w:rPr>
          <w:rFonts w:hint="eastAsia"/>
        </w:rPr>
        <w:t>4.2.1 评价指标体系</w:t>
      </w:r>
    </w:p>
    <w:p>
      <w:pPr>
        <w:rPr>
          <w:highlight w:val="none"/>
        </w:rPr>
      </w:pPr>
      <w:r>
        <w:rPr>
          <w:rFonts w:hint="eastAsia"/>
          <w:highlight w:val="none"/>
        </w:rPr>
        <w:t>评价指标体系包括三个层次，即一级指标、二级指标和具体评价要求</w:t>
      </w:r>
      <w:r>
        <w:rPr>
          <w:highlight w:val="none"/>
        </w:rPr>
        <w:t>。一级指标包括基本要求、基础设施、管理体系、能源与资源投入、产品、环境排放、绩效共7个方面；在</w:t>
      </w:r>
      <w:r>
        <w:rPr>
          <w:rFonts w:hint="eastAsia"/>
          <w:highlight w:val="none"/>
        </w:rPr>
        <w:t>每个</w:t>
      </w:r>
      <w:r>
        <w:rPr>
          <w:highlight w:val="none"/>
        </w:rPr>
        <w:t>一级指标下设二级指标，在</w:t>
      </w:r>
      <w:r>
        <w:rPr>
          <w:rFonts w:hint="eastAsia"/>
          <w:highlight w:val="none"/>
        </w:rPr>
        <w:t>每个</w:t>
      </w:r>
      <w:r>
        <w:rPr>
          <w:highlight w:val="none"/>
        </w:rPr>
        <w:t>二级指标下设具体评价要求。</w:t>
      </w:r>
      <w:r>
        <w:rPr>
          <w:rFonts w:hint="eastAsia"/>
          <w:highlight w:val="none"/>
        </w:rPr>
        <w:t>一级指标中的</w:t>
      </w:r>
      <w:r>
        <w:rPr>
          <w:highlight w:val="none"/>
        </w:rPr>
        <w:t>基本要求为工厂参与评价的基本条件，不参与评分，其他6个方面</w:t>
      </w:r>
      <w:r>
        <w:rPr>
          <w:rFonts w:hint="eastAsia"/>
          <w:highlight w:val="none"/>
        </w:rPr>
        <w:t>均参与评分</w:t>
      </w:r>
      <w:r>
        <w:rPr>
          <w:highlight w:val="none"/>
        </w:rPr>
        <w:t>，通过评分来判断</w:t>
      </w:r>
      <w:r>
        <w:rPr>
          <w:rFonts w:hint="eastAsia"/>
          <w:highlight w:val="none"/>
          <w:lang w:val="en-US" w:eastAsia="zh-CN"/>
        </w:rPr>
        <w:t>绿色</w:t>
      </w:r>
      <w:r>
        <w:rPr>
          <w:highlight w:val="none"/>
        </w:rPr>
        <w:t>工厂满足要求的程度。</w:t>
      </w:r>
    </w:p>
    <w:p>
      <w:pPr>
        <w:pStyle w:val="4"/>
        <w:bidi w:val="0"/>
      </w:pPr>
      <w:r>
        <w:rPr>
          <w:rFonts w:hint="eastAsia"/>
        </w:rPr>
        <w:t>4.2.2 权重系数和指标分数</w:t>
      </w:r>
    </w:p>
    <w:p>
      <w:pPr>
        <w:rPr>
          <w:highlight w:val="none"/>
        </w:rPr>
      </w:pPr>
      <w:r>
        <w:rPr>
          <w:highlight w:val="none"/>
        </w:rPr>
        <w:t>稀土抛光粉</w:t>
      </w:r>
      <w:r>
        <w:rPr>
          <w:rFonts w:hint="eastAsia"/>
          <w:highlight w:val="none"/>
        </w:rPr>
        <w:t>绿色工厂评价一级指标权重系数</w:t>
      </w:r>
      <w:r>
        <w:rPr>
          <w:rFonts w:hint="eastAsia"/>
          <w:highlight w:val="none"/>
          <w:lang w:val="en-US" w:eastAsia="zh-CN"/>
        </w:rPr>
        <w:t>XB/T 803-2021</w:t>
      </w:r>
      <w:r>
        <w:rPr>
          <w:rFonts w:hint="eastAsia"/>
          <w:highlight w:val="none"/>
        </w:rPr>
        <w:t>《稀土采选冶行业绿色工厂评价导则》</w:t>
      </w:r>
      <w:r>
        <w:rPr>
          <w:rFonts w:hint="eastAsia"/>
          <w:highlight w:val="none"/>
          <w:lang w:val="en-US" w:eastAsia="zh-CN"/>
        </w:rPr>
        <w:t>的规定</w:t>
      </w:r>
      <w:r>
        <w:rPr>
          <w:rFonts w:hint="eastAsia"/>
          <w:highlight w:val="none"/>
        </w:rPr>
        <w:t>为：</w:t>
      </w:r>
    </w:p>
    <w:p>
      <w:pPr>
        <w:rPr>
          <w:highlight w:val="none"/>
        </w:rPr>
      </w:pPr>
      <w:r>
        <w:rPr>
          <w:highlight w:val="none"/>
        </w:rPr>
        <w:t>——基本要求（5.1）采取一票否决制，应全部满足；</w:t>
      </w:r>
    </w:p>
    <w:p>
      <w:pPr>
        <w:rPr>
          <w:highlight w:val="none"/>
        </w:rPr>
      </w:pPr>
      <w:r>
        <w:rPr>
          <w:highlight w:val="none"/>
        </w:rPr>
        <w:t>——基础设施（5.2）</w:t>
      </w:r>
      <w:r>
        <w:rPr>
          <w:rFonts w:hint="eastAsia"/>
          <w:highlight w:val="none"/>
          <w:lang w:val="en-US" w:eastAsia="zh-CN"/>
        </w:rPr>
        <w:t>10</w:t>
      </w:r>
      <w:r>
        <w:rPr>
          <w:highlight w:val="none"/>
        </w:rPr>
        <w:t>%；</w:t>
      </w:r>
    </w:p>
    <w:p>
      <w:pPr>
        <w:rPr>
          <w:highlight w:val="none"/>
        </w:rPr>
      </w:pPr>
      <w:r>
        <w:rPr>
          <w:highlight w:val="none"/>
        </w:rPr>
        <w:t>——管理体系（5.3）15%；</w:t>
      </w:r>
    </w:p>
    <w:p>
      <w:pPr>
        <w:rPr>
          <w:highlight w:val="none"/>
        </w:rPr>
      </w:pPr>
      <w:r>
        <w:rPr>
          <w:highlight w:val="none"/>
        </w:rPr>
        <w:t>——能源与资源投入（5.4）15%；</w:t>
      </w:r>
    </w:p>
    <w:p>
      <w:pPr>
        <w:rPr>
          <w:rFonts w:hint="default" w:eastAsia="宋体"/>
          <w:highlight w:val="none"/>
          <w:lang w:val="en-US" w:eastAsia="zh-CN"/>
        </w:rPr>
      </w:pPr>
      <w:r>
        <w:rPr>
          <w:highlight w:val="none"/>
        </w:rPr>
        <w:t>——产品（5.5）</w:t>
      </w:r>
      <w:r>
        <w:rPr>
          <w:rFonts w:hint="eastAsia"/>
          <w:highlight w:val="none"/>
          <w:lang w:val="en-US" w:eastAsia="zh-CN"/>
        </w:rPr>
        <w:t>15%</w:t>
      </w:r>
      <w:r>
        <w:rPr>
          <w:highlight w:val="none"/>
        </w:rPr>
        <w:t>；</w:t>
      </w:r>
    </w:p>
    <w:p>
      <w:pPr>
        <w:rPr>
          <w:highlight w:val="none"/>
        </w:rPr>
      </w:pPr>
      <w:r>
        <w:rPr>
          <w:highlight w:val="none"/>
        </w:rPr>
        <w:t>——环境排放（5.6）</w:t>
      </w:r>
      <w:r>
        <w:rPr>
          <w:rFonts w:hint="eastAsia"/>
          <w:highlight w:val="none"/>
          <w:lang w:val="en-US" w:eastAsia="zh-CN"/>
        </w:rPr>
        <w:t>15</w:t>
      </w:r>
      <w:r>
        <w:rPr>
          <w:highlight w:val="none"/>
        </w:rPr>
        <w:t>%；</w:t>
      </w:r>
    </w:p>
    <w:p>
      <w:pPr>
        <w:rPr>
          <w:highlight w:val="none"/>
        </w:rPr>
      </w:pPr>
      <w:r>
        <w:rPr>
          <w:highlight w:val="none"/>
        </w:rPr>
        <w:t>——绩效（5.7）</w:t>
      </w:r>
      <w:r>
        <w:rPr>
          <w:rFonts w:hint="eastAsia"/>
          <w:highlight w:val="none"/>
          <w:lang w:val="en-US" w:eastAsia="zh-CN"/>
        </w:rPr>
        <w:t>30</w:t>
      </w:r>
      <w:r>
        <w:rPr>
          <w:highlight w:val="none"/>
        </w:rPr>
        <w:t>%。</w:t>
      </w:r>
    </w:p>
    <w:p>
      <w:pPr>
        <w:rPr>
          <w:highlight w:val="none"/>
        </w:rPr>
      </w:pPr>
      <w:r>
        <w:rPr>
          <w:highlight w:val="none"/>
        </w:rPr>
        <w:t>最终权重系数总和为100%，二级指标和具体评价要求见附录A。</w:t>
      </w:r>
    </w:p>
    <w:p>
      <w:pPr>
        <w:pStyle w:val="3"/>
      </w:pPr>
      <w:r>
        <w:rPr>
          <w:rFonts w:hint="eastAsia"/>
        </w:rPr>
        <w:t>4.3 评价方法</w:t>
      </w:r>
    </w:p>
    <w:p>
      <w:pPr>
        <w:ind w:firstLine="0" w:firstLineChars="0"/>
        <w:jc w:val="left"/>
        <w:rPr>
          <w:highlight w:val="none"/>
        </w:rPr>
      </w:pPr>
      <w:r>
        <w:rPr>
          <w:rStyle w:val="52"/>
        </w:rPr>
        <w:t>4.3.1</w:t>
      </w:r>
      <w:r>
        <w:rPr>
          <w:rFonts w:hint="eastAsia"/>
          <w:highlight w:val="none"/>
        </w:rPr>
        <w:t xml:space="preserve"> 评价可由第一方、第二方或第三方组织实施。当评价结果用于对外宣告时，则评价方至少应包括独立于工厂、具备相应能力的第三方组织。</w:t>
      </w:r>
    </w:p>
    <w:p>
      <w:pPr>
        <w:ind w:firstLine="0" w:firstLineChars="0"/>
        <w:rPr>
          <w:highlight w:val="none"/>
        </w:rPr>
      </w:pPr>
      <w:r>
        <w:rPr>
          <w:rStyle w:val="52"/>
        </w:rPr>
        <w:t xml:space="preserve">4.3.2 </w:t>
      </w:r>
      <w:r>
        <w:rPr>
          <w:rFonts w:hint="eastAsia"/>
          <w:highlight w:val="none"/>
        </w:rPr>
        <w:t>实施评价的组织应查看受评工厂的报告、统计报表、原始记录、声明文件、分析测试报告、相关第三方认证证书等支持性文件；并根据实际情况，通过对相关人员的座谈、实地调查、抽样调查等方式收集评价证据，并对评价证据进行分析，确保受评工厂的评价结果对相关指标要求的符合性证据充分、完整、准确。</w:t>
      </w:r>
    </w:p>
    <w:p>
      <w:pPr>
        <w:ind w:firstLine="0" w:firstLineChars="0"/>
        <w:rPr>
          <w:highlight w:val="none"/>
        </w:rPr>
      </w:pPr>
      <w:r>
        <w:rPr>
          <w:rStyle w:val="52"/>
        </w:rPr>
        <w:t>4.3.3</w:t>
      </w:r>
      <w:r>
        <w:rPr>
          <w:rFonts w:hint="eastAsia"/>
          <w:highlight w:val="none"/>
        </w:rPr>
        <w:t xml:space="preserve"> 评价采用指标</w:t>
      </w:r>
      <w:r>
        <w:rPr>
          <w:highlight w:val="none"/>
        </w:rPr>
        <w:t>加权综合评分的方式，各指标加权综合评分的总分为100分。稀土抛光粉绿色工厂评价指标表见附录A。对照附录A表A.1中具体条款，</w:t>
      </w:r>
      <w:r>
        <w:rPr>
          <w:rFonts w:hint="eastAsia"/>
          <w:highlight w:val="none"/>
        </w:rPr>
        <w:t>分值类型分为一票否决型、零整型</w:t>
      </w:r>
      <w:r>
        <w:rPr>
          <w:rFonts w:hint="eastAsia"/>
          <w:highlight w:val="none"/>
          <w:lang w:eastAsia="zh-CN"/>
        </w:rPr>
        <w:t>、</w:t>
      </w:r>
      <w:r>
        <w:rPr>
          <w:rFonts w:hint="eastAsia"/>
          <w:highlight w:val="none"/>
        </w:rPr>
        <w:t>取值型</w:t>
      </w:r>
      <w:r>
        <w:rPr>
          <w:rFonts w:hint="eastAsia"/>
          <w:highlight w:val="none"/>
          <w:lang w:eastAsia="zh-CN"/>
        </w:rPr>
        <w:t>、</w:t>
      </w:r>
      <w:r>
        <w:rPr>
          <w:rFonts w:hint="eastAsia"/>
          <w:highlight w:val="none"/>
          <w:lang w:val="en-US" w:eastAsia="zh-CN"/>
        </w:rPr>
        <w:t>附加型</w:t>
      </w:r>
      <w:r>
        <w:rPr>
          <w:rFonts w:hint="eastAsia"/>
          <w:highlight w:val="none"/>
        </w:rPr>
        <w:t>：一票否决型为基本要求，无分值，任意一项不符合即可判定不符合绿色工厂要求；零整型</w:t>
      </w:r>
      <w:r>
        <w:rPr>
          <w:highlight w:val="none"/>
        </w:rPr>
        <w:t>得分根据符合与否取0分或满分</w:t>
      </w:r>
      <w:r>
        <w:rPr>
          <w:rFonts w:hint="eastAsia"/>
          <w:highlight w:val="none"/>
          <w:lang w:eastAsia="zh-CN"/>
        </w:rPr>
        <w:t>；</w:t>
      </w:r>
      <w:r>
        <w:rPr>
          <w:rFonts w:hint="eastAsia"/>
          <w:highlight w:val="none"/>
        </w:rPr>
        <w:t>取值型</w:t>
      </w:r>
      <w:r>
        <w:rPr>
          <w:highlight w:val="none"/>
        </w:rPr>
        <w:t>指标根据符合程度</w:t>
      </w:r>
      <w:r>
        <w:rPr>
          <w:rFonts w:hint="eastAsia"/>
          <w:highlight w:val="none"/>
        </w:rPr>
        <w:t>按照附录B的要求</w:t>
      </w:r>
      <w:r>
        <w:rPr>
          <w:highlight w:val="none"/>
        </w:rPr>
        <w:t>在0分和满分之间取</w:t>
      </w:r>
      <w:r>
        <w:rPr>
          <w:rFonts w:hint="eastAsia"/>
          <w:highlight w:val="none"/>
        </w:rPr>
        <w:t>整数</w:t>
      </w:r>
      <w:r>
        <w:rPr>
          <w:highlight w:val="none"/>
        </w:rPr>
        <w:t>值</w:t>
      </w:r>
      <w:bookmarkStart w:id="34" w:name="_Hlk54430613"/>
      <w:r>
        <w:rPr>
          <w:rFonts w:hint="eastAsia"/>
          <w:highlight w:val="none"/>
          <w:lang w:eastAsia="zh-CN"/>
        </w:rPr>
        <w:t>；</w:t>
      </w:r>
      <w:r>
        <w:rPr>
          <w:rFonts w:hint="eastAsia"/>
          <w:highlight w:val="none"/>
          <w:lang w:val="en-US" w:eastAsia="zh-CN"/>
        </w:rPr>
        <w:t>加分型根据符合程度给与相应的加分</w:t>
      </w:r>
      <w:r>
        <w:rPr>
          <w:highlight w:val="none"/>
        </w:rPr>
        <w:t>。</w:t>
      </w:r>
      <w:bookmarkEnd w:id="34"/>
    </w:p>
    <w:p>
      <w:pPr>
        <w:ind w:firstLine="0" w:firstLineChars="0"/>
        <w:rPr>
          <w:rFonts w:hint="eastAsia" w:eastAsia="宋体"/>
          <w:strike/>
          <w:dstrike w:val="0"/>
          <w:highlight w:val="none"/>
          <w:lang w:eastAsia="zh-CN"/>
        </w:rPr>
      </w:pPr>
      <w:r>
        <w:rPr>
          <w:rStyle w:val="52"/>
        </w:rPr>
        <w:t xml:space="preserve">4.3.4 </w:t>
      </w:r>
      <w:r>
        <w:rPr>
          <w:rFonts w:hint="eastAsia"/>
          <w:highlight w:val="none"/>
        </w:rPr>
        <w:t>评价应依据国家主管部门规定</w:t>
      </w:r>
      <w:r>
        <w:rPr>
          <w:rFonts w:hint="eastAsia"/>
          <w:highlight w:val="none"/>
          <w:lang w:val="en-US" w:eastAsia="zh-CN"/>
        </w:rPr>
        <w:t>和相关方要求</w:t>
      </w:r>
      <w:r>
        <w:rPr>
          <w:rFonts w:hint="eastAsia"/>
          <w:highlight w:val="none"/>
        </w:rPr>
        <w:t>、</w:t>
      </w:r>
      <w:r>
        <w:rPr>
          <w:rFonts w:hint="eastAsia"/>
          <w:highlight w:val="none"/>
          <w:lang w:val="en-US" w:eastAsia="zh-CN"/>
        </w:rPr>
        <w:t>当工厂完全符合5.1基本要求的同时，指标加权综合评分在85分及以上时才具有评定绿色工厂的资格</w:t>
      </w:r>
      <w:r>
        <w:rPr>
          <w:rFonts w:hint="eastAsia"/>
          <w:highlight w:val="none"/>
          <w:lang w:eastAsia="zh-CN"/>
        </w:rPr>
        <w:t>。</w:t>
      </w:r>
    </w:p>
    <w:p>
      <w:pPr>
        <w:pStyle w:val="3"/>
        <w:outlineLvl w:val="0"/>
        <w:rPr>
          <w:highlight w:val="none"/>
        </w:rPr>
      </w:pPr>
      <w:bookmarkStart w:id="35" w:name="_Toc1879"/>
      <w:bookmarkStart w:id="36" w:name="_Toc13241"/>
      <w:r>
        <w:rPr>
          <w:rFonts w:hint="eastAsia"/>
          <w:highlight w:val="none"/>
        </w:rPr>
        <w:t>5 评价要求</w:t>
      </w:r>
      <w:bookmarkEnd w:id="35"/>
      <w:bookmarkEnd w:id="36"/>
    </w:p>
    <w:p>
      <w:pPr>
        <w:pStyle w:val="3"/>
      </w:pPr>
      <w:r>
        <w:rPr>
          <w:rFonts w:hint="eastAsia"/>
        </w:rPr>
        <w:t>5.1 基本要求</w:t>
      </w:r>
    </w:p>
    <w:p>
      <w:pPr>
        <w:pStyle w:val="4"/>
      </w:pPr>
      <w:r>
        <w:rPr>
          <w:rFonts w:hint="eastAsia"/>
        </w:rPr>
        <w:t>5.1.1合规性与相关方要求</w:t>
      </w:r>
    </w:p>
    <w:p>
      <w:pPr>
        <w:ind w:firstLine="0" w:firstLineChars="0"/>
        <w:rPr>
          <w:highlight w:val="none"/>
        </w:rPr>
      </w:pPr>
      <w:r>
        <w:rPr>
          <w:rStyle w:val="53"/>
          <w:b w:val="0"/>
          <w:bCs w:val="0"/>
        </w:rPr>
        <w:t>5.1.1.1</w:t>
      </w:r>
      <w:r>
        <w:rPr>
          <w:rFonts w:hint="eastAsia"/>
          <w:highlight w:val="none"/>
        </w:rPr>
        <w:t xml:space="preserve"> 稀土抛光粉工厂应依法设立，实施生产至少一年以上，在建设和生产过程中应遵守有关法律、法规、政策和标准。</w:t>
      </w:r>
    </w:p>
    <w:p>
      <w:pPr>
        <w:ind w:firstLine="0" w:firstLineChars="0"/>
        <w:rPr>
          <w:highlight w:val="none"/>
        </w:rPr>
      </w:pPr>
      <w:r>
        <w:rPr>
          <w:rStyle w:val="53"/>
        </w:rPr>
        <w:t>5.1.1.2</w:t>
      </w:r>
      <w:r>
        <w:rPr>
          <w:rFonts w:hint="eastAsia"/>
          <w:highlight w:val="none"/>
        </w:rPr>
        <w:t xml:space="preserve"> 应具有良好信用，近三年（含成立不足三年）无严重违法失信、经营异常和行政处罚记录。</w:t>
      </w:r>
    </w:p>
    <w:p>
      <w:pPr>
        <w:ind w:firstLine="0" w:firstLineChars="0"/>
        <w:rPr>
          <w:rFonts w:hint="eastAsia" w:eastAsia="宋体"/>
          <w:highlight w:val="none"/>
          <w:lang w:val="en-US" w:eastAsia="zh-CN"/>
        </w:rPr>
      </w:pPr>
      <w:r>
        <w:rPr>
          <w:rStyle w:val="53"/>
          <w:highlight w:val="none"/>
        </w:rPr>
        <w:t xml:space="preserve">5.1.1.3 </w:t>
      </w:r>
      <w:r>
        <w:rPr>
          <w:rFonts w:hint="eastAsia"/>
          <w:highlight w:val="none"/>
        </w:rPr>
        <w:t>近三年（含成立不足三年）未发生</w:t>
      </w:r>
      <w:r>
        <w:rPr>
          <w:rFonts w:hint="eastAsia"/>
          <w:color w:val="auto"/>
          <w:highlight w:val="none"/>
        </w:rPr>
        <w:t>工亡</w:t>
      </w:r>
      <w:r>
        <w:rPr>
          <w:rFonts w:hint="eastAsia"/>
          <w:color w:val="auto"/>
          <w:highlight w:val="none"/>
          <w:lang w:val="en-US" w:eastAsia="zh-CN"/>
        </w:rPr>
        <w:t>及</w:t>
      </w:r>
      <w:r>
        <w:rPr>
          <w:rFonts w:hint="eastAsia"/>
          <w:highlight w:val="none"/>
        </w:rPr>
        <w:t>以上的生产安全事故、未受罚款、责令停产停业、责令重新安装或使用、责令支付消除污染费用、责令赔偿国家损失等环保行政处罚、无</w:t>
      </w:r>
      <w:r>
        <w:rPr>
          <w:rFonts w:hint="eastAsia"/>
          <w:highlight w:val="none"/>
          <w:lang w:val="en-US" w:eastAsia="zh-CN"/>
        </w:rPr>
        <w:t>直接经济损失在产值的5%以上的</w:t>
      </w:r>
      <w:r>
        <w:rPr>
          <w:rFonts w:hint="eastAsia"/>
          <w:highlight w:val="none"/>
        </w:rPr>
        <w:t>质量事故</w:t>
      </w:r>
      <w:r>
        <w:rPr>
          <w:rFonts w:hint="eastAsia"/>
          <w:highlight w:val="none"/>
          <w:lang w:eastAsia="zh-CN"/>
        </w:rPr>
        <w:t>。</w:t>
      </w:r>
    </w:p>
    <w:p>
      <w:pPr>
        <w:ind w:firstLine="0" w:firstLineChars="0"/>
        <w:rPr>
          <w:highlight w:val="none"/>
        </w:rPr>
      </w:pPr>
      <w:r>
        <w:rPr>
          <w:rStyle w:val="53"/>
        </w:rPr>
        <w:t>5.1.1.4</w:t>
      </w:r>
      <w:r>
        <w:rPr>
          <w:rFonts w:hint="eastAsia"/>
          <w:highlight w:val="none"/>
        </w:rPr>
        <w:t xml:space="preserve"> 对利益相关方的环境要求做出承诺的，应同时满足有关承诺的要求。</w:t>
      </w:r>
    </w:p>
    <w:p>
      <w:pPr>
        <w:ind w:firstLine="0" w:firstLineChars="0"/>
        <w:rPr>
          <w:highlight w:val="none"/>
        </w:rPr>
      </w:pPr>
      <w:r>
        <w:rPr>
          <w:rStyle w:val="53"/>
        </w:rPr>
        <w:t>5.1.1.5</w:t>
      </w:r>
      <w:r>
        <w:rPr>
          <w:rFonts w:hint="eastAsia"/>
          <w:highlight w:val="none"/>
        </w:rPr>
        <w:t xml:space="preserve"> </w:t>
      </w:r>
      <w:r>
        <w:rPr>
          <w:highlight w:val="none"/>
        </w:rPr>
        <w:t>能源消耗指标应</w:t>
      </w:r>
      <w:r>
        <w:rPr>
          <w:rFonts w:hint="eastAsia"/>
          <w:highlight w:val="none"/>
          <w:lang w:val="en-US" w:eastAsia="zh-CN"/>
        </w:rPr>
        <w:t>符合GB 29435及地方能耗限额</w:t>
      </w:r>
      <w:r>
        <w:rPr>
          <w:highlight w:val="none"/>
        </w:rPr>
        <w:t>标准限定值的要求。</w:t>
      </w:r>
    </w:p>
    <w:p>
      <w:pPr>
        <w:ind w:firstLine="0" w:firstLineChars="0"/>
        <w:rPr>
          <w:highlight w:val="none"/>
        </w:rPr>
      </w:pPr>
      <w:r>
        <w:rPr>
          <w:rStyle w:val="53"/>
        </w:rPr>
        <w:t>5.1.1.6</w:t>
      </w:r>
      <w:r>
        <w:rPr>
          <w:rFonts w:hint="eastAsia"/>
          <w:highlight w:val="none"/>
        </w:rPr>
        <w:t xml:space="preserve"> </w:t>
      </w:r>
      <w:r>
        <w:rPr>
          <w:rFonts w:hint="default"/>
          <w:highlight w:val="none"/>
        </w:rPr>
        <w:t>工厂各种污染物排放指标应符合GB 26451等国家、行业和地方现行有关标准的要求，并应按照HJ 1125的要求申领获得排污许可证</w:t>
      </w:r>
      <w:r>
        <w:rPr>
          <w:rFonts w:hint="default"/>
          <w:highlight w:val="none"/>
          <w:lang w:eastAsia="zh-CN"/>
        </w:rPr>
        <w:t>。</w:t>
      </w:r>
    </w:p>
    <w:p>
      <w:pPr>
        <w:pStyle w:val="4"/>
      </w:pPr>
      <w:r>
        <w:rPr>
          <w:rFonts w:hint="eastAsia"/>
        </w:rPr>
        <w:t>5.1.2 基础管理职责</w:t>
      </w:r>
    </w:p>
    <w:p>
      <w:pPr>
        <w:rPr>
          <w:highlight w:val="none"/>
        </w:rPr>
      </w:pPr>
      <w:r>
        <w:rPr>
          <w:rFonts w:hint="eastAsia"/>
          <w:highlight w:val="none"/>
        </w:rPr>
        <w:t>基础管理职责（包括最高管理者要求</w:t>
      </w:r>
      <w:r>
        <w:rPr>
          <w:highlight w:val="none"/>
        </w:rPr>
        <w:t>和工厂要求）应满足GB/T 36132中4.3的要求。</w:t>
      </w:r>
    </w:p>
    <w:p>
      <w:pPr>
        <w:pStyle w:val="3"/>
      </w:pPr>
      <w:r>
        <w:rPr>
          <w:rFonts w:hint="eastAsia"/>
        </w:rPr>
        <w:t>5.2 基础设施要求</w:t>
      </w:r>
    </w:p>
    <w:p>
      <w:pPr>
        <w:pStyle w:val="4"/>
      </w:pPr>
      <w:r>
        <w:rPr>
          <w:rFonts w:hint="eastAsia"/>
        </w:rPr>
        <w:t>5.2.1 建筑</w:t>
      </w:r>
    </w:p>
    <w:p>
      <w:pPr>
        <w:rPr>
          <w:highlight w:val="none"/>
        </w:rPr>
      </w:pPr>
      <w:r>
        <w:rPr>
          <w:rFonts w:hint="eastAsia"/>
          <w:highlight w:val="none"/>
        </w:rPr>
        <w:t>工厂的建筑应满足国家和地方相关法律法规及标准的要求，并从建筑材料、建筑结构、采光照明、绿化及场地、再生资源及能源利用等方面进行建筑的节材、节能、节水、节地、无害化及可再生能源利用。</w:t>
      </w:r>
    </w:p>
    <w:p>
      <w:pPr>
        <w:pStyle w:val="4"/>
      </w:pPr>
      <w:r>
        <w:rPr>
          <w:rFonts w:hint="eastAsia"/>
        </w:rPr>
        <w:t>5.2.2 照明</w:t>
      </w:r>
    </w:p>
    <w:p>
      <w:pPr>
        <w:ind w:firstLine="0" w:firstLineChars="0"/>
        <w:rPr>
          <w:highlight w:val="none"/>
        </w:rPr>
      </w:pPr>
      <w:r>
        <w:rPr>
          <w:rStyle w:val="53"/>
        </w:rPr>
        <w:t xml:space="preserve">5.2.2.1 </w:t>
      </w:r>
      <w:r>
        <w:rPr>
          <w:rFonts w:hint="eastAsia"/>
          <w:highlight w:val="none"/>
        </w:rPr>
        <w:t>厂区及各房间的照明应尽量利用自然光或节能灯，人工照明应符</w:t>
      </w:r>
      <w:r>
        <w:rPr>
          <w:highlight w:val="none"/>
        </w:rPr>
        <w:t>合GB 50034的规定。</w:t>
      </w:r>
    </w:p>
    <w:p>
      <w:pPr>
        <w:ind w:firstLine="0" w:firstLineChars="0"/>
        <w:rPr>
          <w:highlight w:val="none"/>
        </w:rPr>
      </w:pPr>
      <w:r>
        <w:rPr>
          <w:rStyle w:val="53"/>
        </w:rPr>
        <w:t xml:space="preserve">5.2.2.2 </w:t>
      </w:r>
      <w:r>
        <w:rPr>
          <w:rFonts w:hint="eastAsia"/>
          <w:highlight w:val="none"/>
        </w:rPr>
        <w:t>不同场所的照明应进行分级设计。</w:t>
      </w:r>
    </w:p>
    <w:p>
      <w:pPr>
        <w:ind w:firstLine="0" w:firstLineChars="0"/>
        <w:rPr>
          <w:highlight w:val="none"/>
        </w:rPr>
      </w:pPr>
      <w:r>
        <w:rPr>
          <w:rStyle w:val="53"/>
        </w:rPr>
        <w:t xml:space="preserve">5.2.2.3 </w:t>
      </w:r>
      <w:r>
        <w:rPr>
          <w:rStyle w:val="53"/>
          <w:rFonts w:hint="default" w:ascii="Times New Roman" w:hAnsi="Times New Roman" w:eastAsia="宋体" w:cs="Times New Roman"/>
          <w:lang w:val="en-US" w:eastAsia="zh-CN"/>
        </w:rPr>
        <w:t>3000㎡及以上</w:t>
      </w:r>
      <w:r>
        <w:rPr>
          <w:rFonts w:hint="eastAsia"/>
          <w:highlight w:val="none"/>
        </w:rPr>
        <w:t>大型厂房的照明系统宜采用分区控制方式，辅助生产和生活福利设施的照明系统宜适当增设照明控制开关，短时有人的场所宜采取节能自熄措施。</w:t>
      </w:r>
    </w:p>
    <w:p>
      <w:pPr>
        <w:pStyle w:val="4"/>
      </w:pPr>
      <w:r>
        <w:rPr>
          <w:rFonts w:hint="eastAsia"/>
        </w:rPr>
        <w:t>5.2.3 设备设施</w:t>
      </w:r>
    </w:p>
    <w:p>
      <w:pPr>
        <w:pStyle w:val="5"/>
      </w:pPr>
      <w:r>
        <w:rPr>
          <w:rFonts w:hint="eastAsia"/>
        </w:rPr>
        <w:t>5.2.3.1 专用设备</w:t>
      </w:r>
    </w:p>
    <w:p>
      <w:pPr>
        <w:rPr>
          <w:highlight w:val="none"/>
        </w:rPr>
      </w:pPr>
      <w:r>
        <w:rPr>
          <w:rFonts w:hint="eastAsia"/>
          <w:highlight w:val="none"/>
        </w:rPr>
        <w:t>专用设备应符合产业准入要求，降低能源与资源消耗，减少污染物排放。</w:t>
      </w:r>
    </w:p>
    <w:p>
      <w:pPr>
        <w:pStyle w:val="5"/>
      </w:pPr>
      <w:r>
        <w:rPr>
          <w:rFonts w:hint="eastAsia"/>
        </w:rPr>
        <w:t>5.2.3.2 通用设备</w:t>
      </w:r>
    </w:p>
    <w:p>
      <w:pPr>
        <w:rPr>
          <w:highlight w:val="none"/>
        </w:rPr>
      </w:pPr>
      <w:r>
        <w:rPr>
          <w:highlight w:val="none"/>
        </w:rPr>
        <w:t>通用设备应符合以下要求：</w:t>
      </w:r>
    </w:p>
    <w:p>
      <w:pPr>
        <w:rPr>
          <w:highlight w:val="none"/>
        </w:rPr>
      </w:pPr>
      <w:r>
        <w:rPr>
          <w:rFonts w:hint="eastAsia"/>
          <w:highlight w:val="none"/>
        </w:rPr>
        <w:t>a)</w:t>
      </w:r>
      <w:r>
        <w:rPr>
          <w:highlight w:val="none"/>
        </w:rPr>
        <w:t xml:space="preserve"> 适用时，通用设备</w:t>
      </w:r>
      <w:r>
        <w:rPr>
          <w:rFonts w:hint="eastAsia"/>
          <w:highlight w:val="none"/>
          <w:lang w:val="en-US" w:eastAsia="zh-CN"/>
        </w:rPr>
        <w:t>宜采用效率高、能耗低、</w:t>
      </w:r>
      <w:r>
        <w:rPr>
          <w:highlight w:val="none"/>
        </w:rPr>
        <w:t>水耗低、物耗低</w:t>
      </w:r>
      <w:r>
        <w:rPr>
          <w:rFonts w:hint="eastAsia"/>
          <w:highlight w:val="none"/>
          <w:lang w:val="en-US" w:eastAsia="zh-CN"/>
        </w:rPr>
        <w:t>的产品，</w:t>
      </w:r>
      <w:r>
        <w:rPr>
          <w:highlight w:val="none"/>
        </w:rPr>
        <w:t>如压缩机、电动机、变压器、工业锅炉、离心泵、通风机、空调机、冷水机组等应达到GB 18613、GB 19153、GB 19576、GB 19577、GB 19761、GB 19762、GB 20052、GB 21454、GB 24500、GB 24790等标准中能效限定值的强制性要求。</w:t>
      </w:r>
    </w:p>
    <w:p>
      <w:pPr>
        <w:rPr>
          <w:highlight w:val="none"/>
        </w:rPr>
      </w:pPr>
      <w:r>
        <w:rPr>
          <w:rFonts w:hint="eastAsia"/>
          <w:highlight w:val="none"/>
        </w:rPr>
        <w:t xml:space="preserve">b) </w:t>
      </w:r>
      <w:r>
        <w:rPr>
          <w:highlight w:val="none"/>
        </w:rPr>
        <w:t>通用设备或其系统的实际运行效率或主要运行参数应符合该设备经济运行的要求。</w:t>
      </w:r>
    </w:p>
    <w:p>
      <w:pPr>
        <w:rPr>
          <w:highlight w:val="none"/>
        </w:rPr>
      </w:pPr>
      <w:r>
        <w:rPr>
          <w:rFonts w:hint="eastAsia"/>
          <w:highlight w:val="none"/>
        </w:rPr>
        <w:t xml:space="preserve">c) </w:t>
      </w:r>
      <w:r>
        <w:rPr>
          <w:highlight w:val="none"/>
        </w:rPr>
        <w:t>已明令禁止生产、使用的设备或能耗高、效率低的设备应限期淘汰更新。</w:t>
      </w:r>
    </w:p>
    <w:p>
      <w:pPr>
        <w:pStyle w:val="5"/>
      </w:pPr>
      <w:r>
        <w:rPr>
          <w:rFonts w:hint="eastAsia"/>
        </w:rPr>
        <w:t>5.2.3.3 计量设备</w:t>
      </w:r>
    </w:p>
    <w:p>
      <w:pPr>
        <w:rPr>
          <w:rFonts w:hint="default" w:eastAsia="宋体"/>
          <w:highlight w:val="none"/>
          <w:lang w:val="en-US" w:eastAsia="zh-CN"/>
        </w:rPr>
      </w:pPr>
      <w:r>
        <w:rPr>
          <w:rFonts w:hint="eastAsia"/>
          <w:highlight w:val="none"/>
          <w:lang w:val="en-US" w:eastAsia="zh-CN"/>
        </w:rPr>
        <w:t>计量设备应符合以下要求：</w:t>
      </w:r>
    </w:p>
    <w:p>
      <w:pPr>
        <w:rPr>
          <w:highlight w:val="none"/>
        </w:rPr>
      </w:pPr>
      <w:r>
        <w:rPr>
          <w:highlight w:val="none"/>
        </w:rPr>
        <w:t>a</w:t>
      </w:r>
      <w:r>
        <w:rPr>
          <w:rFonts w:hint="eastAsia"/>
          <w:highlight w:val="none"/>
        </w:rPr>
        <w:t xml:space="preserve">) </w:t>
      </w:r>
      <w:r>
        <w:rPr>
          <w:highlight w:val="none"/>
        </w:rPr>
        <w:t>工厂应依据GB 17167、GB 24789等要求配备、使用和管理能源、水以及其他资源的计量器具和装置。进出用能单位、进出主要次级用能单位、主要用能设备计量器具配备率应满足GB/T 20902要求。</w:t>
      </w:r>
    </w:p>
    <w:p>
      <w:pPr>
        <w:rPr>
          <w:highlight w:val="none"/>
        </w:rPr>
      </w:pPr>
      <w:r>
        <w:rPr>
          <w:rFonts w:hint="eastAsia"/>
          <w:highlight w:val="none"/>
        </w:rPr>
        <w:t>b) 能源及资源使用的类型不同时，应进行分类计量。工厂若具有以下设备，需满足分类计量的要求：</w:t>
      </w:r>
    </w:p>
    <w:p>
      <w:pPr>
        <w:rPr>
          <w:highlight w:val="none"/>
        </w:rPr>
      </w:pPr>
      <w:r>
        <w:rPr>
          <w:rFonts w:hint="eastAsia"/>
          <w:highlight w:val="none"/>
        </w:rPr>
        <w:t>1）照明系统；</w:t>
      </w:r>
    </w:p>
    <w:p>
      <w:pPr>
        <w:rPr>
          <w:highlight w:val="none"/>
        </w:rPr>
      </w:pPr>
      <w:r>
        <w:rPr>
          <w:rFonts w:hint="eastAsia"/>
          <w:highlight w:val="none"/>
        </w:rPr>
        <w:t>2）冷水机组、相关用能设备的能耗计量和控制；</w:t>
      </w:r>
    </w:p>
    <w:p>
      <w:pPr>
        <w:rPr>
          <w:highlight w:val="none"/>
        </w:rPr>
      </w:pPr>
      <w:r>
        <w:rPr>
          <w:rFonts w:hint="eastAsia"/>
          <w:highlight w:val="none"/>
        </w:rPr>
        <w:t>3）生产用水、生活用水、消防用水；</w:t>
      </w:r>
    </w:p>
    <w:p>
      <w:pPr>
        <w:rPr>
          <w:highlight w:val="none"/>
        </w:rPr>
      </w:pPr>
      <w:r>
        <w:rPr>
          <w:rFonts w:hint="eastAsia"/>
          <w:highlight w:val="none"/>
        </w:rPr>
        <w:t>4）空气处理设备的流量和压力计量；</w:t>
      </w:r>
    </w:p>
    <w:p>
      <w:pPr>
        <w:rPr>
          <w:highlight w:val="none"/>
        </w:rPr>
      </w:pPr>
      <w:r>
        <w:rPr>
          <w:rFonts w:hint="eastAsia"/>
          <w:highlight w:val="none"/>
        </w:rPr>
        <w:t>5）锅炉；</w:t>
      </w:r>
    </w:p>
    <w:p>
      <w:pPr>
        <w:rPr>
          <w:highlight w:val="none"/>
        </w:rPr>
      </w:pPr>
      <w:r>
        <w:rPr>
          <w:rFonts w:hint="eastAsia"/>
          <w:highlight w:val="none"/>
        </w:rPr>
        <w:t>6）冷却塔。</w:t>
      </w:r>
    </w:p>
    <w:p>
      <w:pPr>
        <w:pStyle w:val="5"/>
      </w:pPr>
      <w:r>
        <w:rPr>
          <w:rFonts w:hint="eastAsia"/>
        </w:rPr>
        <w:t>5.2.3.4 污染物处理设施</w:t>
      </w:r>
    </w:p>
    <w:p>
      <w:pPr>
        <w:rPr>
          <w:highlight w:val="none"/>
        </w:rPr>
      </w:pPr>
      <w:r>
        <w:rPr>
          <w:rFonts w:hint="eastAsia"/>
          <w:highlight w:val="none"/>
        </w:rPr>
        <w:t>工厂应投入适宜的污染物处理设施，以确保其污染物排放达到相关法律法规及标准要求。污染物处理设施的处理能力应与工厂生产排放相适应，并应正常运行。</w:t>
      </w:r>
    </w:p>
    <w:p>
      <w:pPr>
        <w:pStyle w:val="3"/>
      </w:pPr>
      <w:r>
        <w:rPr>
          <w:rFonts w:hint="eastAsia"/>
        </w:rPr>
        <w:t>5.3 管理体系要求</w:t>
      </w:r>
    </w:p>
    <w:p>
      <w:pPr>
        <w:pStyle w:val="4"/>
      </w:pPr>
      <w:r>
        <w:rPr>
          <w:rFonts w:hint="eastAsia"/>
        </w:rPr>
        <w:t>5.3.1 质量管理体系</w:t>
      </w:r>
    </w:p>
    <w:p>
      <w:pPr>
        <w:rPr>
          <w:highlight w:val="none"/>
        </w:rPr>
      </w:pPr>
      <w:r>
        <w:rPr>
          <w:highlight w:val="none"/>
        </w:rPr>
        <w:t>a）工厂应建立、实施并保持质量管理体系。</w:t>
      </w:r>
    </w:p>
    <w:p>
      <w:pPr>
        <w:rPr>
          <w:highlight w:val="none"/>
        </w:rPr>
      </w:pPr>
      <w:r>
        <w:rPr>
          <w:highlight w:val="none"/>
        </w:rPr>
        <w:t>b）工厂的质量管理体系</w:t>
      </w:r>
      <w:r>
        <w:rPr>
          <w:rFonts w:hint="eastAsia"/>
          <w:highlight w:val="none"/>
        </w:rPr>
        <w:t>应满足</w:t>
      </w:r>
      <w:r>
        <w:rPr>
          <w:highlight w:val="none"/>
        </w:rPr>
        <w:t>GB/T 19001</w:t>
      </w:r>
      <w:r>
        <w:rPr>
          <w:rFonts w:hint="eastAsia"/>
          <w:highlight w:val="none"/>
        </w:rPr>
        <w:t>的要求</w:t>
      </w:r>
      <w:r>
        <w:rPr>
          <w:highlight w:val="none"/>
        </w:rPr>
        <w:t>。</w:t>
      </w:r>
    </w:p>
    <w:p>
      <w:pPr>
        <w:rPr>
          <w:highlight w:val="none"/>
        </w:rPr>
      </w:pPr>
      <w:r>
        <w:rPr>
          <w:highlight w:val="none"/>
        </w:rPr>
        <w:t>c</w:t>
      </w:r>
      <w:r>
        <w:rPr>
          <w:rFonts w:hint="eastAsia"/>
          <w:highlight w:val="none"/>
        </w:rPr>
        <w:t>）工厂宜获得质量管理体系的第三方认证。</w:t>
      </w:r>
    </w:p>
    <w:p>
      <w:pPr>
        <w:pStyle w:val="4"/>
      </w:pPr>
      <w:r>
        <w:rPr>
          <w:rFonts w:hint="eastAsia"/>
        </w:rPr>
        <w:t>5.3.2职业健康安全管理体系</w:t>
      </w:r>
    </w:p>
    <w:p>
      <w:pPr>
        <w:rPr>
          <w:highlight w:val="none"/>
        </w:rPr>
      </w:pPr>
      <w:r>
        <w:rPr>
          <w:highlight w:val="none"/>
        </w:rPr>
        <w:t>a）工厂应建立、实施并保持职业健康安全管理体系。</w:t>
      </w:r>
    </w:p>
    <w:p>
      <w:pPr>
        <w:rPr>
          <w:highlight w:val="none"/>
        </w:rPr>
      </w:pPr>
      <w:r>
        <w:rPr>
          <w:highlight w:val="none"/>
        </w:rPr>
        <w:t>b）工厂的职业健康安全管理体系</w:t>
      </w:r>
      <w:r>
        <w:rPr>
          <w:rFonts w:hint="eastAsia"/>
          <w:highlight w:val="none"/>
        </w:rPr>
        <w:t>应满足</w:t>
      </w:r>
      <w:r>
        <w:rPr>
          <w:highlight w:val="none"/>
        </w:rPr>
        <w:t>GB/T</w:t>
      </w:r>
      <w:r>
        <w:rPr>
          <w:rFonts w:hint="eastAsia"/>
          <w:highlight w:val="none"/>
          <w:lang w:val="en-US" w:eastAsia="zh-CN"/>
        </w:rPr>
        <w:t xml:space="preserve"> </w:t>
      </w:r>
      <w:r>
        <w:rPr>
          <w:highlight w:val="none"/>
        </w:rPr>
        <w:t>45001</w:t>
      </w:r>
      <w:r>
        <w:rPr>
          <w:rFonts w:hint="eastAsia"/>
          <w:highlight w:val="none"/>
        </w:rPr>
        <w:t>的要求</w:t>
      </w:r>
      <w:r>
        <w:rPr>
          <w:highlight w:val="none"/>
        </w:rPr>
        <w:t>。</w:t>
      </w:r>
    </w:p>
    <w:p>
      <w:pPr>
        <w:rPr>
          <w:highlight w:val="none"/>
        </w:rPr>
      </w:pPr>
      <w:r>
        <w:rPr>
          <w:highlight w:val="none"/>
        </w:rPr>
        <w:t>c</w:t>
      </w:r>
      <w:r>
        <w:rPr>
          <w:rFonts w:hint="eastAsia"/>
          <w:highlight w:val="none"/>
        </w:rPr>
        <w:t>）工厂宜获得职业健康管理体系第三方认证。</w:t>
      </w:r>
    </w:p>
    <w:p>
      <w:pPr>
        <w:pStyle w:val="4"/>
      </w:pPr>
      <w:r>
        <w:rPr>
          <w:rFonts w:hint="eastAsia"/>
        </w:rPr>
        <w:t>5.3.3 环境管理体系</w:t>
      </w:r>
    </w:p>
    <w:p>
      <w:pPr>
        <w:rPr>
          <w:highlight w:val="none"/>
        </w:rPr>
      </w:pPr>
      <w:r>
        <w:rPr>
          <w:highlight w:val="none"/>
        </w:rPr>
        <w:t>a）工厂应建立、实施并保持环境管理体系。</w:t>
      </w:r>
    </w:p>
    <w:p>
      <w:pPr>
        <w:rPr>
          <w:highlight w:val="none"/>
        </w:rPr>
      </w:pPr>
      <w:r>
        <w:rPr>
          <w:highlight w:val="none"/>
        </w:rPr>
        <w:t>b）工厂的环境管理体系</w:t>
      </w:r>
      <w:r>
        <w:rPr>
          <w:rFonts w:hint="eastAsia"/>
          <w:highlight w:val="none"/>
        </w:rPr>
        <w:t>应满足</w:t>
      </w:r>
      <w:r>
        <w:rPr>
          <w:highlight w:val="none"/>
        </w:rPr>
        <w:t>GB/T 24001</w:t>
      </w:r>
      <w:r>
        <w:rPr>
          <w:rFonts w:hint="eastAsia"/>
          <w:highlight w:val="none"/>
        </w:rPr>
        <w:t>的要求</w:t>
      </w:r>
      <w:r>
        <w:rPr>
          <w:highlight w:val="none"/>
        </w:rPr>
        <w:t>。</w:t>
      </w:r>
    </w:p>
    <w:p>
      <w:pPr>
        <w:rPr>
          <w:highlight w:val="none"/>
        </w:rPr>
      </w:pPr>
      <w:r>
        <w:rPr>
          <w:highlight w:val="none"/>
        </w:rPr>
        <w:t>c</w:t>
      </w:r>
      <w:r>
        <w:rPr>
          <w:rFonts w:hint="eastAsia"/>
          <w:highlight w:val="none"/>
        </w:rPr>
        <w:t>）工厂宜获得环境管理体系第三方认证。</w:t>
      </w:r>
    </w:p>
    <w:p>
      <w:pPr>
        <w:pStyle w:val="4"/>
      </w:pPr>
      <w:r>
        <w:rPr>
          <w:rFonts w:hint="eastAsia"/>
        </w:rPr>
        <w:t>5.3.4 能源管理体系</w:t>
      </w:r>
    </w:p>
    <w:p>
      <w:pPr>
        <w:rPr>
          <w:highlight w:val="none"/>
        </w:rPr>
      </w:pPr>
      <w:r>
        <w:rPr>
          <w:highlight w:val="none"/>
        </w:rPr>
        <w:t>a）工厂应建立、实施并保持能源管理体系。</w:t>
      </w:r>
    </w:p>
    <w:p>
      <w:pPr>
        <w:rPr>
          <w:highlight w:val="none"/>
        </w:rPr>
      </w:pPr>
      <w:r>
        <w:rPr>
          <w:highlight w:val="none"/>
        </w:rPr>
        <w:t>b）工厂的能源管理体系应满足GB/T 23331的要求。</w:t>
      </w:r>
    </w:p>
    <w:p>
      <w:pPr>
        <w:rPr>
          <w:highlight w:val="none"/>
        </w:rPr>
      </w:pPr>
      <w:r>
        <w:rPr>
          <w:highlight w:val="none"/>
        </w:rPr>
        <w:t>c）工厂宜</w:t>
      </w:r>
      <w:r>
        <w:rPr>
          <w:rFonts w:hint="eastAsia"/>
          <w:highlight w:val="none"/>
        </w:rPr>
        <w:t>按照</w:t>
      </w:r>
      <w:r>
        <w:rPr>
          <w:highlight w:val="none"/>
        </w:rPr>
        <w:t>RB/T 117</w:t>
      </w:r>
      <w:r>
        <w:rPr>
          <w:rFonts w:hint="eastAsia"/>
          <w:highlight w:val="none"/>
        </w:rPr>
        <w:t>的要求获得</w:t>
      </w:r>
      <w:r>
        <w:rPr>
          <w:highlight w:val="none"/>
        </w:rPr>
        <w:t>能源管理体系第三方认证。</w:t>
      </w:r>
    </w:p>
    <w:p>
      <w:pPr>
        <w:pStyle w:val="4"/>
      </w:pPr>
      <w:r>
        <w:rPr>
          <w:rFonts w:hint="eastAsia"/>
        </w:rPr>
        <w:t>5.3.</w:t>
      </w:r>
      <w:r>
        <w:t>5</w:t>
      </w:r>
      <w:r>
        <w:rPr>
          <w:rFonts w:hint="eastAsia"/>
        </w:rPr>
        <w:t xml:space="preserve"> 安全生产标准化管理体系</w:t>
      </w:r>
    </w:p>
    <w:p>
      <w:pPr>
        <w:rPr>
          <w:highlight w:val="none"/>
        </w:rPr>
      </w:pPr>
      <w:r>
        <w:rPr>
          <w:highlight w:val="none"/>
        </w:rPr>
        <w:t>a）工厂宜建立、实施并保持安全生产标准化管理体系。</w:t>
      </w:r>
    </w:p>
    <w:p>
      <w:pPr>
        <w:rPr>
          <w:highlight w:val="none"/>
        </w:rPr>
      </w:pPr>
      <w:r>
        <w:rPr>
          <w:highlight w:val="none"/>
        </w:rPr>
        <w:t xml:space="preserve">b）工厂的安全生产标准化管理体系宜满足GB/T </w:t>
      </w:r>
      <w:r>
        <w:t>33000</w:t>
      </w:r>
      <w:r>
        <w:rPr>
          <w:highlight w:val="none"/>
        </w:rPr>
        <w:t>的要求。</w:t>
      </w:r>
    </w:p>
    <w:p>
      <w:pPr>
        <w:rPr>
          <w:rFonts w:hint="eastAsia"/>
          <w:highlight w:val="none"/>
        </w:rPr>
      </w:pPr>
      <w:r>
        <w:rPr>
          <w:highlight w:val="none"/>
        </w:rPr>
        <w:t>c）工厂宜通过安全生产标准化管理体系</w:t>
      </w:r>
      <w:r>
        <w:rPr>
          <w:rFonts w:hint="eastAsia"/>
          <w:highlight w:val="none"/>
        </w:rPr>
        <w:t>外部评审，并获得应急管理部门颁发相应级别证书。</w:t>
      </w:r>
    </w:p>
    <w:p>
      <w:pPr>
        <w:pStyle w:val="4"/>
        <w:rPr>
          <w:rFonts w:hint="eastAsia"/>
        </w:rPr>
      </w:pPr>
      <w:r>
        <w:rPr>
          <w:rFonts w:hint="eastAsia"/>
        </w:rPr>
        <w:t>5.3.</w:t>
      </w:r>
      <w:r>
        <w:rPr>
          <w:rFonts w:hint="eastAsia"/>
          <w:lang w:val="en-US" w:eastAsia="zh-CN"/>
        </w:rPr>
        <w:t>6</w:t>
      </w:r>
      <w:r>
        <w:rPr>
          <w:rFonts w:hint="eastAsia"/>
        </w:rPr>
        <w:t xml:space="preserve"> </w:t>
      </w:r>
      <w:r>
        <w:rPr>
          <w:rFonts w:hint="eastAsia"/>
          <w:lang w:val="en-US" w:eastAsia="zh-CN"/>
        </w:rPr>
        <w:t>知识产权</w:t>
      </w:r>
      <w:r>
        <w:rPr>
          <w:rFonts w:hint="eastAsia"/>
        </w:rPr>
        <w:t>标准化管理体系</w:t>
      </w:r>
    </w:p>
    <w:p>
      <w:r>
        <w:t>a）工厂宜建立、实施并保持</w:t>
      </w:r>
      <w:r>
        <w:rPr>
          <w:rFonts w:hint="eastAsia"/>
          <w:lang w:val="en-US" w:eastAsia="zh-CN"/>
        </w:rPr>
        <w:t>知识产权</w:t>
      </w:r>
      <w:r>
        <w:t>标准化管理体系。</w:t>
      </w:r>
    </w:p>
    <w:p>
      <w:r>
        <w:t>b）工厂的</w:t>
      </w:r>
      <w:r>
        <w:rPr>
          <w:rFonts w:hint="eastAsia"/>
          <w:lang w:val="en-US" w:eastAsia="zh-CN"/>
        </w:rPr>
        <w:t>知识产权</w:t>
      </w:r>
      <w:r>
        <w:t xml:space="preserve">标准化管理体系宜满足GB/T </w:t>
      </w:r>
      <w:r>
        <w:rPr>
          <w:rFonts w:hint="eastAsia"/>
          <w:highlight w:val="none"/>
          <w:lang w:val="en-US" w:eastAsia="zh-CN"/>
        </w:rPr>
        <w:t>29490</w:t>
      </w:r>
      <w:r>
        <w:t>的要求。</w:t>
      </w:r>
    </w:p>
    <w:p>
      <w:pPr>
        <w:rPr>
          <w:rFonts w:hint="eastAsia"/>
        </w:rPr>
      </w:pPr>
      <w:r>
        <w:t>c）工厂宜通过</w:t>
      </w:r>
      <w:r>
        <w:rPr>
          <w:rFonts w:hint="eastAsia"/>
          <w:lang w:val="en-US" w:eastAsia="zh-CN"/>
        </w:rPr>
        <w:t>外部组织对知识产权</w:t>
      </w:r>
      <w:r>
        <w:t>标准化管理体系</w:t>
      </w:r>
      <w:r>
        <w:rPr>
          <w:rFonts w:hint="eastAsia"/>
          <w:lang w:val="en-US" w:eastAsia="zh-CN"/>
        </w:rPr>
        <w:t>评价</w:t>
      </w:r>
      <w:r>
        <w:rPr>
          <w:rFonts w:hint="eastAsia"/>
        </w:rPr>
        <w:t>。</w:t>
      </w:r>
    </w:p>
    <w:p>
      <w:pPr>
        <w:pStyle w:val="4"/>
      </w:pPr>
      <w:r>
        <w:rPr>
          <w:rFonts w:hint="eastAsia"/>
        </w:rPr>
        <w:t>5.3.</w:t>
      </w:r>
      <w:r>
        <w:rPr>
          <w:rFonts w:hint="eastAsia"/>
          <w:lang w:val="en-US" w:eastAsia="zh-CN"/>
        </w:rPr>
        <w:t>7</w:t>
      </w:r>
      <w:r>
        <w:rPr>
          <w:rFonts w:hint="eastAsia"/>
        </w:rPr>
        <w:t xml:space="preserve"> 社会责任</w:t>
      </w:r>
    </w:p>
    <w:p>
      <w:pPr>
        <w:rPr>
          <w:highlight w:val="none"/>
        </w:rPr>
      </w:pPr>
      <w:r>
        <w:rPr>
          <w:rFonts w:hint="eastAsia"/>
          <w:highlight w:val="none"/>
        </w:rPr>
        <w:t>工厂宜按照GB/T 36000的要求，每年发布社会责任报告，说明履行利益相关方责任的情况，特别是环境社会责任的履行情况，报告公开可获得。</w:t>
      </w:r>
    </w:p>
    <w:p>
      <w:pPr>
        <w:pStyle w:val="3"/>
      </w:pPr>
      <w:r>
        <w:rPr>
          <w:rFonts w:hint="eastAsia"/>
        </w:rPr>
        <w:t>5.4 能源与资源投入要求</w:t>
      </w:r>
    </w:p>
    <w:p>
      <w:pPr>
        <w:pStyle w:val="4"/>
      </w:pPr>
      <w:r>
        <w:rPr>
          <w:rFonts w:hint="eastAsia"/>
        </w:rPr>
        <w:t>5.4.1 能源投入</w:t>
      </w:r>
    </w:p>
    <w:p>
      <w:pPr>
        <w:ind w:firstLine="0" w:firstLineChars="0"/>
        <w:rPr>
          <w:highlight w:val="none"/>
        </w:rPr>
      </w:pPr>
      <w:r>
        <w:rPr>
          <w:rStyle w:val="53"/>
        </w:rPr>
        <w:t xml:space="preserve">5.4.1.1 </w:t>
      </w:r>
      <w:r>
        <w:rPr>
          <w:rFonts w:hint="eastAsia"/>
          <w:highlight w:val="none"/>
        </w:rPr>
        <w:t>工厂应优化用能结构，在保证安全、质量的前提下减少不可再生能源投入。</w:t>
      </w:r>
    </w:p>
    <w:p>
      <w:pPr>
        <w:ind w:firstLine="0" w:firstLineChars="0"/>
        <w:rPr>
          <w:highlight w:val="none"/>
        </w:rPr>
      </w:pPr>
      <w:r>
        <w:rPr>
          <w:rStyle w:val="53"/>
        </w:rPr>
        <w:t xml:space="preserve">5.4.1.2 </w:t>
      </w:r>
      <w:r>
        <w:rPr>
          <w:rFonts w:hint="eastAsia"/>
          <w:highlight w:val="none"/>
        </w:rPr>
        <w:t>稀土抛光粉工厂</w:t>
      </w:r>
      <w:r>
        <w:rPr>
          <w:highlight w:val="none"/>
        </w:rPr>
        <w:t>各工序工艺综合能耗应满足</w:t>
      </w:r>
      <w:r>
        <w:rPr>
          <w:rFonts w:hint="eastAsia"/>
          <w:highlight w:val="none"/>
        </w:rPr>
        <w:t>行业节能相关法律法规以及</w:t>
      </w:r>
      <w:r>
        <w:rPr>
          <w:rFonts w:hint="eastAsia"/>
          <w:highlight w:val="none"/>
          <w:lang w:val="en-US" w:eastAsia="zh-CN"/>
        </w:rPr>
        <w:t>GB 29435等</w:t>
      </w:r>
      <w:r>
        <w:rPr>
          <w:rFonts w:hint="eastAsia"/>
          <w:highlight w:val="none"/>
        </w:rPr>
        <w:t>标准、绿色产品设计规范的要求。</w:t>
      </w:r>
    </w:p>
    <w:p>
      <w:pPr>
        <w:ind w:firstLine="0" w:firstLineChars="0"/>
        <w:rPr>
          <w:highlight w:val="none"/>
        </w:rPr>
      </w:pPr>
      <w:r>
        <w:rPr>
          <w:rStyle w:val="53"/>
        </w:rPr>
        <w:t xml:space="preserve">5.4.1.3 </w:t>
      </w:r>
      <w:r>
        <w:rPr>
          <w:rFonts w:hint="eastAsia"/>
          <w:highlight w:val="none"/>
        </w:rPr>
        <w:t>工厂宜使用可再生能源或低碳清洁的新能源。</w:t>
      </w:r>
    </w:p>
    <w:p>
      <w:pPr>
        <w:ind w:firstLine="0" w:firstLineChars="0"/>
        <w:rPr>
          <w:highlight w:val="none"/>
        </w:rPr>
      </w:pPr>
      <w:r>
        <w:rPr>
          <w:rStyle w:val="53"/>
        </w:rPr>
        <w:t>5.4.1.4</w:t>
      </w:r>
      <w:r>
        <w:rPr>
          <w:rFonts w:hint="eastAsia"/>
          <w:highlight w:val="none"/>
        </w:rPr>
        <w:t xml:space="preserve"> 工厂宜充分利用余热余压，</w:t>
      </w:r>
      <w:r>
        <w:rPr>
          <w:highlight w:val="none"/>
        </w:rPr>
        <w:t>产生的</w:t>
      </w:r>
      <w:r>
        <w:rPr>
          <w:rFonts w:hint="eastAsia"/>
          <w:highlight w:val="none"/>
        </w:rPr>
        <w:t>二次能源宜回收利用。</w:t>
      </w:r>
    </w:p>
    <w:p>
      <w:pPr>
        <w:ind w:firstLine="0" w:firstLineChars="0"/>
        <w:rPr>
          <w:highlight w:val="none"/>
        </w:rPr>
      </w:pPr>
      <w:r>
        <w:rPr>
          <w:rStyle w:val="53"/>
        </w:rPr>
        <w:t xml:space="preserve">5.4.1.5 </w:t>
      </w:r>
      <w:r>
        <w:rPr>
          <w:rFonts w:hint="eastAsia"/>
          <w:highlight w:val="none"/>
        </w:rPr>
        <w:t>工厂宜建能源管理中心</w:t>
      </w:r>
      <w:r>
        <w:rPr>
          <w:rFonts w:hint="eastAsia"/>
          <w:highlight w:val="none"/>
          <w:lang w:eastAsia="zh-CN"/>
        </w:rPr>
        <w:t>（</w:t>
      </w:r>
      <w:r>
        <w:rPr>
          <w:rFonts w:hint="eastAsia"/>
          <w:highlight w:val="none"/>
          <w:lang w:val="en-US" w:eastAsia="zh-CN"/>
        </w:rPr>
        <w:t>或部门</w:t>
      </w:r>
      <w:r>
        <w:rPr>
          <w:rFonts w:hint="eastAsia"/>
          <w:highlight w:val="none"/>
          <w:lang w:eastAsia="zh-CN"/>
        </w:rPr>
        <w:t>）</w:t>
      </w:r>
      <w:r>
        <w:rPr>
          <w:rFonts w:hint="eastAsia"/>
          <w:highlight w:val="none"/>
        </w:rPr>
        <w:t>。</w:t>
      </w:r>
    </w:p>
    <w:p>
      <w:pPr>
        <w:pStyle w:val="4"/>
      </w:pPr>
      <w:r>
        <w:rPr>
          <w:rFonts w:hint="eastAsia"/>
        </w:rPr>
        <w:t>5.4.2 资源投入</w:t>
      </w:r>
    </w:p>
    <w:p>
      <w:pPr>
        <w:ind w:firstLine="0" w:firstLineChars="0"/>
        <w:rPr>
          <w:highlight w:val="none"/>
        </w:rPr>
      </w:pPr>
      <w:r>
        <w:rPr>
          <w:rStyle w:val="53"/>
        </w:rPr>
        <w:t>5.4.2.1</w:t>
      </w:r>
      <w:r>
        <w:rPr>
          <w:highlight w:val="none"/>
        </w:rPr>
        <w:t>工厂应按照GB/T 7119的要求对其开展节水评价工作</w:t>
      </w:r>
      <w:r>
        <w:rPr>
          <w:rFonts w:hint="eastAsia"/>
          <w:highlight w:val="none"/>
        </w:rPr>
        <w:t>。</w:t>
      </w:r>
    </w:p>
    <w:p>
      <w:pPr>
        <w:ind w:firstLine="0" w:firstLineChars="0"/>
        <w:rPr>
          <w:highlight w:val="none"/>
        </w:rPr>
      </w:pPr>
      <w:r>
        <w:rPr>
          <w:rStyle w:val="53"/>
        </w:rPr>
        <w:t xml:space="preserve">5.4.2.2 </w:t>
      </w:r>
      <w:r>
        <w:rPr>
          <w:highlight w:val="none"/>
        </w:rPr>
        <w:t>工厂应减少</w:t>
      </w:r>
      <w:r>
        <w:rPr>
          <w:rFonts w:hint="eastAsia"/>
          <w:highlight w:val="none"/>
        </w:rPr>
        <w:t>原辅料及材料</w:t>
      </w:r>
      <w:r>
        <w:rPr>
          <w:highlight w:val="none"/>
        </w:rPr>
        <w:t>尤其是有毒有害物质的使用，评估有毒有害物质及化学品减量使用或替代的可行性。</w:t>
      </w:r>
      <w:r>
        <w:rPr>
          <w:rFonts w:hint="eastAsia"/>
          <w:highlight w:val="none"/>
          <w:lang w:val="en-US" w:eastAsia="zh-CN"/>
        </w:rPr>
        <w:t>并</w:t>
      </w:r>
      <w:r>
        <w:rPr>
          <w:highlight w:val="none"/>
        </w:rPr>
        <w:t>按照 GB/T 29115的要求对其</w:t>
      </w:r>
      <w:r>
        <w:rPr>
          <w:rFonts w:hint="eastAsia"/>
          <w:highlight w:val="none"/>
        </w:rPr>
        <w:t>原辅料及材料</w:t>
      </w:r>
      <w:r>
        <w:rPr>
          <w:highlight w:val="none"/>
        </w:rPr>
        <w:t>使用量的减少进行评价。</w:t>
      </w:r>
    </w:p>
    <w:p>
      <w:pPr>
        <w:ind w:firstLine="0" w:firstLineChars="0"/>
        <w:rPr>
          <w:highlight w:val="none"/>
        </w:rPr>
      </w:pPr>
      <w:r>
        <w:rPr>
          <w:rStyle w:val="53"/>
        </w:rPr>
        <w:t>5.4.2.</w:t>
      </w:r>
      <w:r>
        <w:rPr>
          <w:rStyle w:val="53"/>
          <w:rFonts w:hint="eastAsia" w:eastAsia="黑体"/>
          <w:lang w:val="en-US" w:eastAsia="zh-CN"/>
        </w:rPr>
        <w:t>3</w:t>
      </w:r>
      <w:r>
        <w:rPr>
          <w:rStyle w:val="53"/>
        </w:rPr>
        <w:t xml:space="preserve"> </w:t>
      </w:r>
      <w:r>
        <w:rPr>
          <w:highlight w:val="none"/>
        </w:rPr>
        <w:t>工厂宜使用</w:t>
      </w:r>
      <w:r>
        <w:rPr>
          <w:rFonts w:hint="eastAsia"/>
          <w:highlight w:val="none"/>
        </w:rPr>
        <w:t>宜使用回收料</w:t>
      </w:r>
      <w:r>
        <w:rPr>
          <w:rFonts w:hint="eastAsia"/>
          <w:highlight w:val="none"/>
          <w:lang w:eastAsia="zh-CN"/>
        </w:rPr>
        <w:t>、</w:t>
      </w:r>
      <w:r>
        <w:rPr>
          <w:rFonts w:hint="eastAsia"/>
          <w:highlight w:val="none"/>
          <w:lang w:val="en-US" w:eastAsia="zh-CN"/>
        </w:rPr>
        <w:t>可回收材料替代原生材料、不可回收料</w:t>
      </w:r>
      <w:r>
        <w:rPr>
          <w:highlight w:val="none"/>
        </w:rPr>
        <w:t>，宜替代或减少全球增温潜势</w:t>
      </w:r>
      <w:r>
        <w:rPr>
          <w:rFonts w:hint="eastAsia"/>
          <w:highlight w:val="none"/>
        </w:rPr>
        <w:t>较</w:t>
      </w:r>
      <w:r>
        <w:rPr>
          <w:highlight w:val="none"/>
        </w:rPr>
        <w:t>高</w:t>
      </w:r>
      <w:r>
        <w:rPr>
          <w:highlight w:val="none"/>
        </w:rPr>
        <w:t>温室气体</w:t>
      </w:r>
      <w:r>
        <w:rPr>
          <w:highlight w:val="none"/>
        </w:rPr>
        <w:t>的使用。</w:t>
      </w:r>
    </w:p>
    <w:p>
      <w:pPr>
        <w:pStyle w:val="4"/>
      </w:pPr>
      <w:r>
        <w:rPr>
          <w:rFonts w:hint="eastAsia"/>
        </w:rPr>
        <w:t>5.4.3 采购</w:t>
      </w:r>
    </w:p>
    <w:p>
      <w:pPr>
        <w:ind w:firstLine="0" w:firstLineChars="0"/>
        <w:rPr>
          <w:highlight w:val="none"/>
        </w:rPr>
      </w:pPr>
      <w:r>
        <w:rPr>
          <w:rStyle w:val="53"/>
        </w:rPr>
        <w:t xml:space="preserve">5.4.3.1 </w:t>
      </w:r>
      <w:r>
        <w:rPr>
          <w:rFonts w:hint="eastAsia"/>
          <w:highlight w:val="none"/>
        </w:rPr>
        <w:t>工厂应制定并实施包括节能环保要求的选择、评价和重新评价供方的准则。必要时，工厂向供方提供的采购信息应包括含有毒有害物质使用、可回收材料使用、能效等环保要求。</w:t>
      </w:r>
    </w:p>
    <w:p>
      <w:pPr>
        <w:ind w:firstLine="0" w:firstLineChars="0"/>
        <w:rPr>
          <w:highlight w:val="none"/>
        </w:rPr>
      </w:pPr>
      <w:r>
        <w:rPr>
          <w:rStyle w:val="53"/>
        </w:rPr>
        <w:t xml:space="preserve">5.4.3.2 </w:t>
      </w:r>
      <w:r>
        <w:rPr>
          <w:rFonts w:hint="eastAsia"/>
          <w:highlight w:val="none"/>
        </w:rPr>
        <w:t>工厂应确定并实施检验或其他必要的活动，确保采购的产品满足规定的采购要求。</w:t>
      </w:r>
    </w:p>
    <w:p>
      <w:pPr>
        <w:pStyle w:val="3"/>
      </w:pPr>
      <w:r>
        <w:rPr>
          <w:rFonts w:hint="eastAsia"/>
        </w:rPr>
        <w:t>5.5 产品要求</w:t>
      </w:r>
    </w:p>
    <w:p>
      <w:pPr>
        <w:pStyle w:val="4"/>
      </w:pPr>
      <w:r>
        <w:rPr>
          <w:rFonts w:hint="eastAsia"/>
        </w:rPr>
        <w:t xml:space="preserve">5.5.1一般要求 </w:t>
      </w:r>
    </w:p>
    <w:p>
      <w:pPr>
        <w:rPr>
          <w:highlight w:val="none"/>
        </w:rPr>
      </w:pPr>
      <w:r>
        <w:rPr>
          <w:rFonts w:hint="eastAsia"/>
          <w:highlight w:val="none"/>
        </w:rPr>
        <w:t>工厂宜生产符合绿色产品要求的产品。</w:t>
      </w:r>
    </w:p>
    <w:p>
      <w:pPr>
        <w:pStyle w:val="4"/>
      </w:pPr>
      <w:r>
        <w:rPr>
          <w:rFonts w:hint="eastAsia"/>
        </w:rPr>
        <w:t>5.5.2生态(绿色)设计</w:t>
      </w:r>
    </w:p>
    <w:p>
      <w:pPr>
        <w:ind w:firstLine="0" w:firstLineChars="0"/>
        <w:rPr>
          <w:sz w:val="21"/>
          <w:szCs w:val="21"/>
        </w:rPr>
      </w:pPr>
      <w:r>
        <w:rPr>
          <w:rStyle w:val="53"/>
          <w:szCs w:val="21"/>
        </w:rPr>
        <w:t xml:space="preserve">5.5.2.1 </w:t>
      </w:r>
      <w:r>
        <w:rPr>
          <w:rFonts w:hint="eastAsia"/>
          <w:sz w:val="21"/>
          <w:szCs w:val="21"/>
          <w:highlight w:val="none"/>
        </w:rPr>
        <w:t>工厂应在产品设计中引入生态设计的理念。</w:t>
      </w:r>
      <w:r>
        <w:rPr>
          <w:rFonts w:hint="eastAsia"/>
          <w:sz w:val="21"/>
          <w:szCs w:val="21"/>
        </w:rPr>
        <w:t>应按照《绿色设计产品评价技术规范</w:t>
      </w:r>
      <w:r>
        <w:rPr>
          <w:sz w:val="21"/>
          <w:szCs w:val="21"/>
        </w:rPr>
        <w:t xml:space="preserve"> 稀土</w:t>
      </w:r>
      <w:r>
        <w:rPr>
          <w:rFonts w:hint="eastAsia"/>
          <w:sz w:val="21"/>
          <w:szCs w:val="21"/>
          <w:lang w:val="en-US" w:eastAsia="zh-CN"/>
        </w:rPr>
        <w:t>抛光粉</w:t>
      </w:r>
      <w:r>
        <w:rPr>
          <w:rFonts w:hint="eastAsia"/>
          <w:sz w:val="21"/>
          <w:szCs w:val="21"/>
        </w:rPr>
        <w:t>》的要求进行绿色产品评价。</w:t>
      </w:r>
    </w:p>
    <w:p>
      <w:pPr>
        <w:ind w:firstLine="0" w:firstLineChars="0"/>
        <w:rPr>
          <w:highlight w:val="none"/>
        </w:rPr>
      </w:pPr>
      <w:r>
        <w:rPr>
          <w:rStyle w:val="53"/>
        </w:rPr>
        <w:t xml:space="preserve">5.5.2.2 </w:t>
      </w:r>
      <w:r>
        <w:rPr>
          <w:rFonts w:hint="eastAsia"/>
          <w:highlight w:val="none"/>
        </w:rPr>
        <w:t>未有对应</w:t>
      </w:r>
      <w:r>
        <w:rPr>
          <w:rFonts w:hint="eastAsia"/>
          <w:highlight w:val="none"/>
          <w:lang w:val="en-US" w:eastAsia="zh-CN"/>
        </w:rPr>
        <w:t>绿色设计产品评价</w:t>
      </w:r>
      <w:r>
        <w:rPr>
          <w:rFonts w:hint="eastAsia"/>
          <w:highlight w:val="none"/>
        </w:rPr>
        <w:t>标准的产品品种，工厂</w:t>
      </w:r>
      <w:r>
        <w:rPr>
          <w:highlight w:val="none"/>
        </w:rPr>
        <w:t>宜按照GB/T 24256对生产</w:t>
      </w:r>
      <w:r>
        <w:rPr>
          <w:rFonts w:hint="eastAsia"/>
          <w:highlight w:val="none"/>
        </w:rPr>
        <w:t>的产品进行生态设计，并宜按照</w:t>
      </w:r>
      <w:r>
        <w:rPr>
          <w:highlight w:val="none"/>
        </w:rPr>
        <w:t>GB/T 32161对生产的产</w:t>
      </w:r>
      <w:r>
        <w:rPr>
          <w:rFonts w:hint="eastAsia"/>
          <w:highlight w:val="none"/>
        </w:rPr>
        <w:t>品进行</w:t>
      </w:r>
      <w:r>
        <w:rPr>
          <w:rFonts w:hint="eastAsia"/>
          <w:highlight w:val="none"/>
          <w:lang w:val="en-US" w:eastAsia="zh-CN"/>
        </w:rPr>
        <w:t>绿色</w:t>
      </w:r>
      <w:r>
        <w:rPr>
          <w:rFonts w:hint="eastAsia"/>
          <w:highlight w:val="none"/>
        </w:rPr>
        <w:t>设计产品评价。</w:t>
      </w:r>
    </w:p>
    <w:p>
      <w:pPr>
        <w:pStyle w:val="4"/>
      </w:pPr>
      <w:r>
        <w:rPr>
          <w:rFonts w:hint="eastAsia"/>
        </w:rPr>
        <w:t>5.5.3</w:t>
      </w:r>
      <w:r>
        <w:rPr>
          <w:rFonts w:hint="eastAsia"/>
          <w:lang w:val="en-US" w:eastAsia="zh-CN"/>
        </w:rPr>
        <w:t>危险化学品的</w:t>
      </w:r>
      <w:r>
        <w:rPr>
          <w:rFonts w:hint="eastAsia"/>
        </w:rPr>
        <w:t>使用</w:t>
      </w:r>
    </w:p>
    <w:p>
      <w:pPr>
        <w:ind w:firstLine="0" w:firstLineChars="0"/>
        <w:rPr>
          <w:highlight w:val="none"/>
        </w:rPr>
      </w:pPr>
      <w:r>
        <w:rPr>
          <w:rStyle w:val="53"/>
        </w:rPr>
        <w:t>5.5.3.1</w:t>
      </w:r>
      <w:r>
        <w:rPr>
          <w:rFonts w:hint="eastAsia"/>
          <w:highlight w:val="none"/>
          <w:lang w:val="en-US" w:eastAsia="zh-CN"/>
        </w:rPr>
        <w:t>危险化学品</w:t>
      </w:r>
      <w:r>
        <w:rPr>
          <w:rFonts w:hint="eastAsia"/>
          <w:highlight w:val="none"/>
        </w:rPr>
        <w:t>的贮存、输送、生产和使用场所，应设置环境风险防范和应急处置设施，并配置相应的应急物资。</w:t>
      </w:r>
    </w:p>
    <w:p>
      <w:pPr>
        <w:ind w:firstLine="0" w:firstLineChars="0"/>
        <w:rPr>
          <w:highlight w:val="none"/>
        </w:rPr>
      </w:pPr>
      <w:r>
        <w:rPr>
          <w:rStyle w:val="53"/>
        </w:rPr>
        <w:t>5.5.3.2</w:t>
      </w:r>
      <w:r>
        <w:rPr>
          <w:rFonts w:hint="eastAsia"/>
          <w:highlight w:val="none"/>
          <w:lang w:val="en-US" w:eastAsia="zh-CN"/>
        </w:rPr>
        <w:t>宜</w:t>
      </w:r>
      <w:r>
        <w:rPr>
          <w:rFonts w:hint="eastAsia"/>
          <w:highlight w:val="none"/>
        </w:rPr>
        <w:t>减少</w:t>
      </w:r>
      <w:r>
        <w:rPr>
          <w:rFonts w:hint="eastAsia"/>
          <w:highlight w:val="none"/>
          <w:lang w:val="en-US" w:eastAsia="zh-CN"/>
        </w:rPr>
        <w:t>危险化学品</w:t>
      </w:r>
      <w:r>
        <w:rPr>
          <w:rFonts w:hint="eastAsia"/>
          <w:highlight w:val="none"/>
        </w:rPr>
        <w:t>的使用，</w:t>
      </w:r>
      <w:r>
        <w:rPr>
          <w:rFonts w:hint="eastAsia"/>
          <w:highlight w:val="none"/>
          <w:lang w:val="en-US" w:eastAsia="zh-CN"/>
        </w:rPr>
        <w:t>避免泄露；</w:t>
      </w:r>
      <w:r>
        <w:rPr>
          <w:rFonts w:hint="eastAsia"/>
          <w:highlight w:val="none"/>
        </w:rPr>
        <w:t>宜实现</w:t>
      </w:r>
      <w:r>
        <w:rPr>
          <w:rFonts w:hint="eastAsia"/>
          <w:highlight w:val="none"/>
          <w:lang w:val="en-US" w:eastAsia="zh-CN"/>
        </w:rPr>
        <w:t>危险化学品的</w:t>
      </w:r>
      <w:r>
        <w:rPr>
          <w:rFonts w:hint="eastAsia"/>
          <w:highlight w:val="none"/>
        </w:rPr>
        <w:t>替代。</w:t>
      </w:r>
    </w:p>
    <w:p>
      <w:pPr>
        <w:pStyle w:val="4"/>
      </w:pPr>
      <w:r>
        <w:rPr>
          <w:rFonts w:hint="eastAsia"/>
        </w:rPr>
        <w:t>5.5.</w:t>
      </w:r>
      <w:r>
        <w:t>4</w:t>
      </w:r>
      <w:r>
        <w:rPr>
          <w:rFonts w:hint="eastAsia"/>
        </w:rPr>
        <w:t xml:space="preserve"> 减碳</w:t>
      </w:r>
    </w:p>
    <w:p>
      <w:pPr>
        <w:rPr>
          <w:highlight w:val="none"/>
        </w:rPr>
      </w:pPr>
      <w:r>
        <w:rPr>
          <w:rFonts w:hint="eastAsia"/>
          <w:highlight w:val="none"/>
        </w:rPr>
        <w:t>工厂宜采用适用的标准或规范对生产的产品进行碳足迹核算或核查，核算或核查的结果宜对外公布，并利用核算结果对其产品的碳足迹进行改善。</w:t>
      </w:r>
    </w:p>
    <w:p>
      <w:pPr>
        <w:pStyle w:val="4"/>
        <w:rPr>
          <w:color w:val="auto"/>
        </w:rPr>
      </w:pPr>
      <w:r>
        <w:rPr>
          <w:rFonts w:hint="eastAsia"/>
          <w:color w:val="auto"/>
        </w:rPr>
        <w:t>5.5.</w:t>
      </w:r>
      <w:r>
        <w:rPr>
          <w:color w:val="auto"/>
        </w:rPr>
        <w:t>5</w:t>
      </w:r>
      <w:r>
        <w:rPr>
          <w:rFonts w:hint="eastAsia"/>
          <w:color w:val="auto"/>
        </w:rPr>
        <w:t>回收利用</w:t>
      </w:r>
    </w:p>
    <w:p>
      <w:pPr>
        <w:rPr>
          <w:color w:val="auto"/>
          <w:highlight w:val="none"/>
        </w:rPr>
      </w:pPr>
      <w:r>
        <w:rPr>
          <w:color w:val="auto"/>
          <w:highlight w:val="none"/>
        </w:rPr>
        <w:t>a）工厂应加强</w:t>
      </w:r>
      <w:r>
        <w:rPr>
          <w:rFonts w:hint="eastAsia"/>
          <w:color w:val="auto"/>
          <w:highlight w:val="none"/>
        </w:rPr>
        <w:t>废渣</w:t>
      </w:r>
      <w:r>
        <w:rPr>
          <w:color w:val="auto"/>
          <w:highlight w:val="none"/>
        </w:rPr>
        <w:t>、废水、废气等资源综合利用，提高二次资源回收利用率。</w:t>
      </w:r>
    </w:p>
    <w:p>
      <w:pPr>
        <w:rPr>
          <w:color w:val="auto"/>
          <w:highlight w:val="none"/>
        </w:rPr>
      </w:pPr>
      <w:r>
        <w:rPr>
          <w:color w:val="auto"/>
          <w:highlight w:val="none"/>
        </w:rPr>
        <w:t>b）工厂宜加强水资源管理，并加强城市中水、海水、雨水等非常规水资源利用，减少淡水资源消耗。</w:t>
      </w:r>
    </w:p>
    <w:p>
      <w:pPr>
        <w:rPr>
          <w:color w:val="auto"/>
          <w:highlight w:val="none"/>
        </w:rPr>
      </w:pPr>
      <w:r>
        <w:rPr>
          <w:rFonts w:hint="eastAsia"/>
          <w:color w:val="auto"/>
          <w:highlight w:val="none"/>
        </w:rPr>
        <w:t>c</w:t>
      </w:r>
      <w:r>
        <w:rPr>
          <w:color w:val="auto"/>
          <w:highlight w:val="none"/>
        </w:rPr>
        <w:t>）适用时，工厂宜按照GB/T 20862的要求计算其产品的可回收利用率，并宜利用计算结果对产品的可回收利用率进行改善。</w:t>
      </w:r>
    </w:p>
    <w:p>
      <w:pPr>
        <w:pStyle w:val="4"/>
        <w:rPr>
          <w:rFonts w:hint="eastAsia" w:cs="Times New Roman"/>
          <w:bCs/>
          <w:color w:val="auto"/>
          <w:lang w:val="en-US" w:eastAsia="zh-CN"/>
        </w:rPr>
      </w:pPr>
      <w:r>
        <w:rPr>
          <w:rFonts w:hint="eastAsia" w:cs="Times New Roman"/>
          <w:bCs/>
          <w:color w:val="auto"/>
          <w:lang w:val="en-US" w:eastAsia="zh-CN"/>
        </w:rPr>
        <w:t>5.5.6包装</w:t>
      </w:r>
    </w:p>
    <w:p>
      <w:pPr>
        <w:ind w:left="0" w:leftChars="0" w:firstLine="420" w:firstLineChars="200"/>
        <w:rPr>
          <w:rFonts w:hint="default"/>
          <w:color w:val="auto"/>
          <w:highlight w:val="none"/>
          <w:lang w:val="en-US" w:eastAsia="zh-CN"/>
        </w:rPr>
      </w:pPr>
      <w:r>
        <w:rPr>
          <w:rFonts w:hint="eastAsia"/>
          <w:color w:val="auto"/>
          <w:highlight w:val="none"/>
        </w:rPr>
        <w:t>工厂宜采用适用的标准或规范对生产的产品进行包装、标志、运输和储存，并宜按照GB</w:t>
      </w:r>
      <w:r>
        <w:rPr>
          <w:rFonts w:hint="eastAsia"/>
          <w:color w:val="auto"/>
          <w:highlight w:val="none"/>
          <w:lang w:val="en-US" w:eastAsia="zh-CN"/>
        </w:rPr>
        <w:t xml:space="preserve"> </w:t>
      </w:r>
      <w:r>
        <w:rPr>
          <w:rFonts w:hint="eastAsia"/>
          <w:color w:val="auto"/>
          <w:highlight w:val="none"/>
        </w:rPr>
        <w:t>39176对生产的产品 包装、标志、运输和储存进行评价。</w:t>
      </w:r>
    </w:p>
    <w:p>
      <w:pPr>
        <w:pStyle w:val="3"/>
      </w:pPr>
      <w:r>
        <w:rPr>
          <w:rFonts w:hint="eastAsia"/>
        </w:rPr>
        <w:t>5.6 环境排放要求</w:t>
      </w:r>
    </w:p>
    <w:p>
      <w:pPr>
        <w:pStyle w:val="4"/>
      </w:pPr>
      <w:r>
        <w:rPr>
          <w:rFonts w:hint="eastAsia"/>
        </w:rPr>
        <w:t>5.6.1 大气、水体污染物</w:t>
      </w:r>
    </w:p>
    <w:p>
      <w:pPr>
        <w:rPr>
          <w:highlight w:val="none"/>
        </w:rPr>
      </w:pPr>
      <w:r>
        <w:rPr>
          <w:rFonts w:hint="eastAsia"/>
          <w:highlight w:val="none"/>
        </w:rPr>
        <w:t>工厂的大气、水体污染物排放应符</w:t>
      </w:r>
      <w:r>
        <w:rPr>
          <w:highlight w:val="none"/>
        </w:rPr>
        <w:t>合GB 26451等</w:t>
      </w:r>
      <w:r>
        <w:rPr>
          <w:rFonts w:hint="eastAsia"/>
          <w:highlight w:val="none"/>
        </w:rPr>
        <w:t>相关国家标准、行业标准及地方标准的要求，并满足区域内排放总量控制要求。</w:t>
      </w:r>
    </w:p>
    <w:p>
      <w:pPr>
        <w:pStyle w:val="4"/>
      </w:pPr>
      <w:r>
        <w:rPr>
          <w:rFonts w:hint="eastAsia"/>
        </w:rPr>
        <w:t>5.6.2 固体废物</w:t>
      </w:r>
    </w:p>
    <w:p>
      <w:pPr>
        <w:rPr>
          <w:color w:val="0000FF"/>
          <w:highlight w:val="none"/>
        </w:rPr>
      </w:pPr>
      <w:r>
        <w:rPr>
          <w:rFonts w:hint="eastAsia"/>
          <w:highlight w:val="none"/>
        </w:rPr>
        <w:t>工厂一般固体废弃</w:t>
      </w:r>
      <w:r>
        <w:rPr>
          <w:highlight w:val="none"/>
        </w:rPr>
        <w:t>物的处置应符合GB 18599及相关</w:t>
      </w:r>
      <w:r>
        <w:rPr>
          <w:rFonts w:hint="eastAsia"/>
          <w:highlight w:val="none"/>
        </w:rPr>
        <w:t>国家标准、行业标准及地方</w:t>
      </w:r>
      <w:r>
        <w:rPr>
          <w:highlight w:val="none"/>
        </w:rPr>
        <w:t>标准的要求。工厂无法自行处理的，应将固体废弃物转交给具备相应能力和资质的处理单位进行处理。</w:t>
      </w:r>
    </w:p>
    <w:p>
      <w:pPr>
        <w:pStyle w:val="4"/>
      </w:pPr>
      <w:r>
        <w:rPr>
          <w:rFonts w:hint="eastAsia"/>
        </w:rPr>
        <w:t>5.6.3 噪声</w:t>
      </w:r>
    </w:p>
    <w:p>
      <w:pPr>
        <w:rPr>
          <w:highlight w:val="none"/>
        </w:rPr>
      </w:pPr>
      <w:r>
        <w:rPr>
          <w:rFonts w:hint="eastAsia"/>
          <w:highlight w:val="none"/>
        </w:rPr>
        <w:t>工厂厂界环境噪声排放应符</w:t>
      </w:r>
      <w:r>
        <w:rPr>
          <w:highlight w:val="none"/>
        </w:rPr>
        <w:t>合GB 12348等相关</w:t>
      </w:r>
      <w:r>
        <w:rPr>
          <w:rFonts w:hint="eastAsia"/>
          <w:highlight w:val="none"/>
        </w:rPr>
        <w:t>国家标准、行业标准及地方标准的要求。</w:t>
      </w:r>
    </w:p>
    <w:p>
      <w:pPr>
        <w:pStyle w:val="4"/>
      </w:pPr>
      <w:r>
        <w:rPr>
          <w:rFonts w:hint="eastAsia"/>
        </w:rPr>
        <w:t>5.6.4 温室气体</w:t>
      </w:r>
    </w:p>
    <w:p>
      <w:pPr>
        <w:rPr>
          <w:highlight w:val="none"/>
        </w:rPr>
      </w:pPr>
      <w:r>
        <w:rPr>
          <w:rFonts w:hint="eastAsia"/>
          <w:highlight w:val="none"/>
        </w:rPr>
        <w:t>工厂应采用</w:t>
      </w:r>
      <w:r>
        <w:rPr>
          <w:highlight w:val="none"/>
        </w:rPr>
        <w:t>GB/T 32150或适用的标准对其厂界范围内的温室气体排放进行核算和报告，宜进行核查，核查结果宜对外公布。可行时，工厂宜利</w:t>
      </w:r>
      <w:r>
        <w:rPr>
          <w:rFonts w:hint="eastAsia"/>
          <w:highlight w:val="none"/>
        </w:rPr>
        <w:t>用核算或核查结果对其温室气体的排放进行改善。</w:t>
      </w:r>
    </w:p>
    <w:p>
      <w:pPr>
        <w:pStyle w:val="3"/>
      </w:pPr>
      <w:r>
        <w:rPr>
          <w:rFonts w:hint="eastAsia"/>
        </w:rPr>
        <w:t>5.7 绩效</w:t>
      </w:r>
    </w:p>
    <w:p>
      <w:pPr>
        <w:pStyle w:val="4"/>
      </w:pPr>
      <w:r>
        <w:rPr>
          <w:rFonts w:hint="eastAsia"/>
        </w:rPr>
        <w:t>5.7.1 一般要求</w:t>
      </w:r>
    </w:p>
    <w:p>
      <w:pPr>
        <w:ind w:firstLine="0" w:firstLineChars="0"/>
        <w:rPr>
          <w:highlight w:val="none"/>
        </w:rPr>
      </w:pPr>
      <w:r>
        <w:rPr>
          <w:rStyle w:val="53"/>
        </w:rPr>
        <w:t>5.7.1.1</w:t>
      </w:r>
      <w:r>
        <w:rPr>
          <w:rFonts w:hint="eastAsia"/>
          <w:highlight w:val="none"/>
        </w:rPr>
        <w:t>应依据</w:t>
      </w:r>
      <w:r>
        <w:rPr>
          <w:rFonts w:hint="eastAsia"/>
          <w:highlight w:val="none"/>
          <w:lang w:val="en-US" w:eastAsia="zh-CN"/>
        </w:rPr>
        <w:t>GB/T 36132-2018附录A提供的方法计算或者评估绩效，</w:t>
      </w:r>
      <w:r>
        <w:rPr>
          <w:rFonts w:hint="eastAsia"/>
          <w:highlight w:val="none"/>
        </w:rPr>
        <w:t>并利用结果进行绩效改善。绩效指标应至少满足稀土抛光粉工厂相应规范要求。</w:t>
      </w:r>
    </w:p>
    <w:p>
      <w:pPr>
        <w:ind w:firstLine="0" w:firstLineChars="0"/>
        <w:rPr>
          <w:highlight w:val="none"/>
        </w:rPr>
      </w:pPr>
      <w:r>
        <w:rPr>
          <w:rStyle w:val="53"/>
        </w:rPr>
        <w:t>5.7.1.2</w:t>
      </w:r>
      <w:r>
        <w:rPr>
          <w:rFonts w:hint="eastAsia"/>
          <w:highlight w:val="none"/>
        </w:rPr>
        <w:t>绩效统计</w:t>
      </w:r>
      <w:r>
        <w:rPr>
          <w:highlight w:val="none"/>
        </w:rPr>
        <w:t>和计算应选取和覆盖能够反映工厂绩效水平的完整周期，至少包括不超过评价前一自然年度的连续的</w:t>
      </w:r>
      <w:r>
        <w:rPr>
          <w:rFonts w:hint="eastAsia"/>
          <w:highlight w:val="none"/>
          <w:lang w:eastAsia="zh-CN"/>
        </w:rPr>
        <w:t>6</w:t>
      </w:r>
      <w:r>
        <w:rPr>
          <w:highlight w:val="none"/>
        </w:rPr>
        <w:t>个月。</w:t>
      </w:r>
    </w:p>
    <w:p>
      <w:pPr>
        <w:pStyle w:val="4"/>
      </w:pPr>
      <w:r>
        <w:rPr>
          <w:rFonts w:hint="eastAsia"/>
        </w:rPr>
        <w:t>5.7.2 用地集约化</w:t>
      </w:r>
    </w:p>
    <w:p>
      <w:pPr>
        <w:ind w:firstLine="0" w:firstLineChars="0"/>
        <w:rPr>
          <w:highlight w:val="none"/>
        </w:rPr>
      </w:pPr>
      <w:r>
        <w:rPr>
          <w:rStyle w:val="53"/>
        </w:rPr>
        <w:t xml:space="preserve">5.7.2.1 </w:t>
      </w:r>
      <w:r>
        <w:rPr>
          <w:highlight w:val="none"/>
        </w:rPr>
        <w:t>建设项目用地应符合国家现行有关建设项目用地的规定，</w:t>
      </w:r>
      <w:r>
        <w:rPr>
          <w:rFonts w:hint="eastAsia"/>
          <w:highlight w:val="none"/>
        </w:rPr>
        <w:t>容积率应符合项目属地工业项目控制指标中的要求</w:t>
      </w:r>
      <w:r>
        <w:rPr>
          <w:highlight w:val="none"/>
        </w:rPr>
        <w:t>。</w:t>
      </w:r>
    </w:p>
    <w:p>
      <w:pPr>
        <w:ind w:firstLine="0" w:firstLineChars="0"/>
        <w:rPr>
          <w:highlight w:val="none"/>
        </w:rPr>
      </w:pPr>
      <w:r>
        <w:rPr>
          <w:rStyle w:val="53"/>
        </w:rPr>
        <w:t xml:space="preserve">5.7.2.2 </w:t>
      </w:r>
      <w:r>
        <w:rPr>
          <w:highlight w:val="none"/>
        </w:rPr>
        <w:t>建筑密度应不低于</w:t>
      </w:r>
      <w:r>
        <w:rPr>
          <w:rFonts w:hint="eastAsia"/>
          <w:highlight w:val="none"/>
          <w:lang w:val="en-US" w:eastAsia="zh-CN"/>
        </w:rPr>
        <w:t>国家和地方发布的建筑密度要求</w:t>
      </w:r>
      <w:r>
        <w:rPr>
          <w:highlight w:val="none"/>
        </w:rPr>
        <w:t>。</w:t>
      </w:r>
    </w:p>
    <w:p>
      <w:pPr>
        <w:ind w:firstLine="0" w:firstLineChars="0"/>
        <w:rPr>
          <w:highlight w:val="none"/>
        </w:rPr>
      </w:pPr>
      <w:r>
        <w:rPr>
          <w:rStyle w:val="53"/>
        </w:rPr>
        <w:t xml:space="preserve">5.7.2.3 </w:t>
      </w:r>
      <w:r>
        <w:rPr>
          <w:highlight w:val="none"/>
        </w:rPr>
        <w:t>单位用地面积产值不应低于地方发布的单位用地面积产值的要求。未发布单位用地面积产值的地区，单位用地面积产值应超过本年度所在省市的单位用地面积产值。</w:t>
      </w:r>
    </w:p>
    <w:p>
      <w:pPr>
        <w:pStyle w:val="4"/>
      </w:pPr>
      <w:r>
        <w:rPr>
          <w:rFonts w:hint="eastAsia"/>
        </w:rPr>
        <w:t>5.7.3 原料无害化</w:t>
      </w:r>
    </w:p>
    <w:p>
      <w:pPr>
        <w:pStyle w:val="5"/>
        <w:ind w:firstLine="420" w:firstLineChars="200"/>
        <w:rPr>
          <w:rFonts w:hint="eastAsia" w:ascii="宋体" w:hAnsi="宋体" w:eastAsia="宋体" w:cs="宋体"/>
          <w:lang w:val="en-US" w:eastAsia="zh-CN"/>
        </w:rPr>
      </w:pPr>
      <w:r>
        <w:rPr>
          <w:rFonts w:hint="eastAsia" w:ascii="宋体" w:hAnsi="宋体" w:eastAsia="宋体" w:cs="宋体"/>
          <w:lang w:val="en-US" w:eastAsia="zh-CN"/>
        </w:rPr>
        <w:t>鼓励或者提倡使用经过无害化处理的稀土二次资源作为原材料进行资源综合利用，提高二次资源使用率，并提高稀土资源的回收率。工厂宜按照ISO14021的要求对稀土二次资源的使用进行声明。</w:t>
      </w:r>
    </w:p>
    <w:p>
      <w:pPr>
        <w:pStyle w:val="4"/>
      </w:pPr>
      <w:r>
        <w:rPr>
          <w:rFonts w:hint="eastAsia"/>
        </w:rPr>
        <w:t>5.7.4 生产洁净化</w:t>
      </w:r>
    </w:p>
    <w:p>
      <w:pPr>
        <w:rPr>
          <w:rFonts w:hint="default" w:eastAsia="宋体"/>
          <w:highlight w:val="none"/>
          <w:lang w:val="en-US" w:eastAsia="zh-CN"/>
        </w:rPr>
      </w:pPr>
      <w:r>
        <w:rPr>
          <w:rFonts w:hint="eastAsia"/>
          <w:highlight w:val="none"/>
        </w:rPr>
        <w:t>包括单位产品主要污</w:t>
      </w:r>
      <w:r>
        <w:rPr>
          <w:highlight w:val="none"/>
        </w:rPr>
        <w:t>染物产生量（如单位产品工业固体废物产生量</w:t>
      </w:r>
      <w:r>
        <w:rPr>
          <w:rFonts w:hint="eastAsia"/>
          <w:highlight w:val="none"/>
          <w:lang w:eastAsia="zh-CN"/>
        </w:rPr>
        <w:t>、单位产品基准排水量、</w:t>
      </w:r>
      <w:r>
        <w:rPr>
          <w:sz w:val="21"/>
          <w:szCs w:val="21"/>
        </w:rPr>
        <w:t>废水中氟化物排放浓度</w:t>
      </w:r>
      <w:r>
        <w:rPr>
          <w:rFonts w:hint="eastAsia"/>
          <w:sz w:val="21"/>
          <w:szCs w:val="21"/>
          <w:lang w:eastAsia="zh-CN"/>
        </w:rPr>
        <w:t>、单位产品基准排气量、废气中氟化物排放浓度）</w:t>
      </w:r>
      <w:r>
        <w:rPr>
          <w:highlight w:val="none"/>
        </w:rPr>
        <w:t>等。</w:t>
      </w:r>
      <w:r>
        <w:rPr>
          <w:rFonts w:hint="eastAsia"/>
          <w:highlight w:val="none"/>
          <w:lang w:val="en-US" w:eastAsia="zh-CN"/>
        </w:rPr>
        <w:t>应符合《绿色设计产品评价技术规范 稀土抛光粉》中</w:t>
      </w:r>
      <w:r>
        <w:rPr>
          <w:highlight w:val="none"/>
        </w:rPr>
        <w:t>I级</w:t>
      </w:r>
      <w:r>
        <w:rPr>
          <w:rFonts w:hint="eastAsia"/>
          <w:highlight w:val="none"/>
          <w:lang w:val="en-US" w:eastAsia="zh-CN"/>
        </w:rPr>
        <w:t>或</w:t>
      </w:r>
      <w:r>
        <w:rPr>
          <w:highlight w:val="none"/>
        </w:rPr>
        <w:t>II级</w:t>
      </w:r>
      <w:r>
        <w:rPr>
          <w:rFonts w:hint="eastAsia"/>
          <w:highlight w:val="none"/>
          <w:lang w:val="en-US" w:eastAsia="zh-CN"/>
        </w:rPr>
        <w:t>基准值的要求。</w:t>
      </w:r>
    </w:p>
    <w:p>
      <w:pPr>
        <w:pStyle w:val="4"/>
        <w:rPr>
          <w:rFonts w:hint="default" w:eastAsia="黑体"/>
          <w:lang w:val="en-US" w:eastAsia="zh-CN"/>
        </w:rPr>
      </w:pPr>
      <w:r>
        <w:rPr>
          <w:rFonts w:hint="eastAsia"/>
        </w:rPr>
        <w:t>5.7.5</w:t>
      </w:r>
      <w:r>
        <w:rPr>
          <w:rFonts w:hint="eastAsia"/>
          <w:lang w:val="en-US" w:eastAsia="zh-CN"/>
        </w:rPr>
        <w:t>资源综合利用</w:t>
      </w:r>
    </w:p>
    <w:p>
      <w:pPr>
        <w:rPr>
          <w:color w:val="auto"/>
          <w:highlight w:val="none"/>
        </w:rPr>
      </w:pPr>
      <w:r>
        <w:rPr>
          <w:rFonts w:hint="eastAsia"/>
          <w:color w:val="auto"/>
          <w:highlight w:val="none"/>
        </w:rPr>
        <w:t>包括单位产品的主要原材料消耗量、</w:t>
      </w:r>
      <w:r>
        <w:rPr>
          <w:rFonts w:hint="eastAsia"/>
          <w:color w:val="auto"/>
          <w:highlight w:val="none"/>
          <w:lang w:eastAsia="zh-CN"/>
        </w:rPr>
        <w:t>单位产品新鲜水消耗量、稀土收率、工业废水（</w:t>
      </w:r>
      <w:r>
        <w:rPr>
          <w:rFonts w:hint="eastAsia"/>
          <w:color w:val="auto"/>
          <w:highlight w:val="none"/>
          <w:lang w:val="en-US" w:eastAsia="zh-CN"/>
        </w:rPr>
        <w:t>或用水</w:t>
      </w:r>
      <w:r>
        <w:rPr>
          <w:rFonts w:hint="eastAsia"/>
          <w:color w:val="auto"/>
          <w:highlight w:val="none"/>
          <w:lang w:eastAsia="zh-CN"/>
        </w:rPr>
        <w:t>）重复利用率</w:t>
      </w:r>
      <w:r>
        <w:rPr>
          <w:rFonts w:hint="eastAsia"/>
          <w:color w:val="auto"/>
          <w:highlight w:val="none"/>
        </w:rPr>
        <w:t>等</w:t>
      </w:r>
      <w:r>
        <w:rPr>
          <w:rFonts w:hint="eastAsia"/>
          <w:color w:val="auto"/>
          <w:highlight w:val="none"/>
          <w:lang w:val="en-US" w:eastAsia="zh-CN"/>
        </w:rPr>
        <w:t>应符合《绿色设计产品评价技术规范 稀土抛光粉》中</w:t>
      </w:r>
      <w:r>
        <w:rPr>
          <w:color w:val="auto"/>
          <w:highlight w:val="none"/>
        </w:rPr>
        <w:t>I级</w:t>
      </w:r>
      <w:r>
        <w:rPr>
          <w:rFonts w:hint="eastAsia"/>
          <w:color w:val="auto"/>
          <w:highlight w:val="none"/>
          <w:lang w:val="en-US" w:eastAsia="zh-CN"/>
        </w:rPr>
        <w:t>或</w:t>
      </w:r>
      <w:r>
        <w:rPr>
          <w:color w:val="auto"/>
          <w:highlight w:val="none"/>
        </w:rPr>
        <w:t>II级</w:t>
      </w:r>
      <w:r>
        <w:rPr>
          <w:rFonts w:hint="eastAsia"/>
          <w:color w:val="auto"/>
          <w:highlight w:val="none"/>
          <w:lang w:val="en-US" w:eastAsia="zh-CN"/>
        </w:rPr>
        <w:t>基准值的要求。</w:t>
      </w:r>
    </w:p>
    <w:p>
      <w:pPr>
        <w:pStyle w:val="4"/>
      </w:pPr>
      <w:r>
        <w:rPr>
          <w:rFonts w:hint="eastAsia"/>
        </w:rPr>
        <w:t>5.7.6 能源低碳化</w:t>
      </w:r>
    </w:p>
    <w:p>
      <w:pPr>
        <w:rPr>
          <w:highlight w:val="none"/>
        </w:rPr>
      </w:pPr>
      <w:r>
        <w:rPr>
          <w:rFonts w:hint="eastAsia"/>
          <w:highlight w:val="none"/>
        </w:rPr>
        <w:t>包括单位产品综合能耗、单位产品碳排放量等。</w:t>
      </w:r>
    </w:p>
    <w:p>
      <w:pPr>
        <w:rPr>
          <w:rFonts w:hint="eastAsia"/>
          <w:highlight w:val="none"/>
          <w:lang w:eastAsia="zh-CN"/>
        </w:rPr>
      </w:pPr>
      <w:r>
        <w:rPr>
          <w:rFonts w:hint="eastAsia"/>
          <w:highlight w:val="none"/>
        </w:rPr>
        <w:t>对于单位产品综合能耗：应</w:t>
      </w:r>
      <w:r>
        <w:rPr>
          <w:rFonts w:hint="eastAsia"/>
          <w:highlight w:val="none"/>
          <w:lang w:val="en-US" w:eastAsia="zh-CN"/>
        </w:rPr>
        <w:t>符合《绿色设计产品评价技术规范 稀土抛光粉》中</w:t>
      </w:r>
      <w:r>
        <w:rPr>
          <w:rFonts w:hint="eastAsia"/>
          <w:highlight w:val="none"/>
        </w:rPr>
        <w:t>I级</w:t>
      </w:r>
      <w:r>
        <w:rPr>
          <w:rFonts w:hint="eastAsia"/>
          <w:highlight w:val="none"/>
          <w:lang w:val="en-US" w:eastAsia="zh-CN"/>
        </w:rPr>
        <w:t>或</w:t>
      </w:r>
      <w:r>
        <w:rPr>
          <w:rFonts w:hint="eastAsia"/>
          <w:highlight w:val="none"/>
        </w:rPr>
        <w:t>II级</w:t>
      </w:r>
      <w:r>
        <w:rPr>
          <w:rFonts w:hint="eastAsia"/>
          <w:highlight w:val="none"/>
          <w:lang w:val="en-US" w:eastAsia="zh-CN"/>
        </w:rPr>
        <w:t>基准值的要求</w:t>
      </w:r>
      <w:r>
        <w:rPr>
          <w:rFonts w:hint="eastAsia"/>
          <w:highlight w:val="none"/>
          <w:lang w:eastAsia="zh-CN"/>
        </w:rPr>
        <w:t>。</w:t>
      </w:r>
    </w:p>
    <w:p>
      <w:pPr>
        <w:rPr>
          <w:highlight w:val="none"/>
        </w:rPr>
      </w:pPr>
      <w:r>
        <w:rPr>
          <w:highlight w:val="none"/>
        </w:rPr>
        <w:t>对于单位产品碳排放量应依据GB/T 32150</w:t>
      </w:r>
      <w:r>
        <w:rPr>
          <w:rFonts w:hint="eastAsia"/>
          <w:highlight w:val="none"/>
          <w:lang w:val="en-US" w:eastAsia="zh-CN"/>
        </w:rPr>
        <w:t>-2018</w:t>
      </w:r>
      <w:r>
        <w:rPr>
          <w:highlight w:val="none"/>
        </w:rPr>
        <w:t>进行测算，单位</w:t>
      </w:r>
      <w:r>
        <w:rPr>
          <w:rFonts w:hint="eastAsia"/>
          <w:highlight w:val="none"/>
        </w:rPr>
        <w:t>产品碳排放量宜逐年下降。</w:t>
      </w:r>
    </w:p>
    <w:p>
      <w:pPr>
        <w:pStyle w:val="4"/>
      </w:pPr>
      <w:r>
        <w:rPr>
          <w:rFonts w:hint="eastAsia"/>
        </w:rPr>
        <w:t>5.7.7 计算方式</w:t>
      </w:r>
    </w:p>
    <w:p>
      <w:pPr>
        <w:rPr>
          <w:highlight w:val="none"/>
        </w:rPr>
      </w:pPr>
      <w:r>
        <w:rPr>
          <w:rFonts w:hint="eastAsia"/>
          <w:highlight w:val="none"/>
        </w:rPr>
        <w:t>各类绩效指标计算方</w:t>
      </w:r>
      <w:r>
        <w:rPr>
          <w:highlight w:val="none"/>
        </w:rPr>
        <w:t>式见GB/T 36132附录A。</w:t>
      </w:r>
    </w:p>
    <w:p>
      <w:pPr>
        <w:pStyle w:val="3"/>
        <w:outlineLvl w:val="0"/>
      </w:pPr>
      <w:bookmarkStart w:id="37" w:name="_Toc16339"/>
      <w:bookmarkStart w:id="38" w:name="_Toc6946"/>
      <w:r>
        <w:rPr>
          <w:rFonts w:hint="eastAsia"/>
        </w:rPr>
        <w:t>6 评价程序</w:t>
      </w:r>
      <w:bookmarkEnd w:id="37"/>
      <w:bookmarkEnd w:id="38"/>
    </w:p>
    <w:p>
      <w:pPr>
        <w:rPr>
          <w:highlight w:val="none"/>
        </w:rPr>
      </w:pPr>
      <w:r>
        <w:rPr>
          <w:rFonts w:hint="eastAsia"/>
          <w:highlight w:val="none"/>
        </w:rPr>
        <w:t>实施评价的组织应建立规范的评价工作流程，包括但不限于评价准备、组建评价组、制定评价方案预评价（适用时）、现场评价、编制评价报告、技术评审等。</w:t>
      </w:r>
    </w:p>
    <w:p>
      <w:pPr>
        <w:pStyle w:val="3"/>
        <w:outlineLvl w:val="0"/>
      </w:pPr>
      <w:bookmarkStart w:id="39" w:name="_Toc9766"/>
      <w:bookmarkStart w:id="40" w:name="_Toc14473"/>
      <w:r>
        <w:rPr>
          <w:rFonts w:hint="eastAsia"/>
        </w:rPr>
        <w:t>7 评价报告</w:t>
      </w:r>
      <w:bookmarkEnd w:id="39"/>
      <w:bookmarkEnd w:id="40"/>
    </w:p>
    <w:p>
      <w:pPr>
        <w:rPr>
          <w:highlight w:val="none"/>
        </w:rPr>
      </w:pPr>
      <w:r>
        <w:rPr>
          <w:highlight w:val="none"/>
        </w:rPr>
        <w:t>评价报告内容包括但不限于：</w:t>
      </w:r>
    </w:p>
    <w:p>
      <w:pPr>
        <w:rPr>
          <w:highlight w:val="none"/>
        </w:rPr>
      </w:pPr>
      <w:r>
        <w:rPr>
          <w:highlight w:val="none"/>
        </w:rPr>
        <w:t>a）实施评价的组织；</w:t>
      </w:r>
    </w:p>
    <w:p>
      <w:pPr>
        <w:rPr>
          <w:highlight w:val="none"/>
        </w:rPr>
      </w:pPr>
      <w:r>
        <w:rPr>
          <w:highlight w:val="none"/>
        </w:rPr>
        <w:t>b）评价目的、范围及准则；</w:t>
      </w:r>
    </w:p>
    <w:p>
      <w:pPr>
        <w:rPr>
          <w:highlight w:val="none"/>
        </w:rPr>
      </w:pPr>
      <w:r>
        <w:rPr>
          <w:highlight w:val="none"/>
        </w:rPr>
        <w:t>c）评价过程，主要包括评价组织安排、文件评审情况、现场评价情况、评价报告编制及内部技术评审情况；</w:t>
      </w:r>
    </w:p>
    <w:p>
      <w:pPr>
        <w:rPr>
          <w:highlight w:val="none"/>
        </w:rPr>
      </w:pPr>
      <w:r>
        <w:rPr>
          <w:highlight w:val="none"/>
        </w:rPr>
        <w:t>d）评价内容，包括一般要求、基础设施、管理体系、能源资源投入、产品、环境排放、绩效等；</w:t>
      </w:r>
    </w:p>
    <w:p>
      <w:pPr>
        <w:rPr>
          <w:highlight w:val="none"/>
        </w:rPr>
      </w:pPr>
      <w:r>
        <w:rPr>
          <w:highlight w:val="none"/>
        </w:rPr>
        <w:t>e）评价证据的核实情况，包括证明文件和数据真实性、计算范围及计算方法、相关计量设备和有关标准的执行等；</w:t>
      </w:r>
    </w:p>
    <w:p>
      <w:pPr>
        <w:rPr>
          <w:highlight w:val="none"/>
        </w:rPr>
      </w:pPr>
      <w:r>
        <w:rPr>
          <w:highlight w:val="none"/>
        </w:rPr>
        <w:t>f）评价指标表，明确各评价指标得分情况及评价加权综合评分，并判定受评工厂是否符合评价要求；</w:t>
      </w:r>
    </w:p>
    <w:p>
      <w:pPr>
        <w:rPr>
          <w:highlight w:val="none"/>
        </w:rPr>
      </w:pPr>
      <w:r>
        <w:rPr>
          <w:highlight w:val="none"/>
        </w:rPr>
        <w:t>g）发现的问题；</w:t>
      </w:r>
    </w:p>
    <w:p>
      <w:pPr>
        <w:rPr>
          <w:highlight w:val="none"/>
        </w:rPr>
      </w:pPr>
      <w:r>
        <w:rPr>
          <w:highlight w:val="none"/>
        </w:rPr>
        <w:t>h）绿色工厂主要创建做法、工作亮点等；</w:t>
      </w:r>
    </w:p>
    <w:p>
      <w:pPr>
        <w:outlineLvl w:val="0"/>
        <w:rPr>
          <w:highlight w:val="none"/>
        </w:rPr>
      </w:pPr>
      <w:bookmarkStart w:id="41" w:name="_Toc3466"/>
      <w:bookmarkStart w:id="42" w:name="_Toc22626"/>
      <w:r>
        <w:rPr>
          <w:highlight w:val="none"/>
        </w:rPr>
        <w:t>i）对持续创建绿色工厂提出的下一步工作计划或建议；</w:t>
      </w:r>
      <w:bookmarkEnd w:id="41"/>
      <w:bookmarkEnd w:id="42"/>
    </w:p>
    <w:p>
      <w:pPr>
        <w:outlineLvl w:val="0"/>
        <w:rPr>
          <w:highlight w:val="none"/>
        </w:rPr>
        <w:sectPr>
          <w:footerReference r:id="rId15" w:type="default"/>
          <w:headerReference r:id="rId14" w:type="even"/>
          <w:footerReference r:id="rId16" w:type="even"/>
          <w:pgSz w:w="11906" w:h="16838"/>
          <w:pgMar w:top="1134" w:right="1418" w:bottom="1418" w:left="1134" w:header="851" w:footer="992" w:gutter="0"/>
          <w:pgNumType w:start="1"/>
          <w:cols w:space="720" w:num="1"/>
          <w:docGrid w:type="lines" w:linePitch="317" w:charSpace="0"/>
        </w:sectPr>
      </w:pPr>
      <w:bookmarkStart w:id="43" w:name="_Toc27449"/>
      <w:bookmarkStart w:id="44" w:name="_Toc30680"/>
      <w:r>
        <w:rPr>
          <w:highlight w:val="none"/>
        </w:rPr>
        <w:t>j）相关支持材料。</w:t>
      </w:r>
      <w:bookmarkEnd w:id="43"/>
      <w:bookmarkEnd w:id="44"/>
    </w:p>
    <w:p>
      <w:pPr>
        <w:pStyle w:val="31"/>
        <w:rPr>
          <w:highlight w:val="none"/>
        </w:rPr>
      </w:pPr>
      <w:bookmarkStart w:id="45" w:name="_Toc11720"/>
      <w:bookmarkStart w:id="46" w:name="_Toc9959"/>
      <w:r>
        <w:rPr>
          <w:rFonts w:hint="eastAsia"/>
          <w:highlight w:val="none"/>
        </w:rPr>
        <w:t>附录 A</w:t>
      </w:r>
      <w:bookmarkEnd w:id="45"/>
      <w:bookmarkEnd w:id="46"/>
    </w:p>
    <w:p>
      <w:pPr>
        <w:jc w:val="center"/>
        <w:rPr>
          <w:highlight w:val="none"/>
        </w:rPr>
      </w:pPr>
      <w:r>
        <w:rPr>
          <w:rFonts w:hint="eastAsia"/>
          <w:highlight w:val="none"/>
        </w:rPr>
        <w:t>（规范性）</w:t>
      </w:r>
    </w:p>
    <w:p>
      <w:pPr>
        <w:adjustRightInd w:val="0"/>
        <w:snapToGrid w:val="0"/>
        <w:jc w:val="center"/>
        <w:rPr>
          <w:rFonts w:ascii="黑体" w:hAnsi="黑体" w:eastAsia="黑体" w:cs="黑体"/>
          <w:highlight w:val="none"/>
        </w:rPr>
      </w:pPr>
      <w:r>
        <w:rPr>
          <w:rFonts w:hint="eastAsia" w:ascii="黑体" w:hAnsi="黑体" w:eastAsia="黑体" w:cs="黑体"/>
          <w:highlight w:val="none"/>
        </w:rPr>
        <w:t>稀土抛光粉绿色工厂评价指标</w:t>
      </w:r>
    </w:p>
    <w:p>
      <w:pPr>
        <w:adjustRightInd w:val="0"/>
        <w:snapToGrid w:val="0"/>
        <w:jc w:val="center"/>
        <w:rPr>
          <w:rFonts w:ascii="黑体" w:hAnsi="黑体" w:eastAsia="黑体" w:cs="黑体"/>
          <w:highlight w:val="none"/>
        </w:rPr>
      </w:pPr>
      <w:r>
        <w:rPr>
          <w:rFonts w:hint="eastAsia" w:ascii="黑体" w:hAnsi="黑体" w:eastAsia="黑体" w:cs="黑体"/>
          <w:highlight w:val="none"/>
        </w:rPr>
        <w:t>表A.1 稀土抛光粉绿色工厂评价指标</w:t>
      </w:r>
    </w:p>
    <w:tbl>
      <w:tblPr>
        <w:tblStyle w:val="33"/>
        <w:tblW w:w="1413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746"/>
        <w:gridCol w:w="1112"/>
        <w:gridCol w:w="1218"/>
        <w:gridCol w:w="6819"/>
        <w:gridCol w:w="1391"/>
        <w:gridCol w:w="1034"/>
        <w:gridCol w:w="604"/>
        <w:gridCol w:w="604"/>
        <w:gridCol w:w="60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trHeight w:val="90" w:hRule="atLeast"/>
        </w:trPr>
        <w:tc>
          <w:tcPr>
            <w:tcW w:w="746"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序号</w:t>
            </w:r>
          </w:p>
        </w:tc>
        <w:tc>
          <w:tcPr>
            <w:tcW w:w="1112"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一级指标</w:t>
            </w:r>
          </w:p>
        </w:tc>
        <w:tc>
          <w:tcPr>
            <w:tcW w:w="1218"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二级指标</w:t>
            </w:r>
          </w:p>
        </w:tc>
        <w:tc>
          <w:tcPr>
            <w:tcW w:w="6819"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具体评价要求</w:t>
            </w:r>
          </w:p>
        </w:tc>
        <w:tc>
          <w:tcPr>
            <w:tcW w:w="1391"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符合性说明及证明材料索引</w:t>
            </w:r>
          </w:p>
        </w:tc>
        <w:tc>
          <w:tcPr>
            <w:tcW w:w="1034"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要求类型</w:t>
            </w:r>
          </w:p>
        </w:tc>
        <w:tc>
          <w:tcPr>
            <w:tcW w:w="604"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分值</w:t>
            </w:r>
          </w:p>
        </w:tc>
        <w:tc>
          <w:tcPr>
            <w:tcW w:w="604"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权重</w:t>
            </w:r>
          </w:p>
        </w:tc>
        <w:tc>
          <w:tcPr>
            <w:tcW w:w="604"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trPr>
        <w:tc>
          <w:tcPr>
            <w:tcW w:w="746" w:type="dxa"/>
            <w:vMerge w:val="restart"/>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0</w:t>
            </w:r>
          </w:p>
        </w:tc>
        <w:tc>
          <w:tcPr>
            <w:tcW w:w="1112" w:type="dxa"/>
            <w:vMerge w:val="restart"/>
            <w:noWrap w:val="0"/>
            <w:vAlign w:val="center"/>
          </w:tcPr>
          <w:p>
            <w:pPr>
              <w:adjustRightInd w:val="0"/>
              <w:snapToGrid w:val="0"/>
              <w:spacing w:line="240" w:lineRule="atLeast"/>
              <w:ind w:firstLine="0" w:firstLineChars="0"/>
              <w:rPr>
                <w:sz w:val="18"/>
                <w:szCs w:val="18"/>
                <w:highlight w:val="none"/>
              </w:rPr>
            </w:pPr>
            <w:r>
              <w:rPr>
                <w:sz w:val="18"/>
                <w:szCs w:val="18"/>
                <w:highlight w:val="none"/>
              </w:rPr>
              <w:t>基本要求</w:t>
            </w:r>
          </w:p>
        </w:tc>
        <w:tc>
          <w:tcPr>
            <w:tcW w:w="1218" w:type="dxa"/>
            <w:vMerge w:val="restart"/>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合规性与相关方要求</w:t>
            </w:r>
          </w:p>
        </w:tc>
        <w:tc>
          <w:tcPr>
            <w:tcW w:w="6819" w:type="dxa"/>
            <w:noWrap w:val="0"/>
            <w:vAlign w:val="center"/>
          </w:tcPr>
          <w:p>
            <w:pPr>
              <w:adjustRightInd w:val="0"/>
              <w:snapToGrid w:val="0"/>
              <w:spacing w:line="240" w:lineRule="atLeast"/>
              <w:ind w:firstLine="0" w:firstLineChars="0"/>
              <w:rPr>
                <w:sz w:val="18"/>
                <w:szCs w:val="18"/>
                <w:highlight w:val="none"/>
              </w:rPr>
            </w:pPr>
            <w:r>
              <w:rPr>
                <w:rFonts w:hint="eastAsia"/>
                <w:sz w:val="18"/>
                <w:szCs w:val="18"/>
                <w:highlight w:val="none"/>
              </w:rPr>
              <w:t>稀土抛光粉工厂</w:t>
            </w:r>
            <w:r>
              <w:rPr>
                <w:sz w:val="18"/>
                <w:szCs w:val="18"/>
                <w:highlight w:val="none"/>
              </w:rPr>
              <w:t>应依法设立，实施生产至少一年以上，在建设和生产过程中应遵守有关法律、法规、政策和标准。</w:t>
            </w:r>
          </w:p>
        </w:tc>
        <w:tc>
          <w:tcPr>
            <w:tcW w:w="1391" w:type="dxa"/>
            <w:noWrap w:val="0"/>
            <w:vAlign w:val="center"/>
          </w:tcPr>
          <w:p>
            <w:pPr>
              <w:adjustRightInd w:val="0"/>
              <w:snapToGrid w:val="0"/>
              <w:spacing w:line="240" w:lineRule="atLeast"/>
              <w:ind w:firstLine="0" w:firstLineChars="0"/>
              <w:jc w:val="center"/>
              <w:rPr>
                <w:sz w:val="18"/>
                <w:szCs w:val="18"/>
                <w:highlight w:val="none"/>
              </w:rPr>
            </w:pPr>
          </w:p>
        </w:tc>
        <w:tc>
          <w:tcPr>
            <w:tcW w:w="1034" w:type="dxa"/>
            <w:vMerge w:val="restart"/>
            <w:noWrap w:val="0"/>
            <w:vAlign w:val="center"/>
          </w:tcPr>
          <w:p>
            <w:pPr>
              <w:adjustRightInd w:val="0"/>
              <w:snapToGrid w:val="0"/>
              <w:spacing w:line="240" w:lineRule="atLeast"/>
              <w:ind w:firstLine="0" w:firstLineChars="0"/>
              <w:rPr>
                <w:sz w:val="18"/>
                <w:szCs w:val="18"/>
                <w:highlight w:val="none"/>
              </w:rPr>
            </w:pPr>
          </w:p>
        </w:tc>
        <w:tc>
          <w:tcPr>
            <w:tcW w:w="604"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w:t>
            </w:r>
          </w:p>
        </w:tc>
        <w:tc>
          <w:tcPr>
            <w:tcW w:w="604" w:type="dxa"/>
            <w:vMerge w:val="restart"/>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一票否决</w:t>
            </w:r>
          </w:p>
        </w:tc>
        <w:tc>
          <w:tcPr>
            <w:tcW w:w="604"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trHeight w:val="312" w:hRule="atLeast"/>
        </w:trPr>
        <w:tc>
          <w:tcPr>
            <w:tcW w:w="746" w:type="dxa"/>
            <w:vMerge w:val="continue"/>
            <w:noWrap w:val="0"/>
            <w:vAlign w:val="center"/>
          </w:tcPr>
          <w:p>
            <w:pPr>
              <w:adjustRightInd w:val="0"/>
              <w:snapToGrid w:val="0"/>
              <w:spacing w:line="240" w:lineRule="atLeast"/>
              <w:ind w:firstLine="0" w:firstLineChars="0"/>
              <w:rPr>
                <w:sz w:val="18"/>
                <w:szCs w:val="18"/>
                <w:highlight w:val="none"/>
              </w:rPr>
            </w:pPr>
          </w:p>
        </w:tc>
        <w:tc>
          <w:tcPr>
            <w:tcW w:w="1112" w:type="dxa"/>
            <w:vMerge w:val="continue"/>
            <w:noWrap w:val="0"/>
            <w:vAlign w:val="center"/>
          </w:tcPr>
          <w:p>
            <w:pPr>
              <w:adjustRightInd w:val="0"/>
              <w:snapToGrid w:val="0"/>
              <w:spacing w:line="240" w:lineRule="atLeast"/>
              <w:ind w:firstLine="0" w:firstLineChars="0"/>
              <w:rPr>
                <w:sz w:val="18"/>
                <w:szCs w:val="18"/>
                <w:highlight w:val="none"/>
              </w:rPr>
            </w:pPr>
          </w:p>
        </w:tc>
        <w:tc>
          <w:tcPr>
            <w:tcW w:w="121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819" w:type="dxa"/>
            <w:noWrap w:val="0"/>
            <w:vAlign w:val="center"/>
          </w:tcPr>
          <w:p>
            <w:pPr>
              <w:adjustRightInd w:val="0"/>
              <w:snapToGrid w:val="0"/>
              <w:spacing w:line="240" w:lineRule="atLeast"/>
              <w:ind w:firstLine="0" w:firstLineChars="0"/>
              <w:rPr>
                <w:color w:val="auto"/>
                <w:sz w:val="18"/>
                <w:szCs w:val="18"/>
                <w:highlight w:val="none"/>
              </w:rPr>
            </w:pPr>
            <w:r>
              <w:rPr>
                <w:color w:val="auto"/>
                <w:sz w:val="18"/>
                <w:szCs w:val="18"/>
                <w:highlight w:val="none"/>
              </w:rPr>
              <w:t>应具有良好信用，近三年（含成立不足三年）无严重违法失信、经营异常和行政处罚记录。</w:t>
            </w:r>
          </w:p>
        </w:tc>
        <w:tc>
          <w:tcPr>
            <w:tcW w:w="1391" w:type="dxa"/>
            <w:noWrap w:val="0"/>
            <w:vAlign w:val="center"/>
          </w:tcPr>
          <w:p>
            <w:pPr>
              <w:adjustRightInd w:val="0"/>
              <w:snapToGrid w:val="0"/>
              <w:spacing w:line="240" w:lineRule="atLeast"/>
              <w:ind w:firstLine="0" w:firstLineChars="0"/>
              <w:jc w:val="center"/>
              <w:rPr>
                <w:sz w:val="18"/>
                <w:szCs w:val="18"/>
                <w:highlight w:val="none"/>
              </w:rPr>
            </w:pPr>
          </w:p>
        </w:tc>
        <w:tc>
          <w:tcPr>
            <w:tcW w:w="1034" w:type="dxa"/>
            <w:vMerge w:val="continue"/>
            <w:noWrap w:val="0"/>
            <w:vAlign w:val="center"/>
          </w:tcPr>
          <w:p>
            <w:pPr>
              <w:adjustRightInd w:val="0"/>
              <w:snapToGrid w:val="0"/>
              <w:spacing w:line="240" w:lineRule="atLeast"/>
              <w:ind w:firstLine="0" w:firstLineChars="0"/>
              <w:rPr>
                <w:sz w:val="18"/>
                <w:szCs w:val="18"/>
                <w:highlight w:val="none"/>
              </w:rPr>
            </w:pPr>
          </w:p>
        </w:tc>
        <w:tc>
          <w:tcPr>
            <w:tcW w:w="604"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w:t>
            </w:r>
          </w:p>
        </w:tc>
        <w:tc>
          <w:tcPr>
            <w:tcW w:w="604" w:type="dxa"/>
            <w:vMerge w:val="continue"/>
            <w:noWrap w:val="0"/>
            <w:vAlign w:val="center"/>
          </w:tcPr>
          <w:p>
            <w:pPr>
              <w:adjustRightInd w:val="0"/>
              <w:snapToGrid w:val="0"/>
              <w:spacing w:line="240" w:lineRule="atLeast"/>
              <w:ind w:firstLine="0" w:firstLineChars="0"/>
              <w:rPr>
                <w:sz w:val="18"/>
                <w:szCs w:val="18"/>
                <w:highlight w:val="none"/>
              </w:rPr>
            </w:pPr>
          </w:p>
        </w:tc>
        <w:tc>
          <w:tcPr>
            <w:tcW w:w="604"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trHeight w:val="127" w:hRule="atLeast"/>
        </w:trPr>
        <w:tc>
          <w:tcPr>
            <w:tcW w:w="746" w:type="dxa"/>
            <w:vMerge w:val="continue"/>
            <w:noWrap w:val="0"/>
            <w:vAlign w:val="center"/>
          </w:tcPr>
          <w:p>
            <w:pPr>
              <w:adjustRightInd w:val="0"/>
              <w:snapToGrid w:val="0"/>
              <w:spacing w:line="240" w:lineRule="atLeast"/>
              <w:ind w:firstLine="0" w:firstLineChars="0"/>
              <w:rPr>
                <w:sz w:val="18"/>
                <w:szCs w:val="18"/>
                <w:highlight w:val="none"/>
              </w:rPr>
            </w:pPr>
          </w:p>
        </w:tc>
        <w:tc>
          <w:tcPr>
            <w:tcW w:w="1112" w:type="dxa"/>
            <w:vMerge w:val="continue"/>
            <w:noWrap w:val="0"/>
            <w:vAlign w:val="center"/>
          </w:tcPr>
          <w:p>
            <w:pPr>
              <w:adjustRightInd w:val="0"/>
              <w:snapToGrid w:val="0"/>
              <w:spacing w:line="240" w:lineRule="atLeast"/>
              <w:ind w:firstLine="0" w:firstLineChars="0"/>
              <w:rPr>
                <w:sz w:val="18"/>
                <w:szCs w:val="18"/>
                <w:highlight w:val="none"/>
              </w:rPr>
            </w:pPr>
          </w:p>
        </w:tc>
        <w:tc>
          <w:tcPr>
            <w:tcW w:w="1218" w:type="dxa"/>
            <w:vMerge w:val="continue"/>
            <w:noWrap w:val="0"/>
            <w:vAlign w:val="center"/>
          </w:tcPr>
          <w:p>
            <w:pPr>
              <w:adjustRightInd w:val="0"/>
              <w:snapToGrid w:val="0"/>
              <w:spacing w:line="240" w:lineRule="atLeast"/>
              <w:ind w:firstLine="0" w:firstLineChars="0"/>
              <w:rPr>
                <w:sz w:val="18"/>
                <w:szCs w:val="18"/>
                <w:highlight w:val="none"/>
              </w:rPr>
            </w:pPr>
          </w:p>
        </w:tc>
        <w:tc>
          <w:tcPr>
            <w:tcW w:w="6819" w:type="dxa"/>
            <w:noWrap w:val="0"/>
            <w:vAlign w:val="center"/>
          </w:tcPr>
          <w:p>
            <w:pPr>
              <w:adjustRightInd w:val="0"/>
              <w:snapToGrid w:val="0"/>
              <w:spacing w:line="240" w:lineRule="atLeast"/>
              <w:ind w:firstLine="0" w:firstLineChars="0"/>
              <w:rPr>
                <w:rFonts w:hint="default" w:eastAsia="宋体"/>
                <w:color w:val="auto"/>
                <w:sz w:val="18"/>
                <w:szCs w:val="18"/>
                <w:highlight w:val="none"/>
                <w:lang w:val="en-US" w:eastAsia="zh-CN"/>
              </w:rPr>
            </w:pPr>
            <w:r>
              <w:rPr>
                <w:color w:val="auto"/>
                <w:sz w:val="18"/>
                <w:szCs w:val="18"/>
                <w:highlight w:val="none"/>
              </w:rPr>
              <w:t>近三年（含成立不足三年）</w:t>
            </w:r>
            <w:r>
              <w:rPr>
                <w:rFonts w:hint="eastAsia"/>
                <w:color w:val="auto"/>
                <w:sz w:val="18"/>
                <w:szCs w:val="18"/>
                <w:highlight w:val="none"/>
              </w:rPr>
              <w:t>未发生工亡</w:t>
            </w:r>
            <w:r>
              <w:rPr>
                <w:rFonts w:hint="eastAsia"/>
                <w:color w:val="auto"/>
                <w:sz w:val="18"/>
                <w:szCs w:val="18"/>
                <w:highlight w:val="none"/>
                <w:lang w:val="en-US" w:eastAsia="zh-CN"/>
              </w:rPr>
              <w:t>及</w:t>
            </w:r>
            <w:r>
              <w:rPr>
                <w:rFonts w:hint="eastAsia"/>
                <w:color w:val="auto"/>
                <w:sz w:val="18"/>
                <w:szCs w:val="18"/>
                <w:highlight w:val="none"/>
              </w:rPr>
              <w:t>以上的生产安全事故、未受罚款、责令停产停业、责令重新安装或使用、责令支付消除污染费用、责令赔偿国家损失等环保行政处罚、无</w:t>
            </w:r>
            <w:r>
              <w:rPr>
                <w:rFonts w:hint="eastAsia"/>
                <w:color w:val="auto"/>
                <w:sz w:val="18"/>
                <w:szCs w:val="18"/>
                <w:highlight w:val="none"/>
                <w:lang w:val="en-US" w:eastAsia="zh-CN"/>
              </w:rPr>
              <w:t>直接经济损失在产值的5%以上的</w:t>
            </w:r>
            <w:r>
              <w:rPr>
                <w:rFonts w:hint="eastAsia"/>
                <w:color w:val="auto"/>
                <w:sz w:val="18"/>
                <w:szCs w:val="18"/>
                <w:highlight w:val="none"/>
              </w:rPr>
              <w:t>质量事故</w:t>
            </w:r>
            <w:r>
              <w:rPr>
                <w:rFonts w:hint="eastAsia"/>
                <w:color w:val="auto"/>
                <w:sz w:val="18"/>
                <w:szCs w:val="18"/>
                <w:highlight w:val="none"/>
                <w:lang w:eastAsia="zh-CN"/>
              </w:rPr>
              <w:t>。</w:t>
            </w:r>
          </w:p>
        </w:tc>
        <w:tc>
          <w:tcPr>
            <w:tcW w:w="1391" w:type="dxa"/>
            <w:noWrap w:val="0"/>
            <w:vAlign w:val="center"/>
          </w:tcPr>
          <w:p>
            <w:pPr>
              <w:adjustRightInd w:val="0"/>
              <w:snapToGrid w:val="0"/>
              <w:spacing w:line="240" w:lineRule="atLeast"/>
              <w:ind w:firstLine="0" w:firstLineChars="0"/>
              <w:jc w:val="center"/>
              <w:rPr>
                <w:sz w:val="18"/>
                <w:szCs w:val="18"/>
                <w:highlight w:val="none"/>
              </w:rPr>
            </w:pPr>
          </w:p>
        </w:tc>
        <w:tc>
          <w:tcPr>
            <w:tcW w:w="1034" w:type="dxa"/>
            <w:vMerge w:val="continue"/>
            <w:noWrap w:val="0"/>
            <w:vAlign w:val="center"/>
          </w:tcPr>
          <w:p>
            <w:pPr>
              <w:pStyle w:val="128"/>
              <w:spacing w:line="240" w:lineRule="atLeast"/>
              <w:ind w:firstLine="0" w:firstLineChars="0"/>
              <w:jc w:val="both"/>
              <w:rPr>
                <w:rFonts w:ascii="Times New Roman" w:hAnsi="Times New Roman" w:eastAsia="宋体"/>
                <w:sz w:val="18"/>
                <w:szCs w:val="18"/>
                <w:highlight w:val="none"/>
              </w:rPr>
            </w:pPr>
          </w:p>
        </w:tc>
        <w:tc>
          <w:tcPr>
            <w:tcW w:w="604"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w:t>
            </w:r>
          </w:p>
        </w:tc>
        <w:tc>
          <w:tcPr>
            <w:tcW w:w="604" w:type="dxa"/>
            <w:vMerge w:val="continue"/>
            <w:noWrap w:val="0"/>
            <w:vAlign w:val="center"/>
          </w:tcPr>
          <w:p>
            <w:pPr>
              <w:pStyle w:val="128"/>
              <w:spacing w:line="240" w:lineRule="atLeast"/>
              <w:ind w:firstLine="0" w:firstLineChars="0"/>
              <w:jc w:val="both"/>
              <w:rPr>
                <w:rFonts w:ascii="Times New Roman" w:hAnsi="Times New Roman" w:eastAsia="宋体"/>
                <w:sz w:val="18"/>
                <w:szCs w:val="18"/>
                <w:highlight w:val="none"/>
              </w:rPr>
            </w:pPr>
          </w:p>
        </w:tc>
        <w:tc>
          <w:tcPr>
            <w:tcW w:w="604"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trPr>
        <w:tc>
          <w:tcPr>
            <w:tcW w:w="746" w:type="dxa"/>
            <w:vMerge w:val="continue"/>
            <w:noWrap w:val="0"/>
            <w:vAlign w:val="center"/>
          </w:tcPr>
          <w:p>
            <w:pPr>
              <w:adjustRightInd w:val="0"/>
              <w:snapToGrid w:val="0"/>
              <w:spacing w:line="240" w:lineRule="atLeast"/>
              <w:ind w:firstLine="0" w:firstLineChars="0"/>
              <w:rPr>
                <w:sz w:val="18"/>
                <w:szCs w:val="18"/>
                <w:highlight w:val="none"/>
              </w:rPr>
            </w:pPr>
          </w:p>
        </w:tc>
        <w:tc>
          <w:tcPr>
            <w:tcW w:w="1112" w:type="dxa"/>
            <w:vMerge w:val="continue"/>
            <w:noWrap w:val="0"/>
            <w:vAlign w:val="center"/>
          </w:tcPr>
          <w:p>
            <w:pPr>
              <w:adjustRightInd w:val="0"/>
              <w:snapToGrid w:val="0"/>
              <w:spacing w:line="240" w:lineRule="atLeast"/>
              <w:ind w:firstLine="0" w:firstLineChars="0"/>
              <w:rPr>
                <w:sz w:val="18"/>
                <w:szCs w:val="18"/>
                <w:highlight w:val="none"/>
              </w:rPr>
            </w:pPr>
          </w:p>
        </w:tc>
        <w:tc>
          <w:tcPr>
            <w:tcW w:w="1218" w:type="dxa"/>
            <w:vMerge w:val="continue"/>
            <w:noWrap w:val="0"/>
            <w:vAlign w:val="center"/>
          </w:tcPr>
          <w:p>
            <w:pPr>
              <w:adjustRightInd w:val="0"/>
              <w:snapToGrid w:val="0"/>
              <w:spacing w:line="240" w:lineRule="atLeast"/>
              <w:ind w:firstLine="0" w:firstLineChars="0"/>
              <w:rPr>
                <w:sz w:val="18"/>
                <w:szCs w:val="18"/>
                <w:highlight w:val="none"/>
              </w:rPr>
            </w:pPr>
          </w:p>
        </w:tc>
        <w:tc>
          <w:tcPr>
            <w:tcW w:w="6819" w:type="dxa"/>
            <w:noWrap w:val="0"/>
            <w:vAlign w:val="center"/>
          </w:tcPr>
          <w:p>
            <w:pPr>
              <w:adjustRightInd w:val="0"/>
              <w:snapToGrid w:val="0"/>
              <w:spacing w:line="240" w:lineRule="atLeast"/>
              <w:ind w:firstLine="0" w:firstLineChars="0"/>
              <w:rPr>
                <w:color w:val="auto"/>
                <w:sz w:val="18"/>
                <w:szCs w:val="18"/>
                <w:highlight w:val="none"/>
              </w:rPr>
            </w:pPr>
            <w:r>
              <w:rPr>
                <w:color w:val="auto"/>
                <w:sz w:val="18"/>
                <w:szCs w:val="18"/>
                <w:highlight w:val="none"/>
              </w:rPr>
              <w:t>对利益相关方的环境要求做出承诺的，应同时满足有关承诺的要求。</w:t>
            </w:r>
          </w:p>
        </w:tc>
        <w:tc>
          <w:tcPr>
            <w:tcW w:w="1391" w:type="dxa"/>
            <w:noWrap w:val="0"/>
            <w:vAlign w:val="center"/>
          </w:tcPr>
          <w:p>
            <w:pPr>
              <w:adjustRightInd w:val="0"/>
              <w:snapToGrid w:val="0"/>
              <w:spacing w:line="240" w:lineRule="atLeast"/>
              <w:ind w:firstLine="0" w:firstLineChars="0"/>
              <w:jc w:val="center"/>
              <w:rPr>
                <w:sz w:val="18"/>
                <w:szCs w:val="18"/>
                <w:highlight w:val="none"/>
              </w:rPr>
            </w:pPr>
          </w:p>
        </w:tc>
        <w:tc>
          <w:tcPr>
            <w:tcW w:w="1034" w:type="dxa"/>
            <w:vMerge w:val="continue"/>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604"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w:t>
            </w:r>
          </w:p>
        </w:tc>
        <w:tc>
          <w:tcPr>
            <w:tcW w:w="604" w:type="dxa"/>
            <w:vMerge w:val="continue"/>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604"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trHeight w:val="312" w:hRule="atLeast"/>
        </w:trPr>
        <w:tc>
          <w:tcPr>
            <w:tcW w:w="746" w:type="dxa"/>
            <w:vMerge w:val="continue"/>
            <w:noWrap w:val="0"/>
            <w:vAlign w:val="center"/>
          </w:tcPr>
          <w:p>
            <w:pPr>
              <w:adjustRightInd w:val="0"/>
              <w:snapToGrid w:val="0"/>
              <w:spacing w:line="240" w:lineRule="atLeast"/>
              <w:ind w:firstLine="0" w:firstLineChars="0"/>
              <w:rPr>
                <w:sz w:val="18"/>
                <w:szCs w:val="18"/>
                <w:highlight w:val="none"/>
              </w:rPr>
            </w:pPr>
          </w:p>
        </w:tc>
        <w:tc>
          <w:tcPr>
            <w:tcW w:w="1112" w:type="dxa"/>
            <w:vMerge w:val="continue"/>
            <w:noWrap w:val="0"/>
            <w:vAlign w:val="center"/>
          </w:tcPr>
          <w:p>
            <w:pPr>
              <w:adjustRightInd w:val="0"/>
              <w:snapToGrid w:val="0"/>
              <w:spacing w:line="240" w:lineRule="atLeast"/>
              <w:ind w:firstLine="0" w:firstLineChars="0"/>
              <w:rPr>
                <w:sz w:val="18"/>
                <w:szCs w:val="18"/>
                <w:highlight w:val="none"/>
              </w:rPr>
            </w:pPr>
          </w:p>
        </w:tc>
        <w:tc>
          <w:tcPr>
            <w:tcW w:w="1218" w:type="dxa"/>
            <w:vMerge w:val="continue"/>
            <w:noWrap w:val="0"/>
            <w:vAlign w:val="center"/>
          </w:tcPr>
          <w:p>
            <w:pPr>
              <w:adjustRightInd w:val="0"/>
              <w:snapToGrid w:val="0"/>
              <w:spacing w:line="240" w:lineRule="atLeast"/>
              <w:ind w:firstLine="0" w:firstLineChars="0"/>
              <w:rPr>
                <w:sz w:val="18"/>
                <w:szCs w:val="18"/>
                <w:highlight w:val="none"/>
              </w:rPr>
            </w:pPr>
          </w:p>
        </w:tc>
        <w:tc>
          <w:tcPr>
            <w:tcW w:w="6819" w:type="dxa"/>
            <w:noWrap w:val="0"/>
            <w:vAlign w:val="center"/>
          </w:tcPr>
          <w:p>
            <w:pPr>
              <w:adjustRightInd w:val="0"/>
              <w:snapToGrid w:val="0"/>
              <w:spacing w:line="240" w:lineRule="atLeast"/>
              <w:ind w:firstLine="0" w:firstLineChars="0"/>
              <w:rPr>
                <w:color w:val="auto"/>
                <w:sz w:val="18"/>
                <w:szCs w:val="18"/>
                <w:highlight w:val="none"/>
              </w:rPr>
            </w:pPr>
            <w:r>
              <w:rPr>
                <w:color w:val="auto"/>
                <w:sz w:val="18"/>
                <w:szCs w:val="18"/>
                <w:highlight w:val="none"/>
              </w:rPr>
              <w:t>能源消耗指标应满足</w:t>
            </w:r>
            <w:r>
              <w:rPr>
                <w:rFonts w:hint="eastAsia"/>
                <w:color w:val="auto"/>
                <w:sz w:val="18"/>
                <w:szCs w:val="18"/>
                <w:highlight w:val="none"/>
                <w:lang w:val="en-US" w:eastAsia="zh-CN"/>
              </w:rPr>
              <w:t>GB 29435及地方</w:t>
            </w:r>
            <w:r>
              <w:rPr>
                <w:color w:val="auto"/>
                <w:sz w:val="18"/>
                <w:szCs w:val="18"/>
                <w:highlight w:val="none"/>
              </w:rPr>
              <w:t>能耗限额标准限定值的要求。</w:t>
            </w:r>
          </w:p>
        </w:tc>
        <w:tc>
          <w:tcPr>
            <w:tcW w:w="1391" w:type="dxa"/>
            <w:noWrap w:val="0"/>
            <w:vAlign w:val="center"/>
          </w:tcPr>
          <w:p>
            <w:pPr>
              <w:adjustRightInd w:val="0"/>
              <w:snapToGrid w:val="0"/>
              <w:spacing w:line="240" w:lineRule="atLeast"/>
              <w:ind w:firstLine="0" w:firstLineChars="0"/>
              <w:jc w:val="center"/>
              <w:rPr>
                <w:sz w:val="18"/>
                <w:szCs w:val="18"/>
                <w:highlight w:val="none"/>
              </w:rPr>
            </w:pPr>
          </w:p>
        </w:tc>
        <w:tc>
          <w:tcPr>
            <w:tcW w:w="1034" w:type="dxa"/>
            <w:vMerge w:val="continue"/>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604"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w:t>
            </w:r>
          </w:p>
        </w:tc>
        <w:tc>
          <w:tcPr>
            <w:tcW w:w="604" w:type="dxa"/>
            <w:vMerge w:val="continue"/>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604"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trHeight w:val="58" w:hRule="atLeast"/>
        </w:trPr>
        <w:tc>
          <w:tcPr>
            <w:tcW w:w="746" w:type="dxa"/>
            <w:vMerge w:val="continue"/>
            <w:noWrap w:val="0"/>
            <w:vAlign w:val="center"/>
          </w:tcPr>
          <w:p>
            <w:pPr>
              <w:adjustRightInd w:val="0"/>
              <w:snapToGrid w:val="0"/>
              <w:spacing w:line="240" w:lineRule="atLeast"/>
              <w:ind w:firstLine="0" w:firstLineChars="0"/>
              <w:rPr>
                <w:rFonts w:eastAsia="仿宋"/>
                <w:szCs w:val="21"/>
                <w:highlight w:val="none"/>
              </w:rPr>
            </w:pPr>
          </w:p>
        </w:tc>
        <w:tc>
          <w:tcPr>
            <w:tcW w:w="1112" w:type="dxa"/>
            <w:vMerge w:val="continue"/>
            <w:noWrap w:val="0"/>
            <w:vAlign w:val="center"/>
          </w:tcPr>
          <w:p>
            <w:pPr>
              <w:adjustRightInd w:val="0"/>
              <w:snapToGrid w:val="0"/>
              <w:spacing w:line="240" w:lineRule="atLeast"/>
              <w:ind w:firstLine="0" w:firstLineChars="0"/>
              <w:rPr>
                <w:rFonts w:eastAsia="仿宋"/>
                <w:szCs w:val="21"/>
                <w:highlight w:val="none"/>
              </w:rPr>
            </w:pPr>
          </w:p>
        </w:tc>
        <w:tc>
          <w:tcPr>
            <w:tcW w:w="1218" w:type="dxa"/>
            <w:vMerge w:val="continue"/>
            <w:noWrap w:val="0"/>
            <w:vAlign w:val="center"/>
          </w:tcPr>
          <w:p>
            <w:pPr>
              <w:adjustRightInd w:val="0"/>
              <w:snapToGrid w:val="0"/>
              <w:spacing w:line="240" w:lineRule="atLeast"/>
              <w:ind w:firstLine="0" w:firstLineChars="0"/>
              <w:rPr>
                <w:sz w:val="18"/>
                <w:szCs w:val="18"/>
                <w:highlight w:val="none"/>
              </w:rPr>
            </w:pPr>
          </w:p>
        </w:tc>
        <w:tc>
          <w:tcPr>
            <w:tcW w:w="6819" w:type="dxa"/>
            <w:noWrap w:val="0"/>
            <w:vAlign w:val="center"/>
          </w:tcPr>
          <w:p>
            <w:pPr>
              <w:adjustRightInd w:val="0"/>
              <w:snapToGrid w:val="0"/>
              <w:spacing w:line="240" w:lineRule="atLeast"/>
              <w:ind w:firstLine="0" w:firstLineChars="0"/>
              <w:rPr>
                <w:color w:val="auto"/>
                <w:sz w:val="18"/>
                <w:szCs w:val="18"/>
                <w:highlight w:val="none"/>
              </w:rPr>
            </w:pPr>
            <w:r>
              <w:rPr>
                <w:rFonts w:hint="default"/>
                <w:color w:val="auto"/>
                <w:sz w:val="18"/>
                <w:szCs w:val="18"/>
                <w:highlight w:val="none"/>
              </w:rPr>
              <w:t>工厂各种污染物排放指标应符合GB 26451等国家、行业和地方现行有关标准的要求，并应按照HJ 1125的要求申领获得排污许可证</w:t>
            </w:r>
            <w:r>
              <w:rPr>
                <w:rFonts w:hint="default"/>
                <w:color w:val="auto"/>
                <w:sz w:val="18"/>
                <w:szCs w:val="18"/>
                <w:highlight w:val="none"/>
                <w:lang w:eastAsia="zh-CN"/>
              </w:rPr>
              <w:t>。</w:t>
            </w:r>
          </w:p>
        </w:tc>
        <w:tc>
          <w:tcPr>
            <w:tcW w:w="1391" w:type="dxa"/>
            <w:noWrap w:val="0"/>
            <w:vAlign w:val="center"/>
          </w:tcPr>
          <w:p>
            <w:pPr>
              <w:adjustRightInd w:val="0"/>
              <w:snapToGrid w:val="0"/>
              <w:spacing w:line="240" w:lineRule="atLeast"/>
              <w:ind w:firstLine="0" w:firstLineChars="0"/>
              <w:jc w:val="center"/>
              <w:rPr>
                <w:sz w:val="18"/>
                <w:szCs w:val="18"/>
                <w:highlight w:val="none"/>
              </w:rPr>
            </w:pPr>
          </w:p>
        </w:tc>
        <w:tc>
          <w:tcPr>
            <w:tcW w:w="1034" w:type="dxa"/>
            <w:vMerge w:val="continue"/>
            <w:noWrap w:val="0"/>
            <w:vAlign w:val="center"/>
          </w:tcPr>
          <w:p>
            <w:pPr>
              <w:pStyle w:val="128"/>
              <w:spacing w:line="240" w:lineRule="atLeast"/>
              <w:ind w:firstLine="0" w:firstLineChars="0"/>
              <w:rPr>
                <w:rFonts w:ascii="Times New Roman" w:hAnsi="Times New Roman"/>
                <w:szCs w:val="21"/>
                <w:highlight w:val="none"/>
              </w:rPr>
            </w:pPr>
          </w:p>
        </w:tc>
        <w:tc>
          <w:tcPr>
            <w:tcW w:w="604"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w:t>
            </w:r>
          </w:p>
        </w:tc>
        <w:tc>
          <w:tcPr>
            <w:tcW w:w="604" w:type="dxa"/>
            <w:vMerge w:val="continue"/>
            <w:noWrap w:val="0"/>
            <w:vAlign w:val="center"/>
          </w:tcPr>
          <w:p>
            <w:pPr>
              <w:pStyle w:val="128"/>
              <w:spacing w:line="240" w:lineRule="atLeast"/>
              <w:ind w:firstLine="0" w:firstLineChars="0"/>
              <w:rPr>
                <w:rFonts w:ascii="Times New Roman" w:hAnsi="Times New Roman"/>
                <w:szCs w:val="21"/>
                <w:highlight w:val="none"/>
              </w:rPr>
            </w:pPr>
          </w:p>
        </w:tc>
        <w:tc>
          <w:tcPr>
            <w:tcW w:w="604" w:type="dxa"/>
            <w:noWrap w:val="0"/>
            <w:vAlign w:val="center"/>
          </w:tcPr>
          <w:p>
            <w:pPr>
              <w:adjustRightInd w:val="0"/>
              <w:snapToGrid w:val="0"/>
              <w:spacing w:line="240" w:lineRule="atLeast"/>
              <w:ind w:firstLine="0" w:firstLineChars="0"/>
              <w:jc w:val="center"/>
              <w:rPr>
                <w:rFonts w:hint="eastAsia" w:eastAsia="宋体"/>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trPr>
        <w:tc>
          <w:tcPr>
            <w:tcW w:w="746" w:type="dxa"/>
            <w:vMerge w:val="continue"/>
            <w:noWrap w:val="0"/>
            <w:vAlign w:val="center"/>
          </w:tcPr>
          <w:p>
            <w:pPr>
              <w:adjustRightInd w:val="0"/>
              <w:snapToGrid w:val="0"/>
              <w:spacing w:line="240" w:lineRule="atLeast"/>
              <w:ind w:firstLine="0" w:firstLineChars="0"/>
              <w:rPr>
                <w:rFonts w:eastAsia="仿宋"/>
                <w:szCs w:val="21"/>
                <w:highlight w:val="none"/>
              </w:rPr>
            </w:pPr>
          </w:p>
        </w:tc>
        <w:tc>
          <w:tcPr>
            <w:tcW w:w="1112" w:type="dxa"/>
            <w:vMerge w:val="continue"/>
            <w:noWrap w:val="0"/>
            <w:vAlign w:val="center"/>
          </w:tcPr>
          <w:p>
            <w:pPr>
              <w:adjustRightInd w:val="0"/>
              <w:snapToGrid w:val="0"/>
              <w:spacing w:line="240" w:lineRule="atLeast"/>
              <w:ind w:firstLine="0" w:firstLineChars="0"/>
              <w:rPr>
                <w:rFonts w:eastAsia="仿宋"/>
                <w:szCs w:val="21"/>
                <w:highlight w:val="none"/>
              </w:rPr>
            </w:pPr>
          </w:p>
        </w:tc>
        <w:tc>
          <w:tcPr>
            <w:tcW w:w="1218" w:type="dxa"/>
            <w:vMerge w:val="restart"/>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最高管理者要求</w:t>
            </w:r>
          </w:p>
        </w:tc>
        <w:tc>
          <w:tcPr>
            <w:tcW w:w="6819" w:type="dxa"/>
            <w:noWrap w:val="0"/>
            <w:vAlign w:val="center"/>
          </w:tcPr>
          <w:p>
            <w:pPr>
              <w:adjustRightInd w:val="0"/>
              <w:snapToGrid w:val="0"/>
              <w:spacing w:line="240" w:lineRule="atLeast"/>
              <w:ind w:firstLine="0" w:firstLineChars="0"/>
              <w:rPr>
                <w:sz w:val="18"/>
                <w:szCs w:val="18"/>
                <w:highlight w:val="none"/>
              </w:rPr>
            </w:pPr>
            <w:r>
              <w:rPr>
                <w:sz w:val="18"/>
                <w:szCs w:val="18"/>
                <w:highlight w:val="none"/>
              </w:rPr>
              <w:t>最高管理者在绿色工厂方面的领导作用和承诺应满足GB/T36132中4.3.1a)的要求。</w:t>
            </w:r>
          </w:p>
        </w:tc>
        <w:tc>
          <w:tcPr>
            <w:tcW w:w="1391" w:type="dxa"/>
            <w:noWrap w:val="0"/>
            <w:vAlign w:val="center"/>
          </w:tcPr>
          <w:p>
            <w:pPr>
              <w:adjustRightInd w:val="0"/>
              <w:snapToGrid w:val="0"/>
              <w:spacing w:line="240" w:lineRule="atLeast"/>
              <w:ind w:firstLine="0" w:firstLineChars="0"/>
              <w:jc w:val="center"/>
              <w:rPr>
                <w:sz w:val="18"/>
                <w:szCs w:val="18"/>
                <w:highlight w:val="none"/>
              </w:rPr>
            </w:pPr>
          </w:p>
        </w:tc>
        <w:tc>
          <w:tcPr>
            <w:tcW w:w="1034" w:type="dxa"/>
            <w:vMerge w:val="continue"/>
            <w:noWrap w:val="0"/>
            <w:vAlign w:val="center"/>
          </w:tcPr>
          <w:p>
            <w:pPr>
              <w:adjustRightInd w:val="0"/>
              <w:snapToGrid w:val="0"/>
              <w:spacing w:line="240" w:lineRule="atLeast"/>
              <w:ind w:firstLine="0" w:firstLineChars="0"/>
              <w:rPr>
                <w:rFonts w:eastAsia="仿宋"/>
                <w:szCs w:val="21"/>
                <w:highlight w:val="none"/>
              </w:rPr>
            </w:pPr>
          </w:p>
        </w:tc>
        <w:tc>
          <w:tcPr>
            <w:tcW w:w="604"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w:t>
            </w:r>
          </w:p>
        </w:tc>
        <w:tc>
          <w:tcPr>
            <w:tcW w:w="604" w:type="dxa"/>
            <w:vMerge w:val="continue"/>
            <w:noWrap w:val="0"/>
            <w:vAlign w:val="center"/>
          </w:tcPr>
          <w:p>
            <w:pPr>
              <w:adjustRightInd w:val="0"/>
              <w:snapToGrid w:val="0"/>
              <w:spacing w:line="240" w:lineRule="atLeast"/>
              <w:ind w:firstLine="0" w:firstLineChars="0"/>
              <w:rPr>
                <w:rFonts w:eastAsia="仿宋"/>
                <w:szCs w:val="21"/>
                <w:highlight w:val="none"/>
              </w:rPr>
            </w:pPr>
          </w:p>
        </w:tc>
        <w:tc>
          <w:tcPr>
            <w:tcW w:w="604" w:type="dxa"/>
            <w:noWrap w:val="0"/>
            <w:vAlign w:val="center"/>
          </w:tcPr>
          <w:p>
            <w:pPr>
              <w:adjustRightInd w:val="0"/>
              <w:snapToGrid w:val="0"/>
              <w:spacing w:line="240" w:lineRule="atLeast"/>
              <w:ind w:firstLine="0" w:firstLineChars="0"/>
              <w:jc w:val="center"/>
              <w:rPr>
                <w:rFonts w:hint="eastAsia" w:eastAsia="宋体"/>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trPr>
        <w:tc>
          <w:tcPr>
            <w:tcW w:w="746" w:type="dxa"/>
            <w:vMerge w:val="continue"/>
            <w:noWrap w:val="0"/>
            <w:vAlign w:val="center"/>
          </w:tcPr>
          <w:p>
            <w:pPr>
              <w:adjustRightInd w:val="0"/>
              <w:snapToGrid w:val="0"/>
              <w:spacing w:line="240" w:lineRule="atLeast"/>
              <w:ind w:firstLine="0" w:firstLineChars="0"/>
              <w:rPr>
                <w:rFonts w:eastAsia="仿宋"/>
                <w:szCs w:val="21"/>
                <w:highlight w:val="none"/>
              </w:rPr>
            </w:pPr>
          </w:p>
        </w:tc>
        <w:tc>
          <w:tcPr>
            <w:tcW w:w="1112" w:type="dxa"/>
            <w:vMerge w:val="continue"/>
            <w:noWrap w:val="0"/>
            <w:vAlign w:val="center"/>
          </w:tcPr>
          <w:p>
            <w:pPr>
              <w:adjustRightInd w:val="0"/>
              <w:snapToGrid w:val="0"/>
              <w:spacing w:line="240" w:lineRule="atLeast"/>
              <w:ind w:firstLine="0" w:firstLineChars="0"/>
              <w:rPr>
                <w:rFonts w:eastAsia="仿宋"/>
                <w:szCs w:val="21"/>
                <w:highlight w:val="none"/>
              </w:rPr>
            </w:pPr>
          </w:p>
        </w:tc>
        <w:tc>
          <w:tcPr>
            <w:tcW w:w="1218" w:type="dxa"/>
            <w:vMerge w:val="continue"/>
            <w:noWrap w:val="0"/>
            <w:vAlign w:val="center"/>
          </w:tcPr>
          <w:p>
            <w:pPr>
              <w:adjustRightInd w:val="0"/>
              <w:snapToGrid w:val="0"/>
              <w:spacing w:line="240" w:lineRule="atLeast"/>
              <w:ind w:firstLine="0" w:firstLineChars="0"/>
              <w:rPr>
                <w:sz w:val="18"/>
                <w:szCs w:val="18"/>
                <w:highlight w:val="none"/>
              </w:rPr>
            </w:pPr>
          </w:p>
        </w:tc>
        <w:tc>
          <w:tcPr>
            <w:tcW w:w="6819" w:type="dxa"/>
            <w:noWrap w:val="0"/>
            <w:vAlign w:val="center"/>
          </w:tcPr>
          <w:p>
            <w:pPr>
              <w:adjustRightInd w:val="0"/>
              <w:snapToGrid w:val="0"/>
              <w:spacing w:line="240" w:lineRule="atLeast"/>
              <w:ind w:firstLine="0" w:firstLineChars="0"/>
              <w:rPr>
                <w:sz w:val="18"/>
                <w:szCs w:val="18"/>
                <w:highlight w:val="none"/>
              </w:rPr>
            </w:pPr>
            <w:r>
              <w:rPr>
                <w:sz w:val="18"/>
                <w:szCs w:val="18"/>
                <w:highlight w:val="none"/>
              </w:rPr>
              <w:t>最高管理者应确保在工厂内部分配并沟通与绿色工厂相关角色的职责和权限，且应满足GB/T</w:t>
            </w:r>
            <w:r>
              <w:rPr>
                <w:rFonts w:hint="eastAsia"/>
                <w:sz w:val="18"/>
                <w:szCs w:val="18"/>
                <w:highlight w:val="none"/>
                <w:lang w:val="en-US" w:eastAsia="zh-CN"/>
              </w:rPr>
              <w:t xml:space="preserve"> </w:t>
            </w:r>
            <w:r>
              <w:rPr>
                <w:sz w:val="18"/>
                <w:szCs w:val="18"/>
                <w:highlight w:val="none"/>
              </w:rPr>
              <w:t>36132中4.3.1b)的要求。</w:t>
            </w:r>
          </w:p>
        </w:tc>
        <w:tc>
          <w:tcPr>
            <w:tcW w:w="1391" w:type="dxa"/>
            <w:noWrap w:val="0"/>
            <w:vAlign w:val="center"/>
          </w:tcPr>
          <w:p>
            <w:pPr>
              <w:adjustRightInd w:val="0"/>
              <w:snapToGrid w:val="0"/>
              <w:spacing w:line="240" w:lineRule="atLeast"/>
              <w:ind w:firstLine="0" w:firstLineChars="0"/>
              <w:jc w:val="center"/>
              <w:rPr>
                <w:sz w:val="18"/>
                <w:szCs w:val="18"/>
                <w:highlight w:val="none"/>
              </w:rPr>
            </w:pPr>
          </w:p>
        </w:tc>
        <w:tc>
          <w:tcPr>
            <w:tcW w:w="1034" w:type="dxa"/>
            <w:vMerge w:val="continue"/>
            <w:noWrap w:val="0"/>
            <w:vAlign w:val="center"/>
          </w:tcPr>
          <w:p>
            <w:pPr>
              <w:adjustRightInd w:val="0"/>
              <w:snapToGrid w:val="0"/>
              <w:spacing w:line="240" w:lineRule="atLeast"/>
              <w:ind w:firstLine="0" w:firstLineChars="0"/>
              <w:rPr>
                <w:rFonts w:eastAsia="仿宋"/>
                <w:szCs w:val="21"/>
                <w:highlight w:val="none"/>
              </w:rPr>
            </w:pPr>
          </w:p>
        </w:tc>
        <w:tc>
          <w:tcPr>
            <w:tcW w:w="604"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w:t>
            </w:r>
          </w:p>
        </w:tc>
        <w:tc>
          <w:tcPr>
            <w:tcW w:w="604" w:type="dxa"/>
            <w:vMerge w:val="continue"/>
            <w:noWrap w:val="0"/>
            <w:vAlign w:val="center"/>
          </w:tcPr>
          <w:p>
            <w:pPr>
              <w:adjustRightInd w:val="0"/>
              <w:snapToGrid w:val="0"/>
              <w:spacing w:line="240" w:lineRule="atLeast"/>
              <w:ind w:firstLine="0" w:firstLineChars="0"/>
              <w:rPr>
                <w:rFonts w:eastAsia="仿宋"/>
                <w:szCs w:val="21"/>
                <w:highlight w:val="none"/>
              </w:rPr>
            </w:pPr>
          </w:p>
        </w:tc>
        <w:tc>
          <w:tcPr>
            <w:tcW w:w="604"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trPr>
        <w:tc>
          <w:tcPr>
            <w:tcW w:w="746" w:type="dxa"/>
            <w:vMerge w:val="continue"/>
            <w:noWrap w:val="0"/>
            <w:vAlign w:val="center"/>
          </w:tcPr>
          <w:p>
            <w:pPr>
              <w:adjustRightInd w:val="0"/>
              <w:snapToGrid w:val="0"/>
              <w:spacing w:line="240" w:lineRule="atLeast"/>
              <w:ind w:firstLine="0" w:firstLineChars="0"/>
              <w:rPr>
                <w:rFonts w:eastAsia="仿宋"/>
                <w:szCs w:val="21"/>
                <w:highlight w:val="none"/>
              </w:rPr>
            </w:pPr>
          </w:p>
        </w:tc>
        <w:tc>
          <w:tcPr>
            <w:tcW w:w="1112" w:type="dxa"/>
            <w:vMerge w:val="continue"/>
            <w:noWrap w:val="0"/>
            <w:vAlign w:val="center"/>
          </w:tcPr>
          <w:p>
            <w:pPr>
              <w:adjustRightInd w:val="0"/>
              <w:snapToGrid w:val="0"/>
              <w:spacing w:line="240" w:lineRule="atLeast"/>
              <w:ind w:firstLine="0" w:firstLineChars="0"/>
              <w:rPr>
                <w:rFonts w:eastAsia="仿宋"/>
                <w:szCs w:val="21"/>
                <w:highlight w:val="none"/>
              </w:rPr>
            </w:pPr>
          </w:p>
        </w:tc>
        <w:tc>
          <w:tcPr>
            <w:tcW w:w="1218" w:type="dxa"/>
            <w:vMerge w:val="restart"/>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工厂要求</w:t>
            </w:r>
          </w:p>
        </w:tc>
        <w:tc>
          <w:tcPr>
            <w:tcW w:w="6819" w:type="dxa"/>
            <w:noWrap w:val="0"/>
            <w:vAlign w:val="center"/>
          </w:tcPr>
          <w:p>
            <w:pPr>
              <w:adjustRightInd w:val="0"/>
              <w:snapToGrid w:val="0"/>
              <w:spacing w:line="240" w:lineRule="atLeast"/>
              <w:ind w:firstLine="0" w:firstLineChars="0"/>
              <w:rPr>
                <w:sz w:val="18"/>
                <w:szCs w:val="18"/>
                <w:highlight w:val="none"/>
              </w:rPr>
            </w:pPr>
            <w:r>
              <w:rPr>
                <w:sz w:val="18"/>
                <w:szCs w:val="18"/>
                <w:highlight w:val="none"/>
              </w:rPr>
              <w:t>应设有绿色工厂管理机构</w:t>
            </w:r>
            <w:r>
              <w:rPr>
                <w:rFonts w:hint="eastAsia"/>
                <w:sz w:val="18"/>
                <w:szCs w:val="18"/>
                <w:highlight w:val="none"/>
                <w:lang w:eastAsia="zh-CN"/>
              </w:rPr>
              <w:t>（</w:t>
            </w:r>
            <w:r>
              <w:rPr>
                <w:rFonts w:hint="eastAsia"/>
                <w:sz w:val="18"/>
                <w:szCs w:val="18"/>
                <w:highlight w:val="none"/>
                <w:lang w:val="en-US" w:eastAsia="zh-CN"/>
              </w:rPr>
              <w:t>或部门</w:t>
            </w:r>
            <w:r>
              <w:rPr>
                <w:rFonts w:hint="eastAsia"/>
                <w:sz w:val="18"/>
                <w:szCs w:val="18"/>
                <w:highlight w:val="none"/>
                <w:lang w:eastAsia="zh-CN"/>
              </w:rPr>
              <w:t>）</w:t>
            </w:r>
            <w:r>
              <w:rPr>
                <w:sz w:val="18"/>
                <w:szCs w:val="18"/>
                <w:highlight w:val="none"/>
              </w:rPr>
              <w:t>，负责有关绿色工厂的制度建设、实施、考核及奖励工作，建立目标责任制。</w:t>
            </w:r>
          </w:p>
        </w:tc>
        <w:tc>
          <w:tcPr>
            <w:tcW w:w="1391" w:type="dxa"/>
            <w:noWrap w:val="0"/>
            <w:vAlign w:val="center"/>
          </w:tcPr>
          <w:p>
            <w:pPr>
              <w:adjustRightInd w:val="0"/>
              <w:snapToGrid w:val="0"/>
              <w:spacing w:line="240" w:lineRule="atLeast"/>
              <w:ind w:firstLine="0" w:firstLineChars="0"/>
              <w:jc w:val="center"/>
              <w:rPr>
                <w:sz w:val="18"/>
                <w:szCs w:val="18"/>
                <w:highlight w:val="none"/>
              </w:rPr>
            </w:pPr>
          </w:p>
        </w:tc>
        <w:tc>
          <w:tcPr>
            <w:tcW w:w="1034" w:type="dxa"/>
            <w:vMerge w:val="continue"/>
            <w:noWrap w:val="0"/>
            <w:vAlign w:val="center"/>
          </w:tcPr>
          <w:p>
            <w:pPr>
              <w:adjustRightInd w:val="0"/>
              <w:snapToGrid w:val="0"/>
              <w:spacing w:line="240" w:lineRule="atLeast"/>
              <w:ind w:firstLine="0" w:firstLineChars="0"/>
              <w:rPr>
                <w:rFonts w:eastAsia="仿宋"/>
                <w:szCs w:val="21"/>
                <w:highlight w:val="none"/>
              </w:rPr>
            </w:pPr>
          </w:p>
        </w:tc>
        <w:tc>
          <w:tcPr>
            <w:tcW w:w="604"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w:t>
            </w:r>
          </w:p>
        </w:tc>
        <w:tc>
          <w:tcPr>
            <w:tcW w:w="604" w:type="dxa"/>
            <w:vMerge w:val="continue"/>
            <w:noWrap w:val="0"/>
            <w:vAlign w:val="center"/>
          </w:tcPr>
          <w:p>
            <w:pPr>
              <w:adjustRightInd w:val="0"/>
              <w:snapToGrid w:val="0"/>
              <w:spacing w:line="240" w:lineRule="atLeast"/>
              <w:ind w:firstLine="0" w:firstLineChars="0"/>
              <w:rPr>
                <w:rFonts w:eastAsia="仿宋"/>
                <w:szCs w:val="21"/>
                <w:highlight w:val="none"/>
              </w:rPr>
            </w:pPr>
          </w:p>
        </w:tc>
        <w:tc>
          <w:tcPr>
            <w:tcW w:w="604"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trPr>
        <w:tc>
          <w:tcPr>
            <w:tcW w:w="746" w:type="dxa"/>
            <w:vMerge w:val="continue"/>
            <w:noWrap w:val="0"/>
            <w:vAlign w:val="center"/>
          </w:tcPr>
          <w:p>
            <w:pPr>
              <w:adjustRightInd w:val="0"/>
              <w:snapToGrid w:val="0"/>
              <w:ind w:firstLine="0" w:firstLineChars="0"/>
              <w:rPr>
                <w:rFonts w:eastAsia="仿宋"/>
                <w:szCs w:val="21"/>
                <w:highlight w:val="none"/>
              </w:rPr>
            </w:pPr>
          </w:p>
        </w:tc>
        <w:tc>
          <w:tcPr>
            <w:tcW w:w="1112" w:type="dxa"/>
            <w:vMerge w:val="continue"/>
            <w:noWrap w:val="0"/>
            <w:vAlign w:val="center"/>
          </w:tcPr>
          <w:p>
            <w:pPr>
              <w:adjustRightInd w:val="0"/>
              <w:snapToGrid w:val="0"/>
              <w:ind w:firstLine="0" w:firstLineChars="0"/>
              <w:rPr>
                <w:rFonts w:eastAsia="仿宋"/>
                <w:szCs w:val="21"/>
                <w:highlight w:val="none"/>
              </w:rPr>
            </w:pPr>
          </w:p>
        </w:tc>
        <w:tc>
          <w:tcPr>
            <w:tcW w:w="1218" w:type="dxa"/>
            <w:vMerge w:val="continue"/>
            <w:noWrap w:val="0"/>
            <w:vAlign w:val="center"/>
          </w:tcPr>
          <w:p>
            <w:pPr>
              <w:adjustRightInd w:val="0"/>
              <w:snapToGrid w:val="0"/>
              <w:ind w:firstLine="0" w:firstLineChars="0"/>
              <w:rPr>
                <w:sz w:val="18"/>
                <w:szCs w:val="18"/>
                <w:highlight w:val="none"/>
              </w:rPr>
            </w:pPr>
          </w:p>
        </w:tc>
        <w:tc>
          <w:tcPr>
            <w:tcW w:w="6819" w:type="dxa"/>
            <w:noWrap w:val="0"/>
            <w:vAlign w:val="center"/>
          </w:tcPr>
          <w:p>
            <w:pPr>
              <w:adjustRightInd w:val="0"/>
              <w:snapToGrid w:val="0"/>
              <w:spacing w:line="240" w:lineRule="atLeast"/>
              <w:ind w:firstLine="0" w:firstLineChars="0"/>
              <w:rPr>
                <w:sz w:val="18"/>
                <w:szCs w:val="18"/>
                <w:highlight w:val="none"/>
              </w:rPr>
            </w:pPr>
            <w:r>
              <w:rPr>
                <w:sz w:val="18"/>
                <w:szCs w:val="18"/>
                <w:highlight w:val="none"/>
              </w:rPr>
              <w:t>应有开展绿色工厂的中长期规划及年度目标、指标和实施方案。可行时，指标明确且可量化。</w:t>
            </w:r>
          </w:p>
        </w:tc>
        <w:tc>
          <w:tcPr>
            <w:tcW w:w="1391" w:type="dxa"/>
            <w:noWrap w:val="0"/>
            <w:vAlign w:val="center"/>
          </w:tcPr>
          <w:p>
            <w:pPr>
              <w:adjustRightInd w:val="0"/>
              <w:snapToGrid w:val="0"/>
              <w:spacing w:line="240" w:lineRule="atLeast"/>
              <w:ind w:firstLine="0" w:firstLineChars="0"/>
              <w:jc w:val="center"/>
              <w:rPr>
                <w:sz w:val="18"/>
                <w:szCs w:val="18"/>
                <w:highlight w:val="none"/>
              </w:rPr>
            </w:pPr>
          </w:p>
        </w:tc>
        <w:tc>
          <w:tcPr>
            <w:tcW w:w="1034" w:type="dxa"/>
            <w:vMerge w:val="continue"/>
            <w:noWrap w:val="0"/>
            <w:vAlign w:val="center"/>
          </w:tcPr>
          <w:p>
            <w:pPr>
              <w:adjustRightInd w:val="0"/>
              <w:snapToGrid w:val="0"/>
              <w:spacing w:line="240" w:lineRule="atLeast"/>
              <w:ind w:firstLine="0" w:firstLineChars="0"/>
              <w:rPr>
                <w:rFonts w:eastAsia="仿宋"/>
                <w:szCs w:val="21"/>
                <w:highlight w:val="none"/>
              </w:rPr>
            </w:pPr>
          </w:p>
        </w:tc>
        <w:tc>
          <w:tcPr>
            <w:tcW w:w="604"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w:t>
            </w:r>
          </w:p>
        </w:tc>
        <w:tc>
          <w:tcPr>
            <w:tcW w:w="604" w:type="dxa"/>
            <w:vMerge w:val="continue"/>
            <w:noWrap w:val="0"/>
            <w:vAlign w:val="center"/>
          </w:tcPr>
          <w:p>
            <w:pPr>
              <w:adjustRightInd w:val="0"/>
              <w:snapToGrid w:val="0"/>
              <w:spacing w:line="240" w:lineRule="atLeast"/>
              <w:ind w:firstLine="0" w:firstLineChars="0"/>
              <w:rPr>
                <w:rFonts w:eastAsia="仿宋"/>
                <w:szCs w:val="21"/>
                <w:highlight w:val="none"/>
              </w:rPr>
            </w:pPr>
          </w:p>
        </w:tc>
        <w:tc>
          <w:tcPr>
            <w:tcW w:w="604"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trPr>
        <w:tc>
          <w:tcPr>
            <w:tcW w:w="746" w:type="dxa"/>
            <w:vMerge w:val="continue"/>
            <w:noWrap w:val="0"/>
            <w:vAlign w:val="center"/>
          </w:tcPr>
          <w:p>
            <w:pPr>
              <w:adjustRightInd w:val="0"/>
              <w:snapToGrid w:val="0"/>
              <w:ind w:firstLine="0" w:firstLineChars="0"/>
              <w:rPr>
                <w:rFonts w:eastAsia="仿宋"/>
                <w:szCs w:val="21"/>
                <w:highlight w:val="none"/>
              </w:rPr>
            </w:pPr>
          </w:p>
        </w:tc>
        <w:tc>
          <w:tcPr>
            <w:tcW w:w="1112" w:type="dxa"/>
            <w:vMerge w:val="continue"/>
            <w:noWrap w:val="0"/>
            <w:vAlign w:val="center"/>
          </w:tcPr>
          <w:p>
            <w:pPr>
              <w:adjustRightInd w:val="0"/>
              <w:snapToGrid w:val="0"/>
              <w:ind w:firstLine="0" w:firstLineChars="0"/>
              <w:rPr>
                <w:rFonts w:eastAsia="仿宋"/>
                <w:szCs w:val="21"/>
                <w:highlight w:val="none"/>
              </w:rPr>
            </w:pPr>
          </w:p>
        </w:tc>
        <w:tc>
          <w:tcPr>
            <w:tcW w:w="1218" w:type="dxa"/>
            <w:vMerge w:val="continue"/>
            <w:noWrap w:val="0"/>
            <w:vAlign w:val="center"/>
          </w:tcPr>
          <w:p>
            <w:pPr>
              <w:adjustRightInd w:val="0"/>
              <w:snapToGrid w:val="0"/>
              <w:ind w:firstLine="0" w:firstLineChars="0"/>
              <w:rPr>
                <w:sz w:val="18"/>
                <w:szCs w:val="18"/>
                <w:highlight w:val="none"/>
              </w:rPr>
            </w:pPr>
          </w:p>
        </w:tc>
        <w:tc>
          <w:tcPr>
            <w:tcW w:w="6819" w:type="dxa"/>
            <w:noWrap w:val="0"/>
            <w:vAlign w:val="center"/>
          </w:tcPr>
          <w:p>
            <w:pPr>
              <w:adjustRightInd w:val="0"/>
              <w:snapToGrid w:val="0"/>
              <w:spacing w:line="240" w:lineRule="atLeast"/>
              <w:ind w:firstLine="0" w:firstLineChars="0"/>
              <w:rPr>
                <w:sz w:val="18"/>
                <w:szCs w:val="18"/>
                <w:highlight w:val="none"/>
              </w:rPr>
            </w:pPr>
            <w:r>
              <w:rPr>
                <w:sz w:val="18"/>
                <w:szCs w:val="18"/>
                <w:highlight w:val="none"/>
              </w:rPr>
              <w:t>应传播绿色制造的概念和知识，定期为员工提供绿色制造相关知识的教育、培训。</w:t>
            </w:r>
          </w:p>
        </w:tc>
        <w:tc>
          <w:tcPr>
            <w:tcW w:w="1391" w:type="dxa"/>
            <w:noWrap w:val="0"/>
            <w:vAlign w:val="center"/>
          </w:tcPr>
          <w:p>
            <w:pPr>
              <w:adjustRightInd w:val="0"/>
              <w:snapToGrid w:val="0"/>
              <w:spacing w:line="240" w:lineRule="atLeast"/>
              <w:ind w:firstLine="0" w:firstLineChars="0"/>
              <w:rPr>
                <w:rFonts w:eastAsia="仿宋"/>
                <w:szCs w:val="21"/>
                <w:highlight w:val="none"/>
              </w:rPr>
            </w:pPr>
          </w:p>
        </w:tc>
        <w:tc>
          <w:tcPr>
            <w:tcW w:w="1034" w:type="dxa"/>
            <w:vMerge w:val="continue"/>
            <w:noWrap w:val="0"/>
            <w:vAlign w:val="center"/>
          </w:tcPr>
          <w:p>
            <w:pPr>
              <w:adjustRightInd w:val="0"/>
              <w:snapToGrid w:val="0"/>
              <w:spacing w:line="240" w:lineRule="atLeast"/>
              <w:ind w:firstLine="0" w:firstLineChars="0"/>
              <w:rPr>
                <w:rFonts w:eastAsia="仿宋"/>
                <w:szCs w:val="21"/>
                <w:highlight w:val="none"/>
              </w:rPr>
            </w:pPr>
          </w:p>
        </w:tc>
        <w:tc>
          <w:tcPr>
            <w:tcW w:w="604" w:type="dxa"/>
            <w:noWrap w:val="0"/>
            <w:vAlign w:val="center"/>
          </w:tcPr>
          <w:p>
            <w:pPr>
              <w:adjustRightInd w:val="0"/>
              <w:snapToGrid w:val="0"/>
              <w:spacing w:line="240" w:lineRule="atLeast"/>
              <w:ind w:firstLine="0" w:firstLineChars="0"/>
              <w:jc w:val="center"/>
              <w:rPr>
                <w:rFonts w:eastAsia="仿宋"/>
                <w:szCs w:val="21"/>
                <w:highlight w:val="none"/>
              </w:rPr>
            </w:pPr>
            <w:r>
              <w:rPr>
                <w:rFonts w:eastAsia="仿宋"/>
                <w:szCs w:val="21"/>
                <w:highlight w:val="none"/>
              </w:rPr>
              <w:t>-</w:t>
            </w:r>
          </w:p>
        </w:tc>
        <w:tc>
          <w:tcPr>
            <w:tcW w:w="604" w:type="dxa"/>
            <w:vMerge w:val="continue"/>
            <w:noWrap w:val="0"/>
            <w:vAlign w:val="center"/>
          </w:tcPr>
          <w:p>
            <w:pPr>
              <w:adjustRightInd w:val="0"/>
              <w:snapToGrid w:val="0"/>
              <w:spacing w:line="240" w:lineRule="atLeast"/>
              <w:ind w:firstLine="0" w:firstLineChars="0"/>
              <w:rPr>
                <w:rFonts w:eastAsia="仿宋"/>
                <w:szCs w:val="21"/>
                <w:highlight w:val="none"/>
              </w:rPr>
            </w:pPr>
          </w:p>
        </w:tc>
        <w:tc>
          <w:tcPr>
            <w:tcW w:w="604" w:type="dxa"/>
            <w:noWrap w:val="0"/>
            <w:vAlign w:val="center"/>
          </w:tcPr>
          <w:p>
            <w:pPr>
              <w:adjustRightInd w:val="0"/>
              <w:snapToGrid w:val="0"/>
              <w:spacing w:line="240" w:lineRule="atLeast"/>
              <w:ind w:firstLine="0" w:firstLineChars="0"/>
              <w:jc w:val="center"/>
              <w:rPr>
                <w:rFonts w:eastAsia="仿宋"/>
                <w:szCs w:val="21"/>
                <w:highlight w:val="none"/>
              </w:rPr>
            </w:pPr>
          </w:p>
        </w:tc>
      </w:tr>
    </w:tbl>
    <w:p>
      <w:pPr>
        <w:adjustRightInd w:val="0"/>
        <w:snapToGrid w:val="0"/>
        <w:jc w:val="center"/>
        <w:rPr>
          <w:rFonts w:eastAsia="黑体"/>
          <w:bCs/>
          <w:szCs w:val="21"/>
          <w:highlight w:val="none"/>
        </w:rPr>
      </w:pPr>
    </w:p>
    <w:tbl>
      <w:tblPr>
        <w:tblStyle w:val="33"/>
        <w:tblW w:w="14312" w:type="dxa"/>
        <w:tblInd w:w="11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671"/>
        <w:gridCol w:w="1158"/>
        <w:gridCol w:w="1193"/>
        <w:gridCol w:w="6754"/>
        <w:gridCol w:w="1418"/>
        <w:gridCol w:w="992"/>
        <w:gridCol w:w="709"/>
        <w:gridCol w:w="708"/>
        <w:gridCol w:w="70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blHeader/>
        </w:trPr>
        <w:tc>
          <w:tcPr>
            <w:tcW w:w="671"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序号</w:t>
            </w:r>
          </w:p>
        </w:tc>
        <w:tc>
          <w:tcPr>
            <w:tcW w:w="1158"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一级指标</w:t>
            </w:r>
          </w:p>
        </w:tc>
        <w:tc>
          <w:tcPr>
            <w:tcW w:w="1193"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二级指标</w:t>
            </w:r>
          </w:p>
        </w:tc>
        <w:tc>
          <w:tcPr>
            <w:tcW w:w="6754" w:type="dxa"/>
            <w:noWrap w:val="0"/>
            <w:vAlign w:val="center"/>
          </w:tcPr>
          <w:p>
            <w:pPr>
              <w:adjustRightInd w:val="0"/>
              <w:snapToGrid w:val="0"/>
              <w:spacing w:line="240" w:lineRule="atLeast"/>
              <w:ind w:firstLine="0" w:firstLineChars="0"/>
              <w:rPr>
                <w:sz w:val="18"/>
                <w:szCs w:val="18"/>
                <w:highlight w:val="none"/>
              </w:rPr>
            </w:pPr>
            <w:r>
              <w:rPr>
                <w:sz w:val="18"/>
                <w:szCs w:val="18"/>
                <w:highlight w:val="none"/>
              </w:rPr>
              <w:t>具体评价要求</w:t>
            </w:r>
          </w:p>
        </w:tc>
        <w:tc>
          <w:tcPr>
            <w:tcW w:w="1418"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符合性说明及证明材料索引</w:t>
            </w:r>
          </w:p>
        </w:tc>
        <w:tc>
          <w:tcPr>
            <w:tcW w:w="992"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要求类型</w:t>
            </w:r>
          </w:p>
        </w:tc>
        <w:tc>
          <w:tcPr>
            <w:tcW w:w="709"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分值</w:t>
            </w:r>
          </w:p>
        </w:tc>
        <w:tc>
          <w:tcPr>
            <w:tcW w:w="708"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权重</w:t>
            </w:r>
          </w:p>
        </w:tc>
        <w:tc>
          <w:tcPr>
            <w:tcW w:w="709"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restart"/>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1</w:t>
            </w:r>
          </w:p>
        </w:tc>
        <w:tc>
          <w:tcPr>
            <w:tcW w:w="1158" w:type="dxa"/>
            <w:vMerge w:val="restart"/>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基础设施</w:t>
            </w:r>
          </w:p>
        </w:tc>
        <w:tc>
          <w:tcPr>
            <w:tcW w:w="1193" w:type="dxa"/>
            <w:vMerge w:val="restart"/>
            <w:noWrap w:val="0"/>
            <w:vAlign w:val="center"/>
          </w:tcPr>
          <w:p>
            <w:pPr>
              <w:pStyle w:val="128"/>
              <w:spacing w:line="240" w:lineRule="atLeast"/>
              <w:ind w:firstLine="0" w:firstLineChars="0"/>
              <w:jc w:val="center"/>
              <w:rPr>
                <w:rFonts w:ascii="Times New Roman" w:hAnsi="Times New Roman" w:eastAsia="宋体"/>
                <w:sz w:val="18"/>
                <w:szCs w:val="18"/>
                <w:highlight w:val="none"/>
              </w:rPr>
            </w:pPr>
            <w:r>
              <w:rPr>
                <w:rFonts w:ascii="Times New Roman" w:hAnsi="Times New Roman" w:eastAsia="宋体"/>
                <w:sz w:val="18"/>
                <w:szCs w:val="18"/>
                <w:highlight w:val="none"/>
              </w:rPr>
              <w:t>建筑</w:t>
            </w:r>
          </w:p>
        </w:tc>
        <w:tc>
          <w:tcPr>
            <w:tcW w:w="6754" w:type="dxa"/>
            <w:noWrap w:val="0"/>
            <w:vAlign w:val="center"/>
          </w:tcPr>
          <w:p>
            <w:pPr>
              <w:adjustRightInd w:val="0"/>
              <w:snapToGrid w:val="0"/>
              <w:spacing w:line="240" w:lineRule="atLeast"/>
              <w:ind w:firstLine="0" w:firstLineChars="0"/>
              <w:rPr>
                <w:sz w:val="18"/>
                <w:szCs w:val="18"/>
                <w:highlight w:val="none"/>
              </w:rPr>
            </w:pPr>
            <w:r>
              <w:rPr>
                <w:sz w:val="18"/>
                <w:szCs w:val="18"/>
                <w:highlight w:val="none"/>
              </w:rPr>
              <w:t>工厂的建筑应满足国家或地方相关法律法规及标准的要求。</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restart"/>
            <w:noWrap w:val="0"/>
            <w:vAlign w:val="center"/>
          </w:tcPr>
          <w:p>
            <w:pPr>
              <w:pStyle w:val="128"/>
              <w:spacing w:line="240" w:lineRule="atLeast"/>
              <w:ind w:firstLine="0" w:firstLineChars="0"/>
              <w:jc w:val="center"/>
              <w:rPr>
                <w:rFonts w:hint="eastAsia" w:ascii="Times New Roman" w:hAnsi="Times New Roman" w:eastAsia="宋体"/>
                <w:sz w:val="18"/>
                <w:szCs w:val="18"/>
                <w:highlight w:val="none"/>
                <w:lang w:val="en-US" w:eastAsia="zh-CN"/>
              </w:rPr>
            </w:pPr>
            <w:r>
              <w:rPr>
                <w:rFonts w:hint="eastAsia" w:ascii="Times New Roman" w:hAnsi="Times New Roman" w:eastAsia="宋体"/>
                <w:sz w:val="18"/>
                <w:szCs w:val="18"/>
                <w:highlight w:val="none"/>
                <w:lang w:val="en-US" w:eastAsia="zh-CN"/>
              </w:rPr>
              <w:t>零整</w:t>
            </w: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8</w:t>
            </w:r>
          </w:p>
        </w:tc>
        <w:tc>
          <w:tcPr>
            <w:tcW w:w="708" w:type="dxa"/>
            <w:vMerge w:val="restart"/>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lang w:val="en-US" w:eastAsia="zh-CN"/>
              </w:rPr>
              <w:t>1</w:t>
            </w:r>
            <w:r>
              <w:rPr>
                <w:sz w:val="18"/>
                <w:szCs w:val="18"/>
                <w:highlight w:val="none"/>
              </w:rPr>
              <w:t>0%</w:t>
            </w: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adjustRightInd w:val="0"/>
              <w:snapToGrid w:val="0"/>
              <w:spacing w:line="240" w:lineRule="atLeast"/>
              <w:ind w:firstLine="0" w:firstLineChars="0"/>
              <w:rPr>
                <w:sz w:val="18"/>
                <w:szCs w:val="18"/>
                <w:highlight w:val="none"/>
              </w:rPr>
            </w:pPr>
            <w:r>
              <w:rPr>
                <w:sz w:val="18"/>
                <w:szCs w:val="18"/>
                <w:highlight w:val="none"/>
              </w:rPr>
              <w:t>新建、改建和扩建建筑时，应遵守国家“固定资产投资项目节能评估审查制度”、“三同时制度”、“工业项目建设用地控制指标”等产业政策和有关要求。</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6</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adjustRightInd w:val="0"/>
              <w:snapToGrid w:val="0"/>
              <w:spacing w:line="240" w:lineRule="atLeast"/>
              <w:ind w:firstLine="0" w:firstLineChars="0"/>
              <w:rPr>
                <w:sz w:val="18"/>
                <w:szCs w:val="18"/>
                <w:highlight w:val="none"/>
              </w:rPr>
            </w:pPr>
            <w:r>
              <w:rPr>
                <w:sz w:val="18"/>
                <w:szCs w:val="18"/>
                <w:highlight w:val="none"/>
              </w:rPr>
              <w:t>厂房内部装饰装修材料中醛、苯、氨、氡等有毒有害物质应符合国家和地方法律、</w:t>
            </w:r>
            <w:r>
              <w:rPr>
                <w:color w:val="auto"/>
                <w:sz w:val="18"/>
                <w:szCs w:val="18"/>
                <w:highlight w:val="none"/>
              </w:rPr>
              <w:t>GB 18580～1858</w:t>
            </w:r>
            <w:r>
              <w:rPr>
                <w:rFonts w:hint="eastAsia"/>
                <w:color w:val="auto"/>
                <w:sz w:val="18"/>
                <w:szCs w:val="18"/>
                <w:highlight w:val="none"/>
              </w:rPr>
              <w:t>7</w:t>
            </w:r>
            <w:r>
              <w:rPr>
                <w:color w:val="auto"/>
                <w:sz w:val="18"/>
                <w:szCs w:val="18"/>
                <w:highlight w:val="none"/>
              </w:rPr>
              <w:t>和GB 6566</w:t>
            </w:r>
            <w:r>
              <w:rPr>
                <w:rFonts w:hint="eastAsia"/>
                <w:color w:val="auto"/>
                <w:sz w:val="18"/>
                <w:szCs w:val="18"/>
                <w:highlight w:val="none"/>
              </w:rPr>
              <w:t>等</w:t>
            </w:r>
            <w:r>
              <w:rPr>
                <w:color w:val="auto"/>
                <w:sz w:val="18"/>
                <w:szCs w:val="18"/>
                <w:highlight w:val="none"/>
              </w:rPr>
              <w:t>标准要求。</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3</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adjustRightInd w:val="0"/>
              <w:snapToGrid w:val="0"/>
              <w:spacing w:line="240" w:lineRule="atLeast"/>
              <w:ind w:firstLine="0" w:firstLineChars="0"/>
              <w:rPr>
                <w:sz w:val="18"/>
                <w:szCs w:val="18"/>
                <w:highlight w:val="none"/>
              </w:rPr>
            </w:pPr>
            <w:r>
              <w:rPr>
                <w:sz w:val="18"/>
                <w:szCs w:val="18"/>
                <w:highlight w:val="none"/>
              </w:rPr>
              <w:t>危险品仓库、有毒有害操作间、废弃物处理间、</w:t>
            </w:r>
            <w:r>
              <w:rPr>
                <w:rFonts w:hint="eastAsia"/>
                <w:sz w:val="18"/>
                <w:szCs w:val="18"/>
                <w:highlight w:val="none"/>
              </w:rPr>
              <w:t>固废储存库</w:t>
            </w:r>
            <w:r>
              <w:rPr>
                <w:sz w:val="18"/>
                <w:szCs w:val="18"/>
                <w:highlight w:val="none"/>
              </w:rPr>
              <w:t>等产生</w:t>
            </w:r>
            <w:r>
              <w:rPr>
                <w:rFonts w:hint="eastAsia"/>
                <w:sz w:val="18"/>
                <w:szCs w:val="18"/>
                <w:highlight w:val="none"/>
              </w:rPr>
              <w:t>、贮存</w:t>
            </w:r>
            <w:r>
              <w:rPr>
                <w:sz w:val="18"/>
                <w:szCs w:val="18"/>
                <w:highlight w:val="none"/>
              </w:rPr>
              <w:t>污染物的房间应独立设置</w:t>
            </w:r>
            <w:r>
              <w:rPr>
                <w:rFonts w:hint="eastAsia"/>
                <w:sz w:val="18"/>
                <w:szCs w:val="18"/>
                <w:highlight w:val="none"/>
              </w:rPr>
              <w:t>，并符合相关法律法规要求</w:t>
            </w:r>
            <w:r>
              <w:rPr>
                <w:sz w:val="18"/>
                <w:szCs w:val="18"/>
                <w:highlight w:val="none"/>
              </w:rPr>
              <w:t>。</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8</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adjustRightInd w:val="0"/>
              <w:snapToGrid w:val="0"/>
              <w:spacing w:line="240" w:lineRule="atLeast"/>
              <w:ind w:firstLine="0" w:firstLineChars="0"/>
              <w:rPr>
                <w:sz w:val="18"/>
                <w:szCs w:val="18"/>
                <w:highlight w:val="none"/>
              </w:rPr>
            </w:pPr>
            <w:r>
              <w:rPr>
                <w:sz w:val="18"/>
                <w:szCs w:val="18"/>
                <w:highlight w:val="none"/>
              </w:rPr>
              <w:t>建筑材料宜选用蕴能低、高性能、高耐久性和本地建材，减少建材在全生命周期中的能源消耗。</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3</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0"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adjustRightInd w:val="0"/>
              <w:snapToGrid w:val="0"/>
              <w:spacing w:line="240" w:lineRule="atLeast"/>
              <w:ind w:firstLine="0" w:firstLineChars="0"/>
              <w:rPr>
                <w:rFonts w:hint="default" w:eastAsia="宋体"/>
                <w:sz w:val="18"/>
                <w:szCs w:val="18"/>
                <w:highlight w:val="none"/>
                <w:lang w:val="en-US" w:eastAsia="zh-CN"/>
              </w:rPr>
            </w:pPr>
            <w:r>
              <w:rPr>
                <w:sz w:val="18"/>
                <w:szCs w:val="18"/>
                <w:highlight w:val="none"/>
              </w:rPr>
              <w:t>建筑结构：宜采用钢结构、砌体结构和木结构等资源消耗和环境影响小的建筑结构体系。</w:t>
            </w:r>
            <w:r>
              <w:rPr>
                <w:rFonts w:hint="eastAsia"/>
                <w:sz w:val="18"/>
                <w:szCs w:val="18"/>
                <w:highlight w:val="none"/>
                <w:lang w:val="en-US" w:eastAsia="zh-CN"/>
              </w:rPr>
              <w:t>见附录B</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3</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adjustRightInd w:val="0"/>
              <w:snapToGrid w:val="0"/>
              <w:spacing w:line="240" w:lineRule="atLeast"/>
              <w:ind w:firstLine="0" w:firstLineChars="0"/>
              <w:rPr>
                <w:sz w:val="18"/>
                <w:szCs w:val="18"/>
                <w:highlight w:val="none"/>
              </w:rPr>
            </w:pPr>
            <w:r>
              <w:rPr>
                <w:sz w:val="18"/>
                <w:szCs w:val="18"/>
                <w:highlight w:val="none"/>
              </w:rPr>
              <w:t>绿化及场地：(1)厂区绿化适宜，宜优先种植乡土植物，采用少维护、耐候性强的植物，减少日常维护的费用；（2）室外透水地面面积占室外总面积的比例不小于30%。</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3</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rFonts w:eastAsia="仿宋"/>
                <w:szCs w:val="21"/>
                <w:highlight w:val="none"/>
              </w:rPr>
            </w:pPr>
          </w:p>
        </w:tc>
        <w:tc>
          <w:tcPr>
            <w:tcW w:w="1158" w:type="dxa"/>
            <w:vMerge w:val="continue"/>
            <w:noWrap w:val="0"/>
            <w:vAlign w:val="center"/>
          </w:tcPr>
          <w:p>
            <w:pPr>
              <w:adjustRightInd w:val="0"/>
              <w:snapToGrid w:val="0"/>
              <w:spacing w:line="240" w:lineRule="atLeast"/>
              <w:ind w:firstLine="0" w:firstLineChars="0"/>
              <w:jc w:val="center"/>
              <w:rPr>
                <w:rFonts w:eastAsia="仿宋"/>
                <w:szCs w:val="21"/>
                <w:highlight w:val="none"/>
              </w:rPr>
            </w:pPr>
          </w:p>
        </w:tc>
        <w:tc>
          <w:tcPr>
            <w:tcW w:w="1193" w:type="dxa"/>
            <w:vMerge w:val="continue"/>
            <w:noWrap w:val="0"/>
            <w:vAlign w:val="center"/>
          </w:tcPr>
          <w:p>
            <w:pPr>
              <w:adjustRightInd w:val="0"/>
              <w:snapToGrid w:val="0"/>
              <w:spacing w:line="240" w:lineRule="atLeast"/>
              <w:ind w:firstLine="0" w:firstLineChars="0"/>
              <w:jc w:val="center"/>
              <w:rPr>
                <w:rFonts w:eastAsia="仿宋"/>
                <w:szCs w:val="21"/>
                <w:highlight w:val="none"/>
              </w:rPr>
            </w:pPr>
          </w:p>
        </w:tc>
        <w:tc>
          <w:tcPr>
            <w:tcW w:w="6754" w:type="dxa"/>
            <w:noWrap w:val="0"/>
            <w:vAlign w:val="center"/>
          </w:tcPr>
          <w:p>
            <w:pPr>
              <w:adjustRightInd w:val="0"/>
              <w:snapToGrid w:val="0"/>
              <w:spacing w:line="240" w:lineRule="atLeast"/>
              <w:ind w:firstLine="0" w:firstLineChars="0"/>
              <w:rPr>
                <w:rFonts w:eastAsia="仿宋"/>
                <w:highlight w:val="none"/>
              </w:rPr>
            </w:pPr>
            <w:r>
              <w:rPr>
                <w:sz w:val="18"/>
                <w:szCs w:val="18"/>
                <w:highlight w:val="none"/>
              </w:rPr>
              <w:t>再生资源及能源利用：可再生能源的使用占建筑总能耗</w:t>
            </w:r>
            <w:r>
              <w:rPr>
                <w:rFonts w:hint="eastAsia"/>
                <w:sz w:val="18"/>
                <w:szCs w:val="18"/>
                <w:highlight w:val="none"/>
              </w:rPr>
              <w:t>（为保障室内建筑环境和生活所需的能耗，包括空调、通风、照明、采暖、炊事和生活热水等用能）</w:t>
            </w:r>
            <w:r>
              <w:rPr>
                <w:sz w:val="18"/>
                <w:szCs w:val="18"/>
                <w:highlight w:val="none"/>
              </w:rPr>
              <w:t>的比例</w:t>
            </w:r>
            <w:r>
              <w:rPr>
                <w:rFonts w:hint="eastAsia"/>
                <w:sz w:val="18"/>
                <w:szCs w:val="18"/>
                <w:highlight w:val="none"/>
                <w:lang w:val="en-US" w:eastAsia="zh-CN"/>
              </w:rPr>
              <w:t>不低于</w:t>
            </w:r>
            <w:r>
              <w:rPr>
                <w:sz w:val="18"/>
                <w:szCs w:val="18"/>
                <w:highlight w:val="none"/>
              </w:rPr>
              <w:t>10%</w:t>
            </w:r>
          </w:p>
        </w:tc>
        <w:tc>
          <w:tcPr>
            <w:tcW w:w="1418" w:type="dxa"/>
            <w:noWrap w:val="0"/>
            <w:vAlign w:val="center"/>
          </w:tcPr>
          <w:p>
            <w:pPr>
              <w:pStyle w:val="128"/>
              <w:spacing w:line="240" w:lineRule="atLeast"/>
              <w:ind w:firstLine="0" w:firstLineChars="0"/>
              <w:rPr>
                <w:rFonts w:ascii="Times New Roman" w:hAnsi="Times New Roman"/>
                <w:szCs w:val="21"/>
                <w:highlight w:val="none"/>
              </w:rPr>
            </w:pPr>
          </w:p>
        </w:tc>
        <w:tc>
          <w:tcPr>
            <w:tcW w:w="992" w:type="dxa"/>
            <w:noWrap w:val="0"/>
            <w:vAlign w:val="center"/>
          </w:tcPr>
          <w:p>
            <w:pPr>
              <w:adjustRightInd w:val="0"/>
              <w:snapToGrid w:val="0"/>
              <w:spacing w:line="240" w:lineRule="atLeast"/>
              <w:ind w:firstLine="0" w:firstLineChars="0"/>
              <w:jc w:val="center"/>
              <w:rPr>
                <w:rFonts w:hint="eastAsia" w:eastAsia="仿宋"/>
                <w:szCs w:val="21"/>
                <w:highlight w:val="none"/>
                <w:lang w:val="en-US" w:eastAsia="zh-CN"/>
              </w:rPr>
            </w:pPr>
            <w:r>
              <w:rPr>
                <w:rFonts w:hint="eastAsia" w:ascii="宋体" w:hAnsi="宋体" w:eastAsia="宋体" w:cs="宋体"/>
                <w:sz w:val="18"/>
                <w:szCs w:val="18"/>
                <w:highlight w:val="none"/>
                <w:lang w:val="en-US" w:eastAsia="zh-CN"/>
              </w:rPr>
              <w:t>取值</w:t>
            </w:r>
          </w:p>
        </w:tc>
        <w:tc>
          <w:tcPr>
            <w:tcW w:w="709" w:type="dxa"/>
            <w:noWrap w:val="0"/>
            <w:vAlign w:val="center"/>
          </w:tcPr>
          <w:p>
            <w:pPr>
              <w:adjustRightInd w:val="0"/>
              <w:snapToGrid w:val="0"/>
              <w:spacing w:line="240" w:lineRule="atLeast"/>
              <w:ind w:firstLine="0" w:firstLineChars="0"/>
              <w:jc w:val="center"/>
              <w:rPr>
                <w:rFonts w:hint="default" w:eastAsia="仿宋"/>
                <w:sz w:val="20"/>
                <w:szCs w:val="20"/>
                <w:highlight w:val="none"/>
                <w:lang w:val="en-US" w:eastAsia="zh-CN"/>
              </w:rPr>
            </w:pPr>
            <w:r>
              <w:rPr>
                <w:rFonts w:hint="eastAsia" w:eastAsia="仿宋"/>
                <w:sz w:val="18"/>
                <w:szCs w:val="18"/>
                <w:highlight w:val="none"/>
                <w:lang w:val="en-US" w:eastAsia="zh-CN"/>
              </w:rPr>
              <w:t>6</w:t>
            </w:r>
          </w:p>
        </w:tc>
        <w:tc>
          <w:tcPr>
            <w:tcW w:w="708" w:type="dxa"/>
            <w:vMerge w:val="continue"/>
            <w:noWrap w:val="0"/>
            <w:vAlign w:val="center"/>
          </w:tcPr>
          <w:p>
            <w:pPr>
              <w:adjustRightInd w:val="0"/>
              <w:snapToGrid w:val="0"/>
              <w:spacing w:line="240" w:lineRule="atLeast"/>
              <w:ind w:firstLine="0" w:firstLineChars="0"/>
              <w:jc w:val="center"/>
              <w:rPr>
                <w:rFonts w:eastAsia="仿宋"/>
                <w:szCs w:val="21"/>
                <w:highlight w:val="none"/>
              </w:rPr>
            </w:pPr>
          </w:p>
        </w:tc>
        <w:tc>
          <w:tcPr>
            <w:tcW w:w="709" w:type="dxa"/>
            <w:noWrap w:val="0"/>
            <w:vAlign w:val="center"/>
          </w:tcPr>
          <w:p>
            <w:pPr>
              <w:adjustRightInd w:val="0"/>
              <w:snapToGrid w:val="0"/>
              <w:spacing w:line="240" w:lineRule="atLeast"/>
              <w:ind w:firstLine="0" w:firstLineChars="0"/>
              <w:jc w:val="center"/>
              <w:rPr>
                <w:rFonts w:hint="eastAsia" w:eastAsia="仿宋"/>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restart"/>
            <w:noWrap w:val="0"/>
            <w:vAlign w:val="center"/>
          </w:tcPr>
          <w:p>
            <w:pPr>
              <w:pStyle w:val="128"/>
              <w:spacing w:line="240" w:lineRule="atLeast"/>
              <w:ind w:firstLine="0" w:firstLineChars="0"/>
              <w:jc w:val="center"/>
              <w:rPr>
                <w:rFonts w:ascii="Times New Roman" w:hAnsi="Times New Roman" w:eastAsia="宋体"/>
                <w:sz w:val="18"/>
                <w:szCs w:val="18"/>
                <w:highlight w:val="none"/>
              </w:rPr>
            </w:pPr>
            <w:r>
              <w:rPr>
                <w:rFonts w:ascii="Times New Roman" w:hAnsi="Times New Roman" w:eastAsia="宋体"/>
                <w:sz w:val="18"/>
                <w:szCs w:val="18"/>
                <w:highlight w:val="none"/>
              </w:rPr>
              <w:t>照明</w:t>
            </w:r>
          </w:p>
        </w:tc>
        <w:tc>
          <w:tcPr>
            <w:tcW w:w="6754" w:type="dxa"/>
            <w:noWrap w:val="0"/>
            <w:vAlign w:val="center"/>
          </w:tcPr>
          <w:p>
            <w:pPr>
              <w:adjustRightInd w:val="0"/>
              <w:snapToGrid w:val="0"/>
              <w:spacing w:line="240" w:lineRule="atLeast"/>
              <w:ind w:firstLine="0" w:firstLineChars="0"/>
              <w:rPr>
                <w:sz w:val="18"/>
                <w:szCs w:val="18"/>
                <w:highlight w:val="none"/>
              </w:rPr>
            </w:pPr>
            <w:r>
              <w:rPr>
                <w:sz w:val="18"/>
                <w:szCs w:val="18"/>
                <w:highlight w:val="none"/>
              </w:rPr>
              <w:t>厂区及各房间或场所的照明应尽量利用自然光或节能灯，人工照明应符合GB 50034规定。</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noWrap w:val="0"/>
            <w:vAlign w:val="center"/>
          </w:tcPr>
          <w:p>
            <w:pPr>
              <w:pStyle w:val="128"/>
              <w:spacing w:line="240" w:lineRule="atLeast"/>
              <w:ind w:firstLine="0" w:firstLineChars="0"/>
              <w:jc w:val="center"/>
              <w:rPr>
                <w:rFonts w:hint="eastAsia" w:ascii="Times New Roman" w:hAnsi="Times New Roman" w:eastAsia="宋体"/>
                <w:sz w:val="18"/>
                <w:szCs w:val="18"/>
                <w:highlight w:val="none"/>
                <w:lang w:eastAsia="zh-CN"/>
              </w:rPr>
            </w:pPr>
            <w:r>
              <w:rPr>
                <w:rFonts w:hint="eastAsia" w:ascii="Times New Roman" w:hAnsi="Times New Roman" w:eastAsia="宋体"/>
                <w:sz w:val="18"/>
                <w:szCs w:val="18"/>
                <w:highlight w:val="none"/>
                <w:lang w:val="en-US" w:eastAsia="zh-CN"/>
              </w:rPr>
              <w:t>零整</w:t>
            </w: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5</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adjustRightInd w:val="0"/>
              <w:snapToGrid w:val="0"/>
              <w:spacing w:line="240" w:lineRule="atLeast"/>
              <w:ind w:firstLine="0" w:firstLineChars="0"/>
              <w:rPr>
                <w:sz w:val="18"/>
                <w:szCs w:val="18"/>
                <w:highlight w:val="none"/>
              </w:rPr>
            </w:pPr>
            <w:r>
              <w:rPr>
                <w:sz w:val="18"/>
                <w:szCs w:val="18"/>
                <w:highlight w:val="none"/>
              </w:rPr>
              <w:t>不同场所的照明应进行分级设计。</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restart"/>
            <w:noWrap w:val="0"/>
            <w:vAlign w:val="center"/>
          </w:tcPr>
          <w:p>
            <w:pPr>
              <w:pStyle w:val="128"/>
              <w:spacing w:line="240" w:lineRule="atLeast"/>
              <w:ind w:firstLine="0" w:firstLineChars="0"/>
              <w:jc w:val="center"/>
              <w:rPr>
                <w:rFonts w:hint="default" w:eastAsia="宋体"/>
                <w:sz w:val="18"/>
                <w:szCs w:val="18"/>
                <w:highlight w:val="none"/>
                <w:lang w:val="en-US" w:eastAsia="zh-CN"/>
              </w:rPr>
            </w:pPr>
            <w:r>
              <w:rPr>
                <w:rFonts w:hint="eastAsia" w:ascii="Times New Roman" w:hAnsi="Times New Roman" w:eastAsia="宋体"/>
                <w:sz w:val="18"/>
                <w:szCs w:val="18"/>
                <w:highlight w:val="none"/>
                <w:lang w:val="en-US" w:eastAsia="zh-CN"/>
              </w:rPr>
              <w:t>取值</w:t>
            </w: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5</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adjustRightInd w:val="0"/>
              <w:snapToGrid w:val="0"/>
              <w:spacing w:line="240" w:lineRule="atLeast"/>
              <w:ind w:firstLine="0" w:firstLineChars="0"/>
              <w:rPr>
                <w:rFonts w:hint="default" w:eastAsia="宋体"/>
                <w:sz w:val="18"/>
                <w:szCs w:val="18"/>
                <w:highlight w:val="none"/>
                <w:lang w:val="en-US" w:eastAsia="zh-CN"/>
              </w:rPr>
            </w:pPr>
            <w:r>
              <w:rPr>
                <w:rFonts w:hint="eastAsia"/>
                <w:sz w:val="18"/>
                <w:szCs w:val="18"/>
                <w:highlight w:val="none"/>
                <w:lang w:val="en-US" w:eastAsia="zh-CN"/>
              </w:rPr>
              <w:t>3000㎡及以上</w:t>
            </w:r>
            <w:r>
              <w:rPr>
                <w:sz w:val="18"/>
                <w:szCs w:val="18"/>
                <w:highlight w:val="none"/>
              </w:rPr>
              <w:t>大型厂房的照明系统宜采用分区控制方式。</w:t>
            </w:r>
            <w:r>
              <w:rPr>
                <w:rFonts w:hint="eastAsia"/>
                <w:sz w:val="18"/>
                <w:szCs w:val="18"/>
                <w:highlight w:val="none"/>
                <w:lang w:val="en-US" w:eastAsia="zh-CN"/>
              </w:rPr>
              <w:t>见附录B</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adjustRightInd w:val="0"/>
              <w:snapToGrid w:val="0"/>
              <w:spacing w:line="240" w:lineRule="atLeast"/>
              <w:ind w:firstLine="0" w:firstLineChars="0"/>
              <w:jc w:val="center"/>
              <w:rPr>
                <w:rFonts w:hint="default" w:eastAsia="宋体"/>
                <w:sz w:val="18"/>
                <w:szCs w:val="18"/>
                <w:highlight w:val="none"/>
                <w:lang w:val="en-US" w:eastAsia="zh-CN"/>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5</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adjustRightInd w:val="0"/>
              <w:snapToGrid w:val="0"/>
              <w:spacing w:line="240" w:lineRule="atLeast"/>
              <w:ind w:firstLine="0" w:firstLineChars="0"/>
              <w:rPr>
                <w:sz w:val="18"/>
                <w:szCs w:val="18"/>
                <w:highlight w:val="none"/>
              </w:rPr>
            </w:pPr>
            <w:r>
              <w:rPr>
                <w:sz w:val="18"/>
                <w:szCs w:val="18"/>
                <w:highlight w:val="none"/>
              </w:rPr>
              <w:t>辅助生产和生活福利设施的照明系统适当增设照明控制开关，短时有人的场所宜采取节能自熄措施。</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r>
              <w:rPr>
                <w:rFonts w:hint="eastAsia"/>
                <w:sz w:val="18"/>
                <w:szCs w:val="18"/>
                <w:highlight w:val="none"/>
                <w:lang w:val="en-US" w:eastAsia="zh-CN"/>
              </w:rPr>
              <w:t>零整</w:t>
            </w: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5</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restart"/>
            <w:noWrap w:val="0"/>
            <w:vAlign w:val="center"/>
          </w:tcPr>
          <w:p>
            <w:pPr>
              <w:pStyle w:val="128"/>
              <w:spacing w:line="240" w:lineRule="atLeast"/>
              <w:ind w:firstLine="0" w:firstLineChars="0"/>
              <w:jc w:val="center"/>
              <w:rPr>
                <w:rFonts w:ascii="Times New Roman" w:hAnsi="Times New Roman" w:eastAsia="宋体"/>
                <w:sz w:val="18"/>
                <w:szCs w:val="18"/>
                <w:highlight w:val="none"/>
              </w:rPr>
            </w:pPr>
            <w:r>
              <w:rPr>
                <w:rFonts w:ascii="Times New Roman" w:hAnsi="Times New Roman" w:eastAsia="宋体"/>
                <w:sz w:val="18"/>
                <w:szCs w:val="18"/>
                <w:highlight w:val="none"/>
              </w:rPr>
              <w:t>设备设施</w:t>
            </w:r>
          </w:p>
        </w:tc>
        <w:tc>
          <w:tcPr>
            <w:tcW w:w="6754" w:type="dxa"/>
            <w:noWrap w:val="0"/>
            <w:vAlign w:val="center"/>
          </w:tcPr>
          <w:p>
            <w:pPr>
              <w:adjustRightInd w:val="0"/>
              <w:snapToGrid w:val="0"/>
              <w:spacing w:line="240" w:lineRule="atLeast"/>
              <w:ind w:firstLine="0" w:firstLineChars="0"/>
              <w:rPr>
                <w:sz w:val="18"/>
                <w:szCs w:val="18"/>
                <w:highlight w:val="none"/>
              </w:rPr>
            </w:pPr>
            <w:r>
              <w:rPr>
                <w:sz w:val="18"/>
                <w:szCs w:val="18"/>
                <w:highlight w:val="none"/>
              </w:rPr>
              <w:t>专用设备应符合产业准入要求，降低能源与资源消耗，减少污染物排放。</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noWrap w:val="0"/>
            <w:vAlign w:val="center"/>
          </w:tcPr>
          <w:p>
            <w:pPr>
              <w:adjustRightInd w:val="0"/>
              <w:snapToGrid w:val="0"/>
              <w:spacing w:line="240" w:lineRule="atLeast"/>
              <w:ind w:firstLine="0" w:firstLineChars="0"/>
              <w:jc w:val="center"/>
              <w:rPr>
                <w:sz w:val="18"/>
                <w:szCs w:val="18"/>
                <w:highlight w:val="none"/>
              </w:rPr>
            </w:pPr>
            <w:r>
              <w:rPr>
                <w:rFonts w:hint="eastAsia" w:ascii="Times New Roman" w:hAnsi="Times New Roman" w:eastAsia="宋体"/>
                <w:sz w:val="18"/>
                <w:szCs w:val="18"/>
                <w:highlight w:val="none"/>
                <w:lang w:val="en-US" w:eastAsia="zh-CN"/>
              </w:rPr>
              <w:t>零整</w:t>
            </w: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5</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adjustRightInd w:val="0"/>
              <w:snapToGrid w:val="0"/>
              <w:spacing w:line="240" w:lineRule="atLeast"/>
              <w:ind w:firstLine="0" w:firstLineChars="0"/>
              <w:rPr>
                <w:sz w:val="18"/>
                <w:szCs w:val="18"/>
                <w:highlight w:val="none"/>
              </w:rPr>
            </w:pPr>
            <w:r>
              <w:rPr>
                <w:sz w:val="18"/>
                <w:szCs w:val="18"/>
                <w:highlight w:val="none"/>
              </w:rPr>
              <w:t>适用时，通用设备应达到相关标准中能效限定值的强制性要求。已明令禁止生产、使用的和能耗高、效率低的设备应限期淘汰更新。</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noWrap w:val="0"/>
            <w:vAlign w:val="center"/>
          </w:tcPr>
          <w:p>
            <w:pPr>
              <w:adjustRightInd w:val="0"/>
              <w:snapToGrid w:val="0"/>
              <w:spacing w:line="240" w:lineRule="atLeast"/>
              <w:ind w:firstLine="0" w:firstLineChars="0"/>
              <w:jc w:val="center"/>
              <w:rPr>
                <w:sz w:val="18"/>
                <w:szCs w:val="18"/>
                <w:highlight w:val="none"/>
              </w:rPr>
            </w:pPr>
            <w:r>
              <w:rPr>
                <w:rFonts w:hint="eastAsia" w:ascii="Times New Roman" w:hAnsi="Times New Roman" w:eastAsia="宋体"/>
                <w:sz w:val="18"/>
                <w:szCs w:val="18"/>
                <w:highlight w:val="none"/>
                <w:lang w:val="en-US" w:eastAsia="zh-CN"/>
              </w:rPr>
              <w:t>零整</w:t>
            </w: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5</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adjustRightInd w:val="0"/>
              <w:snapToGrid w:val="0"/>
              <w:spacing w:line="240" w:lineRule="atLeast"/>
              <w:ind w:firstLine="0" w:firstLineChars="0"/>
              <w:rPr>
                <w:sz w:val="18"/>
                <w:szCs w:val="18"/>
                <w:highlight w:val="none"/>
              </w:rPr>
            </w:pPr>
            <w:r>
              <w:rPr>
                <w:sz w:val="18"/>
                <w:szCs w:val="18"/>
                <w:highlight w:val="none"/>
              </w:rPr>
              <w:t>通用设备或其系统的实际运行效率或主要运行参数应符合该设备经济运行的要求。</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r>
              <w:rPr>
                <w:rFonts w:hint="eastAsia"/>
                <w:sz w:val="18"/>
                <w:szCs w:val="18"/>
                <w:highlight w:val="none"/>
                <w:lang w:val="en-US" w:eastAsia="zh-CN"/>
              </w:rPr>
              <w:t>取值</w:t>
            </w: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5</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default"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adjustRightInd w:val="0"/>
              <w:snapToGrid w:val="0"/>
              <w:spacing w:line="240" w:lineRule="atLeast"/>
              <w:ind w:firstLine="0" w:firstLineChars="0"/>
              <w:rPr>
                <w:sz w:val="18"/>
                <w:szCs w:val="18"/>
                <w:highlight w:val="none"/>
              </w:rPr>
            </w:pPr>
            <w:r>
              <w:rPr>
                <w:sz w:val="18"/>
                <w:szCs w:val="18"/>
                <w:highlight w:val="none"/>
              </w:rPr>
              <w:t>应依据GB 17167、GB 24789等要求配备、使用和管理能源、水以及其他资源的计量器具和装置。进出用能单位、进出主要次级用能单位、主要用能设备计量器具配备率应满足GB 20902要求。</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r>
              <w:rPr>
                <w:rFonts w:hint="eastAsia"/>
                <w:sz w:val="18"/>
                <w:szCs w:val="18"/>
                <w:highlight w:val="none"/>
                <w:lang w:val="en-US" w:eastAsia="zh-CN"/>
              </w:rPr>
              <w:t>零整</w:t>
            </w: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5</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default"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adjustRightInd w:val="0"/>
              <w:snapToGrid w:val="0"/>
              <w:spacing w:line="240" w:lineRule="atLeast"/>
              <w:ind w:firstLine="0" w:firstLineChars="0"/>
              <w:rPr>
                <w:sz w:val="18"/>
                <w:szCs w:val="18"/>
                <w:highlight w:val="none"/>
              </w:rPr>
            </w:pPr>
            <w:r>
              <w:rPr>
                <w:sz w:val="18"/>
                <w:szCs w:val="18"/>
                <w:highlight w:val="none"/>
              </w:rPr>
              <w:t>能源及资源使用的类型不同时，应进行分类计量。工厂若具有以下设备，应满足分类计量的要求：（1）照明系统；（2）冷水机组、相关用能设备的能耗计量和控制；（3）</w:t>
            </w:r>
            <w:r>
              <w:rPr>
                <w:rFonts w:hint="eastAsia"/>
                <w:sz w:val="18"/>
                <w:szCs w:val="18"/>
                <w:highlight w:val="none"/>
              </w:rPr>
              <w:t>生产</w:t>
            </w:r>
            <w:r>
              <w:rPr>
                <w:sz w:val="18"/>
                <w:szCs w:val="18"/>
                <w:highlight w:val="none"/>
              </w:rPr>
              <w:t>用水、</w:t>
            </w:r>
            <w:r>
              <w:rPr>
                <w:rFonts w:hint="eastAsia"/>
                <w:sz w:val="18"/>
                <w:szCs w:val="18"/>
                <w:highlight w:val="none"/>
              </w:rPr>
              <w:t>生活</w:t>
            </w:r>
            <w:r>
              <w:rPr>
                <w:sz w:val="18"/>
                <w:szCs w:val="18"/>
                <w:highlight w:val="none"/>
              </w:rPr>
              <w:t>用水</w:t>
            </w:r>
            <w:r>
              <w:rPr>
                <w:rFonts w:hint="eastAsia"/>
                <w:sz w:val="18"/>
                <w:szCs w:val="18"/>
                <w:highlight w:val="none"/>
              </w:rPr>
              <w:t>、消防用水</w:t>
            </w:r>
            <w:r>
              <w:rPr>
                <w:sz w:val="18"/>
                <w:szCs w:val="18"/>
                <w:highlight w:val="none"/>
              </w:rPr>
              <w:t>；（4）空气处理设备的流量和压力计量；（5）锅炉；（6）冷却塔。</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r>
              <w:rPr>
                <w:rFonts w:hint="eastAsia"/>
                <w:sz w:val="18"/>
                <w:szCs w:val="18"/>
                <w:highlight w:val="none"/>
                <w:lang w:val="en-US" w:eastAsia="zh-CN"/>
              </w:rPr>
              <w:t>取值</w:t>
            </w: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5</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adjustRightInd w:val="0"/>
              <w:snapToGrid w:val="0"/>
              <w:spacing w:line="240" w:lineRule="atLeast"/>
              <w:ind w:firstLine="0" w:firstLineChars="0"/>
              <w:rPr>
                <w:sz w:val="18"/>
                <w:szCs w:val="18"/>
                <w:highlight w:val="none"/>
              </w:rPr>
            </w:pPr>
            <w:r>
              <w:rPr>
                <w:sz w:val="18"/>
                <w:szCs w:val="18"/>
                <w:highlight w:val="none"/>
              </w:rPr>
              <w:t>应投入适宜的污染物处理设施，以确保其污染物排放达到相关法律法规及标准要求。污染物处理设施的处理能力与工厂生产排放相适应，</w:t>
            </w:r>
            <w:r>
              <w:rPr>
                <w:rFonts w:hint="eastAsia"/>
                <w:sz w:val="18"/>
                <w:szCs w:val="18"/>
                <w:highlight w:val="none"/>
              </w:rPr>
              <w:t>并应正常运行</w:t>
            </w:r>
            <w:r>
              <w:rPr>
                <w:sz w:val="18"/>
                <w:szCs w:val="18"/>
                <w:highlight w:val="none"/>
              </w:rPr>
              <w:t>。</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r>
              <w:rPr>
                <w:rFonts w:hint="eastAsia"/>
                <w:sz w:val="18"/>
                <w:szCs w:val="18"/>
                <w:highlight w:val="none"/>
                <w:lang w:val="en-US" w:eastAsia="zh-CN"/>
              </w:rPr>
              <w:t>零整</w:t>
            </w: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5</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adjustRightInd w:val="0"/>
              <w:snapToGrid w:val="0"/>
              <w:spacing w:line="240" w:lineRule="atLeast"/>
              <w:ind w:firstLine="0" w:firstLineChars="0"/>
              <w:rPr>
                <w:sz w:val="18"/>
                <w:szCs w:val="18"/>
                <w:highlight w:val="none"/>
              </w:rPr>
            </w:pPr>
            <w:r>
              <w:rPr>
                <w:sz w:val="18"/>
                <w:szCs w:val="18"/>
                <w:highlight w:val="none"/>
              </w:rPr>
              <w:t>通用设备宜采用节能型产品或效率高、能耗低、水耗低、物耗低的产品。</w:t>
            </w:r>
            <w:r>
              <w:rPr>
                <w:rFonts w:hint="eastAsia"/>
                <w:sz w:val="18"/>
                <w:szCs w:val="18"/>
                <w:highlight w:val="none"/>
                <w:lang w:val="en-US" w:eastAsia="zh-CN"/>
              </w:rPr>
              <w:t>见附录B。</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noWrap w:val="0"/>
            <w:vAlign w:val="center"/>
          </w:tcPr>
          <w:p>
            <w:pPr>
              <w:adjustRightInd w:val="0"/>
              <w:snapToGrid w:val="0"/>
              <w:spacing w:line="240" w:lineRule="atLeast"/>
              <w:ind w:firstLine="0" w:firstLineChars="0"/>
              <w:jc w:val="center"/>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取值</w:t>
            </w:r>
          </w:p>
        </w:tc>
        <w:tc>
          <w:tcPr>
            <w:tcW w:w="709" w:type="dxa"/>
            <w:noWrap w:val="0"/>
            <w:vAlign w:val="center"/>
          </w:tcPr>
          <w:p>
            <w:pPr>
              <w:adjustRightInd w:val="0"/>
              <w:snapToGrid w:val="0"/>
              <w:spacing w:line="240" w:lineRule="atLeast"/>
              <w:ind w:firstLine="0" w:firstLineChars="0"/>
              <w:jc w:val="center"/>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rPr>
              <w:t>1</w:t>
            </w:r>
            <w:r>
              <w:rPr>
                <w:sz w:val="18"/>
                <w:szCs w:val="18"/>
                <w:highlight w:val="none"/>
              </w:rPr>
              <w:t>0</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adjustRightInd w:val="0"/>
              <w:snapToGrid w:val="0"/>
              <w:spacing w:line="240" w:lineRule="atLeast"/>
              <w:ind w:firstLine="0" w:firstLineChars="0"/>
              <w:rPr>
                <w:rFonts w:hint="default" w:eastAsia="宋体"/>
                <w:sz w:val="18"/>
                <w:szCs w:val="18"/>
                <w:highlight w:val="none"/>
                <w:lang w:val="en-US" w:eastAsia="zh-CN"/>
              </w:rPr>
            </w:pPr>
            <w:r>
              <w:rPr>
                <w:rFonts w:hint="eastAsia"/>
                <w:sz w:val="18"/>
                <w:szCs w:val="18"/>
                <w:highlight w:val="none"/>
                <w:lang w:val="en-US" w:eastAsia="zh-CN"/>
              </w:rPr>
              <w:t>采用能耗低、结构紧凑、占地面积小、环境友好的后处理粉碎设备</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noWrap w:val="0"/>
            <w:vAlign w:val="center"/>
          </w:tcPr>
          <w:p>
            <w:pPr>
              <w:adjustRightInd w:val="0"/>
              <w:snapToGrid w:val="0"/>
              <w:spacing w:line="240" w:lineRule="atLeast"/>
              <w:ind w:firstLine="0" w:firstLineChars="0"/>
              <w:jc w:val="center"/>
              <w:rPr>
                <w:rFonts w:hint="default"/>
                <w:sz w:val="18"/>
                <w:szCs w:val="18"/>
                <w:highlight w:val="none"/>
                <w:lang w:val="en-US" w:eastAsia="zh-CN"/>
              </w:rPr>
            </w:pPr>
            <w:r>
              <w:rPr>
                <w:rFonts w:hint="eastAsia"/>
                <w:sz w:val="18"/>
                <w:szCs w:val="18"/>
                <w:highlight w:val="none"/>
                <w:lang w:val="en-US" w:eastAsia="zh-CN"/>
              </w:rPr>
              <w:t>加分</w:t>
            </w:r>
          </w:p>
        </w:tc>
        <w:tc>
          <w:tcPr>
            <w:tcW w:w="709" w:type="dxa"/>
            <w:noWrap w:val="0"/>
            <w:vAlign w:val="center"/>
          </w:tcPr>
          <w:p>
            <w:pPr>
              <w:adjustRightInd w:val="0"/>
              <w:snapToGrid w:val="0"/>
              <w:spacing w:line="240" w:lineRule="atLeast"/>
              <w:ind w:firstLine="0" w:firstLineChars="0"/>
              <w:jc w:val="center"/>
              <w:rPr>
                <w:rFonts w:hint="default" w:eastAsia="宋体"/>
                <w:sz w:val="18"/>
                <w:szCs w:val="18"/>
                <w:highlight w:val="none"/>
                <w:lang w:val="en-US" w:eastAsia="zh-CN"/>
              </w:rPr>
            </w:pPr>
            <w:r>
              <w:rPr>
                <w:rFonts w:hint="eastAsia"/>
                <w:sz w:val="18"/>
                <w:szCs w:val="18"/>
                <w:highlight w:val="none"/>
                <w:lang w:val="en-US" w:eastAsia="zh-CN"/>
              </w:rPr>
              <w:t>10</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adjustRightInd w:val="0"/>
              <w:snapToGrid w:val="0"/>
              <w:spacing w:line="240" w:lineRule="atLeast"/>
              <w:ind w:firstLine="0" w:firstLineChars="0"/>
              <w:rPr>
                <w:rFonts w:hint="default" w:eastAsia="宋体"/>
                <w:sz w:val="18"/>
                <w:szCs w:val="18"/>
                <w:highlight w:val="none"/>
                <w:lang w:val="en-US" w:eastAsia="zh-CN"/>
              </w:rPr>
            </w:pPr>
            <w:r>
              <w:rPr>
                <w:rFonts w:hint="eastAsia"/>
                <w:sz w:val="18"/>
                <w:szCs w:val="18"/>
                <w:highlight w:val="none"/>
                <w:lang w:val="en-US" w:eastAsia="zh-CN"/>
              </w:rPr>
              <w:t>采用自动化程度高、高效无污染、先进的后处理分级设备。</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noWrap w:val="0"/>
            <w:vAlign w:val="center"/>
          </w:tcPr>
          <w:p>
            <w:pPr>
              <w:adjustRightInd w:val="0"/>
              <w:snapToGrid w:val="0"/>
              <w:spacing w:line="240" w:lineRule="atLeast"/>
              <w:ind w:firstLine="0" w:firstLineChars="0"/>
              <w:jc w:val="center"/>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加分</w:t>
            </w:r>
          </w:p>
        </w:tc>
        <w:tc>
          <w:tcPr>
            <w:tcW w:w="709" w:type="dxa"/>
            <w:noWrap w:val="0"/>
            <w:vAlign w:val="center"/>
          </w:tcPr>
          <w:p>
            <w:pPr>
              <w:adjustRightInd w:val="0"/>
              <w:snapToGrid w:val="0"/>
              <w:spacing w:line="240" w:lineRule="atLeast"/>
              <w:ind w:firstLine="0" w:firstLineChars="0"/>
              <w:jc w:val="center"/>
              <w:rPr>
                <w:rFonts w:hint="default"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10</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default"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restart"/>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2</w:t>
            </w:r>
          </w:p>
        </w:tc>
        <w:tc>
          <w:tcPr>
            <w:tcW w:w="1158" w:type="dxa"/>
            <w:vMerge w:val="restart"/>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管理体系</w:t>
            </w:r>
          </w:p>
        </w:tc>
        <w:tc>
          <w:tcPr>
            <w:tcW w:w="1193" w:type="dxa"/>
            <w:vMerge w:val="restart"/>
            <w:noWrap w:val="0"/>
            <w:vAlign w:val="center"/>
          </w:tcPr>
          <w:p>
            <w:pPr>
              <w:pStyle w:val="128"/>
              <w:spacing w:line="240" w:lineRule="atLeast"/>
              <w:ind w:firstLine="0" w:firstLineChars="0"/>
              <w:jc w:val="center"/>
              <w:rPr>
                <w:rFonts w:ascii="Times New Roman" w:hAnsi="Times New Roman" w:eastAsia="宋体"/>
                <w:sz w:val="18"/>
                <w:szCs w:val="18"/>
                <w:highlight w:val="none"/>
              </w:rPr>
            </w:pPr>
            <w:r>
              <w:rPr>
                <w:rFonts w:ascii="Times New Roman" w:hAnsi="Times New Roman" w:eastAsia="宋体"/>
                <w:sz w:val="18"/>
                <w:szCs w:val="18"/>
                <w:highlight w:val="none"/>
              </w:rPr>
              <w:t>质量管理体系</w:t>
            </w:r>
          </w:p>
        </w:tc>
        <w:tc>
          <w:tcPr>
            <w:tcW w:w="6754" w:type="dxa"/>
            <w:tcBorders>
              <w:bottom w:val="single" w:color="auto" w:sz="4" w:space="0"/>
            </w:tcBorders>
            <w:noWrap w:val="0"/>
            <w:vAlign w:val="center"/>
          </w:tcPr>
          <w:p>
            <w:pPr>
              <w:adjustRightInd w:val="0"/>
              <w:snapToGrid w:val="0"/>
              <w:spacing w:line="240" w:lineRule="atLeast"/>
              <w:ind w:firstLine="0" w:firstLineChars="0"/>
              <w:rPr>
                <w:sz w:val="18"/>
                <w:szCs w:val="18"/>
                <w:highlight w:val="none"/>
              </w:rPr>
            </w:pPr>
            <w:r>
              <w:rPr>
                <w:iCs/>
                <w:sz w:val="18"/>
                <w:szCs w:val="18"/>
                <w:highlight w:val="none"/>
              </w:rPr>
              <w:t>工厂应建立、实施并保持质量管理体系。</w:t>
            </w:r>
          </w:p>
        </w:tc>
        <w:tc>
          <w:tcPr>
            <w:tcW w:w="1418" w:type="dxa"/>
            <w:tcBorders>
              <w:bottom w:val="single" w:color="auto" w:sz="4" w:space="0"/>
            </w:tcBorders>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restart"/>
            <w:noWrap w:val="0"/>
            <w:vAlign w:val="center"/>
          </w:tcPr>
          <w:p>
            <w:pPr>
              <w:pStyle w:val="128"/>
              <w:spacing w:line="240" w:lineRule="atLeast"/>
              <w:ind w:firstLine="0" w:firstLineChars="0"/>
              <w:jc w:val="center"/>
              <w:rPr>
                <w:rFonts w:hint="eastAsia" w:ascii="Times New Roman" w:hAnsi="Times New Roman" w:eastAsia="宋体"/>
                <w:sz w:val="18"/>
                <w:szCs w:val="18"/>
                <w:highlight w:val="none"/>
                <w:lang w:eastAsia="zh-CN"/>
              </w:rPr>
            </w:pPr>
            <w:r>
              <w:rPr>
                <w:rFonts w:hint="eastAsia" w:ascii="Times New Roman" w:hAnsi="Times New Roman" w:eastAsia="宋体"/>
                <w:sz w:val="18"/>
                <w:szCs w:val="18"/>
                <w:highlight w:val="none"/>
                <w:lang w:val="en-US" w:eastAsia="zh-CN"/>
              </w:rPr>
              <w:t>零整</w:t>
            </w:r>
          </w:p>
        </w:tc>
        <w:tc>
          <w:tcPr>
            <w:tcW w:w="709" w:type="dxa"/>
            <w:tcBorders>
              <w:bottom w:val="single" w:color="auto" w:sz="4" w:space="0"/>
            </w:tcBorders>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8</w:t>
            </w:r>
          </w:p>
        </w:tc>
        <w:tc>
          <w:tcPr>
            <w:tcW w:w="708" w:type="dxa"/>
            <w:vMerge w:val="restart"/>
            <w:noWrap w:val="0"/>
            <w:vAlign w:val="bottom"/>
          </w:tcPr>
          <w:p>
            <w:pPr>
              <w:adjustRightInd w:val="0"/>
              <w:snapToGrid w:val="0"/>
              <w:spacing w:line="240" w:lineRule="atLeast"/>
              <w:ind w:firstLine="0" w:firstLineChars="0"/>
              <w:jc w:val="center"/>
              <w:rPr>
                <w:sz w:val="18"/>
                <w:szCs w:val="18"/>
                <w:highlight w:val="none"/>
              </w:rPr>
            </w:pPr>
            <w:r>
              <w:rPr>
                <w:sz w:val="18"/>
                <w:szCs w:val="18"/>
                <w:highlight w:val="none"/>
              </w:rPr>
              <w:t>15%</w:t>
            </w:r>
          </w:p>
        </w:tc>
        <w:tc>
          <w:tcPr>
            <w:tcW w:w="709" w:type="dxa"/>
            <w:noWrap w:val="0"/>
            <w:vAlign w:val="center"/>
          </w:tcPr>
          <w:p>
            <w:pPr>
              <w:adjustRightInd w:val="0"/>
              <w:snapToGrid w:val="0"/>
              <w:spacing w:line="240" w:lineRule="atLeast"/>
              <w:ind w:firstLine="0" w:firstLineChars="0"/>
              <w:jc w:val="center"/>
              <w:rPr>
                <w:rFonts w:hint="default"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1193"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6754" w:type="dxa"/>
            <w:tcBorders>
              <w:top w:val="single" w:color="auto" w:sz="4" w:space="0"/>
              <w:bottom w:val="single" w:color="auto" w:sz="4" w:space="0"/>
            </w:tcBorders>
            <w:noWrap w:val="0"/>
            <w:vAlign w:val="center"/>
          </w:tcPr>
          <w:p>
            <w:pPr>
              <w:adjustRightInd w:val="0"/>
              <w:snapToGrid w:val="0"/>
              <w:spacing w:line="240" w:lineRule="atLeast"/>
              <w:ind w:firstLine="0" w:firstLineChars="0"/>
              <w:rPr>
                <w:iCs/>
                <w:sz w:val="18"/>
                <w:szCs w:val="18"/>
                <w:highlight w:val="none"/>
              </w:rPr>
            </w:pPr>
            <w:r>
              <w:rPr>
                <w:rFonts w:hint="eastAsia"/>
                <w:iCs/>
                <w:sz w:val="18"/>
                <w:szCs w:val="18"/>
                <w:highlight w:val="none"/>
              </w:rPr>
              <w:t>工厂的质量管理体系应满足GB/T 19001的要求。</w:t>
            </w:r>
          </w:p>
        </w:tc>
        <w:tc>
          <w:tcPr>
            <w:tcW w:w="1418" w:type="dxa"/>
            <w:tcBorders>
              <w:top w:val="single" w:color="auto" w:sz="4" w:space="0"/>
              <w:bottom w:val="single" w:color="auto" w:sz="4" w:space="0"/>
            </w:tcBorders>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tcBorders>
              <w:top w:val="single" w:color="auto" w:sz="4" w:space="0"/>
              <w:bottom w:val="single" w:color="auto" w:sz="4" w:space="0"/>
            </w:tcBorders>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3</w:t>
            </w:r>
          </w:p>
        </w:tc>
        <w:tc>
          <w:tcPr>
            <w:tcW w:w="708" w:type="dxa"/>
            <w:vMerge w:val="continue"/>
            <w:noWrap w:val="0"/>
            <w:vAlign w:val="bottom"/>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1193"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6754" w:type="dxa"/>
            <w:tcBorders>
              <w:top w:val="single" w:color="auto" w:sz="4" w:space="0"/>
            </w:tcBorders>
            <w:noWrap w:val="0"/>
            <w:vAlign w:val="center"/>
          </w:tcPr>
          <w:p>
            <w:pPr>
              <w:adjustRightInd w:val="0"/>
              <w:snapToGrid w:val="0"/>
              <w:spacing w:line="240" w:lineRule="atLeast"/>
              <w:ind w:firstLine="0" w:firstLineChars="0"/>
              <w:rPr>
                <w:iCs/>
                <w:sz w:val="18"/>
                <w:szCs w:val="18"/>
                <w:highlight w:val="none"/>
              </w:rPr>
            </w:pPr>
            <w:r>
              <w:rPr>
                <w:rFonts w:hint="eastAsia"/>
                <w:iCs/>
                <w:sz w:val="18"/>
                <w:szCs w:val="18"/>
                <w:highlight w:val="none"/>
              </w:rPr>
              <w:t>工厂宜获得质量管理体系的第三方认证。</w:t>
            </w:r>
          </w:p>
        </w:tc>
        <w:tc>
          <w:tcPr>
            <w:tcW w:w="1418" w:type="dxa"/>
            <w:tcBorders>
              <w:top w:val="single" w:color="auto" w:sz="4" w:space="0"/>
            </w:tcBorders>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tcBorders>
              <w:top w:val="single" w:color="auto" w:sz="4" w:space="0"/>
            </w:tcBorders>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5</w:t>
            </w:r>
          </w:p>
        </w:tc>
        <w:tc>
          <w:tcPr>
            <w:tcW w:w="708" w:type="dxa"/>
            <w:vMerge w:val="continue"/>
            <w:noWrap w:val="0"/>
            <w:vAlign w:val="bottom"/>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restart"/>
            <w:noWrap w:val="0"/>
            <w:vAlign w:val="center"/>
          </w:tcPr>
          <w:p>
            <w:pPr>
              <w:pStyle w:val="128"/>
              <w:spacing w:line="240" w:lineRule="atLeast"/>
              <w:ind w:firstLine="0" w:firstLineChars="0"/>
              <w:jc w:val="center"/>
              <w:rPr>
                <w:rFonts w:ascii="Times New Roman" w:hAnsi="Times New Roman" w:eastAsia="宋体"/>
                <w:sz w:val="18"/>
                <w:szCs w:val="18"/>
                <w:highlight w:val="none"/>
              </w:rPr>
            </w:pPr>
            <w:r>
              <w:rPr>
                <w:rFonts w:ascii="Times New Roman" w:hAnsi="Times New Roman" w:eastAsia="宋体"/>
                <w:sz w:val="18"/>
                <w:szCs w:val="18"/>
                <w:highlight w:val="none"/>
              </w:rPr>
              <w:t>职业健康安全管理体系</w:t>
            </w:r>
          </w:p>
        </w:tc>
        <w:tc>
          <w:tcPr>
            <w:tcW w:w="6754" w:type="dxa"/>
            <w:tcBorders>
              <w:bottom w:val="single" w:color="auto" w:sz="4" w:space="0"/>
            </w:tcBorders>
            <w:noWrap w:val="0"/>
            <w:vAlign w:val="center"/>
          </w:tcPr>
          <w:p>
            <w:pPr>
              <w:adjustRightInd w:val="0"/>
              <w:snapToGrid w:val="0"/>
              <w:spacing w:line="240" w:lineRule="atLeast"/>
              <w:ind w:firstLine="0" w:firstLineChars="0"/>
              <w:rPr>
                <w:sz w:val="18"/>
                <w:szCs w:val="18"/>
                <w:highlight w:val="none"/>
              </w:rPr>
            </w:pPr>
            <w:r>
              <w:rPr>
                <w:iCs/>
                <w:sz w:val="18"/>
                <w:szCs w:val="18"/>
                <w:highlight w:val="none"/>
              </w:rPr>
              <w:t>工厂应建立、实施并保持职业健康安全管理体系。</w:t>
            </w:r>
          </w:p>
        </w:tc>
        <w:tc>
          <w:tcPr>
            <w:tcW w:w="1418" w:type="dxa"/>
            <w:tcBorders>
              <w:bottom w:val="single" w:color="auto" w:sz="4" w:space="0"/>
            </w:tcBorders>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tcBorders>
              <w:bottom w:val="single" w:color="auto" w:sz="4" w:space="0"/>
            </w:tcBorders>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1</w:t>
            </w:r>
            <w:r>
              <w:rPr>
                <w:sz w:val="18"/>
                <w:szCs w:val="18"/>
                <w:highlight w:val="none"/>
              </w:rPr>
              <w:t>0</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default"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6754" w:type="dxa"/>
            <w:tcBorders>
              <w:top w:val="single" w:color="auto" w:sz="4" w:space="0"/>
              <w:bottom w:val="single" w:color="auto" w:sz="4" w:space="0"/>
            </w:tcBorders>
            <w:noWrap w:val="0"/>
            <w:vAlign w:val="center"/>
          </w:tcPr>
          <w:p>
            <w:pPr>
              <w:adjustRightInd w:val="0"/>
              <w:snapToGrid w:val="0"/>
              <w:spacing w:line="240" w:lineRule="atLeast"/>
              <w:ind w:firstLine="0" w:firstLineChars="0"/>
              <w:rPr>
                <w:iCs/>
                <w:sz w:val="18"/>
                <w:szCs w:val="18"/>
                <w:highlight w:val="none"/>
              </w:rPr>
            </w:pPr>
            <w:r>
              <w:rPr>
                <w:rFonts w:hint="eastAsia"/>
                <w:iCs/>
                <w:sz w:val="18"/>
                <w:szCs w:val="18"/>
                <w:highlight w:val="none"/>
              </w:rPr>
              <w:t>工厂的职业健康安全管理体系应满足GB/T 45001的要求。</w:t>
            </w:r>
          </w:p>
        </w:tc>
        <w:tc>
          <w:tcPr>
            <w:tcW w:w="1418" w:type="dxa"/>
            <w:tcBorders>
              <w:top w:val="single" w:color="auto" w:sz="4" w:space="0"/>
              <w:bottom w:val="single" w:color="auto" w:sz="4" w:space="0"/>
            </w:tcBorders>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tcBorders>
              <w:top w:val="single" w:color="auto" w:sz="4" w:space="0"/>
              <w:bottom w:val="single" w:color="auto" w:sz="4" w:space="0"/>
            </w:tcBorders>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5</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6754" w:type="dxa"/>
            <w:tcBorders>
              <w:top w:val="single" w:color="auto" w:sz="4" w:space="0"/>
            </w:tcBorders>
            <w:noWrap w:val="0"/>
            <w:vAlign w:val="center"/>
          </w:tcPr>
          <w:p>
            <w:pPr>
              <w:adjustRightInd w:val="0"/>
              <w:snapToGrid w:val="0"/>
              <w:spacing w:line="240" w:lineRule="atLeast"/>
              <w:ind w:firstLine="0" w:firstLineChars="0"/>
              <w:rPr>
                <w:iCs/>
                <w:sz w:val="18"/>
                <w:szCs w:val="18"/>
                <w:highlight w:val="none"/>
              </w:rPr>
            </w:pPr>
            <w:r>
              <w:rPr>
                <w:rFonts w:hint="eastAsia"/>
                <w:iCs/>
                <w:sz w:val="18"/>
                <w:szCs w:val="18"/>
                <w:highlight w:val="none"/>
              </w:rPr>
              <w:t>工厂宜获得职业健康管理体系第三方认证。</w:t>
            </w:r>
          </w:p>
        </w:tc>
        <w:tc>
          <w:tcPr>
            <w:tcW w:w="1418" w:type="dxa"/>
            <w:tcBorders>
              <w:top w:val="single" w:color="auto" w:sz="4" w:space="0"/>
            </w:tcBorders>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tcBorders>
              <w:top w:val="single" w:color="auto" w:sz="4" w:space="0"/>
            </w:tcBorders>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5</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restart"/>
            <w:noWrap w:val="0"/>
            <w:vAlign w:val="center"/>
          </w:tcPr>
          <w:p>
            <w:pPr>
              <w:pStyle w:val="128"/>
              <w:spacing w:line="240" w:lineRule="atLeast"/>
              <w:ind w:firstLine="0" w:firstLineChars="0"/>
              <w:jc w:val="center"/>
              <w:rPr>
                <w:rFonts w:ascii="Times New Roman" w:hAnsi="Times New Roman" w:eastAsia="宋体"/>
                <w:sz w:val="18"/>
                <w:szCs w:val="18"/>
                <w:highlight w:val="none"/>
              </w:rPr>
            </w:pPr>
            <w:r>
              <w:rPr>
                <w:rFonts w:ascii="Times New Roman" w:hAnsi="Times New Roman" w:eastAsia="宋体"/>
                <w:sz w:val="18"/>
                <w:szCs w:val="18"/>
                <w:highlight w:val="none"/>
              </w:rPr>
              <w:t>环境管理体系</w:t>
            </w:r>
          </w:p>
        </w:tc>
        <w:tc>
          <w:tcPr>
            <w:tcW w:w="6754" w:type="dxa"/>
            <w:tcBorders>
              <w:bottom w:val="single" w:color="auto" w:sz="4" w:space="0"/>
            </w:tcBorders>
            <w:noWrap w:val="0"/>
            <w:vAlign w:val="center"/>
          </w:tcPr>
          <w:p>
            <w:pPr>
              <w:adjustRightInd w:val="0"/>
              <w:snapToGrid w:val="0"/>
              <w:spacing w:line="240" w:lineRule="atLeast"/>
              <w:ind w:firstLine="0" w:firstLineChars="0"/>
              <w:rPr>
                <w:sz w:val="18"/>
                <w:szCs w:val="18"/>
                <w:highlight w:val="none"/>
              </w:rPr>
            </w:pPr>
            <w:r>
              <w:rPr>
                <w:iCs/>
                <w:sz w:val="18"/>
                <w:szCs w:val="18"/>
                <w:highlight w:val="none"/>
              </w:rPr>
              <w:t>工厂应建立、实施并保持环境管理体系。</w:t>
            </w:r>
          </w:p>
        </w:tc>
        <w:tc>
          <w:tcPr>
            <w:tcW w:w="1418" w:type="dxa"/>
            <w:tcBorders>
              <w:bottom w:val="single" w:color="auto" w:sz="4" w:space="0"/>
            </w:tcBorders>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tcBorders>
              <w:bottom w:val="single" w:color="auto" w:sz="4" w:space="0"/>
            </w:tcBorders>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1</w:t>
            </w:r>
            <w:r>
              <w:rPr>
                <w:sz w:val="18"/>
                <w:szCs w:val="18"/>
                <w:highlight w:val="none"/>
              </w:rPr>
              <w:t>5</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default"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6754" w:type="dxa"/>
            <w:tcBorders>
              <w:top w:val="single" w:color="auto" w:sz="4" w:space="0"/>
              <w:bottom w:val="single" w:color="auto" w:sz="4" w:space="0"/>
            </w:tcBorders>
            <w:noWrap w:val="0"/>
            <w:vAlign w:val="center"/>
          </w:tcPr>
          <w:p>
            <w:pPr>
              <w:adjustRightInd w:val="0"/>
              <w:snapToGrid w:val="0"/>
              <w:spacing w:line="240" w:lineRule="atLeast"/>
              <w:ind w:firstLine="0" w:firstLineChars="0"/>
              <w:rPr>
                <w:iCs/>
                <w:sz w:val="18"/>
                <w:szCs w:val="18"/>
                <w:highlight w:val="none"/>
              </w:rPr>
            </w:pPr>
            <w:r>
              <w:rPr>
                <w:rFonts w:hint="eastAsia"/>
                <w:iCs/>
                <w:sz w:val="18"/>
                <w:szCs w:val="18"/>
                <w:highlight w:val="none"/>
              </w:rPr>
              <w:t>工厂的环境管理体系应满足GB/T24001的要求。</w:t>
            </w:r>
          </w:p>
        </w:tc>
        <w:tc>
          <w:tcPr>
            <w:tcW w:w="1418" w:type="dxa"/>
            <w:tcBorders>
              <w:top w:val="single" w:color="auto" w:sz="4" w:space="0"/>
              <w:bottom w:val="single" w:color="auto" w:sz="4" w:space="0"/>
            </w:tcBorders>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tcBorders>
              <w:top w:val="single" w:color="auto" w:sz="4" w:space="0"/>
            </w:tcBorders>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1</w:t>
            </w:r>
            <w:r>
              <w:rPr>
                <w:sz w:val="18"/>
                <w:szCs w:val="18"/>
                <w:highlight w:val="none"/>
              </w:rPr>
              <w:t>0</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tcBorders>
              <w:bottom w:val="single" w:color="auto" w:sz="4" w:space="0"/>
            </w:tcBorders>
            <w:noWrap w:val="0"/>
            <w:vAlign w:val="center"/>
          </w:tcPr>
          <w:p>
            <w:pPr>
              <w:adjustRightInd w:val="0"/>
              <w:snapToGrid w:val="0"/>
              <w:spacing w:line="240" w:lineRule="atLeast"/>
              <w:ind w:firstLine="0" w:firstLineChars="0"/>
              <w:jc w:val="center"/>
              <w:rPr>
                <w:rFonts w:hint="default"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6754" w:type="dxa"/>
            <w:tcBorders>
              <w:top w:val="single" w:color="auto" w:sz="4" w:space="0"/>
            </w:tcBorders>
            <w:noWrap w:val="0"/>
            <w:vAlign w:val="center"/>
          </w:tcPr>
          <w:p>
            <w:pPr>
              <w:adjustRightInd w:val="0"/>
              <w:snapToGrid w:val="0"/>
              <w:spacing w:line="240" w:lineRule="atLeast"/>
              <w:ind w:firstLine="0" w:firstLineChars="0"/>
              <w:rPr>
                <w:iCs/>
                <w:sz w:val="18"/>
                <w:szCs w:val="18"/>
                <w:highlight w:val="none"/>
              </w:rPr>
            </w:pPr>
            <w:r>
              <w:rPr>
                <w:rFonts w:hint="eastAsia"/>
                <w:iCs/>
                <w:sz w:val="18"/>
                <w:szCs w:val="18"/>
                <w:highlight w:val="none"/>
              </w:rPr>
              <w:t>工厂宜获得环境管理体系第三方认证。</w:t>
            </w:r>
          </w:p>
        </w:tc>
        <w:tc>
          <w:tcPr>
            <w:tcW w:w="1418" w:type="dxa"/>
            <w:tcBorders>
              <w:top w:val="single" w:color="auto" w:sz="4" w:space="0"/>
            </w:tcBorders>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5</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tcBorders>
              <w:top w:val="single" w:color="auto" w:sz="4" w:space="0"/>
            </w:tcBorders>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restart"/>
            <w:noWrap w:val="0"/>
            <w:vAlign w:val="center"/>
          </w:tcPr>
          <w:p>
            <w:pPr>
              <w:pStyle w:val="128"/>
              <w:spacing w:line="240" w:lineRule="atLeast"/>
              <w:ind w:firstLine="0" w:firstLineChars="0"/>
              <w:jc w:val="center"/>
              <w:rPr>
                <w:rFonts w:ascii="Times New Roman" w:hAnsi="Times New Roman" w:eastAsia="宋体"/>
                <w:sz w:val="18"/>
                <w:szCs w:val="18"/>
                <w:highlight w:val="none"/>
              </w:rPr>
            </w:pPr>
            <w:r>
              <w:rPr>
                <w:rFonts w:ascii="Times New Roman" w:hAnsi="Times New Roman" w:eastAsia="宋体"/>
                <w:sz w:val="18"/>
                <w:szCs w:val="18"/>
                <w:highlight w:val="none"/>
              </w:rPr>
              <w:t>能源管理体系</w:t>
            </w:r>
          </w:p>
        </w:tc>
        <w:tc>
          <w:tcPr>
            <w:tcW w:w="6754" w:type="dxa"/>
            <w:noWrap w:val="0"/>
            <w:vAlign w:val="center"/>
          </w:tcPr>
          <w:p>
            <w:pPr>
              <w:pStyle w:val="128"/>
              <w:spacing w:line="240" w:lineRule="atLeast"/>
              <w:ind w:firstLine="0" w:firstLineChars="0"/>
              <w:rPr>
                <w:rFonts w:ascii="Times New Roman" w:hAnsi="Times New Roman" w:eastAsia="宋体"/>
                <w:sz w:val="18"/>
                <w:szCs w:val="18"/>
                <w:highlight w:val="none"/>
              </w:rPr>
            </w:pPr>
            <w:r>
              <w:rPr>
                <w:rFonts w:hint="eastAsia" w:ascii="Times New Roman" w:hAnsi="Times New Roman" w:eastAsia="宋体"/>
                <w:sz w:val="18"/>
                <w:szCs w:val="18"/>
                <w:highlight w:val="none"/>
              </w:rPr>
              <w:t>工厂应建立、实施并保持能源管理体系。</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restart"/>
            <w:noWrap w:val="0"/>
            <w:vAlign w:val="center"/>
          </w:tcPr>
          <w:p>
            <w:pPr>
              <w:pStyle w:val="128"/>
              <w:spacing w:line="240" w:lineRule="atLeast"/>
              <w:ind w:firstLine="0" w:firstLineChars="0"/>
              <w:jc w:val="center"/>
              <w:rPr>
                <w:rFonts w:ascii="Times New Roman" w:hAnsi="Times New Roman" w:eastAsia="宋体"/>
                <w:sz w:val="18"/>
                <w:szCs w:val="18"/>
                <w:highlight w:val="none"/>
              </w:rPr>
            </w:pPr>
            <w:r>
              <w:rPr>
                <w:rFonts w:hint="eastAsia" w:ascii="Times New Roman" w:hAnsi="Times New Roman" w:eastAsia="宋体"/>
                <w:sz w:val="18"/>
                <w:szCs w:val="18"/>
                <w:highlight w:val="none"/>
                <w:lang w:val="en-US" w:eastAsia="zh-CN"/>
              </w:rPr>
              <w:t>零整</w:t>
            </w:r>
          </w:p>
        </w:tc>
        <w:tc>
          <w:tcPr>
            <w:tcW w:w="709"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5</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tcBorders>
              <w:bottom w:val="single" w:color="auto" w:sz="4" w:space="0"/>
            </w:tcBorders>
            <w:noWrap w:val="0"/>
            <w:vAlign w:val="center"/>
          </w:tcPr>
          <w:p>
            <w:pPr>
              <w:pStyle w:val="128"/>
              <w:spacing w:line="240" w:lineRule="atLeast"/>
              <w:ind w:firstLine="0" w:firstLineChars="0"/>
              <w:rPr>
                <w:rFonts w:ascii="Times New Roman" w:hAnsi="Times New Roman" w:eastAsia="宋体"/>
                <w:sz w:val="18"/>
                <w:szCs w:val="18"/>
                <w:highlight w:val="none"/>
              </w:rPr>
            </w:pPr>
            <w:r>
              <w:rPr>
                <w:rFonts w:hint="eastAsia" w:ascii="Times New Roman" w:hAnsi="Times New Roman" w:eastAsia="宋体"/>
                <w:sz w:val="18"/>
                <w:szCs w:val="18"/>
                <w:highlight w:val="none"/>
              </w:rPr>
              <w:t>工厂的能源管理体系应满足</w:t>
            </w:r>
            <w:r>
              <w:rPr>
                <w:rFonts w:ascii="Times New Roman" w:hAnsi="Times New Roman" w:eastAsia="宋体"/>
                <w:sz w:val="18"/>
                <w:szCs w:val="18"/>
                <w:highlight w:val="none"/>
              </w:rPr>
              <w:t>GB/T 23331的要求。</w:t>
            </w:r>
          </w:p>
        </w:tc>
        <w:tc>
          <w:tcPr>
            <w:tcW w:w="1418" w:type="dxa"/>
            <w:tcBorders>
              <w:bottom w:val="single" w:color="auto" w:sz="4" w:space="0"/>
            </w:tcBorders>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tcBorders>
              <w:bottom w:val="single" w:color="auto" w:sz="4" w:space="0"/>
            </w:tcBorders>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5</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vMerge w:val="restart"/>
            <w:noWrap w:val="0"/>
            <w:vAlign w:val="center"/>
          </w:tcPr>
          <w:p>
            <w:pPr>
              <w:adjustRightInd w:val="0"/>
              <w:snapToGrid w:val="0"/>
              <w:spacing w:line="240" w:lineRule="atLeast"/>
              <w:ind w:firstLine="0" w:firstLineChars="0"/>
              <w:jc w:val="center"/>
              <w:rPr>
                <w:rFonts w:hint="default"/>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tcBorders>
              <w:top w:val="single" w:color="auto" w:sz="4" w:space="0"/>
            </w:tcBorders>
            <w:noWrap w:val="0"/>
            <w:vAlign w:val="center"/>
          </w:tcPr>
          <w:p>
            <w:pPr>
              <w:pStyle w:val="128"/>
              <w:spacing w:line="240" w:lineRule="atLeast"/>
              <w:ind w:firstLine="0" w:firstLineChars="0"/>
              <w:rPr>
                <w:rFonts w:ascii="Times New Roman" w:hAnsi="Times New Roman" w:eastAsia="宋体"/>
                <w:sz w:val="18"/>
                <w:szCs w:val="18"/>
                <w:highlight w:val="none"/>
              </w:rPr>
            </w:pPr>
            <w:r>
              <w:rPr>
                <w:rFonts w:hint="eastAsia" w:ascii="Times New Roman" w:hAnsi="Times New Roman" w:eastAsia="宋体"/>
                <w:sz w:val="18"/>
                <w:szCs w:val="18"/>
                <w:highlight w:val="none"/>
              </w:rPr>
              <w:t>工厂宜按照RB/T 117的要求获得能源管理体系第三方认证。</w:t>
            </w:r>
          </w:p>
        </w:tc>
        <w:tc>
          <w:tcPr>
            <w:tcW w:w="1418" w:type="dxa"/>
            <w:tcBorders>
              <w:top w:val="single" w:color="auto" w:sz="4" w:space="0"/>
            </w:tcBorders>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tcBorders>
              <w:top w:val="single" w:color="auto" w:sz="4" w:space="0"/>
            </w:tcBorders>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4</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vMerge w:val="continue"/>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0"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restart"/>
            <w:noWrap w:val="0"/>
            <w:vAlign w:val="center"/>
          </w:tcPr>
          <w:p>
            <w:pPr>
              <w:pStyle w:val="128"/>
              <w:spacing w:line="240" w:lineRule="atLeast"/>
              <w:ind w:firstLine="0" w:firstLineChars="0"/>
              <w:jc w:val="center"/>
              <w:rPr>
                <w:rFonts w:ascii="Times New Roman" w:hAnsi="Times New Roman" w:eastAsia="宋体"/>
                <w:sz w:val="18"/>
                <w:szCs w:val="18"/>
                <w:highlight w:val="none"/>
              </w:rPr>
            </w:pPr>
            <w:r>
              <w:rPr>
                <w:rFonts w:ascii="Times New Roman" w:hAnsi="Times New Roman" w:eastAsia="宋体"/>
                <w:sz w:val="18"/>
                <w:szCs w:val="18"/>
                <w:highlight w:val="none"/>
              </w:rPr>
              <w:t>安全标</w:t>
            </w:r>
          </w:p>
          <w:p>
            <w:pPr>
              <w:pStyle w:val="128"/>
              <w:spacing w:line="240" w:lineRule="atLeast"/>
              <w:ind w:firstLine="0" w:firstLineChars="0"/>
              <w:jc w:val="center"/>
              <w:rPr>
                <w:rFonts w:ascii="Times New Roman" w:hAnsi="Times New Roman" w:eastAsia="宋体"/>
                <w:sz w:val="18"/>
                <w:szCs w:val="18"/>
                <w:highlight w:val="none"/>
              </w:rPr>
            </w:pPr>
            <w:r>
              <w:rPr>
                <w:rFonts w:ascii="Times New Roman" w:hAnsi="Times New Roman" w:eastAsia="宋体"/>
                <w:sz w:val="18"/>
                <w:szCs w:val="18"/>
                <w:highlight w:val="none"/>
              </w:rPr>
              <w:t>准化管</w:t>
            </w:r>
          </w:p>
          <w:p>
            <w:pPr>
              <w:pStyle w:val="128"/>
              <w:spacing w:line="240" w:lineRule="atLeast"/>
              <w:ind w:firstLine="0" w:firstLineChars="0"/>
              <w:jc w:val="center"/>
              <w:rPr>
                <w:rFonts w:ascii="Times New Roman" w:hAnsi="Times New Roman" w:eastAsia="宋体"/>
                <w:sz w:val="18"/>
                <w:szCs w:val="18"/>
                <w:highlight w:val="none"/>
              </w:rPr>
            </w:pPr>
            <w:r>
              <w:rPr>
                <w:rFonts w:ascii="Times New Roman" w:hAnsi="Times New Roman" w:eastAsia="宋体"/>
                <w:sz w:val="18"/>
                <w:szCs w:val="18"/>
                <w:highlight w:val="none"/>
              </w:rPr>
              <w:t>理体系</w:t>
            </w:r>
          </w:p>
        </w:tc>
        <w:tc>
          <w:tcPr>
            <w:tcW w:w="6754" w:type="dxa"/>
            <w:noWrap w:val="0"/>
            <w:vAlign w:val="center"/>
          </w:tcPr>
          <w:p>
            <w:pPr>
              <w:adjustRightInd w:val="0"/>
              <w:snapToGrid w:val="0"/>
              <w:spacing w:line="240" w:lineRule="atLeast"/>
              <w:ind w:firstLine="0" w:firstLineChars="0"/>
              <w:rPr>
                <w:color w:val="auto"/>
                <w:sz w:val="18"/>
                <w:szCs w:val="18"/>
                <w:highlight w:val="none"/>
              </w:rPr>
            </w:pPr>
            <w:r>
              <w:rPr>
                <w:color w:val="auto"/>
                <w:sz w:val="18"/>
                <w:szCs w:val="18"/>
                <w:highlight w:val="none"/>
              </w:rPr>
              <w:t>工厂宜建立、实施并保持安全生产标准化管理体系。</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restart"/>
            <w:noWrap w:val="0"/>
            <w:vAlign w:val="center"/>
          </w:tcPr>
          <w:p>
            <w:pPr>
              <w:pStyle w:val="128"/>
              <w:spacing w:line="240" w:lineRule="atLeast"/>
              <w:ind w:firstLine="0" w:firstLineChars="0"/>
              <w:jc w:val="center"/>
              <w:rPr>
                <w:rFonts w:hint="eastAsia" w:ascii="Times New Roman" w:hAnsi="Times New Roman" w:eastAsia="宋体"/>
                <w:sz w:val="18"/>
                <w:szCs w:val="18"/>
                <w:highlight w:val="none"/>
                <w:lang w:val="en-US" w:eastAsia="zh-CN"/>
              </w:rPr>
            </w:pPr>
            <w:r>
              <w:rPr>
                <w:rFonts w:hint="eastAsia" w:ascii="Times New Roman" w:hAnsi="Times New Roman" w:eastAsia="宋体"/>
                <w:sz w:val="18"/>
                <w:szCs w:val="18"/>
                <w:highlight w:val="none"/>
                <w:lang w:val="en-US" w:eastAsia="zh-CN"/>
              </w:rPr>
              <w:t>取值</w:t>
            </w:r>
          </w:p>
        </w:tc>
        <w:tc>
          <w:tcPr>
            <w:tcW w:w="709" w:type="dxa"/>
            <w:noWrap w:val="0"/>
            <w:vAlign w:val="center"/>
          </w:tcPr>
          <w:p>
            <w:pPr>
              <w:tabs>
                <w:tab w:val="center" w:pos="4153"/>
                <w:tab w:val="right" w:pos="8306"/>
              </w:tabs>
              <w:adjustRightInd w:val="0"/>
              <w:snapToGrid w:val="0"/>
              <w:spacing w:line="240" w:lineRule="atLeast"/>
              <w:ind w:firstLine="0" w:firstLineChars="0"/>
              <w:jc w:val="center"/>
              <w:rPr>
                <w:sz w:val="18"/>
                <w:szCs w:val="18"/>
                <w:highlight w:val="none"/>
              </w:rPr>
            </w:pPr>
            <w:r>
              <w:rPr>
                <w:rFonts w:hint="eastAsia"/>
                <w:sz w:val="18"/>
                <w:szCs w:val="18"/>
                <w:highlight w:val="none"/>
              </w:rPr>
              <w:t>4</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91"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adjustRightInd w:val="0"/>
              <w:snapToGrid w:val="0"/>
              <w:spacing w:line="240" w:lineRule="atLeast"/>
              <w:ind w:firstLine="0" w:firstLineChars="0"/>
              <w:rPr>
                <w:color w:val="auto"/>
                <w:sz w:val="18"/>
                <w:szCs w:val="18"/>
                <w:highlight w:val="none"/>
              </w:rPr>
            </w:pPr>
            <w:r>
              <w:rPr>
                <w:color w:val="auto"/>
                <w:sz w:val="18"/>
                <w:szCs w:val="18"/>
                <w:highlight w:val="none"/>
              </w:rPr>
              <w:t>工厂的安全生产标准化管理体系宜满足GB/T 33000的要求。</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noWrap w:val="0"/>
            <w:vAlign w:val="center"/>
          </w:tcPr>
          <w:p>
            <w:pPr>
              <w:tabs>
                <w:tab w:val="center" w:pos="4153"/>
                <w:tab w:val="right" w:pos="8306"/>
              </w:tabs>
              <w:adjustRightInd w:val="0"/>
              <w:snapToGrid w:val="0"/>
              <w:spacing w:line="240" w:lineRule="atLeast"/>
              <w:ind w:firstLine="0" w:firstLineChars="0"/>
              <w:jc w:val="center"/>
              <w:rPr>
                <w:sz w:val="18"/>
                <w:szCs w:val="18"/>
                <w:highlight w:val="none"/>
              </w:rPr>
            </w:pPr>
            <w:r>
              <w:rPr>
                <w:rFonts w:hint="eastAsia"/>
                <w:sz w:val="18"/>
                <w:szCs w:val="18"/>
                <w:highlight w:val="none"/>
              </w:rPr>
              <w:t>4</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adjustRightInd w:val="0"/>
              <w:snapToGrid w:val="0"/>
              <w:spacing w:line="240" w:lineRule="atLeast"/>
              <w:ind w:firstLine="0" w:firstLineChars="0"/>
              <w:rPr>
                <w:color w:val="auto"/>
                <w:sz w:val="18"/>
                <w:szCs w:val="18"/>
                <w:highlight w:val="none"/>
              </w:rPr>
            </w:pPr>
            <w:r>
              <w:rPr>
                <w:color w:val="auto"/>
                <w:sz w:val="18"/>
                <w:szCs w:val="18"/>
                <w:highlight w:val="none"/>
              </w:rPr>
              <w:t>工厂宜通过安全生产标准化管理体系</w:t>
            </w:r>
            <w:r>
              <w:rPr>
                <w:rFonts w:hint="eastAsia"/>
                <w:color w:val="auto"/>
                <w:sz w:val="18"/>
                <w:szCs w:val="18"/>
                <w:highlight w:val="none"/>
              </w:rPr>
              <w:t>外部评审，并获得应急管理部门颁发相应级别证书</w:t>
            </w:r>
            <w:r>
              <w:rPr>
                <w:color w:val="auto"/>
                <w:sz w:val="18"/>
                <w:szCs w:val="18"/>
                <w:highlight w:val="none"/>
              </w:rPr>
              <w:t>。</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noWrap w:val="0"/>
            <w:vAlign w:val="center"/>
          </w:tcPr>
          <w:p>
            <w:pPr>
              <w:tabs>
                <w:tab w:val="center" w:pos="4153"/>
                <w:tab w:val="right" w:pos="8306"/>
              </w:tabs>
              <w:adjustRightInd w:val="0"/>
              <w:snapToGrid w:val="0"/>
              <w:spacing w:line="240" w:lineRule="atLeast"/>
              <w:ind w:firstLine="0" w:firstLineChars="0"/>
              <w:jc w:val="center"/>
              <w:rPr>
                <w:sz w:val="18"/>
                <w:szCs w:val="18"/>
                <w:highlight w:val="none"/>
              </w:rPr>
            </w:pPr>
            <w:r>
              <w:rPr>
                <w:rFonts w:hint="eastAsia"/>
                <w:sz w:val="18"/>
                <w:szCs w:val="18"/>
                <w:highlight w:val="none"/>
              </w:rPr>
              <w:t>4</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restart"/>
            <w:noWrap w:val="0"/>
            <w:vAlign w:val="center"/>
          </w:tcPr>
          <w:p>
            <w:pPr>
              <w:pStyle w:val="128"/>
              <w:spacing w:line="240" w:lineRule="atLeast"/>
              <w:ind w:firstLine="0" w:firstLineChars="0"/>
              <w:jc w:val="both"/>
              <w:rPr>
                <w:rFonts w:hint="default" w:ascii="Times New Roman" w:hAnsi="Times New Roman" w:eastAsia="宋体"/>
                <w:sz w:val="18"/>
                <w:szCs w:val="18"/>
                <w:highlight w:val="none"/>
              </w:rPr>
            </w:pPr>
            <w:r>
              <w:rPr>
                <w:rFonts w:hint="default" w:ascii="Times New Roman" w:hAnsi="Times New Roman" w:eastAsia="宋体"/>
                <w:sz w:val="18"/>
                <w:szCs w:val="18"/>
                <w:highlight w:val="none"/>
                <w:lang w:val="en-US" w:eastAsia="zh-CN"/>
              </w:rPr>
              <w:t>知识产权</w:t>
            </w:r>
            <w:r>
              <w:rPr>
                <w:rFonts w:hint="default" w:ascii="Times New Roman" w:hAnsi="Times New Roman" w:eastAsia="宋体"/>
                <w:sz w:val="18"/>
                <w:szCs w:val="18"/>
                <w:highlight w:val="none"/>
              </w:rPr>
              <w:t>标准化管理体系</w:t>
            </w:r>
          </w:p>
          <w:p>
            <w:pPr>
              <w:pStyle w:val="128"/>
              <w:spacing w:line="240" w:lineRule="atLeast"/>
              <w:ind w:firstLine="0" w:firstLineChars="0"/>
              <w:jc w:val="center"/>
              <w:rPr>
                <w:rFonts w:ascii="Times New Roman" w:hAnsi="Times New Roman" w:eastAsia="宋体"/>
                <w:sz w:val="18"/>
                <w:szCs w:val="18"/>
                <w:highlight w:val="none"/>
              </w:rPr>
            </w:pPr>
          </w:p>
        </w:tc>
        <w:tc>
          <w:tcPr>
            <w:tcW w:w="6754" w:type="dxa"/>
            <w:noWrap w:val="0"/>
            <w:vAlign w:val="center"/>
          </w:tcPr>
          <w:p>
            <w:pPr>
              <w:pStyle w:val="128"/>
              <w:spacing w:line="240" w:lineRule="atLeast"/>
              <w:ind w:firstLine="0" w:firstLineChars="0"/>
              <w:jc w:val="both"/>
              <w:rPr>
                <w:rFonts w:ascii="Times New Roman" w:hAnsi="Times New Roman" w:eastAsia="宋体"/>
                <w:color w:val="auto"/>
                <w:sz w:val="18"/>
                <w:szCs w:val="18"/>
                <w:highlight w:val="none"/>
              </w:rPr>
            </w:pPr>
            <w:r>
              <w:rPr>
                <w:rFonts w:ascii="Times New Roman" w:hAnsi="Times New Roman" w:eastAsia="宋体"/>
                <w:color w:val="auto"/>
                <w:kern w:val="2"/>
                <w:sz w:val="18"/>
                <w:szCs w:val="18"/>
                <w:highlight w:val="none"/>
              </w:rPr>
              <w:t>工厂宜建立、实施并保持</w:t>
            </w:r>
            <w:r>
              <w:rPr>
                <w:rFonts w:hint="default" w:ascii="Times New Roman" w:hAnsi="Times New Roman" w:eastAsia="宋体"/>
                <w:color w:val="auto"/>
                <w:kern w:val="2"/>
                <w:sz w:val="18"/>
                <w:szCs w:val="18"/>
                <w:highlight w:val="none"/>
                <w:lang w:val="en-US" w:eastAsia="zh-CN"/>
              </w:rPr>
              <w:t>知识产权</w:t>
            </w:r>
            <w:r>
              <w:rPr>
                <w:rFonts w:ascii="Times New Roman" w:hAnsi="Times New Roman" w:eastAsia="宋体"/>
                <w:color w:val="auto"/>
                <w:kern w:val="2"/>
                <w:sz w:val="18"/>
                <w:szCs w:val="18"/>
                <w:highlight w:val="none"/>
              </w:rPr>
              <w:t>标准化管理体系。</w:t>
            </w:r>
          </w:p>
        </w:tc>
        <w:tc>
          <w:tcPr>
            <w:tcW w:w="1418" w:type="dxa"/>
            <w:noWrap w:val="0"/>
            <w:vAlign w:val="center"/>
          </w:tcPr>
          <w:p>
            <w:pPr>
              <w:pStyle w:val="128"/>
              <w:spacing w:line="240" w:lineRule="atLeast"/>
              <w:ind w:firstLine="0" w:firstLineChars="0"/>
              <w:rPr>
                <w:rFonts w:hint="eastAsia" w:ascii="Times New Roman" w:hAnsi="Times New Roman" w:eastAsia="宋体"/>
                <w:sz w:val="18"/>
                <w:szCs w:val="18"/>
                <w:highlight w:val="none"/>
                <w:lang w:val="en-US" w:eastAsia="zh-CN"/>
              </w:rPr>
            </w:pPr>
          </w:p>
        </w:tc>
        <w:tc>
          <w:tcPr>
            <w:tcW w:w="992" w:type="dxa"/>
            <w:vMerge w:val="restart"/>
            <w:noWrap w:val="0"/>
            <w:vAlign w:val="center"/>
          </w:tcPr>
          <w:p>
            <w:pPr>
              <w:pStyle w:val="128"/>
              <w:spacing w:line="240" w:lineRule="atLeast"/>
              <w:ind w:firstLine="0" w:firstLineChars="0"/>
              <w:jc w:val="center"/>
              <w:rPr>
                <w:rFonts w:hint="eastAsia" w:ascii="Times New Roman" w:hAnsi="Times New Roman" w:eastAsia="宋体"/>
                <w:sz w:val="18"/>
                <w:szCs w:val="18"/>
                <w:highlight w:val="none"/>
                <w:lang w:val="en-US" w:eastAsia="zh-CN"/>
              </w:rPr>
            </w:pPr>
            <w:r>
              <w:rPr>
                <w:rFonts w:hint="eastAsia" w:ascii="Times New Roman" w:hAnsi="Times New Roman" w:eastAsia="宋体"/>
                <w:sz w:val="18"/>
                <w:szCs w:val="18"/>
                <w:highlight w:val="none"/>
                <w:lang w:val="en-US" w:eastAsia="zh-CN"/>
              </w:rPr>
              <w:t>加分</w:t>
            </w:r>
          </w:p>
        </w:tc>
        <w:tc>
          <w:tcPr>
            <w:tcW w:w="709" w:type="dxa"/>
            <w:noWrap w:val="0"/>
            <w:vAlign w:val="center"/>
          </w:tcPr>
          <w:p>
            <w:pPr>
              <w:tabs>
                <w:tab w:val="center" w:pos="4153"/>
                <w:tab w:val="right" w:pos="8306"/>
              </w:tabs>
              <w:adjustRightInd w:val="0"/>
              <w:snapToGrid w:val="0"/>
              <w:spacing w:line="240" w:lineRule="atLeast"/>
              <w:ind w:firstLine="0" w:firstLineChars="0"/>
              <w:jc w:val="center"/>
              <w:rPr>
                <w:rFonts w:hint="eastAsia" w:eastAsia="宋体"/>
                <w:sz w:val="18"/>
                <w:szCs w:val="18"/>
                <w:highlight w:val="none"/>
                <w:lang w:val="en-US" w:eastAsia="zh-CN"/>
              </w:rPr>
            </w:pPr>
            <w:r>
              <w:rPr>
                <w:rFonts w:hint="eastAsia"/>
                <w:sz w:val="18"/>
                <w:szCs w:val="18"/>
                <w:highlight w:val="none"/>
                <w:lang w:val="en-US" w:eastAsia="zh-CN"/>
              </w:rPr>
              <w:t>4</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6754" w:type="dxa"/>
            <w:noWrap w:val="0"/>
            <w:vAlign w:val="center"/>
          </w:tcPr>
          <w:p>
            <w:pPr>
              <w:pStyle w:val="128"/>
              <w:spacing w:line="240" w:lineRule="atLeast"/>
              <w:ind w:firstLine="0" w:firstLineChars="0"/>
              <w:jc w:val="both"/>
              <w:rPr>
                <w:rFonts w:ascii="Times New Roman" w:hAnsi="Times New Roman" w:eastAsia="宋体"/>
                <w:color w:val="auto"/>
                <w:sz w:val="18"/>
                <w:szCs w:val="18"/>
                <w:highlight w:val="none"/>
              </w:rPr>
            </w:pPr>
            <w:r>
              <w:rPr>
                <w:rFonts w:ascii="Times New Roman" w:hAnsi="Times New Roman" w:eastAsia="宋体"/>
                <w:sz w:val="18"/>
                <w:szCs w:val="18"/>
                <w:highlight w:val="none"/>
              </w:rPr>
              <w:t>工厂的</w:t>
            </w:r>
            <w:r>
              <w:rPr>
                <w:rFonts w:hint="default" w:ascii="Times New Roman" w:hAnsi="Times New Roman" w:eastAsia="宋体"/>
                <w:sz w:val="18"/>
                <w:szCs w:val="18"/>
                <w:highlight w:val="none"/>
                <w:lang w:val="en-US" w:eastAsia="zh-CN"/>
              </w:rPr>
              <w:t>知识产权</w:t>
            </w:r>
            <w:r>
              <w:rPr>
                <w:rFonts w:ascii="Times New Roman" w:hAnsi="Times New Roman" w:eastAsia="宋体"/>
                <w:sz w:val="18"/>
                <w:szCs w:val="18"/>
                <w:highlight w:val="none"/>
              </w:rPr>
              <w:t xml:space="preserve">标准化管理体系宜满足GB/T </w:t>
            </w:r>
            <w:r>
              <w:rPr>
                <w:rFonts w:hint="default" w:ascii="Times New Roman" w:hAnsi="Times New Roman" w:eastAsia="宋体"/>
                <w:sz w:val="18"/>
                <w:szCs w:val="18"/>
                <w:highlight w:val="none"/>
                <w:lang w:val="en-US" w:eastAsia="zh-CN"/>
              </w:rPr>
              <w:t>29490</w:t>
            </w:r>
            <w:r>
              <w:rPr>
                <w:rFonts w:ascii="Times New Roman" w:hAnsi="Times New Roman" w:eastAsia="宋体"/>
                <w:sz w:val="18"/>
                <w:szCs w:val="18"/>
                <w:highlight w:val="none"/>
              </w:rPr>
              <w:t>的要求。</w:t>
            </w:r>
          </w:p>
        </w:tc>
        <w:tc>
          <w:tcPr>
            <w:tcW w:w="1418" w:type="dxa"/>
            <w:noWrap w:val="0"/>
            <w:vAlign w:val="center"/>
          </w:tcPr>
          <w:p>
            <w:pPr>
              <w:pStyle w:val="128"/>
              <w:spacing w:line="240" w:lineRule="atLeast"/>
              <w:ind w:firstLine="0" w:firstLineChars="0"/>
              <w:rPr>
                <w:rFonts w:hint="eastAsia" w:ascii="Times New Roman" w:hAnsi="Times New Roman" w:eastAsia="宋体"/>
                <w:sz w:val="18"/>
                <w:szCs w:val="18"/>
                <w:highlight w:val="none"/>
                <w:lang w:val="en-US" w:eastAsia="zh-CN"/>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noWrap w:val="0"/>
            <w:vAlign w:val="center"/>
          </w:tcPr>
          <w:p>
            <w:pPr>
              <w:tabs>
                <w:tab w:val="center" w:pos="4153"/>
                <w:tab w:val="right" w:pos="8306"/>
              </w:tabs>
              <w:adjustRightInd w:val="0"/>
              <w:snapToGrid w:val="0"/>
              <w:spacing w:line="240" w:lineRule="atLeast"/>
              <w:ind w:firstLine="0" w:firstLineChars="0"/>
              <w:jc w:val="center"/>
              <w:rPr>
                <w:rFonts w:hint="eastAsia" w:eastAsia="宋体"/>
                <w:sz w:val="18"/>
                <w:szCs w:val="18"/>
                <w:highlight w:val="none"/>
                <w:lang w:val="en-US" w:eastAsia="zh-CN"/>
              </w:rPr>
            </w:pPr>
            <w:r>
              <w:rPr>
                <w:rFonts w:hint="eastAsia"/>
                <w:sz w:val="18"/>
                <w:szCs w:val="18"/>
                <w:highlight w:val="none"/>
                <w:lang w:val="en-US" w:eastAsia="zh-CN"/>
              </w:rPr>
              <w:t>4</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6754" w:type="dxa"/>
            <w:noWrap w:val="0"/>
            <w:vAlign w:val="center"/>
          </w:tcPr>
          <w:p>
            <w:pPr>
              <w:pStyle w:val="128"/>
              <w:spacing w:line="240" w:lineRule="atLeast"/>
              <w:ind w:firstLine="0" w:firstLineChars="0"/>
              <w:jc w:val="both"/>
              <w:rPr>
                <w:rFonts w:ascii="Times New Roman" w:hAnsi="Times New Roman" w:eastAsia="宋体"/>
                <w:color w:val="auto"/>
                <w:sz w:val="18"/>
                <w:szCs w:val="18"/>
                <w:highlight w:val="none"/>
              </w:rPr>
            </w:pPr>
            <w:r>
              <w:rPr>
                <w:rFonts w:ascii="Times New Roman" w:hAnsi="Times New Roman" w:eastAsia="宋体"/>
                <w:sz w:val="18"/>
                <w:szCs w:val="18"/>
                <w:highlight w:val="none"/>
              </w:rPr>
              <w:t>工厂宜通过</w:t>
            </w:r>
            <w:r>
              <w:rPr>
                <w:rFonts w:hint="default" w:ascii="Times New Roman" w:hAnsi="Times New Roman" w:eastAsia="宋体"/>
                <w:sz w:val="18"/>
                <w:szCs w:val="18"/>
                <w:highlight w:val="none"/>
                <w:lang w:val="en-US" w:eastAsia="zh-CN"/>
              </w:rPr>
              <w:t>外部组织对知识产权</w:t>
            </w:r>
            <w:r>
              <w:rPr>
                <w:rFonts w:ascii="Times New Roman" w:hAnsi="Times New Roman" w:eastAsia="宋体"/>
                <w:sz w:val="18"/>
                <w:szCs w:val="18"/>
                <w:highlight w:val="none"/>
              </w:rPr>
              <w:t>标准化管理体系</w:t>
            </w:r>
            <w:r>
              <w:rPr>
                <w:rFonts w:hint="default" w:ascii="Times New Roman" w:hAnsi="Times New Roman" w:eastAsia="宋体"/>
                <w:sz w:val="18"/>
                <w:szCs w:val="18"/>
                <w:highlight w:val="none"/>
                <w:lang w:val="en-US" w:eastAsia="zh-CN"/>
              </w:rPr>
              <w:t>评价</w:t>
            </w:r>
            <w:r>
              <w:rPr>
                <w:rFonts w:hint="default" w:ascii="Times New Roman" w:hAnsi="Times New Roman" w:eastAsia="宋体"/>
                <w:sz w:val="18"/>
                <w:szCs w:val="18"/>
                <w:highlight w:val="none"/>
              </w:rPr>
              <w:t>。</w:t>
            </w:r>
          </w:p>
        </w:tc>
        <w:tc>
          <w:tcPr>
            <w:tcW w:w="1418" w:type="dxa"/>
            <w:noWrap w:val="0"/>
            <w:vAlign w:val="center"/>
          </w:tcPr>
          <w:p>
            <w:pPr>
              <w:pStyle w:val="128"/>
              <w:spacing w:line="240" w:lineRule="atLeast"/>
              <w:ind w:firstLine="0" w:firstLineChars="0"/>
              <w:rPr>
                <w:rFonts w:hint="eastAsia" w:ascii="Times New Roman" w:hAnsi="Times New Roman" w:eastAsia="宋体"/>
                <w:sz w:val="18"/>
                <w:szCs w:val="18"/>
                <w:highlight w:val="none"/>
                <w:lang w:val="en-US" w:eastAsia="zh-CN"/>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noWrap w:val="0"/>
            <w:vAlign w:val="center"/>
          </w:tcPr>
          <w:p>
            <w:pPr>
              <w:tabs>
                <w:tab w:val="center" w:pos="4153"/>
                <w:tab w:val="right" w:pos="8306"/>
              </w:tabs>
              <w:adjustRightInd w:val="0"/>
              <w:snapToGrid w:val="0"/>
              <w:spacing w:line="240" w:lineRule="atLeast"/>
              <w:ind w:firstLine="0" w:firstLineChars="0"/>
              <w:jc w:val="center"/>
              <w:rPr>
                <w:rFonts w:hint="eastAsia" w:eastAsia="宋体"/>
                <w:sz w:val="18"/>
                <w:szCs w:val="18"/>
                <w:highlight w:val="none"/>
                <w:lang w:val="en-US" w:eastAsia="zh-CN"/>
              </w:rPr>
            </w:pPr>
            <w:r>
              <w:rPr>
                <w:rFonts w:hint="eastAsia"/>
                <w:sz w:val="18"/>
                <w:szCs w:val="18"/>
                <w:highlight w:val="none"/>
                <w:lang w:val="en-US" w:eastAsia="zh-CN"/>
              </w:rPr>
              <w:t>4</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noWrap w:val="0"/>
            <w:vAlign w:val="center"/>
          </w:tcPr>
          <w:p>
            <w:pPr>
              <w:pStyle w:val="128"/>
              <w:spacing w:line="240" w:lineRule="atLeast"/>
              <w:ind w:firstLine="0" w:firstLineChars="0"/>
              <w:jc w:val="center"/>
              <w:rPr>
                <w:rFonts w:ascii="Times New Roman" w:hAnsi="Times New Roman" w:eastAsia="宋体"/>
                <w:sz w:val="18"/>
                <w:szCs w:val="18"/>
                <w:highlight w:val="none"/>
              </w:rPr>
            </w:pPr>
            <w:r>
              <w:rPr>
                <w:rFonts w:ascii="Times New Roman" w:hAnsi="Times New Roman" w:eastAsia="宋体"/>
                <w:sz w:val="18"/>
                <w:szCs w:val="18"/>
                <w:highlight w:val="none"/>
              </w:rPr>
              <w:t>社会责任</w:t>
            </w:r>
          </w:p>
        </w:tc>
        <w:tc>
          <w:tcPr>
            <w:tcW w:w="6754" w:type="dxa"/>
            <w:noWrap w:val="0"/>
            <w:vAlign w:val="center"/>
          </w:tcPr>
          <w:p>
            <w:pPr>
              <w:pStyle w:val="128"/>
              <w:spacing w:line="240" w:lineRule="atLeast"/>
              <w:ind w:firstLine="0" w:firstLineChars="0"/>
              <w:jc w:val="center"/>
              <w:rPr>
                <w:rFonts w:ascii="Times New Roman" w:hAnsi="Times New Roman" w:eastAsia="宋体"/>
                <w:color w:val="auto"/>
                <w:sz w:val="18"/>
                <w:szCs w:val="18"/>
                <w:highlight w:val="none"/>
              </w:rPr>
            </w:pPr>
            <w:r>
              <w:rPr>
                <w:rFonts w:ascii="Times New Roman" w:hAnsi="Times New Roman" w:eastAsia="宋体"/>
                <w:color w:val="auto"/>
                <w:sz w:val="18"/>
                <w:szCs w:val="18"/>
                <w:highlight w:val="none"/>
              </w:rPr>
              <w:t>宜按照GB/T 36000</w:t>
            </w:r>
            <w:r>
              <w:rPr>
                <w:rFonts w:hint="eastAsia" w:ascii="Times New Roman" w:hAnsi="Times New Roman" w:eastAsia="宋体"/>
                <w:color w:val="auto"/>
                <w:sz w:val="18"/>
                <w:szCs w:val="18"/>
                <w:highlight w:val="none"/>
              </w:rPr>
              <w:t>的要求，</w:t>
            </w:r>
            <w:r>
              <w:rPr>
                <w:rFonts w:ascii="Times New Roman" w:hAnsi="Times New Roman" w:eastAsia="宋体"/>
                <w:color w:val="auto"/>
                <w:sz w:val="18"/>
                <w:szCs w:val="18"/>
                <w:highlight w:val="none"/>
              </w:rPr>
              <w:t>每年发布社会责任报告，说明履行利益相关方责任的情况，特别是环境社会责任的履行情况，报告公开可获得。</w:t>
            </w:r>
          </w:p>
        </w:tc>
        <w:tc>
          <w:tcPr>
            <w:tcW w:w="1418" w:type="dxa"/>
            <w:noWrap w:val="0"/>
            <w:vAlign w:val="center"/>
          </w:tcPr>
          <w:p>
            <w:pPr>
              <w:pStyle w:val="128"/>
              <w:spacing w:line="240" w:lineRule="atLeast"/>
              <w:ind w:firstLine="0" w:firstLineChars="0"/>
              <w:rPr>
                <w:rFonts w:hint="eastAsia" w:ascii="Times New Roman" w:hAnsi="Times New Roman" w:eastAsia="宋体"/>
                <w:sz w:val="18"/>
                <w:szCs w:val="18"/>
                <w:highlight w:val="none"/>
                <w:lang w:val="en-US" w:eastAsia="zh-CN"/>
              </w:rPr>
            </w:pPr>
          </w:p>
        </w:tc>
        <w:tc>
          <w:tcPr>
            <w:tcW w:w="992" w:type="dxa"/>
            <w:noWrap w:val="0"/>
            <w:vAlign w:val="center"/>
          </w:tcPr>
          <w:p>
            <w:pPr>
              <w:pStyle w:val="128"/>
              <w:spacing w:line="240" w:lineRule="atLeast"/>
              <w:ind w:firstLine="0" w:firstLineChars="0"/>
              <w:jc w:val="center"/>
              <w:rPr>
                <w:rFonts w:ascii="Times New Roman" w:hAnsi="Times New Roman" w:eastAsia="宋体"/>
                <w:sz w:val="18"/>
                <w:szCs w:val="18"/>
                <w:highlight w:val="none"/>
              </w:rPr>
            </w:pPr>
            <w:r>
              <w:rPr>
                <w:rFonts w:hint="eastAsia" w:ascii="Times New Roman" w:hAnsi="Times New Roman" w:eastAsia="宋体"/>
                <w:sz w:val="18"/>
                <w:szCs w:val="18"/>
                <w:highlight w:val="none"/>
                <w:lang w:val="en-US" w:eastAsia="zh-CN"/>
              </w:rPr>
              <w:t>取值</w:t>
            </w:r>
          </w:p>
        </w:tc>
        <w:tc>
          <w:tcPr>
            <w:tcW w:w="709" w:type="dxa"/>
            <w:noWrap w:val="0"/>
            <w:vAlign w:val="center"/>
          </w:tcPr>
          <w:p>
            <w:pPr>
              <w:tabs>
                <w:tab w:val="center" w:pos="4153"/>
                <w:tab w:val="right" w:pos="8306"/>
              </w:tabs>
              <w:adjustRightInd w:val="0"/>
              <w:snapToGrid w:val="0"/>
              <w:spacing w:line="240" w:lineRule="atLeast"/>
              <w:ind w:firstLine="0" w:firstLineChars="0"/>
              <w:jc w:val="center"/>
              <w:rPr>
                <w:sz w:val="18"/>
                <w:szCs w:val="18"/>
                <w:highlight w:val="none"/>
              </w:rPr>
            </w:pPr>
            <w:r>
              <w:rPr>
                <w:rFonts w:hint="eastAsia"/>
                <w:sz w:val="18"/>
                <w:szCs w:val="18"/>
                <w:highlight w:val="none"/>
              </w:rPr>
              <w:t>3</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restart"/>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3</w:t>
            </w:r>
          </w:p>
        </w:tc>
        <w:tc>
          <w:tcPr>
            <w:tcW w:w="1158" w:type="dxa"/>
            <w:vMerge w:val="restart"/>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能源资源投入</w:t>
            </w:r>
          </w:p>
        </w:tc>
        <w:tc>
          <w:tcPr>
            <w:tcW w:w="1193" w:type="dxa"/>
            <w:vMerge w:val="restart"/>
            <w:noWrap w:val="0"/>
            <w:vAlign w:val="center"/>
          </w:tcPr>
          <w:p>
            <w:pPr>
              <w:pStyle w:val="128"/>
              <w:spacing w:line="240" w:lineRule="atLeast"/>
              <w:ind w:firstLine="0" w:firstLineChars="0"/>
              <w:jc w:val="center"/>
              <w:rPr>
                <w:rFonts w:ascii="Times New Roman" w:hAnsi="Times New Roman" w:eastAsia="宋体"/>
                <w:sz w:val="18"/>
                <w:szCs w:val="18"/>
                <w:highlight w:val="none"/>
              </w:rPr>
            </w:pPr>
            <w:r>
              <w:rPr>
                <w:rFonts w:ascii="Times New Roman" w:hAnsi="Times New Roman" w:eastAsia="宋体"/>
                <w:sz w:val="18"/>
                <w:szCs w:val="18"/>
                <w:highlight w:val="none"/>
              </w:rPr>
              <w:t>能源投入</w:t>
            </w:r>
          </w:p>
        </w:tc>
        <w:tc>
          <w:tcPr>
            <w:tcW w:w="6754" w:type="dxa"/>
            <w:tcBorders>
              <w:bottom w:val="single" w:color="auto" w:sz="6" w:space="0"/>
            </w:tcBorders>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应优化用能结构，在保证安全、质量的前提下减少能源投入。</w:t>
            </w:r>
          </w:p>
        </w:tc>
        <w:tc>
          <w:tcPr>
            <w:tcW w:w="1418" w:type="dxa"/>
            <w:tcBorders>
              <w:bottom w:val="single" w:color="auto" w:sz="6" w:space="0"/>
            </w:tcBorders>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restart"/>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r>
              <w:rPr>
                <w:rFonts w:hint="eastAsia"/>
                <w:sz w:val="18"/>
                <w:szCs w:val="18"/>
                <w:highlight w:val="none"/>
                <w:lang w:val="en-US" w:eastAsia="zh-CN"/>
              </w:rPr>
              <w:t>零整</w:t>
            </w:r>
          </w:p>
        </w:tc>
        <w:tc>
          <w:tcPr>
            <w:tcW w:w="709" w:type="dxa"/>
            <w:tcBorders>
              <w:bottom w:val="single" w:color="auto" w:sz="6" w:space="0"/>
            </w:tcBorders>
            <w:noWrap w:val="0"/>
            <w:vAlign w:val="center"/>
          </w:tcPr>
          <w:p>
            <w:pPr>
              <w:adjustRightInd w:val="0"/>
              <w:snapToGrid w:val="0"/>
              <w:spacing w:line="240" w:lineRule="atLeast"/>
              <w:ind w:firstLine="0" w:firstLineChars="0"/>
              <w:jc w:val="center"/>
              <w:rPr>
                <w:rFonts w:hint="eastAsia" w:eastAsia="宋体"/>
                <w:sz w:val="18"/>
                <w:szCs w:val="18"/>
                <w:highlight w:val="none"/>
                <w:lang w:eastAsia="zh-CN"/>
              </w:rPr>
            </w:pPr>
            <w:r>
              <w:rPr>
                <w:rFonts w:hint="eastAsia"/>
                <w:sz w:val="18"/>
                <w:szCs w:val="18"/>
                <w:highlight w:val="none"/>
                <w:lang w:val="en-US" w:eastAsia="zh-CN"/>
              </w:rPr>
              <w:t>7</w:t>
            </w:r>
          </w:p>
        </w:tc>
        <w:tc>
          <w:tcPr>
            <w:tcW w:w="708" w:type="dxa"/>
            <w:vMerge w:val="restart"/>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15%</w:t>
            </w:r>
          </w:p>
        </w:tc>
        <w:tc>
          <w:tcPr>
            <w:tcW w:w="709" w:type="dxa"/>
            <w:tcBorders>
              <w:bottom w:val="single" w:color="auto" w:sz="6" w:space="0"/>
            </w:tcBorders>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稀土抛光粉工厂各工序工艺综合能耗应满足该行业节能相关法律法规以及标准</w:t>
            </w:r>
            <w:r>
              <w:rPr>
                <w:rFonts w:hint="eastAsia" w:ascii="Times New Roman" w:hAnsi="Times New Roman" w:eastAsia="宋体"/>
                <w:sz w:val="18"/>
                <w:szCs w:val="18"/>
                <w:highlight w:val="none"/>
              </w:rPr>
              <w:t>、绿色产品设计规范</w:t>
            </w:r>
            <w:r>
              <w:rPr>
                <w:rFonts w:ascii="Times New Roman" w:hAnsi="Times New Roman" w:eastAsia="宋体"/>
                <w:sz w:val="18"/>
                <w:szCs w:val="18"/>
                <w:highlight w:val="none"/>
              </w:rPr>
              <w:t>的要求。</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eastAsia="zh-CN"/>
              </w:rPr>
            </w:pPr>
            <w:r>
              <w:rPr>
                <w:rFonts w:hint="eastAsia"/>
                <w:sz w:val="18"/>
                <w:szCs w:val="18"/>
                <w:highlight w:val="none"/>
                <w:lang w:val="en-US" w:eastAsia="zh-CN"/>
              </w:rPr>
              <w:t>7</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宜使用可再生能源或低碳清洁的新能源。</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restart"/>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r>
              <w:rPr>
                <w:rFonts w:hint="eastAsia"/>
                <w:sz w:val="18"/>
                <w:szCs w:val="18"/>
                <w:highlight w:val="none"/>
                <w:lang w:val="en-US" w:eastAsia="zh-CN"/>
              </w:rPr>
              <w:t>取值</w:t>
            </w:r>
          </w:p>
        </w:tc>
        <w:tc>
          <w:tcPr>
            <w:tcW w:w="709"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6</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宜充分利用余热余压产生的二次能源回收利用。</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eastAsia="zh-CN"/>
              </w:rPr>
            </w:pPr>
            <w:r>
              <w:rPr>
                <w:rFonts w:hint="eastAsia"/>
                <w:sz w:val="18"/>
                <w:szCs w:val="18"/>
                <w:highlight w:val="none"/>
                <w:lang w:val="en-US" w:eastAsia="zh-CN"/>
              </w:rPr>
              <w:t>5</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宜建有能源管理中心</w:t>
            </w:r>
            <w:r>
              <w:rPr>
                <w:rFonts w:hint="eastAsia" w:ascii="Times New Roman" w:hAnsi="Times New Roman" w:eastAsia="宋体"/>
                <w:sz w:val="18"/>
                <w:szCs w:val="18"/>
                <w:highlight w:val="none"/>
                <w:lang w:eastAsia="zh-CN"/>
              </w:rPr>
              <w:t>（</w:t>
            </w:r>
            <w:r>
              <w:rPr>
                <w:rFonts w:hint="eastAsia" w:ascii="Times New Roman" w:hAnsi="Times New Roman" w:eastAsia="宋体"/>
                <w:sz w:val="18"/>
                <w:szCs w:val="18"/>
                <w:highlight w:val="none"/>
                <w:lang w:val="en-US" w:eastAsia="zh-CN"/>
              </w:rPr>
              <w:t>或管理部门</w:t>
            </w:r>
            <w:r>
              <w:rPr>
                <w:rFonts w:hint="eastAsia" w:ascii="Times New Roman" w:hAnsi="Times New Roman" w:eastAsia="宋体"/>
                <w:sz w:val="18"/>
                <w:szCs w:val="18"/>
                <w:highlight w:val="none"/>
                <w:lang w:eastAsia="zh-CN"/>
              </w:rPr>
              <w:t>）</w:t>
            </w:r>
            <w:r>
              <w:rPr>
                <w:rFonts w:ascii="Times New Roman" w:hAnsi="Times New Roman" w:eastAsia="宋体"/>
                <w:sz w:val="18"/>
                <w:szCs w:val="18"/>
                <w:highlight w:val="none"/>
              </w:rPr>
              <w:t>。</w:t>
            </w:r>
          </w:p>
        </w:tc>
        <w:tc>
          <w:tcPr>
            <w:tcW w:w="1418" w:type="dxa"/>
            <w:noWrap w:val="0"/>
            <w:vAlign w:val="center"/>
          </w:tcPr>
          <w:p>
            <w:pPr>
              <w:pStyle w:val="128"/>
              <w:spacing w:line="240" w:lineRule="atLeast"/>
              <w:ind w:firstLine="0" w:firstLineChars="0"/>
              <w:rPr>
                <w:rFonts w:hint="eastAsia" w:ascii="Times New Roman" w:hAnsi="Times New Roman" w:eastAsia="宋体"/>
                <w:sz w:val="18"/>
                <w:szCs w:val="18"/>
                <w:highlight w:val="none"/>
                <w:lang w:val="en-US" w:eastAsia="zh-CN"/>
              </w:rPr>
            </w:pPr>
          </w:p>
        </w:tc>
        <w:tc>
          <w:tcPr>
            <w:tcW w:w="992"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eastAsia="zh-CN"/>
              </w:rPr>
            </w:pPr>
            <w:r>
              <w:rPr>
                <w:rFonts w:hint="eastAsia"/>
                <w:sz w:val="18"/>
                <w:szCs w:val="18"/>
                <w:highlight w:val="none"/>
                <w:lang w:val="en-US" w:eastAsia="zh-CN"/>
              </w:rPr>
              <w:t>5</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restart"/>
            <w:noWrap w:val="0"/>
            <w:vAlign w:val="center"/>
          </w:tcPr>
          <w:p>
            <w:pPr>
              <w:pStyle w:val="128"/>
              <w:spacing w:line="240" w:lineRule="atLeast"/>
              <w:ind w:firstLine="0" w:firstLineChars="0"/>
              <w:jc w:val="center"/>
              <w:rPr>
                <w:rFonts w:ascii="Times New Roman" w:hAnsi="Times New Roman" w:eastAsia="宋体"/>
                <w:sz w:val="18"/>
                <w:szCs w:val="18"/>
                <w:highlight w:val="none"/>
              </w:rPr>
            </w:pPr>
            <w:r>
              <w:rPr>
                <w:rFonts w:ascii="Times New Roman" w:hAnsi="Times New Roman" w:eastAsia="宋体"/>
                <w:sz w:val="18"/>
                <w:szCs w:val="18"/>
                <w:highlight w:val="none"/>
              </w:rPr>
              <w:t>资源投入</w:t>
            </w:r>
          </w:p>
        </w:tc>
        <w:tc>
          <w:tcPr>
            <w:tcW w:w="6754" w:type="dxa"/>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应按照GB/T 7119的要求对其开展节水评价工作</w:t>
            </w:r>
            <w:r>
              <w:rPr>
                <w:rFonts w:hint="eastAsia" w:ascii="Times New Roman" w:hAnsi="Times New Roman" w:eastAsia="宋体"/>
                <w:sz w:val="18"/>
                <w:szCs w:val="18"/>
                <w:highlight w:val="none"/>
              </w:rPr>
              <w:t>。</w:t>
            </w:r>
          </w:p>
        </w:tc>
        <w:tc>
          <w:tcPr>
            <w:tcW w:w="1418" w:type="dxa"/>
            <w:noWrap w:val="0"/>
            <w:vAlign w:val="center"/>
          </w:tcPr>
          <w:p>
            <w:pPr>
              <w:pStyle w:val="128"/>
              <w:spacing w:line="240" w:lineRule="atLeast"/>
              <w:ind w:firstLine="0" w:firstLineChars="0"/>
              <w:rPr>
                <w:rFonts w:hint="default" w:ascii="Times New Roman" w:hAnsi="Times New Roman" w:eastAsia="宋体"/>
                <w:sz w:val="18"/>
                <w:szCs w:val="18"/>
                <w:highlight w:val="none"/>
                <w:lang w:val="en-US" w:eastAsia="zh-CN"/>
              </w:rPr>
            </w:pPr>
          </w:p>
        </w:tc>
        <w:tc>
          <w:tcPr>
            <w:tcW w:w="992" w:type="dxa"/>
            <w:vMerge w:val="restart"/>
            <w:noWrap w:val="0"/>
            <w:vAlign w:val="center"/>
          </w:tcPr>
          <w:p>
            <w:pPr>
              <w:pStyle w:val="128"/>
              <w:spacing w:line="240" w:lineRule="atLeast"/>
              <w:ind w:firstLine="0" w:firstLineChars="0"/>
              <w:jc w:val="center"/>
              <w:rPr>
                <w:rFonts w:hint="eastAsia" w:ascii="Times New Roman" w:hAnsi="Times New Roman" w:eastAsia="宋体"/>
                <w:sz w:val="18"/>
                <w:szCs w:val="18"/>
                <w:highlight w:val="none"/>
                <w:lang w:eastAsia="zh-CN"/>
              </w:rPr>
            </w:pPr>
            <w:r>
              <w:rPr>
                <w:rFonts w:hint="eastAsia" w:ascii="Times New Roman" w:hAnsi="Times New Roman" w:eastAsia="宋体"/>
                <w:sz w:val="18"/>
                <w:szCs w:val="18"/>
                <w:highlight w:val="none"/>
                <w:lang w:val="en-US" w:eastAsia="zh-CN"/>
              </w:rPr>
              <w:t>零整</w:t>
            </w: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1</w:t>
            </w:r>
            <w:r>
              <w:rPr>
                <w:sz w:val="18"/>
                <w:szCs w:val="18"/>
                <w:highlight w:val="none"/>
              </w:rPr>
              <w:t>0</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应减少</w:t>
            </w:r>
            <w:r>
              <w:rPr>
                <w:rFonts w:hint="eastAsia" w:ascii="Times New Roman" w:hAnsi="Times New Roman" w:eastAsia="宋体"/>
                <w:sz w:val="18"/>
                <w:szCs w:val="18"/>
                <w:highlight w:val="none"/>
              </w:rPr>
              <w:t>原辅料及材料</w:t>
            </w:r>
            <w:r>
              <w:rPr>
                <w:rFonts w:ascii="Times New Roman" w:hAnsi="Times New Roman" w:eastAsia="宋体"/>
                <w:sz w:val="18"/>
                <w:szCs w:val="18"/>
                <w:highlight w:val="none"/>
              </w:rPr>
              <w:t>尤其是有毒有害物质的使用，评估有毒有害物质及化学品减量使用或替代的可行性。</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1</w:t>
            </w:r>
            <w:r>
              <w:rPr>
                <w:sz w:val="18"/>
                <w:szCs w:val="18"/>
                <w:highlight w:val="none"/>
              </w:rPr>
              <w:t>0</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应按照 GB/T 29115的要求对其</w:t>
            </w:r>
            <w:r>
              <w:rPr>
                <w:rFonts w:hint="eastAsia" w:ascii="Times New Roman" w:hAnsi="Times New Roman" w:eastAsia="宋体"/>
                <w:sz w:val="18"/>
                <w:szCs w:val="18"/>
                <w:highlight w:val="none"/>
              </w:rPr>
              <w:t>原辅料及材料</w:t>
            </w:r>
            <w:r>
              <w:rPr>
                <w:rFonts w:ascii="Times New Roman" w:hAnsi="Times New Roman" w:eastAsia="宋体"/>
                <w:sz w:val="18"/>
                <w:szCs w:val="18"/>
                <w:highlight w:val="none"/>
              </w:rPr>
              <w:t>使用量的减少进行评价。</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restart"/>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r>
              <w:rPr>
                <w:rFonts w:hint="eastAsia"/>
                <w:sz w:val="18"/>
                <w:szCs w:val="18"/>
                <w:highlight w:val="none"/>
                <w:lang w:val="en-US" w:eastAsia="zh-CN"/>
              </w:rPr>
              <w:t>取值</w:t>
            </w: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1</w:t>
            </w:r>
            <w:r>
              <w:rPr>
                <w:sz w:val="18"/>
                <w:szCs w:val="18"/>
                <w:highlight w:val="none"/>
              </w:rPr>
              <w:t>0</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宜使用回收料</w:t>
            </w:r>
            <w:r>
              <w:rPr>
                <w:rFonts w:hint="eastAsia" w:ascii="Times New Roman" w:hAnsi="Times New Roman" w:eastAsia="宋体"/>
                <w:sz w:val="18"/>
                <w:szCs w:val="18"/>
                <w:highlight w:val="none"/>
                <w:lang w:eastAsia="zh-CN"/>
              </w:rPr>
              <w:t>、</w:t>
            </w:r>
            <w:r>
              <w:rPr>
                <w:rFonts w:hint="eastAsia" w:ascii="Times New Roman" w:hAnsi="Times New Roman" w:eastAsia="宋体"/>
                <w:sz w:val="18"/>
                <w:szCs w:val="18"/>
                <w:highlight w:val="none"/>
                <w:lang w:val="en-US" w:eastAsia="zh-CN"/>
              </w:rPr>
              <w:t>可回收材料替代原生材料、不可回收料。</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hint="eastAsia" w:ascii="Times New Roman" w:hAnsi="Times New Roman" w:eastAsia="宋体"/>
                <w:sz w:val="18"/>
                <w:szCs w:val="18"/>
                <w:highlight w:val="none"/>
                <w:lang w:eastAsia="zh-CN"/>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5</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pStyle w:val="128"/>
              <w:spacing w:line="240" w:lineRule="atLeast"/>
              <w:ind w:firstLine="0" w:firstLineChars="0"/>
              <w:rPr>
                <w:rFonts w:hint="default" w:ascii="Times New Roman" w:hAnsi="Times New Roman" w:eastAsia="宋体"/>
                <w:sz w:val="18"/>
                <w:szCs w:val="18"/>
                <w:highlight w:val="none"/>
                <w:lang w:val="en-US" w:eastAsia="zh-CN"/>
              </w:rPr>
            </w:pPr>
            <w:r>
              <w:rPr>
                <w:rFonts w:hint="eastAsia" w:ascii="Times New Roman" w:hAnsi="Times New Roman" w:eastAsia="宋体"/>
                <w:sz w:val="18"/>
                <w:szCs w:val="18"/>
                <w:highlight w:val="none"/>
                <w:lang w:val="en-US" w:eastAsia="zh-CN"/>
              </w:rPr>
              <w:t>替代或者减少全球增温潜势较高温室气体的使用</w:t>
            </w:r>
            <w:r>
              <w:rPr>
                <w:rFonts w:ascii="Times New Roman" w:hAnsi="Times New Roman" w:eastAsia="宋体"/>
                <w:sz w:val="18"/>
                <w:szCs w:val="18"/>
                <w:highlight w:val="none"/>
              </w:rPr>
              <w:t>。</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5</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pStyle w:val="128"/>
              <w:spacing w:line="240" w:lineRule="atLeast"/>
              <w:ind w:firstLine="0" w:firstLineChars="0"/>
              <w:rPr>
                <w:rFonts w:hint="eastAsia" w:ascii="Times New Roman" w:hAnsi="Times New Roman" w:eastAsia="宋体"/>
                <w:sz w:val="18"/>
                <w:szCs w:val="18"/>
                <w:highlight w:val="none"/>
                <w:lang w:val="en-US" w:eastAsia="zh-CN"/>
              </w:rPr>
            </w:pPr>
            <w:r>
              <w:rPr>
                <w:rFonts w:hint="eastAsia" w:ascii="Times New Roman" w:hAnsi="Times New Roman" w:eastAsia="宋体"/>
                <w:sz w:val="18"/>
                <w:szCs w:val="18"/>
                <w:highlight w:val="none"/>
                <w:lang w:val="en-US" w:eastAsia="zh-CN"/>
              </w:rPr>
              <w:t xml:space="preserve">取水定额到达本行业先进水平及以上。 </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noWrap w:val="0"/>
            <w:vAlign w:val="center"/>
          </w:tcPr>
          <w:p>
            <w:pPr>
              <w:adjustRightInd w:val="0"/>
              <w:snapToGrid w:val="0"/>
              <w:spacing w:line="240" w:lineRule="atLeast"/>
              <w:ind w:firstLine="0" w:firstLineChars="0"/>
              <w:jc w:val="center"/>
              <w:rPr>
                <w:rFonts w:hint="default" w:eastAsia="宋体"/>
                <w:sz w:val="18"/>
                <w:szCs w:val="18"/>
                <w:highlight w:val="none"/>
                <w:lang w:val="en-US" w:eastAsia="zh-CN"/>
              </w:rPr>
            </w:pPr>
            <w:r>
              <w:rPr>
                <w:rFonts w:hint="eastAsia"/>
                <w:sz w:val="18"/>
                <w:szCs w:val="18"/>
                <w:highlight w:val="none"/>
                <w:lang w:val="en-US" w:eastAsia="zh-CN"/>
              </w:rPr>
              <w:t>加分</w:t>
            </w:r>
          </w:p>
        </w:tc>
        <w:tc>
          <w:tcPr>
            <w:tcW w:w="709" w:type="dxa"/>
            <w:noWrap w:val="0"/>
            <w:vAlign w:val="center"/>
          </w:tcPr>
          <w:p>
            <w:pPr>
              <w:adjustRightInd w:val="0"/>
              <w:snapToGrid w:val="0"/>
              <w:spacing w:line="240" w:lineRule="atLeast"/>
              <w:ind w:firstLine="0" w:firstLineChars="0"/>
              <w:jc w:val="center"/>
              <w:rPr>
                <w:rFonts w:hint="default" w:eastAsia="宋体"/>
                <w:sz w:val="18"/>
                <w:szCs w:val="18"/>
                <w:highlight w:val="none"/>
                <w:lang w:val="en-US" w:eastAsia="zh-CN"/>
              </w:rPr>
            </w:pPr>
            <w:r>
              <w:rPr>
                <w:rFonts w:hint="eastAsia"/>
                <w:sz w:val="18"/>
                <w:szCs w:val="18"/>
                <w:highlight w:val="none"/>
                <w:lang w:val="en-US" w:eastAsia="zh-CN"/>
              </w:rPr>
              <w:t>10</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restart"/>
            <w:noWrap w:val="0"/>
            <w:vAlign w:val="center"/>
          </w:tcPr>
          <w:p>
            <w:pPr>
              <w:pStyle w:val="128"/>
              <w:spacing w:line="240" w:lineRule="atLeast"/>
              <w:ind w:firstLine="0" w:firstLineChars="0"/>
              <w:jc w:val="center"/>
              <w:rPr>
                <w:rFonts w:ascii="Times New Roman" w:hAnsi="Times New Roman" w:eastAsia="宋体"/>
                <w:sz w:val="18"/>
                <w:szCs w:val="18"/>
                <w:highlight w:val="none"/>
              </w:rPr>
            </w:pPr>
            <w:r>
              <w:rPr>
                <w:rFonts w:ascii="Times New Roman" w:hAnsi="Times New Roman" w:eastAsia="宋体"/>
                <w:sz w:val="18"/>
                <w:szCs w:val="18"/>
                <w:highlight w:val="none"/>
              </w:rPr>
              <w:t>采购</w:t>
            </w:r>
          </w:p>
        </w:tc>
        <w:tc>
          <w:tcPr>
            <w:tcW w:w="6754" w:type="dxa"/>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应制定并实施包括环保要求的选择、评价和重新评价供方的准则。</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noWrap w:val="0"/>
            <w:vAlign w:val="center"/>
          </w:tcPr>
          <w:p>
            <w:pPr>
              <w:pStyle w:val="128"/>
              <w:spacing w:line="240" w:lineRule="atLeast"/>
              <w:ind w:firstLine="0" w:firstLineChars="0"/>
              <w:jc w:val="center"/>
              <w:rPr>
                <w:rFonts w:hint="eastAsia" w:ascii="Times New Roman" w:hAnsi="Times New Roman" w:eastAsia="宋体"/>
                <w:sz w:val="18"/>
                <w:szCs w:val="18"/>
                <w:highlight w:val="none"/>
                <w:lang w:val="en-US" w:eastAsia="zh-CN"/>
              </w:rPr>
            </w:pPr>
            <w:r>
              <w:rPr>
                <w:rFonts w:hint="eastAsia" w:ascii="Times New Roman" w:hAnsi="Times New Roman" w:eastAsia="宋体"/>
                <w:sz w:val="18"/>
                <w:szCs w:val="18"/>
                <w:highlight w:val="none"/>
                <w:lang w:val="en-US" w:eastAsia="zh-CN"/>
              </w:rPr>
              <w:t>取值</w:t>
            </w: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1</w:t>
            </w:r>
            <w:r>
              <w:rPr>
                <w:sz w:val="18"/>
                <w:szCs w:val="18"/>
                <w:highlight w:val="none"/>
              </w:rPr>
              <w:t>0</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default"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应确定并实施检验或其他必要的活动，以确保采购的产品满足规定的采购要求。</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noWrap w:val="0"/>
            <w:vAlign w:val="center"/>
          </w:tcPr>
          <w:p>
            <w:pPr>
              <w:adjustRightInd w:val="0"/>
              <w:snapToGrid w:val="0"/>
              <w:spacing w:line="240" w:lineRule="atLeast"/>
              <w:ind w:firstLine="0" w:firstLineChars="0"/>
              <w:jc w:val="center"/>
              <w:rPr>
                <w:sz w:val="18"/>
                <w:szCs w:val="18"/>
                <w:highlight w:val="none"/>
              </w:rPr>
            </w:pPr>
            <w:r>
              <w:rPr>
                <w:rFonts w:hint="eastAsia" w:ascii="Times New Roman" w:hAnsi="Times New Roman" w:eastAsia="宋体"/>
                <w:sz w:val="18"/>
                <w:szCs w:val="18"/>
                <w:highlight w:val="none"/>
                <w:lang w:val="en-US" w:eastAsia="zh-CN"/>
              </w:rPr>
              <w:t>零整</w:t>
            </w: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1</w:t>
            </w:r>
            <w:r>
              <w:rPr>
                <w:sz w:val="18"/>
                <w:szCs w:val="18"/>
                <w:highlight w:val="none"/>
              </w:rPr>
              <w:t>0</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default"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向供方提供的采购信息宜包含有毒有害物质使用、可回收材料使用、能效等环保要求。</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noWrap w:val="0"/>
            <w:vAlign w:val="center"/>
          </w:tcPr>
          <w:p>
            <w:pPr>
              <w:pStyle w:val="128"/>
              <w:spacing w:line="240" w:lineRule="atLeast"/>
              <w:ind w:firstLine="0" w:firstLineChars="0"/>
              <w:jc w:val="center"/>
              <w:rPr>
                <w:rFonts w:hint="eastAsia" w:ascii="Times New Roman" w:hAnsi="Times New Roman" w:eastAsia="宋体"/>
                <w:sz w:val="18"/>
                <w:szCs w:val="18"/>
                <w:highlight w:val="none"/>
                <w:lang w:val="en-US" w:eastAsia="zh-CN"/>
              </w:rPr>
            </w:pPr>
            <w:r>
              <w:rPr>
                <w:rFonts w:hint="eastAsia" w:ascii="Times New Roman" w:hAnsi="Times New Roman" w:eastAsia="宋体"/>
                <w:sz w:val="18"/>
                <w:szCs w:val="18"/>
                <w:highlight w:val="none"/>
                <w:lang w:val="en-US" w:eastAsia="zh-CN"/>
              </w:rPr>
              <w:t>取值</w:t>
            </w: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1</w:t>
            </w:r>
            <w:r>
              <w:rPr>
                <w:sz w:val="18"/>
                <w:szCs w:val="18"/>
                <w:highlight w:val="none"/>
              </w:rPr>
              <w:t>0</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restart"/>
            <w:noWrap w:val="0"/>
            <w:vAlign w:val="center"/>
          </w:tcPr>
          <w:p>
            <w:pPr>
              <w:adjustRightInd w:val="0"/>
              <w:snapToGrid w:val="0"/>
              <w:spacing w:line="240" w:lineRule="atLeast"/>
              <w:ind w:firstLine="0" w:firstLineChars="0"/>
              <w:jc w:val="center"/>
              <w:rPr>
                <w:sz w:val="18"/>
                <w:szCs w:val="18"/>
                <w:highlight w:val="none"/>
              </w:rPr>
            </w:pPr>
          </w:p>
          <w:p>
            <w:pPr>
              <w:adjustRightInd w:val="0"/>
              <w:snapToGrid w:val="0"/>
              <w:spacing w:line="240" w:lineRule="atLeast"/>
              <w:ind w:firstLine="0" w:firstLineChars="0"/>
              <w:jc w:val="center"/>
              <w:rPr>
                <w:sz w:val="18"/>
                <w:szCs w:val="18"/>
                <w:highlight w:val="none"/>
              </w:rPr>
            </w:pPr>
            <w:r>
              <w:rPr>
                <w:sz w:val="18"/>
                <w:szCs w:val="18"/>
                <w:highlight w:val="none"/>
              </w:rPr>
              <w:t>4</w:t>
            </w:r>
          </w:p>
          <w:p>
            <w:pPr>
              <w:adjustRightInd w:val="0"/>
              <w:snapToGrid w:val="0"/>
              <w:spacing w:line="240" w:lineRule="atLeast"/>
              <w:ind w:firstLine="0" w:firstLineChars="0"/>
              <w:jc w:val="center"/>
              <w:rPr>
                <w:sz w:val="18"/>
                <w:szCs w:val="18"/>
                <w:highlight w:val="none"/>
              </w:rPr>
            </w:pPr>
          </w:p>
        </w:tc>
        <w:tc>
          <w:tcPr>
            <w:tcW w:w="1158" w:type="dxa"/>
            <w:vMerge w:val="restart"/>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产品</w:t>
            </w:r>
          </w:p>
        </w:tc>
        <w:tc>
          <w:tcPr>
            <w:tcW w:w="1193" w:type="dxa"/>
            <w:vMerge w:val="restart"/>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生态设计</w:t>
            </w:r>
          </w:p>
        </w:tc>
        <w:tc>
          <w:tcPr>
            <w:tcW w:w="6754" w:type="dxa"/>
            <w:noWrap w:val="0"/>
            <w:vAlign w:val="center"/>
          </w:tcPr>
          <w:p>
            <w:pPr>
              <w:pStyle w:val="128"/>
              <w:spacing w:line="240" w:lineRule="atLeast"/>
              <w:ind w:firstLine="0" w:firstLineChars="0"/>
              <w:rPr>
                <w:rFonts w:hint="default" w:ascii="Times New Roman" w:hAnsi="Times New Roman" w:eastAsia="宋体"/>
                <w:sz w:val="18"/>
                <w:szCs w:val="18"/>
                <w:highlight w:val="none"/>
                <w:lang w:val="en-US" w:eastAsia="zh-CN"/>
              </w:rPr>
            </w:pPr>
            <w:r>
              <w:rPr>
                <w:rFonts w:ascii="Times New Roman" w:hAnsi="Times New Roman" w:eastAsia="宋体"/>
                <w:sz w:val="18"/>
                <w:szCs w:val="18"/>
                <w:highlight w:val="none"/>
              </w:rPr>
              <w:t>应</w:t>
            </w:r>
            <w:r>
              <w:rPr>
                <w:rFonts w:hint="eastAsia" w:ascii="Times New Roman" w:hAnsi="Times New Roman" w:eastAsia="宋体"/>
                <w:sz w:val="18"/>
                <w:szCs w:val="18"/>
                <w:highlight w:val="none"/>
                <w:lang w:val="en-US" w:eastAsia="zh-CN"/>
              </w:rPr>
              <w:t>按照《绿色设计产品评价技术规范 稀土抛光粉》要求进行绿色产品评价</w:t>
            </w:r>
            <w:r>
              <w:rPr>
                <w:rFonts w:hint="eastAsia" w:ascii="Times New Roman" w:hAnsi="Times New Roman" w:eastAsia="宋体"/>
                <w:sz w:val="18"/>
                <w:szCs w:val="18"/>
                <w:highlight w:val="none"/>
                <w:lang w:eastAsia="zh-CN"/>
              </w:rPr>
              <w:t>。</w:t>
            </w:r>
            <w:r>
              <w:rPr>
                <w:rFonts w:hint="eastAsia" w:ascii="Times New Roman" w:hAnsi="Times New Roman" w:eastAsia="宋体"/>
                <w:sz w:val="18"/>
                <w:szCs w:val="18"/>
                <w:highlight w:val="none"/>
                <w:lang w:val="en-US" w:eastAsia="zh-CN"/>
              </w:rPr>
              <w:t>见附录B</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restart"/>
            <w:noWrap w:val="0"/>
            <w:vAlign w:val="center"/>
          </w:tcPr>
          <w:p>
            <w:pPr>
              <w:pStyle w:val="128"/>
              <w:spacing w:line="240" w:lineRule="atLeast"/>
              <w:ind w:firstLine="0" w:firstLineChars="0"/>
              <w:jc w:val="center"/>
              <w:rPr>
                <w:rFonts w:hint="eastAsia" w:ascii="Times New Roman" w:hAnsi="Times New Roman" w:eastAsia="宋体"/>
                <w:sz w:val="18"/>
                <w:szCs w:val="18"/>
                <w:highlight w:val="none"/>
                <w:lang w:eastAsia="zh-CN"/>
              </w:rPr>
            </w:pPr>
            <w:r>
              <w:rPr>
                <w:rFonts w:hint="eastAsia" w:ascii="Times New Roman" w:hAnsi="Times New Roman" w:eastAsia="宋体"/>
                <w:sz w:val="18"/>
                <w:szCs w:val="18"/>
                <w:highlight w:val="none"/>
                <w:lang w:val="en-US" w:eastAsia="zh-CN"/>
              </w:rPr>
              <w:t>取值</w:t>
            </w: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3</w:t>
            </w:r>
            <w:r>
              <w:rPr>
                <w:sz w:val="18"/>
                <w:szCs w:val="18"/>
                <w:highlight w:val="none"/>
              </w:rPr>
              <w:t>5</w:t>
            </w:r>
          </w:p>
        </w:tc>
        <w:tc>
          <w:tcPr>
            <w:tcW w:w="708" w:type="dxa"/>
            <w:vMerge w:val="restart"/>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lang w:val="en-US" w:eastAsia="zh-CN"/>
              </w:rPr>
              <w:t>1</w:t>
            </w:r>
            <w:r>
              <w:rPr>
                <w:sz w:val="18"/>
                <w:szCs w:val="18"/>
                <w:highlight w:val="none"/>
              </w:rPr>
              <w:t>5%</w:t>
            </w:r>
          </w:p>
        </w:tc>
        <w:tc>
          <w:tcPr>
            <w:tcW w:w="709" w:type="dxa"/>
            <w:noWrap w:val="0"/>
            <w:vAlign w:val="center"/>
          </w:tcPr>
          <w:p>
            <w:pPr>
              <w:adjustRightInd w:val="0"/>
              <w:snapToGrid w:val="0"/>
              <w:spacing w:line="240" w:lineRule="atLeast"/>
              <w:ind w:firstLine="0" w:firstLineChars="0"/>
              <w:jc w:val="center"/>
              <w:rPr>
                <w:rFonts w:hint="default"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未有对应标准的产品品种，宜按照GB/T 24256对生产的产品进行生态设计，并宜按照GB/T 32161对生产的产品进行生态设计产品评价。</w:t>
            </w:r>
            <w:r>
              <w:rPr>
                <w:rFonts w:hint="eastAsia" w:ascii="Times New Roman" w:hAnsi="Times New Roman" w:eastAsia="宋体"/>
                <w:sz w:val="18"/>
                <w:szCs w:val="18"/>
                <w:highlight w:val="none"/>
                <w:lang w:val="en-US" w:eastAsia="zh-CN"/>
              </w:rPr>
              <w:t>见附录B</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1</w:t>
            </w:r>
            <w:r>
              <w:rPr>
                <w:sz w:val="18"/>
                <w:szCs w:val="18"/>
                <w:highlight w:val="none"/>
              </w:rPr>
              <w:t>5</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default"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restart"/>
            <w:noWrap w:val="0"/>
            <w:vAlign w:val="center"/>
          </w:tcPr>
          <w:p>
            <w:pPr>
              <w:pStyle w:val="128"/>
              <w:spacing w:line="240" w:lineRule="atLeast"/>
              <w:ind w:firstLine="0" w:firstLineChars="0"/>
              <w:jc w:val="center"/>
              <w:rPr>
                <w:rFonts w:ascii="Times New Roman" w:hAnsi="Times New Roman" w:eastAsia="宋体"/>
                <w:sz w:val="18"/>
                <w:szCs w:val="18"/>
                <w:highlight w:val="none"/>
              </w:rPr>
            </w:pPr>
            <w:r>
              <w:rPr>
                <w:rFonts w:hint="eastAsia" w:ascii="Times New Roman" w:hAnsi="Times New Roman" w:eastAsia="宋体"/>
                <w:sz w:val="18"/>
                <w:szCs w:val="18"/>
                <w:highlight w:val="none"/>
                <w:lang w:val="en-US" w:eastAsia="zh-CN"/>
              </w:rPr>
              <w:t>危险化学品</w:t>
            </w:r>
            <w:r>
              <w:rPr>
                <w:rFonts w:ascii="Times New Roman" w:hAnsi="Times New Roman" w:eastAsia="宋体"/>
                <w:sz w:val="18"/>
                <w:szCs w:val="18"/>
                <w:highlight w:val="none"/>
              </w:rPr>
              <w:t>使用</w:t>
            </w:r>
          </w:p>
        </w:tc>
        <w:tc>
          <w:tcPr>
            <w:tcW w:w="6754" w:type="dxa"/>
            <w:noWrap w:val="0"/>
            <w:vAlign w:val="center"/>
          </w:tcPr>
          <w:p>
            <w:pPr>
              <w:pStyle w:val="128"/>
              <w:spacing w:line="240" w:lineRule="atLeast"/>
              <w:ind w:firstLine="0" w:firstLineChars="0"/>
              <w:rPr>
                <w:rFonts w:ascii="Times New Roman" w:hAnsi="Times New Roman" w:eastAsia="宋体"/>
                <w:color w:val="auto"/>
                <w:sz w:val="18"/>
                <w:szCs w:val="18"/>
                <w:highlight w:val="none"/>
              </w:rPr>
            </w:pPr>
            <w:r>
              <w:rPr>
                <w:rFonts w:hint="eastAsia" w:ascii="Times New Roman" w:hAnsi="Times New Roman" w:eastAsia="宋体"/>
                <w:color w:val="auto"/>
                <w:sz w:val="18"/>
                <w:szCs w:val="18"/>
                <w:highlight w:val="none"/>
                <w:lang w:val="en-US" w:eastAsia="zh-CN"/>
              </w:rPr>
              <w:t>危险化学品</w:t>
            </w:r>
            <w:r>
              <w:rPr>
                <w:rFonts w:ascii="Times New Roman" w:hAnsi="Times New Roman" w:eastAsia="宋体"/>
                <w:color w:val="auto"/>
                <w:sz w:val="18"/>
                <w:szCs w:val="18"/>
                <w:highlight w:val="none"/>
              </w:rPr>
              <w:t>的贮存、输送、生产和使用场所，应设置环境风险防范和应急</w:t>
            </w:r>
            <w:r>
              <w:rPr>
                <w:rFonts w:hint="eastAsia" w:ascii="Times New Roman" w:hAnsi="Times New Roman" w:eastAsia="宋体"/>
                <w:color w:val="auto"/>
                <w:sz w:val="18"/>
                <w:szCs w:val="18"/>
                <w:highlight w:val="none"/>
              </w:rPr>
              <w:t>处置</w:t>
            </w:r>
            <w:r>
              <w:rPr>
                <w:rFonts w:ascii="Times New Roman" w:hAnsi="Times New Roman" w:eastAsia="宋体"/>
                <w:color w:val="auto"/>
                <w:sz w:val="18"/>
                <w:szCs w:val="18"/>
                <w:highlight w:val="none"/>
              </w:rPr>
              <w:t>设施</w:t>
            </w:r>
            <w:r>
              <w:rPr>
                <w:rFonts w:hint="eastAsia" w:ascii="Times New Roman" w:hAnsi="Times New Roman" w:eastAsia="宋体"/>
                <w:color w:val="auto"/>
                <w:sz w:val="18"/>
                <w:szCs w:val="18"/>
                <w:highlight w:val="none"/>
              </w:rPr>
              <w:t>，并配置相应的应急物资</w:t>
            </w:r>
            <w:r>
              <w:rPr>
                <w:rFonts w:ascii="Times New Roman" w:hAnsi="Times New Roman" w:eastAsia="宋体"/>
                <w:color w:val="auto"/>
                <w:sz w:val="18"/>
                <w:szCs w:val="18"/>
                <w:highlight w:val="none"/>
              </w:rPr>
              <w:t>。</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restart"/>
            <w:noWrap w:val="0"/>
            <w:vAlign w:val="center"/>
          </w:tcPr>
          <w:p>
            <w:pPr>
              <w:pStyle w:val="128"/>
              <w:spacing w:line="240" w:lineRule="atLeast"/>
              <w:ind w:firstLine="180" w:firstLineChars="100"/>
              <w:rPr>
                <w:rFonts w:hint="eastAsia" w:eastAsia="仿宋"/>
                <w:sz w:val="18"/>
                <w:szCs w:val="18"/>
                <w:highlight w:val="none"/>
                <w:lang w:val="en-US" w:eastAsia="zh-CN"/>
              </w:rPr>
            </w:pPr>
            <w:r>
              <w:rPr>
                <w:rFonts w:hint="eastAsia"/>
                <w:sz w:val="18"/>
                <w:szCs w:val="18"/>
                <w:highlight w:val="none"/>
                <w:lang w:val="en-US" w:eastAsia="zh-CN"/>
              </w:rPr>
              <w:t>零整</w:t>
            </w: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eastAsia="zh-CN"/>
              </w:rPr>
            </w:pPr>
            <w:r>
              <w:rPr>
                <w:rFonts w:hint="eastAsia"/>
                <w:sz w:val="18"/>
                <w:szCs w:val="18"/>
                <w:highlight w:val="none"/>
              </w:rPr>
              <w:t>2</w:t>
            </w:r>
            <w:r>
              <w:rPr>
                <w:rFonts w:hint="eastAsia"/>
                <w:sz w:val="18"/>
                <w:szCs w:val="18"/>
                <w:highlight w:val="none"/>
                <w:lang w:val="en-US" w:eastAsia="zh-CN"/>
              </w:rPr>
              <w:t>0</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default"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pStyle w:val="128"/>
              <w:spacing w:line="240" w:lineRule="atLeast"/>
              <w:ind w:firstLine="0" w:firstLineChars="0"/>
              <w:rPr>
                <w:rFonts w:ascii="Times New Roman" w:hAnsi="Times New Roman" w:eastAsia="宋体"/>
                <w:color w:val="auto"/>
                <w:sz w:val="18"/>
                <w:szCs w:val="18"/>
                <w:highlight w:val="none"/>
              </w:rPr>
            </w:pPr>
            <w:r>
              <w:rPr>
                <w:rFonts w:hint="eastAsia" w:ascii="Times New Roman" w:hAnsi="Times New Roman" w:eastAsia="宋体"/>
                <w:color w:val="auto"/>
                <w:sz w:val="18"/>
                <w:szCs w:val="18"/>
                <w:highlight w:val="none"/>
              </w:rPr>
              <w:t>应减少</w:t>
            </w:r>
            <w:r>
              <w:rPr>
                <w:rFonts w:hint="eastAsia" w:ascii="Times New Roman" w:hAnsi="Times New Roman" w:eastAsia="宋体"/>
                <w:color w:val="auto"/>
                <w:sz w:val="18"/>
                <w:szCs w:val="18"/>
                <w:highlight w:val="none"/>
                <w:lang w:val="en-US" w:eastAsia="zh-CN"/>
              </w:rPr>
              <w:t>危险化学品</w:t>
            </w:r>
            <w:r>
              <w:rPr>
                <w:rFonts w:hint="eastAsia" w:ascii="Times New Roman" w:hAnsi="Times New Roman" w:eastAsia="宋体"/>
                <w:color w:val="auto"/>
                <w:sz w:val="18"/>
                <w:szCs w:val="18"/>
                <w:highlight w:val="none"/>
              </w:rPr>
              <w:t>的使用，避免泄漏</w:t>
            </w:r>
            <w:r>
              <w:rPr>
                <w:rFonts w:ascii="Times New Roman" w:hAnsi="Times New Roman" w:eastAsia="宋体"/>
                <w:color w:val="auto"/>
                <w:sz w:val="18"/>
                <w:szCs w:val="18"/>
                <w:highlight w:val="none"/>
              </w:rPr>
              <w:t>。</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5</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restart"/>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减碳</w:t>
            </w:r>
          </w:p>
        </w:tc>
        <w:tc>
          <w:tcPr>
            <w:tcW w:w="6754" w:type="dxa"/>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宜采用适用的标准或规范对产品进行碳足迹核算或核查。</w:t>
            </w:r>
          </w:p>
        </w:tc>
        <w:tc>
          <w:tcPr>
            <w:tcW w:w="1418" w:type="dxa"/>
            <w:noWrap w:val="0"/>
            <w:vAlign w:val="center"/>
          </w:tcPr>
          <w:p>
            <w:pPr>
              <w:pStyle w:val="128"/>
              <w:spacing w:line="240" w:lineRule="atLeast"/>
              <w:ind w:firstLine="0" w:firstLineChars="0"/>
              <w:rPr>
                <w:rFonts w:hint="default" w:ascii="Times New Roman" w:hAnsi="Times New Roman" w:eastAsia="宋体"/>
                <w:sz w:val="18"/>
                <w:szCs w:val="18"/>
                <w:highlight w:val="none"/>
                <w:lang w:val="en-US" w:eastAsia="zh-CN"/>
              </w:rPr>
            </w:pPr>
          </w:p>
        </w:tc>
        <w:tc>
          <w:tcPr>
            <w:tcW w:w="992" w:type="dxa"/>
            <w:vMerge w:val="restart"/>
            <w:noWrap w:val="0"/>
            <w:vAlign w:val="center"/>
          </w:tcPr>
          <w:p>
            <w:pPr>
              <w:pStyle w:val="128"/>
              <w:spacing w:line="240" w:lineRule="atLeast"/>
              <w:ind w:firstLine="0" w:firstLineChars="0"/>
              <w:jc w:val="center"/>
              <w:rPr>
                <w:rFonts w:hint="eastAsia" w:ascii="Times New Roman" w:hAnsi="Times New Roman" w:eastAsia="宋体"/>
                <w:sz w:val="18"/>
                <w:szCs w:val="18"/>
                <w:highlight w:val="none"/>
                <w:lang w:val="en-US" w:eastAsia="zh-CN"/>
              </w:rPr>
            </w:pPr>
            <w:r>
              <w:rPr>
                <w:rFonts w:hint="eastAsia" w:ascii="Times New Roman" w:hAnsi="Times New Roman" w:eastAsia="宋体"/>
                <w:sz w:val="18"/>
                <w:szCs w:val="18"/>
                <w:highlight w:val="none"/>
                <w:lang w:val="en-US" w:eastAsia="zh-CN"/>
              </w:rPr>
              <w:t>取值</w:t>
            </w: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6</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宜利用核算或核查结果对其产品的碳足迹进行改善。核算或核查结果宜对外公布。</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6</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restart"/>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回收利用</w:t>
            </w:r>
          </w:p>
        </w:tc>
        <w:tc>
          <w:tcPr>
            <w:tcW w:w="6754" w:type="dxa"/>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应加强</w:t>
            </w:r>
            <w:r>
              <w:rPr>
                <w:rFonts w:hint="eastAsia" w:ascii="Times New Roman" w:hAnsi="Times New Roman" w:eastAsia="宋体"/>
                <w:sz w:val="18"/>
                <w:szCs w:val="18"/>
                <w:highlight w:val="none"/>
              </w:rPr>
              <w:t>废渣</w:t>
            </w:r>
            <w:r>
              <w:rPr>
                <w:rFonts w:ascii="Times New Roman" w:hAnsi="Times New Roman" w:eastAsia="宋体"/>
                <w:sz w:val="18"/>
                <w:szCs w:val="18"/>
                <w:highlight w:val="none"/>
              </w:rPr>
              <w:t>、废水、废气等资源综合利用，提高二次资源应用。</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4</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宜加强水资源管理，并加强城市中水、海水、雨水等非常规水资源利用，减少淡水资源消耗。</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2</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top"/>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适用时，宜按照GB/T 20862的要求计算其产品的可回收利用率，并宜利用计算结果对产品的可回收利用率进行改善。</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2</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top"/>
          </w:tcPr>
          <w:p>
            <w:pPr>
              <w:pStyle w:val="128"/>
              <w:spacing w:line="240" w:lineRule="atLeast"/>
              <w:ind w:firstLine="0" w:firstLineChars="0"/>
              <w:rPr>
                <w:rFonts w:hint="default" w:ascii="Times New Roman" w:hAnsi="Times New Roman" w:eastAsia="宋体"/>
                <w:sz w:val="18"/>
                <w:szCs w:val="18"/>
                <w:highlight w:val="none"/>
                <w:lang w:val="en-US" w:eastAsia="zh-CN"/>
              </w:rPr>
            </w:pPr>
            <w:r>
              <w:rPr>
                <w:rFonts w:hint="eastAsia" w:ascii="Times New Roman" w:hAnsi="Times New Roman" w:eastAsia="宋体"/>
                <w:sz w:val="18"/>
                <w:szCs w:val="18"/>
                <w:highlight w:val="none"/>
                <w:lang w:val="en-US" w:eastAsia="zh-CN"/>
              </w:rPr>
              <w:t>企业不存在废弃产品</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r>
              <w:rPr>
                <w:rFonts w:hint="eastAsia"/>
                <w:sz w:val="18"/>
                <w:szCs w:val="18"/>
                <w:highlight w:val="none"/>
                <w:lang w:val="en-US" w:eastAsia="zh-CN"/>
              </w:rPr>
              <w:t>加分</w:t>
            </w: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r>
              <w:rPr>
                <w:rFonts w:hint="eastAsia"/>
                <w:sz w:val="18"/>
                <w:szCs w:val="18"/>
                <w:highlight w:val="none"/>
                <w:lang w:val="en-US" w:eastAsia="zh-CN"/>
              </w:rPr>
              <w:t>5</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r>
              <w:rPr>
                <w:rFonts w:hint="eastAsia"/>
                <w:sz w:val="18"/>
                <w:szCs w:val="18"/>
                <w:highlight w:val="none"/>
                <w:lang w:val="en-US" w:eastAsia="zh-CN"/>
              </w:rPr>
              <w:t>包装</w:t>
            </w:r>
          </w:p>
        </w:tc>
        <w:tc>
          <w:tcPr>
            <w:tcW w:w="6754" w:type="dxa"/>
            <w:noWrap w:val="0"/>
            <w:vAlign w:val="top"/>
          </w:tcPr>
          <w:p>
            <w:pPr>
              <w:pStyle w:val="128"/>
              <w:spacing w:line="240" w:lineRule="atLeast"/>
              <w:ind w:firstLine="0" w:firstLineChars="0"/>
              <w:rPr>
                <w:rFonts w:ascii="Times New Roman" w:hAnsi="Times New Roman" w:eastAsia="宋体"/>
                <w:sz w:val="18"/>
                <w:szCs w:val="18"/>
                <w:highlight w:val="none"/>
              </w:rPr>
            </w:pPr>
            <w:r>
              <w:rPr>
                <w:rFonts w:hint="eastAsia" w:ascii="Times New Roman" w:hAnsi="Times New Roman" w:eastAsia="宋体"/>
                <w:sz w:val="18"/>
                <w:szCs w:val="18"/>
                <w:highlight w:val="none"/>
              </w:rPr>
              <w:t>工厂宜采用适用的标准或规范对生产的产品进行包装、标志、运输和储存，并宜按照GB</w:t>
            </w:r>
            <w:r>
              <w:rPr>
                <w:rFonts w:hint="eastAsia" w:ascii="Times New Roman" w:hAnsi="Times New Roman" w:eastAsia="宋体"/>
                <w:sz w:val="18"/>
                <w:szCs w:val="18"/>
                <w:highlight w:val="none"/>
                <w:lang w:val="en-US" w:eastAsia="zh-CN"/>
              </w:rPr>
              <w:t xml:space="preserve"> </w:t>
            </w:r>
            <w:r>
              <w:rPr>
                <w:rFonts w:hint="eastAsia" w:ascii="Times New Roman" w:hAnsi="Times New Roman" w:eastAsia="宋体"/>
                <w:sz w:val="18"/>
                <w:szCs w:val="18"/>
                <w:highlight w:val="none"/>
              </w:rPr>
              <w:t>39176对生产的产品 包装、标志、运输和储存进行评价。</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noWrap w:val="0"/>
            <w:vAlign w:val="center"/>
          </w:tcPr>
          <w:p>
            <w:pPr>
              <w:adjustRightInd w:val="0"/>
              <w:snapToGrid w:val="0"/>
              <w:spacing w:line="240" w:lineRule="atLeast"/>
              <w:ind w:firstLine="0" w:firstLineChars="0"/>
              <w:jc w:val="center"/>
              <w:rPr>
                <w:sz w:val="18"/>
                <w:szCs w:val="18"/>
                <w:highlight w:val="none"/>
              </w:rPr>
            </w:pPr>
            <w:r>
              <w:rPr>
                <w:rFonts w:hint="eastAsia" w:ascii="Times New Roman" w:hAnsi="Times New Roman" w:eastAsia="宋体"/>
                <w:sz w:val="18"/>
                <w:szCs w:val="18"/>
                <w:highlight w:val="none"/>
                <w:lang w:val="en-US" w:eastAsia="zh-CN"/>
              </w:rPr>
              <w:t>零整</w:t>
            </w: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r>
              <w:rPr>
                <w:rFonts w:hint="eastAsia"/>
                <w:sz w:val="18"/>
                <w:szCs w:val="18"/>
                <w:highlight w:val="none"/>
                <w:lang w:val="en-US" w:eastAsia="zh-CN"/>
              </w:rPr>
              <w:t>5</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029" w:hRule="atLeast"/>
        </w:trPr>
        <w:tc>
          <w:tcPr>
            <w:tcW w:w="671" w:type="dxa"/>
            <w:vMerge w:val="restart"/>
            <w:noWrap w:val="0"/>
            <w:vAlign w:val="bottom"/>
          </w:tcPr>
          <w:p>
            <w:pPr>
              <w:adjustRightInd w:val="0"/>
              <w:snapToGrid w:val="0"/>
              <w:spacing w:line="240" w:lineRule="atLeast"/>
              <w:ind w:firstLine="0" w:firstLineChars="0"/>
              <w:jc w:val="center"/>
              <w:rPr>
                <w:sz w:val="18"/>
                <w:szCs w:val="18"/>
                <w:highlight w:val="none"/>
              </w:rPr>
            </w:pPr>
            <w:r>
              <w:rPr>
                <w:sz w:val="18"/>
                <w:szCs w:val="18"/>
                <w:highlight w:val="none"/>
              </w:rPr>
              <w:t>5</w:t>
            </w:r>
          </w:p>
        </w:tc>
        <w:tc>
          <w:tcPr>
            <w:tcW w:w="1158" w:type="dxa"/>
            <w:vMerge w:val="restart"/>
            <w:noWrap w:val="0"/>
            <w:vAlign w:val="bottom"/>
          </w:tcPr>
          <w:p>
            <w:pPr>
              <w:adjustRightInd w:val="0"/>
              <w:snapToGrid w:val="0"/>
              <w:spacing w:line="240" w:lineRule="atLeast"/>
              <w:ind w:firstLine="0" w:firstLineChars="0"/>
              <w:rPr>
                <w:sz w:val="18"/>
                <w:szCs w:val="18"/>
                <w:highlight w:val="none"/>
              </w:rPr>
            </w:pPr>
            <w:r>
              <w:rPr>
                <w:sz w:val="18"/>
                <w:szCs w:val="18"/>
                <w:highlight w:val="none"/>
              </w:rPr>
              <w:t>环境排放</w:t>
            </w:r>
          </w:p>
        </w:tc>
        <w:tc>
          <w:tcPr>
            <w:tcW w:w="1193" w:type="dxa"/>
            <w:noWrap w:val="0"/>
            <w:vAlign w:val="center"/>
          </w:tcPr>
          <w:p>
            <w:pPr>
              <w:pStyle w:val="128"/>
              <w:spacing w:line="240" w:lineRule="atLeast"/>
              <w:ind w:firstLine="0" w:firstLineChars="0"/>
              <w:jc w:val="center"/>
              <w:rPr>
                <w:rFonts w:ascii="Times New Roman" w:hAnsi="Times New Roman" w:eastAsia="宋体"/>
                <w:sz w:val="18"/>
                <w:szCs w:val="18"/>
                <w:highlight w:val="none"/>
              </w:rPr>
            </w:pPr>
            <w:r>
              <w:rPr>
                <w:rFonts w:ascii="Times New Roman" w:hAnsi="Times New Roman" w:eastAsia="宋体"/>
                <w:sz w:val="18"/>
                <w:szCs w:val="18"/>
                <w:highlight w:val="none"/>
              </w:rPr>
              <w:t>大气污染物</w:t>
            </w:r>
          </w:p>
        </w:tc>
        <w:tc>
          <w:tcPr>
            <w:tcW w:w="6754" w:type="dxa"/>
            <w:noWrap w:val="0"/>
            <w:vAlign w:val="center"/>
          </w:tcPr>
          <w:p>
            <w:pPr>
              <w:pStyle w:val="64"/>
              <w:adjustRightInd w:val="0"/>
              <w:snapToGrid w:val="0"/>
              <w:spacing w:line="240" w:lineRule="atLeast"/>
              <w:ind w:firstLine="0" w:firstLineChars="0"/>
              <w:jc w:val="both"/>
              <w:rPr>
                <w:rFonts w:ascii="Times New Roman"/>
                <w:sz w:val="18"/>
                <w:szCs w:val="18"/>
              </w:rPr>
            </w:pPr>
            <w:r>
              <w:rPr>
                <w:rFonts w:ascii="Times New Roman"/>
                <w:sz w:val="18"/>
                <w:szCs w:val="18"/>
              </w:rPr>
              <w:t>大气污染物排放应符合相关国家标准、行业标准及地方标准要求，</w:t>
            </w:r>
            <w:r>
              <w:rPr>
                <w:rFonts w:hint="eastAsia" w:ascii="Times New Roman"/>
                <w:sz w:val="18"/>
                <w:szCs w:val="18"/>
              </w:rPr>
              <w:t>按照</w:t>
            </w:r>
            <w:r>
              <w:rPr>
                <w:rFonts w:ascii="Times New Roman"/>
                <w:sz w:val="18"/>
                <w:szCs w:val="18"/>
              </w:rPr>
              <w:t>HJ 1125的要求申请排污许可证，符合排污许可证要求并满足区域内排放总量控制要求。主要污染物排放应符合GB 26451要求。</w:t>
            </w:r>
          </w:p>
          <w:p>
            <w:pPr>
              <w:pStyle w:val="64"/>
              <w:adjustRightInd w:val="0"/>
              <w:snapToGrid w:val="0"/>
              <w:spacing w:line="240" w:lineRule="atLeast"/>
              <w:ind w:firstLine="0" w:firstLineChars="0"/>
              <w:jc w:val="center"/>
              <w:rPr>
                <w:rFonts w:ascii="Times New Roman"/>
                <w:sz w:val="18"/>
                <w:szCs w:val="18"/>
              </w:rPr>
            </w:pP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restart"/>
            <w:noWrap w:val="0"/>
            <w:vAlign w:val="center"/>
          </w:tcPr>
          <w:p>
            <w:pPr>
              <w:pStyle w:val="128"/>
              <w:spacing w:line="240" w:lineRule="atLeast"/>
              <w:ind w:firstLine="0" w:firstLineChars="0"/>
              <w:jc w:val="center"/>
              <w:rPr>
                <w:rFonts w:hint="eastAsia" w:ascii="Times New Roman" w:hAnsi="Times New Roman" w:eastAsia="宋体"/>
                <w:sz w:val="18"/>
                <w:szCs w:val="18"/>
                <w:highlight w:val="none"/>
                <w:lang w:eastAsia="zh-CN"/>
              </w:rPr>
            </w:pPr>
            <w:r>
              <w:rPr>
                <w:rFonts w:hint="eastAsia" w:ascii="Times New Roman" w:hAnsi="Times New Roman" w:eastAsia="宋体"/>
                <w:sz w:val="18"/>
                <w:szCs w:val="18"/>
                <w:highlight w:val="none"/>
                <w:lang w:val="en-US" w:eastAsia="zh-CN"/>
              </w:rPr>
              <w:t>零整</w:t>
            </w: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2</w:t>
            </w:r>
            <w:r>
              <w:rPr>
                <w:sz w:val="18"/>
                <w:szCs w:val="18"/>
                <w:highlight w:val="none"/>
              </w:rPr>
              <w:t>5</w:t>
            </w:r>
          </w:p>
        </w:tc>
        <w:tc>
          <w:tcPr>
            <w:tcW w:w="708" w:type="dxa"/>
            <w:vMerge w:val="restart"/>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15%</w:t>
            </w:r>
          </w:p>
        </w:tc>
        <w:tc>
          <w:tcPr>
            <w:tcW w:w="709" w:type="dxa"/>
            <w:noWrap w:val="0"/>
            <w:vAlign w:val="center"/>
          </w:tcPr>
          <w:p>
            <w:pPr>
              <w:adjustRightInd w:val="0"/>
              <w:snapToGrid w:val="0"/>
              <w:spacing w:line="240" w:lineRule="atLeast"/>
              <w:ind w:firstLine="0" w:firstLineChars="0"/>
              <w:jc w:val="center"/>
              <w:rPr>
                <w:rFonts w:hint="default"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restart"/>
            <w:noWrap w:val="0"/>
            <w:vAlign w:val="center"/>
          </w:tcPr>
          <w:p>
            <w:pPr>
              <w:pStyle w:val="128"/>
              <w:spacing w:line="240" w:lineRule="atLeast"/>
              <w:ind w:firstLine="0" w:firstLineChars="0"/>
              <w:jc w:val="center"/>
              <w:rPr>
                <w:rFonts w:ascii="Times New Roman" w:hAnsi="Times New Roman" w:eastAsia="宋体"/>
                <w:sz w:val="18"/>
                <w:szCs w:val="18"/>
                <w:highlight w:val="none"/>
              </w:rPr>
            </w:pPr>
            <w:r>
              <w:rPr>
                <w:rFonts w:ascii="Times New Roman" w:hAnsi="Times New Roman" w:eastAsia="宋体"/>
                <w:sz w:val="18"/>
                <w:szCs w:val="18"/>
                <w:highlight w:val="none"/>
              </w:rPr>
              <w:t>水污染物</w:t>
            </w:r>
          </w:p>
        </w:tc>
        <w:tc>
          <w:tcPr>
            <w:tcW w:w="6754" w:type="dxa"/>
            <w:noWrap w:val="0"/>
            <w:vAlign w:val="center"/>
          </w:tcPr>
          <w:p>
            <w:pPr>
              <w:pStyle w:val="128"/>
              <w:spacing w:line="240" w:lineRule="atLeast"/>
              <w:ind w:firstLine="0" w:firstLineChars="0"/>
              <w:jc w:val="both"/>
              <w:rPr>
                <w:rFonts w:ascii="Times New Roman" w:hAnsi="Times New Roman" w:eastAsia="宋体"/>
                <w:sz w:val="18"/>
                <w:szCs w:val="18"/>
                <w:highlight w:val="none"/>
              </w:rPr>
            </w:pPr>
            <w:r>
              <w:rPr>
                <w:rFonts w:ascii="Times New Roman" w:hAnsi="Times New Roman" w:eastAsia="宋体"/>
                <w:sz w:val="18"/>
                <w:szCs w:val="18"/>
              </w:rPr>
              <w:t>水污染物排放应符合相关国家标准、行业标准及地方标准要求，</w:t>
            </w:r>
            <w:r>
              <w:rPr>
                <w:rFonts w:hint="eastAsia" w:ascii="Times New Roman" w:hAnsi="Times New Roman" w:eastAsia="宋体"/>
                <w:sz w:val="18"/>
                <w:szCs w:val="18"/>
              </w:rPr>
              <w:t>按照</w:t>
            </w:r>
            <w:r>
              <w:rPr>
                <w:rFonts w:ascii="Times New Roman" w:hAnsi="Times New Roman" w:eastAsia="宋体"/>
                <w:sz w:val="18"/>
                <w:szCs w:val="18"/>
              </w:rPr>
              <w:t>HJ 1125的要求申请排污许可证，符合排污许可证要求并满足区域内排放总量控制要求。主要污染物排放应符合GB 26451要求。</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2</w:t>
            </w:r>
            <w:r>
              <w:rPr>
                <w:sz w:val="18"/>
                <w:szCs w:val="18"/>
                <w:highlight w:val="none"/>
              </w:rPr>
              <w:t>5</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default"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6754" w:type="dxa"/>
            <w:noWrap w:val="0"/>
            <w:vAlign w:val="center"/>
          </w:tcPr>
          <w:p>
            <w:pPr>
              <w:pStyle w:val="128"/>
              <w:spacing w:line="240" w:lineRule="atLeast"/>
              <w:ind w:firstLine="0" w:firstLineChars="0"/>
              <w:jc w:val="both"/>
              <w:rPr>
                <w:rFonts w:ascii="Times New Roman" w:hAnsi="Times New Roman" w:eastAsia="宋体"/>
                <w:sz w:val="18"/>
                <w:szCs w:val="18"/>
                <w:highlight w:val="none"/>
              </w:rPr>
            </w:pPr>
            <w:r>
              <w:rPr>
                <w:rFonts w:ascii="Times New Roman" w:hAnsi="Times New Roman" w:eastAsia="宋体"/>
                <w:sz w:val="18"/>
                <w:szCs w:val="18"/>
                <w:highlight w:val="none"/>
                <w:lang w:val="en-US" w:eastAsia="zh-CN"/>
              </w:rPr>
              <w:t>企业</w:t>
            </w:r>
            <w:r>
              <w:rPr>
                <w:rFonts w:hint="eastAsia" w:ascii="Times New Roman" w:hAnsi="Times New Roman" w:eastAsia="宋体"/>
                <w:sz w:val="18"/>
                <w:szCs w:val="18"/>
                <w:highlight w:val="none"/>
                <w:lang w:val="en-US" w:eastAsia="zh-CN"/>
              </w:rPr>
              <w:t>工业</w:t>
            </w:r>
            <w:r>
              <w:rPr>
                <w:rFonts w:ascii="Times New Roman" w:hAnsi="Times New Roman" w:eastAsia="宋体"/>
                <w:sz w:val="18"/>
                <w:szCs w:val="18"/>
                <w:highlight w:val="none"/>
                <w:lang w:val="en-US" w:eastAsia="zh-CN"/>
              </w:rPr>
              <w:t>污水实现零</w:t>
            </w:r>
            <w:r>
              <w:rPr>
                <w:rFonts w:hint="eastAsia" w:ascii="Times New Roman" w:hAnsi="Times New Roman" w:eastAsia="宋体"/>
                <w:sz w:val="18"/>
                <w:szCs w:val="18"/>
                <w:highlight w:val="none"/>
                <w:lang w:val="en-US" w:eastAsia="zh-CN"/>
              </w:rPr>
              <w:t>排放</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noWrap w:val="0"/>
            <w:vAlign w:val="center"/>
          </w:tcPr>
          <w:p>
            <w:pPr>
              <w:pStyle w:val="128"/>
              <w:spacing w:line="240" w:lineRule="atLeast"/>
              <w:ind w:firstLine="0" w:firstLineChars="0"/>
              <w:jc w:val="center"/>
              <w:rPr>
                <w:rFonts w:hint="default" w:ascii="Times New Roman" w:hAnsi="Times New Roman" w:eastAsia="宋体"/>
                <w:sz w:val="18"/>
                <w:szCs w:val="18"/>
                <w:highlight w:val="none"/>
                <w:lang w:val="en-US" w:eastAsia="zh-CN"/>
              </w:rPr>
            </w:pPr>
            <w:r>
              <w:rPr>
                <w:rFonts w:hint="eastAsia" w:ascii="Times New Roman" w:hAnsi="Times New Roman" w:eastAsia="宋体"/>
                <w:sz w:val="18"/>
                <w:szCs w:val="18"/>
                <w:highlight w:val="none"/>
                <w:lang w:val="en-US" w:eastAsia="zh-CN"/>
              </w:rPr>
              <w:t>加分</w:t>
            </w:r>
          </w:p>
        </w:tc>
        <w:tc>
          <w:tcPr>
            <w:tcW w:w="709" w:type="dxa"/>
            <w:noWrap w:val="0"/>
            <w:vAlign w:val="center"/>
          </w:tcPr>
          <w:p>
            <w:pPr>
              <w:adjustRightInd w:val="0"/>
              <w:snapToGrid w:val="0"/>
              <w:spacing w:line="240" w:lineRule="atLeast"/>
              <w:ind w:firstLine="0" w:firstLineChars="0"/>
              <w:jc w:val="center"/>
              <w:rPr>
                <w:rFonts w:hint="default" w:eastAsia="宋体"/>
                <w:sz w:val="18"/>
                <w:szCs w:val="18"/>
                <w:highlight w:val="none"/>
                <w:lang w:val="en-US" w:eastAsia="zh-CN"/>
              </w:rPr>
            </w:pPr>
            <w:r>
              <w:rPr>
                <w:rFonts w:hint="eastAsia"/>
                <w:sz w:val="18"/>
                <w:szCs w:val="18"/>
                <w:highlight w:val="none"/>
                <w:lang w:val="en-US" w:eastAsia="zh-CN"/>
              </w:rPr>
              <w:t>10</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default"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noWrap w:val="0"/>
            <w:vAlign w:val="center"/>
          </w:tcPr>
          <w:p>
            <w:pPr>
              <w:pStyle w:val="128"/>
              <w:spacing w:line="240" w:lineRule="atLeast"/>
              <w:ind w:firstLine="0" w:firstLineChars="0"/>
              <w:jc w:val="center"/>
              <w:rPr>
                <w:rFonts w:ascii="Times New Roman" w:hAnsi="Times New Roman" w:eastAsia="宋体"/>
                <w:sz w:val="18"/>
                <w:szCs w:val="18"/>
                <w:highlight w:val="none"/>
              </w:rPr>
            </w:pPr>
            <w:r>
              <w:rPr>
                <w:rFonts w:ascii="Times New Roman" w:hAnsi="Times New Roman" w:eastAsia="宋体"/>
                <w:sz w:val="18"/>
                <w:szCs w:val="18"/>
                <w:highlight w:val="none"/>
              </w:rPr>
              <w:t>固体废物</w:t>
            </w:r>
          </w:p>
        </w:tc>
        <w:tc>
          <w:tcPr>
            <w:tcW w:w="6754" w:type="dxa"/>
            <w:noWrap w:val="0"/>
            <w:vAlign w:val="center"/>
          </w:tcPr>
          <w:p>
            <w:pPr>
              <w:pStyle w:val="128"/>
              <w:spacing w:line="240" w:lineRule="atLeast"/>
              <w:ind w:firstLine="0" w:firstLineChars="0"/>
              <w:jc w:val="both"/>
              <w:rPr>
                <w:rFonts w:ascii="Times New Roman" w:hAnsi="Times New Roman" w:eastAsia="宋体"/>
                <w:sz w:val="18"/>
                <w:szCs w:val="18"/>
                <w:highlight w:val="none"/>
              </w:rPr>
            </w:pPr>
            <w:r>
              <w:rPr>
                <w:rFonts w:ascii="Times New Roman" w:hAnsi="Times New Roman" w:eastAsia="宋体"/>
                <w:sz w:val="18"/>
                <w:szCs w:val="18"/>
                <w:highlight w:val="none"/>
              </w:rPr>
              <w:t>工厂一般工业固体废物的处置应符合GB 18599及相关标准的要求。工厂无法自行处理的，应将固体废物转交给具备相应能力和资质的处理单位进行处理。放射性固体废物</w:t>
            </w:r>
            <w:r>
              <w:rPr>
                <w:rFonts w:hint="eastAsia" w:ascii="Times New Roman" w:hAnsi="Times New Roman" w:eastAsia="宋体"/>
                <w:sz w:val="18"/>
                <w:szCs w:val="18"/>
                <w:highlight w:val="none"/>
              </w:rPr>
              <w:t>的处置</w:t>
            </w:r>
            <w:r>
              <w:rPr>
                <w:rFonts w:ascii="Times New Roman" w:hAnsi="Times New Roman" w:eastAsia="宋体"/>
                <w:sz w:val="18"/>
                <w:szCs w:val="18"/>
                <w:highlight w:val="none"/>
              </w:rPr>
              <w:t>应符合GB 14500及GB 11806的要求。</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restart"/>
            <w:noWrap w:val="0"/>
            <w:vAlign w:val="center"/>
          </w:tcPr>
          <w:p>
            <w:pPr>
              <w:pStyle w:val="128"/>
              <w:spacing w:line="240" w:lineRule="atLeast"/>
              <w:ind w:firstLine="0" w:firstLineChars="0"/>
              <w:jc w:val="center"/>
              <w:rPr>
                <w:rFonts w:hint="eastAsia" w:ascii="Times New Roman" w:hAnsi="Times New Roman" w:eastAsia="宋体"/>
                <w:sz w:val="18"/>
                <w:szCs w:val="18"/>
                <w:highlight w:val="none"/>
                <w:lang w:eastAsia="zh-CN"/>
              </w:rPr>
            </w:pPr>
            <w:r>
              <w:rPr>
                <w:rFonts w:hint="eastAsia" w:ascii="Times New Roman" w:hAnsi="Times New Roman" w:eastAsia="宋体"/>
                <w:sz w:val="18"/>
                <w:szCs w:val="18"/>
                <w:highlight w:val="none"/>
                <w:lang w:val="en-US" w:eastAsia="zh-CN"/>
              </w:rPr>
              <w:t>零整</w:t>
            </w: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lang w:val="en-US" w:eastAsia="zh-CN"/>
              </w:rPr>
              <w:t>2</w:t>
            </w:r>
            <w:r>
              <w:rPr>
                <w:sz w:val="18"/>
                <w:szCs w:val="18"/>
                <w:highlight w:val="none"/>
              </w:rPr>
              <w:t>5</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default"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噪声</w:t>
            </w:r>
          </w:p>
        </w:tc>
        <w:tc>
          <w:tcPr>
            <w:tcW w:w="6754" w:type="dxa"/>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厂界环境噪声排放应符合GB 12348的要求。</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sz w:val="18"/>
                <w:szCs w:val="18"/>
                <w:highlight w:val="none"/>
              </w:rPr>
            </w:pPr>
            <w:r>
              <w:rPr>
                <w:rFonts w:hint="eastAsia"/>
                <w:sz w:val="18"/>
                <w:szCs w:val="18"/>
                <w:highlight w:val="none"/>
              </w:rPr>
              <w:t>1</w:t>
            </w:r>
            <w:r>
              <w:rPr>
                <w:rFonts w:hint="eastAsia"/>
                <w:sz w:val="18"/>
                <w:szCs w:val="18"/>
                <w:highlight w:val="none"/>
                <w:lang w:eastAsia="zh-CN"/>
              </w:rPr>
              <w:t>5</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default"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restart"/>
            <w:noWrap w:val="0"/>
            <w:vAlign w:val="center"/>
          </w:tcPr>
          <w:p>
            <w:pPr>
              <w:pStyle w:val="128"/>
              <w:spacing w:line="240" w:lineRule="atLeast"/>
              <w:ind w:firstLine="0" w:firstLineChars="0"/>
              <w:jc w:val="center"/>
              <w:rPr>
                <w:rFonts w:ascii="Times New Roman" w:hAnsi="Times New Roman" w:eastAsia="宋体"/>
                <w:sz w:val="18"/>
                <w:szCs w:val="18"/>
                <w:highlight w:val="none"/>
              </w:rPr>
            </w:pPr>
            <w:r>
              <w:rPr>
                <w:rFonts w:ascii="Times New Roman" w:hAnsi="Times New Roman" w:eastAsia="宋体"/>
                <w:sz w:val="18"/>
                <w:szCs w:val="18"/>
                <w:highlight w:val="none"/>
              </w:rPr>
              <w:t>温室气体</w:t>
            </w:r>
          </w:p>
        </w:tc>
        <w:tc>
          <w:tcPr>
            <w:tcW w:w="6754" w:type="dxa"/>
            <w:noWrap w:val="0"/>
            <w:vAlign w:val="center"/>
          </w:tcPr>
          <w:p>
            <w:pPr>
              <w:pStyle w:val="128"/>
              <w:spacing w:line="240" w:lineRule="atLeast"/>
              <w:ind w:firstLine="0" w:firstLineChars="0"/>
              <w:jc w:val="both"/>
              <w:rPr>
                <w:rFonts w:ascii="Times New Roman" w:hAnsi="Times New Roman" w:eastAsia="宋体"/>
                <w:sz w:val="18"/>
                <w:szCs w:val="18"/>
                <w:highlight w:val="none"/>
              </w:rPr>
            </w:pPr>
            <w:r>
              <w:rPr>
                <w:rFonts w:ascii="Times New Roman" w:hAnsi="Times New Roman" w:eastAsia="宋体"/>
                <w:sz w:val="18"/>
                <w:szCs w:val="18"/>
                <w:highlight w:val="none"/>
              </w:rPr>
              <w:t>应采用GB/T 32150或适用的标准或规范对其厂界范围内的温室气体排放进行核算和报告。</w:t>
            </w:r>
          </w:p>
        </w:tc>
        <w:tc>
          <w:tcPr>
            <w:tcW w:w="1418" w:type="dxa"/>
            <w:noWrap w:val="0"/>
            <w:vAlign w:val="center"/>
          </w:tcPr>
          <w:p>
            <w:pPr>
              <w:pStyle w:val="128"/>
              <w:spacing w:line="240" w:lineRule="atLeast"/>
              <w:ind w:firstLine="0" w:firstLineChars="0"/>
              <w:rPr>
                <w:rFonts w:hint="default" w:ascii="Times New Roman" w:hAnsi="Times New Roman" w:eastAsia="宋体"/>
                <w:sz w:val="18"/>
                <w:szCs w:val="18"/>
                <w:highlight w:val="none"/>
                <w:lang w:val="en-US" w:eastAsia="zh-CN"/>
              </w:rPr>
            </w:pPr>
          </w:p>
        </w:tc>
        <w:tc>
          <w:tcPr>
            <w:tcW w:w="992" w:type="dxa"/>
            <w:vMerge w:val="restart"/>
            <w:noWrap w:val="0"/>
            <w:vAlign w:val="center"/>
          </w:tcPr>
          <w:p>
            <w:pPr>
              <w:pStyle w:val="128"/>
              <w:spacing w:line="240" w:lineRule="atLeast"/>
              <w:ind w:firstLine="0" w:firstLineChars="0"/>
              <w:jc w:val="center"/>
              <w:rPr>
                <w:rFonts w:hint="eastAsia" w:ascii="Times New Roman" w:hAnsi="Times New Roman" w:eastAsia="宋体"/>
                <w:sz w:val="18"/>
                <w:szCs w:val="18"/>
                <w:highlight w:val="none"/>
                <w:lang w:val="en-US" w:eastAsia="zh-CN"/>
              </w:rPr>
            </w:pPr>
            <w:r>
              <w:rPr>
                <w:rFonts w:hint="eastAsia" w:ascii="Times New Roman" w:hAnsi="Times New Roman" w:eastAsia="宋体"/>
                <w:sz w:val="18"/>
                <w:szCs w:val="18"/>
                <w:highlight w:val="none"/>
                <w:lang w:val="en-US" w:eastAsia="zh-CN"/>
              </w:rPr>
              <w:t>取值</w:t>
            </w:r>
          </w:p>
        </w:tc>
        <w:tc>
          <w:tcPr>
            <w:tcW w:w="709" w:type="dxa"/>
            <w:noWrap w:val="0"/>
            <w:vAlign w:val="center"/>
          </w:tcPr>
          <w:p>
            <w:pPr>
              <w:adjustRightInd w:val="0"/>
              <w:snapToGrid w:val="0"/>
              <w:spacing w:line="240" w:lineRule="atLeast"/>
              <w:ind w:firstLine="0" w:firstLineChars="0"/>
              <w:jc w:val="center"/>
              <w:rPr>
                <w:rFonts w:hint="eastAsia"/>
                <w:sz w:val="18"/>
                <w:szCs w:val="18"/>
                <w:highlight w:val="none"/>
              </w:rPr>
            </w:pPr>
            <w:r>
              <w:rPr>
                <w:rFonts w:hint="eastAsia"/>
                <w:sz w:val="18"/>
                <w:szCs w:val="18"/>
                <w:highlight w:val="none"/>
                <w:lang w:eastAsia="zh-CN"/>
              </w:rPr>
              <w:t>3</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default"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宜获得温室气体排放量第三方核查声明。</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sz w:val="18"/>
                <w:szCs w:val="18"/>
                <w:highlight w:val="none"/>
              </w:rPr>
            </w:pPr>
            <w:r>
              <w:rPr>
                <w:rFonts w:hint="eastAsia"/>
                <w:sz w:val="18"/>
                <w:szCs w:val="18"/>
                <w:highlight w:val="none"/>
                <w:lang w:eastAsia="zh-CN"/>
              </w:rPr>
              <w:t>2</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宜利用核查结果对其温室气体的排放进行改善。</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eastAsia="zh-CN"/>
              </w:rPr>
            </w:pPr>
            <w:r>
              <w:rPr>
                <w:rFonts w:hint="eastAsia"/>
                <w:sz w:val="18"/>
                <w:szCs w:val="18"/>
                <w:highlight w:val="none"/>
                <w:lang w:val="en-US" w:eastAsia="zh-CN"/>
              </w:rPr>
              <w:t>3</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核查结果宜对外公布。</w:t>
            </w:r>
          </w:p>
        </w:tc>
        <w:tc>
          <w:tcPr>
            <w:tcW w:w="1418" w:type="dxa"/>
            <w:noWrap w:val="0"/>
            <w:vAlign w:val="center"/>
          </w:tcPr>
          <w:p>
            <w:pPr>
              <w:pStyle w:val="128"/>
              <w:spacing w:line="240" w:lineRule="atLeast"/>
              <w:ind w:firstLine="0" w:firstLineChars="0"/>
              <w:rPr>
                <w:rFonts w:hint="default" w:ascii="Times New Roman" w:hAnsi="Times New Roman" w:eastAsia="宋体"/>
                <w:sz w:val="18"/>
                <w:szCs w:val="18"/>
                <w:highlight w:val="none"/>
                <w:lang w:val="en-US" w:eastAsia="zh-CN"/>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eastAsia="zh-CN"/>
              </w:rPr>
            </w:pPr>
            <w:r>
              <w:rPr>
                <w:rFonts w:hint="eastAsia"/>
                <w:sz w:val="18"/>
                <w:szCs w:val="18"/>
                <w:highlight w:val="none"/>
                <w:lang w:val="en-US" w:eastAsia="zh-CN"/>
              </w:rPr>
              <w:t>2</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restart"/>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6</w:t>
            </w:r>
          </w:p>
        </w:tc>
        <w:tc>
          <w:tcPr>
            <w:tcW w:w="1158" w:type="dxa"/>
            <w:vMerge w:val="restart"/>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绩效</w:t>
            </w:r>
          </w:p>
        </w:tc>
        <w:tc>
          <w:tcPr>
            <w:tcW w:w="1193" w:type="dxa"/>
            <w:vMerge w:val="restart"/>
            <w:noWrap w:val="0"/>
            <w:vAlign w:val="center"/>
          </w:tcPr>
          <w:p>
            <w:pPr>
              <w:pStyle w:val="128"/>
              <w:spacing w:line="240" w:lineRule="atLeast"/>
              <w:ind w:firstLine="0" w:firstLineChars="0"/>
              <w:jc w:val="center"/>
              <w:rPr>
                <w:rFonts w:ascii="Times New Roman" w:hAnsi="Times New Roman" w:eastAsia="宋体"/>
                <w:sz w:val="18"/>
                <w:szCs w:val="18"/>
                <w:highlight w:val="none"/>
              </w:rPr>
            </w:pPr>
            <w:r>
              <w:rPr>
                <w:rFonts w:ascii="Times New Roman" w:hAnsi="Times New Roman" w:eastAsia="宋体"/>
                <w:sz w:val="18"/>
                <w:szCs w:val="18"/>
                <w:highlight w:val="none"/>
              </w:rPr>
              <w:t>用地集约化</w:t>
            </w:r>
          </w:p>
        </w:tc>
        <w:tc>
          <w:tcPr>
            <w:tcW w:w="6754" w:type="dxa"/>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按照GB/T 36132附录A计算工厂容积率，</w:t>
            </w:r>
            <w:r>
              <w:rPr>
                <w:rFonts w:hint="eastAsia" w:ascii="Times New Roman" w:hAnsi="Times New Roman" w:eastAsia="宋体"/>
                <w:sz w:val="18"/>
                <w:szCs w:val="18"/>
                <w:highlight w:val="none"/>
              </w:rPr>
              <w:t>指标应符合项目属地工业项目控制指标中的要求</w:t>
            </w:r>
            <w:r>
              <w:rPr>
                <w:rFonts w:ascii="Times New Roman" w:hAnsi="Times New Roman" w:eastAsia="宋体"/>
                <w:sz w:val="18"/>
                <w:szCs w:val="18"/>
                <w:highlight w:val="none"/>
              </w:rPr>
              <w:t>。</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restart"/>
            <w:noWrap w:val="0"/>
            <w:vAlign w:val="center"/>
          </w:tcPr>
          <w:p>
            <w:pPr>
              <w:pStyle w:val="128"/>
              <w:spacing w:line="240" w:lineRule="atLeast"/>
              <w:ind w:firstLine="0" w:firstLineChars="0"/>
              <w:jc w:val="center"/>
              <w:rPr>
                <w:rFonts w:hint="eastAsia" w:ascii="Times New Roman" w:hAnsi="Times New Roman" w:eastAsia="宋体"/>
                <w:sz w:val="18"/>
                <w:szCs w:val="18"/>
                <w:highlight w:val="none"/>
                <w:lang w:eastAsia="zh-CN"/>
              </w:rPr>
            </w:pPr>
            <w:r>
              <w:rPr>
                <w:rFonts w:hint="eastAsia" w:ascii="Times New Roman" w:hAnsi="Times New Roman" w:eastAsia="宋体"/>
                <w:sz w:val="18"/>
                <w:szCs w:val="18"/>
                <w:highlight w:val="none"/>
                <w:lang w:val="en-US" w:eastAsia="zh-CN"/>
              </w:rPr>
              <w:t>零整</w:t>
            </w: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3</w:t>
            </w:r>
          </w:p>
        </w:tc>
        <w:tc>
          <w:tcPr>
            <w:tcW w:w="708" w:type="dxa"/>
            <w:vMerge w:val="restart"/>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30%</w:t>
            </w: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按照GB/T 36132附录A计算工厂容积率，指标宜达到</w:t>
            </w:r>
            <w:r>
              <w:rPr>
                <w:rFonts w:hint="eastAsia" w:ascii="Times New Roman" w:hAnsi="Times New Roman" w:eastAsia="宋体"/>
                <w:sz w:val="18"/>
                <w:szCs w:val="18"/>
                <w:highlight w:val="none"/>
              </w:rPr>
              <w:t>地方要求</w:t>
            </w:r>
            <w:r>
              <w:rPr>
                <w:rFonts w:hint="eastAsia" w:ascii="Times New Roman" w:hAnsi="Times New Roman" w:eastAsia="宋体"/>
                <w:sz w:val="18"/>
                <w:szCs w:val="18"/>
                <w:highlight w:val="none"/>
                <w:lang w:val="en-US" w:eastAsia="zh-CN"/>
              </w:rPr>
              <w:t>或更高</w:t>
            </w:r>
            <w:r>
              <w:rPr>
                <w:rFonts w:ascii="Times New Roman" w:hAnsi="Times New Roman" w:eastAsia="宋体"/>
                <w:sz w:val="18"/>
                <w:szCs w:val="18"/>
                <w:highlight w:val="none"/>
              </w:rPr>
              <w:t>。</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2</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按照GB/T 36132附录A计算工厂容积率，指标达到</w:t>
            </w:r>
            <w:r>
              <w:rPr>
                <w:rFonts w:hint="eastAsia" w:ascii="Times New Roman" w:hAnsi="Times New Roman" w:eastAsia="宋体"/>
                <w:sz w:val="18"/>
                <w:szCs w:val="18"/>
                <w:highlight w:val="none"/>
              </w:rPr>
              <w:t>地方要求的1.2倍</w:t>
            </w:r>
            <w:r>
              <w:rPr>
                <w:rFonts w:ascii="Times New Roman" w:hAnsi="Times New Roman" w:eastAsia="宋体"/>
                <w:sz w:val="18"/>
                <w:szCs w:val="18"/>
                <w:highlight w:val="none"/>
              </w:rPr>
              <w:t>及以上。</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restart"/>
            <w:noWrap w:val="0"/>
            <w:vAlign w:val="center"/>
          </w:tcPr>
          <w:p>
            <w:pPr>
              <w:pStyle w:val="128"/>
              <w:spacing w:line="240" w:lineRule="atLeast"/>
              <w:ind w:firstLine="0" w:firstLineChars="0"/>
              <w:jc w:val="center"/>
              <w:rPr>
                <w:rFonts w:hint="default" w:ascii="Times New Roman" w:hAnsi="Times New Roman" w:eastAsia="宋体"/>
                <w:sz w:val="18"/>
                <w:szCs w:val="18"/>
                <w:highlight w:val="none"/>
                <w:lang w:val="en-US" w:eastAsia="zh-CN"/>
              </w:rPr>
            </w:pPr>
            <w:r>
              <w:rPr>
                <w:rFonts w:hint="eastAsia" w:ascii="Times New Roman" w:hAnsi="Times New Roman" w:eastAsia="宋体"/>
                <w:sz w:val="18"/>
                <w:szCs w:val="18"/>
                <w:highlight w:val="none"/>
                <w:lang w:val="en-US" w:eastAsia="zh-CN"/>
              </w:rPr>
              <w:t>加分</w:t>
            </w: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r>
              <w:rPr>
                <w:rFonts w:hint="eastAsia"/>
                <w:sz w:val="18"/>
                <w:szCs w:val="18"/>
                <w:highlight w:val="none"/>
                <w:lang w:val="en-US" w:eastAsia="zh-CN"/>
              </w:rPr>
              <w:t>5</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按照GB/T 36132附录A计算工厂容积率，指标达到</w:t>
            </w:r>
            <w:r>
              <w:rPr>
                <w:rFonts w:hint="eastAsia" w:ascii="Times New Roman" w:hAnsi="Times New Roman" w:eastAsia="宋体"/>
                <w:sz w:val="18"/>
                <w:szCs w:val="18"/>
                <w:highlight w:val="none"/>
              </w:rPr>
              <w:t>地方要求的</w:t>
            </w:r>
            <w:r>
              <w:rPr>
                <w:rFonts w:ascii="Times New Roman" w:hAnsi="Times New Roman" w:eastAsia="宋体"/>
                <w:sz w:val="18"/>
                <w:szCs w:val="18"/>
                <w:highlight w:val="none"/>
              </w:rPr>
              <w:t>1.5</w:t>
            </w:r>
            <w:r>
              <w:rPr>
                <w:rFonts w:hint="eastAsia" w:ascii="Times New Roman" w:hAnsi="Times New Roman" w:eastAsia="宋体"/>
                <w:sz w:val="18"/>
                <w:szCs w:val="18"/>
                <w:highlight w:val="none"/>
              </w:rPr>
              <w:t>倍</w:t>
            </w:r>
            <w:r>
              <w:rPr>
                <w:rFonts w:ascii="Times New Roman" w:hAnsi="Times New Roman" w:eastAsia="宋体"/>
                <w:sz w:val="18"/>
                <w:szCs w:val="18"/>
                <w:highlight w:val="none"/>
              </w:rPr>
              <w:t>及以上。</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default" w:eastAsia="宋体"/>
                <w:sz w:val="18"/>
                <w:szCs w:val="18"/>
                <w:highlight w:val="none"/>
                <w:lang w:val="en-US" w:eastAsia="zh-CN"/>
              </w:rPr>
            </w:pPr>
            <w:r>
              <w:rPr>
                <w:rFonts w:hint="eastAsia"/>
                <w:sz w:val="18"/>
                <w:szCs w:val="18"/>
                <w:highlight w:val="none"/>
                <w:lang w:val="en-US" w:eastAsia="zh-CN"/>
              </w:rPr>
              <w:t>10</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按照GB/T 36132附录A计算工厂建筑密度，建筑密度不应低于</w:t>
            </w:r>
            <w:r>
              <w:rPr>
                <w:rFonts w:ascii="Times New Roman" w:hAnsi="Times New Roman" w:eastAsia="宋体"/>
                <w:color w:val="0000FF"/>
                <w:sz w:val="18"/>
                <w:szCs w:val="18"/>
                <w:highlight w:val="none"/>
              </w:rPr>
              <w:t>50%</w:t>
            </w:r>
            <w:r>
              <w:rPr>
                <w:rFonts w:ascii="Times New Roman" w:hAnsi="Times New Roman" w:eastAsia="宋体"/>
                <w:sz w:val="18"/>
                <w:szCs w:val="18"/>
                <w:highlight w:val="none"/>
              </w:rPr>
              <w:t>。</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noWrap w:val="0"/>
            <w:vAlign w:val="center"/>
          </w:tcPr>
          <w:p>
            <w:pPr>
              <w:pStyle w:val="128"/>
              <w:spacing w:line="240" w:lineRule="atLeast"/>
              <w:ind w:firstLine="0" w:firstLineChars="0"/>
              <w:jc w:val="center"/>
              <w:rPr>
                <w:rFonts w:ascii="Times New Roman" w:hAnsi="Times New Roman" w:eastAsia="宋体"/>
                <w:sz w:val="18"/>
                <w:szCs w:val="18"/>
                <w:highlight w:val="none"/>
              </w:rPr>
            </w:pPr>
            <w:r>
              <w:rPr>
                <w:rFonts w:hint="eastAsia" w:ascii="Times New Roman" w:hAnsi="Times New Roman" w:eastAsia="宋体"/>
                <w:sz w:val="18"/>
                <w:szCs w:val="18"/>
                <w:highlight w:val="none"/>
                <w:lang w:val="en-US" w:eastAsia="zh-CN"/>
              </w:rPr>
              <w:t>零整</w:t>
            </w: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3</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按照GB/T 36132附录A计算工厂建筑密度，建筑密度宜达到</w:t>
            </w:r>
            <w:r>
              <w:rPr>
                <w:rFonts w:ascii="Times New Roman" w:hAnsi="Times New Roman" w:eastAsia="宋体"/>
                <w:color w:val="0000FF"/>
                <w:sz w:val="18"/>
                <w:szCs w:val="18"/>
                <w:highlight w:val="none"/>
              </w:rPr>
              <w:t>70%</w:t>
            </w:r>
            <w:r>
              <w:rPr>
                <w:rFonts w:ascii="Times New Roman" w:hAnsi="Times New Roman" w:eastAsia="宋体"/>
                <w:sz w:val="18"/>
                <w:szCs w:val="18"/>
                <w:highlight w:val="none"/>
              </w:rPr>
              <w:t>。</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noWrap w:val="0"/>
            <w:vAlign w:val="center"/>
          </w:tcPr>
          <w:p>
            <w:pPr>
              <w:pStyle w:val="128"/>
              <w:spacing w:line="240" w:lineRule="atLeast"/>
              <w:ind w:firstLine="0" w:firstLineChars="0"/>
              <w:jc w:val="center"/>
              <w:rPr>
                <w:rFonts w:hint="eastAsia" w:ascii="Times New Roman" w:hAnsi="Times New Roman" w:eastAsia="宋体"/>
                <w:sz w:val="18"/>
                <w:szCs w:val="18"/>
                <w:highlight w:val="none"/>
                <w:lang w:val="en-US" w:eastAsia="zh-CN"/>
              </w:rPr>
            </w:pPr>
            <w:r>
              <w:rPr>
                <w:rFonts w:hint="eastAsia" w:ascii="Times New Roman" w:hAnsi="Times New Roman" w:eastAsia="宋体"/>
                <w:sz w:val="18"/>
                <w:szCs w:val="18"/>
                <w:highlight w:val="none"/>
                <w:lang w:val="en-US" w:eastAsia="zh-CN"/>
              </w:rPr>
              <w:t>取值</w:t>
            </w: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2</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pStyle w:val="128"/>
              <w:spacing w:line="240" w:lineRule="atLeast"/>
              <w:ind w:firstLine="0" w:firstLineChars="0"/>
              <w:jc w:val="both"/>
              <w:rPr>
                <w:rFonts w:ascii="Times New Roman" w:hAnsi="Times New Roman" w:eastAsia="宋体"/>
                <w:sz w:val="18"/>
                <w:szCs w:val="18"/>
                <w:highlight w:val="none"/>
              </w:rPr>
            </w:pPr>
            <w:r>
              <w:rPr>
                <w:rFonts w:ascii="Times New Roman" w:hAnsi="Times New Roman" w:eastAsia="宋体"/>
                <w:sz w:val="18"/>
                <w:szCs w:val="18"/>
                <w:highlight w:val="none"/>
              </w:rPr>
              <w:t>工厂的单位用地面积产值不应低于地方发布的单位用地面积产值的要求；未发布单位用地面积产值的地区，单位用地面积产值应超过本年度所在省市的单位用地面积产值。</w:t>
            </w:r>
          </w:p>
        </w:tc>
        <w:tc>
          <w:tcPr>
            <w:tcW w:w="1418" w:type="dxa"/>
            <w:noWrap w:val="0"/>
            <w:vAlign w:val="center"/>
          </w:tcPr>
          <w:p>
            <w:pPr>
              <w:pStyle w:val="128"/>
              <w:spacing w:line="240" w:lineRule="atLeast"/>
              <w:ind w:firstLine="0" w:firstLineChars="0"/>
              <w:rPr>
                <w:rFonts w:hint="default" w:ascii="Times New Roman" w:hAnsi="Times New Roman" w:eastAsia="宋体"/>
                <w:sz w:val="18"/>
                <w:szCs w:val="18"/>
                <w:highlight w:val="none"/>
                <w:lang w:val="en-US" w:eastAsia="zh-CN"/>
              </w:rPr>
            </w:pPr>
          </w:p>
        </w:tc>
        <w:tc>
          <w:tcPr>
            <w:tcW w:w="992" w:type="dxa"/>
            <w:noWrap w:val="0"/>
            <w:vAlign w:val="center"/>
          </w:tcPr>
          <w:p>
            <w:pPr>
              <w:pStyle w:val="128"/>
              <w:spacing w:line="240" w:lineRule="atLeast"/>
              <w:ind w:firstLine="0" w:firstLineChars="0"/>
              <w:jc w:val="center"/>
              <w:rPr>
                <w:rFonts w:ascii="Times New Roman" w:hAnsi="Times New Roman" w:eastAsia="宋体"/>
                <w:sz w:val="18"/>
                <w:szCs w:val="18"/>
                <w:highlight w:val="none"/>
              </w:rPr>
            </w:pPr>
            <w:r>
              <w:rPr>
                <w:rFonts w:hint="eastAsia" w:ascii="Times New Roman" w:hAnsi="Times New Roman" w:eastAsia="宋体"/>
                <w:sz w:val="18"/>
                <w:szCs w:val="18"/>
                <w:highlight w:val="none"/>
                <w:lang w:val="en-US" w:eastAsia="zh-CN"/>
              </w:rPr>
              <w:t>零整</w:t>
            </w: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eastAsia="zh-CN"/>
              </w:rPr>
            </w:pPr>
            <w:r>
              <w:rPr>
                <w:rFonts w:hint="eastAsia"/>
                <w:sz w:val="18"/>
                <w:szCs w:val="18"/>
                <w:highlight w:val="none"/>
                <w:lang w:val="en-US" w:eastAsia="zh-CN"/>
              </w:rPr>
              <w:t>2</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pStyle w:val="128"/>
              <w:spacing w:line="240" w:lineRule="atLeast"/>
              <w:ind w:firstLine="0" w:firstLineChars="0"/>
              <w:jc w:val="both"/>
              <w:rPr>
                <w:rFonts w:ascii="Times New Roman" w:hAnsi="Times New Roman" w:eastAsia="宋体"/>
                <w:sz w:val="18"/>
                <w:szCs w:val="18"/>
                <w:highlight w:val="none"/>
              </w:rPr>
            </w:pPr>
            <w:r>
              <w:rPr>
                <w:rFonts w:ascii="Times New Roman" w:hAnsi="Times New Roman" w:eastAsia="宋体"/>
                <w:sz w:val="18"/>
                <w:szCs w:val="18"/>
                <w:highlight w:val="none"/>
              </w:rPr>
              <w:t>单位用地面积产值宜达到地方发布的单位用地面积产值的要求的1.2倍及以上；未发布单位用地面积产值的地区，单位用地面积产值宜达到本年度所在省市的单位用地面积产值1.2倍及以上。</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noWrap w:val="0"/>
            <w:vAlign w:val="center"/>
          </w:tcPr>
          <w:p>
            <w:pPr>
              <w:pStyle w:val="128"/>
              <w:spacing w:line="240" w:lineRule="atLeast"/>
              <w:ind w:firstLine="0" w:firstLineChars="0"/>
              <w:jc w:val="center"/>
              <w:rPr>
                <w:rFonts w:hint="eastAsia" w:ascii="Times New Roman" w:hAnsi="Times New Roman" w:eastAsia="宋体"/>
                <w:sz w:val="18"/>
                <w:szCs w:val="18"/>
                <w:highlight w:val="none"/>
                <w:lang w:val="en-US" w:eastAsia="zh-CN"/>
              </w:rPr>
            </w:pPr>
            <w:r>
              <w:rPr>
                <w:rFonts w:hint="eastAsia" w:ascii="Times New Roman" w:hAnsi="Times New Roman" w:eastAsia="宋体"/>
                <w:sz w:val="18"/>
                <w:szCs w:val="18"/>
                <w:highlight w:val="none"/>
                <w:lang w:val="en-US" w:eastAsia="zh-CN"/>
              </w:rPr>
              <w:t>加分</w:t>
            </w: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eastAsia="zh-CN"/>
              </w:rPr>
            </w:pPr>
            <w:r>
              <w:rPr>
                <w:rFonts w:hint="eastAsia"/>
                <w:sz w:val="18"/>
                <w:szCs w:val="18"/>
                <w:highlight w:val="none"/>
                <w:lang w:val="en-US" w:eastAsia="zh-CN"/>
              </w:rPr>
              <w:t>3</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6754" w:type="dxa"/>
            <w:noWrap w:val="0"/>
            <w:vAlign w:val="center"/>
          </w:tcPr>
          <w:p>
            <w:pPr>
              <w:pStyle w:val="128"/>
              <w:spacing w:line="240" w:lineRule="atLeast"/>
              <w:ind w:firstLine="0" w:firstLineChars="0"/>
              <w:jc w:val="both"/>
              <w:rPr>
                <w:rFonts w:hint="eastAsia" w:ascii="Times New Roman" w:hAnsi="Times New Roman" w:eastAsia="宋体"/>
                <w:sz w:val="18"/>
                <w:szCs w:val="18"/>
                <w:highlight w:val="none"/>
                <w:lang w:val="en-US" w:eastAsia="zh-CN"/>
              </w:rPr>
            </w:pPr>
            <w:r>
              <w:rPr>
                <w:rFonts w:ascii="Times New Roman" w:hAnsi="Times New Roman" w:eastAsia="宋体"/>
                <w:sz w:val="18"/>
                <w:szCs w:val="18"/>
                <w:highlight w:val="none"/>
              </w:rPr>
              <w:t>单位用地面积产值宜达到地方发布的单位用地面积产值的要求的2倍及以上</w:t>
            </w:r>
            <w:r>
              <w:rPr>
                <w:rFonts w:hint="eastAsia" w:ascii="Times New Roman" w:hAnsi="Times New Roman" w:eastAsia="宋体"/>
                <w:sz w:val="18"/>
                <w:szCs w:val="18"/>
                <w:highlight w:val="none"/>
                <w:lang w:eastAsia="zh-CN"/>
              </w:rPr>
              <w:t>；</w:t>
            </w:r>
            <w:r>
              <w:rPr>
                <w:rFonts w:ascii="Times New Roman" w:hAnsi="Times New Roman" w:eastAsia="宋体"/>
                <w:sz w:val="18"/>
                <w:szCs w:val="18"/>
                <w:highlight w:val="none"/>
              </w:rPr>
              <w:t>未发布单位用地面积产值的地区，单位用地面积产值宜达到本年度所在省市的单位用地面积产值</w:t>
            </w:r>
            <w:r>
              <w:rPr>
                <w:rFonts w:hint="eastAsia" w:ascii="Times New Roman" w:hAnsi="Times New Roman" w:eastAsia="宋体"/>
                <w:sz w:val="18"/>
                <w:szCs w:val="18"/>
                <w:highlight w:val="none"/>
                <w:lang w:val="en-US" w:eastAsia="zh-CN"/>
              </w:rPr>
              <w:t>的</w:t>
            </w:r>
            <w:r>
              <w:rPr>
                <w:rFonts w:ascii="Times New Roman" w:hAnsi="Times New Roman" w:eastAsia="宋体"/>
                <w:sz w:val="18"/>
                <w:szCs w:val="18"/>
                <w:highlight w:val="none"/>
              </w:rPr>
              <w:t>2倍及以上。</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noWrap w:val="0"/>
            <w:vAlign w:val="center"/>
          </w:tcPr>
          <w:p>
            <w:pPr>
              <w:pStyle w:val="128"/>
              <w:spacing w:line="240" w:lineRule="atLeast"/>
              <w:ind w:firstLine="0" w:firstLineChars="0"/>
              <w:jc w:val="center"/>
              <w:rPr>
                <w:rFonts w:hint="default" w:ascii="Times New Roman" w:hAnsi="Times New Roman" w:eastAsia="宋体"/>
                <w:sz w:val="18"/>
                <w:szCs w:val="18"/>
                <w:highlight w:val="none"/>
                <w:lang w:val="en-US" w:eastAsia="zh-CN"/>
              </w:rPr>
            </w:pPr>
            <w:r>
              <w:rPr>
                <w:rFonts w:hint="eastAsia" w:ascii="Times New Roman" w:hAnsi="Times New Roman" w:eastAsia="宋体"/>
                <w:sz w:val="18"/>
                <w:szCs w:val="18"/>
                <w:highlight w:val="none"/>
                <w:lang w:val="en-US" w:eastAsia="zh-CN"/>
              </w:rPr>
              <w:t>加分</w:t>
            </w:r>
          </w:p>
        </w:tc>
        <w:tc>
          <w:tcPr>
            <w:tcW w:w="709" w:type="dxa"/>
            <w:noWrap w:val="0"/>
            <w:vAlign w:val="center"/>
          </w:tcPr>
          <w:p>
            <w:pPr>
              <w:adjustRightInd w:val="0"/>
              <w:snapToGrid w:val="0"/>
              <w:spacing w:line="240" w:lineRule="atLeast"/>
              <w:ind w:firstLine="0" w:firstLineChars="0"/>
              <w:jc w:val="center"/>
              <w:rPr>
                <w:rFonts w:hint="default"/>
                <w:sz w:val="18"/>
                <w:szCs w:val="18"/>
                <w:highlight w:val="none"/>
                <w:lang w:val="en-US" w:eastAsia="zh-CN"/>
              </w:rPr>
            </w:pPr>
            <w:r>
              <w:rPr>
                <w:rFonts w:hint="eastAsia"/>
                <w:sz w:val="18"/>
                <w:szCs w:val="18"/>
                <w:highlight w:val="none"/>
                <w:lang w:val="en-US" w:eastAsia="zh-CN"/>
              </w:rPr>
              <w:t>5</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restart"/>
            <w:noWrap w:val="0"/>
            <w:vAlign w:val="center"/>
          </w:tcPr>
          <w:p>
            <w:pPr>
              <w:pStyle w:val="128"/>
              <w:spacing w:line="240" w:lineRule="atLeast"/>
              <w:ind w:firstLine="0" w:firstLineChars="0"/>
              <w:jc w:val="center"/>
              <w:rPr>
                <w:rFonts w:ascii="Times New Roman" w:hAnsi="Times New Roman" w:eastAsia="宋体"/>
                <w:sz w:val="18"/>
                <w:szCs w:val="18"/>
                <w:highlight w:val="none"/>
              </w:rPr>
            </w:pPr>
            <w:r>
              <w:rPr>
                <w:rFonts w:ascii="Times New Roman" w:hAnsi="Times New Roman" w:eastAsia="宋体"/>
                <w:sz w:val="18"/>
                <w:szCs w:val="18"/>
                <w:highlight w:val="none"/>
              </w:rPr>
              <w:t>原料</w:t>
            </w:r>
          </w:p>
          <w:p>
            <w:pPr>
              <w:pStyle w:val="128"/>
              <w:spacing w:line="240" w:lineRule="atLeast"/>
              <w:ind w:firstLine="0" w:firstLineChars="0"/>
              <w:jc w:val="center"/>
              <w:rPr>
                <w:rFonts w:ascii="Times New Roman" w:hAnsi="Times New Roman" w:eastAsia="宋体"/>
                <w:sz w:val="18"/>
                <w:szCs w:val="18"/>
                <w:highlight w:val="none"/>
              </w:rPr>
            </w:pPr>
            <w:r>
              <w:rPr>
                <w:rFonts w:ascii="Times New Roman" w:hAnsi="Times New Roman" w:eastAsia="宋体"/>
                <w:sz w:val="18"/>
                <w:szCs w:val="18"/>
                <w:highlight w:val="none"/>
              </w:rPr>
              <w:t>无害化</w:t>
            </w:r>
          </w:p>
        </w:tc>
        <w:tc>
          <w:tcPr>
            <w:tcW w:w="6754" w:type="dxa"/>
            <w:noWrap w:val="0"/>
            <w:vAlign w:val="center"/>
          </w:tcPr>
          <w:p>
            <w:pPr>
              <w:pStyle w:val="128"/>
              <w:spacing w:line="240" w:lineRule="atLeast"/>
              <w:ind w:firstLine="0" w:firstLineChars="0"/>
              <w:jc w:val="both"/>
              <w:rPr>
                <w:rFonts w:ascii="Times New Roman" w:hAnsi="Times New Roman" w:eastAsia="宋体"/>
                <w:sz w:val="18"/>
                <w:szCs w:val="18"/>
                <w:highlight w:val="none"/>
              </w:rPr>
            </w:pPr>
            <w:r>
              <w:rPr>
                <w:rFonts w:hint="eastAsia" w:ascii="Times New Roman" w:hAnsi="Times New Roman" w:eastAsia="宋体"/>
                <w:sz w:val="18"/>
                <w:szCs w:val="18"/>
                <w:highlight w:val="none"/>
                <w:lang w:val="en-US" w:eastAsia="zh-CN"/>
              </w:rPr>
              <w:t>鼓励或者提倡使用经过无害化处理的稀土二次资源作为原材料进行资源综合利用，提高二次资源使用率，并提高稀土资源的回收率。工厂宜按照ISO14021的要求对稀土二次资源的使用进行声明。</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noWrap w:val="0"/>
            <w:vAlign w:val="center"/>
          </w:tcPr>
          <w:p>
            <w:pPr>
              <w:pStyle w:val="128"/>
              <w:spacing w:line="240" w:lineRule="atLeast"/>
              <w:ind w:firstLine="0" w:firstLineChars="0"/>
              <w:jc w:val="center"/>
              <w:rPr>
                <w:rFonts w:hint="eastAsia" w:ascii="Times New Roman" w:hAnsi="Times New Roman" w:eastAsia="宋体"/>
                <w:sz w:val="18"/>
                <w:szCs w:val="18"/>
                <w:highlight w:val="none"/>
                <w:lang w:eastAsia="zh-CN"/>
              </w:rPr>
            </w:pPr>
            <w:r>
              <w:rPr>
                <w:rFonts w:hint="eastAsia" w:ascii="Times New Roman" w:hAnsi="Times New Roman" w:eastAsia="宋体"/>
                <w:sz w:val="18"/>
                <w:szCs w:val="18"/>
                <w:highlight w:val="none"/>
                <w:lang w:val="en-US" w:eastAsia="zh-CN"/>
              </w:rPr>
              <w:t>取值</w:t>
            </w:r>
          </w:p>
        </w:tc>
        <w:tc>
          <w:tcPr>
            <w:tcW w:w="709" w:type="dxa"/>
            <w:noWrap w:val="0"/>
            <w:vAlign w:val="center"/>
          </w:tcPr>
          <w:p>
            <w:pPr>
              <w:adjustRightInd w:val="0"/>
              <w:snapToGrid w:val="0"/>
              <w:spacing w:line="240" w:lineRule="atLeast"/>
              <w:ind w:firstLine="0" w:firstLineChars="0"/>
              <w:jc w:val="center"/>
              <w:rPr>
                <w:rFonts w:hint="default" w:eastAsia="宋体"/>
                <w:sz w:val="18"/>
                <w:szCs w:val="18"/>
                <w:highlight w:val="none"/>
                <w:lang w:val="en-US" w:eastAsia="zh-CN"/>
              </w:rPr>
            </w:pPr>
            <w:r>
              <w:rPr>
                <w:rFonts w:hint="eastAsia"/>
                <w:sz w:val="18"/>
                <w:szCs w:val="18"/>
                <w:highlight w:val="none"/>
                <w:lang w:val="en-US" w:eastAsia="zh-CN"/>
              </w:rPr>
              <w:t>10</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6754" w:type="dxa"/>
            <w:noWrap w:val="0"/>
            <w:vAlign w:val="center"/>
          </w:tcPr>
          <w:p>
            <w:pPr>
              <w:pStyle w:val="128"/>
              <w:spacing w:line="240" w:lineRule="atLeast"/>
              <w:ind w:firstLine="0" w:firstLineChars="0"/>
              <w:jc w:val="both"/>
              <w:rPr>
                <w:rFonts w:hint="eastAsia" w:ascii="Times New Roman" w:hAnsi="Times New Roman" w:eastAsia="宋体"/>
                <w:sz w:val="18"/>
                <w:szCs w:val="18"/>
                <w:highlight w:val="none"/>
                <w:lang w:val="en-US" w:eastAsia="zh-CN"/>
              </w:rPr>
            </w:pPr>
            <w:r>
              <w:rPr>
                <w:rFonts w:hint="eastAsia" w:ascii="Times New Roman" w:hAnsi="Times New Roman" w:eastAsia="宋体"/>
                <w:sz w:val="18"/>
                <w:szCs w:val="18"/>
                <w:highlight w:val="none"/>
                <w:lang w:val="en-US" w:eastAsia="zh-CN"/>
              </w:rPr>
              <w:t>按照GB/T 36132附录A计算工厂主要物料的绿色物料使用率达 60%及以上。</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noWrap w:val="0"/>
            <w:vAlign w:val="center"/>
          </w:tcPr>
          <w:p>
            <w:pPr>
              <w:pStyle w:val="128"/>
              <w:spacing w:line="240" w:lineRule="atLeast"/>
              <w:ind w:firstLine="0" w:firstLineChars="0"/>
              <w:jc w:val="center"/>
              <w:rPr>
                <w:rFonts w:hint="default" w:ascii="Times New Roman" w:hAnsi="Times New Roman" w:eastAsia="宋体"/>
                <w:sz w:val="18"/>
                <w:szCs w:val="18"/>
                <w:highlight w:val="none"/>
                <w:lang w:val="en-US" w:eastAsia="zh-CN"/>
              </w:rPr>
            </w:pPr>
            <w:r>
              <w:rPr>
                <w:rFonts w:hint="eastAsia" w:ascii="Times New Roman" w:hAnsi="Times New Roman" w:eastAsia="宋体"/>
                <w:sz w:val="18"/>
                <w:szCs w:val="18"/>
                <w:highlight w:val="none"/>
                <w:lang w:val="en-US" w:eastAsia="zh-CN"/>
              </w:rPr>
              <w:t>加分</w:t>
            </w:r>
          </w:p>
        </w:tc>
        <w:tc>
          <w:tcPr>
            <w:tcW w:w="709" w:type="dxa"/>
            <w:noWrap w:val="0"/>
            <w:vAlign w:val="center"/>
          </w:tcPr>
          <w:p>
            <w:pPr>
              <w:adjustRightInd w:val="0"/>
              <w:snapToGrid w:val="0"/>
              <w:spacing w:line="240" w:lineRule="atLeast"/>
              <w:ind w:firstLine="0" w:firstLineChars="0"/>
              <w:jc w:val="center"/>
              <w:rPr>
                <w:rFonts w:hint="default"/>
                <w:sz w:val="18"/>
                <w:szCs w:val="18"/>
                <w:highlight w:val="none"/>
                <w:lang w:val="en-US" w:eastAsia="zh-CN"/>
              </w:rPr>
            </w:pPr>
            <w:r>
              <w:rPr>
                <w:rFonts w:hint="eastAsia"/>
                <w:sz w:val="18"/>
                <w:szCs w:val="18"/>
                <w:highlight w:val="none"/>
                <w:lang w:val="en-US" w:eastAsia="zh-CN"/>
              </w:rPr>
              <w:t>10</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restart"/>
            <w:noWrap w:val="0"/>
            <w:vAlign w:val="center"/>
          </w:tcPr>
          <w:p>
            <w:pPr>
              <w:pStyle w:val="128"/>
              <w:spacing w:line="240" w:lineRule="atLeast"/>
              <w:ind w:firstLine="0" w:firstLineChars="0"/>
              <w:jc w:val="center"/>
              <w:rPr>
                <w:rFonts w:ascii="Times New Roman" w:hAnsi="Times New Roman" w:eastAsia="宋体"/>
                <w:sz w:val="18"/>
                <w:szCs w:val="18"/>
                <w:highlight w:val="none"/>
              </w:rPr>
            </w:pPr>
            <w:r>
              <w:rPr>
                <w:rFonts w:ascii="Times New Roman" w:hAnsi="Times New Roman" w:eastAsia="宋体"/>
                <w:sz w:val="18"/>
                <w:szCs w:val="18"/>
                <w:highlight w:val="none"/>
              </w:rPr>
              <w:t>生产</w:t>
            </w:r>
          </w:p>
          <w:p>
            <w:pPr>
              <w:pStyle w:val="128"/>
              <w:spacing w:line="240" w:lineRule="atLeast"/>
              <w:ind w:firstLine="0" w:firstLineChars="0"/>
              <w:jc w:val="center"/>
              <w:rPr>
                <w:rFonts w:ascii="Times New Roman" w:hAnsi="Times New Roman" w:eastAsia="宋体"/>
                <w:sz w:val="18"/>
                <w:szCs w:val="18"/>
                <w:highlight w:val="none"/>
              </w:rPr>
            </w:pPr>
            <w:r>
              <w:rPr>
                <w:rFonts w:ascii="Times New Roman" w:hAnsi="Times New Roman" w:eastAsia="宋体"/>
                <w:sz w:val="18"/>
                <w:szCs w:val="18"/>
                <w:highlight w:val="none"/>
              </w:rPr>
              <w:t>洁净化</w:t>
            </w:r>
          </w:p>
        </w:tc>
        <w:tc>
          <w:tcPr>
            <w:tcW w:w="6754" w:type="dxa"/>
            <w:noWrap w:val="0"/>
            <w:vAlign w:val="center"/>
          </w:tcPr>
          <w:p>
            <w:pPr>
              <w:pStyle w:val="128"/>
              <w:spacing w:line="240" w:lineRule="atLeast"/>
              <w:ind w:firstLine="0" w:firstLineChars="0"/>
              <w:rPr>
                <w:rFonts w:ascii="Times New Roman" w:hAnsi="Times New Roman" w:eastAsia="宋体"/>
                <w:sz w:val="18"/>
                <w:szCs w:val="18"/>
                <w:highlight w:val="none"/>
              </w:rPr>
            </w:pPr>
            <w:r>
              <w:rPr>
                <w:rFonts w:hint="eastAsia" w:ascii="Times New Roman" w:hAnsi="Times New Roman" w:eastAsia="宋体"/>
                <w:sz w:val="18"/>
                <w:szCs w:val="18"/>
                <w:highlight w:val="none"/>
              </w:rPr>
              <w:t>所有产品</w:t>
            </w:r>
            <w:r>
              <w:rPr>
                <w:rFonts w:ascii="Times New Roman" w:hAnsi="Times New Roman" w:eastAsia="宋体"/>
                <w:sz w:val="18"/>
                <w:szCs w:val="18"/>
                <w:highlight w:val="none"/>
              </w:rPr>
              <w:t>单位产品</w:t>
            </w:r>
            <w:r>
              <w:rPr>
                <w:rFonts w:hint="eastAsia" w:ascii="Times New Roman" w:hAnsi="Times New Roman" w:eastAsia="宋体"/>
                <w:sz w:val="18"/>
                <w:szCs w:val="18"/>
                <w:highlight w:val="none"/>
              </w:rPr>
              <w:t>固体</w:t>
            </w:r>
            <w:r>
              <w:rPr>
                <w:rFonts w:ascii="Times New Roman" w:hAnsi="Times New Roman" w:eastAsia="宋体"/>
                <w:sz w:val="18"/>
                <w:szCs w:val="18"/>
                <w:highlight w:val="none"/>
              </w:rPr>
              <w:t>污染物产生量</w:t>
            </w:r>
            <w:r>
              <w:rPr>
                <w:rFonts w:hint="eastAsia" w:ascii="Times New Roman" w:hAnsi="Times New Roman" w:eastAsia="宋体"/>
                <w:sz w:val="18"/>
                <w:szCs w:val="18"/>
                <w:highlight w:val="none"/>
              </w:rPr>
              <w:t>达到II级要求</w:t>
            </w:r>
            <w:r>
              <w:rPr>
                <w:rFonts w:ascii="Times New Roman" w:hAnsi="Times New Roman" w:eastAsia="宋体"/>
                <w:sz w:val="18"/>
                <w:szCs w:val="18"/>
                <w:highlight w:val="none"/>
              </w:rPr>
              <w:t>。</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restart"/>
            <w:noWrap w:val="0"/>
            <w:vAlign w:val="center"/>
          </w:tcPr>
          <w:p>
            <w:pPr>
              <w:pStyle w:val="128"/>
              <w:spacing w:line="240" w:lineRule="atLeast"/>
              <w:ind w:firstLine="0" w:firstLineChars="0"/>
              <w:jc w:val="center"/>
              <w:rPr>
                <w:rFonts w:hint="eastAsia" w:ascii="Times New Roman" w:hAnsi="Times New Roman" w:eastAsia="宋体"/>
                <w:sz w:val="18"/>
                <w:szCs w:val="18"/>
                <w:highlight w:val="none"/>
                <w:lang w:eastAsia="zh-CN"/>
              </w:rPr>
            </w:pPr>
            <w:r>
              <w:rPr>
                <w:rFonts w:hint="eastAsia" w:ascii="Times New Roman" w:hAnsi="Times New Roman" w:eastAsia="宋体"/>
                <w:sz w:val="18"/>
                <w:szCs w:val="18"/>
                <w:highlight w:val="none"/>
                <w:lang w:val="en-US" w:eastAsia="zh-CN"/>
              </w:rPr>
              <w:t>零整</w:t>
            </w:r>
          </w:p>
        </w:tc>
        <w:tc>
          <w:tcPr>
            <w:tcW w:w="709" w:type="dxa"/>
            <w:noWrap w:val="0"/>
            <w:vAlign w:val="center"/>
          </w:tcPr>
          <w:p>
            <w:pPr>
              <w:adjustRightInd w:val="0"/>
              <w:snapToGrid w:val="0"/>
              <w:spacing w:line="240" w:lineRule="atLeast"/>
              <w:ind w:firstLine="0" w:firstLineChars="0"/>
              <w:jc w:val="center"/>
              <w:rPr>
                <w:sz w:val="18"/>
                <w:szCs w:val="18"/>
                <w:highlight w:val="none"/>
              </w:rPr>
            </w:pPr>
            <w:r>
              <w:rPr>
                <w:color w:val="000000"/>
                <w:sz w:val="18"/>
                <w:szCs w:val="18"/>
                <w:highlight w:val="none"/>
              </w:rPr>
              <w:t>6</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pStyle w:val="128"/>
              <w:spacing w:line="240" w:lineRule="auto"/>
              <w:ind w:firstLine="0" w:firstLineChars="0"/>
              <w:rPr>
                <w:rFonts w:ascii="Times New Roman" w:hAnsi="Times New Roman" w:eastAsia="宋体"/>
                <w:sz w:val="18"/>
                <w:szCs w:val="18"/>
                <w:highlight w:val="none"/>
              </w:rPr>
            </w:pPr>
            <w:r>
              <w:rPr>
                <w:rFonts w:hint="eastAsia" w:ascii="Times New Roman" w:hAnsi="Times New Roman" w:eastAsia="宋体"/>
                <w:sz w:val="18"/>
                <w:szCs w:val="18"/>
              </w:rPr>
              <w:t>所有产品</w:t>
            </w:r>
            <w:r>
              <w:rPr>
                <w:rFonts w:ascii="Times New Roman" w:hAnsi="Times New Roman" w:eastAsia="宋体"/>
                <w:sz w:val="18"/>
                <w:szCs w:val="18"/>
              </w:rPr>
              <w:t>单位产品</w:t>
            </w:r>
            <w:r>
              <w:rPr>
                <w:rFonts w:hint="eastAsia" w:ascii="Times New Roman" w:hAnsi="Times New Roman" w:eastAsia="宋体"/>
                <w:sz w:val="18"/>
                <w:szCs w:val="18"/>
              </w:rPr>
              <w:t>固体</w:t>
            </w:r>
            <w:r>
              <w:rPr>
                <w:rFonts w:ascii="Times New Roman" w:hAnsi="Times New Roman" w:eastAsia="宋体"/>
                <w:sz w:val="18"/>
                <w:szCs w:val="18"/>
              </w:rPr>
              <w:t>污染物产生量</w:t>
            </w:r>
            <w:r>
              <w:rPr>
                <w:rFonts w:hint="eastAsia" w:ascii="Times New Roman" w:hAnsi="Times New Roman" w:eastAsia="宋体"/>
                <w:sz w:val="18"/>
                <w:szCs w:val="18"/>
              </w:rPr>
              <w:t>达到I级要求</w:t>
            </w:r>
            <w:r>
              <w:rPr>
                <w:rFonts w:ascii="Times New Roman" w:hAnsi="Times New Roman" w:eastAsia="宋体"/>
                <w:sz w:val="18"/>
                <w:szCs w:val="18"/>
              </w:rPr>
              <w:t>。</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color w:val="000000"/>
                <w:sz w:val="18"/>
                <w:szCs w:val="18"/>
                <w:highlight w:val="none"/>
              </w:rPr>
              <w:t>4</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pStyle w:val="128"/>
              <w:spacing w:line="240" w:lineRule="auto"/>
              <w:ind w:firstLine="0" w:firstLineChars="0"/>
              <w:rPr>
                <w:rFonts w:ascii="Times New Roman" w:hAnsi="Times New Roman" w:eastAsia="宋体"/>
                <w:sz w:val="18"/>
                <w:szCs w:val="18"/>
                <w:highlight w:val="none"/>
              </w:rPr>
            </w:pPr>
            <w:r>
              <w:rPr>
                <w:rFonts w:hint="eastAsia" w:ascii="Times New Roman" w:hAnsi="Times New Roman" w:eastAsia="宋体"/>
                <w:sz w:val="18"/>
                <w:szCs w:val="18"/>
              </w:rPr>
              <w:t>所有产品</w:t>
            </w:r>
            <w:r>
              <w:rPr>
                <w:rFonts w:ascii="Times New Roman" w:hAnsi="Times New Roman" w:eastAsia="宋体"/>
                <w:sz w:val="18"/>
                <w:szCs w:val="18"/>
              </w:rPr>
              <w:t>单位产品</w:t>
            </w:r>
            <w:r>
              <w:rPr>
                <w:rFonts w:hint="eastAsia" w:ascii="Times New Roman" w:hAnsi="Times New Roman" w:eastAsia="宋体"/>
                <w:sz w:val="18"/>
                <w:szCs w:val="18"/>
              </w:rPr>
              <w:t>气体污染物指标达到II级要求</w:t>
            </w:r>
            <w:r>
              <w:rPr>
                <w:rFonts w:ascii="Times New Roman" w:hAnsi="Times New Roman" w:eastAsia="宋体"/>
                <w:sz w:val="18"/>
                <w:szCs w:val="18"/>
              </w:rPr>
              <w:t>。</w:t>
            </w:r>
          </w:p>
        </w:tc>
        <w:tc>
          <w:tcPr>
            <w:tcW w:w="1418" w:type="dxa"/>
            <w:tcBorders>
              <w:top w:val="single" w:color="auto" w:sz="4" w:space="0"/>
              <w:bottom w:val="single" w:color="auto" w:sz="4" w:space="0"/>
            </w:tcBorders>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color w:val="000000"/>
                <w:sz w:val="18"/>
                <w:szCs w:val="18"/>
                <w:highlight w:val="none"/>
              </w:rPr>
              <w:t>6</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pStyle w:val="128"/>
              <w:spacing w:line="240" w:lineRule="auto"/>
              <w:ind w:firstLine="0" w:firstLineChars="0"/>
              <w:rPr>
                <w:rFonts w:ascii="Times New Roman" w:hAnsi="Times New Roman" w:eastAsia="宋体"/>
                <w:sz w:val="18"/>
                <w:szCs w:val="18"/>
                <w:highlight w:val="none"/>
              </w:rPr>
            </w:pPr>
            <w:r>
              <w:rPr>
                <w:rFonts w:hint="eastAsia" w:ascii="Times New Roman" w:hAnsi="Times New Roman" w:eastAsia="宋体"/>
                <w:sz w:val="18"/>
                <w:szCs w:val="18"/>
              </w:rPr>
              <w:t>所有产品</w:t>
            </w:r>
            <w:r>
              <w:rPr>
                <w:rFonts w:ascii="Times New Roman" w:hAnsi="Times New Roman" w:eastAsia="宋体"/>
                <w:sz w:val="18"/>
                <w:szCs w:val="18"/>
              </w:rPr>
              <w:t>单位产品</w:t>
            </w:r>
            <w:r>
              <w:rPr>
                <w:rFonts w:hint="eastAsia" w:ascii="Times New Roman" w:hAnsi="Times New Roman" w:eastAsia="宋体"/>
                <w:sz w:val="18"/>
                <w:szCs w:val="18"/>
              </w:rPr>
              <w:t>气体污染物指标达到I级要求</w:t>
            </w:r>
            <w:r>
              <w:rPr>
                <w:rFonts w:ascii="Times New Roman" w:hAnsi="Times New Roman" w:eastAsia="宋体"/>
                <w:sz w:val="18"/>
                <w:szCs w:val="18"/>
              </w:rPr>
              <w:t>。</w:t>
            </w:r>
          </w:p>
        </w:tc>
        <w:tc>
          <w:tcPr>
            <w:tcW w:w="1418" w:type="dxa"/>
            <w:tcBorders>
              <w:top w:val="single" w:color="auto" w:sz="4" w:space="0"/>
            </w:tcBorders>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color w:val="000000"/>
                <w:sz w:val="18"/>
                <w:szCs w:val="18"/>
                <w:highlight w:val="none"/>
              </w:rPr>
              <w:t>4</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pStyle w:val="128"/>
              <w:spacing w:line="240" w:lineRule="auto"/>
              <w:ind w:firstLine="0" w:firstLineChars="0"/>
              <w:rPr>
                <w:rFonts w:ascii="Times New Roman" w:hAnsi="Times New Roman" w:eastAsia="宋体"/>
                <w:sz w:val="18"/>
                <w:szCs w:val="18"/>
                <w:highlight w:val="none"/>
              </w:rPr>
            </w:pPr>
            <w:r>
              <w:rPr>
                <w:rFonts w:hint="eastAsia" w:ascii="Times New Roman" w:hAnsi="Times New Roman" w:eastAsia="宋体"/>
                <w:sz w:val="18"/>
                <w:szCs w:val="18"/>
              </w:rPr>
              <w:t>所有产品</w:t>
            </w:r>
            <w:r>
              <w:rPr>
                <w:rFonts w:ascii="Times New Roman" w:hAnsi="Times New Roman" w:eastAsia="宋体"/>
                <w:sz w:val="18"/>
                <w:szCs w:val="18"/>
              </w:rPr>
              <w:t>单位产品</w:t>
            </w:r>
            <w:r>
              <w:rPr>
                <w:rFonts w:hint="eastAsia" w:ascii="Times New Roman" w:hAnsi="Times New Roman" w:eastAsia="宋体"/>
                <w:sz w:val="18"/>
                <w:szCs w:val="18"/>
              </w:rPr>
              <w:t>废水指标应达到II级要求。</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color w:val="000000"/>
                <w:sz w:val="18"/>
                <w:szCs w:val="18"/>
                <w:highlight w:val="none"/>
              </w:rPr>
              <w:t>6</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pStyle w:val="128"/>
              <w:spacing w:line="240" w:lineRule="auto"/>
              <w:ind w:firstLine="0" w:firstLineChars="0"/>
              <w:jc w:val="both"/>
              <w:rPr>
                <w:rFonts w:ascii="Times New Roman" w:hAnsi="Times New Roman" w:eastAsia="宋体"/>
                <w:sz w:val="18"/>
                <w:szCs w:val="18"/>
                <w:highlight w:val="none"/>
              </w:rPr>
            </w:pPr>
            <w:r>
              <w:rPr>
                <w:rFonts w:hint="eastAsia" w:ascii="Times New Roman" w:hAnsi="Times New Roman" w:eastAsia="宋体"/>
                <w:sz w:val="18"/>
                <w:szCs w:val="18"/>
              </w:rPr>
              <w:t>所有产品</w:t>
            </w:r>
            <w:r>
              <w:rPr>
                <w:rFonts w:ascii="Times New Roman" w:hAnsi="Times New Roman" w:eastAsia="宋体"/>
                <w:sz w:val="18"/>
                <w:szCs w:val="18"/>
              </w:rPr>
              <w:t>单位产品</w:t>
            </w:r>
            <w:r>
              <w:rPr>
                <w:rFonts w:hint="eastAsia" w:ascii="Times New Roman" w:hAnsi="Times New Roman" w:eastAsia="宋体"/>
                <w:sz w:val="18"/>
                <w:szCs w:val="18"/>
              </w:rPr>
              <w:t>废水指标应达到I级要求。</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color w:val="000000"/>
                <w:sz w:val="18"/>
                <w:szCs w:val="18"/>
                <w:highlight w:val="none"/>
              </w:rPr>
              <w:t>4</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restart"/>
            <w:noWrap w:val="0"/>
            <w:vAlign w:val="center"/>
          </w:tcPr>
          <w:p>
            <w:pPr>
              <w:adjustRightInd w:val="0"/>
              <w:snapToGrid w:val="0"/>
              <w:spacing w:line="240" w:lineRule="atLeast"/>
              <w:ind w:firstLine="0" w:firstLineChars="0"/>
              <w:jc w:val="center"/>
              <w:rPr>
                <w:rFonts w:hint="default" w:eastAsia="宋体"/>
                <w:sz w:val="18"/>
                <w:szCs w:val="18"/>
                <w:highlight w:val="none"/>
                <w:lang w:val="en-US" w:eastAsia="zh-CN"/>
              </w:rPr>
            </w:pPr>
            <w:r>
              <w:rPr>
                <w:rFonts w:hint="eastAsia"/>
                <w:sz w:val="18"/>
                <w:szCs w:val="18"/>
                <w:highlight w:val="none"/>
                <w:lang w:val="en-US" w:eastAsia="zh-CN"/>
              </w:rPr>
              <w:t>资源综合利用</w:t>
            </w:r>
          </w:p>
        </w:tc>
        <w:tc>
          <w:tcPr>
            <w:tcW w:w="6754" w:type="dxa"/>
            <w:noWrap w:val="0"/>
            <w:vAlign w:val="center"/>
          </w:tcPr>
          <w:p>
            <w:pPr>
              <w:pStyle w:val="128"/>
              <w:spacing w:line="240" w:lineRule="auto"/>
              <w:ind w:firstLine="0" w:firstLineChars="0"/>
              <w:jc w:val="both"/>
              <w:rPr>
                <w:rFonts w:ascii="Times New Roman" w:hAnsi="Times New Roman" w:eastAsia="宋体"/>
                <w:sz w:val="18"/>
                <w:szCs w:val="18"/>
                <w:highlight w:val="none"/>
              </w:rPr>
            </w:pPr>
            <w:r>
              <w:rPr>
                <w:rFonts w:hint="eastAsia" w:ascii="Times New Roman" w:hAnsi="Times New Roman" w:eastAsia="宋体"/>
                <w:sz w:val="18"/>
                <w:szCs w:val="18"/>
              </w:rPr>
              <w:t>所有产品</w:t>
            </w:r>
            <w:r>
              <w:rPr>
                <w:rFonts w:ascii="Times New Roman" w:hAnsi="Times New Roman" w:eastAsia="宋体"/>
                <w:sz w:val="18"/>
                <w:szCs w:val="18"/>
              </w:rPr>
              <w:t>单位产品</w:t>
            </w:r>
            <w:r>
              <w:rPr>
                <w:rFonts w:hint="eastAsia" w:ascii="Times New Roman" w:hAnsi="Times New Roman" w:eastAsia="宋体"/>
                <w:sz w:val="18"/>
                <w:szCs w:val="18"/>
              </w:rPr>
              <w:t>资源综合利用指标达到II级要求。</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restart"/>
            <w:noWrap w:val="0"/>
            <w:vAlign w:val="center"/>
          </w:tcPr>
          <w:p>
            <w:pPr>
              <w:pStyle w:val="128"/>
              <w:spacing w:line="240" w:lineRule="atLeast"/>
              <w:ind w:firstLine="0" w:firstLineChars="0"/>
              <w:jc w:val="center"/>
              <w:rPr>
                <w:rFonts w:hint="eastAsia" w:ascii="Times New Roman" w:hAnsi="Times New Roman" w:eastAsia="宋体"/>
                <w:sz w:val="18"/>
                <w:szCs w:val="18"/>
                <w:highlight w:val="none"/>
                <w:lang w:eastAsia="zh-CN"/>
              </w:rPr>
            </w:pPr>
            <w:r>
              <w:rPr>
                <w:rFonts w:hint="eastAsia" w:ascii="Times New Roman" w:hAnsi="Times New Roman" w:eastAsia="宋体"/>
                <w:sz w:val="18"/>
                <w:szCs w:val="18"/>
                <w:highlight w:val="none"/>
                <w:lang w:val="en-US" w:eastAsia="zh-CN"/>
              </w:rPr>
              <w:t>零整</w:t>
            </w:r>
          </w:p>
        </w:tc>
        <w:tc>
          <w:tcPr>
            <w:tcW w:w="709" w:type="dxa"/>
            <w:noWrap w:val="0"/>
            <w:vAlign w:val="center"/>
          </w:tcPr>
          <w:p>
            <w:pPr>
              <w:adjustRightInd w:val="0"/>
              <w:snapToGrid w:val="0"/>
              <w:spacing w:line="240" w:lineRule="atLeast"/>
              <w:ind w:firstLine="0" w:firstLineChars="0"/>
              <w:jc w:val="center"/>
              <w:rPr>
                <w:rFonts w:hint="default" w:eastAsia="宋体"/>
                <w:sz w:val="18"/>
                <w:szCs w:val="18"/>
                <w:highlight w:val="none"/>
                <w:lang w:val="en-US" w:eastAsia="zh-CN"/>
              </w:rPr>
            </w:pPr>
            <w:r>
              <w:rPr>
                <w:rFonts w:hint="eastAsia"/>
                <w:color w:val="000000"/>
                <w:sz w:val="18"/>
                <w:szCs w:val="18"/>
                <w:highlight w:val="none"/>
                <w:lang w:val="en-US" w:eastAsia="zh-CN"/>
              </w:rPr>
              <w:t>18</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default"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pStyle w:val="128"/>
              <w:spacing w:line="240" w:lineRule="auto"/>
              <w:ind w:firstLine="0" w:firstLineChars="0"/>
              <w:jc w:val="both"/>
              <w:rPr>
                <w:rFonts w:ascii="Times New Roman" w:hAnsi="Times New Roman" w:eastAsia="宋体"/>
                <w:sz w:val="18"/>
                <w:szCs w:val="18"/>
                <w:highlight w:val="none"/>
              </w:rPr>
            </w:pPr>
            <w:r>
              <w:rPr>
                <w:rFonts w:hint="eastAsia" w:ascii="Times New Roman" w:hAnsi="Times New Roman" w:eastAsia="宋体"/>
                <w:sz w:val="18"/>
                <w:szCs w:val="18"/>
              </w:rPr>
              <w:t>所有产品</w:t>
            </w:r>
            <w:r>
              <w:rPr>
                <w:rFonts w:ascii="Times New Roman" w:hAnsi="Times New Roman" w:eastAsia="宋体"/>
                <w:sz w:val="18"/>
                <w:szCs w:val="18"/>
              </w:rPr>
              <w:t>单位产品</w:t>
            </w:r>
            <w:r>
              <w:rPr>
                <w:rFonts w:hint="eastAsia" w:ascii="Times New Roman" w:hAnsi="Times New Roman" w:eastAsia="宋体"/>
                <w:sz w:val="18"/>
                <w:szCs w:val="18"/>
              </w:rPr>
              <w:t>资源综合利用指标达到I级要求</w:t>
            </w:r>
            <w:r>
              <w:rPr>
                <w:rFonts w:ascii="Times New Roman" w:hAnsi="Times New Roman" w:eastAsia="宋体"/>
                <w:sz w:val="18"/>
                <w:szCs w:val="18"/>
              </w:rPr>
              <w:t>。</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default" w:eastAsia="宋体"/>
                <w:sz w:val="18"/>
                <w:szCs w:val="18"/>
                <w:highlight w:val="none"/>
                <w:lang w:val="en-US" w:eastAsia="zh-CN"/>
              </w:rPr>
            </w:pPr>
            <w:r>
              <w:rPr>
                <w:rFonts w:hint="eastAsia"/>
                <w:color w:val="000000"/>
                <w:sz w:val="18"/>
                <w:szCs w:val="18"/>
                <w:highlight w:val="none"/>
                <w:lang w:val="en-US" w:eastAsia="zh-CN"/>
              </w:rPr>
              <w:t>12</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default"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restart"/>
            <w:noWrap w:val="0"/>
            <w:vAlign w:val="center"/>
          </w:tcPr>
          <w:p>
            <w:pPr>
              <w:pStyle w:val="128"/>
              <w:spacing w:line="240" w:lineRule="atLeast"/>
              <w:ind w:firstLine="0" w:firstLineChars="0"/>
              <w:jc w:val="center"/>
              <w:rPr>
                <w:rFonts w:ascii="Times New Roman" w:hAnsi="Times New Roman" w:eastAsia="宋体"/>
                <w:sz w:val="18"/>
                <w:szCs w:val="18"/>
                <w:highlight w:val="none"/>
              </w:rPr>
            </w:pPr>
            <w:r>
              <w:rPr>
                <w:rFonts w:ascii="Times New Roman" w:hAnsi="Times New Roman" w:eastAsia="宋体"/>
                <w:sz w:val="18"/>
                <w:szCs w:val="18"/>
                <w:highlight w:val="none"/>
              </w:rPr>
              <w:t>能源</w:t>
            </w:r>
          </w:p>
          <w:p>
            <w:pPr>
              <w:pStyle w:val="128"/>
              <w:spacing w:line="240" w:lineRule="atLeast"/>
              <w:ind w:firstLine="0" w:firstLineChars="0"/>
              <w:jc w:val="center"/>
              <w:rPr>
                <w:rFonts w:ascii="Times New Roman" w:hAnsi="Times New Roman" w:eastAsia="宋体"/>
                <w:sz w:val="18"/>
                <w:szCs w:val="18"/>
                <w:highlight w:val="none"/>
              </w:rPr>
            </w:pPr>
            <w:r>
              <w:rPr>
                <w:rFonts w:ascii="Times New Roman" w:hAnsi="Times New Roman" w:eastAsia="宋体"/>
                <w:sz w:val="18"/>
                <w:szCs w:val="18"/>
                <w:highlight w:val="none"/>
              </w:rPr>
              <w:t>低碳化</w:t>
            </w:r>
          </w:p>
        </w:tc>
        <w:tc>
          <w:tcPr>
            <w:tcW w:w="6754" w:type="dxa"/>
            <w:noWrap w:val="0"/>
            <w:vAlign w:val="center"/>
          </w:tcPr>
          <w:p>
            <w:pPr>
              <w:pStyle w:val="128"/>
              <w:spacing w:line="240" w:lineRule="auto"/>
              <w:ind w:firstLine="0" w:firstLineChars="0"/>
              <w:rPr>
                <w:sz w:val="18"/>
                <w:szCs w:val="18"/>
                <w:highlight w:val="none"/>
              </w:rPr>
            </w:pPr>
            <w:r>
              <w:rPr>
                <w:rFonts w:hint="eastAsia" w:ascii="Times New Roman" w:hAnsi="Times New Roman" w:eastAsia="宋体"/>
                <w:sz w:val="18"/>
                <w:szCs w:val="18"/>
              </w:rPr>
              <w:t>所有产品</w:t>
            </w:r>
            <w:r>
              <w:rPr>
                <w:rFonts w:ascii="Times New Roman" w:hAnsi="Times New Roman" w:eastAsia="宋体"/>
                <w:sz w:val="18"/>
                <w:szCs w:val="18"/>
              </w:rPr>
              <w:t>单位产品</w:t>
            </w:r>
            <w:r>
              <w:rPr>
                <w:rFonts w:hint="eastAsia" w:ascii="Times New Roman" w:hAnsi="Times New Roman" w:eastAsia="宋体"/>
                <w:sz w:val="18"/>
                <w:szCs w:val="18"/>
              </w:rPr>
              <w:t>资源综合利用指标达到II级要求。</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restart"/>
            <w:noWrap w:val="0"/>
            <w:vAlign w:val="center"/>
          </w:tcPr>
          <w:p>
            <w:pPr>
              <w:pStyle w:val="128"/>
              <w:spacing w:line="240" w:lineRule="atLeast"/>
              <w:ind w:firstLine="0" w:firstLineChars="0"/>
              <w:jc w:val="center"/>
              <w:rPr>
                <w:rFonts w:hint="eastAsia" w:ascii="Times New Roman" w:hAnsi="Times New Roman" w:eastAsia="宋体"/>
                <w:sz w:val="18"/>
                <w:szCs w:val="18"/>
                <w:highlight w:val="none"/>
                <w:lang w:eastAsia="zh-CN"/>
              </w:rPr>
            </w:pPr>
            <w:r>
              <w:rPr>
                <w:rFonts w:hint="eastAsia" w:ascii="Times New Roman" w:hAnsi="Times New Roman" w:eastAsia="宋体"/>
                <w:sz w:val="18"/>
                <w:szCs w:val="18"/>
                <w:highlight w:val="none"/>
                <w:lang w:val="en-US" w:eastAsia="zh-CN"/>
              </w:rPr>
              <w:t>零整</w:t>
            </w:r>
          </w:p>
        </w:tc>
        <w:tc>
          <w:tcPr>
            <w:tcW w:w="709" w:type="dxa"/>
            <w:noWrap w:val="0"/>
            <w:vAlign w:val="center"/>
          </w:tcPr>
          <w:p>
            <w:pPr>
              <w:adjustRightInd w:val="0"/>
              <w:snapToGrid w:val="0"/>
              <w:spacing w:line="240" w:lineRule="atLeast"/>
              <w:ind w:firstLine="0" w:firstLineChars="0"/>
              <w:jc w:val="center"/>
              <w:rPr>
                <w:sz w:val="18"/>
                <w:szCs w:val="18"/>
                <w:highlight w:val="none"/>
              </w:rPr>
            </w:pPr>
            <w:r>
              <w:rPr>
                <w:color w:val="000000"/>
                <w:sz w:val="18"/>
                <w:szCs w:val="18"/>
                <w:highlight w:val="none"/>
              </w:rPr>
              <w:t>6</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pStyle w:val="128"/>
              <w:spacing w:line="240" w:lineRule="auto"/>
              <w:ind w:firstLine="0" w:firstLineChars="0"/>
              <w:rPr>
                <w:sz w:val="18"/>
                <w:szCs w:val="18"/>
                <w:highlight w:val="none"/>
              </w:rPr>
            </w:pPr>
            <w:r>
              <w:rPr>
                <w:rFonts w:hint="eastAsia" w:ascii="Times New Roman" w:hAnsi="Times New Roman" w:eastAsia="宋体"/>
                <w:sz w:val="18"/>
                <w:szCs w:val="18"/>
              </w:rPr>
              <w:t>所有产品</w:t>
            </w:r>
            <w:r>
              <w:rPr>
                <w:rFonts w:ascii="Times New Roman" w:hAnsi="Times New Roman" w:eastAsia="宋体"/>
                <w:sz w:val="18"/>
                <w:szCs w:val="18"/>
              </w:rPr>
              <w:t>单位产品</w:t>
            </w:r>
            <w:r>
              <w:rPr>
                <w:rFonts w:hint="eastAsia" w:ascii="Times New Roman" w:hAnsi="Times New Roman" w:eastAsia="宋体"/>
                <w:sz w:val="18"/>
                <w:szCs w:val="18"/>
              </w:rPr>
              <w:t>资源综合利用指标达到I级要求</w:t>
            </w:r>
            <w:r>
              <w:rPr>
                <w:rFonts w:ascii="Times New Roman" w:hAnsi="Times New Roman" w:eastAsia="宋体"/>
                <w:sz w:val="18"/>
                <w:szCs w:val="18"/>
              </w:rPr>
              <w:t>。</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color w:val="000000"/>
                <w:sz w:val="18"/>
                <w:szCs w:val="18"/>
                <w:highlight w:val="none"/>
              </w:rPr>
              <w:t>4</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应按照GB/T 36132附录A计算单位产品碳排放量。</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color w:val="000000"/>
                <w:sz w:val="18"/>
                <w:szCs w:val="18"/>
                <w:highlight w:val="none"/>
              </w:rPr>
              <w:t>3</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碳排放量宜逐年下降。</w:t>
            </w:r>
          </w:p>
        </w:tc>
        <w:tc>
          <w:tcPr>
            <w:tcW w:w="1418" w:type="dxa"/>
            <w:noWrap w:val="0"/>
            <w:vAlign w:val="center"/>
          </w:tcPr>
          <w:p>
            <w:pPr>
              <w:pStyle w:val="128"/>
              <w:spacing w:line="240" w:lineRule="atLeast"/>
              <w:ind w:firstLine="0" w:firstLineChars="0"/>
              <w:rPr>
                <w:rFonts w:hint="default" w:ascii="Times New Roman" w:hAnsi="Times New Roman" w:eastAsia="宋体"/>
                <w:sz w:val="18"/>
                <w:szCs w:val="18"/>
                <w:highlight w:val="none"/>
                <w:lang w:val="en-US" w:eastAsia="zh-CN"/>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color w:val="000000"/>
                <w:sz w:val="18"/>
                <w:szCs w:val="18"/>
                <w:highlight w:val="none"/>
              </w:rPr>
              <w:t>2</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13603" w:type="dxa"/>
            <w:gridSpan w:val="8"/>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总分</w:t>
            </w: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bl>
    <w:p>
      <w:pPr>
        <w:rPr>
          <w:highlight w:val="none"/>
        </w:rPr>
        <w:sectPr>
          <w:footerReference r:id="rId17" w:type="default"/>
          <w:footerReference r:id="rId18" w:type="even"/>
          <w:pgSz w:w="16839" w:h="11907" w:orient="landscape"/>
          <w:pgMar w:top="1134" w:right="1134" w:bottom="1418" w:left="1418" w:header="1418" w:footer="851" w:gutter="0"/>
          <w:pgNumType w:fmt="decimal"/>
          <w:cols w:space="720" w:num="1"/>
          <w:docGrid w:type="lines" w:linePitch="312" w:charSpace="0"/>
        </w:sectPr>
      </w:pPr>
    </w:p>
    <w:p>
      <w:pPr>
        <w:pStyle w:val="2"/>
        <w:keepNext/>
        <w:keepLines/>
        <w:pageBreakBefore w:val="0"/>
        <w:widowControl w:val="0"/>
        <w:kinsoku/>
        <w:wordWrap/>
        <w:overflowPunct/>
        <w:topLinePunct w:val="0"/>
        <w:autoSpaceDE/>
        <w:autoSpaceDN/>
        <w:bidi w:val="0"/>
        <w:adjustRightInd w:val="0"/>
        <w:snapToGrid w:val="0"/>
        <w:spacing w:before="0" w:after="0" w:line="240" w:lineRule="atLeast"/>
        <w:ind w:left="0" w:leftChars="0" w:firstLine="0" w:firstLineChars="0"/>
        <w:jc w:val="center"/>
        <w:textAlignment w:val="auto"/>
        <w:rPr>
          <w:rFonts w:hint="eastAsia" w:ascii="黑体" w:hAnsi="黑体" w:eastAsia="黑体" w:cs="黑体"/>
          <w:b w:val="0"/>
          <w:bCs w:val="0"/>
          <w:sz w:val="28"/>
          <w:szCs w:val="28"/>
        </w:rPr>
      </w:pPr>
      <w:bookmarkStart w:id="47" w:name="_Toc57730000"/>
      <w:bookmarkStart w:id="48" w:name="_Toc19896"/>
      <w:bookmarkStart w:id="49" w:name="_Toc58969113"/>
      <w:bookmarkStart w:id="50" w:name="_Toc4633"/>
      <w:r>
        <w:rPr>
          <w:rFonts w:hint="eastAsia" w:ascii="黑体" w:hAnsi="黑体" w:eastAsia="黑体" w:cs="黑体"/>
          <w:b w:val="0"/>
          <w:bCs w:val="0"/>
          <w:sz w:val="28"/>
          <w:szCs w:val="28"/>
        </w:rPr>
        <w:t>附录 B</w:t>
      </w:r>
      <w:bookmarkEnd w:id="47"/>
      <w:bookmarkEnd w:id="48"/>
      <w:bookmarkEnd w:id="49"/>
      <w:bookmarkEnd w:id="50"/>
    </w:p>
    <w:p>
      <w:pPr>
        <w:pageBreakBefore w:val="0"/>
        <w:widowControl w:val="0"/>
        <w:kinsoku/>
        <w:wordWrap/>
        <w:overflowPunct/>
        <w:topLinePunct w:val="0"/>
        <w:autoSpaceDE/>
        <w:autoSpaceDN/>
        <w:bidi w:val="0"/>
        <w:spacing w:line="240" w:lineRule="atLeast"/>
        <w:ind w:left="0" w:leftChars="0" w:firstLine="0" w:firstLineChars="0"/>
        <w:jc w:val="center"/>
        <w:textAlignment w:val="auto"/>
      </w:pPr>
      <w:r>
        <w:rPr>
          <w:rFonts w:hint="eastAsia"/>
        </w:rPr>
        <w:t>（规范性）</w:t>
      </w:r>
    </w:p>
    <w:p>
      <w:pPr>
        <w:pageBreakBefore w:val="0"/>
        <w:widowControl w:val="0"/>
        <w:kinsoku/>
        <w:wordWrap/>
        <w:overflowPunct/>
        <w:topLinePunct w:val="0"/>
        <w:autoSpaceDE/>
        <w:autoSpaceDN/>
        <w:bidi w:val="0"/>
        <w:adjustRightInd w:val="0"/>
        <w:snapToGrid w:val="0"/>
        <w:spacing w:line="240" w:lineRule="atLeast"/>
        <w:ind w:left="0" w:leftChars="0" w:firstLine="0" w:firstLineChars="0"/>
        <w:jc w:val="center"/>
        <w:textAlignment w:val="auto"/>
        <w:rPr>
          <w:rFonts w:ascii="黑体" w:hAnsi="黑体" w:eastAsia="黑体" w:cs="黑体"/>
        </w:rPr>
      </w:pPr>
      <w:r>
        <w:rPr>
          <w:rFonts w:hint="eastAsia" w:ascii="黑体" w:hAnsi="黑体" w:eastAsia="黑体" w:cs="黑体"/>
        </w:rPr>
        <w:t>取值分值计算方法</w:t>
      </w:r>
    </w:p>
    <w:p>
      <w:pPr>
        <w:pageBreakBefore w:val="0"/>
        <w:widowControl w:val="0"/>
        <w:kinsoku/>
        <w:wordWrap/>
        <w:overflowPunct/>
        <w:topLinePunct w:val="0"/>
        <w:autoSpaceDE/>
        <w:autoSpaceDN/>
        <w:bidi w:val="0"/>
        <w:spacing w:line="240" w:lineRule="atLeast"/>
        <w:ind w:left="0" w:leftChars="0" w:firstLine="0" w:firstLineChars="0"/>
        <w:textAlignment w:val="auto"/>
        <w:rPr>
          <w:rFonts w:ascii="黑体" w:hAnsi="黑体" w:eastAsia="黑体"/>
        </w:rPr>
      </w:pPr>
      <w:r>
        <w:rPr>
          <w:rFonts w:ascii="黑体" w:hAnsi="黑体" w:eastAsia="黑体"/>
        </w:rPr>
        <w:t>B.1</w:t>
      </w:r>
      <w:r>
        <w:rPr>
          <w:rFonts w:hint="eastAsia" w:ascii="黑体" w:hAnsi="黑体" w:eastAsia="黑体"/>
        </w:rPr>
        <w:t>建筑结构评分</w:t>
      </w:r>
    </w:p>
    <w:p>
      <w:pPr>
        <w:pageBreakBefore w:val="0"/>
        <w:widowControl w:val="0"/>
        <w:kinsoku/>
        <w:wordWrap/>
        <w:overflowPunct/>
        <w:topLinePunct w:val="0"/>
        <w:autoSpaceDE/>
        <w:autoSpaceDN/>
        <w:bidi w:val="0"/>
        <w:spacing w:line="240" w:lineRule="atLeast"/>
        <w:ind w:left="0" w:leftChars="0" w:firstLine="0" w:firstLineChars="0"/>
        <w:textAlignment w:val="auto"/>
      </w:pPr>
      <w:r>
        <w:rPr>
          <w:rFonts w:hint="eastAsia"/>
        </w:rPr>
        <w:t>建筑结构评分按公式（B</w:t>
      </w:r>
      <w:r>
        <w:t>1</w:t>
      </w:r>
      <w:r>
        <w:rPr>
          <w:rFonts w:hint="eastAsia"/>
        </w:rPr>
        <w:t>）计算。</w:t>
      </w:r>
    </w:p>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pPr>
      <m:oMath>
        <m:sSub>
          <m:sSubPr>
            <m:ctrlPr>
              <w:rPr>
                <w:rFonts w:hint="default" w:ascii="Cambria Math" w:hAnsi="Cambria Math"/>
                <w:i/>
              </w:rPr>
            </m:ctrlPr>
          </m:sSubPr>
          <m:e>
            <m:r>
              <m:rPr/>
              <w:rPr>
                <w:rFonts w:hint="eastAsia" w:ascii="Cambria Math" w:hAnsi="Cambria Math"/>
              </w:rPr>
              <m:t>Y</m:t>
            </m:r>
            <m:ctrlPr>
              <w:rPr>
                <w:rFonts w:hint="default" w:ascii="Cambria Math" w:hAnsi="Cambria Math"/>
                <w:i/>
              </w:rPr>
            </m:ctrlPr>
          </m:e>
          <m:sub>
            <m:r>
              <m:rPr/>
              <w:rPr>
                <w:rFonts w:hint="default" w:ascii="Cambria Math" w:hAnsi="Cambria Math"/>
              </w:rPr>
              <m:t>1</m:t>
            </m:r>
            <m:ctrlPr>
              <w:rPr>
                <w:rFonts w:hint="default" w:ascii="Cambria Math" w:hAnsi="Cambria Math"/>
                <w:i/>
              </w:rPr>
            </m:ctrlPr>
          </m:sub>
        </m:sSub>
        <m:r>
          <m:rPr/>
          <w:rPr>
            <w:rFonts w:hint="default" w:ascii="Cambria Math" w:hAnsi="Cambria Math"/>
          </w:rPr>
          <m:t>=</m:t>
        </m:r>
        <m:d>
          <m:dPr>
            <m:begChr m:val="["/>
            <m:endChr m:val="]"/>
            <m:ctrlPr>
              <w:rPr>
                <w:rFonts w:hint="default" w:ascii="Cambria Math" w:hAnsi="Cambria Math"/>
                <w:i/>
              </w:rPr>
            </m:ctrlPr>
          </m:dPr>
          <m:e>
            <m:f>
              <m:fPr>
                <m:ctrlPr>
                  <w:rPr>
                    <w:rFonts w:hint="default" w:ascii="Cambria Math" w:hAnsi="Cambria Math"/>
                    <w:i/>
                  </w:rPr>
                </m:ctrlPr>
              </m:fPr>
              <m:num>
                <m:sSub>
                  <m:sSubPr>
                    <m:ctrlPr>
                      <w:rPr>
                        <w:rFonts w:hint="default" w:ascii="Cambria Math" w:hAnsi="Cambria Math"/>
                        <w:i/>
                      </w:rPr>
                    </m:ctrlPr>
                  </m:sSubPr>
                  <m:e>
                    <m:r>
                      <m:rPr/>
                      <w:rPr>
                        <w:rFonts w:hint="eastAsia" w:ascii="Cambria Math" w:hAnsi="Cambria Math"/>
                      </w:rPr>
                      <m:t>S</m:t>
                    </m:r>
                    <m:ctrlPr>
                      <w:rPr>
                        <w:rFonts w:hint="default" w:ascii="Cambria Math" w:hAnsi="Cambria Math"/>
                        <w:i/>
                      </w:rPr>
                    </m:ctrlPr>
                  </m:e>
                  <m:sub>
                    <m:r>
                      <m:rPr/>
                      <w:rPr>
                        <w:rFonts w:hint="default" w:ascii="Cambria Math" w:hAnsi="Cambria Math"/>
                      </w:rPr>
                      <m:t>1</m:t>
                    </m:r>
                    <m:ctrlPr>
                      <w:rPr>
                        <w:rFonts w:hint="default" w:ascii="Cambria Math" w:hAnsi="Cambria Math"/>
                        <w:i/>
                      </w:rPr>
                    </m:ctrlPr>
                  </m:sub>
                </m:sSub>
                <m:ctrlPr>
                  <w:rPr>
                    <w:rFonts w:hint="default" w:ascii="Cambria Math" w:hAnsi="Cambria Math"/>
                    <w:i/>
                  </w:rPr>
                </m:ctrlPr>
              </m:num>
              <m:den>
                <m:sSub>
                  <m:sSubPr>
                    <m:ctrlPr>
                      <w:rPr>
                        <w:rFonts w:hint="default" w:ascii="Cambria Math" w:hAnsi="Cambria Math"/>
                        <w:i/>
                      </w:rPr>
                    </m:ctrlPr>
                  </m:sSubPr>
                  <m:e>
                    <m:r>
                      <m:rPr/>
                      <w:rPr>
                        <w:rFonts w:hint="eastAsia" w:ascii="Cambria Math" w:hAnsi="Cambria Math"/>
                      </w:rPr>
                      <m:t>S</m:t>
                    </m:r>
                    <m:ctrlPr>
                      <w:rPr>
                        <w:rFonts w:hint="default" w:ascii="Cambria Math" w:hAnsi="Cambria Math"/>
                        <w:i/>
                      </w:rPr>
                    </m:ctrlPr>
                  </m:e>
                  <m:sub>
                    <m:r>
                      <m:rPr/>
                      <w:rPr>
                        <w:rFonts w:hint="eastAsia" w:ascii="Cambria Math" w:hAnsi="Cambria Math"/>
                      </w:rPr>
                      <m:t>总</m:t>
                    </m:r>
                    <m:ctrlPr>
                      <w:rPr>
                        <w:rFonts w:hint="default" w:ascii="Cambria Math" w:hAnsi="Cambria Math"/>
                        <w:i/>
                      </w:rPr>
                    </m:ctrlPr>
                  </m:sub>
                </m:sSub>
                <m:ctrlPr>
                  <w:rPr>
                    <w:rFonts w:hint="default" w:ascii="Cambria Math" w:hAnsi="Cambria Math"/>
                    <w:i/>
                  </w:rPr>
                </m:ctrlPr>
              </m:den>
            </m:f>
            <m:r>
              <m:rPr/>
              <w:rPr>
                <w:rFonts w:hint="default" w:ascii="Cambria Math" w:hAnsi="Cambria Math"/>
              </w:rPr>
              <m:t>×</m:t>
            </m:r>
            <m:r>
              <m:rPr/>
              <w:rPr>
                <w:rFonts w:hint="default" w:ascii="Cambria Math" w:hAnsi="Cambria Math"/>
                <w:lang w:val="en-US" w:eastAsia="zh-CN"/>
              </w:rPr>
              <m:t>3</m:t>
            </m:r>
            <m:ctrlPr>
              <w:rPr>
                <w:rFonts w:hint="default" w:ascii="Cambria Math" w:hAnsi="Cambria Math"/>
                <w:i/>
              </w:rPr>
            </m:ctrlPr>
          </m:e>
        </m:d>
      </m:oMath>
      <w:r>
        <w:rPr>
          <w:rFonts w:ascii="Cambria Math" w:hAnsi="Cambria Math"/>
          <w:i/>
        </w:rPr>
        <w:t xml:space="preserve"> </w:t>
      </w:r>
      <w:r>
        <w:t>………………(B1)</w:t>
      </w:r>
    </w:p>
    <w:p>
      <w:pPr>
        <w:pageBreakBefore w:val="0"/>
        <w:widowControl w:val="0"/>
        <w:kinsoku/>
        <w:wordWrap/>
        <w:overflowPunct/>
        <w:topLinePunct w:val="0"/>
        <w:autoSpaceDE/>
        <w:autoSpaceDN/>
        <w:bidi w:val="0"/>
        <w:spacing w:line="240" w:lineRule="atLeast"/>
        <w:ind w:left="0" w:leftChars="0" w:firstLine="420" w:firstLineChars="200"/>
        <w:textAlignment w:val="auto"/>
      </w:pPr>
      <w:r>
        <w:rPr>
          <w:rFonts w:hint="eastAsia"/>
        </w:rPr>
        <w:t>式中：</w:t>
      </w:r>
    </w:p>
    <w:p>
      <w:pPr>
        <w:pageBreakBefore w:val="0"/>
        <w:widowControl w:val="0"/>
        <w:kinsoku/>
        <w:wordWrap/>
        <w:overflowPunct/>
        <w:topLinePunct w:val="0"/>
        <w:autoSpaceDE/>
        <w:autoSpaceDN/>
        <w:bidi w:val="0"/>
        <w:spacing w:line="240" w:lineRule="atLeast"/>
        <w:ind w:left="0" w:leftChars="0" w:firstLine="420" w:firstLineChars="200"/>
        <w:textAlignment w:val="auto"/>
      </w:pPr>
      <w:r>
        <w:rPr>
          <w:rFonts w:hint="eastAsia"/>
        </w:rPr>
        <w:t>Y</w:t>
      </w:r>
      <w:r>
        <w:rPr>
          <w:vertAlign w:val="subscript"/>
        </w:rPr>
        <w:t>1</w:t>
      </w:r>
      <w:r>
        <w:tab/>
      </w:r>
      <w:r>
        <w:rPr>
          <w:rFonts w:hint="eastAsia"/>
        </w:rPr>
        <w:t>该项分值</w:t>
      </w:r>
      <w:r>
        <w:rPr>
          <w:rFonts w:hint="eastAsia" w:ascii="Times New Roman" w:hAnsi="Times New Roman"/>
        </w:rPr>
        <w:t>按照</w:t>
      </w:r>
      <w:r>
        <w:rPr>
          <w:rFonts w:hint="eastAsia"/>
        </w:rPr>
        <w:t>GB/</w:t>
      </w:r>
      <w:r>
        <w:t>T 8170</w:t>
      </w:r>
      <w:r>
        <w:rPr>
          <w:rFonts w:hint="eastAsia"/>
        </w:rPr>
        <w:t>的规定修约到个位数；</w:t>
      </w:r>
    </w:p>
    <w:p>
      <w:pPr>
        <w:pageBreakBefore w:val="0"/>
        <w:widowControl w:val="0"/>
        <w:kinsoku/>
        <w:wordWrap/>
        <w:overflowPunct/>
        <w:topLinePunct w:val="0"/>
        <w:autoSpaceDE/>
        <w:autoSpaceDN/>
        <w:bidi w:val="0"/>
        <w:spacing w:line="240" w:lineRule="atLeast"/>
        <w:ind w:left="0" w:leftChars="0" w:firstLine="420" w:firstLineChars="200"/>
        <w:textAlignment w:val="auto"/>
      </w:pPr>
      <w:r>
        <w:rPr>
          <w:rFonts w:hint="eastAsia"/>
        </w:rPr>
        <w:t>S</w:t>
      </w:r>
      <w:r>
        <w:rPr>
          <w:vertAlign w:val="subscript"/>
        </w:rPr>
        <w:t>1</w:t>
      </w:r>
      <w:r>
        <w:tab/>
      </w:r>
      <w:r>
        <w:rPr>
          <w:rFonts w:hint="eastAsia"/>
        </w:rPr>
        <w:t>采用钢结构、砌体结构和木结构等资源消耗和环境影响小的建筑结构的面积；</w:t>
      </w:r>
    </w:p>
    <w:p>
      <w:pPr>
        <w:pageBreakBefore w:val="0"/>
        <w:widowControl w:val="0"/>
        <w:kinsoku/>
        <w:wordWrap/>
        <w:overflowPunct/>
        <w:topLinePunct w:val="0"/>
        <w:autoSpaceDE/>
        <w:autoSpaceDN/>
        <w:bidi w:val="0"/>
        <w:spacing w:line="240" w:lineRule="atLeast"/>
        <w:ind w:left="0" w:leftChars="0" w:firstLine="420" w:firstLineChars="200"/>
        <w:textAlignment w:val="auto"/>
      </w:pPr>
      <w:r>
        <w:rPr>
          <w:rFonts w:hint="eastAsia"/>
        </w:rPr>
        <w:t>S</w:t>
      </w:r>
      <w:r>
        <w:rPr>
          <w:rFonts w:hint="eastAsia"/>
          <w:vertAlign w:val="subscript"/>
        </w:rPr>
        <w:t>总</w:t>
      </w:r>
      <w:r>
        <w:tab/>
      </w:r>
      <w:r>
        <w:rPr>
          <w:rFonts w:hint="eastAsia"/>
        </w:rPr>
        <w:t>总建筑面积。</w:t>
      </w:r>
    </w:p>
    <w:p>
      <w:pPr>
        <w:pageBreakBefore w:val="0"/>
        <w:widowControl w:val="0"/>
        <w:kinsoku/>
        <w:wordWrap/>
        <w:overflowPunct/>
        <w:topLinePunct w:val="0"/>
        <w:autoSpaceDE/>
        <w:autoSpaceDN/>
        <w:bidi w:val="0"/>
        <w:spacing w:line="240" w:lineRule="atLeast"/>
        <w:ind w:left="0" w:leftChars="0" w:firstLine="420" w:firstLineChars="200"/>
        <w:textAlignment w:val="auto"/>
        <w:outlineLvl w:val="0"/>
      </w:pPr>
      <w:bookmarkStart w:id="51" w:name="_Toc1985"/>
      <w:bookmarkStart w:id="52" w:name="_Toc17749"/>
      <w:r>
        <w:rPr>
          <w:rFonts w:hint="eastAsia"/>
          <w:lang w:val="en-US" w:eastAsia="zh-CN"/>
        </w:rPr>
        <w:t>3</w:t>
      </w:r>
      <w:r>
        <w:tab/>
      </w:r>
      <w:r>
        <w:rPr>
          <w:rFonts w:hint="eastAsia"/>
        </w:rPr>
        <w:t>该项总分</w:t>
      </w:r>
      <w:bookmarkEnd w:id="51"/>
      <w:bookmarkEnd w:id="52"/>
    </w:p>
    <w:p>
      <w:pPr>
        <w:pageBreakBefore w:val="0"/>
        <w:widowControl w:val="0"/>
        <w:kinsoku/>
        <w:wordWrap/>
        <w:overflowPunct/>
        <w:topLinePunct w:val="0"/>
        <w:autoSpaceDE/>
        <w:autoSpaceDN/>
        <w:bidi w:val="0"/>
        <w:spacing w:line="240" w:lineRule="atLeast"/>
        <w:ind w:left="0" w:leftChars="0" w:firstLine="0" w:firstLineChars="0"/>
        <w:textAlignment w:val="auto"/>
      </w:pPr>
    </w:p>
    <w:p>
      <w:pPr>
        <w:pageBreakBefore w:val="0"/>
        <w:widowControl w:val="0"/>
        <w:kinsoku/>
        <w:wordWrap/>
        <w:overflowPunct/>
        <w:topLinePunct w:val="0"/>
        <w:autoSpaceDE/>
        <w:autoSpaceDN/>
        <w:bidi w:val="0"/>
        <w:spacing w:line="240" w:lineRule="atLeast"/>
        <w:ind w:left="0" w:leftChars="0" w:firstLine="0" w:firstLineChars="0"/>
        <w:textAlignment w:val="auto"/>
        <w:rPr>
          <w:rFonts w:ascii="黑体" w:hAnsi="黑体" w:eastAsia="黑体"/>
        </w:rPr>
      </w:pPr>
      <w:r>
        <w:rPr>
          <w:rFonts w:hint="eastAsia" w:ascii="黑体" w:hAnsi="黑体" w:eastAsia="黑体"/>
        </w:rPr>
        <w:t>B</w:t>
      </w:r>
      <w:r>
        <w:rPr>
          <w:rFonts w:ascii="黑体" w:hAnsi="黑体" w:eastAsia="黑体"/>
        </w:rPr>
        <w:t>.</w:t>
      </w:r>
      <w:r>
        <w:rPr>
          <w:rFonts w:hint="eastAsia" w:ascii="黑体" w:hAnsi="黑体" w:eastAsia="黑体"/>
          <w:lang w:val="en-US" w:eastAsia="zh-CN"/>
        </w:rPr>
        <w:t>2</w:t>
      </w:r>
      <w:r>
        <w:rPr>
          <w:rFonts w:hint="eastAsia" w:ascii="黑体" w:hAnsi="黑体" w:eastAsia="黑体"/>
        </w:rPr>
        <w:t>照明系统分区控制评分</w:t>
      </w:r>
    </w:p>
    <w:p>
      <w:pPr>
        <w:pageBreakBefore w:val="0"/>
        <w:widowControl w:val="0"/>
        <w:kinsoku/>
        <w:wordWrap/>
        <w:overflowPunct/>
        <w:topLinePunct w:val="0"/>
        <w:autoSpaceDE/>
        <w:autoSpaceDN/>
        <w:bidi w:val="0"/>
        <w:spacing w:line="240" w:lineRule="atLeast"/>
        <w:ind w:left="0" w:leftChars="0" w:firstLine="0" w:firstLineChars="0"/>
        <w:textAlignment w:val="auto"/>
      </w:pPr>
      <w:r>
        <w:rPr>
          <w:rFonts w:hint="eastAsia"/>
        </w:rPr>
        <w:t>照明系统分区控制评分按公式（B</w:t>
      </w:r>
      <w:r>
        <w:rPr>
          <w:rFonts w:hint="eastAsia"/>
          <w:lang w:val="en-US" w:eastAsia="zh-CN"/>
        </w:rPr>
        <w:t>2</w:t>
      </w:r>
      <w:r>
        <w:rPr>
          <w:rFonts w:hint="eastAsia"/>
        </w:rPr>
        <w:t>）计算。</w:t>
      </w:r>
    </w:p>
    <w:p>
      <w:pPr>
        <w:pageBreakBefore w:val="0"/>
        <w:widowControl w:val="0"/>
        <w:kinsoku/>
        <w:wordWrap/>
        <w:overflowPunct/>
        <w:topLinePunct w:val="0"/>
        <w:autoSpaceDE/>
        <w:autoSpaceDN/>
        <w:bidi w:val="0"/>
        <w:spacing w:line="240" w:lineRule="atLeast"/>
        <w:ind w:left="0" w:leftChars="0" w:firstLine="0" w:firstLineChars="0"/>
        <w:jc w:val="center"/>
        <w:textAlignment w:val="auto"/>
      </w:pPr>
      <m:oMath>
        <m:sSub>
          <m:sSubPr>
            <m:ctrlPr>
              <w:rPr>
                <w:rFonts w:hint="default" w:ascii="Cambria Math" w:hAnsi="Cambria Math"/>
                <w:i/>
              </w:rPr>
            </m:ctrlPr>
          </m:sSubPr>
          <m:e>
            <m:r>
              <m:rPr/>
              <w:rPr>
                <w:rFonts w:hint="eastAsia" w:ascii="Cambria Math" w:hAnsi="Cambria Math"/>
              </w:rPr>
              <m:t>Y</m:t>
            </m:r>
            <m:ctrlPr>
              <w:rPr>
                <w:rFonts w:hint="default" w:ascii="Cambria Math" w:hAnsi="Cambria Math"/>
                <w:i/>
              </w:rPr>
            </m:ctrlPr>
          </m:e>
          <m:sub>
            <m:r>
              <m:rPr/>
              <w:rPr>
                <w:rFonts w:hint="default" w:ascii="Cambria Math" w:hAnsi="Cambria Math"/>
              </w:rPr>
              <m:t>3</m:t>
            </m:r>
            <m:ctrlPr>
              <w:rPr>
                <w:rFonts w:hint="default" w:ascii="Cambria Math" w:hAnsi="Cambria Math"/>
                <w:i/>
              </w:rPr>
            </m:ctrlPr>
          </m:sub>
        </m:sSub>
        <m:r>
          <m:rPr/>
          <w:rPr>
            <w:rFonts w:hint="default" w:ascii="Cambria Math" w:hAnsi="Cambria Math"/>
          </w:rPr>
          <m:t>=</m:t>
        </m:r>
        <m:d>
          <m:dPr>
            <m:begChr m:val="["/>
            <m:endChr m:val="]"/>
            <m:ctrlPr>
              <w:rPr>
                <w:rFonts w:hint="default" w:ascii="Cambria Math" w:hAnsi="Cambria Math"/>
                <w:i/>
              </w:rPr>
            </m:ctrlPr>
          </m:dPr>
          <m:e>
            <m:f>
              <m:fPr>
                <m:ctrlPr>
                  <w:rPr>
                    <w:rFonts w:hint="default" w:ascii="Cambria Math" w:hAnsi="Cambria Math"/>
                    <w:i/>
                  </w:rPr>
                </m:ctrlPr>
              </m:fPr>
              <m:num>
                <m:sSub>
                  <m:sSubPr>
                    <m:ctrlPr>
                      <w:rPr>
                        <w:rFonts w:hint="default" w:ascii="Cambria Math" w:hAnsi="Cambria Math"/>
                        <w:i/>
                      </w:rPr>
                    </m:ctrlPr>
                  </m:sSubPr>
                  <m:e>
                    <m:r>
                      <m:rPr/>
                      <w:rPr>
                        <w:rFonts w:hint="eastAsia" w:ascii="Cambria Math" w:hAnsi="Cambria Math"/>
                      </w:rPr>
                      <m:t>S</m:t>
                    </m:r>
                    <m:ctrlPr>
                      <w:rPr>
                        <w:rFonts w:hint="default" w:ascii="Cambria Math" w:hAnsi="Cambria Math"/>
                        <w:i/>
                      </w:rPr>
                    </m:ctrlPr>
                  </m:e>
                  <m:sub>
                    <m:r>
                      <m:rPr/>
                      <w:rPr>
                        <w:rFonts w:hint="default" w:ascii="Cambria Math" w:hAnsi="Cambria Math"/>
                      </w:rPr>
                      <m:t>3</m:t>
                    </m:r>
                    <m:ctrlPr>
                      <w:rPr>
                        <w:rFonts w:hint="default" w:ascii="Cambria Math" w:hAnsi="Cambria Math"/>
                        <w:i/>
                      </w:rPr>
                    </m:ctrlPr>
                  </m:sub>
                </m:sSub>
                <m:ctrlPr>
                  <w:rPr>
                    <w:rFonts w:hint="default" w:ascii="Cambria Math" w:hAnsi="Cambria Math"/>
                    <w:i/>
                  </w:rPr>
                </m:ctrlPr>
              </m:num>
              <m:den>
                <m:sSub>
                  <m:sSubPr>
                    <m:ctrlPr>
                      <w:rPr>
                        <w:rFonts w:hint="default" w:ascii="Cambria Math" w:hAnsi="Cambria Math"/>
                        <w:i/>
                      </w:rPr>
                    </m:ctrlPr>
                  </m:sSubPr>
                  <m:e>
                    <m:r>
                      <m:rPr/>
                      <w:rPr>
                        <w:rFonts w:hint="eastAsia" w:ascii="Cambria Math" w:hAnsi="Cambria Math"/>
                      </w:rPr>
                      <m:t>S</m:t>
                    </m:r>
                    <m:ctrlPr>
                      <w:rPr>
                        <w:rFonts w:hint="default" w:ascii="Cambria Math" w:hAnsi="Cambria Math"/>
                        <w:i/>
                      </w:rPr>
                    </m:ctrlPr>
                  </m:e>
                  <m:sub>
                    <m:r>
                      <m:rPr/>
                      <w:rPr>
                        <w:rFonts w:hint="eastAsia" w:ascii="Cambria Math" w:hAnsi="Cambria Math"/>
                      </w:rPr>
                      <m:t>总</m:t>
                    </m:r>
                    <m:r>
                      <m:rPr/>
                      <w:rPr>
                        <w:rFonts w:hint="default" w:ascii="Cambria Math" w:hAnsi="Cambria Math"/>
                      </w:rPr>
                      <m:t>−3</m:t>
                    </m:r>
                    <m:ctrlPr>
                      <w:rPr>
                        <w:rFonts w:hint="default" w:ascii="Cambria Math" w:hAnsi="Cambria Math"/>
                        <w:i/>
                      </w:rPr>
                    </m:ctrlPr>
                  </m:sub>
                </m:sSub>
                <m:ctrlPr>
                  <w:rPr>
                    <w:rFonts w:hint="default" w:ascii="Cambria Math" w:hAnsi="Cambria Math"/>
                    <w:i/>
                  </w:rPr>
                </m:ctrlPr>
              </m:den>
            </m:f>
            <m:r>
              <m:rPr/>
              <w:rPr>
                <w:rFonts w:hint="default" w:ascii="Cambria Math" w:hAnsi="Cambria Math"/>
              </w:rPr>
              <m:t>×5</m:t>
            </m:r>
            <m:ctrlPr>
              <w:rPr>
                <w:rFonts w:hint="default" w:ascii="Cambria Math" w:hAnsi="Cambria Math"/>
                <w:i/>
              </w:rPr>
            </m:ctrlPr>
          </m:e>
        </m:d>
      </m:oMath>
      <w:r>
        <w:rPr>
          <w:rFonts w:hint="eastAsia"/>
        </w:rPr>
        <w:t xml:space="preserve"> </w:t>
      </w:r>
      <w:r>
        <w:t xml:space="preserve">    ………………(B</w:t>
      </w:r>
      <w:r>
        <w:rPr>
          <w:rFonts w:hint="eastAsia"/>
          <w:lang w:val="en-US" w:eastAsia="zh-CN"/>
        </w:rPr>
        <w:t>2</w:t>
      </w:r>
      <w:r>
        <w:t>)</w:t>
      </w:r>
    </w:p>
    <w:p>
      <w:pPr>
        <w:pageBreakBefore w:val="0"/>
        <w:widowControl w:val="0"/>
        <w:kinsoku/>
        <w:wordWrap/>
        <w:overflowPunct/>
        <w:topLinePunct w:val="0"/>
        <w:autoSpaceDE/>
        <w:autoSpaceDN/>
        <w:bidi w:val="0"/>
        <w:spacing w:line="240" w:lineRule="atLeast"/>
        <w:ind w:left="0" w:leftChars="0" w:firstLine="420" w:firstLineChars="200"/>
        <w:textAlignment w:val="auto"/>
      </w:pPr>
      <w:r>
        <w:rPr>
          <w:rFonts w:hint="eastAsia"/>
        </w:rPr>
        <w:t>式中：</w:t>
      </w:r>
    </w:p>
    <w:p>
      <w:pPr>
        <w:pageBreakBefore w:val="0"/>
        <w:widowControl w:val="0"/>
        <w:kinsoku/>
        <w:wordWrap/>
        <w:overflowPunct/>
        <w:topLinePunct w:val="0"/>
        <w:autoSpaceDE/>
        <w:autoSpaceDN/>
        <w:bidi w:val="0"/>
        <w:spacing w:line="240" w:lineRule="atLeast"/>
        <w:ind w:left="0" w:leftChars="0" w:firstLine="420" w:firstLineChars="200"/>
        <w:textAlignment w:val="auto"/>
      </w:pPr>
      <w:r>
        <w:rPr>
          <w:rFonts w:hint="eastAsia"/>
        </w:rPr>
        <w:t>Y</w:t>
      </w:r>
      <w:r>
        <w:rPr>
          <w:vertAlign w:val="subscript"/>
        </w:rPr>
        <w:t>3</w:t>
      </w:r>
      <w:r>
        <w:tab/>
      </w:r>
      <w:r>
        <w:rPr>
          <w:rFonts w:hint="eastAsia"/>
        </w:rPr>
        <w:t>该项分值GB/</w:t>
      </w:r>
      <w:r>
        <w:t>T 8170</w:t>
      </w:r>
      <w:r>
        <w:rPr>
          <w:rFonts w:hint="eastAsia"/>
        </w:rPr>
        <w:t>的规定修约到个位数；</w:t>
      </w:r>
    </w:p>
    <w:p>
      <w:pPr>
        <w:pageBreakBefore w:val="0"/>
        <w:widowControl w:val="0"/>
        <w:kinsoku/>
        <w:wordWrap/>
        <w:overflowPunct/>
        <w:topLinePunct w:val="0"/>
        <w:autoSpaceDE/>
        <w:autoSpaceDN/>
        <w:bidi w:val="0"/>
        <w:spacing w:line="240" w:lineRule="atLeast"/>
        <w:ind w:left="0" w:leftChars="0" w:firstLine="420" w:firstLineChars="200"/>
        <w:textAlignment w:val="auto"/>
      </w:pPr>
      <w:r>
        <w:rPr>
          <w:rFonts w:hint="eastAsia"/>
        </w:rPr>
        <w:t>S</w:t>
      </w:r>
      <w:r>
        <w:rPr>
          <w:vertAlign w:val="subscript"/>
        </w:rPr>
        <w:t>3</w:t>
      </w:r>
      <w:r>
        <w:tab/>
      </w:r>
      <w:r>
        <w:rPr>
          <w:rFonts w:hint="eastAsia"/>
        </w:rPr>
        <w:t>采用分区控制的3</w:t>
      </w:r>
      <w:r>
        <w:t>000</w:t>
      </w:r>
      <w:r>
        <w:rPr>
          <w:rFonts w:hint="eastAsia"/>
        </w:rPr>
        <w:t>平方米以上厂房面积；</w:t>
      </w:r>
    </w:p>
    <w:p>
      <w:pPr>
        <w:pageBreakBefore w:val="0"/>
        <w:widowControl w:val="0"/>
        <w:kinsoku/>
        <w:wordWrap/>
        <w:overflowPunct/>
        <w:topLinePunct w:val="0"/>
        <w:autoSpaceDE/>
        <w:autoSpaceDN/>
        <w:bidi w:val="0"/>
        <w:spacing w:line="240" w:lineRule="atLeast"/>
        <w:ind w:left="0" w:leftChars="0" w:firstLine="420" w:firstLineChars="200"/>
        <w:textAlignment w:val="auto"/>
      </w:pPr>
      <w:r>
        <w:rPr>
          <w:rFonts w:hint="eastAsia"/>
        </w:rPr>
        <w:t>S</w:t>
      </w:r>
      <w:r>
        <w:rPr>
          <w:rFonts w:hint="eastAsia"/>
          <w:vertAlign w:val="subscript"/>
        </w:rPr>
        <w:t>总-</w:t>
      </w:r>
      <w:r>
        <w:rPr>
          <w:vertAlign w:val="subscript"/>
        </w:rPr>
        <w:t>3</w:t>
      </w:r>
      <w:r>
        <w:tab/>
      </w:r>
      <w:r>
        <w:rPr>
          <w:rFonts w:hint="eastAsia"/>
        </w:rPr>
        <w:t>所有3</w:t>
      </w:r>
      <w:r>
        <w:t>000</w:t>
      </w:r>
      <w:r>
        <w:rPr>
          <w:rFonts w:hint="eastAsia"/>
        </w:rPr>
        <w:t>平方米以上厂房总面积；</w:t>
      </w:r>
    </w:p>
    <w:p>
      <w:pPr>
        <w:pageBreakBefore w:val="0"/>
        <w:widowControl w:val="0"/>
        <w:kinsoku/>
        <w:wordWrap/>
        <w:overflowPunct/>
        <w:topLinePunct w:val="0"/>
        <w:autoSpaceDE/>
        <w:autoSpaceDN/>
        <w:bidi w:val="0"/>
        <w:spacing w:line="240" w:lineRule="atLeast"/>
        <w:ind w:left="0" w:leftChars="0" w:firstLine="420" w:firstLineChars="200"/>
        <w:textAlignment w:val="auto"/>
        <w:outlineLvl w:val="0"/>
      </w:pPr>
      <w:bookmarkStart w:id="53" w:name="_Toc24485"/>
      <w:bookmarkStart w:id="54" w:name="_Toc14402"/>
      <w:r>
        <w:t>5</w:t>
      </w:r>
      <w:r>
        <w:tab/>
      </w:r>
      <w:r>
        <w:rPr>
          <w:rFonts w:hint="eastAsia"/>
        </w:rPr>
        <w:t>该项总分。</w:t>
      </w:r>
      <w:bookmarkEnd w:id="53"/>
      <w:bookmarkEnd w:id="54"/>
    </w:p>
    <w:p>
      <w:pPr>
        <w:pageBreakBefore w:val="0"/>
        <w:widowControl w:val="0"/>
        <w:kinsoku/>
        <w:wordWrap/>
        <w:overflowPunct/>
        <w:topLinePunct w:val="0"/>
        <w:autoSpaceDE/>
        <w:autoSpaceDN/>
        <w:bidi w:val="0"/>
        <w:spacing w:line="240" w:lineRule="atLeast"/>
        <w:ind w:left="0" w:leftChars="0" w:firstLine="420" w:firstLineChars="200"/>
        <w:textAlignment w:val="auto"/>
      </w:pPr>
      <w:r>
        <w:rPr>
          <w:rFonts w:hint="eastAsia"/>
        </w:rPr>
        <w:t>无3</w:t>
      </w:r>
      <w:r>
        <w:t>000</w:t>
      </w:r>
      <w:r>
        <w:rPr>
          <w:rFonts w:hint="eastAsia"/>
        </w:rPr>
        <w:t>平方米以上厂房，该项为（5分）。</w:t>
      </w:r>
    </w:p>
    <w:p>
      <w:pPr>
        <w:pageBreakBefore w:val="0"/>
        <w:widowControl w:val="0"/>
        <w:kinsoku/>
        <w:wordWrap/>
        <w:overflowPunct/>
        <w:topLinePunct w:val="0"/>
        <w:autoSpaceDE/>
        <w:autoSpaceDN/>
        <w:bidi w:val="0"/>
        <w:spacing w:line="240" w:lineRule="atLeast"/>
        <w:ind w:left="0" w:leftChars="0" w:firstLine="0" w:firstLineChars="0"/>
        <w:textAlignment w:val="auto"/>
      </w:pPr>
    </w:p>
    <w:p>
      <w:pPr>
        <w:pageBreakBefore w:val="0"/>
        <w:widowControl w:val="0"/>
        <w:kinsoku/>
        <w:wordWrap/>
        <w:overflowPunct/>
        <w:topLinePunct w:val="0"/>
        <w:autoSpaceDE/>
        <w:autoSpaceDN/>
        <w:bidi w:val="0"/>
        <w:spacing w:line="240" w:lineRule="atLeast"/>
        <w:ind w:left="0" w:leftChars="0" w:firstLine="0" w:firstLineChars="0"/>
        <w:textAlignment w:val="auto"/>
        <w:rPr>
          <w:rFonts w:ascii="黑体" w:hAnsi="黑体" w:eastAsia="黑体"/>
        </w:rPr>
      </w:pPr>
      <w:r>
        <w:rPr>
          <w:rFonts w:hint="eastAsia" w:ascii="黑体" w:hAnsi="黑体" w:eastAsia="黑体"/>
        </w:rPr>
        <w:t>B</w:t>
      </w:r>
      <w:r>
        <w:rPr>
          <w:rFonts w:ascii="黑体" w:hAnsi="黑体" w:eastAsia="黑体"/>
        </w:rPr>
        <w:t>.</w:t>
      </w:r>
      <w:r>
        <w:rPr>
          <w:rFonts w:hint="eastAsia" w:ascii="黑体" w:hAnsi="黑体" w:eastAsia="黑体"/>
          <w:lang w:val="en-US" w:eastAsia="zh-CN"/>
        </w:rPr>
        <w:t>3</w:t>
      </w:r>
      <w:r>
        <w:rPr>
          <w:rFonts w:hint="eastAsia" w:ascii="黑体" w:hAnsi="黑体" w:eastAsia="黑体"/>
        </w:rPr>
        <w:t>设备能效评分</w:t>
      </w:r>
    </w:p>
    <w:p>
      <w:pPr>
        <w:pageBreakBefore w:val="0"/>
        <w:widowControl w:val="0"/>
        <w:kinsoku/>
        <w:wordWrap/>
        <w:overflowPunct/>
        <w:topLinePunct w:val="0"/>
        <w:autoSpaceDE/>
        <w:autoSpaceDN/>
        <w:bidi w:val="0"/>
        <w:spacing w:line="240" w:lineRule="atLeast"/>
        <w:ind w:left="0" w:leftChars="0" w:firstLine="0" w:firstLineChars="0"/>
        <w:textAlignment w:val="auto"/>
      </w:pPr>
      <w:r>
        <w:rPr>
          <w:rFonts w:hint="eastAsia"/>
        </w:rPr>
        <w:t>设备能效评分按公式（B</w:t>
      </w:r>
      <w:r>
        <w:rPr>
          <w:rFonts w:hint="eastAsia"/>
          <w:lang w:val="en-US" w:eastAsia="zh-CN"/>
        </w:rPr>
        <w:t>3</w:t>
      </w:r>
      <w:r>
        <w:rPr>
          <w:rFonts w:hint="eastAsia"/>
        </w:rPr>
        <w:t>）计算。</w:t>
      </w:r>
    </w:p>
    <w:p>
      <w:pPr>
        <w:pageBreakBefore w:val="0"/>
        <w:widowControl w:val="0"/>
        <w:kinsoku/>
        <w:wordWrap/>
        <w:overflowPunct/>
        <w:topLinePunct w:val="0"/>
        <w:autoSpaceDE/>
        <w:autoSpaceDN/>
        <w:bidi w:val="0"/>
        <w:spacing w:line="240" w:lineRule="atLeast"/>
        <w:ind w:left="0" w:leftChars="0" w:firstLine="0" w:firstLineChars="0"/>
        <w:jc w:val="center"/>
        <w:textAlignment w:val="auto"/>
      </w:pPr>
      <m:oMath>
        <m:sSub>
          <m:sSubPr>
            <m:ctrlPr>
              <w:rPr>
                <w:rFonts w:hint="default" w:ascii="Cambria Math" w:hAnsi="Cambria Math"/>
                <w:i/>
              </w:rPr>
            </m:ctrlPr>
          </m:sSubPr>
          <m:e>
            <m:r>
              <m:rPr/>
              <w:rPr>
                <w:rFonts w:hint="eastAsia" w:ascii="Cambria Math" w:hAnsi="Cambria Math"/>
              </w:rPr>
              <m:t>Y</m:t>
            </m:r>
            <m:ctrlPr>
              <w:rPr>
                <w:rFonts w:hint="default" w:ascii="Cambria Math" w:hAnsi="Cambria Math"/>
                <w:i/>
              </w:rPr>
            </m:ctrlPr>
          </m:e>
          <m:sub>
            <m:r>
              <m:rPr/>
              <w:rPr>
                <w:rFonts w:hint="default" w:ascii="Cambria Math" w:hAnsi="Cambria Math"/>
              </w:rPr>
              <m:t>4</m:t>
            </m:r>
            <m:ctrlPr>
              <w:rPr>
                <w:rFonts w:hint="default" w:ascii="Cambria Math" w:hAnsi="Cambria Math"/>
                <w:i/>
              </w:rPr>
            </m:ctrlPr>
          </m:sub>
        </m:sSub>
        <m:r>
          <m:rPr/>
          <w:rPr>
            <w:rFonts w:hint="default" w:ascii="Cambria Math" w:hAnsi="Cambria Math"/>
          </w:rPr>
          <m:t>=</m:t>
        </m:r>
        <m:d>
          <m:dPr>
            <m:begChr m:val="["/>
            <m:endChr m:val="]"/>
            <m:ctrlPr>
              <w:rPr>
                <w:rFonts w:hint="default" w:ascii="Cambria Math" w:hAnsi="Cambria Math"/>
                <w:i/>
              </w:rPr>
            </m:ctrlPr>
          </m:dPr>
          <m:e>
            <m:f>
              <m:fPr>
                <m:ctrlPr>
                  <w:rPr>
                    <w:rFonts w:hint="default" w:ascii="Cambria Math" w:hAnsi="Cambria Math"/>
                    <w:i/>
                  </w:rPr>
                </m:ctrlPr>
              </m:fPr>
              <m:num>
                <m:sSub>
                  <m:sSubPr>
                    <m:ctrlPr>
                      <w:rPr>
                        <w:rFonts w:hint="default" w:ascii="Cambria Math" w:hAnsi="Cambria Math"/>
                        <w:i/>
                      </w:rPr>
                    </m:ctrlPr>
                  </m:sSubPr>
                  <m:e>
                    <m:r>
                      <m:rPr/>
                      <w:rPr>
                        <w:rFonts w:hint="eastAsia" w:ascii="Cambria Math" w:hAnsi="Cambria Math"/>
                      </w:rPr>
                      <m:t>E</m:t>
                    </m:r>
                    <m:ctrlPr>
                      <w:rPr>
                        <w:rFonts w:hint="default" w:ascii="Cambria Math" w:hAnsi="Cambria Math"/>
                        <w:i/>
                      </w:rPr>
                    </m:ctrlPr>
                  </m:e>
                  <m:sub>
                    <m:r>
                      <m:rPr/>
                      <w:rPr>
                        <w:rFonts w:hint="default" w:ascii="Cambria Math" w:hAnsi="Cambria Math"/>
                      </w:rPr>
                      <m:t>1</m:t>
                    </m:r>
                    <m:ctrlPr>
                      <w:rPr>
                        <w:rFonts w:hint="default" w:ascii="Cambria Math" w:hAnsi="Cambria Math"/>
                        <w:i/>
                      </w:rPr>
                    </m:ctrlPr>
                  </m:sub>
                </m:sSub>
                <m:ctrlPr>
                  <w:rPr>
                    <w:rFonts w:hint="default" w:ascii="Cambria Math" w:hAnsi="Cambria Math"/>
                    <w:i/>
                  </w:rPr>
                </m:ctrlPr>
              </m:num>
              <m:den>
                <m:sSub>
                  <m:sSubPr>
                    <m:ctrlPr>
                      <w:rPr>
                        <w:rFonts w:hint="default" w:ascii="Cambria Math" w:hAnsi="Cambria Math"/>
                        <w:i/>
                      </w:rPr>
                    </m:ctrlPr>
                  </m:sSubPr>
                  <m:e>
                    <m:r>
                      <m:rPr/>
                      <w:rPr>
                        <w:rFonts w:hint="eastAsia" w:ascii="Cambria Math" w:hAnsi="Cambria Math"/>
                      </w:rPr>
                      <m:t>E</m:t>
                    </m:r>
                    <m:ctrlPr>
                      <w:rPr>
                        <w:rFonts w:hint="default" w:ascii="Cambria Math" w:hAnsi="Cambria Math"/>
                        <w:i/>
                      </w:rPr>
                    </m:ctrlPr>
                  </m:e>
                  <m:sub>
                    <m:r>
                      <m:rPr/>
                      <w:rPr>
                        <w:rFonts w:hint="eastAsia" w:ascii="Cambria Math" w:hAnsi="Cambria Math"/>
                      </w:rPr>
                      <m:t>总</m:t>
                    </m:r>
                    <m:ctrlPr>
                      <w:rPr>
                        <w:rFonts w:hint="default" w:ascii="Cambria Math" w:hAnsi="Cambria Math"/>
                        <w:i/>
                      </w:rPr>
                    </m:ctrlPr>
                  </m:sub>
                </m:sSub>
                <m:ctrlPr>
                  <w:rPr>
                    <w:rFonts w:hint="default" w:ascii="Cambria Math" w:hAnsi="Cambria Math"/>
                    <w:i/>
                  </w:rPr>
                </m:ctrlPr>
              </m:den>
            </m:f>
            <m:r>
              <m:rPr/>
              <w:rPr>
                <w:rFonts w:hint="default" w:ascii="Cambria Math" w:hAnsi="Cambria Math"/>
              </w:rPr>
              <m:t>×10</m:t>
            </m:r>
            <m:ctrlPr>
              <w:rPr>
                <w:rFonts w:hint="default" w:ascii="Cambria Math" w:hAnsi="Cambria Math"/>
                <w:i/>
              </w:rPr>
            </m:ctrlPr>
          </m:e>
        </m:d>
      </m:oMath>
      <w:r>
        <w:rPr>
          <w:rFonts w:hint="eastAsia"/>
        </w:rPr>
        <w:t xml:space="preserve"> </w:t>
      </w:r>
      <w:r>
        <w:t xml:space="preserve">    ………………(B</w:t>
      </w:r>
      <w:r>
        <w:rPr>
          <w:rFonts w:hint="eastAsia"/>
          <w:lang w:val="en-US" w:eastAsia="zh-CN"/>
        </w:rPr>
        <w:t>3</w:t>
      </w:r>
      <w:r>
        <w:t>)</w:t>
      </w:r>
    </w:p>
    <w:p>
      <w:pPr>
        <w:pageBreakBefore w:val="0"/>
        <w:widowControl w:val="0"/>
        <w:kinsoku/>
        <w:wordWrap/>
        <w:overflowPunct/>
        <w:topLinePunct w:val="0"/>
        <w:autoSpaceDE/>
        <w:autoSpaceDN/>
        <w:bidi w:val="0"/>
        <w:spacing w:line="240" w:lineRule="atLeast"/>
        <w:ind w:left="0" w:leftChars="0" w:firstLine="420" w:firstLineChars="200"/>
        <w:textAlignment w:val="auto"/>
      </w:pPr>
      <w:r>
        <w:rPr>
          <w:rFonts w:hint="eastAsia"/>
        </w:rPr>
        <w:t>式中：</w:t>
      </w:r>
    </w:p>
    <w:p>
      <w:pPr>
        <w:pageBreakBefore w:val="0"/>
        <w:widowControl w:val="0"/>
        <w:kinsoku/>
        <w:wordWrap/>
        <w:overflowPunct/>
        <w:topLinePunct w:val="0"/>
        <w:autoSpaceDE/>
        <w:autoSpaceDN/>
        <w:bidi w:val="0"/>
        <w:spacing w:line="240" w:lineRule="atLeast"/>
        <w:ind w:left="0" w:leftChars="0" w:firstLine="420" w:firstLineChars="200"/>
        <w:textAlignment w:val="auto"/>
      </w:pPr>
      <w:r>
        <w:rPr>
          <w:rFonts w:hint="eastAsia"/>
        </w:rPr>
        <w:t>Y</w:t>
      </w:r>
      <w:r>
        <w:rPr>
          <w:vertAlign w:val="subscript"/>
        </w:rPr>
        <w:t>4</w:t>
      </w:r>
      <w:r>
        <w:tab/>
      </w:r>
      <w:r>
        <w:rPr>
          <w:rFonts w:hint="eastAsia"/>
        </w:rPr>
        <w:t>该项分值GB/</w:t>
      </w:r>
      <w:r>
        <w:t>T 8170</w:t>
      </w:r>
      <w:r>
        <w:rPr>
          <w:rFonts w:hint="eastAsia"/>
        </w:rPr>
        <w:t>的规定修约到个位数；</w:t>
      </w:r>
    </w:p>
    <w:p>
      <w:pPr>
        <w:pageBreakBefore w:val="0"/>
        <w:widowControl w:val="0"/>
        <w:kinsoku/>
        <w:wordWrap/>
        <w:overflowPunct/>
        <w:topLinePunct w:val="0"/>
        <w:autoSpaceDE/>
        <w:autoSpaceDN/>
        <w:bidi w:val="0"/>
        <w:spacing w:line="240" w:lineRule="atLeast"/>
        <w:ind w:left="0" w:leftChars="0" w:firstLine="420" w:firstLineChars="200"/>
        <w:textAlignment w:val="auto"/>
      </w:pPr>
      <w:r>
        <w:rPr>
          <w:rFonts w:hint="eastAsia"/>
        </w:rPr>
        <w:t>E</w:t>
      </w:r>
      <w:r>
        <w:rPr>
          <w:vertAlign w:val="subscript"/>
        </w:rPr>
        <w:t>1</w:t>
      </w:r>
      <w:r>
        <w:tab/>
      </w:r>
      <w:r>
        <w:rPr>
          <w:rFonts w:hint="eastAsia"/>
        </w:rPr>
        <w:t>采用能效等级为1级、2级的设备数；</w:t>
      </w:r>
    </w:p>
    <w:p>
      <w:pPr>
        <w:pageBreakBefore w:val="0"/>
        <w:widowControl w:val="0"/>
        <w:kinsoku/>
        <w:wordWrap/>
        <w:overflowPunct/>
        <w:topLinePunct w:val="0"/>
        <w:autoSpaceDE/>
        <w:autoSpaceDN/>
        <w:bidi w:val="0"/>
        <w:spacing w:line="240" w:lineRule="atLeast"/>
        <w:ind w:left="0" w:leftChars="0" w:firstLine="420" w:firstLineChars="200"/>
        <w:textAlignment w:val="auto"/>
      </w:pPr>
      <w:r>
        <w:rPr>
          <w:rFonts w:hint="eastAsia"/>
        </w:rPr>
        <w:t>E</w:t>
      </w:r>
      <w:r>
        <w:rPr>
          <w:rFonts w:hint="eastAsia"/>
          <w:vertAlign w:val="subscript"/>
        </w:rPr>
        <w:t>总</w:t>
      </w:r>
      <w:r>
        <w:tab/>
      </w:r>
      <w:r>
        <w:rPr>
          <w:rFonts w:hint="eastAsia"/>
        </w:rPr>
        <w:t>有能效等级要求的总设备数；</w:t>
      </w:r>
    </w:p>
    <w:p>
      <w:pPr>
        <w:pageBreakBefore w:val="0"/>
        <w:widowControl w:val="0"/>
        <w:kinsoku/>
        <w:wordWrap/>
        <w:overflowPunct/>
        <w:topLinePunct w:val="0"/>
        <w:autoSpaceDE/>
        <w:autoSpaceDN/>
        <w:bidi w:val="0"/>
        <w:spacing w:line="240" w:lineRule="atLeast"/>
        <w:ind w:left="0" w:leftChars="0" w:firstLine="420" w:firstLineChars="200"/>
        <w:textAlignment w:val="auto"/>
        <w:outlineLvl w:val="0"/>
      </w:pPr>
      <w:bookmarkStart w:id="55" w:name="_Toc23506"/>
      <w:bookmarkStart w:id="56" w:name="_Toc3955"/>
      <w:r>
        <w:t>10</w:t>
      </w:r>
      <w:r>
        <w:tab/>
      </w:r>
      <w:r>
        <w:rPr>
          <w:rFonts w:hint="eastAsia"/>
        </w:rPr>
        <w:t>该项总分。</w:t>
      </w:r>
      <w:bookmarkEnd w:id="55"/>
      <w:bookmarkEnd w:id="56"/>
    </w:p>
    <w:p>
      <w:pPr>
        <w:pageBreakBefore w:val="0"/>
        <w:widowControl w:val="0"/>
        <w:kinsoku/>
        <w:wordWrap/>
        <w:overflowPunct/>
        <w:topLinePunct w:val="0"/>
        <w:autoSpaceDE/>
        <w:autoSpaceDN/>
        <w:bidi w:val="0"/>
        <w:spacing w:line="240" w:lineRule="atLeast"/>
        <w:ind w:left="0" w:leftChars="0" w:firstLine="0" w:firstLineChars="0"/>
        <w:textAlignment w:val="auto"/>
      </w:pPr>
    </w:p>
    <w:p>
      <w:pPr>
        <w:pageBreakBefore w:val="0"/>
        <w:widowControl w:val="0"/>
        <w:kinsoku/>
        <w:wordWrap/>
        <w:overflowPunct/>
        <w:topLinePunct w:val="0"/>
        <w:autoSpaceDE/>
        <w:autoSpaceDN/>
        <w:bidi w:val="0"/>
        <w:spacing w:line="240" w:lineRule="atLeast"/>
        <w:ind w:left="0" w:leftChars="0" w:firstLine="0" w:firstLineChars="0"/>
        <w:textAlignment w:val="auto"/>
      </w:pPr>
    </w:p>
    <w:p>
      <w:pPr>
        <w:pageBreakBefore w:val="0"/>
        <w:widowControl w:val="0"/>
        <w:kinsoku/>
        <w:wordWrap/>
        <w:overflowPunct/>
        <w:topLinePunct w:val="0"/>
        <w:autoSpaceDE/>
        <w:autoSpaceDN/>
        <w:bidi w:val="0"/>
        <w:spacing w:line="240" w:lineRule="atLeast"/>
        <w:ind w:left="0" w:leftChars="0" w:firstLine="0" w:firstLineChars="0"/>
        <w:textAlignment w:val="auto"/>
        <w:rPr>
          <w:rFonts w:ascii="黑体" w:hAnsi="黑体" w:eastAsia="黑体"/>
        </w:rPr>
      </w:pPr>
      <w:r>
        <w:rPr>
          <w:rFonts w:hint="eastAsia" w:ascii="黑体" w:hAnsi="黑体" w:eastAsia="黑体"/>
        </w:rPr>
        <w:t>B</w:t>
      </w:r>
      <w:r>
        <w:rPr>
          <w:rFonts w:ascii="黑体" w:hAnsi="黑体" w:eastAsia="黑体"/>
        </w:rPr>
        <w:t>.</w:t>
      </w:r>
      <w:r>
        <w:rPr>
          <w:rFonts w:hint="eastAsia" w:ascii="黑体" w:hAnsi="黑体" w:eastAsia="黑体"/>
          <w:lang w:val="en-US" w:eastAsia="zh-CN"/>
        </w:rPr>
        <w:t>4</w:t>
      </w:r>
      <w:r>
        <w:rPr>
          <w:rFonts w:hint="eastAsia" w:ascii="黑体" w:hAnsi="黑体" w:eastAsia="黑体"/>
        </w:rPr>
        <w:t>涵盖在绿色产品标准范围内的产品生态设计评分</w:t>
      </w:r>
    </w:p>
    <w:p>
      <w:pPr>
        <w:pageBreakBefore w:val="0"/>
        <w:widowControl w:val="0"/>
        <w:kinsoku/>
        <w:wordWrap/>
        <w:overflowPunct/>
        <w:topLinePunct w:val="0"/>
        <w:autoSpaceDE/>
        <w:autoSpaceDN/>
        <w:bidi w:val="0"/>
        <w:spacing w:line="240" w:lineRule="atLeast"/>
        <w:ind w:left="0" w:leftChars="0" w:firstLine="0" w:firstLineChars="0"/>
        <w:textAlignment w:val="auto"/>
      </w:pPr>
      <w:r>
        <w:rPr>
          <w:rFonts w:hint="eastAsia"/>
        </w:rPr>
        <w:t>涵盖在绿色产品标准范围内的产品生态设计评分按公式（B</w:t>
      </w:r>
      <w:r>
        <w:rPr>
          <w:rFonts w:hint="eastAsia"/>
          <w:lang w:val="en-US" w:eastAsia="zh-CN"/>
        </w:rPr>
        <w:t>4</w:t>
      </w:r>
      <w:r>
        <w:rPr>
          <w:rFonts w:hint="eastAsia"/>
        </w:rPr>
        <w:t>）计算。</w:t>
      </w:r>
    </w:p>
    <w:p>
      <w:pPr>
        <w:pageBreakBefore w:val="0"/>
        <w:widowControl w:val="0"/>
        <w:kinsoku/>
        <w:wordWrap/>
        <w:overflowPunct/>
        <w:topLinePunct w:val="0"/>
        <w:autoSpaceDE/>
        <w:autoSpaceDN/>
        <w:bidi w:val="0"/>
        <w:spacing w:line="240" w:lineRule="atLeast"/>
        <w:ind w:left="0" w:leftChars="0" w:firstLine="0" w:firstLineChars="0"/>
        <w:jc w:val="center"/>
        <w:textAlignment w:val="auto"/>
      </w:pPr>
      <m:oMath>
        <m:sSub>
          <m:sSubPr>
            <m:ctrlPr>
              <w:rPr>
                <w:rFonts w:hint="default" w:ascii="Cambria Math" w:hAnsi="Cambria Math"/>
                <w:i/>
              </w:rPr>
            </m:ctrlPr>
          </m:sSubPr>
          <m:e>
            <m:r>
              <m:rPr/>
              <w:rPr>
                <w:rFonts w:hint="eastAsia" w:ascii="Cambria Math" w:hAnsi="Cambria Math"/>
              </w:rPr>
              <m:t>Y</m:t>
            </m:r>
            <m:ctrlPr>
              <w:rPr>
                <w:rFonts w:hint="default" w:ascii="Cambria Math" w:hAnsi="Cambria Math"/>
                <w:i/>
              </w:rPr>
            </m:ctrlPr>
          </m:e>
          <m:sub>
            <m:r>
              <m:rPr/>
              <w:rPr>
                <w:rFonts w:hint="default" w:ascii="Cambria Math" w:hAnsi="Cambria Math"/>
              </w:rPr>
              <m:t>7</m:t>
            </m:r>
            <m:ctrlPr>
              <w:rPr>
                <w:rFonts w:hint="default" w:ascii="Cambria Math" w:hAnsi="Cambria Math"/>
                <w:i/>
              </w:rPr>
            </m:ctrlPr>
          </m:sub>
        </m:sSub>
        <m:r>
          <m:rPr/>
          <w:rPr>
            <w:rFonts w:hint="default" w:ascii="Cambria Math" w:hAnsi="Cambria Math"/>
          </w:rPr>
          <m:t>=</m:t>
        </m:r>
        <m:d>
          <m:dPr>
            <m:begChr m:val="["/>
            <m:endChr m:val="]"/>
            <m:ctrlPr>
              <w:rPr>
                <w:rFonts w:hint="default" w:ascii="Cambria Math" w:hAnsi="Cambria Math"/>
                <w:i/>
              </w:rPr>
            </m:ctrlPr>
          </m:dPr>
          <m:e>
            <m:f>
              <m:fPr>
                <m:ctrlPr>
                  <w:rPr>
                    <w:rFonts w:hint="default" w:ascii="Cambria Math" w:hAnsi="Cambria Math"/>
                    <w:i/>
                  </w:rPr>
                </m:ctrlPr>
              </m:fPr>
              <m:num>
                <m:sSub>
                  <m:sSubPr>
                    <m:ctrlPr>
                      <w:rPr>
                        <w:rFonts w:hint="default" w:ascii="Cambria Math" w:hAnsi="Cambria Math"/>
                        <w:i/>
                      </w:rPr>
                    </m:ctrlPr>
                  </m:sSubPr>
                  <m:e>
                    <m:r>
                      <m:rPr/>
                      <w:rPr>
                        <w:rFonts w:hint="eastAsia" w:ascii="Cambria Math" w:hAnsi="Cambria Math"/>
                      </w:rPr>
                      <m:t>n</m:t>
                    </m:r>
                    <m:ctrlPr>
                      <w:rPr>
                        <w:rFonts w:hint="default" w:ascii="Cambria Math" w:hAnsi="Cambria Math"/>
                        <w:i/>
                      </w:rPr>
                    </m:ctrlPr>
                  </m:e>
                  <m:sub>
                    <m:r>
                      <m:rPr/>
                      <w:rPr>
                        <w:rFonts w:hint="default" w:ascii="Cambria Math" w:hAnsi="Cambria Math"/>
                      </w:rPr>
                      <m:t>1</m:t>
                    </m:r>
                    <m:ctrlPr>
                      <w:rPr>
                        <w:rFonts w:hint="default" w:ascii="Cambria Math" w:hAnsi="Cambria Math"/>
                        <w:i/>
                      </w:rPr>
                    </m:ctrlPr>
                  </m:sub>
                </m:sSub>
                <m:ctrlPr>
                  <w:rPr>
                    <w:rFonts w:hint="default" w:ascii="Cambria Math" w:hAnsi="Cambria Math"/>
                    <w:i/>
                  </w:rPr>
                </m:ctrlPr>
              </m:num>
              <m:den>
                <m:sSub>
                  <m:sSubPr>
                    <m:ctrlPr>
                      <w:rPr>
                        <w:rFonts w:hint="default" w:ascii="Cambria Math" w:hAnsi="Cambria Math"/>
                        <w:i/>
                      </w:rPr>
                    </m:ctrlPr>
                  </m:sSubPr>
                  <m:e>
                    <m:r>
                      <m:rPr/>
                      <w:rPr>
                        <w:rFonts w:hint="eastAsia" w:ascii="Cambria Math" w:hAnsi="Cambria Math"/>
                      </w:rPr>
                      <m:t>N</m:t>
                    </m:r>
                    <m:ctrlPr>
                      <w:rPr>
                        <w:rFonts w:hint="default" w:ascii="Cambria Math" w:hAnsi="Cambria Math"/>
                        <w:i/>
                      </w:rPr>
                    </m:ctrlPr>
                  </m:e>
                  <m:sub>
                    <m:r>
                      <m:rPr/>
                      <w:rPr>
                        <w:rFonts w:hint="default" w:ascii="Cambria Math" w:hAnsi="Cambria Math"/>
                      </w:rPr>
                      <m:t>1</m:t>
                    </m:r>
                    <m:ctrlPr>
                      <w:rPr>
                        <w:rFonts w:hint="default" w:ascii="Cambria Math" w:hAnsi="Cambria Math"/>
                        <w:i/>
                      </w:rPr>
                    </m:ctrlPr>
                  </m:sub>
                </m:sSub>
                <m:ctrlPr>
                  <w:rPr>
                    <w:rFonts w:hint="default" w:ascii="Cambria Math" w:hAnsi="Cambria Math"/>
                    <w:i/>
                  </w:rPr>
                </m:ctrlPr>
              </m:den>
            </m:f>
            <m:r>
              <m:rPr/>
              <w:rPr>
                <w:rFonts w:hint="default" w:ascii="Cambria Math" w:hAnsi="Cambria Math"/>
              </w:rPr>
              <m:t>×35</m:t>
            </m:r>
            <m:ctrlPr>
              <w:rPr>
                <w:rFonts w:hint="default" w:ascii="Cambria Math" w:hAnsi="Cambria Math"/>
                <w:i/>
              </w:rPr>
            </m:ctrlPr>
          </m:e>
        </m:d>
      </m:oMath>
      <w:r>
        <w:rPr>
          <w:rFonts w:hint="eastAsia"/>
        </w:rPr>
        <w:t xml:space="preserve"> </w:t>
      </w:r>
      <w:r>
        <w:t xml:space="preserve">    ………………(B</w:t>
      </w:r>
      <w:r>
        <w:rPr>
          <w:rFonts w:hint="eastAsia"/>
          <w:lang w:val="en-US" w:eastAsia="zh-CN"/>
        </w:rPr>
        <w:t>4</w:t>
      </w:r>
      <w:r>
        <w:t>)</w:t>
      </w:r>
    </w:p>
    <w:p>
      <w:pPr>
        <w:pageBreakBefore w:val="0"/>
        <w:widowControl w:val="0"/>
        <w:kinsoku/>
        <w:wordWrap/>
        <w:overflowPunct/>
        <w:topLinePunct w:val="0"/>
        <w:autoSpaceDE/>
        <w:autoSpaceDN/>
        <w:bidi w:val="0"/>
        <w:spacing w:line="240" w:lineRule="atLeast"/>
        <w:ind w:left="0" w:leftChars="0" w:firstLine="420" w:firstLineChars="200"/>
        <w:textAlignment w:val="auto"/>
      </w:pPr>
      <w:r>
        <w:rPr>
          <w:rFonts w:hint="eastAsia"/>
        </w:rPr>
        <w:t>式中：</w:t>
      </w:r>
    </w:p>
    <w:p>
      <w:pPr>
        <w:pageBreakBefore w:val="0"/>
        <w:widowControl w:val="0"/>
        <w:kinsoku/>
        <w:wordWrap/>
        <w:overflowPunct/>
        <w:topLinePunct w:val="0"/>
        <w:autoSpaceDE/>
        <w:autoSpaceDN/>
        <w:bidi w:val="0"/>
        <w:spacing w:line="240" w:lineRule="atLeast"/>
        <w:ind w:left="0" w:leftChars="0" w:firstLine="420" w:firstLineChars="200"/>
        <w:textAlignment w:val="auto"/>
      </w:pPr>
      <w:r>
        <w:rPr>
          <w:rFonts w:hint="eastAsia"/>
        </w:rPr>
        <w:t>Y</w:t>
      </w:r>
      <w:r>
        <w:rPr>
          <w:vertAlign w:val="subscript"/>
        </w:rPr>
        <w:t>7</w:t>
      </w:r>
      <w:r>
        <w:tab/>
      </w:r>
      <w:r>
        <w:rPr>
          <w:rFonts w:hint="eastAsia"/>
        </w:rPr>
        <w:t>该项分值GB/T 8170的规定修约到个位数；</w:t>
      </w:r>
    </w:p>
    <w:p>
      <w:pPr>
        <w:pageBreakBefore w:val="0"/>
        <w:widowControl w:val="0"/>
        <w:kinsoku/>
        <w:wordWrap/>
        <w:overflowPunct/>
        <w:topLinePunct w:val="0"/>
        <w:autoSpaceDE/>
        <w:autoSpaceDN/>
        <w:bidi w:val="0"/>
        <w:spacing w:line="240" w:lineRule="atLeast"/>
        <w:ind w:left="0" w:leftChars="0" w:firstLine="420" w:firstLineChars="200"/>
        <w:textAlignment w:val="auto"/>
      </w:pPr>
      <w:r>
        <w:t>n</w:t>
      </w:r>
      <w:r>
        <w:rPr>
          <w:rFonts w:hint="eastAsia"/>
          <w:vertAlign w:val="subscript"/>
        </w:rPr>
        <w:t>1</w:t>
      </w:r>
      <w:r>
        <w:tab/>
      </w:r>
      <w:r>
        <w:rPr>
          <w:rFonts w:hint="eastAsia"/>
        </w:rPr>
        <w:t>按照绿色产品标准评价的工厂产品种类；</w:t>
      </w:r>
    </w:p>
    <w:p>
      <w:pPr>
        <w:pageBreakBefore w:val="0"/>
        <w:widowControl w:val="0"/>
        <w:kinsoku/>
        <w:wordWrap/>
        <w:overflowPunct/>
        <w:topLinePunct w:val="0"/>
        <w:autoSpaceDE/>
        <w:autoSpaceDN/>
        <w:bidi w:val="0"/>
        <w:spacing w:line="240" w:lineRule="atLeast"/>
        <w:ind w:left="0" w:leftChars="0" w:firstLine="420" w:firstLineChars="200"/>
        <w:textAlignment w:val="auto"/>
      </w:pPr>
      <w:r>
        <w:t>N</w:t>
      </w:r>
      <w:r>
        <w:rPr>
          <w:rFonts w:hint="eastAsia"/>
          <w:vertAlign w:val="subscript"/>
        </w:rPr>
        <w:t>1</w:t>
      </w:r>
      <w:r>
        <w:tab/>
      </w:r>
      <w:r>
        <w:rPr>
          <w:rFonts w:hint="eastAsia"/>
        </w:rPr>
        <w:t>绿色产品标准中涵盖的工厂产品种类；</w:t>
      </w:r>
    </w:p>
    <w:p>
      <w:pPr>
        <w:pageBreakBefore w:val="0"/>
        <w:widowControl w:val="0"/>
        <w:kinsoku/>
        <w:wordWrap/>
        <w:overflowPunct/>
        <w:topLinePunct w:val="0"/>
        <w:autoSpaceDE/>
        <w:autoSpaceDN/>
        <w:bidi w:val="0"/>
        <w:spacing w:line="240" w:lineRule="atLeast"/>
        <w:ind w:left="0" w:leftChars="0" w:firstLine="420" w:firstLineChars="200"/>
        <w:textAlignment w:val="auto"/>
        <w:outlineLvl w:val="0"/>
      </w:pPr>
      <w:bookmarkStart w:id="57" w:name="_Toc17460"/>
      <w:bookmarkStart w:id="58" w:name="_Toc13041"/>
      <w:r>
        <w:t>35</w:t>
      </w:r>
      <w:r>
        <w:tab/>
      </w:r>
      <w:r>
        <w:rPr>
          <w:rFonts w:hint="eastAsia"/>
        </w:rPr>
        <w:t>该项总分。</w:t>
      </w:r>
      <w:bookmarkEnd w:id="57"/>
      <w:bookmarkEnd w:id="58"/>
    </w:p>
    <w:p>
      <w:pPr>
        <w:pageBreakBefore w:val="0"/>
        <w:widowControl w:val="0"/>
        <w:kinsoku/>
        <w:wordWrap/>
        <w:overflowPunct/>
        <w:topLinePunct w:val="0"/>
        <w:autoSpaceDE/>
        <w:autoSpaceDN/>
        <w:bidi w:val="0"/>
        <w:spacing w:line="240" w:lineRule="atLeast"/>
        <w:ind w:left="0" w:leftChars="0" w:firstLine="0" w:firstLineChars="0"/>
        <w:textAlignment w:val="auto"/>
      </w:pPr>
    </w:p>
    <w:p>
      <w:pPr>
        <w:pageBreakBefore w:val="0"/>
        <w:widowControl w:val="0"/>
        <w:kinsoku/>
        <w:wordWrap/>
        <w:overflowPunct/>
        <w:topLinePunct w:val="0"/>
        <w:autoSpaceDE/>
        <w:autoSpaceDN/>
        <w:bidi w:val="0"/>
        <w:spacing w:line="240" w:lineRule="atLeast"/>
        <w:ind w:left="0" w:leftChars="0" w:firstLine="0" w:firstLineChars="0"/>
        <w:textAlignment w:val="auto"/>
        <w:rPr>
          <w:rFonts w:ascii="黑体" w:hAnsi="黑体" w:eastAsia="黑体"/>
        </w:rPr>
      </w:pPr>
      <w:r>
        <w:rPr>
          <w:rFonts w:hint="eastAsia" w:ascii="黑体" w:hAnsi="黑体" w:eastAsia="黑体"/>
        </w:rPr>
        <w:t>B</w:t>
      </w:r>
      <w:r>
        <w:rPr>
          <w:rFonts w:ascii="黑体" w:hAnsi="黑体" w:eastAsia="黑体"/>
        </w:rPr>
        <w:t>.</w:t>
      </w:r>
      <w:r>
        <w:rPr>
          <w:rFonts w:hint="eastAsia" w:ascii="黑体" w:hAnsi="黑体" w:eastAsia="黑体"/>
          <w:lang w:val="en-US" w:eastAsia="zh-CN"/>
        </w:rPr>
        <w:t>5</w:t>
      </w:r>
      <w:r>
        <w:rPr>
          <w:rFonts w:hint="eastAsia" w:ascii="黑体" w:hAnsi="黑体" w:eastAsia="黑体"/>
        </w:rPr>
        <w:t>未涵盖在绿色产品标准范围内的产品生态设计评分</w:t>
      </w:r>
    </w:p>
    <w:p>
      <w:pPr>
        <w:pageBreakBefore w:val="0"/>
        <w:widowControl w:val="0"/>
        <w:kinsoku/>
        <w:wordWrap/>
        <w:overflowPunct/>
        <w:topLinePunct w:val="0"/>
        <w:autoSpaceDE/>
        <w:autoSpaceDN/>
        <w:bidi w:val="0"/>
        <w:spacing w:line="240" w:lineRule="atLeast"/>
        <w:ind w:left="0" w:leftChars="0" w:firstLine="0" w:firstLineChars="0"/>
        <w:textAlignment w:val="auto"/>
      </w:pPr>
      <w:r>
        <w:rPr>
          <w:rFonts w:hint="eastAsia"/>
        </w:rPr>
        <w:t>未涵盖在绿色产品标准范围内的产品生态设计评分按公式（B</w:t>
      </w:r>
      <w:r>
        <w:rPr>
          <w:rFonts w:hint="eastAsia"/>
          <w:lang w:val="en-US" w:eastAsia="zh-CN"/>
        </w:rPr>
        <w:t>5</w:t>
      </w:r>
      <w:r>
        <w:rPr>
          <w:rFonts w:hint="eastAsia"/>
        </w:rPr>
        <w:t>）计算。</w:t>
      </w:r>
    </w:p>
    <w:p>
      <w:pPr>
        <w:pageBreakBefore w:val="0"/>
        <w:widowControl w:val="0"/>
        <w:kinsoku/>
        <w:wordWrap/>
        <w:overflowPunct/>
        <w:topLinePunct w:val="0"/>
        <w:autoSpaceDE/>
        <w:autoSpaceDN/>
        <w:bidi w:val="0"/>
        <w:spacing w:line="240" w:lineRule="atLeast"/>
        <w:ind w:left="0" w:leftChars="0" w:firstLine="0" w:firstLineChars="0"/>
        <w:jc w:val="center"/>
        <w:textAlignment w:val="auto"/>
      </w:pPr>
      <m:oMath>
        <m:sSub>
          <m:sSubPr>
            <m:ctrlPr>
              <w:rPr>
                <w:rFonts w:hint="default" w:ascii="Cambria Math" w:hAnsi="Cambria Math"/>
                <w:i/>
              </w:rPr>
            </m:ctrlPr>
          </m:sSubPr>
          <m:e>
            <m:r>
              <m:rPr/>
              <w:rPr>
                <w:rFonts w:hint="eastAsia" w:ascii="Cambria Math" w:hAnsi="Cambria Math"/>
              </w:rPr>
              <m:t>Y</m:t>
            </m:r>
            <m:ctrlPr>
              <w:rPr>
                <w:rFonts w:hint="default" w:ascii="Cambria Math" w:hAnsi="Cambria Math"/>
                <w:i/>
              </w:rPr>
            </m:ctrlPr>
          </m:e>
          <m:sub>
            <m:r>
              <m:rPr/>
              <w:rPr>
                <w:rFonts w:hint="default" w:ascii="Cambria Math" w:hAnsi="Cambria Math"/>
              </w:rPr>
              <m:t>8</m:t>
            </m:r>
            <m:ctrlPr>
              <w:rPr>
                <w:rFonts w:hint="default" w:ascii="Cambria Math" w:hAnsi="Cambria Math"/>
                <w:i/>
              </w:rPr>
            </m:ctrlPr>
          </m:sub>
        </m:sSub>
        <m:r>
          <m:rPr/>
          <w:rPr>
            <w:rFonts w:hint="default" w:ascii="Cambria Math" w:hAnsi="Cambria Math"/>
          </w:rPr>
          <m:t>=</m:t>
        </m:r>
        <m:d>
          <m:dPr>
            <m:begChr m:val="["/>
            <m:endChr m:val="]"/>
            <m:ctrlPr>
              <w:rPr>
                <w:rFonts w:hint="default" w:ascii="Cambria Math" w:hAnsi="Cambria Math"/>
                <w:i/>
              </w:rPr>
            </m:ctrlPr>
          </m:dPr>
          <m:e>
            <m:f>
              <m:fPr>
                <m:ctrlPr>
                  <w:rPr>
                    <w:rFonts w:hint="default" w:ascii="Cambria Math" w:hAnsi="Cambria Math"/>
                    <w:i/>
                  </w:rPr>
                </m:ctrlPr>
              </m:fPr>
              <m:num>
                <m:sSub>
                  <m:sSubPr>
                    <m:ctrlPr>
                      <w:rPr>
                        <w:rFonts w:hint="default" w:ascii="Cambria Math" w:hAnsi="Cambria Math"/>
                        <w:i/>
                      </w:rPr>
                    </m:ctrlPr>
                  </m:sSubPr>
                  <m:e>
                    <m:r>
                      <m:rPr/>
                      <w:rPr>
                        <w:rFonts w:hint="eastAsia" w:ascii="Cambria Math" w:hAnsi="Cambria Math"/>
                      </w:rPr>
                      <m:t>n</m:t>
                    </m:r>
                    <m:ctrlPr>
                      <w:rPr>
                        <w:rFonts w:hint="default" w:ascii="Cambria Math" w:hAnsi="Cambria Math"/>
                        <w:i/>
                      </w:rPr>
                    </m:ctrlPr>
                  </m:e>
                  <m:sub>
                    <m:r>
                      <m:rPr/>
                      <w:rPr>
                        <w:rFonts w:hint="default" w:ascii="Cambria Math" w:hAnsi="Cambria Math"/>
                      </w:rPr>
                      <m:t>2</m:t>
                    </m:r>
                    <m:ctrlPr>
                      <w:rPr>
                        <w:rFonts w:hint="default" w:ascii="Cambria Math" w:hAnsi="Cambria Math"/>
                        <w:i/>
                      </w:rPr>
                    </m:ctrlPr>
                  </m:sub>
                </m:sSub>
                <m:ctrlPr>
                  <w:rPr>
                    <w:rFonts w:hint="default" w:ascii="Cambria Math" w:hAnsi="Cambria Math"/>
                    <w:i/>
                  </w:rPr>
                </m:ctrlPr>
              </m:num>
              <m:den>
                <m:sSub>
                  <m:sSubPr>
                    <m:ctrlPr>
                      <w:rPr>
                        <w:rFonts w:hint="default" w:ascii="Cambria Math" w:hAnsi="Cambria Math"/>
                        <w:i/>
                      </w:rPr>
                    </m:ctrlPr>
                  </m:sSubPr>
                  <m:e>
                    <m:r>
                      <m:rPr/>
                      <w:rPr>
                        <w:rFonts w:hint="eastAsia" w:ascii="Cambria Math" w:hAnsi="Cambria Math"/>
                      </w:rPr>
                      <m:t>N</m:t>
                    </m:r>
                    <m:ctrlPr>
                      <w:rPr>
                        <w:rFonts w:hint="default" w:ascii="Cambria Math" w:hAnsi="Cambria Math"/>
                        <w:i/>
                      </w:rPr>
                    </m:ctrlPr>
                  </m:e>
                  <m:sub>
                    <m:r>
                      <m:rPr/>
                      <w:rPr>
                        <w:rFonts w:hint="default" w:ascii="Cambria Math" w:hAnsi="Cambria Math"/>
                      </w:rPr>
                      <m:t>2</m:t>
                    </m:r>
                    <m:ctrlPr>
                      <w:rPr>
                        <w:rFonts w:hint="default" w:ascii="Cambria Math" w:hAnsi="Cambria Math"/>
                        <w:i/>
                      </w:rPr>
                    </m:ctrlPr>
                  </m:sub>
                </m:sSub>
                <m:ctrlPr>
                  <w:rPr>
                    <w:rFonts w:hint="default" w:ascii="Cambria Math" w:hAnsi="Cambria Math"/>
                    <w:i/>
                  </w:rPr>
                </m:ctrlPr>
              </m:den>
            </m:f>
            <m:r>
              <m:rPr/>
              <w:rPr>
                <w:rFonts w:hint="default" w:ascii="Cambria Math" w:hAnsi="Cambria Math"/>
              </w:rPr>
              <m:t>×15</m:t>
            </m:r>
            <m:ctrlPr>
              <w:rPr>
                <w:rFonts w:hint="default" w:ascii="Cambria Math" w:hAnsi="Cambria Math"/>
                <w:i/>
              </w:rPr>
            </m:ctrlPr>
          </m:e>
        </m:d>
      </m:oMath>
      <w:r>
        <w:rPr>
          <w:rFonts w:hint="eastAsia"/>
        </w:rPr>
        <w:t xml:space="preserve"> </w:t>
      </w:r>
      <w:r>
        <w:t xml:space="preserve">    ………………(B</w:t>
      </w:r>
      <w:r>
        <w:rPr>
          <w:rFonts w:hint="eastAsia"/>
          <w:lang w:val="en-US" w:eastAsia="zh-CN"/>
        </w:rPr>
        <w:t>5</w:t>
      </w:r>
      <w:r>
        <w:t>)</w:t>
      </w:r>
    </w:p>
    <w:p>
      <w:pPr>
        <w:pageBreakBefore w:val="0"/>
        <w:widowControl w:val="0"/>
        <w:kinsoku/>
        <w:wordWrap/>
        <w:overflowPunct/>
        <w:topLinePunct w:val="0"/>
        <w:autoSpaceDE/>
        <w:autoSpaceDN/>
        <w:bidi w:val="0"/>
        <w:spacing w:line="240" w:lineRule="atLeast"/>
        <w:ind w:left="0" w:leftChars="0" w:firstLine="420" w:firstLineChars="200"/>
        <w:textAlignment w:val="auto"/>
      </w:pPr>
      <w:r>
        <w:rPr>
          <w:rFonts w:hint="eastAsia"/>
        </w:rPr>
        <w:t>式中：</w:t>
      </w:r>
    </w:p>
    <w:p>
      <w:pPr>
        <w:pageBreakBefore w:val="0"/>
        <w:widowControl w:val="0"/>
        <w:kinsoku/>
        <w:wordWrap/>
        <w:overflowPunct/>
        <w:topLinePunct w:val="0"/>
        <w:autoSpaceDE/>
        <w:autoSpaceDN/>
        <w:bidi w:val="0"/>
        <w:spacing w:line="240" w:lineRule="atLeast"/>
        <w:ind w:left="0" w:leftChars="0" w:firstLine="420" w:firstLineChars="200"/>
        <w:textAlignment w:val="auto"/>
      </w:pPr>
      <w:r>
        <w:rPr>
          <w:rFonts w:hint="eastAsia"/>
        </w:rPr>
        <w:t>Y</w:t>
      </w:r>
      <w:r>
        <w:rPr>
          <w:vertAlign w:val="subscript"/>
        </w:rPr>
        <w:t>8</w:t>
      </w:r>
      <w:r>
        <w:tab/>
      </w:r>
      <w:r>
        <w:rPr>
          <w:rFonts w:hint="eastAsia"/>
        </w:rPr>
        <w:t>该项分值GB/T 8170的规定修约到个位数；</w:t>
      </w:r>
    </w:p>
    <w:p>
      <w:pPr>
        <w:pageBreakBefore w:val="0"/>
        <w:widowControl w:val="0"/>
        <w:kinsoku/>
        <w:wordWrap/>
        <w:overflowPunct/>
        <w:topLinePunct w:val="0"/>
        <w:autoSpaceDE/>
        <w:autoSpaceDN/>
        <w:bidi w:val="0"/>
        <w:spacing w:line="240" w:lineRule="atLeast"/>
        <w:ind w:left="0" w:leftChars="0" w:firstLine="420" w:firstLineChars="200"/>
        <w:textAlignment w:val="auto"/>
      </w:pPr>
      <w:r>
        <w:t>n</w:t>
      </w:r>
      <w:r>
        <w:rPr>
          <w:vertAlign w:val="subscript"/>
        </w:rPr>
        <w:t>2</w:t>
      </w:r>
      <w:r>
        <w:tab/>
      </w:r>
      <w:r>
        <w:rPr>
          <w:rFonts w:hint="eastAsia"/>
        </w:rPr>
        <w:t>未涵盖的绿色产品种进行了绿色产品评价的种类；</w:t>
      </w:r>
    </w:p>
    <w:p>
      <w:pPr>
        <w:pageBreakBefore w:val="0"/>
        <w:widowControl w:val="0"/>
        <w:kinsoku/>
        <w:wordWrap/>
        <w:overflowPunct/>
        <w:topLinePunct w:val="0"/>
        <w:autoSpaceDE/>
        <w:autoSpaceDN/>
        <w:bidi w:val="0"/>
        <w:spacing w:line="240" w:lineRule="atLeast"/>
        <w:ind w:left="0" w:leftChars="0" w:firstLine="420" w:firstLineChars="200"/>
        <w:textAlignment w:val="auto"/>
      </w:pPr>
      <w:r>
        <w:t>N</w:t>
      </w:r>
      <w:r>
        <w:rPr>
          <w:vertAlign w:val="subscript"/>
        </w:rPr>
        <w:t>2</w:t>
      </w:r>
      <w:r>
        <w:tab/>
      </w:r>
      <w:r>
        <w:rPr>
          <w:rFonts w:hint="eastAsia"/>
        </w:rPr>
        <w:t>绿色产品标准中未涵盖的工厂产品种类；</w:t>
      </w:r>
    </w:p>
    <w:p>
      <w:pPr>
        <w:pageBreakBefore w:val="0"/>
        <w:widowControl w:val="0"/>
        <w:kinsoku/>
        <w:wordWrap/>
        <w:overflowPunct/>
        <w:topLinePunct w:val="0"/>
        <w:autoSpaceDE/>
        <w:autoSpaceDN/>
        <w:bidi w:val="0"/>
        <w:spacing w:line="240" w:lineRule="atLeast"/>
        <w:ind w:left="0" w:leftChars="0" w:firstLine="420" w:firstLineChars="200"/>
        <w:textAlignment w:val="auto"/>
        <w:outlineLvl w:val="0"/>
      </w:pPr>
      <w:bookmarkStart w:id="59" w:name="_Toc1157"/>
      <w:bookmarkStart w:id="60" w:name="_Toc30042"/>
      <w:r>
        <w:t>15</w:t>
      </w:r>
      <w:r>
        <w:tab/>
      </w:r>
      <w:r>
        <w:rPr>
          <w:rFonts w:hint="eastAsia"/>
        </w:rPr>
        <w:t>该项总分。</w:t>
      </w:r>
      <w:bookmarkEnd w:id="59"/>
      <w:bookmarkEnd w:id="60"/>
    </w:p>
    <w:p>
      <w:pPr>
        <w:pageBreakBefore w:val="0"/>
        <w:widowControl w:val="0"/>
        <w:kinsoku/>
        <w:wordWrap/>
        <w:overflowPunct/>
        <w:topLinePunct w:val="0"/>
        <w:autoSpaceDE/>
        <w:autoSpaceDN/>
        <w:bidi w:val="0"/>
        <w:spacing w:line="240" w:lineRule="atLeast"/>
        <w:ind w:left="0" w:leftChars="0" w:firstLine="420" w:firstLineChars="200"/>
        <w:textAlignment w:val="auto"/>
      </w:pPr>
      <w:r>
        <w:rPr>
          <w:rFonts w:hint="eastAsia"/>
        </w:rPr>
        <w:t>所有产品均有绿色产品标准涵盖，此项（1</w:t>
      </w:r>
      <w:r>
        <w:t>5</w:t>
      </w:r>
      <w:r>
        <w:rPr>
          <w:rFonts w:hint="eastAsia"/>
        </w:rPr>
        <w:t>分）</w:t>
      </w:r>
    </w:p>
    <w:p>
      <w:pPr>
        <w:pStyle w:val="31"/>
        <w:outlineLvl w:val="9"/>
        <w:rPr>
          <w:rFonts w:hint="eastAsia"/>
          <w:highlight w:val="none"/>
        </w:rPr>
      </w:pPr>
    </w:p>
    <w:p>
      <w:pPr>
        <w:pStyle w:val="31"/>
        <w:outlineLvl w:val="9"/>
        <w:rPr>
          <w:rFonts w:hint="eastAsia"/>
          <w:highlight w:val="none"/>
        </w:rPr>
      </w:pPr>
    </w:p>
    <w:p>
      <w:pPr>
        <w:pStyle w:val="31"/>
        <w:outlineLvl w:val="9"/>
        <w:rPr>
          <w:rFonts w:hint="eastAsia"/>
          <w:highlight w:val="none"/>
        </w:rPr>
      </w:pPr>
    </w:p>
    <w:p>
      <w:pPr>
        <w:pStyle w:val="31"/>
        <w:outlineLvl w:val="9"/>
        <w:rPr>
          <w:rFonts w:hint="eastAsia"/>
          <w:highlight w:val="none"/>
        </w:rPr>
      </w:pPr>
    </w:p>
    <w:p>
      <w:pPr>
        <w:pStyle w:val="31"/>
        <w:outlineLvl w:val="9"/>
        <w:rPr>
          <w:rFonts w:hint="eastAsia"/>
          <w:highlight w:val="none"/>
        </w:rPr>
      </w:pPr>
    </w:p>
    <w:p>
      <w:pPr>
        <w:pStyle w:val="31"/>
        <w:outlineLvl w:val="9"/>
        <w:rPr>
          <w:rFonts w:hint="eastAsia"/>
          <w:highlight w:val="none"/>
        </w:rPr>
      </w:pPr>
    </w:p>
    <w:p>
      <w:pPr>
        <w:pStyle w:val="31"/>
        <w:outlineLvl w:val="9"/>
        <w:rPr>
          <w:rFonts w:hint="eastAsia"/>
          <w:highlight w:val="none"/>
        </w:rPr>
      </w:pPr>
    </w:p>
    <w:p>
      <w:pPr>
        <w:pStyle w:val="31"/>
        <w:outlineLvl w:val="9"/>
        <w:rPr>
          <w:rFonts w:hint="eastAsia"/>
          <w:highlight w:val="none"/>
        </w:rPr>
      </w:pPr>
    </w:p>
    <w:p>
      <w:pPr>
        <w:pStyle w:val="31"/>
        <w:outlineLvl w:val="9"/>
        <w:rPr>
          <w:rFonts w:hint="eastAsia"/>
          <w:highlight w:val="none"/>
        </w:rPr>
      </w:pPr>
    </w:p>
    <w:p>
      <w:pPr>
        <w:pStyle w:val="31"/>
        <w:outlineLvl w:val="9"/>
        <w:rPr>
          <w:rFonts w:hint="eastAsia"/>
          <w:highlight w:val="none"/>
        </w:rPr>
      </w:pPr>
    </w:p>
    <w:p>
      <w:pPr>
        <w:pStyle w:val="31"/>
        <w:outlineLvl w:val="9"/>
        <w:rPr>
          <w:rFonts w:hint="eastAsia"/>
          <w:highlight w:val="none"/>
        </w:rPr>
      </w:pPr>
    </w:p>
    <w:p>
      <w:pPr>
        <w:pStyle w:val="31"/>
        <w:outlineLvl w:val="9"/>
        <w:rPr>
          <w:rFonts w:hint="eastAsia"/>
          <w:highlight w:val="none"/>
        </w:rPr>
      </w:pPr>
    </w:p>
    <w:p>
      <w:pPr>
        <w:pStyle w:val="31"/>
        <w:rPr>
          <w:rFonts w:hint="eastAsia"/>
          <w:highlight w:val="none"/>
        </w:rPr>
      </w:pPr>
      <w:bookmarkStart w:id="61" w:name="_Toc961"/>
      <w:bookmarkStart w:id="62" w:name="_Toc14743"/>
    </w:p>
    <w:p>
      <w:pPr>
        <w:pStyle w:val="31"/>
        <w:rPr>
          <w:rFonts w:hint="eastAsia"/>
          <w:highlight w:val="none"/>
        </w:rPr>
      </w:pPr>
    </w:p>
    <w:p>
      <w:pPr>
        <w:pStyle w:val="31"/>
        <w:rPr>
          <w:rFonts w:hint="eastAsia"/>
          <w:highlight w:val="none"/>
        </w:rPr>
      </w:pPr>
    </w:p>
    <w:p>
      <w:pPr>
        <w:pStyle w:val="31"/>
        <w:rPr>
          <w:rFonts w:hint="eastAsia"/>
          <w:highlight w:val="none"/>
        </w:rPr>
      </w:pPr>
    </w:p>
    <w:p>
      <w:pPr>
        <w:pStyle w:val="31"/>
        <w:rPr>
          <w:rFonts w:hint="eastAsia"/>
          <w:highlight w:val="none"/>
        </w:rPr>
      </w:pPr>
    </w:p>
    <w:p>
      <w:pPr>
        <w:pStyle w:val="31"/>
        <w:rPr>
          <w:highlight w:val="none"/>
        </w:rPr>
      </w:pPr>
      <w:r>
        <w:rPr>
          <w:rFonts w:hint="eastAsia"/>
          <w:highlight w:val="none"/>
        </w:rPr>
        <w:t>参考文献</w:t>
      </w:r>
      <w:bookmarkEnd w:id="61"/>
      <w:bookmarkEnd w:id="62"/>
    </w:p>
    <w:p>
      <w:pPr>
        <w:adjustRightInd w:val="0"/>
        <w:snapToGrid w:val="0"/>
        <w:ind w:firstLine="420" w:firstLineChars="200"/>
        <w:rPr>
          <w:highlight w:val="none"/>
        </w:rPr>
      </w:pPr>
    </w:p>
    <w:p>
      <w:pPr>
        <w:rPr>
          <w:highlight w:val="none"/>
        </w:rPr>
      </w:pPr>
      <w:r>
        <w:rPr>
          <w:highlight w:val="none"/>
        </w:rPr>
        <w:t>1、国土资发2008年第24号 工业项目建设用地控制指标</w:t>
      </w:r>
    </w:p>
    <w:p>
      <w:pPr>
        <w:rPr>
          <w:highlight w:val="none"/>
        </w:rPr>
      </w:pPr>
      <w:r>
        <w:rPr>
          <w:rFonts w:hint="eastAsia"/>
          <w:highlight w:val="none"/>
          <w:lang w:val="en-US" w:eastAsia="zh-CN"/>
        </w:rPr>
        <w:t>2</w:t>
      </w:r>
      <w:r>
        <w:rPr>
          <w:highlight w:val="none"/>
        </w:rPr>
        <w:t>、国土资源部2013年第21号 关于铁、铜、铅、锌、稀土、钾盐和萤石等矿产资源合理开发利用“三率”最低指标要求（试行）的公告</w:t>
      </w:r>
    </w:p>
    <w:p>
      <w:pPr>
        <w:rPr>
          <w:highlight w:val="none"/>
        </w:rPr>
      </w:pPr>
      <w:r>
        <w:rPr>
          <w:rFonts w:hint="eastAsia"/>
          <w:highlight w:val="none"/>
          <w:lang w:val="en-US" w:eastAsia="zh-CN"/>
        </w:rPr>
        <w:t>3</w:t>
      </w:r>
      <w:r>
        <w:rPr>
          <w:highlight w:val="none"/>
        </w:rPr>
        <w:t>、发改委、环保部、工信部2015年第9号公告 稀土冶炼行业清洁生产评价指标体系</w:t>
      </w:r>
    </w:p>
    <w:p>
      <w:pPr>
        <w:rPr>
          <w:highlight w:val="none"/>
        </w:rPr>
      </w:pPr>
      <w:r>
        <w:rPr>
          <w:rFonts w:hint="eastAsia"/>
          <w:highlight w:val="none"/>
          <w:lang w:val="en-US" w:eastAsia="zh-CN"/>
        </w:rPr>
        <w:t>4</w:t>
      </w:r>
      <w:r>
        <w:rPr>
          <w:highlight w:val="none"/>
        </w:rPr>
        <w:t>、工信部联节2016年第398号 国家鼓励的有毒有害原料（产品）替代品目录（2016年版）</w:t>
      </w:r>
    </w:p>
    <w:p>
      <w:pPr>
        <w:rPr>
          <w:highlight w:val="none"/>
        </w:rPr>
      </w:pPr>
      <w:r>
        <w:rPr>
          <w:rFonts w:hint="eastAsia"/>
          <w:highlight w:val="none"/>
          <w:lang w:val="en-US" w:eastAsia="zh-CN"/>
        </w:rPr>
        <w:t>5</w:t>
      </w:r>
      <w:r>
        <w:rPr>
          <w:highlight w:val="none"/>
        </w:rPr>
        <w:t>、工信部公告2016年第31号 稀土行业规范条件（2016年本）</w:t>
      </w:r>
    </w:p>
    <w:p>
      <w:pPr>
        <w:rPr>
          <w:highlight w:val="none"/>
        </w:rPr>
      </w:pPr>
      <w:r>
        <w:rPr>
          <w:rFonts w:hint="eastAsia"/>
          <w:highlight w:val="none"/>
          <w:lang w:val="en-US" w:eastAsia="zh-CN"/>
        </w:rPr>
        <w:t>6</w:t>
      </w:r>
      <w:r>
        <w:rPr>
          <w:highlight w:val="none"/>
        </w:rPr>
        <w:t>、工信厅节函2016年第586号 关于开展绿色制造体系建设的通知</w:t>
      </w:r>
    </w:p>
    <w:p>
      <w:pPr>
        <w:rPr>
          <w:highlight w:val="none"/>
        </w:rPr>
      </w:pPr>
      <w:r>
        <w:rPr>
          <w:rFonts w:hint="eastAsia"/>
          <w:highlight w:val="none"/>
          <w:lang w:val="en-US" w:eastAsia="zh-CN"/>
        </w:rPr>
        <w:t>7</w:t>
      </w:r>
      <w:r>
        <w:rPr>
          <w:highlight w:val="none"/>
        </w:rPr>
        <w:t>、工信部 绿色制造工程实施指南（2016-2020 年）</w:t>
      </w:r>
    </w:p>
    <w:p>
      <w:pPr>
        <w:rPr>
          <w:highlight w:val="none"/>
        </w:rPr>
      </w:pPr>
      <w:r>
        <w:rPr>
          <w:rFonts w:hint="eastAsia"/>
          <w:highlight w:val="none"/>
          <w:lang w:val="en-US" w:eastAsia="zh-CN"/>
        </w:rPr>
        <w:t>8</w:t>
      </w:r>
      <w:r>
        <w:rPr>
          <w:highlight w:val="none"/>
        </w:rPr>
        <w:t>、工信部公告2018年第26号 工业固体废物资源综合利用评价管理暂行办法</w:t>
      </w:r>
    </w:p>
    <w:p>
      <w:pPr>
        <w:rPr>
          <w:szCs w:val="21"/>
          <w:highlight w:val="none"/>
        </w:rPr>
      </w:pPr>
      <w:r>
        <w:rPr>
          <w:rFonts w:hint="eastAsia"/>
          <w:szCs w:val="21"/>
          <w:highlight w:val="none"/>
          <w:lang w:val="en-US" w:eastAsia="zh-CN"/>
        </w:rPr>
        <w:t>9</w:t>
      </w:r>
      <w:r>
        <w:rPr>
          <w:szCs w:val="21"/>
          <w:highlight w:val="none"/>
        </w:rPr>
        <w:t>、工信厅节函2018第257号 工业和信息化部办公厅关于推荐第三批绿色制造名单的通知 附件三 绿色工厂自评价报告及第三方评价报告</w:t>
      </w:r>
    </w:p>
    <w:p>
      <w:pPr>
        <w:rPr>
          <w:highlight w:val="none"/>
        </w:rPr>
      </w:pPr>
      <w:r>
        <w:rPr>
          <w:highlight w:val="none"/>
        </w:rPr>
        <w:t>1</w:t>
      </w:r>
      <w:r>
        <w:rPr>
          <w:rFonts w:hint="eastAsia"/>
          <w:highlight w:val="none"/>
          <w:lang w:val="en-US" w:eastAsia="zh-CN"/>
        </w:rPr>
        <w:t>0</w:t>
      </w:r>
      <w:r>
        <w:rPr>
          <w:highlight w:val="none"/>
        </w:rPr>
        <w:t>、发展和改革委员会令2019年 第29号 产业结构调整指导目录（2019年本）</w:t>
      </w:r>
    </w:p>
    <w:p>
      <w:pPr>
        <w:rPr>
          <w:highlight w:val="none"/>
        </w:rPr>
      </w:pPr>
      <w:r>
        <w:rPr>
          <w:highlight w:val="none"/>
        </w:rPr>
        <w:t>1</w:t>
      </w:r>
      <w:r>
        <w:rPr>
          <w:rFonts w:hint="eastAsia"/>
          <w:highlight w:val="none"/>
          <w:lang w:val="en-US" w:eastAsia="zh-CN"/>
        </w:rPr>
        <w:t>1</w:t>
      </w:r>
      <w:r>
        <w:rPr>
          <w:highlight w:val="none"/>
        </w:rPr>
        <w:t>、发改办环资2019年第44号 关于推进大宗固体废弃物综合利用产业集聚发展的通知</w:t>
      </w:r>
    </w:p>
    <w:p>
      <w:pPr>
        <w:rPr>
          <w:highlight w:val="none"/>
        </w:rPr>
      </w:pPr>
      <w:r>
        <w:rPr>
          <w:highlight w:val="none"/>
        </w:rPr>
        <w:t>1</w:t>
      </w:r>
      <w:r>
        <w:rPr>
          <w:rFonts w:hint="eastAsia"/>
          <w:highlight w:val="none"/>
          <w:lang w:val="en-US" w:eastAsia="zh-CN"/>
        </w:rPr>
        <w:t>2</w:t>
      </w:r>
      <w:r>
        <w:rPr>
          <w:highlight w:val="none"/>
        </w:rPr>
        <w:t>、发改环资2019年第293号 绿色产业指导目录（2019版）</w:t>
      </w:r>
    </w:p>
    <w:p>
      <w:pPr>
        <w:adjustRightInd w:val="0"/>
        <w:snapToGrid w:val="0"/>
        <w:ind w:firstLine="420" w:firstLineChars="200"/>
        <w:rPr>
          <w:rFonts w:ascii="Times New Roman" w:hAnsi="Times New Roman"/>
          <w:highlight w:val="none"/>
        </w:rPr>
      </w:pPr>
    </w:p>
    <w:p>
      <w:pPr>
        <w:rPr>
          <w:highlight w:val="none"/>
        </w:rPr>
      </w:pPr>
    </w:p>
    <w:sectPr>
      <w:footerReference r:id="rId19" w:type="default"/>
      <w:footerReference r:id="rId20" w:type="even"/>
      <w:pgSz w:w="11907" w:h="16839"/>
      <w:pgMar w:top="1418" w:right="1134" w:bottom="1134" w:left="1418" w:header="1418" w:footer="851"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jc w:val="center"/>
      <w:rPr>
        <w:rStyle w:val="37"/>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222250"/>
              <wp:effectExtent l="0" t="0" r="0" b="0"/>
              <wp:wrapNone/>
              <wp:docPr id="18" name="文本框 30"/>
              <wp:cNvGraphicFramePr/>
              <a:graphic xmlns:a="http://schemas.openxmlformats.org/drawingml/2006/main">
                <a:graphicData uri="http://schemas.microsoft.com/office/word/2010/wordprocessingShape">
                  <wps:wsp>
                    <wps:cNvSpPr txBox="1"/>
                    <wps:spPr>
                      <a:xfrm>
                        <a:off x="0" y="0"/>
                        <a:ext cx="57785" cy="222250"/>
                      </a:xfrm>
                      <a:prstGeom prst="rect">
                        <a:avLst/>
                      </a:prstGeom>
                      <a:noFill/>
                      <a:ln w="6350">
                        <a:noFill/>
                      </a:ln>
                      <a:effectLst/>
                    </wps:spPr>
                    <wps:txbx>
                      <w:txbxContent>
                        <w:p>
                          <w:pPr>
                            <w:pStyle w:val="2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shape id="文本框 30" o:spid="_x0000_s1026" o:spt="202" type="#_x0000_t202" style="position:absolute;left:0pt;margin-top:0pt;height:17.5pt;width:4.55pt;mso-position-horizontal:center;mso-position-horizontal-relative:margin;mso-wrap-style:none;z-index:251659264;mso-width-relative:page;mso-height-relative:page;" filled="f" stroked="f" coordsize="21600,21600" o:gfxdata="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FkbqbR&#10;AAAAAgEAAA8AAAAAAAAAAQAgAAAAIgAAAGRycy9kb3ducmV2LnhtbFBLAQIUABQAAAAIAIdO4kAa&#10;hoW17gEAANQDAAAOAAAAAAAAAAEAIAAAACABAABkcnMvZTJvRG9jLnhtbFBLBQYAAAAABgAGAFkB&#10;AACABQ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rPr>
        <w:rStyle w:val="37"/>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7"/>
                          </w:pPr>
                          <w:r>
                            <w:fldChar w:fldCharType="begin"/>
                          </w:r>
                          <w:r>
                            <w:instrText xml:space="preserve"> PAGE  \* MERGEFORMAT </w:instrText>
                          </w:r>
                          <w:r>
                            <w:fldChar w:fldCharType="separate"/>
                          </w:r>
                          <w:r>
                            <w:t>16</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J/ZXI3jAQAAzQMAAA4A&#10;AAAAAAAAAQAgAAAAHgEAAGRycy9lMm9Eb2MueG1sUEsFBgAAAAAGAAYAWQEAAHMFAAAAAA==&#10;">
              <v:fill on="f" focussize="0,0"/>
              <v:stroke on="f"/>
              <v:imagedata o:title=""/>
              <o:lock v:ext="edit" aspectratio="f"/>
              <v:textbox inset="0mm,0mm,0mm,0mm" style="mso-fit-shape-to-text:t;">
                <w:txbxContent>
                  <w:p>
                    <w:pPr>
                      <w:pStyle w:val="67"/>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0lY7tAA&#10;AAAFAQAADwAAAAAAAAABACAAAAAiAAAAZHJzL2Rvd25yZXYueG1sUEsBAhQAFAAAAAgAh07iQGZC&#10;Wu/uAQAA1wMAAA4AAAAAAAAAAQAgAAAAHwEAAGRycy9lMm9Eb2MueG1sUEsFBgAAAAAGAAYAWQEA&#10;AH8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jc w:val="center"/>
      <w:rPr>
        <w:rStyle w:val="37"/>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57785" cy="222250"/>
              <wp:effectExtent l="0" t="0" r="0" b="0"/>
              <wp:wrapNone/>
              <wp:docPr id="20" name="文本框 30"/>
              <wp:cNvGraphicFramePr/>
              <a:graphic xmlns:a="http://schemas.openxmlformats.org/drawingml/2006/main">
                <a:graphicData uri="http://schemas.microsoft.com/office/word/2010/wordprocessingShape">
                  <wps:wsp>
                    <wps:cNvSpPr txBox="1"/>
                    <wps:spPr>
                      <a:xfrm>
                        <a:off x="0" y="0"/>
                        <a:ext cx="57785" cy="222250"/>
                      </a:xfrm>
                      <a:prstGeom prst="rect">
                        <a:avLst/>
                      </a:prstGeom>
                      <a:noFill/>
                      <a:ln w="6350">
                        <a:noFill/>
                      </a:ln>
                    </wps:spPr>
                    <wps:txbx>
                      <w:txbxContent>
                        <w:p>
                          <w:pPr>
                            <w:pStyle w:val="2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shape id="文本框 30" o:spid="_x0000_s1026" o:spt="202" type="#_x0000_t202" style="position:absolute;left:0pt;margin-top:0pt;height:17.5pt;width:4.55pt;mso-position-horizontal:center;mso-position-horizontal-relative:margin;mso-wrap-style:none;z-index:251665408;mso-width-relative:page;mso-height-relative:page;" filled="f" stroked="f" coordsize="21600,21600" o:gfxdata="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hZG6m0QAAAAIB&#10;AAAPAAAAAAAAAAEAIAAAACIAAABkcnMvZG93bnJldi54bWxQSwECFAAUAAAACACHTuJA45n4j+kB&#10;AADGAwAADgAAAAAAAAABACAAAAAgAQAAZHJzL2Uyb0RvYy54bWxQSwUGAAAAAAYABgBZAQAAewUA&#10;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4"/>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1">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0lY7tAAAAAFAQAA&#10;DwAAAAAAAAABACAAAAAiAAAAZHJzL2Rvd25yZXYueG1sUEsBAhQAFAAAAAgAh07iQMiPZ5/oAQAA&#10;yQMAAA4AAAAAAAAAAQAgAAAAHwEAAGRycy9lMm9Eb2MueG1sUEsFBgAAAAAGAAYAWQEAAHkFAAAA&#10;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jc w:val="center"/>
      <w:rPr>
        <w:rStyle w:val="37"/>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57785" cy="222250"/>
              <wp:effectExtent l="0" t="0" r="0" b="0"/>
              <wp:wrapNone/>
              <wp:docPr id="29" name="文本框 30"/>
              <wp:cNvGraphicFramePr/>
              <a:graphic xmlns:a="http://schemas.openxmlformats.org/drawingml/2006/main">
                <a:graphicData uri="http://schemas.microsoft.com/office/word/2010/wordprocessingShape">
                  <wps:wsp>
                    <wps:cNvSpPr txBox="1"/>
                    <wps:spPr>
                      <a:xfrm>
                        <a:off x="0" y="0"/>
                        <a:ext cx="57785" cy="222250"/>
                      </a:xfrm>
                      <a:prstGeom prst="rect">
                        <a:avLst/>
                      </a:prstGeom>
                      <a:noFill/>
                      <a:ln w="6350">
                        <a:noFill/>
                      </a:ln>
                      <a:effectLst/>
                    </wps:spPr>
                    <wps:txbx>
                      <w:txbxContent>
                        <w:p>
                          <w:pPr>
                            <w:pStyle w:val="24"/>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30" o:spid="_x0000_s1026" o:spt="202" type="#_x0000_t202" style="position:absolute;left:0pt;margin-top:0pt;height:17.5pt;width:4.55pt;mso-position-horizontal:center;mso-position-horizontal-relative:margin;mso-wrap-style:none;z-index:251667456;mso-width-relative:page;mso-height-relative:page;" filled="f" stroked="f" coordsize="21600,21600" o:gfxdata="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IWRuptEAAAACAQAADwAAAAAAAAABACAA&#10;AAAiAAAAZHJzL2Rvd25yZXYueG1sUEsBAhQAFAAAAAgAh07iQBjcvxrbAQAArwMAAA4AAAAAAAAA&#10;AQAgAAAAIAEAAGRycy9lMm9Eb2MueG1sUEsFBgAAAAAGAAYAWQEAAG0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0lY7tAAAAAFAQAADwAAAAAAAAABACAAAAAi&#10;AAAAZHJzL2Rvd25yZXYueG1sUEsBAhQAFAAAAAgAh07iQC+7ksDZAQAAsgMAAA4AAAAAAAAAAQAg&#10;AAAAHwEAAGRycy9lMm9Eb2MueG1sUEsFBgAAAAAGAAYAWQEAAGo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rPr>
        <w:rStyle w:val="37"/>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CUUoXd5AEAAM4DAAAO&#10;AAAAAAAAAAEAIAAAAB4BAABkcnMvZTJvRG9jLnhtbFBLBQYAAAAABgAGAFkBAAB0BQAAAAA=&#10;">
              <v:fill on="f" focussize="0,0"/>
              <v:stroke on="f"/>
              <v:imagedata o:title=""/>
              <o:lock v:ext="edit" aspectratio="f"/>
              <v:textbox inset="0mm,0mm,0mm,0mm" style="mso-fit-shape-to-text:t;">
                <w:txbxContent>
                  <w:p>
                    <w:pPr>
                      <w:pStyle w:val="9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rPr>
        <w:rStyle w:val="37"/>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7"/>
                          </w:pPr>
                          <w:r>
                            <w:fldChar w:fldCharType="begin"/>
                          </w:r>
                          <w:r>
                            <w:instrText xml:space="preserve"> PAGE  \* MERGEFORMAT </w:instrText>
                          </w:r>
                          <w:r>
                            <w:fldChar w:fldCharType="separate"/>
                          </w:r>
                          <w:r>
                            <w:t>10</w:t>
                          </w:r>
                          <w:r>
                            <w:fldChar w:fldCharType="end"/>
                          </w:r>
                        </w:p>
                      </w:txbxContent>
                    </wps:txbx>
                    <wps:bodyPr vert="horz" wrap="none" lIns="0" tIns="0" rIns="0" bIns="0" anchor="t" anchorCtr="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DEOawk5AEAAM4DAAAO&#10;AAAAAAAAAAEAIAAAAB4BAABkcnMvZTJvRG9jLnhtbFBLBQYAAAAABgAGAFkBAAB0BQAAAAA=&#10;">
              <v:fill on="f" focussize="0,0"/>
              <v:stroke on="f"/>
              <v:imagedata o:title=""/>
              <o:lock v:ext="edit" aspectratio="f"/>
              <v:textbox inset="0mm,0mm,0mm,0mm" style="mso-fit-shape-to-text:t;">
                <w:txbxContent>
                  <w:p>
                    <w:pPr>
                      <w:pStyle w:val="67"/>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rPr>
        <w:rStyle w:val="37"/>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OGD7SDjAQAAzQMAAA4A&#10;AAAAAAAAAQAgAAAAHgEAAGRycy9lMm9Eb2MueG1sUEsFBgAAAAAGAAYAWQEAAHMFAAAAAA==&#10;">
              <v:fill on="f" focussize="0,0"/>
              <v:stroke on="f"/>
              <v:imagedata o:title=""/>
              <o:lock v:ext="edit" aspectratio="f"/>
              <v:textbox inset="0mm,0mm,0mm,0mm" style="mso-fit-shape-to-text:t;">
                <w:txbxContent>
                  <w:p>
                    <w:pPr>
                      <w:pStyle w:val="9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420"/>
      </w:pPr>
      <w:r>
        <w:separator/>
      </w:r>
    </w:p>
  </w:footnote>
  <w:footnote w:type="continuationSeparator" w:id="1">
    <w:p>
      <w:pPr>
        <w:spacing w:before="0" w:after="0"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0"/>
    </w:pPr>
    <w:r>
      <w:t>GB/T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jc w:val="right"/>
    </w:pPr>
    <w:r>
      <w:rPr>
        <w:rFonts w:hint="eastAsia"/>
      </w:rPr>
      <w:t>X</w:t>
    </w:r>
    <w:r>
      <w:t>B/T</w:t>
    </w:r>
    <w:r>
      <w:rPr>
        <w:rFonts w:hint="eastAsia"/>
      </w:rPr>
      <w:t xml:space="preserve"> </w:t>
    </w:r>
    <w:r>
      <w:rPr>
        <w:rFonts w:ascii="黑体" w:hAnsi="黑体" w:eastAsia="黑体"/>
      </w:rPr>
      <w:t>XXX</w:t>
    </w:r>
    <w:r>
      <w:rPr>
        <w:rFonts w:hint="eastAsia" w:ascii="黑体" w:hAnsi="黑体" w:eastAsia="黑体"/>
        <w:lang w:val="en-US" w:eastAsia="zh-CN"/>
      </w:rPr>
      <w:t>X</w:t>
    </w:r>
    <w:r>
      <w:rPr>
        <w:rFonts w:eastAsia="黑体"/>
      </w:rPr>
      <w:t>-20</w:t>
    </w:r>
    <w:r>
      <w:rPr>
        <w:rFonts w:hint="eastAsia" w:ascii="黑体" w:hAnsi="黑体" w:eastAsia="黑体"/>
        <w:lang w:val="en-US" w:eastAsia="zh-CN"/>
      </w:rPr>
      <w:t>2</w:t>
    </w:r>
    <w:r>
      <w:rPr>
        <w:rFonts w:ascii="黑体" w:hAnsi="黑体" w:eastAsia="黑体"/>
      </w:rPr>
      <w:t>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5"/>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0"/>
      <w:pBdr>
        <w:bottom w:val="none" w:color="auto" w:sz="0" w:space="0"/>
      </w:pBdr>
      <w:wordWrap w:val="0"/>
      <w:rPr>
        <w:sz w:val="18"/>
        <w:szCs w:val="18"/>
      </w:rPr>
    </w:pPr>
    <w:r>
      <w:rPr>
        <w:rFonts w:hint="eastAsia"/>
      </w:rPr>
      <w:t>X</w:t>
    </w:r>
    <w:r>
      <w:t>B/T</w:t>
    </w:r>
    <w:r>
      <w:rPr>
        <w:rFonts w:hint="eastAsia"/>
      </w:rPr>
      <w:t xml:space="preserve"> </w:t>
    </w:r>
    <w:r>
      <w:rPr>
        <w:rFonts w:ascii="黑体" w:hAnsi="黑体" w:eastAsia="黑体"/>
      </w:rPr>
      <w:t>XXX</w:t>
    </w:r>
    <w:r>
      <w:rPr>
        <w:rFonts w:hint="eastAsia" w:ascii="黑体" w:hAnsi="黑体" w:eastAsia="黑体"/>
        <w:lang w:val="en-US" w:eastAsia="zh-CN"/>
      </w:rPr>
      <w:t>X</w:t>
    </w:r>
    <w:r>
      <w:rPr>
        <w:rFonts w:eastAsia="黑体"/>
      </w:rPr>
      <w:t>-20</w:t>
    </w:r>
    <w:r>
      <w:rPr>
        <w:rFonts w:hint="eastAsia" w:ascii="黑体" w:hAnsi="黑体" w:eastAsia="黑体"/>
        <w:lang w:val="en-US" w:eastAsia="zh-CN"/>
      </w:rPr>
      <w:t>2</w:t>
    </w:r>
    <w:r>
      <w:rPr>
        <w:rFonts w:ascii="黑体" w:hAnsi="黑体" w:eastAsia="黑体"/>
      </w:rPr>
      <w:t>X</w:t>
    </w:r>
    <w:r>
      <w:rPr>
        <w:sz w:val="18"/>
        <w:szCs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0"/>
      <w:keepNext w:val="0"/>
      <w:keepLines w:val="0"/>
      <w:pageBreakBefore w:val="0"/>
      <w:widowControl/>
      <w:pBdr>
        <w:bottom w:val="none" w:color="auto" w:sz="0" w:space="0"/>
      </w:pBdr>
      <w:kinsoku/>
      <w:wordWrap w:val="0"/>
      <w:overflowPunct/>
      <w:topLinePunct w:val="0"/>
      <w:autoSpaceDE/>
      <w:autoSpaceDN/>
      <w:bidi w:val="0"/>
      <w:adjustRightInd/>
      <w:snapToGrid/>
      <w:spacing w:line="240" w:lineRule="atLeast"/>
      <w:textAlignment w:val="auto"/>
      <w:rPr>
        <w:rFonts w:hint="eastAsia" w:ascii="黑体" w:hAnsi="黑体" w:eastAsia="黑体" w:cs="黑体"/>
        <w:sz w:val="21"/>
        <w:szCs w:val="21"/>
      </w:rPr>
    </w:pPr>
    <w:r>
      <w:rPr>
        <w:rFonts w:hint="eastAsia" w:ascii="黑体" w:hAnsi="黑体" w:eastAsia="黑体" w:cs="黑体"/>
        <w:sz w:val="21"/>
        <w:szCs w:val="21"/>
      </w:rPr>
      <w:t>XB/T XXX</w:t>
    </w:r>
    <w:r>
      <w:rPr>
        <w:rFonts w:hint="eastAsia" w:ascii="黑体" w:hAnsi="黑体" w:eastAsia="黑体" w:cs="黑体"/>
        <w:sz w:val="21"/>
        <w:szCs w:val="21"/>
        <w:lang w:val="en-US" w:eastAsia="zh-CN"/>
      </w:rPr>
      <w:t>X</w:t>
    </w:r>
    <w:r>
      <w:rPr>
        <w:rFonts w:hint="eastAsia" w:ascii="黑体" w:hAnsi="黑体" w:eastAsia="黑体" w:cs="黑体"/>
        <w:sz w:val="21"/>
        <w:szCs w:val="21"/>
      </w:rPr>
      <w:t>-20</w:t>
    </w:r>
    <w:r>
      <w:rPr>
        <w:rFonts w:hint="eastAsia" w:ascii="黑体" w:hAnsi="黑体" w:eastAsia="黑体" w:cs="黑体"/>
        <w:sz w:val="21"/>
        <w:szCs w:val="21"/>
        <w:lang w:val="en-US" w:eastAsia="zh-CN"/>
      </w:rPr>
      <w:t>2</w:t>
    </w:r>
    <w:r>
      <w:rPr>
        <w:rFonts w:hint="eastAsia" w:ascii="黑体" w:hAnsi="黑体" w:eastAsia="黑体" w:cs="黑体"/>
        <w:sz w:val="21"/>
        <w:szCs w:val="21"/>
      </w:rPr>
      <w:t xml:space="preserve">X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jc w:val="right"/>
    </w:pPr>
    <w:r>
      <w:rPr>
        <w:rFonts w:hint="eastAsia" w:ascii="黑体" w:hAnsi="黑体" w:eastAsia="黑体" w:cs="黑体"/>
        <w:sz w:val="21"/>
        <w:szCs w:val="21"/>
      </w:rPr>
      <w:t>XB/T XXX</w:t>
    </w:r>
    <w:r>
      <w:rPr>
        <w:rFonts w:hint="eastAsia" w:ascii="黑体" w:hAnsi="黑体" w:eastAsia="黑体" w:cs="黑体"/>
        <w:sz w:val="21"/>
        <w:szCs w:val="21"/>
        <w:lang w:val="en-US" w:eastAsia="zh-CN"/>
      </w:rPr>
      <w:t>X</w:t>
    </w:r>
    <w:r>
      <w:rPr>
        <w:rFonts w:hint="eastAsia" w:ascii="黑体" w:hAnsi="黑体" w:eastAsia="黑体" w:cs="黑体"/>
        <w:sz w:val="21"/>
        <w:szCs w:val="21"/>
      </w:rPr>
      <w:t>-20</w:t>
    </w:r>
    <w:r>
      <w:rPr>
        <w:rFonts w:hint="eastAsia" w:ascii="黑体" w:hAnsi="黑体" w:eastAsia="黑体" w:cs="黑体"/>
        <w:sz w:val="21"/>
        <w:szCs w:val="21"/>
        <w:lang w:val="en-US" w:eastAsia="zh-CN"/>
      </w:rPr>
      <w:t>2</w:t>
    </w:r>
    <w:r>
      <w:rPr>
        <w:rFonts w:hint="eastAsia" w:ascii="黑体" w:hAnsi="黑体" w:eastAsia="黑体" w:cs="黑体"/>
        <w:sz w:val="21"/>
        <w:szCs w:val="21"/>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8"/>
      <w:suff w:val="nothing"/>
      <w:lvlText w:val="%1%2.%3　"/>
      <w:lvlJc w:val="left"/>
      <w:pPr>
        <w:ind w:left="0" w:firstLine="0"/>
      </w:pPr>
      <w:rPr>
        <w:rFonts w:hint="eastAsia" w:ascii="黑体" w:hAnsi="Times New Roman" w:eastAsia="黑体"/>
        <w:b w:val="0"/>
        <w:i w:val="0"/>
        <w:sz w:val="21"/>
      </w:rPr>
    </w:lvl>
    <w:lvl w:ilvl="3" w:tentative="0">
      <w:start w:val="1"/>
      <w:numFmt w:val="decimal"/>
      <w:pStyle w:val="111"/>
      <w:suff w:val="nothing"/>
      <w:lvlText w:val="%1%2.%3.%4　"/>
      <w:lvlJc w:val="left"/>
      <w:pPr>
        <w:ind w:left="0" w:firstLine="0"/>
      </w:pPr>
      <w:rPr>
        <w:rFonts w:hint="eastAsia" w:ascii="黑体" w:hAnsi="Times New Roman" w:eastAsia="黑体"/>
        <w:b w:val="0"/>
        <w:i w:val="0"/>
        <w:sz w:val="21"/>
      </w:rPr>
    </w:lvl>
    <w:lvl w:ilvl="4" w:tentative="0">
      <w:start w:val="1"/>
      <w:numFmt w:val="decimal"/>
      <w:pStyle w:val="82"/>
      <w:suff w:val="nothing"/>
      <w:lvlText w:val="%1%2.%3.%4.%5　"/>
      <w:lvlJc w:val="left"/>
      <w:pPr>
        <w:ind w:left="0" w:firstLine="0"/>
      </w:pPr>
      <w:rPr>
        <w:rFonts w:hint="eastAsia" w:ascii="黑体" w:hAnsi="Times New Roman" w:eastAsia="黑体"/>
        <w:b w:val="0"/>
        <w:i w:val="0"/>
        <w:sz w:val="21"/>
      </w:rPr>
    </w:lvl>
    <w:lvl w:ilvl="5" w:tentative="0">
      <w:start w:val="1"/>
      <w:numFmt w:val="decimal"/>
      <w:pStyle w:val="121"/>
      <w:suff w:val="nothing"/>
      <w:lvlText w:val="%1%2.%3.%4.%5.%6　"/>
      <w:lvlJc w:val="left"/>
      <w:pPr>
        <w:ind w:left="0" w:firstLine="0"/>
      </w:pPr>
      <w:rPr>
        <w:rFonts w:hint="eastAsia" w:ascii="黑体" w:hAnsi="Times New Roman" w:eastAsia="黑体"/>
        <w:b w:val="0"/>
        <w:i w:val="0"/>
        <w:sz w:val="21"/>
      </w:rPr>
    </w:lvl>
    <w:lvl w:ilvl="6" w:tentative="0">
      <w:start w:val="1"/>
      <w:numFmt w:val="decimal"/>
      <w:pStyle w:val="12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tentative="0">
      <w:start w:val="1"/>
      <w:numFmt w:val="none"/>
      <w:pStyle w:val="101"/>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07E65F9"/>
    <w:multiLevelType w:val="multilevel"/>
    <w:tmpl w:val="407E65F9"/>
    <w:lvl w:ilvl="0" w:tentative="0">
      <w:start w:val="1"/>
      <w:numFmt w:val="none"/>
      <w:pStyle w:val="116"/>
      <w:lvlText w:val="%1●　"/>
      <w:lvlJc w:val="left"/>
      <w:pPr>
        <w:tabs>
          <w:tab w:val="left" w:pos="560"/>
        </w:tabs>
        <w:ind w:left="517" w:hanging="317"/>
      </w:pPr>
      <w:rPr>
        <w:rFonts w:hint="eastAsia" w:ascii="宋体" w:hAnsi="Times New Roman" w:eastAsia="宋体"/>
        <w:b w:val="0"/>
        <w:i w:val="0"/>
        <w:sz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46806F7D"/>
    <w:multiLevelType w:val="multilevel"/>
    <w:tmpl w:val="46806F7D"/>
    <w:lvl w:ilvl="0" w:tentative="0">
      <w:start w:val="1"/>
      <w:numFmt w:val="none"/>
      <w:pStyle w:val="112"/>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6D22D8F"/>
    <w:multiLevelType w:val="multilevel"/>
    <w:tmpl w:val="46D22D8F"/>
    <w:lvl w:ilvl="0" w:tentative="0">
      <w:start w:val="1"/>
      <w:numFmt w:val="none"/>
      <w:pStyle w:val="93"/>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96E4D7B"/>
    <w:multiLevelType w:val="multilevel"/>
    <w:tmpl w:val="496E4D7B"/>
    <w:lvl w:ilvl="0" w:tentative="0">
      <w:start w:val="1"/>
      <w:numFmt w:val="none"/>
      <w:pStyle w:val="113"/>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F302902"/>
    <w:multiLevelType w:val="multilevel"/>
    <w:tmpl w:val="4F302902"/>
    <w:lvl w:ilvl="0" w:tentative="0">
      <w:start w:val="1"/>
      <w:numFmt w:val="none"/>
      <w:pStyle w:val="88"/>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57C2AF5"/>
    <w:multiLevelType w:val="multilevel"/>
    <w:tmpl w:val="557C2AF5"/>
    <w:lvl w:ilvl="0" w:tentative="0">
      <w:start w:val="1"/>
      <w:numFmt w:val="decimal"/>
      <w:pStyle w:val="7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6350366A"/>
    <w:multiLevelType w:val="multilevel"/>
    <w:tmpl w:val="6350366A"/>
    <w:lvl w:ilvl="0" w:tentative="0">
      <w:start w:val="1"/>
      <w:numFmt w:val="none"/>
      <w:pStyle w:val="81"/>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46260FA"/>
    <w:multiLevelType w:val="multilevel"/>
    <w:tmpl w:val="646260FA"/>
    <w:lvl w:ilvl="0" w:tentative="0">
      <w:start w:val="1"/>
      <w:numFmt w:val="decimal"/>
      <w:pStyle w:val="96"/>
      <w:suff w:val="nothing"/>
      <w:lvlText w:val="表%1　"/>
      <w:lvlJc w:val="left"/>
      <w:pPr>
        <w:ind w:left="0" w:firstLine="0"/>
      </w:pPr>
      <w:rPr>
        <w:rFonts w:hint="eastAsia" w:ascii="黑体" w:hAnsi="黑体"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657D3FBC"/>
    <w:multiLevelType w:val="multilevel"/>
    <w:tmpl w:val="657D3FBC"/>
    <w:lvl w:ilvl="0" w:tentative="0">
      <w:start w:val="1"/>
      <w:numFmt w:val="upperLetter"/>
      <w:pStyle w:val="72"/>
      <w:suff w:val="nothing"/>
      <w:lvlText w:val="附　录　%1"/>
      <w:lvlJc w:val="left"/>
      <w:pPr>
        <w:ind w:left="0" w:firstLine="0"/>
      </w:pPr>
      <w:rPr>
        <w:rFonts w:hint="eastAsia" w:ascii="黑体" w:hAnsi="Times New Roman" w:eastAsia="黑体"/>
        <w:b w:val="0"/>
        <w:i w:val="0"/>
        <w:sz w:val="21"/>
      </w:rPr>
    </w:lvl>
    <w:lvl w:ilvl="1" w:tentative="0">
      <w:start w:val="1"/>
      <w:numFmt w:val="decimal"/>
      <w:pStyle w:val="6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7"/>
      <w:suff w:val="nothing"/>
      <w:lvlText w:val="%1.%2.%3　"/>
      <w:lvlJc w:val="left"/>
      <w:pPr>
        <w:ind w:left="0" w:firstLine="0"/>
      </w:pPr>
      <w:rPr>
        <w:rFonts w:hint="eastAsia" w:ascii="黑体" w:hAnsi="Times New Roman" w:eastAsia="黑体"/>
        <w:b w:val="0"/>
        <w:i w:val="0"/>
        <w:sz w:val="21"/>
      </w:rPr>
    </w:lvl>
    <w:lvl w:ilvl="3" w:tentative="0">
      <w:start w:val="1"/>
      <w:numFmt w:val="decimal"/>
      <w:pStyle w:val="76"/>
      <w:suff w:val="nothing"/>
      <w:lvlText w:val="%1.%2.%3.%4　"/>
      <w:lvlJc w:val="left"/>
      <w:pPr>
        <w:ind w:left="0" w:firstLine="0"/>
      </w:pPr>
      <w:rPr>
        <w:rFonts w:hint="eastAsia" w:ascii="黑体" w:hAnsi="Times New Roman" w:eastAsia="黑体"/>
        <w:b w:val="0"/>
        <w:i w:val="0"/>
        <w:sz w:val="21"/>
      </w:rPr>
    </w:lvl>
    <w:lvl w:ilvl="4" w:tentative="0">
      <w:start w:val="1"/>
      <w:numFmt w:val="decimal"/>
      <w:pStyle w:val="75"/>
      <w:suff w:val="nothing"/>
      <w:lvlText w:val="%1.%2.%3.%4.%5　"/>
      <w:lvlJc w:val="left"/>
      <w:pPr>
        <w:ind w:left="0" w:firstLine="0"/>
      </w:pPr>
      <w:rPr>
        <w:rFonts w:hint="eastAsia" w:ascii="黑体" w:hAnsi="Times New Roman" w:eastAsia="黑体"/>
        <w:b w:val="0"/>
        <w:i w:val="0"/>
        <w:sz w:val="21"/>
      </w:rPr>
    </w:lvl>
    <w:lvl w:ilvl="5" w:tentative="0">
      <w:start w:val="1"/>
      <w:numFmt w:val="decimal"/>
      <w:pStyle w:val="74"/>
      <w:suff w:val="nothing"/>
      <w:lvlText w:val="%1.%2.%3.%4.%5.%6　"/>
      <w:lvlJc w:val="left"/>
      <w:pPr>
        <w:ind w:left="0" w:firstLine="0"/>
      </w:pPr>
      <w:rPr>
        <w:rFonts w:hint="eastAsia" w:ascii="黑体" w:hAnsi="Times New Roman" w:eastAsia="黑体"/>
        <w:b w:val="0"/>
        <w:i w:val="0"/>
        <w:sz w:val="21"/>
      </w:rPr>
    </w:lvl>
    <w:lvl w:ilvl="6" w:tentative="0">
      <w:start w:val="1"/>
      <w:numFmt w:val="decimal"/>
      <w:pStyle w:val="9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6CEA2025"/>
    <w:multiLevelType w:val="multilevel"/>
    <w:tmpl w:val="6CEA2025"/>
    <w:lvl w:ilvl="0" w:tentative="0">
      <w:start w:val="1"/>
      <w:numFmt w:val="none"/>
      <w:pStyle w:val="73"/>
      <w:suff w:val="nothing"/>
      <w:lvlText w:val="%1"/>
      <w:lvlJc w:val="left"/>
      <w:pPr>
        <w:ind w:left="0" w:firstLine="0"/>
      </w:pPr>
      <w:rPr>
        <w:rFonts w:hint="default" w:ascii="Times New Roman" w:hAnsi="Times New Roman"/>
        <w:b/>
        <w:i w:val="0"/>
        <w:sz w:val="21"/>
      </w:rPr>
    </w:lvl>
    <w:lvl w:ilvl="1" w:tentative="0">
      <w:start w:val="1"/>
      <w:numFmt w:val="decimal"/>
      <w:pStyle w:val="119"/>
      <w:suff w:val="nothing"/>
      <w:lvlText w:val="%1%2　"/>
      <w:lvlJc w:val="left"/>
      <w:pPr>
        <w:ind w:left="0" w:firstLine="0"/>
      </w:pPr>
      <w:rPr>
        <w:rFonts w:hint="eastAsia" w:ascii="黑体" w:hAnsi="Times New Roman" w:eastAsia="黑体"/>
        <w:b w:val="0"/>
        <w:i w:val="0"/>
        <w:sz w:val="21"/>
      </w:rPr>
    </w:lvl>
    <w:lvl w:ilvl="2" w:tentative="0">
      <w:start w:val="1"/>
      <w:numFmt w:val="decimal"/>
      <w:pStyle w:val="80"/>
      <w:suff w:val="nothing"/>
      <w:lvlText w:val="%1%2.%3　"/>
      <w:lvlJc w:val="left"/>
      <w:pPr>
        <w:ind w:left="525" w:firstLine="0"/>
      </w:pPr>
      <w:rPr>
        <w:rFonts w:hint="eastAsia" w:ascii="黑体" w:hAnsi="Times New Roman" w:eastAsia="黑体"/>
        <w:b w:val="0"/>
        <w:i w:val="0"/>
        <w:sz w:val="21"/>
      </w:rPr>
    </w:lvl>
    <w:lvl w:ilvl="3" w:tentative="0">
      <w:start w:val="1"/>
      <w:numFmt w:val="decimal"/>
      <w:pStyle w:val="104"/>
      <w:suff w:val="nothing"/>
      <w:lvlText w:val="%1%2.%3.%4　"/>
      <w:lvlJc w:val="left"/>
      <w:pPr>
        <w:ind w:left="735" w:firstLine="0"/>
      </w:pPr>
      <w:rPr>
        <w:rFonts w:hint="eastAsia" w:ascii="黑体" w:hAnsi="Times New Roman" w:eastAsia="黑体"/>
        <w:b w:val="0"/>
        <w:i w:val="0"/>
        <w:sz w:val="21"/>
      </w:rPr>
    </w:lvl>
    <w:lvl w:ilvl="4" w:tentative="0">
      <w:start w:val="1"/>
      <w:numFmt w:val="decimal"/>
      <w:pStyle w:val="103"/>
      <w:suff w:val="nothing"/>
      <w:lvlText w:val="%1%2.%3.%4.%5　"/>
      <w:lvlJc w:val="left"/>
      <w:pPr>
        <w:ind w:left="0" w:firstLine="0"/>
      </w:pPr>
      <w:rPr>
        <w:rFonts w:hint="eastAsia" w:ascii="黑体" w:hAnsi="Times New Roman" w:eastAsia="黑体"/>
        <w:b w:val="0"/>
        <w:i w:val="0"/>
        <w:sz w:val="21"/>
      </w:rPr>
    </w:lvl>
    <w:lvl w:ilvl="5" w:tentative="0">
      <w:start w:val="1"/>
      <w:numFmt w:val="decimal"/>
      <w:pStyle w:val="102"/>
      <w:suff w:val="nothing"/>
      <w:lvlText w:val="%1%2.%3.%4.%5.%6　"/>
      <w:lvlJc w:val="left"/>
      <w:pPr>
        <w:ind w:left="0" w:firstLine="0"/>
      </w:pPr>
      <w:rPr>
        <w:rFonts w:hint="eastAsia" w:ascii="黑体" w:hAnsi="Times New Roman" w:eastAsia="黑体"/>
        <w:b w:val="0"/>
        <w:i w:val="0"/>
        <w:sz w:val="21"/>
      </w:rPr>
    </w:lvl>
    <w:lvl w:ilvl="6" w:tentative="0">
      <w:start w:val="1"/>
      <w:numFmt w:val="decimal"/>
      <w:pStyle w:val="12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DBF04F4"/>
    <w:multiLevelType w:val="multilevel"/>
    <w:tmpl w:val="6DBF04F4"/>
    <w:lvl w:ilvl="0" w:tentative="0">
      <w:start w:val="1"/>
      <w:numFmt w:val="none"/>
      <w:pStyle w:val="105"/>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76933334"/>
    <w:multiLevelType w:val="multilevel"/>
    <w:tmpl w:val="76933334"/>
    <w:lvl w:ilvl="0" w:tentative="0">
      <w:start w:val="1"/>
      <w:numFmt w:val="none"/>
      <w:pStyle w:val="125"/>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0"/>
  </w:num>
  <w:num w:numId="2">
    <w:abstractNumId w:val="11"/>
  </w:num>
  <w:num w:numId="3">
    <w:abstractNumId w:val="7"/>
  </w:num>
  <w:num w:numId="4">
    <w:abstractNumId w:val="8"/>
  </w:num>
  <w:num w:numId="5">
    <w:abstractNumId w:val="0"/>
  </w:num>
  <w:num w:numId="6">
    <w:abstractNumId w:val="6"/>
  </w:num>
  <w:num w:numId="7">
    <w:abstractNumId w:val="4"/>
  </w:num>
  <w:num w:numId="8">
    <w:abstractNumId w:val="9"/>
  </w:num>
  <w:num w:numId="9">
    <w:abstractNumId w:val="1"/>
  </w:num>
  <w:num w:numId="10">
    <w:abstractNumId w:val="12"/>
  </w:num>
  <w:num w:numId="11">
    <w:abstractNumId w:val="3"/>
  </w:num>
  <w:num w:numId="12">
    <w:abstractNumId w:val="5"/>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05"/>
  <w:drawingGridVerticalSpacing w:val="317"/>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3D0"/>
    <w:rsid w:val="000064E7"/>
    <w:rsid w:val="00007948"/>
    <w:rsid w:val="00010373"/>
    <w:rsid w:val="00014096"/>
    <w:rsid w:val="000152B5"/>
    <w:rsid w:val="00020678"/>
    <w:rsid w:val="00025B5D"/>
    <w:rsid w:val="0003203C"/>
    <w:rsid w:val="00035FDE"/>
    <w:rsid w:val="000400BA"/>
    <w:rsid w:val="00044331"/>
    <w:rsid w:val="00044982"/>
    <w:rsid w:val="000524F5"/>
    <w:rsid w:val="0006192B"/>
    <w:rsid w:val="0007202E"/>
    <w:rsid w:val="000801D8"/>
    <w:rsid w:val="00090711"/>
    <w:rsid w:val="00093E3A"/>
    <w:rsid w:val="00096CD5"/>
    <w:rsid w:val="000A5877"/>
    <w:rsid w:val="000B21AD"/>
    <w:rsid w:val="000C0698"/>
    <w:rsid w:val="000C10FD"/>
    <w:rsid w:val="000C45F7"/>
    <w:rsid w:val="000D1619"/>
    <w:rsid w:val="000E188A"/>
    <w:rsid w:val="000E538B"/>
    <w:rsid w:val="000F0ADC"/>
    <w:rsid w:val="000F1532"/>
    <w:rsid w:val="000F1AC1"/>
    <w:rsid w:val="000F6267"/>
    <w:rsid w:val="0010292F"/>
    <w:rsid w:val="001152D1"/>
    <w:rsid w:val="00140CC3"/>
    <w:rsid w:val="00146A79"/>
    <w:rsid w:val="001572C3"/>
    <w:rsid w:val="00162BA0"/>
    <w:rsid w:val="00165254"/>
    <w:rsid w:val="00166784"/>
    <w:rsid w:val="00191C07"/>
    <w:rsid w:val="00195226"/>
    <w:rsid w:val="001975E8"/>
    <w:rsid w:val="001A188E"/>
    <w:rsid w:val="001B4A92"/>
    <w:rsid w:val="001B5F36"/>
    <w:rsid w:val="001B6E21"/>
    <w:rsid w:val="001C3645"/>
    <w:rsid w:val="001D26CA"/>
    <w:rsid w:val="001D4556"/>
    <w:rsid w:val="001E20EB"/>
    <w:rsid w:val="001F0881"/>
    <w:rsid w:val="001F20A4"/>
    <w:rsid w:val="001F2AC4"/>
    <w:rsid w:val="001F6C56"/>
    <w:rsid w:val="00211C03"/>
    <w:rsid w:val="00212342"/>
    <w:rsid w:val="002148D5"/>
    <w:rsid w:val="0021694D"/>
    <w:rsid w:val="00222C34"/>
    <w:rsid w:val="00222EC5"/>
    <w:rsid w:val="002314E2"/>
    <w:rsid w:val="00231973"/>
    <w:rsid w:val="00234996"/>
    <w:rsid w:val="00237AC9"/>
    <w:rsid w:val="002430D3"/>
    <w:rsid w:val="0024326D"/>
    <w:rsid w:val="00256C43"/>
    <w:rsid w:val="00267E2F"/>
    <w:rsid w:val="0027050F"/>
    <w:rsid w:val="002732D5"/>
    <w:rsid w:val="002821A5"/>
    <w:rsid w:val="00295E5F"/>
    <w:rsid w:val="002A1D30"/>
    <w:rsid w:val="002B40D9"/>
    <w:rsid w:val="002B7D2D"/>
    <w:rsid w:val="002D0207"/>
    <w:rsid w:val="002D6F75"/>
    <w:rsid w:val="002F2985"/>
    <w:rsid w:val="00304C7D"/>
    <w:rsid w:val="0030765B"/>
    <w:rsid w:val="00311F60"/>
    <w:rsid w:val="00317A0D"/>
    <w:rsid w:val="00323056"/>
    <w:rsid w:val="00331613"/>
    <w:rsid w:val="00340A7C"/>
    <w:rsid w:val="00343B98"/>
    <w:rsid w:val="003458DE"/>
    <w:rsid w:val="00363D7B"/>
    <w:rsid w:val="0036536F"/>
    <w:rsid w:val="00374AE2"/>
    <w:rsid w:val="00380685"/>
    <w:rsid w:val="00381C64"/>
    <w:rsid w:val="003850FF"/>
    <w:rsid w:val="003862E7"/>
    <w:rsid w:val="00392F3F"/>
    <w:rsid w:val="0039404B"/>
    <w:rsid w:val="00394EBB"/>
    <w:rsid w:val="003A0585"/>
    <w:rsid w:val="003A144D"/>
    <w:rsid w:val="003B4A9F"/>
    <w:rsid w:val="003B5E83"/>
    <w:rsid w:val="003C6F1A"/>
    <w:rsid w:val="003D09E2"/>
    <w:rsid w:val="003D221F"/>
    <w:rsid w:val="003D4C85"/>
    <w:rsid w:val="003D6254"/>
    <w:rsid w:val="003E1569"/>
    <w:rsid w:val="003F736D"/>
    <w:rsid w:val="004031E6"/>
    <w:rsid w:val="004063E1"/>
    <w:rsid w:val="004217A2"/>
    <w:rsid w:val="00425A1B"/>
    <w:rsid w:val="0043141D"/>
    <w:rsid w:val="004659B0"/>
    <w:rsid w:val="00466210"/>
    <w:rsid w:val="0046718C"/>
    <w:rsid w:val="00473547"/>
    <w:rsid w:val="00474F47"/>
    <w:rsid w:val="0048490D"/>
    <w:rsid w:val="004A10FA"/>
    <w:rsid w:val="004A26CF"/>
    <w:rsid w:val="004A6381"/>
    <w:rsid w:val="004A7B6D"/>
    <w:rsid w:val="004B228A"/>
    <w:rsid w:val="004C0CE2"/>
    <w:rsid w:val="004C73D0"/>
    <w:rsid w:val="004D3BE0"/>
    <w:rsid w:val="004D5C8C"/>
    <w:rsid w:val="004E0C90"/>
    <w:rsid w:val="004F4D4E"/>
    <w:rsid w:val="004F5C6E"/>
    <w:rsid w:val="00502809"/>
    <w:rsid w:val="00507DE6"/>
    <w:rsid w:val="00510F68"/>
    <w:rsid w:val="00510F76"/>
    <w:rsid w:val="00511448"/>
    <w:rsid w:val="0051289D"/>
    <w:rsid w:val="00513542"/>
    <w:rsid w:val="0051659A"/>
    <w:rsid w:val="00526A5A"/>
    <w:rsid w:val="00541E26"/>
    <w:rsid w:val="00545035"/>
    <w:rsid w:val="00545C19"/>
    <w:rsid w:val="00553CF1"/>
    <w:rsid w:val="00555695"/>
    <w:rsid w:val="005561F4"/>
    <w:rsid w:val="00563FDD"/>
    <w:rsid w:val="00564A17"/>
    <w:rsid w:val="00570B2D"/>
    <w:rsid w:val="00573ABC"/>
    <w:rsid w:val="005825E5"/>
    <w:rsid w:val="0058260A"/>
    <w:rsid w:val="00586410"/>
    <w:rsid w:val="00593D76"/>
    <w:rsid w:val="005A43B8"/>
    <w:rsid w:val="005B770D"/>
    <w:rsid w:val="005C76B5"/>
    <w:rsid w:val="005D1FD8"/>
    <w:rsid w:val="005D50D5"/>
    <w:rsid w:val="005F1140"/>
    <w:rsid w:val="005F3415"/>
    <w:rsid w:val="005F5FF0"/>
    <w:rsid w:val="005F7768"/>
    <w:rsid w:val="00600A95"/>
    <w:rsid w:val="00602B40"/>
    <w:rsid w:val="006043BD"/>
    <w:rsid w:val="00613B01"/>
    <w:rsid w:val="0063437C"/>
    <w:rsid w:val="006353FC"/>
    <w:rsid w:val="00635CF2"/>
    <w:rsid w:val="00636A5A"/>
    <w:rsid w:val="00637053"/>
    <w:rsid w:val="00641E68"/>
    <w:rsid w:val="00644355"/>
    <w:rsid w:val="0064545A"/>
    <w:rsid w:val="00656002"/>
    <w:rsid w:val="006632BB"/>
    <w:rsid w:val="00664EE5"/>
    <w:rsid w:val="006677D4"/>
    <w:rsid w:val="00675969"/>
    <w:rsid w:val="0068119D"/>
    <w:rsid w:val="00685AB7"/>
    <w:rsid w:val="00685AC8"/>
    <w:rsid w:val="00686998"/>
    <w:rsid w:val="006869FE"/>
    <w:rsid w:val="00686FE6"/>
    <w:rsid w:val="006924DD"/>
    <w:rsid w:val="006B0BC3"/>
    <w:rsid w:val="006C2C42"/>
    <w:rsid w:val="006C404A"/>
    <w:rsid w:val="006E2745"/>
    <w:rsid w:val="006E4389"/>
    <w:rsid w:val="006F12B3"/>
    <w:rsid w:val="006F3F10"/>
    <w:rsid w:val="00700EF8"/>
    <w:rsid w:val="0070206B"/>
    <w:rsid w:val="00715378"/>
    <w:rsid w:val="007345C3"/>
    <w:rsid w:val="00741463"/>
    <w:rsid w:val="0074239E"/>
    <w:rsid w:val="00742B4C"/>
    <w:rsid w:val="007456DD"/>
    <w:rsid w:val="00746A5E"/>
    <w:rsid w:val="00752C76"/>
    <w:rsid w:val="0075390F"/>
    <w:rsid w:val="00754E9A"/>
    <w:rsid w:val="007640B8"/>
    <w:rsid w:val="00764DBC"/>
    <w:rsid w:val="007705D1"/>
    <w:rsid w:val="00774C15"/>
    <w:rsid w:val="007757AA"/>
    <w:rsid w:val="00777A14"/>
    <w:rsid w:val="0078023D"/>
    <w:rsid w:val="0078118A"/>
    <w:rsid w:val="00785924"/>
    <w:rsid w:val="0078682C"/>
    <w:rsid w:val="0078713A"/>
    <w:rsid w:val="00790AFB"/>
    <w:rsid w:val="00794872"/>
    <w:rsid w:val="0079641D"/>
    <w:rsid w:val="007A4595"/>
    <w:rsid w:val="007B1A1B"/>
    <w:rsid w:val="007D3BB7"/>
    <w:rsid w:val="007E04F3"/>
    <w:rsid w:val="007E1041"/>
    <w:rsid w:val="007E727E"/>
    <w:rsid w:val="007F68EA"/>
    <w:rsid w:val="007F7CFB"/>
    <w:rsid w:val="00811D2D"/>
    <w:rsid w:val="00822D99"/>
    <w:rsid w:val="00825395"/>
    <w:rsid w:val="0082733D"/>
    <w:rsid w:val="00834CC4"/>
    <w:rsid w:val="008421D6"/>
    <w:rsid w:val="00852524"/>
    <w:rsid w:val="00854B02"/>
    <w:rsid w:val="0085612A"/>
    <w:rsid w:val="00856B3B"/>
    <w:rsid w:val="0087052F"/>
    <w:rsid w:val="00883809"/>
    <w:rsid w:val="008870D4"/>
    <w:rsid w:val="008A1B61"/>
    <w:rsid w:val="008A43FD"/>
    <w:rsid w:val="008B552B"/>
    <w:rsid w:val="008C12AE"/>
    <w:rsid w:val="008C1C73"/>
    <w:rsid w:val="008D213D"/>
    <w:rsid w:val="008D6EB9"/>
    <w:rsid w:val="008E08EF"/>
    <w:rsid w:val="008E6338"/>
    <w:rsid w:val="008F3602"/>
    <w:rsid w:val="008F3D91"/>
    <w:rsid w:val="008F480C"/>
    <w:rsid w:val="008F592A"/>
    <w:rsid w:val="008F7BE0"/>
    <w:rsid w:val="009015D4"/>
    <w:rsid w:val="00904844"/>
    <w:rsid w:val="00913918"/>
    <w:rsid w:val="009264EE"/>
    <w:rsid w:val="00930AF3"/>
    <w:rsid w:val="00937276"/>
    <w:rsid w:val="00942B62"/>
    <w:rsid w:val="00943A1D"/>
    <w:rsid w:val="00946101"/>
    <w:rsid w:val="0094693C"/>
    <w:rsid w:val="00952E7A"/>
    <w:rsid w:val="00954C36"/>
    <w:rsid w:val="0096083B"/>
    <w:rsid w:val="0096264B"/>
    <w:rsid w:val="00964F0D"/>
    <w:rsid w:val="00973A61"/>
    <w:rsid w:val="00975092"/>
    <w:rsid w:val="0098520F"/>
    <w:rsid w:val="0099065C"/>
    <w:rsid w:val="009943BF"/>
    <w:rsid w:val="00996019"/>
    <w:rsid w:val="00997C1E"/>
    <w:rsid w:val="009A221E"/>
    <w:rsid w:val="009A3CAB"/>
    <w:rsid w:val="009B1233"/>
    <w:rsid w:val="009B1334"/>
    <w:rsid w:val="009B5922"/>
    <w:rsid w:val="009B6185"/>
    <w:rsid w:val="009B74D7"/>
    <w:rsid w:val="009D30C1"/>
    <w:rsid w:val="009D38EB"/>
    <w:rsid w:val="009D7D6B"/>
    <w:rsid w:val="009F2745"/>
    <w:rsid w:val="009F54D3"/>
    <w:rsid w:val="009F6626"/>
    <w:rsid w:val="009F691D"/>
    <w:rsid w:val="00A0012E"/>
    <w:rsid w:val="00A02445"/>
    <w:rsid w:val="00A11641"/>
    <w:rsid w:val="00A1267B"/>
    <w:rsid w:val="00A14DA4"/>
    <w:rsid w:val="00A23A83"/>
    <w:rsid w:val="00A34A54"/>
    <w:rsid w:val="00A42D9B"/>
    <w:rsid w:val="00A43FB8"/>
    <w:rsid w:val="00A44CD1"/>
    <w:rsid w:val="00A46AD9"/>
    <w:rsid w:val="00A47A59"/>
    <w:rsid w:val="00A5725E"/>
    <w:rsid w:val="00A64BC7"/>
    <w:rsid w:val="00A67BFF"/>
    <w:rsid w:val="00A70F31"/>
    <w:rsid w:val="00A72955"/>
    <w:rsid w:val="00A87430"/>
    <w:rsid w:val="00A87F04"/>
    <w:rsid w:val="00A9732A"/>
    <w:rsid w:val="00AA0285"/>
    <w:rsid w:val="00AB193A"/>
    <w:rsid w:val="00AB6523"/>
    <w:rsid w:val="00AB7800"/>
    <w:rsid w:val="00AC2DB7"/>
    <w:rsid w:val="00AC391A"/>
    <w:rsid w:val="00AD11BD"/>
    <w:rsid w:val="00AD2179"/>
    <w:rsid w:val="00AD3C67"/>
    <w:rsid w:val="00AD4F9B"/>
    <w:rsid w:val="00AD67C5"/>
    <w:rsid w:val="00AE1197"/>
    <w:rsid w:val="00AE7DE2"/>
    <w:rsid w:val="00B115BE"/>
    <w:rsid w:val="00B2419A"/>
    <w:rsid w:val="00B2715A"/>
    <w:rsid w:val="00B31619"/>
    <w:rsid w:val="00B31784"/>
    <w:rsid w:val="00B33E40"/>
    <w:rsid w:val="00B37114"/>
    <w:rsid w:val="00B45E13"/>
    <w:rsid w:val="00B53AEF"/>
    <w:rsid w:val="00B53E0D"/>
    <w:rsid w:val="00B606A5"/>
    <w:rsid w:val="00B63A61"/>
    <w:rsid w:val="00B67809"/>
    <w:rsid w:val="00B732D5"/>
    <w:rsid w:val="00B7490A"/>
    <w:rsid w:val="00B74F39"/>
    <w:rsid w:val="00B756D2"/>
    <w:rsid w:val="00B76169"/>
    <w:rsid w:val="00B76386"/>
    <w:rsid w:val="00B76B2B"/>
    <w:rsid w:val="00B842A3"/>
    <w:rsid w:val="00B965B9"/>
    <w:rsid w:val="00B97926"/>
    <w:rsid w:val="00BA6FBA"/>
    <w:rsid w:val="00BA7C7C"/>
    <w:rsid w:val="00BB1D63"/>
    <w:rsid w:val="00BC0C50"/>
    <w:rsid w:val="00BC0EC4"/>
    <w:rsid w:val="00BC473B"/>
    <w:rsid w:val="00BD1F09"/>
    <w:rsid w:val="00BE0B92"/>
    <w:rsid w:val="00BE4512"/>
    <w:rsid w:val="00BF2446"/>
    <w:rsid w:val="00BF4279"/>
    <w:rsid w:val="00BF4989"/>
    <w:rsid w:val="00BF4FE8"/>
    <w:rsid w:val="00BF619E"/>
    <w:rsid w:val="00C1220D"/>
    <w:rsid w:val="00C2076C"/>
    <w:rsid w:val="00C241B2"/>
    <w:rsid w:val="00C242A4"/>
    <w:rsid w:val="00C35295"/>
    <w:rsid w:val="00C363F1"/>
    <w:rsid w:val="00C508AF"/>
    <w:rsid w:val="00C55D82"/>
    <w:rsid w:val="00C7450F"/>
    <w:rsid w:val="00C933B6"/>
    <w:rsid w:val="00C945FD"/>
    <w:rsid w:val="00C977B4"/>
    <w:rsid w:val="00CA1733"/>
    <w:rsid w:val="00CA18DF"/>
    <w:rsid w:val="00CC7DFD"/>
    <w:rsid w:val="00CD0003"/>
    <w:rsid w:val="00CD248C"/>
    <w:rsid w:val="00CD35DD"/>
    <w:rsid w:val="00CD72CD"/>
    <w:rsid w:val="00CE05A9"/>
    <w:rsid w:val="00CE2BF4"/>
    <w:rsid w:val="00CE6AEE"/>
    <w:rsid w:val="00CF1788"/>
    <w:rsid w:val="00CF66B8"/>
    <w:rsid w:val="00CF7BFD"/>
    <w:rsid w:val="00D02B08"/>
    <w:rsid w:val="00D03A74"/>
    <w:rsid w:val="00D07DDC"/>
    <w:rsid w:val="00D1383C"/>
    <w:rsid w:val="00D432CE"/>
    <w:rsid w:val="00D51C1D"/>
    <w:rsid w:val="00D6189E"/>
    <w:rsid w:val="00D6342B"/>
    <w:rsid w:val="00D65B3F"/>
    <w:rsid w:val="00D67ED8"/>
    <w:rsid w:val="00D71E31"/>
    <w:rsid w:val="00D75C9B"/>
    <w:rsid w:val="00D76FA3"/>
    <w:rsid w:val="00D95342"/>
    <w:rsid w:val="00D972BC"/>
    <w:rsid w:val="00DA12DF"/>
    <w:rsid w:val="00DB0761"/>
    <w:rsid w:val="00DB455E"/>
    <w:rsid w:val="00DB6707"/>
    <w:rsid w:val="00DB7D83"/>
    <w:rsid w:val="00DC3F3D"/>
    <w:rsid w:val="00DE1861"/>
    <w:rsid w:val="00DF0B78"/>
    <w:rsid w:val="00DF6CC3"/>
    <w:rsid w:val="00E01FD9"/>
    <w:rsid w:val="00E02153"/>
    <w:rsid w:val="00E07E1E"/>
    <w:rsid w:val="00E1735F"/>
    <w:rsid w:val="00E37A12"/>
    <w:rsid w:val="00E45245"/>
    <w:rsid w:val="00E458D7"/>
    <w:rsid w:val="00E5267C"/>
    <w:rsid w:val="00E53721"/>
    <w:rsid w:val="00E543FD"/>
    <w:rsid w:val="00E55747"/>
    <w:rsid w:val="00E577B5"/>
    <w:rsid w:val="00E635AC"/>
    <w:rsid w:val="00E649D3"/>
    <w:rsid w:val="00E66581"/>
    <w:rsid w:val="00E67FD0"/>
    <w:rsid w:val="00E75CE7"/>
    <w:rsid w:val="00E8291E"/>
    <w:rsid w:val="00EA521F"/>
    <w:rsid w:val="00EC184E"/>
    <w:rsid w:val="00EC7699"/>
    <w:rsid w:val="00EE5FE7"/>
    <w:rsid w:val="00EF084D"/>
    <w:rsid w:val="00EF3F8E"/>
    <w:rsid w:val="00F0026E"/>
    <w:rsid w:val="00F01B59"/>
    <w:rsid w:val="00F17E90"/>
    <w:rsid w:val="00F21248"/>
    <w:rsid w:val="00F31B92"/>
    <w:rsid w:val="00F34C56"/>
    <w:rsid w:val="00F4284D"/>
    <w:rsid w:val="00F45567"/>
    <w:rsid w:val="00F4657E"/>
    <w:rsid w:val="00F608C9"/>
    <w:rsid w:val="00F6229D"/>
    <w:rsid w:val="00F636B8"/>
    <w:rsid w:val="00F67667"/>
    <w:rsid w:val="00F67C85"/>
    <w:rsid w:val="00F70AB8"/>
    <w:rsid w:val="00F717F6"/>
    <w:rsid w:val="00F75274"/>
    <w:rsid w:val="00F75E79"/>
    <w:rsid w:val="00F82753"/>
    <w:rsid w:val="00F8540F"/>
    <w:rsid w:val="00F8668A"/>
    <w:rsid w:val="00F93AC9"/>
    <w:rsid w:val="00FA728B"/>
    <w:rsid w:val="00FA73D4"/>
    <w:rsid w:val="00FB2D4A"/>
    <w:rsid w:val="00FB32F7"/>
    <w:rsid w:val="00FD5D49"/>
    <w:rsid w:val="00FD7B75"/>
    <w:rsid w:val="00FF12F3"/>
    <w:rsid w:val="00FF5037"/>
    <w:rsid w:val="00FF612E"/>
    <w:rsid w:val="00FF7C8D"/>
    <w:rsid w:val="0192652E"/>
    <w:rsid w:val="02D3738A"/>
    <w:rsid w:val="034F0B7A"/>
    <w:rsid w:val="036F2FCB"/>
    <w:rsid w:val="03912F41"/>
    <w:rsid w:val="03A2514E"/>
    <w:rsid w:val="03AF786B"/>
    <w:rsid w:val="040716C4"/>
    <w:rsid w:val="043438CC"/>
    <w:rsid w:val="043F4216"/>
    <w:rsid w:val="045F303F"/>
    <w:rsid w:val="04695C6C"/>
    <w:rsid w:val="047D34C5"/>
    <w:rsid w:val="04A9250C"/>
    <w:rsid w:val="04E23328"/>
    <w:rsid w:val="05143C6F"/>
    <w:rsid w:val="05CA098C"/>
    <w:rsid w:val="05D830A9"/>
    <w:rsid w:val="05EF5661"/>
    <w:rsid w:val="06695AAF"/>
    <w:rsid w:val="06982838"/>
    <w:rsid w:val="06C54CB0"/>
    <w:rsid w:val="06C70A28"/>
    <w:rsid w:val="06F15AA5"/>
    <w:rsid w:val="070E0316"/>
    <w:rsid w:val="072F3CBF"/>
    <w:rsid w:val="07550729"/>
    <w:rsid w:val="075C73C2"/>
    <w:rsid w:val="07750484"/>
    <w:rsid w:val="07A00102"/>
    <w:rsid w:val="07AA2823"/>
    <w:rsid w:val="07C136C9"/>
    <w:rsid w:val="082A3964"/>
    <w:rsid w:val="08D631A4"/>
    <w:rsid w:val="0A002BCE"/>
    <w:rsid w:val="0A052177"/>
    <w:rsid w:val="0A1B5312"/>
    <w:rsid w:val="0A6F1B02"/>
    <w:rsid w:val="0AAB0D8C"/>
    <w:rsid w:val="0AD86BFC"/>
    <w:rsid w:val="0B010E47"/>
    <w:rsid w:val="0B440899"/>
    <w:rsid w:val="0C18262F"/>
    <w:rsid w:val="0C1D2E87"/>
    <w:rsid w:val="0C2500AE"/>
    <w:rsid w:val="0C5B11D5"/>
    <w:rsid w:val="0CAD246E"/>
    <w:rsid w:val="0CE642FD"/>
    <w:rsid w:val="0D111471"/>
    <w:rsid w:val="0D236871"/>
    <w:rsid w:val="0D63594E"/>
    <w:rsid w:val="0D95362E"/>
    <w:rsid w:val="0E947D89"/>
    <w:rsid w:val="0EBF2EE3"/>
    <w:rsid w:val="0F0C3DC3"/>
    <w:rsid w:val="0F751969"/>
    <w:rsid w:val="0F8C280E"/>
    <w:rsid w:val="0F916077"/>
    <w:rsid w:val="0F941CD9"/>
    <w:rsid w:val="105F0101"/>
    <w:rsid w:val="107D21E5"/>
    <w:rsid w:val="10C5422A"/>
    <w:rsid w:val="10C81F6C"/>
    <w:rsid w:val="10E36DA6"/>
    <w:rsid w:val="112A2494"/>
    <w:rsid w:val="11477335"/>
    <w:rsid w:val="11785740"/>
    <w:rsid w:val="12413D84"/>
    <w:rsid w:val="12426F4C"/>
    <w:rsid w:val="12654EE9"/>
    <w:rsid w:val="127001C5"/>
    <w:rsid w:val="130628D8"/>
    <w:rsid w:val="133E2072"/>
    <w:rsid w:val="13AF1235"/>
    <w:rsid w:val="14135564"/>
    <w:rsid w:val="14270D58"/>
    <w:rsid w:val="142B4CEC"/>
    <w:rsid w:val="145A7687"/>
    <w:rsid w:val="149D101A"/>
    <w:rsid w:val="14A423A8"/>
    <w:rsid w:val="155D7127"/>
    <w:rsid w:val="158F4E06"/>
    <w:rsid w:val="159448FB"/>
    <w:rsid w:val="1602382A"/>
    <w:rsid w:val="161D2412"/>
    <w:rsid w:val="164D36BC"/>
    <w:rsid w:val="1663076D"/>
    <w:rsid w:val="16777D74"/>
    <w:rsid w:val="16A62408"/>
    <w:rsid w:val="16AE750E"/>
    <w:rsid w:val="16E86EC4"/>
    <w:rsid w:val="17253C74"/>
    <w:rsid w:val="17BC6A17"/>
    <w:rsid w:val="17E01949"/>
    <w:rsid w:val="18103B50"/>
    <w:rsid w:val="185760AF"/>
    <w:rsid w:val="18697B91"/>
    <w:rsid w:val="186B56B7"/>
    <w:rsid w:val="18A82F10"/>
    <w:rsid w:val="18E078FF"/>
    <w:rsid w:val="193F130B"/>
    <w:rsid w:val="195032CB"/>
    <w:rsid w:val="198711F5"/>
    <w:rsid w:val="1A5328A6"/>
    <w:rsid w:val="1A9B75F2"/>
    <w:rsid w:val="1AC47300"/>
    <w:rsid w:val="1AC474D7"/>
    <w:rsid w:val="1B0B4F2F"/>
    <w:rsid w:val="1B2F50C2"/>
    <w:rsid w:val="1B610BB9"/>
    <w:rsid w:val="1B6E5FB3"/>
    <w:rsid w:val="1B8847D2"/>
    <w:rsid w:val="1BA472FE"/>
    <w:rsid w:val="1BB30D4F"/>
    <w:rsid w:val="1BD12EC4"/>
    <w:rsid w:val="1BD712B5"/>
    <w:rsid w:val="1C1E3F6A"/>
    <w:rsid w:val="1CB3587E"/>
    <w:rsid w:val="1CC63804"/>
    <w:rsid w:val="1D81597C"/>
    <w:rsid w:val="1D8D4321"/>
    <w:rsid w:val="1DC27E27"/>
    <w:rsid w:val="1DD957B9"/>
    <w:rsid w:val="1DE026A3"/>
    <w:rsid w:val="1DF47EFC"/>
    <w:rsid w:val="1DF919B7"/>
    <w:rsid w:val="1E1A0430"/>
    <w:rsid w:val="1E391DB3"/>
    <w:rsid w:val="1E4B0382"/>
    <w:rsid w:val="1E560BB7"/>
    <w:rsid w:val="1E967206"/>
    <w:rsid w:val="1F522E7F"/>
    <w:rsid w:val="1F645556"/>
    <w:rsid w:val="1F6B0692"/>
    <w:rsid w:val="1F8654CC"/>
    <w:rsid w:val="1FB7177D"/>
    <w:rsid w:val="1FF16DE9"/>
    <w:rsid w:val="206E2055"/>
    <w:rsid w:val="216D0464"/>
    <w:rsid w:val="21937A2C"/>
    <w:rsid w:val="221E7C3E"/>
    <w:rsid w:val="223E3E3C"/>
    <w:rsid w:val="22623FCE"/>
    <w:rsid w:val="22CD6F6E"/>
    <w:rsid w:val="22F15352"/>
    <w:rsid w:val="23377209"/>
    <w:rsid w:val="23D26F32"/>
    <w:rsid w:val="23FA3D93"/>
    <w:rsid w:val="242D5F16"/>
    <w:rsid w:val="245517DF"/>
    <w:rsid w:val="24C0322E"/>
    <w:rsid w:val="24FC76BF"/>
    <w:rsid w:val="25950217"/>
    <w:rsid w:val="26345C82"/>
    <w:rsid w:val="26551754"/>
    <w:rsid w:val="265E1D99"/>
    <w:rsid w:val="26FC6074"/>
    <w:rsid w:val="270218DC"/>
    <w:rsid w:val="27547C5E"/>
    <w:rsid w:val="27A40BE5"/>
    <w:rsid w:val="27CC1EEA"/>
    <w:rsid w:val="28341F69"/>
    <w:rsid w:val="28346383"/>
    <w:rsid w:val="285717B4"/>
    <w:rsid w:val="289C366A"/>
    <w:rsid w:val="28BC1F5F"/>
    <w:rsid w:val="28EC45F2"/>
    <w:rsid w:val="290A2CCA"/>
    <w:rsid w:val="293D309F"/>
    <w:rsid w:val="296244C7"/>
    <w:rsid w:val="29727A42"/>
    <w:rsid w:val="29740F88"/>
    <w:rsid w:val="29842A7C"/>
    <w:rsid w:val="29920F58"/>
    <w:rsid w:val="29B42C36"/>
    <w:rsid w:val="2A1B4A63"/>
    <w:rsid w:val="2A263B34"/>
    <w:rsid w:val="2A636B36"/>
    <w:rsid w:val="2A6E1037"/>
    <w:rsid w:val="2A701253"/>
    <w:rsid w:val="2B4104F9"/>
    <w:rsid w:val="2B536BAA"/>
    <w:rsid w:val="2B606BD1"/>
    <w:rsid w:val="2C1125C1"/>
    <w:rsid w:val="2C293467"/>
    <w:rsid w:val="2C434F2F"/>
    <w:rsid w:val="2C8F5D00"/>
    <w:rsid w:val="2C9E20A7"/>
    <w:rsid w:val="2CEA2186"/>
    <w:rsid w:val="2D480265"/>
    <w:rsid w:val="2D782EF6"/>
    <w:rsid w:val="2D8D3ECA"/>
    <w:rsid w:val="2DA04108"/>
    <w:rsid w:val="2E222864"/>
    <w:rsid w:val="2E4371E8"/>
    <w:rsid w:val="2E692241"/>
    <w:rsid w:val="2FDE6C5E"/>
    <w:rsid w:val="2FF16992"/>
    <w:rsid w:val="301306B6"/>
    <w:rsid w:val="30332B06"/>
    <w:rsid w:val="305556AB"/>
    <w:rsid w:val="305D5DD5"/>
    <w:rsid w:val="30A12166"/>
    <w:rsid w:val="30BD0622"/>
    <w:rsid w:val="3139788A"/>
    <w:rsid w:val="315471D8"/>
    <w:rsid w:val="31750EFD"/>
    <w:rsid w:val="317A0A74"/>
    <w:rsid w:val="31A34E59"/>
    <w:rsid w:val="31C67B3D"/>
    <w:rsid w:val="3207424B"/>
    <w:rsid w:val="322A1CE7"/>
    <w:rsid w:val="32E52D12"/>
    <w:rsid w:val="33114C55"/>
    <w:rsid w:val="34A06EF0"/>
    <w:rsid w:val="34C5219B"/>
    <w:rsid w:val="34FA1E45"/>
    <w:rsid w:val="3529272A"/>
    <w:rsid w:val="355157DD"/>
    <w:rsid w:val="35762B68"/>
    <w:rsid w:val="35812566"/>
    <w:rsid w:val="35B11546"/>
    <w:rsid w:val="35BC534C"/>
    <w:rsid w:val="361B6516"/>
    <w:rsid w:val="36201D7F"/>
    <w:rsid w:val="364A2958"/>
    <w:rsid w:val="368816D2"/>
    <w:rsid w:val="36A4650C"/>
    <w:rsid w:val="36BD5820"/>
    <w:rsid w:val="36E032BC"/>
    <w:rsid w:val="36F6488E"/>
    <w:rsid w:val="379E11AD"/>
    <w:rsid w:val="37D22C6F"/>
    <w:rsid w:val="37DF694B"/>
    <w:rsid w:val="38080D1C"/>
    <w:rsid w:val="382947EF"/>
    <w:rsid w:val="38521F98"/>
    <w:rsid w:val="386E4006"/>
    <w:rsid w:val="3870241E"/>
    <w:rsid w:val="38E21BA8"/>
    <w:rsid w:val="3944673A"/>
    <w:rsid w:val="39A24859"/>
    <w:rsid w:val="39CA2BC5"/>
    <w:rsid w:val="39DE12DE"/>
    <w:rsid w:val="39DF3CFF"/>
    <w:rsid w:val="3A23599A"/>
    <w:rsid w:val="3A43428E"/>
    <w:rsid w:val="3A485400"/>
    <w:rsid w:val="3A8D5509"/>
    <w:rsid w:val="3ACA050B"/>
    <w:rsid w:val="3AE67336"/>
    <w:rsid w:val="3AEA4709"/>
    <w:rsid w:val="3B0F5F1E"/>
    <w:rsid w:val="3B5F6EA5"/>
    <w:rsid w:val="3BAA5C47"/>
    <w:rsid w:val="3BCE402B"/>
    <w:rsid w:val="3C0435A9"/>
    <w:rsid w:val="3C2B6D87"/>
    <w:rsid w:val="3C4147FD"/>
    <w:rsid w:val="3C597D99"/>
    <w:rsid w:val="3CF67395"/>
    <w:rsid w:val="3CF90C34"/>
    <w:rsid w:val="3D9B3AC2"/>
    <w:rsid w:val="3DBF1E7D"/>
    <w:rsid w:val="3DFF227A"/>
    <w:rsid w:val="3E1877DF"/>
    <w:rsid w:val="3E43485C"/>
    <w:rsid w:val="3E7C38CA"/>
    <w:rsid w:val="3EC86B10"/>
    <w:rsid w:val="3F5E2E3E"/>
    <w:rsid w:val="3FF96F8D"/>
    <w:rsid w:val="40644F5E"/>
    <w:rsid w:val="406D3E12"/>
    <w:rsid w:val="408B6047"/>
    <w:rsid w:val="40D20119"/>
    <w:rsid w:val="40E65973"/>
    <w:rsid w:val="41166258"/>
    <w:rsid w:val="416A0619"/>
    <w:rsid w:val="41716A01"/>
    <w:rsid w:val="4182569C"/>
    <w:rsid w:val="41A878FC"/>
    <w:rsid w:val="41BE4ECF"/>
    <w:rsid w:val="41D41C6F"/>
    <w:rsid w:val="41DF2AEE"/>
    <w:rsid w:val="41EE2D31"/>
    <w:rsid w:val="42374232"/>
    <w:rsid w:val="42843695"/>
    <w:rsid w:val="428B4A24"/>
    <w:rsid w:val="432033BE"/>
    <w:rsid w:val="4359067E"/>
    <w:rsid w:val="43664B49"/>
    <w:rsid w:val="4370464F"/>
    <w:rsid w:val="43721740"/>
    <w:rsid w:val="437D25BE"/>
    <w:rsid w:val="43805C0B"/>
    <w:rsid w:val="43C75114"/>
    <w:rsid w:val="43CA425D"/>
    <w:rsid w:val="43D23F8D"/>
    <w:rsid w:val="43DD12AF"/>
    <w:rsid w:val="43DE2931"/>
    <w:rsid w:val="44244872"/>
    <w:rsid w:val="44246EDE"/>
    <w:rsid w:val="44615A3C"/>
    <w:rsid w:val="452957F2"/>
    <w:rsid w:val="4568104C"/>
    <w:rsid w:val="45CA13BF"/>
    <w:rsid w:val="461058FB"/>
    <w:rsid w:val="46211FDA"/>
    <w:rsid w:val="463D4287"/>
    <w:rsid w:val="466B0DF4"/>
    <w:rsid w:val="46AC6227"/>
    <w:rsid w:val="46DC3AA0"/>
    <w:rsid w:val="476A2E5A"/>
    <w:rsid w:val="47A63AC8"/>
    <w:rsid w:val="47BB36B5"/>
    <w:rsid w:val="4803505C"/>
    <w:rsid w:val="486A50DB"/>
    <w:rsid w:val="488066AD"/>
    <w:rsid w:val="491F1A22"/>
    <w:rsid w:val="49235EEE"/>
    <w:rsid w:val="492C29B8"/>
    <w:rsid w:val="49374FBE"/>
    <w:rsid w:val="49BE13C9"/>
    <w:rsid w:val="49EB7B56"/>
    <w:rsid w:val="4A1C3D39"/>
    <w:rsid w:val="4A3B288C"/>
    <w:rsid w:val="4A633B90"/>
    <w:rsid w:val="4AD84085"/>
    <w:rsid w:val="4B6776B0"/>
    <w:rsid w:val="4BA6467C"/>
    <w:rsid w:val="4BB328F5"/>
    <w:rsid w:val="4BC35C10"/>
    <w:rsid w:val="4BFC3409"/>
    <w:rsid w:val="4C013661"/>
    <w:rsid w:val="4C2970A4"/>
    <w:rsid w:val="4C63256E"/>
    <w:rsid w:val="4CAB0131"/>
    <w:rsid w:val="4CB84667"/>
    <w:rsid w:val="4D0C6761"/>
    <w:rsid w:val="4DC1754C"/>
    <w:rsid w:val="4E1A2AFE"/>
    <w:rsid w:val="4E536DF1"/>
    <w:rsid w:val="4E84647D"/>
    <w:rsid w:val="4E9407BC"/>
    <w:rsid w:val="4E972DCA"/>
    <w:rsid w:val="4EA64F53"/>
    <w:rsid w:val="4EA74993"/>
    <w:rsid w:val="4EC5306C"/>
    <w:rsid w:val="4FA9296D"/>
    <w:rsid w:val="4FB56C3C"/>
    <w:rsid w:val="4FDF63AF"/>
    <w:rsid w:val="4FED2824"/>
    <w:rsid w:val="50493828"/>
    <w:rsid w:val="5066262C"/>
    <w:rsid w:val="50AE646C"/>
    <w:rsid w:val="50E27F05"/>
    <w:rsid w:val="50EE4AFC"/>
    <w:rsid w:val="51254295"/>
    <w:rsid w:val="51823496"/>
    <w:rsid w:val="51CF3EE1"/>
    <w:rsid w:val="52546BE0"/>
    <w:rsid w:val="52F5737B"/>
    <w:rsid w:val="53E2646E"/>
    <w:rsid w:val="53E421E6"/>
    <w:rsid w:val="53F341D7"/>
    <w:rsid w:val="546450D5"/>
    <w:rsid w:val="54D9517B"/>
    <w:rsid w:val="54DC792D"/>
    <w:rsid w:val="54EA55DA"/>
    <w:rsid w:val="554A7E27"/>
    <w:rsid w:val="55D818D6"/>
    <w:rsid w:val="56694C24"/>
    <w:rsid w:val="56E60023"/>
    <w:rsid w:val="56FF1BAD"/>
    <w:rsid w:val="57256D9D"/>
    <w:rsid w:val="57CD1923"/>
    <w:rsid w:val="584B45E2"/>
    <w:rsid w:val="589D0A22"/>
    <w:rsid w:val="589D0BB5"/>
    <w:rsid w:val="599C695F"/>
    <w:rsid w:val="59FB5B93"/>
    <w:rsid w:val="5A201A9E"/>
    <w:rsid w:val="5A7F0572"/>
    <w:rsid w:val="5AE66844"/>
    <w:rsid w:val="5B182775"/>
    <w:rsid w:val="5B523ED9"/>
    <w:rsid w:val="5B5254FB"/>
    <w:rsid w:val="5B9C5154"/>
    <w:rsid w:val="5BBD1F73"/>
    <w:rsid w:val="5BBF488A"/>
    <w:rsid w:val="5BD5012D"/>
    <w:rsid w:val="5D5757D7"/>
    <w:rsid w:val="5DCA7D57"/>
    <w:rsid w:val="5DF474C9"/>
    <w:rsid w:val="5E0F1C0D"/>
    <w:rsid w:val="5E37623F"/>
    <w:rsid w:val="5E4775F9"/>
    <w:rsid w:val="5EB6477F"/>
    <w:rsid w:val="5EF17565"/>
    <w:rsid w:val="5F587BA4"/>
    <w:rsid w:val="5F610B8F"/>
    <w:rsid w:val="5F93686E"/>
    <w:rsid w:val="5FB707AE"/>
    <w:rsid w:val="5FC44C79"/>
    <w:rsid w:val="5FC67619"/>
    <w:rsid w:val="5FD44EBD"/>
    <w:rsid w:val="6031230F"/>
    <w:rsid w:val="606E2250"/>
    <w:rsid w:val="60AA3E6F"/>
    <w:rsid w:val="60DA0BF8"/>
    <w:rsid w:val="60F90953"/>
    <w:rsid w:val="610C4B2A"/>
    <w:rsid w:val="610F0176"/>
    <w:rsid w:val="6166248C"/>
    <w:rsid w:val="61D355A0"/>
    <w:rsid w:val="61DA3F61"/>
    <w:rsid w:val="61F061FA"/>
    <w:rsid w:val="61FB0E26"/>
    <w:rsid w:val="62465009"/>
    <w:rsid w:val="63116428"/>
    <w:rsid w:val="631F6D97"/>
    <w:rsid w:val="63441B2B"/>
    <w:rsid w:val="638766EA"/>
    <w:rsid w:val="63AE747B"/>
    <w:rsid w:val="63C314EE"/>
    <w:rsid w:val="63C82F8A"/>
    <w:rsid w:val="647C7284"/>
    <w:rsid w:val="64B41760"/>
    <w:rsid w:val="64D37D8E"/>
    <w:rsid w:val="64E5191A"/>
    <w:rsid w:val="64EF09EB"/>
    <w:rsid w:val="65A25A5D"/>
    <w:rsid w:val="65DF45BB"/>
    <w:rsid w:val="65F77B57"/>
    <w:rsid w:val="66111AE9"/>
    <w:rsid w:val="661E3335"/>
    <w:rsid w:val="667B0788"/>
    <w:rsid w:val="66E520A5"/>
    <w:rsid w:val="67184229"/>
    <w:rsid w:val="6732696D"/>
    <w:rsid w:val="67923F85"/>
    <w:rsid w:val="680D18B3"/>
    <w:rsid w:val="690F3409"/>
    <w:rsid w:val="692A76BD"/>
    <w:rsid w:val="692E0582"/>
    <w:rsid w:val="6945507D"/>
    <w:rsid w:val="698A6748"/>
    <w:rsid w:val="69AC0C58"/>
    <w:rsid w:val="69BB533F"/>
    <w:rsid w:val="6A1862EE"/>
    <w:rsid w:val="6A42336B"/>
    <w:rsid w:val="6A6D488B"/>
    <w:rsid w:val="6B217424"/>
    <w:rsid w:val="6B563571"/>
    <w:rsid w:val="6B8424D8"/>
    <w:rsid w:val="6C1F5711"/>
    <w:rsid w:val="6C7E3841"/>
    <w:rsid w:val="6C970213"/>
    <w:rsid w:val="6CA93DE5"/>
    <w:rsid w:val="6CB57E24"/>
    <w:rsid w:val="6D594C53"/>
    <w:rsid w:val="6D785A21"/>
    <w:rsid w:val="6D800432"/>
    <w:rsid w:val="6D88378A"/>
    <w:rsid w:val="6DB77BCC"/>
    <w:rsid w:val="6DF8446C"/>
    <w:rsid w:val="6E05302D"/>
    <w:rsid w:val="6E34071B"/>
    <w:rsid w:val="6E6B7334"/>
    <w:rsid w:val="6E995BCB"/>
    <w:rsid w:val="6EC627BC"/>
    <w:rsid w:val="6EF2710D"/>
    <w:rsid w:val="6EFE7602"/>
    <w:rsid w:val="6F4D4C8B"/>
    <w:rsid w:val="6F541B76"/>
    <w:rsid w:val="6F6A5B21"/>
    <w:rsid w:val="6F9B37E5"/>
    <w:rsid w:val="6FC727DF"/>
    <w:rsid w:val="703025E3"/>
    <w:rsid w:val="703419A7"/>
    <w:rsid w:val="70343BEE"/>
    <w:rsid w:val="703A6323"/>
    <w:rsid w:val="70BA3C5B"/>
    <w:rsid w:val="70BD7BEF"/>
    <w:rsid w:val="70CC1BE0"/>
    <w:rsid w:val="713C0C83"/>
    <w:rsid w:val="71771B4C"/>
    <w:rsid w:val="717C1858"/>
    <w:rsid w:val="718030F6"/>
    <w:rsid w:val="71F15DA2"/>
    <w:rsid w:val="7218332F"/>
    <w:rsid w:val="72556331"/>
    <w:rsid w:val="72F0605A"/>
    <w:rsid w:val="730B4C41"/>
    <w:rsid w:val="731435CC"/>
    <w:rsid w:val="731D424A"/>
    <w:rsid w:val="738B58EE"/>
    <w:rsid w:val="73DE616E"/>
    <w:rsid w:val="74107412"/>
    <w:rsid w:val="74CC21AE"/>
    <w:rsid w:val="74FA31C0"/>
    <w:rsid w:val="74FB2A94"/>
    <w:rsid w:val="753D12FE"/>
    <w:rsid w:val="755503F6"/>
    <w:rsid w:val="768076F4"/>
    <w:rsid w:val="769136B0"/>
    <w:rsid w:val="76B51AA4"/>
    <w:rsid w:val="77364257"/>
    <w:rsid w:val="77585F7B"/>
    <w:rsid w:val="77923C3D"/>
    <w:rsid w:val="77B5188E"/>
    <w:rsid w:val="78AC47D1"/>
    <w:rsid w:val="78EE303B"/>
    <w:rsid w:val="794847B8"/>
    <w:rsid w:val="7959153D"/>
    <w:rsid w:val="795F611F"/>
    <w:rsid w:val="7A0917AF"/>
    <w:rsid w:val="7A2108FB"/>
    <w:rsid w:val="7B6A594A"/>
    <w:rsid w:val="7C1A5987"/>
    <w:rsid w:val="7C2428D0"/>
    <w:rsid w:val="7C565CBA"/>
    <w:rsid w:val="7C8D2B6B"/>
    <w:rsid w:val="7D450D50"/>
    <w:rsid w:val="7D690EE2"/>
    <w:rsid w:val="7E281B36"/>
    <w:rsid w:val="7E551467"/>
    <w:rsid w:val="7EB663A9"/>
    <w:rsid w:val="7EE73ACF"/>
    <w:rsid w:val="7EEA1DBB"/>
    <w:rsid w:val="7EF8763B"/>
    <w:rsid w:val="7F032C71"/>
    <w:rsid w:val="7F315A30"/>
    <w:rsid w:val="7F4514DB"/>
    <w:rsid w:val="7F8A15E4"/>
    <w:rsid w:val="7F8E2E82"/>
    <w:rsid w:val="7FD91C2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0" w:after="0" w:line="360" w:lineRule="exact"/>
      <w:ind w:firstLine="3755"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120" w:after="120" w:line="460" w:lineRule="exact"/>
      <w:ind w:firstLine="0" w:firstLineChars="0"/>
      <w:outlineLvl w:val="1"/>
    </w:pPr>
    <w:rPr>
      <w:rFonts w:ascii="黑体" w:hAnsi="黑体" w:eastAsia="黑体"/>
      <w:bCs/>
      <w:szCs w:val="32"/>
    </w:rPr>
  </w:style>
  <w:style w:type="paragraph" w:styleId="4">
    <w:name w:val="heading 3"/>
    <w:basedOn w:val="1"/>
    <w:next w:val="1"/>
    <w:link w:val="52"/>
    <w:qFormat/>
    <w:uiPriority w:val="0"/>
    <w:pPr>
      <w:keepNext/>
      <w:keepLines/>
      <w:spacing w:line="360" w:lineRule="exact"/>
      <w:ind w:firstLine="0" w:firstLineChars="0"/>
      <w:outlineLvl w:val="2"/>
    </w:pPr>
    <w:rPr>
      <w:rFonts w:ascii="黑体" w:hAnsi="黑体" w:eastAsia="黑体"/>
      <w:bCs/>
      <w:szCs w:val="32"/>
    </w:rPr>
  </w:style>
  <w:style w:type="paragraph" w:styleId="5">
    <w:name w:val="heading 4"/>
    <w:basedOn w:val="1"/>
    <w:next w:val="1"/>
    <w:link w:val="53"/>
    <w:qFormat/>
    <w:uiPriority w:val="0"/>
    <w:pPr>
      <w:keepNext/>
      <w:keepLines/>
      <w:spacing w:before="0" w:after="0" w:line="360" w:lineRule="exact"/>
      <w:ind w:firstLine="0" w:firstLineChars="0"/>
      <w:outlineLvl w:val="3"/>
    </w:pPr>
    <w:rPr>
      <w:rFonts w:ascii="黑体" w:hAnsi="黑体" w:eastAsia="黑体"/>
      <w:bCs/>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5">
    <w:name w:val="Default Paragraph Font"/>
    <w:semiHidden/>
    <w:qFormat/>
    <w:uiPriority w:val="0"/>
  </w:style>
  <w:style w:type="table" w:default="1" w:styleId="33">
    <w:name w:val="Normal Table"/>
    <w:semiHidden/>
    <w:qFormat/>
    <w:uiPriority w:val="0"/>
    <w:tblPr>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semiHidden/>
    <w:qFormat/>
    <w:uiPriority w:val="0"/>
  </w:style>
  <w:style w:type="paragraph" w:styleId="16">
    <w:name w:val="toc 2"/>
    <w:basedOn w:val="17"/>
    <w:next w:val="1"/>
    <w:qFormat/>
    <w:uiPriority w:val="39"/>
  </w:style>
  <w:style w:type="paragraph" w:styleId="17">
    <w:name w:val="toc 1"/>
    <w:next w:val="1"/>
    <w:qFormat/>
    <w:uiPriority w:val="39"/>
    <w:pPr>
      <w:jc w:val="both"/>
    </w:pPr>
    <w:rPr>
      <w:rFonts w:ascii="宋体" w:hAnsi="Times New Roman" w:eastAsia="宋体" w:cs="Times New Roman"/>
      <w:sz w:val="21"/>
      <w:lang w:val="en-US" w:eastAsia="zh-CN" w:bidi="ar-SA"/>
    </w:rPr>
  </w:style>
  <w:style w:type="paragraph" w:styleId="18">
    <w:name w:val="annotation text"/>
    <w:basedOn w:val="1"/>
    <w:link w:val="54"/>
    <w:unhideWhenUsed/>
    <w:qFormat/>
    <w:uiPriority w:val="99"/>
    <w:pPr>
      <w:spacing w:line="360" w:lineRule="auto"/>
      <w:jc w:val="left"/>
    </w:pPr>
    <w:rPr>
      <w:rFonts w:ascii="宋体" w:hAnsi="宋体"/>
    </w:rPr>
  </w:style>
  <w:style w:type="paragraph" w:styleId="19">
    <w:name w:val="Body Text Indent"/>
    <w:basedOn w:val="1"/>
    <w:link w:val="55"/>
    <w:qFormat/>
    <w:uiPriority w:val="0"/>
    <w:pPr>
      <w:spacing w:line="360" w:lineRule="auto"/>
      <w:ind w:firstLine="480" w:firstLineChars="200"/>
    </w:pPr>
    <w:rPr>
      <w:rFonts w:ascii="宋体" w:hAnsi="宋体"/>
      <w:color w:val="FF0000"/>
      <w:sz w:val="24"/>
    </w:rPr>
  </w:style>
  <w:style w:type="paragraph" w:styleId="20">
    <w:name w:val="HTML Address"/>
    <w:basedOn w:val="1"/>
    <w:qFormat/>
    <w:uiPriority w:val="0"/>
    <w:rPr>
      <w:i/>
      <w:iCs/>
    </w:rPr>
  </w:style>
  <w:style w:type="paragraph" w:styleId="21">
    <w:name w:val="toc 8"/>
    <w:basedOn w:val="11"/>
    <w:next w:val="1"/>
    <w:semiHidden/>
    <w:qFormat/>
    <w:uiPriority w:val="0"/>
  </w:style>
  <w:style w:type="paragraph" w:styleId="22">
    <w:name w:val="Date"/>
    <w:basedOn w:val="1"/>
    <w:next w:val="1"/>
    <w:qFormat/>
    <w:uiPriority w:val="0"/>
    <w:pPr>
      <w:ind w:left="100" w:leftChars="2500"/>
    </w:pPr>
  </w:style>
  <w:style w:type="paragraph" w:styleId="23">
    <w:name w:val="Balloon Text"/>
    <w:basedOn w:val="1"/>
    <w:link w:val="56"/>
    <w:qFormat/>
    <w:uiPriority w:val="0"/>
    <w:rPr>
      <w:sz w:val="18"/>
      <w:szCs w:val="18"/>
    </w:rPr>
  </w:style>
  <w:style w:type="paragraph" w:styleId="24">
    <w:name w:val="footer"/>
    <w:basedOn w:val="1"/>
    <w:link w:val="57"/>
    <w:qFormat/>
    <w:uiPriority w:val="99"/>
    <w:pPr>
      <w:tabs>
        <w:tab w:val="center" w:pos="4153"/>
        <w:tab w:val="right" w:pos="8306"/>
      </w:tabs>
      <w:snapToGrid w:val="0"/>
      <w:ind w:right="210" w:rightChars="100"/>
      <w:jc w:val="right"/>
    </w:pPr>
    <w:rPr>
      <w:sz w:val="18"/>
      <w:szCs w:val="18"/>
    </w:rPr>
  </w:style>
  <w:style w:type="paragraph" w:styleId="2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6">
    <w:name w:val="footnote text"/>
    <w:basedOn w:val="1"/>
    <w:semiHidden/>
    <w:qFormat/>
    <w:uiPriority w:val="0"/>
    <w:pPr>
      <w:snapToGrid w:val="0"/>
      <w:jc w:val="left"/>
    </w:pPr>
    <w:rPr>
      <w:sz w:val="18"/>
      <w:szCs w:val="18"/>
    </w:rPr>
  </w:style>
  <w:style w:type="paragraph" w:styleId="27">
    <w:name w:val="Body Text Indent 3"/>
    <w:basedOn w:val="1"/>
    <w:link w:val="58"/>
    <w:qFormat/>
    <w:uiPriority w:val="0"/>
    <w:pPr>
      <w:spacing w:line="360" w:lineRule="auto"/>
      <w:ind w:firstLine="480" w:firstLineChars="200"/>
    </w:pPr>
    <w:rPr>
      <w:rFonts w:ascii="宋体" w:hAnsi="宋体"/>
      <w:sz w:val="24"/>
    </w:rPr>
  </w:style>
  <w:style w:type="paragraph" w:styleId="28">
    <w:name w:val="toc 9"/>
    <w:basedOn w:val="21"/>
    <w:next w:val="1"/>
    <w:semiHidden/>
    <w:qFormat/>
    <w:uiPriority w:val="0"/>
  </w:style>
  <w:style w:type="paragraph" w:styleId="29">
    <w:name w:val="HTML Preformatted"/>
    <w:basedOn w:val="1"/>
    <w:qFormat/>
    <w:uiPriority w:val="0"/>
    <w:rPr>
      <w:rFonts w:ascii="Courier New" w:hAnsi="Courier New" w:cs="Courier New"/>
      <w:sz w:val="20"/>
      <w:szCs w:val="20"/>
    </w:rPr>
  </w:style>
  <w:style w:type="paragraph" w:styleId="3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1">
    <w:name w:val="Title"/>
    <w:basedOn w:val="1"/>
    <w:qFormat/>
    <w:uiPriority w:val="0"/>
    <w:pPr>
      <w:spacing w:before="240" w:after="60"/>
      <w:jc w:val="center"/>
      <w:outlineLvl w:val="0"/>
    </w:pPr>
    <w:rPr>
      <w:rFonts w:ascii="Arial" w:hAnsi="Arial" w:eastAsia="黑体" w:cs="Arial"/>
      <w:bCs/>
      <w:sz w:val="28"/>
      <w:szCs w:val="32"/>
    </w:rPr>
  </w:style>
  <w:style w:type="paragraph" w:styleId="32">
    <w:name w:val="annotation subject"/>
    <w:basedOn w:val="18"/>
    <w:next w:val="18"/>
    <w:link w:val="59"/>
    <w:qFormat/>
    <w:uiPriority w:val="0"/>
    <w:rPr>
      <w:b/>
      <w:bCs/>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0"/>
    <w:rPr>
      <w:b/>
    </w:rPr>
  </w:style>
  <w:style w:type="character" w:styleId="37">
    <w:name w:val="page number"/>
    <w:qFormat/>
    <w:uiPriority w:val="0"/>
    <w:rPr>
      <w:rFonts w:ascii="Times New Roman" w:hAnsi="Times New Roman" w:eastAsia="宋体"/>
      <w:sz w:val="18"/>
    </w:rPr>
  </w:style>
  <w:style w:type="character" w:styleId="38">
    <w:name w:val="FollowedHyperlink"/>
    <w:qFormat/>
    <w:uiPriority w:val="0"/>
    <w:rPr>
      <w:color w:val="164396"/>
      <w:u w:val="none"/>
    </w:rPr>
  </w:style>
  <w:style w:type="character" w:styleId="39">
    <w:name w:val="Emphasis"/>
    <w:qFormat/>
    <w:uiPriority w:val="0"/>
  </w:style>
  <w:style w:type="character" w:styleId="40">
    <w:name w:val="HTML Definition"/>
    <w:qFormat/>
    <w:uiPriority w:val="0"/>
    <w:rPr>
      <w:i/>
      <w:iCs/>
    </w:rPr>
  </w:style>
  <w:style w:type="character" w:styleId="41">
    <w:name w:val="HTML Typewriter"/>
    <w:qFormat/>
    <w:uiPriority w:val="0"/>
    <w:rPr>
      <w:rFonts w:ascii="Courier New" w:hAnsi="Courier New"/>
      <w:sz w:val="20"/>
      <w:szCs w:val="20"/>
    </w:rPr>
  </w:style>
  <w:style w:type="character" w:styleId="42">
    <w:name w:val="HTML Acronym"/>
    <w:basedOn w:val="35"/>
    <w:qFormat/>
    <w:uiPriority w:val="0"/>
  </w:style>
  <w:style w:type="character" w:styleId="43">
    <w:name w:val="HTML Variable"/>
    <w:qFormat/>
    <w:uiPriority w:val="0"/>
    <w:rPr>
      <w:i/>
      <w:iCs/>
    </w:rPr>
  </w:style>
  <w:style w:type="character" w:styleId="44">
    <w:name w:val="Hyperlink"/>
    <w:qFormat/>
    <w:uiPriority w:val="99"/>
    <w:rPr>
      <w:rFonts w:ascii="Times New Roman" w:hAnsi="Times New Roman" w:eastAsia="宋体"/>
      <w:color w:val="auto"/>
      <w:spacing w:val="0"/>
      <w:w w:val="100"/>
      <w:position w:val="0"/>
      <w:sz w:val="21"/>
      <w:u w:val="none"/>
      <w:vertAlign w:val="baseline"/>
    </w:rPr>
  </w:style>
  <w:style w:type="character" w:styleId="45">
    <w:name w:val="HTML Code"/>
    <w:qFormat/>
    <w:uiPriority w:val="0"/>
    <w:rPr>
      <w:rFonts w:ascii="Courier New" w:hAnsi="Courier New"/>
      <w:sz w:val="20"/>
      <w:szCs w:val="20"/>
    </w:rPr>
  </w:style>
  <w:style w:type="character" w:styleId="46">
    <w:name w:val="annotation reference"/>
    <w:unhideWhenUsed/>
    <w:qFormat/>
    <w:uiPriority w:val="99"/>
    <w:rPr>
      <w:sz w:val="21"/>
      <w:szCs w:val="21"/>
    </w:rPr>
  </w:style>
  <w:style w:type="character" w:styleId="47">
    <w:name w:val="HTML Cite"/>
    <w:qFormat/>
    <w:uiPriority w:val="0"/>
    <w:rPr>
      <w:i/>
      <w:iCs/>
    </w:rPr>
  </w:style>
  <w:style w:type="character" w:styleId="48">
    <w:name w:val="footnote reference"/>
    <w:semiHidden/>
    <w:qFormat/>
    <w:uiPriority w:val="0"/>
    <w:rPr>
      <w:vertAlign w:val="superscript"/>
    </w:rPr>
  </w:style>
  <w:style w:type="character" w:styleId="49">
    <w:name w:val="HTML Keyboard"/>
    <w:qFormat/>
    <w:uiPriority w:val="0"/>
    <w:rPr>
      <w:rFonts w:ascii="Courier New" w:hAnsi="Courier New"/>
      <w:sz w:val="20"/>
      <w:szCs w:val="20"/>
    </w:rPr>
  </w:style>
  <w:style w:type="character" w:styleId="50">
    <w:name w:val="HTML Sample"/>
    <w:qFormat/>
    <w:uiPriority w:val="0"/>
    <w:rPr>
      <w:rFonts w:ascii="Courier New" w:hAnsi="Courier New"/>
    </w:rPr>
  </w:style>
  <w:style w:type="character" w:customStyle="1" w:styleId="51">
    <w:name w:val="标题 1 Char"/>
    <w:link w:val="2"/>
    <w:qFormat/>
    <w:uiPriority w:val="9"/>
    <w:rPr>
      <w:b/>
      <w:bCs/>
      <w:kern w:val="44"/>
      <w:sz w:val="44"/>
      <w:szCs w:val="44"/>
    </w:rPr>
  </w:style>
  <w:style w:type="character" w:customStyle="1" w:styleId="52">
    <w:name w:val="标题 3 Char"/>
    <w:link w:val="4"/>
    <w:qFormat/>
    <w:uiPriority w:val="0"/>
    <w:rPr>
      <w:rFonts w:ascii="黑体" w:hAnsi="黑体" w:eastAsia="黑体"/>
      <w:bCs/>
      <w:szCs w:val="32"/>
    </w:rPr>
  </w:style>
  <w:style w:type="character" w:customStyle="1" w:styleId="53">
    <w:name w:val="标题 4 Char"/>
    <w:link w:val="5"/>
    <w:qFormat/>
    <w:uiPriority w:val="0"/>
    <w:rPr>
      <w:rFonts w:ascii="黑体" w:hAnsi="黑体" w:eastAsia="黑体"/>
      <w:bCs/>
      <w:sz w:val="21"/>
      <w:szCs w:val="28"/>
    </w:rPr>
  </w:style>
  <w:style w:type="character" w:customStyle="1" w:styleId="54">
    <w:name w:val="批注文字 Char"/>
    <w:link w:val="18"/>
    <w:qFormat/>
    <w:uiPriority w:val="99"/>
    <w:rPr>
      <w:rFonts w:ascii="宋体" w:hAnsi="宋体"/>
      <w:kern w:val="2"/>
      <w:sz w:val="21"/>
      <w:szCs w:val="24"/>
    </w:rPr>
  </w:style>
  <w:style w:type="character" w:customStyle="1" w:styleId="55">
    <w:name w:val="正文文本缩进 Char"/>
    <w:link w:val="19"/>
    <w:qFormat/>
    <w:uiPriority w:val="0"/>
    <w:rPr>
      <w:rFonts w:ascii="宋体" w:hAnsi="宋体"/>
      <w:color w:val="FF0000"/>
      <w:kern w:val="2"/>
      <w:sz w:val="24"/>
      <w:szCs w:val="24"/>
    </w:rPr>
  </w:style>
  <w:style w:type="character" w:customStyle="1" w:styleId="56">
    <w:name w:val="批注框文本 Char"/>
    <w:link w:val="23"/>
    <w:qFormat/>
    <w:uiPriority w:val="0"/>
    <w:rPr>
      <w:kern w:val="2"/>
      <w:sz w:val="18"/>
      <w:szCs w:val="18"/>
    </w:rPr>
  </w:style>
  <w:style w:type="character" w:customStyle="1" w:styleId="57">
    <w:name w:val="页脚 Char"/>
    <w:link w:val="24"/>
    <w:qFormat/>
    <w:uiPriority w:val="99"/>
    <w:rPr>
      <w:kern w:val="2"/>
      <w:sz w:val="18"/>
      <w:szCs w:val="18"/>
    </w:rPr>
  </w:style>
  <w:style w:type="character" w:customStyle="1" w:styleId="58">
    <w:name w:val="正文文本缩进 3 Char"/>
    <w:link w:val="27"/>
    <w:qFormat/>
    <w:uiPriority w:val="0"/>
    <w:rPr>
      <w:rFonts w:ascii="宋体" w:hAnsi="宋体"/>
      <w:kern w:val="2"/>
      <w:sz w:val="24"/>
      <w:szCs w:val="24"/>
    </w:rPr>
  </w:style>
  <w:style w:type="character" w:customStyle="1" w:styleId="59">
    <w:name w:val="批注主题 Char"/>
    <w:link w:val="32"/>
    <w:qFormat/>
    <w:uiPriority w:val="0"/>
    <w:rPr>
      <w:rFonts w:ascii="宋体" w:hAnsi="宋体"/>
      <w:b/>
      <w:bCs/>
      <w:kern w:val="2"/>
      <w:sz w:val="21"/>
      <w:szCs w:val="24"/>
    </w:rPr>
  </w:style>
  <w:style w:type="character" w:customStyle="1" w:styleId="60">
    <w:name w:val="发布"/>
    <w:qFormat/>
    <w:uiPriority w:val="0"/>
    <w:rPr>
      <w:rFonts w:ascii="黑体" w:eastAsia="黑体"/>
      <w:spacing w:val="22"/>
      <w:w w:val="100"/>
      <w:position w:val="3"/>
      <w:sz w:val="28"/>
    </w:rPr>
  </w:style>
  <w:style w:type="character" w:customStyle="1" w:styleId="61">
    <w:name w:val="个人答复风格"/>
    <w:qFormat/>
    <w:uiPriority w:val="0"/>
    <w:rPr>
      <w:rFonts w:ascii="Arial" w:hAnsi="Arial" w:eastAsia="宋体" w:cs="Arial"/>
      <w:color w:val="auto"/>
      <w:sz w:val="20"/>
    </w:rPr>
  </w:style>
  <w:style w:type="character" w:customStyle="1" w:styleId="62">
    <w:name w:val="个人撰写风格"/>
    <w:qFormat/>
    <w:uiPriority w:val="0"/>
    <w:rPr>
      <w:rFonts w:ascii="Arial" w:hAnsi="Arial" w:eastAsia="宋体" w:cs="Arial"/>
      <w:color w:val="auto"/>
      <w:sz w:val="20"/>
    </w:rPr>
  </w:style>
  <w:style w:type="paragraph" w:customStyle="1" w:styleId="63">
    <w:name w:val="图表脚注"/>
    <w:next w:val="64"/>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4">
    <w:name w:val="段"/>
    <w:link w:val="6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5">
    <w:name w:val="段 Char"/>
    <w:link w:val="64"/>
    <w:qFormat/>
    <w:uiPriority w:val="0"/>
    <w:rPr>
      <w:rFonts w:ascii="宋体"/>
      <w:sz w:val="21"/>
    </w:rPr>
  </w:style>
  <w:style w:type="paragraph" w:customStyle="1" w:styleId="6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7">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68">
    <w:name w:val="附录章标题"/>
    <w:next w:val="64"/>
    <w:qFormat/>
    <w:uiPriority w:val="0"/>
    <w:pPr>
      <w:numPr>
        <w:ilvl w:val="1"/>
        <w:numId w:val="1"/>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69">
    <w:name w:val="发布部门"/>
    <w:next w:val="64"/>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7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71">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72">
    <w:name w:val="附录标识"/>
    <w:basedOn w:val="73"/>
    <w:qFormat/>
    <w:uiPriority w:val="0"/>
    <w:pPr>
      <w:numPr>
        <w:ilvl w:val="0"/>
        <w:numId w:val="1"/>
      </w:numPr>
      <w:tabs>
        <w:tab w:val="left" w:pos="6405"/>
      </w:tabs>
      <w:spacing w:after="200"/>
    </w:pPr>
    <w:rPr>
      <w:sz w:val="21"/>
    </w:rPr>
  </w:style>
  <w:style w:type="paragraph" w:customStyle="1" w:styleId="73">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4">
    <w:name w:val="附录四级条标题"/>
    <w:basedOn w:val="75"/>
    <w:next w:val="64"/>
    <w:qFormat/>
    <w:uiPriority w:val="0"/>
    <w:pPr>
      <w:numPr>
        <w:ilvl w:val="5"/>
        <w:numId w:val="1"/>
      </w:numPr>
      <w:outlineLvl w:val="5"/>
    </w:pPr>
  </w:style>
  <w:style w:type="paragraph" w:customStyle="1" w:styleId="75">
    <w:name w:val="附录三级条标题"/>
    <w:basedOn w:val="76"/>
    <w:next w:val="64"/>
    <w:qFormat/>
    <w:uiPriority w:val="0"/>
    <w:pPr>
      <w:numPr>
        <w:ilvl w:val="4"/>
        <w:numId w:val="1"/>
      </w:numPr>
      <w:outlineLvl w:val="4"/>
    </w:pPr>
  </w:style>
  <w:style w:type="paragraph" w:customStyle="1" w:styleId="76">
    <w:name w:val="附录二级条标题"/>
    <w:basedOn w:val="77"/>
    <w:next w:val="64"/>
    <w:qFormat/>
    <w:uiPriority w:val="0"/>
    <w:pPr>
      <w:numPr>
        <w:ilvl w:val="3"/>
        <w:numId w:val="1"/>
      </w:numPr>
      <w:outlineLvl w:val="3"/>
    </w:pPr>
  </w:style>
  <w:style w:type="paragraph" w:customStyle="1" w:styleId="77">
    <w:name w:val="附录一级条标题"/>
    <w:basedOn w:val="68"/>
    <w:next w:val="64"/>
    <w:qFormat/>
    <w:uiPriority w:val="0"/>
    <w:pPr>
      <w:numPr>
        <w:ilvl w:val="2"/>
        <w:numId w:val="1"/>
      </w:numPr>
      <w:autoSpaceDN w:val="0"/>
      <w:spacing w:before="0" w:beforeLines="0" w:after="0" w:afterLines="0"/>
      <w:outlineLvl w:val="2"/>
    </w:pPr>
  </w:style>
  <w:style w:type="paragraph" w:customStyle="1" w:styleId="78">
    <w:name w:val="正文图标题"/>
    <w:next w:val="64"/>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79">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80">
    <w:name w:val="一级条标题"/>
    <w:next w:val="64"/>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81">
    <w:name w:val="列项●（二级）"/>
    <w:qFormat/>
    <w:uiPriority w:val="0"/>
    <w:pPr>
      <w:numPr>
        <w:ilvl w:val="0"/>
        <w:numId w:val="4"/>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82">
    <w:name w:val="三级无标题条"/>
    <w:basedOn w:val="1"/>
    <w:qFormat/>
    <w:uiPriority w:val="0"/>
    <w:pPr>
      <w:numPr>
        <w:ilvl w:val="4"/>
        <w:numId w:val="5"/>
      </w:numPr>
    </w:pPr>
  </w:style>
  <w:style w:type="paragraph" w:customStyle="1" w:styleId="83">
    <w:name w:val="实施日期"/>
    <w:basedOn w:val="66"/>
    <w:qFormat/>
    <w:uiPriority w:val="0"/>
    <w:pPr>
      <w:framePr w:hSpace="0" w:xAlign="right"/>
      <w:jc w:val="right"/>
    </w:pPr>
  </w:style>
  <w:style w:type="paragraph" w:customStyle="1" w:styleId="8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5">
    <w:name w:val="标准书眉一"/>
    <w:qFormat/>
    <w:uiPriority w:val="0"/>
    <w:pPr>
      <w:jc w:val="both"/>
    </w:pPr>
    <w:rPr>
      <w:rFonts w:ascii="Times New Roman" w:hAnsi="Times New Roman" w:eastAsia="宋体" w:cs="Times New Roman"/>
      <w:lang w:val="en-US" w:eastAsia="zh-CN" w:bidi="ar-SA"/>
    </w:rPr>
  </w:style>
  <w:style w:type="paragraph" w:customStyle="1" w:styleId="86">
    <w:name w:val="封面标准代替信息"/>
    <w:basedOn w:val="87"/>
    <w:qFormat/>
    <w:uiPriority w:val="0"/>
    <w:pPr>
      <w:spacing w:before="57"/>
    </w:pPr>
    <w:rPr>
      <w:rFonts w:ascii="宋体"/>
      <w:sz w:val="21"/>
    </w:rPr>
  </w:style>
  <w:style w:type="paragraph" w:customStyle="1" w:styleId="87">
    <w:name w:val="封面标准号2"/>
    <w:basedOn w:val="84"/>
    <w:qFormat/>
    <w:uiPriority w:val="0"/>
    <w:pPr>
      <w:framePr w:w="9138" w:h="1244" w:hRule="exact" w:wrap="around" w:vAnchor="page" w:hAnchor="margin" w:y="2908"/>
      <w:adjustRightInd w:val="0"/>
      <w:spacing w:before="357" w:line="280" w:lineRule="exact"/>
    </w:pPr>
  </w:style>
  <w:style w:type="paragraph" w:customStyle="1" w:styleId="88">
    <w:name w:val="附录表标题"/>
    <w:next w:val="64"/>
    <w:qFormat/>
    <w:uiPriority w:val="0"/>
    <w:pPr>
      <w:numPr>
        <w:ilvl w:val="0"/>
        <w:numId w:val="6"/>
      </w:numPr>
      <w:jc w:val="center"/>
      <w:textAlignment w:val="baseline"/>
    </w:pPr>
    <w:rPr>
      <w:rFonts w:ascii="黑体" w:hAnsi="Times New Roman" w:eastAsia="黑体" w:cs="Times New Roman"/>
      <w:kern w:val="21"/>
      <w:sz w:val="21"/>
      <w:lang w:val="en-US" w:eastAsia="zh-CN" w:bidi="ar-SA"/>
    </w:rPr>
  </w:style>
  <w:style w:type="paragraph" w:customStyle="1" w:styleId="89">
    <w:name w:val="标准书眉_偶数页"/>
    <w:basedOn w:val="90"/>
    <w:next w:val="1"/>
    <w:qFormat/>
    <w:uiPriority w:val="0"/>
    <w:pPr>
      <w:tabs>
        <w:tab w:val="center" w:pos="4154"/>
        <w:tab w:val="right" w:pos="8306"/>
      </w:tabs>
      <w:jc w:val="left"/>
    </w:pPr>
  </w:style>
  <w:style w:type="paragraph" w:customStyle="1" w:styleId="9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93">
    <w:name w:val="列项◆（三级）"/>
    <w:qFormat/>
    <w:uiPriority w:val="0"/>
    <w:pPr>
      <w:numPr>
        <w:ilvl w:val="0"/>
        <w:numId w:val="7"/>
      </w:numPr>
      <w:ind w:left="800" w:leftChars="600" w:hanging="200" w:hangingChars="200"/>
    </w:pPr>
    <w:rPr>
      <w:rFonts w:ascii="宋体" w:hAnsi="Times New Roman" w:eastAsia="宋体" w:cs="Times New Roman"/>
      <w:sz w:val="21"/>
      <w:lang w:val="en-US" w:eastAsia="zh-CN" w:bidi="ar-SA"/>
    </w:rPr>
  </w:style>
  <w:style w:type="paragraph" w:customStyle="1" w:styleId="94">
    <w:name w:val="附录五级条标题"/>
    <w:basedOn w:val="74"/>
    <w:next w:val="64"/>
    <w:qFormat/>
    <w:uiPriority w:val="0"/>
    <w:pPr>
      <w:numPr>
        <w:ilvl w:val="6"/>
        <w:numId w:val="1"/>
      </w:numPr>
      <w:outlineLvl w:val="6"/>
    </w:pPr>
  </w:style>
  <w:style w:type="paragraph" w:customStyle="1" w:styleId="95">
    <w:name w:val="条文脚注"/>
    <w:basedOn w:val="26"/>
    <w:qFormat/>
    <w:uiPriority w:val="0"/>
    <w:pPr>
      <w:ind w:left="780" w:leftChars="200" w:hanging="360" w:hangingChars="200"/>
      <w:jc w:val="both"/>
    </w:pPr>
    <w:rPr>
      <w:rFonts w:ascii="宋体"/>
    </w:rPr>
  </w:style>
  <w:style w:type="paragraph" w:customStyle="1" w:styleId="96">
    <w:name w:val="正文表标题"/>
    <w:next w:val="64"/>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97">
    <w:name w:val="目次、标准名称标题"/>
    <w:basedOn w:val="73"/>
    <w:next w:val="64"/>
    <w:qFormat/>
    <w:uiPriority w:val="0"/>
    <w:pPr>
      <w:spacing w:line="460" w:lineRule="exact"/>
    </w:pPr>
  </w:style>
  <w:style w:type="paragraph" w:customStyle="1" w:styleId="98">
    <w:name w:val="p19"/>
    <w:basedOn w:val="1"/>
    <w:qFormat/>
    <w:uiPriority w:val="0"/>
    <w:pPr>
      <w:widowControl/>
      <w:ind w:firstLine="420"/>
    </w:pPr>
    <w:rPr>
      <w:rFonts w:ascii="宋体" w:hAnsi="宋体" w:cs="宋体"/>
      <w:kern w:val="0"/>
      <w:szCs w:val="21"/>
    </w:rPr>
  </w:style>
  <w:style w:type="paragraph" w:customStyle="1" w:styleId="9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00">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101">
    <w:name w:val="示例"/>
    <w:next w:val="64"/>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2">
    <w:name w:val="四级条标题"/>
    <w:basedOn w:val="103"/>
    <w:next w:val="64"/>
    <w:qFormat/>
    <w:uiPriority w:val="0"/>
    <w:pPr>
      <w:numPr>
        <w:ilvl w:val="5"/>
        <w:numId w:val="2"/>
      </w:numPr>
      <w:outlineLvl w:val="5"/>
    </w:pPr>
  </w:style>
  <w:style w:type="paragraph" w:customStyle="1" w:styleId="103">
    <w:name w:val="三级条标题"/>
    <w:basedOn w:val="104"/>
    <w:next w:val="64"/>
    <w:qFormat/>
    <w:uiPriority w:val="0"/>
    <w:pPr>
      <w:numPr>
        <w:ilvl w:val="4"/>
        <w:numId w:val="2"/>
      </w:numPr>
      <w:outlineLvl w:val="4"/>
    </w:pPr>
  </w:style>
  <w:style w:type="paragraph" w:customStyle="1" w:styleId="104">
    <w:name w:val="二级条标题"/>
    <w:basedOn w:val="80"/>
    <w:next w:val="64"/>
    <w:qFormat/>
    <w:uiPriority w:val="0"/>
    <w:pPr>
      <w:numPr>
        <w:ilvl w:val="3"/>
        <w:numId w:val="2"/>
      </w:numPr>
      <w:outlineLvl w:val="3"/>
    </w:pPr>
  </w:style>
  <w:style w:type="paragraph" w:customStyle="1" w:styleId="105">
    <w:name w:val="注："/>
    <w:next w:val="64"/>
    <w:qFormat/>
    <w:uiPriority w:val="0"/>
    <w:pPr>
      <w:widowControl w:val="0"/>
      <w:numPr>
        <w:ilvl w:val="0"/>
        <w:numId w:val="10"/>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106">
    <w:name w:val="其他发布部门"/>
    <w:basedOn w:val="69"/>
    <w:qFormat/>
    <w:uiPriority w:val="0"/>
    <w:pPr>
      <w:spacing w:line="0" w:lineRule="atLeast"/>
    </w:pPr>
    <w:rPr>
      <w:rFonts w:ascii="黑体" w:eastAsia="黑体"/>
      <w:b w:val="0"/>
    </w:rPr>
  </w:style>
  <w:style w:type="paragraph" w:customStyle="1" w:styleId="10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8">
    <w:name w:val="参考文献、索引标题"/>
    <w:basedOn w:val="73"/>
    <w:next w:val="1"/>
    <w:qFormat/>
    <w:uiPriority w:val="0"/>
    <w:pPr>
      <w:numPr>
        <w:ilvl w:val="0"/>
        <w:numId w:val="0"/>
      </w:numPr>
      <w:spacing w:after="200"/>
    </w:pPr>
    <w:rPr>
      <w:sz w:val="21"/>
    </w:rPr>
  </w:style>
  <w:style w:type="paragraph" w:customStyle="1" w:styleId="10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1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11">
    <w:name w:val="二级无标题条"/>
    <w:basedOn w:val="1"/>
    <w:qFormat/>
    <w:uiPriority w:val="0"/>
    <w:pPr>
      <w:numPr>
        <w:ilvl w:val="3"/>
        <w:numId w:val="5"/>
      </w:numPr>
    </w:pPr>
  </w:style>
  <w:style w:type="paragraph" w:customStyle="1" w:styleId="112">
    <w:name w:val="附录图标题"/>
    <w:next w:val="64"/>
    <w:qFormat/>
    <w:uiPriority w:val="0"/>
    <w:pPr>
      <w:numPr>
        <w:ilvl w:val="0"/>
        <w:numId w:val="11"/>
      </w:numPr>
      <w:jc w:val="center"/>
    </w:pPr>
    <w:rPr>
      <w:rFonts w:ascii="黑体" w:hAnsi="Times New Roman" w:eastAsia="黑体" w:cs="Times New Roman"/>
      <w:sz w:val="21"/>
      <w:lang w:val="en-US" w:eastAsia="zh-CN" w:bidi="ar-SA"/>
    </w:rPr>
  </w:style>
  <w:style w:type="paragraph" w:customStyle="1" w:styleId="113">
    <w:name w:val="注×："/>
    <w:qFormat/>
    <w:uiPriority w:val="0"/>
    <w:pPr>
      <w:widowControl w:val="0"/>
      <w:numPr>
        <w:ilvl w:val="0"/>
        <w:numId w:val="12"/>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14">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15">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16">
    <w:name w:val="列项·"/>
    <w:qFormat/>
    <w:uiPriority w:val="0"/>
    <w:pPr>
      <w:numPr>
        <w:ilvl w:val="0"/>
        <w:numId w:val="13"/>
      </w:numPr>
      <w:tabs>
        <w:tab w:val="left" w:pos="840"/>
        <w:tab w:val="clear" w:pos="560"/>
      </w:tabs>
      <w:ind w:left="840" w:leftChars="200" w:hanging="420" w:hangingChars="200"/>
      <w:jc w:val="both"/>
    </w:pPr>
    <w:rPr>
      <w:rFonts w:ascii="宋体" w:hAnsi="Times New Roman" w:eastAsia="宋体" w:cs="Times New Roman"/>
      <w:sz w:val="21"/>
      <w:lang w:val="en-US" w:eastAsia="zh-CN" w:bidi="ar-SA"/>
    </w:rPr>
  </w:style>
  <w:style w:type="paragraph" w:customStyle="1" w:styleId="117">
    <w:name w:val="封面正文"/>
    <w:qFormat/>
    <w:uiPriority w:val="0"/>
    <w:pPr>
      <w:jc w:val="both"/>
    </w:pPr>
    <w:rPr>
      <w:rFonts w:ascii="Times New Roman" w:hAnsi="Times New Roman" w:eastAsia="宋体" w:cs="Times New Roman"/>
      <w:lang w:val="en-US" w:eastAsia="zh-CN" w:bidi="ar-SA"/>
    </w:rPr>
  </w:style>
  <w:style w:type="paragraph" w:customStyle="1" w:styleId="118">
    <w:name w:val="一级无标题条"/>
    <w:basedOn w:val="1"/>
    <w:qFormat/>
    <w:uiPriority w:val="0"/>
    <w:pPr>
      <w:numPr>
        <w:ilvl w:val="2"/>
        <w:numId w:val="5"/>
      </w:numPr>
    </w:pPr>
  </w:style>
  <w:style w:type="paragraph" w:customStyle="1" w:styleId="119">
    <w:name w:val="章标题"/>
    <w:next w:val="64"/>
    <w:qFormat/>
    <w:uiPriority w:val="0"/>
    <w:pPr>
      <w:numPr>
        <w:ilvl w:val="1"/>
        <w:numId w:val="2"/>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12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21">
    <w:name w:val="四级无标题条"/>
    <w:basedOn w:val="1"/>
    <w:qFormat/>
    <w:uiPriority w:val="0"/>
    <w:pPr>
      <w:numPr>
        <w:ilvl w:val="5"/>
        <w:numId w:val="5"/>
      </w:numPr>
    </w:pPr>
  </w:style>
  <w:style w:type="paragraph" w:customStyle="1" w:styleId="122">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23">
    <w:name w:val="五级条标题"/>
    <w:basedOn w:val="102"/>
    <w:next w:val="64"/>
    <w:qFormat/>
    <w:uiPriority w:val="0"/>
    <w:pPr>
      <w:numPr>
        <w:ilvl w:val="6"/>
        <w:numId w:val="2"/>
      </w:numPr>
      <w:outlineLvl w:val="6"/>
    </w:pPr>
  </w:style>
  <w:style w:type="paragraph" w:customStyle="1" w:styleId="124">
    <w:name w:val="p18"/>
    <w:basedOn w:val="1"/>
    <w:qFormat/>
    <w:uiPriority w:val="0"/>
    <w:pPr>
      <w:widowControl/>
      <w:spacing w:beforeLines="50" w:afterLines="50"/>
      <w:jc w:val="left"/>
    </w:pPr>
    <w:rPr>
      <w:rFonts w:ascii="黑体" w:hAnsi="宋体" w:eastAsia="黑体" w:cs="宋体"/>
      <w:kern w:val="0"/>
      <w:szCs w:val="21"/>
    </w:rPr>
  </w:style>
  <w:style w:type="paragraph" w:customStyle="1" w:styleId="125">
    <w:name w:val="列项——（一级）"/>
    <w:qFormat/>
    <w:uiPriority w:val="0"/>
    <w:pPr>
      <w:widowControl w:val="0"/>
      <w:numPr>
        <w:ilvl w:val="0"/>
        <w:numId w:val="14"/>
      </w:numPr>
      <w:tabs>
        <w:tab w:val="left" w:pos="854"/>
        <w:tab w:val="clear" w:pos="1140"/>
      </w:tabs>
      <w:ind w:leftChars="200" w:hangingChars="200"/>
      <w:jc w:val="both"/>
    </w:pPr>
    <w:rPr>
      <w:rFonts w:ascii="宋体" w:hAnsi="Times New Roman" w:eastAsia="宋体" w:cs="Times New Roman"/>
      <w:sz w:val="21"/>
      <w:lang w:val="en-US" w:eastAsia="zh-CN" w:bidi="ar-SA"/>
    </w:rPr>
  </w:style>
  <w:style w:type="paragraph" w:customStyle="1" w:styleId="126">
    <w:name w:val="五级无标题条"/>
    <w:basedOn w:val="1"/>
    <w:qFormat/>
    <w:uiPriority w:val="0"/>
    <w:pPr>
      <w:numPr>
        <w:ilvl w:val="6"/>
        <w:numId w:val="5"/>
      </w:numPr>
    </w:p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ENFI表体"/>
    <w:basedOn w:val="1"/>
    <w:qFormat/>
    <w:uiPriority w:val="0"/>
    <w:pPr>
      <w:widowControl/>
      <w:adjustRightInd w:val="0"/>
      <w:snapToGrid w:val="0"/>
      <w:spacing w:line="240" w:lineRule="atLeast"/>
      <w:jc w:val="left"/>
    </w:pPr>
    <w:rPr>
      <w:rFonts w:ascii="宋体" w:hAnsi="宋体" w:eastAsia="仿宋"/>
      <w:kern w:val="0"/>
    </w:rPr>
  </w:style>
  <w:style w:type="paragraph" w:customStyle="1" w:styleId="129">
    <w:name w:val="CM1"/>
    <w:basedOn w:val="130"/>
    <w:next w:val="130"/>
    <w:qFormat/>
    <w:uiPriority w:val="99"/>
    <w:rPr>
      <w:rFonts w:cs="Times New Roman"/>
      <w:color w:val="auto"/>
    </w:rPr>
  </w:style>
  <w:style w:type="paragraph" w:customStyle="1" w:styleId="1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31">
    <w:name w:val="List Paragraph"/>
    <w:basedOn w:val="1"/>
    <w:qFormat/>
    <w:uiPriority w:val="34"/>
    <w:pPr>
      <w:spacing w:line="360" w:lineRule="auto"/>
      <w:ind w:firstLine="420"/>
    </w:pPr>
    <w:rPr>
      <w:rFonts w:ascii="宋体" w:hAnsi="宋体"/>
    </w:rPr>
  </w:style>
  <w:style w:type="paragraph" w:customStyle="1" w:styleId="132">
    <w:name w:val="终结线"/>
    <w:basedOn w:val="1"/>
    <w:qFormat/>
    <w:uiPriority w:val="0"/>
    <w:pPr>
      <w:framePr w:hSpace="181" w:vSpace="181" w:wrap="around" w:vAnchor="text" w:hAnchor="margin" w:xAlign="center" w:y="285"/>
      <w:spacing w:line="360" w:lineRule="auto"/>
    </w:pPr>
    <w:rPr>
      <w:rFonts w:ascii="宋体" w:hAnsi="宋体"/>
    </w:rPr>
  </w:style>
  <w:style w:type="paragraph" w:customStyle="1" w:styleId="133">
    <w:name w:val="p17"/>
    <w:basedOn w:val="1"/>
    <w:qFormat/>
    <w:uiPriority w:val="0"/>
    <w:pPr>
      <w:widowControl/>
      <w:ind w:firstLine="420"/>
    </w:pPr>
    <w:rPr>
      <w:rFonts w:ascii="宋体" w:hAnsi="宋体" w:cs="宋体"/>
      <w:kern w:val="0"/>
      <w:szCs w:val="21"/>
    </w:rPr>
  </w:style>
  <w:style w:type="paragraph" w:customStyle="1" w:styleId="13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footer" Target="footer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Downloads\tds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tds2.dot</Template>
  <Company>CNIS</Company>
  <Pages>21</Pages>
  <Words>2265</Words>
  <Characters>12912</Characters>
  <Lines>107</Lines>
  <Paragraphs>30</Paragraphs>
  <TotalTime>1</TotalTime>
  <ScaleCrop>false</ScaleCrop>
  <LinksUpToDate>false</LinksUpToDate>
  <CharactersWithSpaces>15147</CharactersWithSpaces>
  <Application>WPS Office_11.1.0.11369_F1E327BC-269C-435d-A152-05C5408002CA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2020-11-20T09:06:00Z</dcterms:created>
  <dc:creator>Administrator</dc:creator>
  <cp:lastModifiedBy>Devil</cp:lastModifiedBy>
  <cp:lastPrinted>2020-11-13T01:20:00Z</cp:lastPrinted>
  <dcterms:modified xsi:type="dcterms:W3CDTF">2022-04-24T00:56:14Z</dcterms:modified>
  <dc:title>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2052-11.1.0.11369</vt:lpwstr>
  </property>
  <property fmtid="{D5CDD505-2E9C-101B-9397-08002B2CF9AE}" pid="4" name="ICV">
    <vt:lpwstr>25271A99B979483786593604B0C28282</vt:lpwstr>
  </property>
</Properties>
</file>