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eastAsia="黑体"/>
          <w:b/>
          <w:bCs/>
          <w:sz w:val="28"/>
          <w:szCs w:val="28"/>
        </w:rPr>
      </w:pPr>
      <w:r>
        <w:rPr>
          <w:rFonts w:eastAsia="黑体"/>
          <w:sz w:val="28"/>
          <w:szCs w:val="28"/>
        </w:rPr>
        <w:t>国家标准</w:t>
      </w:r>
      <w:r>
        <w:rPr>
          <w:rFonts w:eastAsia="黑体"/>
          <w:b/>
          <w:bCs/>
          <w:sz w:val="28"/>
          <w:szCs w:val="28"/>
        </w:rPr>
        <w:t>《</w:t>
      </w:r>
      <w:r>
        <w:rPr>
          <w:rFonts w:eastAsia="黑体"/>
          <w:sz w:val="28"/>
          <w:szCs w:val="28"/>
        </w:rPr>
        <w:t>氮化铝材料中痕量元素（镁、镓）含量及分布的测定  二次离子质谱法</w:t>
      </w:r>
      <w:r>
        <w:rPr>
          <w:rFonts w:eastAsia="黑体"/>
          <w:b/>
          <w:bCs/>
          <w:sz w:val="28"/>
          <w:szCs w:val="28"/>
        </w:rPr>
        <w:t>》</w:t>
      </w:r>
      <w:r>
        <w:rPr>
          <w:rFonts w:eastAsia="黑体"/>
          <w:sz w:val="28"/>
          <w:szCs w:val="28"/>
        </w:rPr>
        <w:t>编制说明（送审稿）</w:t>
      </w:r>
    </w:p>
    <w:p>
      <w:pPr>
        <w:pStyle w:val="2"/>
        <w:numPr>
          <w:ilvl w:val="0"/>
          <w:numId w:val="1"/>
        </w:numPr>
      </w:pPr>
      <w:r>
        <w:t>工作简况</w:t>
      </w:r>
    </w:p>
    <w:p>
      <w:pPr>
        <w:pStyle w:val="3"/>
      </w:pPr>
      <w:r>
        <w:t>1、立项目的和意义</w:t>
      </w:r>
      <w:bookmarkStart w:id="0" w:name="OLE_LINK7"/>
      <w:bookmarkStart w:id="1" w:name="OLE_LINK6"/>
    </w:p>
    <w:p>
      <w:pPr>
        <w:adjustRightInd w:val="0"/>
        <w:snapToGrid w:val="0"/>
        <w:ind w:firstLine="480"/>
      </w:pPr>
      <w:r>
        <w:t>半导体产业是信息技术革命的基础，在国家科技战略中具有举足轻重的作用。自上世纪50年代半导体技术出现以来，就以突飞猛进的速度不断的前进和发展，经历了以Ge、Si为代表的第一代半导体，到以GaAs、InP为代表的第二代半导体，再到以GaN、SiC和</w:t>
      </w:r>
      <w:r>
        <w:rPr>
          <w:rFonts w:hint="eastAsia"/>
        </w:rPr>
        <w:t>A</w:t>
      </w:r>
      <w:r>
        <w:t>lN为代表的第三代半导体。自20世纪80年代以来，美、日、欧等发达国家为了保持军事和航天强国地位，将发展宽带隙半导体技术放在极其重要的战略位置。第三代半导体材料已成为半导体设备中使用的主要材料之一，不仅满足下一代军事、航天和其他系统装备的应用要求，同时在太阳能电池、发电传输等民用领域也展现出巨大的应用潜力。</w:t>
      </w:r>
    </w:p>
    <w:p>
      <w:pPr>
        <w:adjustRightInd w:val="0"/>
        <w:snapToGrid w:val="0"/>
        <w:ind w:firstLine="480"/>
      </w:pPr>
      <w:r>
        <w:t>氮化铝材料由于其独特的物理和化学性能，在固体深紫外照明和探测器件、表面和体声波器件、太阳能电池、场效应晶体管等方面都具有巨大的应用前景。已经形成的氮化铝基片产品规范有GB/T 39975-2021《氮化铝陶瓷散热基片》与JB/T 8736-1998《电力半导体模块用氮化铝陶瓷基片》，然而对氮化铝单晶中痕量杂质的检测尚无相关标准或可借鉴的测试</w:t>
      </w:r>
      <w:r>
        <w:rPr>
          <w:rFonts w:hint="eastAsia"/>
        </w:rPr>
        <w:t>规范</w:t>
      </w:r>
      <w:r>
        <w:t>。氮化铝中杂质元素的控制对氮化铝半导体材料的研制生产至关重要。镁是氮化铝中主要的</w:t>
      </w:r>
      <w:r>
        <w:rPr>
          <w:i/>
          <w:iCs/>
        </w:rPr>
        <w:t>p</w:t>
      </w:r>
      <w:r>
        <w:t>型杂质，要获得优质的</w:t>
      </w:r>
      <w:r>
        <w:rPr>
          <w:i/>
          <w:iCs/>
        </w:rPr>
        <w:t>p</w:t>
      </w:r>
      <w:r>
        <w:t>型氮化铝，镁的掺杂量需要控制好；镓作为氮化铝制备过程中的非故意掺杂元素，为了获得高纯氮化铝晶体，必须严格控制镓的含量。二次离子质谱法具有较高的检测灵敏度，是检测镁、镓掺杂的重要检测手段。为了促进我国相关技术的提升，填补我国在半导体氮化铝材料检测领域的空白，并促使我国在二次离子质谱定量分析领域更加的规范化与标准化，特制定本标准。</w:t>
      </w:r>
    </w:p>
    <w:bookmarkEnd w:id="0"/>
    <w:bookmarkEnd w:id="1"/>
    <w:p>
      <w:pPr>
        <w:pStyle w:val="3"/>
      </w:pPr>
      <w:r>
        <w:t>2、任务来源</w:t>
      </w:r>
    </w:p>
    <w:p>
      <w:pPr>
        <w:ind w:firstLine="480"/>
      </w:pPr>
      <w:r>
        <w:t>根据《国家标准委关于下达2020年第二批国家标准制修订计划的通知》（国标委发[2020]37号）的要求，由北京科技大学以及中国科学院半导体研究所负责制定《氮化铝材料中痕量元素（镁、镓）含量及分布的测定  二次离子质谱法》，计划编号为20202918-T-469，要求完成时间为2022年。</w:t>
      </w:r>
    </w:p>
    <w:p>
      <w:pPr>
        <w:ind w:firstLine="480"/>
      </w:pPr>
      <w:r>
        <w:t>该标准由国家标准化管理委员会管理，半导体材料标准由全国半导体设备和材料标准化技术委员会（SAC/TC 203）与全国半导体设备和材料标准化技术委员会材料分技术委员会（SAC/TC 203/SC2）共同归口执行。</w:t>
      </w:r>
    </w:p>
    <w:p>
      <w:pPr>
        <w:pStyle w:val="3"/>
      </w:pPr>
      <w:r>
        <w:t>3、项目承担单位概况</w:t>
      </w:r>
    </w:p>
    <w:p>
      <w:pPr>
        <w:ind w:firstLine="480"/>
      </w:pPr>
      <w:r>
        <w:t>本项目承担单位是北京科技大学和中国科学院半导体研究所。</w:t>
      </w:r>
      <w:r>
        <w:rPr>
          <w:rFonts w:hint="eastAsia"/>
        </w:rPr>
        <w:t>起草</w:t>
      </w:r>
      <w:r>
        <w:t>人前期在先进半导体材料的可控制备、结构和性能表征以及相关的理论研究方面进行了一系列的研究工作。近几年，</w:t>
      </w:r>
      <w:r>
        <w:rPr>
          <w:rFonts w:hint="eastAsia"/>
        </w:rPr>
        <w:t>起草</w:t>
      </w:r>
      <w:r>
        <w:t>人主要围绕先进半导体材料的晶体生长、结构与性能表征及光电子器件的构建等方面展开研究。</w:t>
      </w:r>
    </w:p>
    <w:p>
      <w:pPr>
        <w:ind w:firstLine="480"/>
      </w:pPr>
      <w:r>
        <w:t>依托单位北京科技大学及中国科学院半导体研究所拥有多台化学气相沉积设备，以及高分辨率透射电镜、扫描探针显微镜、纳米压痕、原子力显微镜、电子束刻蚀、光刻系统和离子束减薄多种微观结构表征、微纳加工以及纳米器件性能测试设备，并拥有飞行时间质谱仪和最新的磁扇形二次离子质谱仪CAMECA 7f auto两台二次离子质谱仪器，常年为各科研单位、公司企业提供二次离子质谱检测分析服务，具有丰富的二次离子质谱操作、试验经验，可以为《氮化铝材料中痕量元素（镁、镓）含量及分布的测定  二次离子质谱法》标准的制定提供所需的材料制备、表征以及充分的验证。起草人依托单位与河北同光晶体有限公司、华磊光电有限公司等单位战略合作，对提高我国半导体技术水平和产业发展起到了重要的推动作用，产学研结合，将科研成果直接转化为生产力。</w:t>
      </w:r>
    </w:p>
    <w:p>
      <w:pPr>
        <w:pStyle w:val="3"/>
      </w:pPr>
      <w:r>
        <w:t>4、主要工作过程</w:t>
      </w:r>
    </w:p>
    <w:p>
      <w:pPr>
        <w:ind w:firstLine="480"/>
      </w:pPr>
      <w:r>
        <w:t>2018年6月，本项目通过计划公示后，由北京科技大学主导，中国科学院半导体研究所主要参与，即组建了标准起草工作组，讨论并形成了关于制定本标准的工作计划及其任务分工。</w:t>
      </w:r>
    </w:p>
    <w:p>
      <w:pPr>
        <w:ind w:firstLine="480"/>
      </w:pPr>
      <w:r>
        <w:t>2018年12月，本标准起草工作组经过大量二次离子质谱实验验证，同时大量阅读了与本标准相关的标准、专著等文献资料，起草完成了标准《氮化铝材料中痕量元素（镁、镓）含量及分布的测定  二次离子质谱法》的讨论稿，并提交给全国半导体设备和材料标准化技术委员会材料分技术委员会秘书处。</w:t>
      </w:r>
    </w:p>
    <w:p>
      <w:pPr>
        <w:ind w:firstLine="480"/>
      </w:pPr>
      <w:r>
        <w:t>2019年11月20日，全国半导体设备和材料标准化技术委员会材料分技术委员会在东莞主持召开了《氮化铝材料中痕量元素（镁、镓）含量及分布的测定  二次离子质谱法》的第一次工作会（讨论会），云南中科鑫圆晶体材料有限公司、北京三平泰克科技有限责任公司、北京大学东莞光电研究院、中国电子科技集团公司第四十六研究所等23家单位的32人参与了本次讨论会，提出了范围中适用于“氮化铝材料”修改为“氮化铝单晶材料”、规范性引用文件“引用标准加上年代号”“加上测试环境、标准编号”等共6条修改意见，均予以采纳。</w:t>
      </w:r>
    </w:p>
    <w:p>
      <w:pPr>
        <w:pStyle w:val="17"/>
        <w:adjustRightInd/>
        <w:snapToGrid/>
        <w:spacing w:line="360" w:lineRule="auto"/>
        <w:ind w:firstLine="480"/>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2021年9月，全国半导体设备和材料标准化技术委员会材料分技术委员会在国家标准化管理委员会的“国家标准化业务管理平台”上挂网，向社会公开征求意见，未收到反馈意见。同时，标委会通过工作群、邮件向委员单位征求意见，并将征求意见资料在www.cnsmq.com网站上挂网征求意见。征求意见的单位包括主要的生产、经销、使用、科研、检验等，征求意见单位广泛且具有代表性。牵头单位根据征求意见情况，整理完成了意见汇总表，并对标准文本和编制说明进行修改和完善。</w:t>
      </w:r>
    </w:p>
    <w:p>
      <w:pPr>
        <w:ind w:firstLine="480"/>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2021年9月，编制组将修改后的标准文本及编制说明提交至标委会，在安徽省芜湖市，由全国半导体设备和材料标准化技术委员会材料分技术委员会组织的第二次标准工作会议（预审会）上进行讨论，共有芜湖启迪半导体有限公司、中国电子科技集团公司第四十六研究所、中科院半导体所等17个单位25位专家参加了会议。与会专家对本标准的标准技术内容和文本质量等方面进行了充分的讨论，根据预审会的意见，编制组对征求意见稿进行了修改及相关内容的补充和完善。</w:t>
      </w:r>
    </w:p>
    <w:p>
      <w:pPr>
        <w:pStyle w:val="2"/>
        <w:numPr>
          <w:ilvl w:val="0"/>
          <w:numId w:val="1"/>
        </w:numPr>
      </w:pPr>
      <w:r>
        <w:t>标准编制原则和确定标准主要内容的论据</w:t>
      </w:r>
    </w:p>
    <w:p>
      <w:pPr>
        <w:pStyle w:val="3"/>
        <w:numPr>
          <w:ilvl w:val="0"/>
          <w:numId w:val="2"/>
        </w:numPr>
      </w:pPr>
      <w:r>
        <w:t>编制原则</w:t>
      </w:r>
    </w:p>
    <w:p>
      <w:pPr>
        <w:ind w:firstLine="480"/>
      </w:pPr>
      <w:r>
        <w:t>1）按照GB/T 1.1-2020《标准化工作导则  第1部分：标准化文件的结构和起草规则》的统一规定和要求进行编写；</w:t>
      </w:r>
    </w:p>
    <w:p>
      <w:pPr>
        <w:ind w:firstLine="480"/>
      </w:pPr>
      <w:r>
        <w:t>2）查阅相关标准和国内外的相关技术要求，考虑用户的当前使用要求及以后技术发展的潜在使用要求；</w:t>
      </w:r>
    </w:p>
    <w:p>
      <w:pPr>
        <w:ind w:firstLine="480"/>
      </w:pPr>
      <w:r>
        <w:t>3）考虑国内生产企业的生产、测试现状以及技术发展趋势。</w:t>
      </w:r>
    </w:p>
    <w:p>
      <w:pPr>
        <w:pStyle w:val="3"/>
        <w:numPr>
          <w:ilvl w:val="0"/>
          <w:numId w:val="2"/>
        </w:numPr>
      </w:pPr>
      <w:r>
        <w:t>确定标准主要内容的论据</w:t>
      </w:r>
    </w:p>
    <w:p>
      <w:pPr>
        <w:pStyle w:val="4"/>
        <w:ind w:firstLine="480"/>
      </w:pPr>
      <w:r>
        <w:t>2.1 范围的确定</w:t>
      </w:r>
    </w:p>
    <w:p>
      <w:pPr>
        <w:ind w:firstLine="480"/>
      </w:pPr>
      <w:r>
        <w:t>本标准规定了氮化铝单晶中痕量镁元素和镓元素浓度及分布的二次离子质谱测定方法。根据文献资料以及多年的试验经验得出，使用该方法测试的镓和镁含量不小于1×10</w:t>
      </w:r>
      <w:r>
        <w:rPr>
          <w:vertAlign w:val="superscript"/>
        </w:rPr>
        <w:t xml:space="preserve">16 </w:t>
      </w:r>
      <w:r>
        <w:t>cm</w:t>
      </w:r>
      <w:r>
        <w:rPr>
          <w:vertAlign w:val="superscript"/>
        </w:rPr>
        <w:t>-3</w:t>
      </w:r>
      <w:r>
        <w:rPr>
          <w:rFonts w:hint="eastAsia"/>
        </w:rPr>
        <w:t>。</w:t>
      </w:r>
      <w:r>
        <w:t>根据GB/T 25186-2010《表面化学分析 二次离子质谱-由离子注入参考物质确定相对灵敏度因子》，元素浓度超过1%就与计数率不再成线性比例关系，也就不能采用本标准中的方法定量了，所以规定测定杂质元素浓度不高于基质体元素浓度的1%。</w:t>
      </w:r>
    </w:p>
    <w:p>
      <w:pPr>
        <w:ind w:firstLine="480"/>
      </w:pPr>
      <w:r>
        <w:t>本标准适用于氮化铝单晶中痕量镁元素和镓元素浓度及分布的测定，其中镁、镓的浓度均不小于1×10</w:t>
      </w:r>
      <w:r>
        <w:rPr>
          <w:vertAlign w:val="superscript"/>
        </w:rPr>
        <w:t>16</w:t>
      </w:r>
      <w:r>
        <w:t xml:space="preserve"> atoms/cm</w:t>
      </w:r>
      <w:r>
        <w:rPr>
          <w:vertAlign w:val="superscript"/>
        </w:rPr>
        <w:t>3</w:t>
      </w:r>
      <w:r>
        <w:t>，且元素浓度（原子个数百分比）不大于1%。</w:t>
      </w:r>
    </w:p>
    <w:p>
      <w:pPr>
        <w:pStyle w:val="4"/>
        <w:ind w:firstLine="480"/>
      </w:pPr>
      <w:r>
        <w:t>2.2 规范性引用文件</w:t>
      </w:r>
    </w:p>
    <w:p>
      <w:pPr>
        <w:ind w:firstLine="480"/>
      </w:pPr>
      <w:r>
        <w:t>本标准中直接引用到的标准文件GB/T 14264 《半导体材料术语》、GB/T 22461《表面化学分析 词汇》、GB/T 25186《表面化学分析 二次离子质谱 - 由离子注入参考物质确定相对灵敏度因子》、和GB/T 32267《分析仪器性能测定术语》列入了第2章 规范性引用文件中。</w:t>
      </w:r>
    </w:p>
    <w:p>
      <w:pPr>
        <w:pStyle w:val="4"/>
        <w:ind w:firstLine="480"/>
      </w:pPr>
      <w:r>
        <w:t>2.3 术语和定义</w:t>
      </w:r>
    </w:p>
    <w:p>
      <w:pPr>
        <w:ind w:firstLine="480"/>
      </w:pPr>
      <w:r>
        <w:t>GB/T 14264、GB/T 22461、GB/T 25186、GB/T 32267界定的术语和定义适用于本文件。</w:t>
      </w:r>
    </w:p>
    <w:p>
      <w:pPr>
        <w:pStyle w:val="4"/>
        <w:ind w:firstLine="480"/>
      </w:pPr>
      <w:r>
        <w:t>2.4 方法原理</w:t>
      </w:r>
    </w:p>
    <w:p>
      <w:pPr>
        <w:ind w:firstLine="480"/>
      </w:pPr>
      <w:r>
        <w:t>在高真空（真空度优于10</w:t>
      </w:r>
      <w:r>
        <w:rPr>
          <w:vertAlign w:val="superscript"/>
        </w:rPr>
        <w:t>-7</w:t>
      </w:r>
      <w:r>
        <w:t xml:space="preserve"> Pa）条件下，氧离子源产生的一次离子，经过加速、纯化、聚焦后，轰击氮化铝样品表面，溅射出多种粒子，将其中的二次离子引出，通过质谱仪将不同质荷比的离子分开，记录样品中待测元素</w:t>
      </w:r>
      <w:r>
        <w:rPr>
          <w:vertAlign w:val="superscript"/>
        </w:rPr>
        <w:t>24</w:t>
      </w:r>
      <w:r>
        <w:t>Mg、</w:t>
      </w:r>
      <w:r>
        <w:rPr>
          <w:vertAlign w:val="superscript"/>
        </w:rPr>
        <w:t>69</w:t>
      </w:r>
      <w:r>
        <w:t>Ga和基质元素</w:t>
      </w:r>
      <w:r>
        <w:rPr>
          <w:vertAlign w:val="superscript"/>
        </w:rPr>
        <w:t>27</w:t>
      </w:r>
      <w:r>
        <w:t>Al的离子计数率之比。采用相同条件分别测量标准样品和待测样品，记录标准样品中的镁、镓分别与铝离子的二次离子相对强度随溅射时间的变化曲线。</w:t>
      </w:r>
      <w:bookmarkStart w:id="2" w:name="_Hlk101441089"/>
      <w:r>
        <w:t>根据已知的最大注入浓度位置（Rp）与其溅射时间对应关系，或者溅射坑深度与总溅射时间关系，</w:t>
      </w:r>
      <w:bookmarkEnd w:id="2"/>
      <w:r>
        <w:t>得到该测试条件下的溅射速率（SR），利用溅射速率（SR）将深度谱的时间横坐标转换为深度；根据杂质元素相对基质元素二次离子积分强度与注入剂量线性比例关系，由已知的杂质注入剂量分别计算得到镁和镓在氮化铝中的相对灵敏度因子（RSF）；利用RSF以及SR将待测样品的时间-相对离子强度曲线转化为杂质浓度-深度曲线，从而实现氮化铝单晶中镓和镁痕量杂质的定量分析。</w:t>
      </w:r>
    </w:p>
    <w:p>
      <w:pPr>
        <w:pStyle w:val="4"/>
        <w:ind w:firstLine="480"/>
      </w:pPr>
      <w:r>
        <w:t>2.5 干扰因素</w:t>
      </w:r>
    </w:p>
    <w:p>
      <w:pPr>
        <w:ind w:firstLine="480"/>
      </w:pPr>
      <w:r>
        <w:t>本标准中干扰因素包括环境、样品架、标准样品的标称浓度、测试样品的状态、真空度等因素，说明如下：</w:t>
      </w:r>
    </w:p>
    <w:p>
      <w:pPr>
        <w:ind w:firstLine="480"/>
      </w:pPr>
      <w:r>
        <w:t>2.5.1 样品表面吸附的镁和镓可能影响其含量的测试结果，整个操作过程中应避免样品与外界过多的接触，在放入腔体前用干燥氮气吹净。</w:t>
      </w:r>
    </w:p>
    <w:p>
      <w:pPr>
        <w:ind w:firstLine="480"/>
      </w:pPr>
      <w:r>
        <w:t>2.5.2 二次离子质谱仪存在记忆效应，若测试过镁和镓含量较高的样品，仪器样品腔内可能会残留镁和镓，影响镁和镓含量的测试结果。</w:t>
      </w:r>
    </w:p>
    <w:p>
      <w:pPr>
        <w:ind w:firstLine="480"/>
      </w:pPr>
      <w:r>
        <w:t>2.5.3 仪器型号不同或者同一仪器的状态（例如一次离子束的束流密度、聚焦状态、电子倍增器效率、视场光阑以及对比光阑大小等）不同，都会影响本方法的检出限。</w:t>
      </w:r>
    </w:p>
    <w:p>
      <w:pPr>
        <w:ind w:firstLine="480"/>
      </w:pPr>
      <w:r>
        <w:t>2.5.4 样品架窗口范围内的样品分析面应平整，以保证每个样品移动到分析位置时，其表面与离子收集光学系统的倾斜度不变，否则会降低测试的准确度。</w:t>
      </w:r>
    </w:p>
    <w:p>
      <w:pPr>
        <w:ind w:firstLine="480"/>
      </w:pPr>
      <w:r>
        <w:t>2.5.5 测试的准确度随着样品的表面粗糙度增大而显著降低，对于不平整样品，应对样品表面化学机械抛光或者化学腐蚀抛光从而降低表面粗糙度。</w:t>
      </w:r>
    </w:p>
    <w:p>
      <w:pPr>
        <w:ind w:firstLine="480"/>
      </w:pPr>
      <w:r>
        <w:t>2.5.6 标准样品中镁和镓的含量偏差会导致测试结果偏差。</w:t>
      </w:r>
    </w:p>
    <w:p>
      <w:pPr>
        <w:ind w:firstLine="480"/>
      </w:pPr>
      <w:r>
        <w:t>2.5.7标准样品中镁和镓的含量不均匀性会影响测试结果的准确性。</w:t>
      </w:r>
    </w:p>
    <w:p>
      <w:pPr>
        <w:pStyle w:val="4"/>
        <w:ind w:firstLine="480"/>
      </w:pPr>
      <w:r>
        <w:t>2.6 仪器设备</w:t>
      </w:r>
    </w:p>
    <w:p>
      <w:pPr>
        <w:ind w:firstLine="480"/>
      </w:pPr>
      <w:r>
        <w:t>二次离子质谱仪（SIMS）：应配备有氧离子源，具有分析筛选二次离子的能力，配备能检测正负二次离子的电子倍增器和法拉第杯。</w:t>
      </w:r>
    </w:p>
    <w:p>
      <w:pPr>
        <w:ind w:firstLine="480"/>
      </w:pPr>
      <w:r>
        <w:t>由于</w:t>
      </w:r>
      <w:r>
        <w:rPr>
          <w:vertAlign w:val="superscript"/>
        </w:rPr>
        <w:t>69</w:t>
      </w:r>
      <w:r>
        <w:t>Ga与</w:t>
      </w:r>
      <w:r>
        <w:rPr>
          <w:vertAlign w:val="superscript"/>
        </w:rPr>
        <w:t>27</w:t>
      </w:r>
      <w:r>
        <w:t>Al</w:t>
      </w:r>
      <w:r>
        <w:rPr>
          <w:vertAlign w:val="subscript"/>
        </w:rPr>
        <w:t>2</w:t>
      </w:r>
      <w:r>
        <w:rPr>
          <w:vertAlign w:val="superscript"/>
        </w:rPr>
        <w:t>15</w:t>
      </w:r>
      <w:r>
        <w:t>N的质量非常接近，存在质量干扰，区分开两者所需质量分辨为1833；如果氮化铝晶体中碳含量过高，</w:t>
      </w:r>
      <w:r>
        <w:rPr>
          <w:vertAlign w:val="superscript"/>
        </w:rPr>
        <w:t>24</w:t>
      </w:r>
      <w:r>
        <w:t>Mg和</w:t>
      </w:r>
      <w:r>
        <w:rPr>
          <w:vertAlign w:val="superscript"/>
        </w:rPr>
        <w:t>12</w:t>
      </w:r>
      <w:r>
        <w:t>C</w:t>
      </w:r>
      <w:r>
        <w:rPr>
          <w:vertAlign w:val="subscript"/>
        </w:rPr>
        <w:t>2</w:t>
      </w:r>
      <w:r>
        <w:t>存在质量干扰，区分开两者所需的质量分辨为1603。综上所述，仪器质量分辨率应优于1833。</w:t>
      </w:r>
    </w:p>
    <w:p>
      <w:pPr>
        <w:ind w:firstLine="480"/>
      </w:pPr>
      <w:r>
        <w:t>样品架应使样品的分析面处于同一平面并垂直引出电场。</w:t>
      </w:r>
    </w:p>
    <w:p>
      <w:pPr>
        <w:pStyle w:val="4"/>
        <w:ind w:firstLine="480"/>
      </w:pPr>
      <w:r>
        <w:t>2.7 样品</w:t>
      </w:r>
    </w:p>
    <w:p>
      <w:pPr>
        <w:pStyle w:val="5"/>
        <w:ind w:firstLine="480"/>
      </w:pPr>
      <w:r>
        <w:t>2.7.1 通用要求</w:t>
      </w:r>
    </w:p>
    <w:p>
      <w:pPr>
        <w:ind w:firstLine="480"/>
      </w:pPr>
      <w:r>
        <w:t>样品的分析面应平坦光滑（粗糙度Ra≤2 nm）。典型样品的尺寸要求边长为6 mm～10 mm的近似正方形（至少一边不小于6 mm，两边长均不大于10 mm），总厚度范围为0.5 mm～2.0 mm。具体根据样品架尺寸要求确定样品尺寸。</w:t>
      </w:r>
    </w:p>
    <w:p>
      <w:pPr>
        <w:ind w:firstLine="480"/>
      </w:pPr>
      <w:r>
        <w:t>由于氮化铝样品导电性差，测试时容易产生电荷积累导致样品电压发生畸变。通常建议对样品正反面蒸镀金/铂等以增加其导电性，正面的导电层厚度建议10 nm～20 nm。</w:t>
      </w:r>
    </w:p>
    <w:p>
      <w:pPr>
        <w:pStyle w:val="5"/>
        <w:ind w:firstLine="480"/>
      </w:pPr>
      <w:r>
        <w:t>2.7.2 标准样品</w:t>
      </w:r>
    </w:p>
    <w:p>
      <w:pPr>
        <w:ind w:firstLine="480"/>
      </w:pPr>
      <w:r>
        <w:t>通过离子注入在厚度大于1μm的氮化铝单晶中分别注入</w:t>
      </w:r>
      <w:r>
        <w:rPr>
          <w:vertAlign w:val="superscript"/>
        </w:rPr>
        <w:t>69</w:t>
      </w:r>
      <w:r>
        <w:t>Ga或</w:t>
      </w:r>
      <w:r>
        <w:rPr>
          <w:vertAlign w:val="superscript"/>
        </w:rPr>
        <w:t>24</w:t>
      </w:r>
      <w:r>
        <w:t>Mg离子，分布不均匀性不大于5%，镁、镓元素最大浓度低于基体元素浓度的1%。</w:t>
      </w:r>
    </w:p>
    <w:p>
      <w:pPr>
        <w:pStyle w:val="5"/>
        <w:ind w:firstLine="480"/>
      </w:pPr>
      <w:r>
        <w:t>2.7.3 待测样品</w:t>
      </w:r>
    </w:p>
    <w:p>
      <w:pPr>
        <w:ind w:firstLine="480"/>
      </w:pPr>
      <w:r>
        <w:t>满足2.7.1要求。</w:t>
      </w:r>
    </w:p>
    <w:p>
      <w:pPr>
        <w:pStyle w:val="4"/>
        <w:ind w:firstLine="480"/>
      </w:pPr>
      <w:r>
        <w:t>2.8 试验步骤</w:t>
      </w:r>
    </w:p>
    <w:p>
      <w:pPr>
        <w:pStyle w:val="5"/>
        <w:ind w:firstLine="480"/>
      </w:pPr>
      <w:r>
        <w:t>2.8.1 样品装载</w:t>
      </w:r>
    </w:p>
    <w:p>
      <w:pPr>
        <w:ind w:firstLine="480"/>
      </w:pPr>
      <w:r>
        <w:t>将样品（待测样品与标准样品）放入样品架，操作过程中应避免样品污染，并检查确认样品是否平坦地放在窗口背面，并多覆盖窗口。一次装入的样品包括：一个标准样品，一个或多个待测样品。</w:t>
      </w:r>
    </w:p>
    <w:p>
      <w:pPr>
        <w:ind w:firstLine="480"/>
      </w:pPr>
      <w:r>
        <w:t>将装有样品的样品架提前送入SIMS仪器的储存室，等储存室真空恢复到10</w:t>
      </w:r>
      <w:r>
        <w:rPr>
          <w:vertAlign w:val="superscript"/>
        </w:rPr>
        <w:t>-5</w:t>
      </w:r>
      <w:r>
        <w:t xml:space="preserve"> Pa。</w:t>
      </w:r>
    </w:p>
    <w:p>
      <w:pPr>
        <w:ind w:firstLine="480"/>
      </w:pPr>
      <w:r>
        <w:t>将样品架传送到分析腔，等待恢复分析腔的真空度至10</w:t>
      </w:r>
      <w:r>
        <w:rPr>
          <w:vertAlign w:val="superscript"/>
        </w:rPr>
        <w:t>-7</w:t>
      </w:r>
      <w:r>
        <w:t xml:space="preserve"> Pa。</w:t>
      </w:r>
    </w:p>
    <w:p>
      <w:pPr>
        <w:pStyle w:val="5"/>
        <w:ind w:firstLine="480"/>
        <w:rPr>
          <w:vertAlign w:val="superscript"/>
        </w:rPr>
      </w:pPr>
      <w:r>
        <w:t>2.8.2 仪器调试</w:t>
      </w:r>
    </w:p>
    <w:p>
      <w:pPr>
        <w:ind w:firstLine="480"/>
      </w:pPr>
      <w:r>
        <w:t>开启仪器并设定所需的仪器参数。</w:t>
      </w:r>
    </w:p>
    <w:p>
      <w:pPr>
        <w:ind w:firstLine="480"/>
      </w:pPr>
      <w:r>
        <w:t>确保一次离子束流和质谱仪的稳定性。</w:t>
      </w:r>
    </w:p>
    <w:p>
      <w:pPr>
        <w:ind w:firstLine="480"/>
      </w:pPr>
      <w:r>
        <w:t>质谱仪的传输效率是可以调整改变的，在分析标准样品和待测样品时，应使用相同的传输效率。</w:t>
      </w:r>
    </w:p>
    <w:p>
      <w:pPr>
        <w:pStyle w:val="5"/>
        <w:ind w:firstLine="480"/>
      </w:pPr>
      <w:r>
        <w:t>2.8.3 样品检测</w:t>
      </w:r>
    </w:p>
    <w:p>
      <w:pPr>
        <w:ind w:firstLine="480"/>
      </w:pPr>
      <w:r>
        <w:t>移动样品架，对中测试样品在靠近窗口中央的地方进行溅射，对中一次离子束，选择合适的狭缝宽度来提升仪器质量分辨能力，进行质量校准。</w:t>
      </w:r>
    </w:p>
    <w:p>
      <w:pPr>
        <w:ind w:firstLine="480"/>
      </w:pPr>
      <w:r>
        <w:t>选择合适的一次离子束束流和扫描面积，通过调整光阑来调整二次离子分析面积，要求扫描面积应大于分析面积的3倍以上。</w:t>
      </w:r>
    </w:p>
    <w:p>
      <w:pPr>
        <w:ind w:firstLine="480"/>
      </w:pPr>
      <w:r>
        <w:t>打开电子枪，并根据二次离子计数率进行调试至最佳补偿条件。</w:t>
      </w:r>
    </w:p>
    <w:p>
      <w:pPr>
        <w:ind w:firstLine="480"/>
      </w:pPr>
      <w:r>
        <w:t>运行SIMS仪器，进行样品剖析，采集杂质元素</w:t>
      </w:r>
      <w:r>
        <w:rPr>
          <w:vertAlign w:val="superscript"/>
        </w:rPr>
        <w:t>24</w:t>
      </w:r>
      <w:r>
        <w:t>Mg、</w:t>
      </w:r>
      <w:r>
        <w:rPr>
          <w:vertAlign w:val="superscript"/>
        </w:rPr>
        <w:t>69</w:t>
      </w:r>
      <w:r>
        <w:t>Ga和基质主元素</w:t>
      </w:r>
      <w:r>
        <w:rPr>
          <w:vertAlign w:val="superscript"/>
        </w:rPr>
        <w:t>27</w:t>
      </w:r>
      <w:r>
        <w:t>Al的二次离子，得到杂质二次离子相对强度-溅射时间曲线。对于离子注入样品，测到仪器检出限后20个周期以上为止；对于均匀掺杂样品，测试到指定深度。</w:t>
      </w:r>
    </w:p>
    <w:p>
      <w:pPr>
        <w:ind w:firstLine="480"/>
      </w:pPr>
      <w:r>
        <w:t>用与测试标准样品同样的条件测试待测样品。</w:t>
      </w:r>
    </w:p>
    <w:p>
      <w:pPr>
        <w:ind w:firstLine="480"/>
      </w:pPr>
      <w:r>
        <w:t>采用相对灵敏度因子法进行二次离子质谱定量分析。通过相对灵敏度因子计算公式与测试数据，计算出待测氮化铝中镁、镓元素的浓度。</w:t>
      </w:r>
    </w:p>
    <w:p>
      <w:pPr>
        <w:pStyle w:val="4"/>
        <w:ind w:firstLine="480"/>
        <w:rPr>
          <w:bCs/>
        </w:rPr>
      </w:pPr>
      <w:r>
        <w:rPr>
          <w:bCs/>
        </w:rPr>
        <w:t>2.9 试验数据处理</w:t>
      </w:r>
    </w:p>
    <w:p>
      <w:pPr>
        <w:ind w:firstLine="480"/>
      </w:pPr>
      <w:r>
        <w:t>为避免样品表面污染对实验结果造成的影响，建议去掉测试数据中前几个nm的异常信号。</w:t>
      </w:r>
    </w:p>
    <w:p>
      <w:pPr>
        <w:ind w:firstLine="480"/>
        <w:rPr>
          <w:kern w:val="0"/>
        </w:rPr>
      </w:pPr>
      <w:r>
        <w:t>一般采用相对灵敏度因子法进行二次离子质谱定量分析。当待测样品和标准样品的主要基质成分相同的前提下，各种低含量元素的浓度在ppb到1%范围内变化不会影响相对灵敏度因子的恒定性。通过相对灵敏度因子计算公式与测试数据，计算出待测氮化铝中镁、镓元素的注入剂量或者浓度。</w:t>
      </w:r>
    </w:p>
    <w:p>
      <w:pPr>
        <w:pStyle w:val="4"/>
        <w:ind w:firstLine="480"/>
      </w:pPr>
      <w:r>
        <w:t>2.10 精密度的计算</w:t>
      </w:r>
    </w:p>
    <w:p>
      <w:pPr>
        <w:ind w:firstLine="480"/>
      </w:pPr>
      <w:r>
        <w:t>由于二次离子质谱检测为破坏性试验，分析区域会产生溅射坑，因此对同一样品（不均匀性≤5%）的10个比较接近的区域分别进行镁、镓的元素检测，进而得出精密度。</w:t>
      </w:r>
    </w:p>
    <w:p>
      <w:pPr>
        <w:ind w:firstLine="480"/>
      </w:pPr>
      <w:r>
        <w:t>从两组验证结果中得出本方法的重复性（相对标准偏差）小于10%，具体见“三、主要试验和验证的分析、综述”。</w:t>
      </w:r>
    </w:p>
    <w:p>
      <w:pPr>
        <w:ind w:firstLine="480"/>
      </w:pPr>
      <w:r>
        <w:t>该方法单一实验室镓、镁的测量相对标准偏差(RSD)均小于10%。</w:t>
      </w:r>
    </w:p>
    <w:p>
      <w:pPr>
        <w:pStyle w:val="2"/>
      </w:pPr>
      <w:r>
        <w:t xml:space="preserve">三、主要试验和验证的分析、综述 </w:t>
      </w:r>
    </w:p>
    <w:p>
      <w:pPr>
        <w:pStyle w:val="3"/>
      </w:pPr>
      <w:r>
        <w:t>3.1同一实验室同一型号的二次离子质谱仪对氮化铝中镁和镓注入剂量的测试</w:t>
      </w:r>
    </w:p>
    <w:p>
      <w:pPr>
        <w:widowControl/>
        <w:tabs>
          <w:tab w:val="center" w:pos="4201"/>
          <w:tab w:val="right" w:leader="dot" w:pos="9298"/>
        </w:tabs>
        <w:autoSpaceDE w:val="0"/>
        <w:autoSpaceDN w:val="0"/>
        <w:ind w:firstLine="480"/>
        <w:rPr>
          <w:kern w:val="0"/>
        </w:rPr>
      </w:pPr>
      <w:r>
        <w:rPr>
          <w:kern w:val="0"/>
        </w:rPr>
        <w:t>采用标准中描述的方法对分别注入不同剂量的镓和镁的待测样品进行实验，仪器为动态二次离子质谱仪（D-SIMS）：Cameca IMS-7F AUTO型二次离子质谱仪；实验条件相同：一次离子束采用O</w:t>
      </w:r>
      <w:r>
        <w:rPr>
          <w:kern w:val="0"/>
          <w:vertAlign w:val="subscript"/>
        </w:rPr>
        <w:t>2</w:t>
      </w:r>
      <w:r>
        <w:rPr>
          <w:kern w:val="0"/>
          <w:vertAlign w:val="superscript"/>
        </w:rPr>
        <w:t>+</w:t>
      </w:r>
      <w:r>
        <w:rPr>
          <w:kern w:val="0"/>
        </w:rPr>
        <w:t>，轰击能量为1</w:t>
      </w:r>
      <w:r>
        <w:rPr>
          <w:kern w:val="0"/>
          <w:u w:val="double"/>
        </w:rPr>
        <w:t xml:space="preserve">0 </w:t>
      </w:r>
      <w:r>
        <w:rPr>
          <w:kern w:val="0"/>
        </w:rPr>
        <w:t>keV，一次束扫描面积为100 μm×100 μm，分析区域直径为33 μm，分别采集</w:t>
      </w:r>
      <w:r>
        <w:rPr>
          <w:kern w:val="0"/>
          <w:vertAlign w:val="superscript"/>
        </w:rPr>
        <w:t>69</w:t>
      </w:r>
      <w:r>
        <w:rPr>
          <w:kern w:val="0"/>
        </w:rPr>
        <w:t>Ga、</w:t>
      </w:r>
      <w:r>
        <w:rPr>
          <w:kern w:val="0"/>
          <w:vertAlign w:val="superscript"/>
        </w:rPr>
        <w:t>24</w:t>
      </w:r>
      <w:r>
        <w:rPr>
          <w:kern w:val="0"/>
        </w:rPr>
        <w:t>Mg以及</w:t>
      </w:r>
      <w:r>
        <w:rPr>
          <w:kern w:val="0"/>
          <w:vertAlign w:val="superscript"/>
        </w:rPr>
        <w:t>27</w:t>
      </w:r>
      <w:r>
        <w:rPr>
          <w:kern w:val="0"/>
        </w:rPr>
        <w:t>Al。用相同的条件对标准样品和待测样品进行测试，根据标准样品测试结果，按照标准中的公式计算待测样品中镁、镓元素的注入剂量，结果见表1。</w:t>
      </w:r>
    </w:p>
    <w:p>
      <w:pPr>
        <w:ind w:firstLine="480"/>
        <w:jc w:val="center"/>
        <w:rPr>
          <w:kern w:val="0"/>
        </w:rPr>
      </w:pPr>
      <w:r>
        <w:rPr>
          <w:kern w:val="0"/>
        </w:rPr>
        <w:t xml:space="preserve">表1 </w:t>
      </w:r>
      <w:r>
        <w:t>氮化铝（AlN）</w:t>
      </w:r>
      <w:r>
        <w:rPr>
          <w:kern w:val="0"/>
        </w:rPr>
        <w:t>样品镁和镓注入剂量测量结果</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4"/>
        <w:gridCol w:w="3016"/>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31" w:type="pct"/>
            <w:vMerge w:val="restart"/>
            <w:vAlign w:val="center"/>
          </w:tcPr>
          <w:p>
            <w:pPr>
              <w:ind w:firstLine="0" w:firstLineChars="0"/>
              <w:jc w:val="center"/>
            </w:pPr>
            <w:r>
              <w:t>测试区域</w:t>
            </w:r>
          </w:p>
        </w:tc>
        <w:tc>
          <w:tcPr>
            <w:tcW w:w="3169" w:type="pct"/>
            <w:gridSpan w:val="2"/>
            <w:vAlign w:val="center"/>
          </w:tcPr>
          <w:p>
            <w:pPr>
              <w:ind w:firstLine="0" w:firstLineChars="0"/>
              <w:jc w:val="center"/>
            </w:pPr>
            <w:r>
              <w:t>注入剂量测试结果（atoms/cm</w:t>
            </w:r>
            <w:r>
              <w:rPr>
                <w:vertAlign w:val="superscript"/>
              </w:rPr>
              <w:t>2</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31" w:type="pct"/>
            <w:vMerge w:val="continue"/>
            <w:vAlign w:val="center"/>
          </w:tcPr>
          <w:p>
            <w:pPr>
              <w:ind w:firstLine="0" w:firstLineChars="0"/>
              <w:jc w:val="center"/>
            </w:pPr>
          </w:p>
        </w:tc>
        <w:tc>
          <w:tcPr>
            <w:tcW w:w="3016" w:type="dxa"/>
            <w:vAlign w:val="center"/>
          </w:tcPr>
          <w:p>
            <w:pPr>
              <w:widowControl/>
              <w:ind w:firstLine="0" w:firstLineChars="0"/>
              <w:jc w:val="center"/>
              <w:textAlignment w:val="center"/>
            </w:pPr>
            <w:r>
              <w:rPr>
                <w:color w:val="000000"/>
                <w:kern w:val="0"/>
                <w:lang w:bidi="ar"/>
              </w:rPr>
              <w:t>AlN:Mg</w:t>
            </w:r>
          </w:p>
        </w:tc>
        <w:tc>
          <w:tcPr>
            <w:tcW w:w="3014" w:type="dxa"/>
            <w:vAlign w:val="center"/>
          </w:tcPr>
          <w:p>
            <w:pPr>
              <w:widowControl/>
              <w:ind w:firstLine="0" w:firstLineChars="0"/>
              <w:jc w:val="center"/>
              <w:textAlignment w:val="center"/>
            </w:pPr>
            <w:r>
              <w:rPr>
                <w:color w:val="000000"/>
                <w:kern w:val="0"/>
                <w:lang w:bidi="ar"/>
              </w:rPr>
              <w:t>AlN:Ga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pct"/>
            <w:vAlign w:val="center"/>
          </w:tcPr>
          <w:p>
            <w:pPr>
              <w:ind w:firstLine="0" w:firstLineChars="0"/>
              <w:jc w:val="center"/>
            </w:pPr>
            <w:r>
              <w:t>1</w:t>
            </w:r>
          </w:p>
        </w:tc>
        <w:tc>
          <w:tcPr>
            <w:tcW w:w="1585" w:type="pct"/>
            <w:vAlign w:val="center"/>
          </w:tcPr>
          <w:p>
            <w:pPr>
              <w:ind w:firstLine="0" w:firstLineChars="0"/>
              <w:jc w:val="center"/>
            </w:pPr>
            <w:r>
              <w:t>2.3×10</w:t>
            </w:r>
            <w:r>
              <w:rPr>
                <w:vertAlign w:val="superscript"/>
              </w:rPr>
              <w:t>15</w:t>
            </w:r>
          </w:p>
        </w:tc>
        <w:tc>
          <w:tcPr>
            <w:tcW w:w="3014" w:type="dxa"/>
            <w:vAlign w:val="center"/>
          </w:tcPr>
          <w:p>
            <w:pPr>
              <w:ind w:firstLine="0" w:firstLineChars="0"/>
              <w:jc w:val="center"/>
            </w:pPr>
            <w:r>
              <w:t>5.0×10</w:t>
            </w:r>
            <w:r>
              <w:rPr>
                <w:vertAlign w:val="superscript"/>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pct"/>
            <w:vAlign w:val="center"/>
          </w:tcPr>
          <w:p>
            <w:pPr>
              <w:ind w:firstLine="0" w:firstLineChars="0"/>
              <w:jc w:val="center"/>
            </w:pPr>
            <w:r>
              <w:t>2</w:t>
            </w:r>
          </w:p>
        </w:tc>
        <w:tc>
          <w:tcPr>
            <w:tcW w:w="1585" w:type="pct"/>
            <w:vAlign w:val="center"/>
          </w:tcPr>
          <w:p>
            <w:pPr>
              <w:ind w:firstLine="0" w:firstLineChars="0"/>
              <w:jc w:val="center"/>
            </w:pPr>
            <w:r>
              <w:t>2.4×10</w:t>
            </w:r>
            <w:r>
              <w:rPr>
                <w:vertAlign w:val="superscript"/>
              </w:rPr>
              <w:t>15</w:t>
            </w:r>
          </w:p>
        </w:tc>
        <w:tc>
          <w:tcPr>
            <w:tcW w:w="3014" w:type="dxa"/>
            <w:vAlign w:val="center"/>
          </w:tcPr>
          <w:p>
            <w:pPr>
              <w:ind w:firstLine="0" w:firstLineChars="0"/>
              <w:jc w:val="center"/>
            </w:pPr>
            <w:r>
              <w:t>5.2×10</w:t>
            </w:r>
            <w:r>
              <w:rPr>
                <w:vertAlign w:val="superscript"/>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pct"/>
            <w:vAlign w:val="center"/>
          </w:tcPr>
          <w:p>
            <w:pPr>
              <w:ind w:firstLine="0" w:firstLineChars="0"/>
              <w:jc w:val="center"/>
            </w:pPr>
            <w:r>
              <w:t>3</w:t>
            </w:r>
          </w:p>
        </w:tc>
        <w:tc>
          <w:tcPr>
            <w:tcW w:w="1585" w:type="pct"/>
            <w:vAlign w:val="center"/>
          </w:tcPr>
          <w:p>
            <w:pPr>
              <w:ind w:firstLine="0" w:firstLineChars="0"/>
              <w:jc w:val="center"/>
            </w:pPr>
            <w:r>
              <w:t>2.2×10</w:t>
            </w:r>
            <w:r>
              <w:rPr>
                <w:vertAlign w:val="superscript"/>
              </w:rPr>
              <w:t>15</w:t>
            </w:r>
          </w:p>
        </w:tc>
        <w:tc>
          <w:tcPr>
            <w:tcW w:w="3014" w:type="dxa"/>
            <w:vAlign w:val="center"/>
          </w:tcPr>
          <w:p>
            <w:pPr>
              <w:ind w:firstLine="0" w:firstLineChars="0"/>
              <w:jc w:val="center"/>
            </w:pPr>
            <w:r>
              <w:t>5.1×10</w:t>
            </w:r>
            <w:r>
              <w:rPr>
                <w:vertAlign w:val="superscript"/>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pct"/>
            <w:vAlign w:val="center"/>
          </w:tcPr>
          <w:p>
            <w:pPr>
              <w:ind w:firstLine="0" w:firstLineChars="0"/>
              <w:jc w:val="center"/>
            </w:pPr>
            <w:r>
              <w:t>4</w:t>
            </w:r>
          </w:p>
        </w:tc>
        <w:tc>
          <w:tcPr>
            <w:tcW w:w="1585" w:type="pct"/>
            <w:vAlign w:val="center"/>
          </w:tcPr>
          <w:p>
            <w:pPr>
              <w:ind w:firstLine="0" w:firstLineChars="0"/>
              <w:jc w:val="center"/>
            </w:pPr>
            <w:r>
              <w:t>2.3×10</w:t>
            </w:r>
            <w:r>
              <w:rPr>
                <w:vertAlign w:val="superscript"/>
              </w:rPr>
              <w:t>15</w:t>
            </w:r>
          </w:p>
        </w:tc>
        <w:tc>
          <w:tcPr>
            <w:tcW w:w="3014" w:type="dxa"/>
            <w:vAlign w:val="center"/>
          </w:tcPr>
          <w:p>
            <w:pPr>
              <w:ind w:firstLine="0" w:firstLineChars="0"/>
              <w:jc w:val="center"/>
            </w:pPr>
            <w:r>
              <w:t>5.3×10</w:t>
            </w:r>
            <w:r>
              <w:rPr>
                <w:vertAlign w:val="superscript"/>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pct"/>
            <w:vAlign w:val="center"/>
          </w:tcPr>
          <w:p>
            <w:pPr>
              <w:ind w:firstLine="0" w:firstLineChars="0"/>
              <w:jc w:val="center"/>
            </w:pPr>
            <w:r>
              <w:t>5</w:t>
            </w:r>
          </w:p>
        </w:tc>
        <w:tc>
          <w:tcPr>
            <w:tcW w:w="1585" w:type="pct"/>
            <w:vAlign w:val="center"/>
          </w:tcPr>
          <w:p>
            <w:pPr>
              <w:ind w:firstLine="0" w:firstLineChars="0"/>
              <w:jc w:val="center"/>
            </w:pPr>
            <w:r>
              <w:t>2.0×10</w:t>
            </w:r>
            <w:r>
              <w:rPr>
                <w:vertAlign w:val="superscript"/>
              </w:rPr>
              <w:t>15</w:t>
            </w:r>
          </w:p>
        </w:tc>
        <w:tc>
          <w:tcPr>
            <w:tcW w:w="3014" w:type="dxa"/>
            <w:vAlign w:val="center"/>
          </w:tcPr>
          <w:p>
            <w:pPr>
              <w:ind w:firstLine="0" w:firstLineChars="0"/>
              <w:jc w:val="center"/>
            </w:pPr>
            <w:r>
              <w:t>5.7×10</w:t>
            </w:r>
            <w:r>
              <w:rPr>
                <w:vertAlign w:val="superscript"/>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pct"/>
            <w:vAlign w:val="center"/>
          </w:tcPr>
          <w:p>
            <w:pPr>
              <w:ind w:firstLine="0" w:firstLineChars="0"/>
              <w:jc w:val="center"/>
            </w:pPr>
            <w:r>
              <w:t>6</w:t>
            </w:r>
          </w:p>
        </w:tc>
        <w:tc>
          <w:tcPr>
            <w:tcW w:w="1585" w:type="pct"/>
            <w:vAlign w:val="center"/>
          </w:tcPr>
          <w:p>
            <w:pPr>
              <w:ind w:firstLine="0" w:firstLineChars="0"/>
              <w:jc w:val="center"/>
            </w:pPr>
            <w:r>
              <w:t>2.1×10</w:t>
            </w:r>
            <w:r>
              <w:rPr>
                <w:vertAlign w:val="superscript"/>
              </w:rPr>
              <w:t>15</w:t>
            </w:r>
          </w:p>
        </w:tc>
        <w:tc>
          <w:tcPr>
            <w:tcW w:w="3014" w:type="dxa"/>
            <w:vAlign w:val="center"/>
          </w:tcPr>
          <w:p>
            <w:pPr>
              <w:ind w:firstLine="0" w:firstLineChars="0"/>
              <w:jc w:val="center"/>
            </w:pPr>
            <w:r>
              <w:t>5.3×10</w:t>
            </w:r>
            <w:r>
              <w:rPr>
                <w:vertAlign w:val="superscript"/>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pct"/>
            <w:vAlign w:val="center"/>
          </w:tcPr>
          <w:p>
            <w:pPr>
              <w:ind w:firstLine="0" w:firstLineChars="0"/>
              <w:jc w:val="center"/>
            </w:pPr>
            <w:r>
              <w:t>7</w:t>
            </w:r>
          </w:p>
        </w:tc>
        <w:tc>
          <w:tcPr>
            <w:tcW w:w="1585" w:type="pct"/>
            <w:vAlign w:val="center"/>
          </w:tcPr>
          <w:p>
            <w:pPr>
              <w:ind w:firstLine="0" w:firstLineChars="0"/>
              <w:jc w:val="center"/>
            </w:pPr>
            <w:r>
              <w:t>2.2×10</w:t>
            </w:r>
            <w:r>
              <w:rPr>
                <w:vertAlign w:val="superscript"/>
              </w:rPr>
              <w:t>15</w:t>
            </w:r>
          </w:p>
        </w:tc>
        <w:tc>
          <w:tcPr>
            <w:tcW w:w="3014" w:type="dxa"/>
            <w:vAlign w:val="center"/>
          </w:tcPr>
          <w:p>
            <w:pPr>
              <w:ind w:firstLine="0" w:firstLineChars="0"/>
              <w:jc w:val="center"/>
            </w:pPr>
            <w:r>
              <w:t>5.1×10</w:t>
            </w:r>
            <w:r>
              <w:rPr>
                <w:vertAlign w:val="superscript"/>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pct"/>
            <w:vAlign w:val="center"/>
          </w:tcPr>
          <w:p>
            <w:pPr>
              <w:ind w:firstLine="0" w:firstLineChars="0"/>
              <w:jc w:val="center"/>
            </w:pPr>
            <w:r>
              <w:t>8</w:t>
            </w:r>
          </w:p>
        </w:tc>
        <w:tc>
          <w:tcPr>
            <w:tcW w:w="1585" w:type="pct"/>
            <w:vAlign w:val="center"/>
          </w:tcPr>
          <w:p>
            <w:pPr>
              <w:ind w:firstLine="0" w:firstLineChars="0"/>
              <w:jc w:val="center"/>
            </w:pPr>
            <w:r>
              <w:t>2.4×10</w:t>
            </w:r>
            <w:r>
              <w:rPr>
                <w:vertAlign w:val="superscript"/>
              </w:rPr>
              <w:t>15</w:t>
            </w:r>
          </w:p>
        </w:tc>
        <w:tc>
          <w:tcPr>
            <w:tcW w:w="3014" w:type="dxa"/>
            <w:vAlign w:val="center"/>
          </w:tcPr>
          <w:p>
            <w:pPr>
              <w:ind w:firstLine="0" w:firstLineChars="0"/>
              <w:jc w:val="center"/>
            </w:pPr>
            <w:r>
              <w:t>5.6×10</w:t>
            </w:r>
            <w:r>
              <w:rPr>
                <w:vertAlign w:val="superscript"/>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pct"/>
            <w:vAlign w:val="center"/>
          </w:tcPr>
          <w:p>
            <w:pPr>
              <w:ind w:firstLine="0" w:firstLineChars="0"/>
              <w:jc w:val="center"/>
            </w:pPr>
            <w:r>
              <w:t>9</w:t>
            </w:r>
          </w:p>
        </w:tc>
        <w:tc>
          <w:tcPr>
            <w:tcW w:w="1585" w:type="pct"/>
            <w:vAlign w:val="center"/>
          </w:tcPr>
          <w:p>
            <w:pPr>
              <w:ind w:firstLine="0" w:firstLineChars="0"/>
              <w:jc w:val="center"/>
            </w:pPr>
            <w:r>
              <w:t>2.0×10</w:t>
            </w:r>
            <w:r>
              <w:rPr>
                <w:vertAlign w:val="superscript"/>
              </w:rPr>
              <w:t>15</w:t>
            </w:r>
          </w:p>
        </w:tc>
        <w:tc>
          <w:tcPr>
            <w:tcW w:w="3014" w:type="dxa"/>
            <w:vAlign w:val="center"/>
          </w:tcPr>
          <w:p>
            <w:pPr>
              <w:ind w:firstLine="0" w:firstLineChars="0"/>
              <w:jc w:val="center"/>
            </w:pPr>
            <w:r>
              <w:t>4.9×10</w:t>
            </w:r>
            <w:r>
              <w:rPr>
                <w:vertAlign w:val="superscript"/>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pct"/>
            <w:vAlign w:val="center"/>
          </w:tcPr>
          <w:p>
            <w:pPr>
              <w:ind w:firstLine="0" w:firstLineChars="0"/>
              <w:jc w:val="center"/>
            </w:pPr>
            <w:r>
              <w:t>10</w:t>
            </w:r>
          </w:p>
        </w:tc>
        <w:tc>
          <w:tcPr>
            <w:tcW w:w="1585" w:type="pct"/>
            <w:vAlign w:val="center"/>
          </w:tcPr>
          <w:p>
            <w:pPr>
              <w:ind w:firstLine="0" w:firstLineChars="0"/>
              <w:jc w:val="center"/>
            </w:pPr>
            <w:r>
              <w:t>2.3×10</w:t>
            </w:r>
            <w:r>
              <w:rPr>
                <w:vertAlign w:val="superscript"/>
              </w:rPr>
              <w:t>15</w:t>
            </w:r>
          </w:p>
        </w:tc>
        <w:tc>
          <w:tcPr>
            <w:tcW w:w="3014" w:type="dxa"/>
            <w:vAlign w:val="center"/>
          </w:tcPr>
          <w:p>
            <w:pPr>
              <w:ind w:firstLine="0" w:firstLineChars="0"/>
              <w:jc w:val="center"/>
            </w:pPr>
            <w:r>
              <w:t>5.2×10</w:t>
            </w:r>
            <w:r>
              <w:rPr>
                <w:vertAlign w:val="superscript"/>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pct"/>
            <w:vAlign w:val="center"/>
          </w:tcPr>
          <w:p>
            <w:pPr>
              <w:ind w:firstLine="0" w:firstLineChars="0"/>
              <w:jc w:val="center"/>
            </w:pPr>
            <w:r>
              <w:t>平均值</w:t>
            </w:r>
          </w:p>
        </w:tc>
        <w:tc>
          <w:tcPr>
            <w:tcW w:w="1585" w:type="pct"/>
            <w:vAlign w:val="center"/>
          </w:tcPr>
          <w:p>
            <w:pPr>
              <w:ind w:firstLine="0" w:firstLineChars="0"/>
              <w:jc w:val="center"/>
            </w:pPr>
            <w:r>
              <w:t>2.2×10</w:t>
            </w:r>
            <w:r>
              <w:rPr>
                <w:vertAlign w:val="superscript"/>
              </w:rPr>
              <w:t>15</w:t>
            </w:r>
          </w:p>
        </w:tc>
        <w:tc>
          <w:tcPr>
            <w:tcW w:w="3014" w:type="dxa"/>
            <w:vAlign w:val="center"/>
          </w:tcPr>
          <w:p>
            <w:pPr>
              <w:ind w:firstLine="0" w:firstLineChars="0"/>
              <w:jc w:val="center"/>
            </w:pPr>
            <w:r>
              <w:t>5.2×10</w:t>
            </w:r>
            <w:r>
              <w:rPr>
                <w:vertAlign w:val="superscript"/>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pct"/>
            <w:vAlign w:val="center"/>
          </w:tcPr>
          <w:p>
            <w:pPr>
              <w:ind w:firstLine="0" w:firstLineChars="0"/>
              <w:jc w:val="center"/>
            </w:pPr>
            <w:r>
              <w:t>相对标准偏差(%)</w:t>
            </w:r>
          </w:p>
        </w:tc>
        <w:tc>
          <w:tcPr>
            <w:tcW w:w="1585" w:type="pct"/>
            <w:vAlign w:val="center"/>
          </w:tcPr>
          <w:p>
            <w:pPr>
              <w:ind w:firstLine="0" w:firstLineChars="0"/>
              <w:jc w:val="center"/>
            </w:pPr>
            <w:r>
              <w:t>6.6</w:t>
            </w:r>
          </w:p>
        </w:tc>
        <w:tc>
          <w:tcPr>
            <w:tcW w:w="1585" w:type="pct"/>
            <w:vAlign w:val="center"/>
          </w:tcPr>
          <w:p>
            <w:pPr>
              <w:ind w:firstLine="0" w:firstLineChars="0"/>
              <w:jc w:val="center"/>
            </w:pPr>
            <w:r>
              <w:t>4.8</w:t>
            </w:r>
          </w:p>
        </w:tc>
      </w:tr>
    </w:tbl>
    <w:p>
      <w:pPr>
        <w:pStyle w:val="3"/>
        <w:rPr>
          <w:kern w:val="0"/>
        </w:rPr>
      </w:pPr>
      <w:r>
        <w:rPr>
          <w:kern w:val="0"/>
        </w:rPr>
        <w:t>3.2 不同实验室不同型号二次离子质谱仪对同一样品注入剂量的比对</w:t>
      </w:r>
    </w:p>
    <w:p>
      <w:pPr>
        <w:ind w:firstLine="480"/>
      </w:pPr>
      <w:r>
        <w:t>不同实验室不同型号的二次离子质谱仪，用标准中描述的方法对分别注入镁和镓的氮化铝样品中镁和镓的注入剂量进行测试。实验分别在美国埃文斯材料公司（EAG）、闳康科技股份有限公司和中国科学院半导体研究所完成。</w:t>
      </w:r>
    </w:p>
    <w:p>
      <w:pPr>
        <w:ind w:firstLine="480"/>
      </w:pPr>
      <w:r>
        <w:t>表2 不同实验室不同型号二次离子质谱仪对同一AlN样品中Mg注入剂量的比较</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1149"/>
        <w:gridCol w:w="1233"/>
        <w:gridCol w:w="1376"/>
        <w:gridCol w:w="1960"/>
        <w:gridCol w:w="1174"/>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pct"/>
            <w:gridSpan w:val="2"/>
            <w:vAlign w:val="center"/>
          </w:tcPr>
          <w:p>
            <w:pPr>
              <w:pStyle w:val="15"/>
              <w:rPr>
                <w:rFonts w:hint="default" w:ascii="Calibri" w:hAnsi="Calibri"/>
              </w:rPr>
            </w:pPr>
          </w:p>
        </w:tc>
        <w:tc>
          <w:tcPr>
            <w:tcW w:w="3018" w:type="pct"/>
            <w:gridSpan w:val="4"/>
            <w:vAlign w:val="center"/>
          </w:tcPr>
          <w:p>
            <w:pPr>
              <w:pStyle w:val="15"/>
              <w:rPr>
                <w:rFonts w:hint="default" w:ascii="Calibri" w:hAnsi="Calibri"/>
              </w:rPr>
            </w:pPr>
            <w:r>
              <w:rPr>
                <w:rFonts w:hint="default" w:ascii="Times New Roman" w:hAnsi="Times New Roman"/>
              </w:rPr>
              <w:t>不同实验室测试的注入剂量（atoms/cm</w:t>
            </w:r>
            <w:r>
              <w:rPr>
                <w:rFonts w:hint="default" w:ascii="Times New Roman" w:hAnsi="Times New Roman"/>
                <w:vertAlign w:val="superscript"/>
              </w:rPr>
              <w:t>2</w:t>
            </w:r>
            <w:r>
              <w:rPr>
                <w:rFonts w:hint="default" w:ascii="Times New Roman" w:hAnsi="Times New Roman"/>
              </w:rPr>
              <w:t>）</w:t>
            </w:r>
          </w:p>
        </w:tc>
        <w:tc>
          <w:tcPr>
            <w:tcW w:w="689" w:type="pct"/>
            <w:vMerge w:val="restart"/>
            <w:vAlign w:val="center"/>
          </w:tcPr>
          <w:p>
            <w:pPr>
              <w:pStyle w:val="15"/>
              <w:rPr>
                <w:rFonts w:hint="default" w:ascii="Calibri" w:hAnsi="Calibri"/>
              </w:rPr>
            </w:pPr>
            <w:r>
              <w:rPr>
                <w:rFonts w:hint="default" w:ascii="Times New Roman" w:hAnsi="Times New Roman"/>
              </w:rPr>
              <w:t>标准偏差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pct"/>
            <w:gridSpan w:val="2"/>
            <w:vAlign w:val="center"/>
          </w:tcPr>
          <w:p>
            <w:pPr>
              <w:pStyle w:val="15"/>
              <w:rPr>
                <w:rFonts w:hint="default" w:ascii="Times New Roman" w:hAnsi="Times New Roman"/>
              </w:rPr>
            </w:pPr>
            <w:r>
              <w:rPr>
                <w:rFonts w:hint="default" w:ascii="Times New Roman" w:hAnsi="Times New Roman"/>
              </w:rPr>
              <w:t>实验室</w:t>
            </w:r>
          </w:p>
        </w:tc>
        <w:tc>
          <w:tcPr>
            <w:tcW w:w="648" w:type="pct"/>
            <w:vAlign w:val="center"/>
          </w:tcPr>
          <w:p>
            <w:pPr>
              <w:pStyle w:val="15"/>
              <w:rPr>
                <w:rFonts w:hint="default" w:ascii="Times New Roman" w:hAnsi="Times New Roman"/>
              </w:rPr>
            </w:pPr>
            <w:r>
              <w:rPr>
                <w:rFonts w:hint="default" w:ascii="Times New Roman" w:hAnsi="Times New Roman"/>
              </w:rPr>
              <w:t>EAG</w:t>
            </w:r>
          </w:p>
        </w:tc>
        <w:tc>
          <w:tcPr>
            <w:tcW w:w="723" w:type="pct"/>
            <w:vAlign w:val="center"/>
          </w:tcPr>
          <w:p>
            <w:pPr>
              <w:pStyle w:val="15"/>
              <w:rPr>
                <w:rFonts w:hint="default" w:ascii="Times New Roman" w:hAnsi="Times New Roman"/>
              </w:rPr>
            </w:pPr>
            <w:r>
              <w:rPr>
                <w:rFonts w:hint="default" w:ascii="Times New Roman" w:hAnsi="Times New Roman"/>
              </w:rPr>
              <w:t>闳康</w:t>
            </w:r>
          </w:p>
        </w:tc>
        <w:tc>
          <w:tcPr>
            <w:tcW w:w="1030" w:type="pct"/>
            <w:vAlign w:val="center"/>
          </w:tcPr>
          <w:p>
            <w:pPr>
              <w:pStyle w:val="15"/>
              <w:rPr>
                <w:rFonts w:hint="default" w:ascii="Times New Roman" w:hAnsi="Times New Roman"/>
              </w:rPr>
            </w:pPr>
            <w:r>
              <w:rPr>
                <w:rFonts w:hint="default" w:ascii="Times New Roman" w:hAnsi="Times New Roman"/>
              </w:rPr>
              <w:t>半导体所</w:t>
            </w:r>
          </w:p>
        </w:tc>
        <w:tc>
          <w:tcPr>
            <w:tcW w:w="617" w:type="pct"/>
            <w:vMerge w:val="restart"/>
            <w:vAlign w:val="center"/>
          </w:tcPr>
          <w:p>
            <w:pPr>
              <w:pStyle w:val="15"/>
              <w:rPr>
                <w:rFonts w:hint="default" w:ascii="Times New Roman" w:hAnsi="Times New Roman"/>
              </w:rPr>
            </w:pPr>
            <w:r>
              <w:rPr>
                <w:rFonts w:hint="default" w:ascii="Times New Roman" w:hAnsi="Times New Roman"/>
              </w:rPr>
              <w:t>平均值</w:t>
            </w:r>
          </w:p>
        </w:tc>
        <w:tc>
          <w:tcPr>
            <w:tcW w:w="689" w:type="pct"/>
            <w:vMerge w:val="continue"/>
            <w:vAlign w:val="center"/>
          </w:tcPr>
          <w:p>
            <w:pPr>
              <w:pStyle w:val="15"/>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pct"/>
            <w:gridSpan w:val="2"/>
            <w:vAlign w:val="center"/>
          </w:tcPr>
          <w:p>
            <w:pPr>
              <w:pStyle w:val="15"/>
              <w:rPr>
                <w:rFonts w:hint="default" w:ascii="Calibri" w:hAnsi="Calibri"/>
              </w:rPr>
            </w:pPr>
            <w:r>
              <w:rPr>
                <w:rFonts w:ascii="Calibri" w:hAnsi="Calibri"/>
              </w:rPr>
              <w:t>仪器型号</w:t>
            </w:r>
          </w:p>
        </w:tc>
        <w:tc>
          <w:tcPr>
            <w:tcW w:w="648" w:type="pct"/>
            <w:vAlign w:val="center"/>
          </w:tcPr>
          <w:p>
            <w:pPr>
              <w:pStyle w:val="15"/>
              <w:rPr>
                <w:rFonts w:hint="default" w:ascii="Calibri" w:hAnsi="Calibri"/>
              </w:rPr>
            </w:pPr>
            <w:r>
              <w:rPr>
                <w:rFonts w:ascii="Calibri" w:hAnsi="Calibri"/>
              </w:rPr>
              <w:t>IONTOFV</w:t>
            </w:r>
          </w:p>
        </w:tc>
        <w:tc>
          <w:tcPr>
            <w:tcW w:w="723" w:type="pct"/>
            <w:vAlign w:val="center"/>
          </w:tcPr>
          <w:p>
            <w:pPr>
              <w:pStyle w:val="15"/>
              <w:rPr>
                <w:rFonts w:hint="default" w:ascii="Calibri" w:hAnsi="Calibri"/>
              </w:rPr>
            </w:pPr>
            <w:r>
              <w:rPr>
                <w:rFonts w:ascii="Calibri" w:hAnsi="Calibri"/>
              </w:rPr>
              <w:t>Cameca</w:t>
            </w:r>
            <w:r>
              <w:rPr>
                <w:rFonts w:hint="default" w:ascii="Calibri" w:hAnsi="Calibri"/>
              </w:rPr>
              <w:t xml:space="preserve"> 6</w:t>
            </w:r>
            <w:r>
              <w:rPr>
                <w:rFonts w:ascii="Calibri" w:hAnsi="Calibri"/>
              </w:rPr>
              <w:t>f</w:t>
            </w:r>
          </w:p>
        </w:tc>
        <w:tc>
          <w:tcPr>
            <w:tcW w:w="1030" w:type="pct"/>
            <w:vAlign w:val="center"/>
          </w:tcPr>
          <w:p>
            <w:pPr>
              <w:pStyle w:val="15"/>
              <w:rPr>
                <w:rFonts w:hint="default" w:ascii="Calibri" w:hAnsi="Calibri"/>
              </w:rPr>
            </w:pPr>
            <w:r>
              <w:rPr>
                <w:rFonts w:ascii="Calibri" w:hAnsi="Calibri"/>
              </w:rPr>
              <w:t>Cameca</w:t>
            </w:r>
            <w:r>
              <w:rPr>
                <w:rFonts w:hint="default" w:ascii="Calibri" w:hAnsi="Calibri"/>
              </w:rPr>
              <w:t xml:space="preserve"> 7</w:t>
            </w:r>
            <w:r>
              <w:rPr>
                <w:rFonts w:ascii="Calibri" w:hAnsi="Calibri"/>
              </w:rPr>
              <w:t>f</w:t>
            </w:r>
            <w:r>
              <w:rPr>
                <w:rFonts w:hint="default" w:ascii="Calibri" w:hAnsi="Calibri"/>
              </w:rPr>
              <w:t xml:space="preserve"> </w:t>
            </w:r>
            <w:r>
              <w:rPr>
                <w:rFonts w:ascii="Calibri" w:hAnsi="Calibri"/>
              </w:rPr>
              <w:t>Auto</w:t>
            </w:r>
          </w:p>
        </w:tc>
        <w:tc>
          <w:tcPr>
            <w:tcW w:w="617" w:type="pct"/>
            <w:vMerge w:val="continue"/>
            <w:vAlign w:val="center"/>
          </w:tcPr>
          <w:p>
            <w:pPr>
              <w:pStyle w:val="15"/>
              <w:rPr>
                <w:rFonts w:hint="default" w:ascii="Calibri" w:hAnsi="Calibri"/>
              </w:rPr>
            </w:pPr>
          </w:p>
        </w:tc>
        <w:tc>
          <w:tcPr>
            <w:tcW w:w="689" w:type="pct"/>
            <w:vMerge w:val="continue"/>
            <w:vAlign w:val="center"/>
          </w:tcPr>
          <w:p>
            <w:pPr>
              <w:pStyle w:val="15"/>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pct"/>
            <w:vMerge w:val="restart"/>
            <w:vAlign w:val="center"/>
          </w:tcPr>
          <w:p>
            <w:pPr>
              <w:pStyle w:val="15"/>
              <w:rPr>
                <w:rFonts w:hint="default" w:ascii="Times New Roman" w:hAnsi="Times New Roman"/>
              </w:rPr>
            </w:pPr>
            <w:r>
              <w:rPr>
                <w:rFonts w:hint="default" w:ascii="Times New Roman" w:hAnsi="Times New Roman"/>
              </w:rPr>
              <w:t>样品编号</w:t>
            </w:r>
          </w:p>
        </w:tc>
        <w:tc>
          <w:tcPr>
            <w:tcW w:w="604" w:type="pct"/>
            <w:vAlign w:val="center"/>
          </w:tcPr>
          <w:p>
            <w:pPr>
              <w:pStyle w:val="15"/>
              <w:rPr>
                <w:rFonts w:hint="default" w:ascii="Times New Roman" w:hAnsi="Times New Roman"/>
              </w:rPr>
            </w:pPr>
            <w:r>
              <w:rPr>
                <w:rFonts w:hint="default" w:ascii="Times New Roman" w:hAnsi="Times New Roman"/>
              </w:rPr>
              <w:t>AlN:Mg</w:t>
            </w:r>
          </w:p>
        </w:tc>
        <w:tc>
          <w:tcPr>
            <w:tcW w:w="648" w:type="pct"/>
            <w:vAlign w:val="center"/>
          </w:tcPr>
          <w:p>
            <w:pPr>
              <w:pStyle w:val="15"/>
              <w:rPr>
                <w:rFonts w:hint="default" w:ascii="Times New Roman" w:hAnsi="Times New Roman"/>
              </w:rPr>
            </w:pPr>
            <w:r>
              <w:rPr>
                <w:rFonts w:hint="default" w:ascii="Times New Roman" w:hAnsi="Times New Roman"/>
              </w:rPr>
              <w:t>2.4×10</w:t>
            </w:r>
            <w:r>
              <w:rPr>
                <w:rFonts w:hint="default" w:ascii="Times New Roman" w:hAnsi="Times New Roman"/>
                <w:vertAlign w:val="superscript"/>
              </w:rPr>
              <w:t>15</w:t>
            </w:r>
          </w:p>
        </w:tc>
        <w:tc>
          <w:tcPr>
            <w:tcW w:w="723" w:type="pct"/>
            <w:vAlign w:val="center"/>
          </w:tcPr>
          <w:p>
            <w:pPr>
              <w:pStyle w:val="15"/>
              <w:rPr>
                <w:rFonts w:hint="default" w:ascii="Times New Roman" w:hAnsi="Times New Roman"/>
              </w:rPr>
            </w:pPr>
            <w:r>
              <w:rPr>
                <w:rFonts w:hint="default" w:ascii="Times New Roman" w:hAnsi="Times New Roman"/>
              </w:rPr>
              <w:t>2.2×10</w:t>
            </w:r>
            <w:r>
              <w:rPr>
                <w:rFonts w:hint="default" w:ascii="Times New Roman" w:hAnsi="Times New Roman"/>
                <w:vertAlign w:val="superscript"/>
              </w:rPr>
              <w:t>15</w:t>
            </w:r>
          </w:p>
        </w:tc>
        <w:tc>
          <w:tcPr>
            <w:tcW w:w="1030" w:type="pct"/>
            <w:vAlign w:val="center"/>
          </w:tcPr>
          <w:p>
            <w:pPr>
              <w:pStyle w:val="15"/>
              <w:rPr>
                <w:rFonts w:hint="default" w:ascii="Times New Roman" w:hAnsi="Times New Roman"/>
              </w:rPr>
            </w:pPr>
            <w:r>
              <w:rPr>
                <w:rFonts w:hint="default" w:ascii="Times New Roman" w:hAnsi="Times New Roman"/>
              </w:rPr>
              <w:t>2.2×10</w:t>
            </w:r>
            <w:r>
              <w:rPr>
                <w:rFonts w:hint="default" w:ascii="Times New Roman" w:hAnsi="Times New Roman"/>
                <w:vertAlign w:val="superscript"/>
              </w:rPr>
              <w:t>15</w:t>
            </w:r>
          </w:p>
        </w:tc>
        <w:tc>
          <w:tcPr>
            <w:tcW w:w="617" w:type="pct"/>
            <w:vAlign w:val="center"/>
          </w:tcPr>
          <w:p>
            <w:pPr>
              <w:pStyle w:val="15"/>
              <w:rPr>
                <w:rFonts w:hint="default" w:ascii="Times New Roman" w:hAnsi="Times New Roman"/>
              </w:rPr>
            </w:pPr>
            <w:r>
              <w:rPr>
                <w:rFonts w:hint="default" w:ascii="Times New Roman" w:hAnsi="Times New Roman"/>
              </w:rPr>
              <w:t>2.3×10</w:t>
            </w:r>
            <w:r>
              <w:rPr>
                <w:rFonts w:hint="default" w:ascii="Times New Roman" w:hAnsi="Times New Roman"/>
                <w:vertAlign w:val="superscript"/>
              </w:rPr>
              <w:t>15</w:t>
            </w:r>
          </w:p>
        </w:tc>
        <w:tc>
          <w:tcPr>
            <w:tcW w:w="689" w:type="pct"/>
            <w:vAlign w:val="center"/>
          </w:tcPr>
          <w:p>
            <w:pPr>
              <w:pStyle w:val="15"/>
              <w:rPr>
                <w:rFonts w:hint="default" w:ascii="Times New Roman" w:hAnsi="Times New Roman"/>
              </w:rPr>
            </w:pPr>
            <w:r>
              <w:rPr>
                <w:rFonts w:hint="default" w:ascii="Times New Roman" w:hAnsi="Times New Roma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pct"/>
            <w:vMerge w:val="continue"/>
            <w:vAlign w:val="center"/>
          </w:tcPr>
          <w:p>
            <w:pPr>
              <w:pStyle w:val="15"/>
              <w:rPr>
                <w:rFonts w:hint="default" w:ascii="Times New Roman" w:hAnsi="Times New Roman"/>
              </w:rPr>
            </w:pPr>
          </w:p>
        </w:tc>
        <w:tc>
          <w:tcPr>
            <w:tcW w:w="604" w:type="pct"/>
            <w:vAlign w:val="center"/>
          </w:tcPr>
          <w:p>
            <w:pPr>
              <w:pStyle w:val="15"/>
              <w:rPr>
                <w:rFonts w:hint="default" w:ascii="Times New Roman" w:hAnsi="Times New Roman"/>
              </w:rPr>
            </w:pPr>
            <w:r>
              <w:rPr>
                <w:rFonts w:hint="default" w:ascii="Times New Roman" w:hAnsi="Times New Roman"/>
              </w:rPr>
              <w:t>AlN:Ga</w:t>
            </w:r>
          </w:p>
        </w:tc>
        <w:tc>
          <w:tcPr>
            <w:tcW w:w="648" w:type="pct"/>
            <w:vAlign w:val="center"/>
          </w:tcPr>
          <w:p>
            <w:pPr>
              <w:pStyle w:val="15"/>
              <w:rPr>
                <w:rFonts w:hint="default" w:ascii="Times New Roman" w:hAnsi="Times New Roman"/>
              </w:rPr>
            </w:pPr>
            <w:r>
              <w:rPr>
                <w:rFonts w:hint="default" w:ascii="Times New Roman" w:hAnsi="Times New Roman"/>
              </w:rPr>
              <w:t>5.0×10</w:t>
            </w:r>
            <w:r>
              <w:rPr>
                <w:rFonts w:hint="default" w:ascii="Times New Roman" w:hAnsi="Times New Roman"/>
                <w:vertAlign w:val="superscript"/>
              </w:rPr>
              <w:t>15</w:t>
            </w:r>
          </w:p>
        </w:tc>
        <w:tc>
          <w:tcPr>
            <w:tcW w:w="723" w:type="pct"/>
            <w:vAlign w:val="center"/>
          </w:tcPr>
          <w:p>
            <w:pPr>
              <w:pStyle w:val="15"/>
              <w:rPr>
                <w:rFonts w:hint="default" w:ascii="Times New Roman" w:hAnsi="Times New Roman"/>
              </w:rPr>
            </w:pPr>
          </w:p>
        </w:tc>
        <w:tc>
          <w:tcPr>
            <w:tcW w:w="1030" w:type="pct"/>
            <w:vAlign w:val="center"/>
          </w:tcPr>
          <w:p>
            <w:pPr>
              <w:pStyle w:val="15"/>
              <w:rPr>
                <w:rFonts w:hint="default" w:ascii="Times New Roman" w:hAnsi="Times New Roman"/>
              </w:rPr>
            </w:pPr>
            <w:r>
              <w:rPr>
                <w:rFonts w:hint="default" w:ascii="Times New Roman" w:hAnsi="Times New Roman"/>
              </w:rPr>
              <w:t>5.2×10</w:t>
            </w:r>
            <w:r>
              <w:rPr>
                <w:rFonts w:hint="default" w:ascii="Times New Roman" w:hAnsi="Times New Roman"/>
                <w:vertAlign w:val="superscript"/>
              </w:rPr>
              <w:t>15</w:t>
            </w:r>
          </w:p>
        </w:tc>
        <w:tc>
          <w:tcPr>
            <w:tcW w:w="617" w:type="pct"/>
            <w:vAlign w:val="center"/>
          </w:tcPr>
          <w:p>
            <w:pPr>
              <w:pStyle w:val="15"/>
              <w:rPr>
                <w:rFonts w:hint="default" w:ascii="Times New Roman" w:hAnsi="Times New Roman"/>
              </w:rPr>
            </w:pPr>
            <w:r>
              <w:rPr>
                <w:rFonts w:hint="default" w:ascii="Times New Roman" w:hAnsi="Times New Roman"/>
              </w:rPr>
              <w:t>5.1×10</w:t>
            </w:r>
            <w:r>
              <w:rPr>
                <w:rFonts w:hint="default" w:ascii="Times New Roman" w:hAnsi="Times New Roman"/>
                <w:vertAlign w:val="superscript"/>
              </w:rPr>
              <w:t>15</w:t>
            </w:r>
          </w:p>
        </w:tc>
        <w:tc>
          <w:tcPr>
            <w:tcW w:w="689" w:type="pct"/>
            <w:vAlign w:val="center"/>
          </w:tcPr>
          <w:p>
            <w:pPr>
              <w:pStyle w:val="15"/>
              <w:rPr>
                <w:rFonts w:hint="default" w:ascii="Times New Roman" w:hAnsi="Times New Roman"/>
              </w:rPr>
            </w:pPr>
            <w:r>
              <w:rPr>
                <w:rFonts w:hint="default" w:ascii="Times New Roman" w:hAnsi="Times New Roman"/>
              </w:rPr>
              <w:t>3.3%</w:t>
            </w:r>
          </w:p>
        </w:tc>
      </w:tr>
    </w:tbl>
    <w:p>
      <w:pPr>
        <w:ind w:firstLine="480"/>
      </w:pPr>
      <w:r>
        <w:t>本次标准编制过程中，从多个实验数据汇总可以看到，二次离子质谱法测定氮化铝中镁、镓元素的方法可行，并且相对标准偏差（RSD）小于10%。</w:t>
      </w:r>
    </w:p>
    <w:p>
      <w:pPr>
        <w:pStyle w:val="2"/>
      </w:pPr>
      <w:r>
        <w:t>四、标准水平分析</w:t>
      </w:r>
    </w:p>
    <w:p>
      <w:pPr>
        <w:ind w:firstLine="480"/>
      </w:pPr>
      <w:r>
        <w:t>通过文献检索、网上查询可知，暂时国内和国际上并</w:t>
      </w:r>
      <w:bookmarkStart w:id="3" w:name="_GoBack"/>
      <w:bookmarkEnd w:id="3"/>
      <w:r>
        <w:t>没有相对应的国家标准和国际标准。本标准的制定填补了国内半导体氮化铝测试领域的标准空白，达到了国内先进水平。</w:t>
      </w:r>
    </w:p>
    <w:p>
      <w:pPr>
        <w:pStyle w:val="2"/>
      </w:pPr>
      <w:r>
        <w:t>五、</w:t>
      </w:r>
      <w:r>
        <w:rPr>
          <w:rStyle w:val="12"/>
        </w:rPr>
        <w:t>与我国有关的现行法律、法规和相关强制性标准的关系。</w:t>
      </w:r>
    </w:p>
    <w:p>
      <w:pPr>
        <w:ind w:firstLine="480"/>
      </w:pPr>
      <w:r>
        <w:t>本标准不违反我国相关法律、法规，无相关强制性标准，与现行的国家标准没有冲突。</w:t>
      </w:r>
    </w:p>
    <w:p>
      <w:pPr>
        <w:pStyle w:val="2"/>
      </w:pPr>
      <w:r>
        <w:t>六、重大分歧意见的处理经过和依据</w:t>
      </w:r>
    </w:p>
    <w:p>
      <w:pPr>
        <w:ind w:firstLine="480"/>
      </w:pPr>
      <w:r>
        <w:t>标准起草编制期间，并无重大分歧意见。</w:t>
      </w:r>
    </w:p>
    <w:p>
      <w:pPr>
        <w:pStyle w:val="2"/>
      </w:pPr>
      <w:r>
        <w:t>七、标准作为强制性标准或推荐性标准的建议</w:t>
      </w:r>
    </w:p>
    <w:p>
      <w:pPr>
        <w:ind w:firstLine="480"/>
      </w:pPr>
      <w:r>
        <w:t>本标准为氮化铝半导体材料中痕量元素（镁、镓）含量的测试，建议本标准作为推荐性国家标准发布实施。</w:t>
      </w:r>
    </w:p>
    <w:p>
      <w:pPr>
        <w:pStyle w:val="2"/>
      </w:pPr>
      <w:r>
        <w:t>八、贯彻标准的要求和措施建议</w:t>
      </w:r>
    </w:p>
    <w:p>
      <w:pPr>
        <w:ind w:firstLine="480"/>
      </w:pPr>
      <w:r>
        <w:t>本标准是首次制定，标准发布后建议由归口单位、主编单位组织标准宣贯会，对标准文本进行解读，促进标准的有效实施。</w:t>
      </w:r>
    </w:p>
    <w:p>
      <w:pPr>
        <w:pStyle w:val="2"/>
      </w:pPr>
      <w:r>
        <w:t>九、代替或废止现行有关标准的建议</w:t>
      </w:r>
    </w:p>
    <w:p>
      <w:pPr>
        <w:ind w:firstLine="480"/>
      </w:pPr>
      <w:r>
        <w:t>由于国家标准体系中以前没有此类标准，所以本标准颁布后，无需废止任何现行有关标准。</w:t>
      </w:r>
    </w:p>
    <w:p>
      <w:pPr>
        <w:pStyle w:val="2"/>
      </w:pPr>
      <w:r>
        <w:t>十、其他需要说明的事项</w:t>
      </w:r>
    </w:p>
    <w:p>
      <w:pPr>
        <w:ind w:firstLine="480"/>
      </w:pPr>
      <w:r>
        <w:t>本标准根据目前国内半导体氮化铝中痕量元素镁、镓的常用测试技术制定，如果以后该项测试技术和测试设备有较大更新，可在下一版中进行补充修订。</w:t>
      </w:r>
    </w:p>
    <w:p>
      <w:pPr>
        <w:ind w:firstLine="480"/>
      </w:pPr>
    </w:p>
    <w:sectPr>
      <w:headerReference r:id="rId7" w:type="first"/>
      <w:footerReference r:id="rId10" w:type="first"/>
      <w:headerReference r:id="rId5" w:type="default"/>
      <w:footerReference r:id="rId8" w:type="default"/>
      <w:headerReference r:id="rId6" w:type="even"/>
      <w:footerReference r:id="rId9" w:type="even"/>
      <w:pgSz w:w="11906" w:h="16838"/>
      <w:pgMar w:top="1304" w:right="1304" w:bottom="1304" w:left="1304" w:header="851" w:footer="851"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360"/>
      <w:rPr>
        <w:rStyle w:val="11"/>
      </w:rPr>
    </w:pPr>
    <w:r>
      <w:fldChar w:fldCharType="begin"/>
    </w:r>
    <w:r>
      <w:rPr>
        <w:rStyle w:val="11"/>
      </w:rPr>
      <w:instrText xml:space="preserve">PAGE  </w:instrText>
    </w:r>
    <w:r>
      <w:fldChar w:fldCharType="separate"/>
    </w:r>
    <w:r>
      <w:rPr>
        <w:rStyle w:val="11"/>
      </w:rPr>
      <w:t>7</w:t>
    </w:r>
    <w:r>
      <w:fldChar w:fldCharType="end"/>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360"/>
      <w:rPr>
        <w:rStyle w:val="11"/>
      </w:rPr>
    </w:pPr>
    <w:r>
      <w:fldChar w:fldCharType="begin"/>
    </w:r>
    <w:r>
      <w:rPr>
        <w:rStyle w:val="11"/>
      </w:rPr>
      <w:instrText xml:space="preserve">PAGE  </w:instrText>
    </w:r>
    <w:r>
      <w:fldChar w:fldCharType="end"/>
    </w:r>
  </w:p>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E3429"/>
    <w:multiLevelType w:val="multilevel"/>
    <w:tmpl w:val="45CE3429"/>
    <w:lvl w:ilvl="0" w:tentative="0">
      <w:start w:val="1"/>
      <w:numFmt w:val="japaneseCounting"/>
      <w:lvlText w:val="%1、"/>
      <w:lvlJc w:val="left"/>
      <w:pPr>
        <w:tabs>
          <w:tab w:val="left" w:pos="360"/>
        </w:tabs>
        <w:ind w:left="360" w:hanging="360"/>
      </w:pPr>
      <w:rPr>
        <w:rFonts w:ascii="黑体" w:hAnsi="Times New Roman" w:eastAsia="黑体" w:cs="Times New Roman"/>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D793C26"/>
    <w:multiLevelType w:val="multilevel"/>
    <w:tmpl w:val="5D793C2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E0F"/>
    <w:rsid w:val="000127DE"/>
    <w:rsid w:val="00016FDD"/>
    <w:rsid w:val="00022E73"/>
    <w:rsid w:val="00023A72"/>
    <w:rsid w:val="00025154"/>
    <w:rsid w:val="00031B35"/>
    <w:rsid w:val="00037A6D"/>
    <w:rsid w:val="00041F08"/>
    <w:rsid w:val="00042F35"/>
    <w:rsid w:val="00053E83"/>
    <w:rsid w:val="000549B7"/>
    <w:rsid w:val="00057543"/>
    <w:rsid w:val="000619E5"/>
    <w:rsid w:val="000624F3"/>
    <w:rsid w:val="000700A4"/>
    <w:rsid w:val="000820AA"/>
    <w:rsid w:val="00083E91"/>
    <w:rsid w:val="00092B01"/>
    <w:rsid w:val="00092FD2"/>
    <w:rsid w:val="00093A8D"/>
    <w:rsid w:val="00094B88"/>
    <w:rsid w:val="000A0D02"/>
    <w:rsid w:val="000A0EBF"/>
    <w:rsid w:val="000A36A6"/>
    <w:rsid w:val="000B6B45"/>
    <w:rsid w:val="000B7257"/>
    <w:rsid w:val="000C5384"/>
    <w:rsid w:val="000C731D"/>
    <w:rsid w:val="000E49D2"/>
    <w:rsid w:val="000E7949"/>
    <w:rsid w:val="0010398F"/>
    <w:rsid w:val="001039A0"/>
    <w:rsid w:val="001071D3"/>
    <w:rsid w:val="00121123"/>
    <w:rsid w:val="00121F85"/>
    <w:rsid w:val="00143905"/>
    <w:rsid w:val="0014595B"/>
    <w:rsid w:val="001531DD"/>
    <w:rsid w:val="00153C9D"/>
    <w:rsid w:val="001550DF"/>
    <w:rsid w:val="00165F3C"/>
    <w:rsid w:val="001734AF"/>
    <w:rsid w:val="001812C8"/>
    <w:rsid w:val="00181EF2"/>
    <w:rsid w:val="0018642C"/>
    <w:rsid w:val="00193343"/>
    <w:rsid w:val="00197BB7"/>
    <w:rsid w:val="001A4215"/>
    <w:rsid w:val="001A46DE"/>
    <w:rsid w:val="001B170D"/>
    <w:rsid w:val="001B5634"/>
    <w:rsid w:val="001B5712"/>
    <w:rsid w:val="001D02FB"/>
    <w:rsid w:val="001D5255"/>
    <w:rsid w:val="001E2D44"/>
    <w:rsid w:val="001E3000"/>
    <w:rsid w:val="001E307F"/>
    <w:rsid w:val="001E7E36"/>
    <w:rsid w:val="001F030D"/>
    <w:rsid w:val="001F32E5"/>
    <w:rsid w:val="001F43E2"/>
    <w:rsid w:val="00205B1E"/>
    <w:rsid w:val="00206E7F"/>
    <w:rsid w:val="002141A5"/>
    <w:rsid w:val="00214429"/>
    <w:rsid w:val="00217C7D"/>
    <w:rsid w:val="00222524"/>
    <w:rsid w:val="00233D78"/>
    <w:rsid w:val="0024476A"/>
    <w:rsid w:val="00245A66"/>
    <w:rsid w:val="00252116"/>
    <w:rsid w:val="00253F8E"/>
    <w:rsid w:val="00255A84"/>
    <w:rsid w:val="0025717A"/>
    <w:rsid w:val="00260450"/>
    <w:rsid w:val="00267EC8"/>
    <w:rsid w:val="002702BA"/>
    <w:rsid w:val="0027516A"/>
    <w:rsid w:val="002900CB"/>
    <w:rsid w:val="00291D69"/>
    <w:rsid w:val="002955EF"/>
    <w:rsid w:val="002A3A1B"/>
    <w:rsid w:val="002C0C5C"/>
    <w:rsid w:val="002C160D"/>
    <w:rsid w:val="002C5164"/>
    <w:rsid w:val="002C5EFD"/>
    <w:rsid w:val="002D0426"/>
    <w:rsid w:val="002D19D3"/>
    <w:rsid w:val="002D1EAB"/>
    <w:rsid w:val="002E5819"/>
    <w:rsid w:val="002F1E4E"/>
    <w:rsid w:val="002F1F9C"/>
    <w:rsid w:val="003071BC"/>
    <w:rsid w:val="003071C8"/>
    <w:rsid w:val="00315F7A"/>
    <w:rsid w:val="003322EF"/>
    <w:rsid w:val="00337BE3"/>
    <w:rsid w:val="003415EE"/>
    <w:rsid w:val="0034625B"/>
    <w:rsid w:val="00350D13"/>
    <w:rsid w:val="00356759"/>
    <w:rsid w:val="003624E0"/>
    <w:rsid w:val="00370F53"/>
    <w:rsid w:val="00374848"/>
    <w:rsid w:val="00385E47"/>
    <w:rsid w:val="00387BD8"/>
    <w:rsid w:val="00392F0D"/>
    <w:rsid w:val="003935A2"/>
    <w:rsid w:val="003A0B35"/>
    <w:rsid w:val="003A3DD4"/>
    <w:rsid w:val="003A490B"/>
    <w:rsid w:val="003A6975"/>
    <w:rsid w:val="003B47DD"/>
    <w:rsid w:val="003B7200"/>
    <w:rsid w:val="003C2059"/>
    <w:rsid w:val="003D00E5"/>
    <w:rsid w:val="003D1A9E"/>
    <w:rsid w:val="003D5415"/>
    <w:rsid w:val="003D70B2"/>
    <w:rsid w:val="003E0C48"/>
    <w:rsid w:val="003E3357"/>
    <w:rsid w:val="003E5756"/>
    <w:rsid w:val="003E756E"/>
    <w:rsid w:val="003F6730"/>
    <w:rsid w:val="0040172E"/>
    <w:rsid w:val="00406308"/>
    <w:rsid w:val="00407491"/>
    <w:rsid w:val="004172E5"/>
    <w:rsid w:val="004359CC"/>
    <w:rsid w:val="00436E03"/>
    <w:rsid w:val="004424AE"/>
    <w:rsid w:val="004426B0"/>
    <w:rsid w:val="004507E1"/>
    <w:rsid w:val="00452759"/>
    <w:rsid w:val="00457B21"/>
    <w:rsid w:val="00460E9D"/>
    <w:rsid w:val="00463FF5"/>
    <w:rsid w:val="004659F3"/>
    <w:rsid w:val="00465DE5"/>
    <w:rsid w:val="00465F77"/>
    <w:rsid w:val="004706C2"/>
    <w:rsid w:val="0047446F"/>
    <w:rsid w:val="00474F46"/>
    <w:rsid w:val="00481E3F"/>
    <w:rsid w:val="00482940"/>
    <w:rsid w:val="004855D8"/>
    <w:rsid w:val="00486342"/>
    <w:rsid w:val="00495FC6"/>
    <w:rsid w:val="00496FC0"/>
    <w:rsid w:val="004A429B"/>
    <w:rsid w:val="004B2B5A"/>
    <w:rsid w:val="004B5790"/>
    <w:rsid w:val="004C5C4F"/>
    <w:rsid w:val="004C6F09"/>
    <w:rsid w:val="004C774E"/>
    <w:rsid w:val="004D005E"/>
    <w:rsid w:val="004D463B"/>
    <w:rsid w:val="004D5937"/>
    <w:rsid w:val="004E6B22"/>
    <w:rsid w:val="004F0606"/>
    <w:rsid w:val="004F1AD3"/>
    <w:rsid w:val="004F23E8"/>
    <w:rsid w:val="004F48C5"/>
    <w:rsid w:val="004F7E8D"/>
    <w:rsid w:val="005005A5"/>
    <w:rsid w:val="00505066"/>
    <w:rsid w:val="0050534B"/>
    <w:rsid w:val="005062B1"/>
    <w:rsid w:val="005112DA"/>
    <w:rsid w:val="00511834"/>
    <w:rsid w:val="00512E0F"/>
    <w:rsid w:val="005175A3"/>
    <w:rsid w:val="005238CA"/>
    <w:rsid w:val="005378D7"/>
    <w:rsid w:val="005418E5"/>
    <w:rsid w:val="00547FD6"/>
    <w:rsid w:val="00550D48"/>
    <w:rsid w:val="00551880"/>
    <w:rsid w:val="0055390B"/>
    <w:rsid w:val="00555457"/>
    <w:rsid w:val="005555F0"/>
    <w:rsid w:val="005624D4"/>
    <w:rsid w:val="00566AAC"/>
    <w:rsid w:val="00567488"/>
    <w:rsid w:val="00572C67"/>
    <w:rsid w:val="00575441"/>
    <w:rsid w:val="005934C9"/>
    <w:rsid w:val="005A7A3F"/>
    <w:rsid w:val="005B05CB"/>
    <w:rsid w:val="005B1D1D"/>
    <w:rsid w:val="005B7F3A"/>
    <w:rsid w:val="005D098B"/>
    <w:rsid w:val="005D5DF3"/>
    <w:rsid w:val="005D707F"/>
    <w:rsid w:val="005E03CA"/>
    <w:rsid w:val="005E3C41"/>
    <w:rsid w:val="005F4657"/>
    <w:rsid w:val="005F4FCD"/>
    <w:rsid w:val="00605B78"/>
    <w:rsid w:val="006074DD"/>
    <w:rsid w:val="00607627"/>
    <w:rsid w:val="00623BA5"/>
    <w:rsid w:val="00633CCE"/>
    <w:rsid w:val="0064197D"/>
    <w:rsid w:val="00650E41"/>
    <w:rsid w:val="00652E72"/>
    <w:rsid w:val="0065553A"/>
    <w:rsid w:val="00666B7C"/>
    <w:rsid w:val="00680DE8"/>
    <w:rsid w:val="00681202"/>
    <w:rsid w:val="00681F5E"/>
    <w:rsid w:val="006867FD"/>
    <w:rsid w:val="006873C2"/>
    <w:rsid w:val="00690EB3"/>
    <w:rsid w:val="0069566F"/>
    <w:rsid w:val="006A01FC"/>
    <w:rsid w:val="006A3DA0"/>
    <w:rsid w:val="006A61C3"/>
    <w:rsid w:val="006A69A5"/>
    <w:rsid w:val="006B042A"/>
    <w:rsid w:val="006D443D"/>
    <w:rsid w:val="006D5A88"/>
    <w:rsid w:val="006D632C"/>
    <w:rsid w:val="006F74B9"/>
    <w:rsid w:val="00723AED"/>
    <w:rsid w:val="00725D5F"/>
    <w:rsid w:val="00731BD1"/>
    <w:rsid w:val="00732C3B"/>
    <w:rsid w:val="007347B6"/>
    <w:rsid w:val="007407C5"/>
    <w:rsid w:val="00745186"/>
    <w:rsid w:val="007468E2"/>
    <w:rsid w:val="007500B1"/>
    <w:rsid w:val="00754C1D"/>
    <w:rsid w:val="007576A4"/>
    <w:rsid w:val="00765739"/>
    <w:rsid w:val="00767FDD"/>
    <w:rsid w:val="007727A4"/>
    <w:rsid w:val="00783A74"/>
    <w:rsid w:val="007876AF"/>
    <w:rsid w:val="007A3233"/>
    <w:rsid w:val="007A489C"/>
    <w:rsid w:val="007A4B20"/>
    <w:rsid w:val="007A5CCD"/>
    <w:rsid w:val="007A7BA6"/>
    <w:rsid w:val="007B5AF6"/>
    <w:rsid w:val="007B7B4A"/>
    <w:rsid w:val="007C2A8A"/>
    <w:rsid w:val="007C3582"/>
    <w:rsid w:val="007D379B"/>
    <w:rsid w:val="007E09DF"/>
    <w:rsid w:val="007F3A40"/>
    <w:rsid w:val="007F5BB7"/>
    <w:rsid w:val="007F61F1"/>
    <w:rsid w:val="007F6EB6"/>
    <w:rsid w:val="007F769D"/>
    <w:rsid w:val="007F7FE9"/>
    <w:rsid w:val="00802499"/>
    <w:rsid w:val="00802EC6"/>
    <w:rsid w:val="0080602A"/>
    <w:rsid w:val="00826D7D"/>
    <w:rsid w:val="00834F70"/>
    <w:rsid w:val="008374F1"/>
    <w:rsid w:val="008442D7"/>
    <w:rsid w:val="008467A5"/>
    <w:rsid w:val="00847B9C"/>
    <w:rsid w:val="00857B24"/>
    <w:rsid w:val="008715F2"/>
    <w:rsid w:val="0087333B"/>
    <w:rsid w:val="0087653C"/>
    <w:rsid w:val="00882ACE"/>
    <w:rsid w:val="00883512"/>
    <w:rsid w:val="00891686"/>
    <w:rsid w:val="008928C5"/>
    <w:rsid w:val="00897C3E"/>
    <w:rsid w:val="008A00B6"/>
    <w:rsid w:val="008A04F6"/>
    <w:rsid w:val="008A64A8"/>
    <w:rsid w:val="008C1DD6"/>
    <w:rsid w:val="008C5736"/>
    <w:rsid w:val="008D6A2B"/>
    <w:rsid w:val="008E44E4"/>
    <w:rsid w:val="008E4F5F"/>
    <w:rsid w:val="008F030C"/>
    <w:rsid w:val="008F0DCE"/>
    <w:rsid w:val="008F795C"/>
    <w:rsid w:val="0090011C"/>
    <w:rsid w:val="00900FD3"/>
    <w:rsid w:val="00903213"/>
    <w:rsid w:val="00903A96"/>
    <w:rsid w:val="00905F5B"/>
    <w:rsid w:val="00911E74"/>
    <w:rsid w:val="0091766F"/>
    <w:rsid w:val="009311F9"/>
    <w:rsid w:val="00947591"/>
    <w:rsid w:val="0095634F"/>
    <w:rsid w:val="00962214"/>
    <w:rsid w:val="009626A8"/>
    <w:rsid w:val="009651E9"/>
    <w:rsid w:val="00965AE5"/>
    <w:rsid w:val="009702C3"/>
    <w:rsid w:val="00971C12"/>
    <w:rsid w:val="00971EB4"/>
    <w:rsid w:val="00972F9A"/>
    <w:rsid w:val="009735EE"/>
    <w:rsid w:val="00977A37"/>
    <w:rsid w:val="00980818"/>
    <w:rsid w:val="00981215"/>
    <w:rsid w:val="00982035"/>
    <w:rsid w:val="00983F89"/>
    <w:rsid w:val="00985AE5"/>
    <w:rsid w:val="00986335"/>
    <w:rsid w:val="00990CBC"/>
    <w:rsid w:val="0099107D"/>
    <w:rsid w:val="009A0542"/>
    <w:rsid w:val="009A3BE3"/>
    <w:rsid w:val="009A5B91"/>
    <w:rsid w:val="009A7F97"/>
    <w:rsid w:val="009B368A"/>
    <w:rsid w:val="009B5B96"/>
    <w:rsid w:val="009B6E3E"/>
    <w:rsid w:val="009C04A1"/>
    <w:rsid w:val="009C10AE"/>
    <w:rsid w:val="009D1043"/>
    <w:rsid w:val="009D5E2A"/>
    <w:rsid w:val="009E5FD8"/>
    <w:rsid w:val="009E7670"/>
    <w:rsid w:val="009F6BEA"/>
    <w:rsid w:val="00A021F4"/>
    <w:rsid w:val="00A04F58"/>
    <w:rsid w:val="00A052F3"/>
    <w:rsid w:val="00A05A73"/>
    <w:rsid w:val="00A12D54"/>
    <w:rsid w:val="00A16C43"/>
    <w:rsid w:val="00A21470"/>
    <w:rsid w:val="00A23BD1"/>
    <w:rsid w:val="00A25468"/>
    <w:rsid w:val="00A348C9"/>
    <w:rsid w:val="00A37A44"/>
    <w:rsid w:val="00A4602F"/>
    <w:rsid w:val="00A53FD1"/>
    <w:rsid w:val="00A56F16"/>
    <w:rsid w:val="00A65880"/>
    <w:rsid w:val="00A76396"/>
    <w:rsid w:val="00A85DDF"/>
    <w:rsid w:val="00A92A72"/>
    <w:rsid w:val="00A94AAF"/>
    <w:rsid w:val="00AA0657"/>
    <w:rsid w:val="00AA1135"/>
    <w:rsid w:val="00AA192D"/>
    <w:rsid w:val="00AA3FA2"/>
    <w:rsid w:val="00AB0DE9"/>
    <w:rsid w:val="00AB397C"/>
    <w:rsid w:val="00AB443F"/>
    <w:rsid w:val="00AC3E72"/>
    <w:rsid w:val="00AC5AC1"/>
    <w:rsid w:val="00AD0BAC"/>
    <w:rsid w:val="00AD1154"/>
    <w:rsid w:val="00AD5204"/>
    <w:rsid w:val="00AD7FB0"/>
    <w:rsid w:val="00AE1C74"/>
    <w:rsid w:val="00AE59AA"/>
    <w:rsid w:val="00AF6ABD"/>
    <w:rsid w:val="00B020E5"/>
    <w:rsid w:val="00B1037F"/>
    <w:rsid w:val="00B119EF"/>
    <w:rsid w:val="00B11E08"/>
    <w:rsid w:val="00B16ED1"/>
    <w:rsid w:val="00B3674C"/>
    <w:rsid w:val="00B37E26"/>
    <w:rsid w:val="00B40651"/>
    <w:rsid w:val="00B4265B"/>
    <w:rsid w:val="00B435B6"/>
    <w:rsid w:val="00B45F06"/>
    <w:rsid w:val="00B53808"/>
    <w:rsid w:val="00B658F9"/>
    <w:rsid w:val="00B674EE"/>
    <w:rsid w:val="00B712E2"/>
    <w:rsid w:val="00B85577"/>
    <w:rsid w:val="00B873B4"/>
    <w:rsid w:val="00B90EBE"/>
    <w:rsid w:val="00B9467E"/>
    <w:rsid w:val="00B969A9"/>
    <w:rsid w:val="00BB1EC7"/>
    <w:rsid w:val="00BB3F0B"/>
    <w:rsid w:val="00BE1171"/>
    <w:rsid w:val="00BE34FF"/>
    <w:rsid w:val="00BE702D"/>
    <w:rsid w:val="00BF494F"/>
    <w:rsid w:val="00C02206"/>
    <w:rsid w:val="00C125FE"/>
    <w:rsid w:val="00C2494F"/>
    <w:rsid w:val="00C273EF"/>
    <w:rsid w:val="00C301B1"/>
    <w:rsid w:val="00C32EA6"/>
    <w:rsid w:val="00C3591C"/>
    <w:rsid w:val="00C36DAE"/>
    <w:rsid w:val="00C36EDE"/>
    <w:rsid w:val="00C370A2"/>
    <w:rsid w:val="00C42368"/>
    <w:rsid w:val="00C44F59"/>
    <w:rsid w:val="00C53E3C"/>
    <w:rsid w:val="00C54672"/>
    <w:rsid w:val="00C57E43"/>
    <w:rsid w:val="00C62C2E"/>
    <w:rsid w:val="00C64BF7"/>
    <w:rsid w:val="00C82E06"/>
    <w:rsid w:val="00C845E0"/>
    <w:rsid w:val="00C868E7"/>
    <w:rsid w:val="00C9297F"/>
    <w:rsid w:val="00C93E79"/>
    <w:rsid w:val="00C94A8A"/>
    <w:rsid w:val="00C961D3"/>
    <w:rsid w:val="00C9762E"/>
    <w:rsid w:val="00CA0883"/>
    <w:rsid w:val="00CA2CDE"/>
    <w:rsid w:val="00CA4BBC"/>
    <w:rsid w:val="00CB36BB"/>
    <w:rsid w:val="00CC06EC"/>
    <w:rsid w:val="00CC0DF7"/>
    <w:rsid w:val="00CC1D09"/>
    <w:rsid w:val="00CC6AEC"/>
    <w:rsid w:val="00CC715B"/>
    <w:rsid w:val="00CE53DD"/>
    <w:rsid w:val="00CE794A"/>
    <w:rsid w:val="00CF174E"/>
    <w:rsid w:val="00D01D04"/>
    <w:rsid w:val="00D032D8"/>
    <w:rsid w:val="00D06AD6"/>
    <w:rsid w:val="00D15960"/>
    <w:rsid w:val="00D2193C"/>
    <w:rsid w:val="00D26EA8"/>
    <w:rsid w:val="00D43662"/>
    <w:rsid w:val="00D476E5"/>
    <w:rsid w:val="00D55DE3"/>
    <w:rsid w:val="00D61E6B"/>
    <w:rsid w:val="00D64FFC"/>
    <w:rsid w:val="00D728DF"/>
    <w:rsid w:val="00D74C91"/>
    <w:rsid w:val="00D77E94"/>
    <w:rsid w:val="00D9373D"/>
    <w:rsid w:val="00D97645"/>
    <w:rsid w:val="00DB0383"/>
    <w:rsid w:val="00DB302E"/>
    <w:rsid w:val="00DD03EE"/>
    <w:rsid w:val="00DD09D8"/>
    <w:rsid w:val="00DD2934"/>
    <w:rsid w:val="00DD36DC"/>
    <w:rsid w:val="00DD4122"/>
    <w:rsid w:val="00DE1A36"/>
    <w:rsid w:val="00DF094D"/>
    <w:rsid w:val="00DF2008"/>
    <w:rsid w:val="00DF49E3"/>
    <w:rsid w:val="00DF654B"/>
    <w:rsid w:val="00DF66C2"/>
    <w:rsid w:val="00E01B8B"/>
    <w:rsid w:val="00E03936"/>
    <w:rsid w:val="00E11C89"/>
    <w:rsid w:val="00E13381"/>
    <w:rsid w:val="00E20221"/>
    <w:rsid w:val="00E203EB"/>
    <w:rsid w:val="00E32F7B"/>
    <w:rsid w:val="00E3305C"/>
    <w:rsid w:val="00E355A6"/>
    <w:rsid w:val="00E40ED5"/>
    <w:rsid w:val="00E41B82"/>
    <w:rsid w:val="00E4488F"/>
    <w:rsid w:val="00E461EA"/>
    <w:rsid w:val="00E53E4E"/>
    <w:rsid w:val="00E5536D"/>
    <w:rsid w:val="00E70B47"/>
    <w:rsid w:val="00E72C59"/>
    <w:rsid w:val="00E75AA6"/>
    <w:rsid w:val="00E822D5"/>
    <w:rsid w:val="00E82DEF"/>
    <w:rsid w:val="00E84C5D"/>
    <w:rsid w:val="00E95E17"/>
    <w:rsid w:val="00EA39C4"/>
    <w:rsid w:val="00EA4970"/>
    <w:rsid w:val="00EA4F56"/>
    <w:rsid w:val="00EB0F43"/>
    <w:rsid w:val="00EB1782"/>
    <w:rsid w:val="00EC2DD2"/>
    <w:rsid w:val="00ED44CA"/>
    <w:rsid w:val="00ED783F"/>
    <w:rsid w:val="00EE04DF"/>
    <w:rsid w:val="00EE1F71"/>
    <w:rsid w:val="00EE4C78"/>
    <w:rsid w:val="00EE77B4"/>
    <w:rsid w:val="00F02B48"/>
    <w:rsid w:val="00F034AD"/>
    <w:rsid w:val="00F03CE3"/>
    <w:rsid w:val="00F04BEE"/>
    <w:rsid w:val="00F0728E"/>
    <w:rsid w:val="00F225BF"/>
    <w:rsid w:val="00F2483C"/>
    <w:rsid w:val="00F26221"/>
    <w:rsid w:val="00F30547"/>
    <w:rsid w:val="00F31450"/>
    <w:rsid w:val="00F43464"/>
    <w:rsid w:val="00F46AF1"/>
    <w:rsid w:val="00F526D1"/>
    <w:rsid w:val="00F5282D"/>
    <w:rsid w:val="00F73232"/>
    <w:rsid w:val="00F92408"/>
    <w:rsid w:val="00FA0B9A"/>
    <w:rsid w:val="00FA1585"/>
    <w:rsid w:val="00FA36EF"/>
    <w:rsid w:val="00FA5765"/>
    <w:rsid w:val="00FA57C9"/>
    <w:rsid w:val="00FD2426"/>
    <w:rsid w:val="00FD3FD2"/>
    <w:rsid w:val="00FD565F"/>
    <w:rsid w:val="00FE5475"/>
    <w:rsid w:val="00FE6720"/>
    <w:rsid w:val="00FE7802"/>
    <w:rsid w:val="00FF0DE6"/>
    <w:rsid w:val="00FF2760"/>
    <w:rsid w:val="03200287"/>
    <w:rsid w:val="05EC713F"/>
    <w:rsid w:val="0A160E5F"/>
    <w:rsid w:val="0A7A253C"/>
    <w:rsid w:val="11BF3D75"/>
    <w:rsid w:val="131D0CB3"/>
    <w:rsid w:val="15A94D56"/>
    <w:rsid w:val="17A83050"/>
    <w:rsid w:val="265F7A64"/>
    <w:rsid w:val="350C7DCA"/>
    <w:rsid w:val="37C41BF6"/>
    <w:rsid w:val="3BD81CB5"/>
    <w:rsid w:val="3C6A5BE3"/>
    <w:rsid w:val="40AD08FE"/>
    <w:rsid w:val="48D84069"/>
    <w:rsid w:val="499B78DA"/>
    <w:rsid w:val="4AAD4EB6"/>
    <w:rsid w:val="4B05320F"/>
    <w:rsid w:val="4B28732A"/>
    <w:rsid w:val="4D3F7040"/>
    <w:rsid w:val="51A85F49"/>
    <w:rsid w:val="53F734F1"/>
    <w:rsid w:val="55BC7062"/>
    <w:rsid w:val="5ACB4DFF"/>
    <w:rsid w:val="5D665E54"/>
    <w:rsid w:val="62315567"/>
    <w:rsid w:val="63821FA2"/>
    <w:rsid w:val="6450492D"/>
    <w:rsid w:val="728D5B14"/>
    <w:rsid w:val="73254FD1"/>
    <w:rsid w:val="73DC2E74"/>
    <w:rsid w:val="749553ED"/>
    <w:rsid w:val="75540D4C"/>
    <w:rsid w:val="7B1A7539"/>
    <w:rsid w:val="7B252AD6"/>
    <w:rsid w:val="7B8A48A3"/>
    <w:rsid w:val="7C351397"/>
    <w:rsid w:val="7CF26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12"/>
    <w:qFormat/>
    <w:uiPriority w:val="0"/>
    <w:pPr>
      <w:keepNext/>
      <w:keepLines/>
      <w:ind w:firstLine="0" w:firstLineChars="0"/>
      <w:outlineLvl w:val="0"/>
    </w:pPr>
    <w:rPr>
      <w:rFonts w:eastAsia="黑体"/>
      <w:kern w:val="44"/>
    </w:rPr>
  </w:style>
  <w:style w:type="paragraph" w:styleId="3">
    <w:name w:val="heading 2"/>
    <w:basedOn w:val="1"/>
    <w:next w:val="1"/>
    <w:qFormat/>
    <w:uiPriority w:val="0"/>
    <w:pPr>
      <w:keepNext/>
      <w:keepLines/>
      <w:ind w:firstLine="0" w:firstLineChars="0"/>
      <w:outlineLvl w:val="1"/>
    </w:pPr>
    <w:rPr>
      <w:rFonts w:eastAsia="黑体"/>
    </w:rPr>
  </w:style>
  <w:style w:type="paragraph" w:styleId="4">
    <w:name w:val="heading 3"/>
    <w:basedOn w:val="1"/>
    <w:next w:val="1"/>
    <w:qFormat/>
    <w:uiPriority w:val="0"/>
    <w:pPr>
      <w:keepNext/>
      <w:keepLines/>
      <w:ind w:firstLine="0" w:firstLineChars="0"/>
      <w:outlineLvl w:val="2"/>
    </w:pPr>
    <w:rPr>
      <w:b/>
    </w:rPr>
  </w:style>
  <w:style w:type="paragraph" w:styleId="5">
    <w:name w:val="heading 4"/>
    <w:basedOn w:val="1"/>
    <w:next w:val="1"/>
    <w:qFormat/>
    <w:uiPriority w:val="0"/>
    <w:pPr>
      <w:keepNext/>
      <w:keepLines/>
      <w:outlineLvl w:val="3"/>
    </w:pPr>
  </w:style>
  <w:style w:type="character" w:default="1" w:styleId="10">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link w:val="13"/>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uiPriority w:val="0"/>
  </w:style>
  <w:style w:type="character" w:customStyle="1" w:styleId="12">
    <w:name w:val="标题 1 Char"/>
    <w:link w:val="2"/>
    <w:qFormat/>
    <w:uiPriority w:val="0"/>
    <w:rPr>
      <w:rFonts w:eastAsia="黑体"/>
      <w:kern w:val="44"/>
    </w:rPr>
  </w:style>
  <w:style w:type="character" w:customStyle="1" w:styleId="13">
    <w:name w:val="页眉 Char"/>
    <w:link w:val="7"/>
    <w:qFormat/>
    <w:uiPriority w:val="0"/>
    <w:rPr>
      <w:kern w:val="2"/>
      <w:sz w:val="18"/>
      <w:szCs w:val="18"/>
    </w:rPr>
  </w:style>
  <w:style w:type="paragraph" w:customStyle="1" w:styleId="14">
    <w:name w:val="题目"/>
    <w:basedOn w:val="1"/>
    <w:uiPriority w:val="0"/>
    <w:pPr>
      <w:adjustRightInd w:val="0"/>
      <w:snapToGrid w:val="0"/>
      <w:jc w:val="center"/>
    </w:pPr>
    <w:rPr>
      <w:rFonts w:hint="eastAsia" w:ascii="黑体" w:hAnsi="黑体" w:eastAsia="黑体"/>
      <w:sz w:val="28"/>
      <w:szCs w:val="28"/>
    </w:rPr>
  </w:style>
  <w:style w:type="paragraph" w:customStyle="1" w:styleId="15">
    <w:name w:val="表格"/>
    <w:basedOn w:val="1"/>
    <w:uiPriority w:val="0"/>
    <w:pPr>
      <w:ind w:firstLine="0" w:firstLineChars="0"/>
      <w:jc w:val="center"/>
    </w:pPr>
    <w:rPr>
      <w:rFonts w:hint="eastAsia"/>
    </w:rPr>
  </w:style>
  <w:style w:type="character" w:styleId="16">
    <w:name w:val="Placeholder Text"/>
    <w:basedOn w:val="10"/>
    <w:semiHidden/>
    <w:uiPriority w:val="99"/>
    <w:rPr>
      <w:color w:val="808080"/>
    </w:rPr>
  </w:style>
  <w:style w:type="paragraph" w:customStyle="1" w:styleId="17">
    <w:name w:val="【正文】"/>
    <w:basedOn w:val="1"/>
    <w:qFormat/>
    <w:uiPriority w:val="0"/>
    <w:pPr>
      <w:adjustRightInd w:val="0"/>
      <w:snapToGrid w:val="0"/>
      <w:spacing w:line="440" w:lineRule="exact"/>
      <w:ind w:firstLine="200" w:firstLineChars="200"/>
    </w:pPr>
    <w:rPr>
      <w:rFonts w:cs="宋体"/>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802891-7842-4530-A7DC-ED50525B4A63}">
  <ds:schemaRefs/>
</ds:datastoreItem>
</file>

<file path=docProps/app.xml><?xml version="1.0" encoding="utf-8"?>
<Properties xmlns="http://schemas.openxmlformats.org/officeDocument/2006/extended-properties" xmlns:vt="http://schemas.openxmlformats.org/officeDocument/2006/docPropsVTypes">
  <Template>Normal</Template>
  <Company>zlb</Company>
  <Pages>8</Pages>
  <Words>5601</Words>
  <Characters>6269</Characters>
  <Lines>46</Lines>
  <Paragraphs>13</Paragraphs>
  <TotalTime>2</TotalTime>
  <ScaleCrop>false</ScaleCrop>
  <LinksUpToDate>false</LinksUpToDate>
  <CharactersWithSpaces>6357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2022-04-21T01:03:00Z</dcterms:created>
  <dc:creator>sys</dc:creator>
  <cp:lastModifiedBy>素素</cp:lastModifiedBy>
  <cp:lastPrinted>2022-04-19T13:33:00Z</cp:lastPrinted>
  <dcterms:modified xsi:type="dcterms:W3CDTF">2022-04-22T01:23:52Z</dcterms:modified>
  <dc:title>钛及钛合金加工产品超声波探伤方法编制说明</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DA2B2509B2814F1F9C2290B37D6A340F</vt:lpwstr>
  </property>
</Properties>
</file>