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rPr>
      </w:pPr>
      <w:r>
        <w:rPr>
          <w:rFonts w:hint="eastAsia" w:ascii="黑体" w:hAnsi="黑体" w:eastAsia="黑体" w:cs="黑体"/>
          <w:b/>
          <w:sz w:val="32"/>
          <w:szCs w:val="32"/>
          <w:lang w:val="en-US" w:eastAsia="zh-CN"/>
        </w:rPr>
        <w:t>团体标准</w:t>
      </w:r>
      <w:r>
        <w:rPr>
          <w:rFonts w:hint="eastAsia" w:ascii="黑体" w:hAnsi="黑体" w:eastAsia="黑体" w:cs="黑体"/>
          <w:b/>
          <w:sz w:val="32"/>
          <w:szCs w:val="32"/>
        </w:rPr>
        <w:t xml:space="preserve">《绿色设计产品评价技术规范 </w:t>
      </w:r>
    </w:p>
    <w:p>
      <w:pPr>
        <w:jc w:val="center"/>
        <w:rPr>
          <w:rFonts w:hint="eastAsia" w:ascii="黑体" w:hAnsi="黑体" w:eastAsia="黑体" w:cs="黑体"/>
          <w:b/>
          <w:sz w:val="32"/>
          <w:szCs w:val="32"/>
        </w:rPr>
      </w:pPr>
      <w:r>
        <w:rPr>
          <w:rFonts w:hint="eastAsia" w:ascii="黑体" w:hAnsi="黑体" w:eastAsia="黑体" w:cs="黑体"/>
          <w:b/>
          <w:sz w:val="32"/>
          <w:szCs w:val="32"/>
        </w:rPr>
        <w:t>镍钴二元素复合氢氧化物》</w:t>
      </w:r>
    </w:p>
    <w:p>
      <w:pPr>
        <w:jc w:val="center"/>
        <w:rPr>
          <w:rFonts w:hint="eastAsia" w:ascii="黑体" w:hAnsi="黑体" w:eastAsia="黑体" w:cs="黑体"/>
          <w:b/>
          <w:sz w:val="32"/>
          <w:szCs w:val="32"/>
        </w:rPr>
      </w:pPr>
      <w:r>
        <w:rPr>
          <w:rFonts w:hint="eastAsia" w:ascii="黑体" w:hAnsi="黑体" w:eastAsia="黑体" w:cs="黑体"/>
          <w:b/>
          <w:sz w:val="32"/>
          <w:szCs w:val="32"/>
        </w:rPr>
        <w:t>编制说明</w:t>
      </w:r>
    </w:p>
    <w:p>
      <w:pPr>
        <w:spacing w:line="360" w:lineRule="auto"/>
        <w:jc w:val="center"/>
        <w:rPr>
          <w:rFonts w:hint="default" w:ascii="Times New Roman" w:hAnsi="Times New Roman" w:eastAsia="黑体" w:cs="Times New Roman"/>
          <w:b w:val="0"/>
          <w:bCs/>
          <w:sz w:val="24"/>
          <w:szCs w:val="24"/>
        </w:rPr>
      </w:pPr>
      <w:r>
        <w:rPr>
          <w:rFonts w:hint="eastAsia" w:ascii="黑体" w:hAnsi="黑体" w:eastAsia="黑体" w:cs="黑体"/>
          <w:b/>
          <w:sz w:val="32"/>
          <w:szCs w:val="32"/>
        </w:rPr>
        <w:t>（</w:t>
      </w:r>
      <w:r>
        <w:rPr>
          <w:rFonts w:hint="eastAsia" w:ascii="黑体" w:hAnsi="黑体" w:eastAsia="黑体" w:cs="黑体"/>
          <w:b/>
          <w:sz w:val="32"/>
          <w:szCs w:val="32"/>
          <w:lang w:val="en-US" w:eastAsia="zh-CN"/>
        </w:rPr>
        <w:t>预审稿</w:t>
      </w:r>
      <w:r>
        <w:rPr>
          <w:rFonts w:hint="eastAsia" w:ascii="黑体" w:hAnsi="黑体" w:eastAsia="黑体" w:cs="黑体"/>
          <w:b/>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一、工作简况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1.1任务来源与计划要求</w:t>
      </w:r>
    </w:p>
    <w:p>
      <w:pPr>
        <w:pStyle w:val="8"/>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default" w:ascii="Times New Roman" w:hAnsi="Times New Roman" w:cs="Times New Roman"/>
          <w:color w:val="000000"/>
          <w:sz w:val="24"/>
          <w:szCs w:val="24"/>
          <w:lang w:val="en-US" w:eastAsia="zh-CN"/>
        </w:rPr>
        <w:t>根据</w:t>
      </w:r>
      <w:r>
        <w:rPr>
          <w:rFonts w:hint="eastAsia" w:ascii="Times New Roman" w:hAnsi="Times New Roman" w:cs="Times New Roman"/>
          <w:color w:val="000000"/>
          <w:sz w:val="24"/>
          <w:szCs w:val="24"/>
        </w:rPr>
        <w:t>中国有色金属工业协会</w:t>
      </w:r>
      <w:r>
        <w:rPr>
          <w:rFonts w:hint="eastAsia" w:ascii="宋体" w:hAnsi="宋体" w:eastAsia="宋体" w:cs="宋体"/>
          <w:color w:val="000000"/>
          <w:sz w:val="24"/>
          <w:szCs w:val="24"/>
        </w:rPr>
        <w:t>《关于下达202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批协会标准制修订计划的通知》（中色协科字[202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号）</w:t>
      </w:r>
      <w:r>
        <w:rPr>
          <w:rFonts w:hint="eastAsia" w:ascii="Times New Roman" w:hAnsi="Times New Roman" w:cs="Times New Roman"/>
          <w:color w:val="000000"/>
          <w:sz w:val="24"/>
          <w:szCs w:val="24"/>
        </w:rPr>
        <w:t>精神</w:t>
      </w:r>
      <w:r>
        <w:rPr>
          <w:rFonts w:hint="default" w:ascii="Times New Roman" w:hAnsi="Times New Roman" w:cs="Times New Roman"/>
          <w:color w:val="000000"/>
          <w:sz w:val="24"/>
          <w:szCs w:val="24"/>
          <w:lang w:val="en-US" w:eastAsia="zh-CN"/>
        </w:rPr>
        <w:t>，由</w:t>
      </w:r>
      <w:r>
        <w:rPr>
          <w:rFonts w:hint="eastAsia" w:ascii="Times New Roman"/>
          <w:lang w:val="en-US" w:eastAsia="zh-CN"/>
        </w:rPr>
        <w:t>湖南长远锂科股份有限公司</w:t>
      </w:r>
      <w:r>
        <w:rPr>
          <w:rFonts w:hint="default" w:ascii="Times New Roman" w:hAnsi="Times New Roman" w:cs="Times New Roman"/>
          <w:color w:val="000000"/>
          <w:sz w:val="24"/>
          <w:szCs w:val="24"/>
          <w:lang w:val="en-US" w:eastAsia="zh-CN"/>
        </w:rPr>
        <w:t>负责起草</w:t>
      </w:r>
      <w:r>
        <w:rPr>
          <w:rFonts w:hint="eastAsia" w:ascii="Times New Roman" w:hAnsi="Times New Roman" w:cs="Times New Roman"/>
          <w:color w:val="000000"/>
          <w:sz w:val="24"/>
          <w:szCs w:val="24"/>
          <w:lang w:val="en-US" w:eastAsia="zh-CN"/>
        </w:rPr>
        <w:t>有色金属协会标准</w:t>
      </w: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rPr>
        <w:t>绿色设计产品评价技术规范 镍钴二元素复合氢氧化物</w:t>
      </w:r>
      <w:r>
        <w:rPr>
          <w:rFonts w:hint="default"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rPr>
        <w:t>项</w:t>
      </w:r>
      <w:r>
        <w:rPr>
          <w:rFonts w:hint="default" w:ascii="Times New Roman" w:hAnsi="Times New Roman" w:eastAsia="宋体" w:cs="Times New Roman"/>
          <w:sz w:val="24"/>
          <w:szCs w:val="24"/>
        </w:rPr>
        <w:t>目计划</w:t>
      </w:r>
      <w:r>
        <w:rPr>
          <w:rFonts w:hint="default" w:ascii="Times New Roman" w:hAnsi="Times New Roman" w:eastAsia="宋体" w:cs="Times New Roman"/>
          <w:sz w:val="24"/>
          <w:szCs w:val="24"/>
          <w:lang w:val="en-US" w:eastAsia="zh-CN"/>
        </w:rPr>
        <w:t>编</w:t>
      </w:r>
      <w:r>
        <w:rPr>
          <w:rFonts w:hint="eastAsia" w:ascii="Times New Roman" w:hAnsi="Times New Roman" w:eastAsia="宋体" w:cs="Times New Roman"/>
          <w:sz w:val="24"/>
          <w:szCs w:val="24"/>
          <w:lang w:val="en-US" w:eastAsia="zh-CN"/>
        </w:rPr>
        <w:t>号</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-T/CNIA</w:t>
      </w:r>
      <w:r>
        <w:rPr>
          <w:rFonts w:hint="eastAsia" w:ascii="宋体" w:hAnsi="宋体" w:eastAsia="宋体" w:cs="宋体"/>
          <w:color w:val="000000"/>
          <w:sz w:val="24"/>
          <w:szCs w:val="24"/>
          <w:lang w:eastAsia="zh-CN"/>
        </w:rPr>
        <w:t>，</w:t>
      </w:r>
      <w:r>
        <w:rPr>
          <w:rFonts w:hint="eastAsia" w:ascii="宋体" w:hAnsi="宋体" w:eastAsia="宋体" w:cs="宋体"/>
          <w:sz w:val="24"/>
          <w:szCs w:val="24"/>
        </w:rPr>
        <w:t>计划完成年限</w:t>
      </w:r>
      <w:r>
        <w:rPr>
          <w:rFonts w:hint="eastAsia" w:ascii="宋体" w:hAnsi="宋体" w:eastAsia="宋体" w:cs="宋体"/>
          <w:sz w:val="24"/>
          <w:szCs w:val="24"/>
          <w:lang w:val="en-US" w:eastAsia="zh-CN"/>
        </w:rPr>
        <w:t>为</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eastAsia" w:ascii="Times New Roman" w:hAnsi="Times New Roman" w:eastAsia="黑体" w:cs="Times New Roman"/>
          <w:b w:val="0"/>
          <w:bCs/>
          <w:sz w:val="24"/>
          <w:szCs w:val="24"/>
          <w:lang w:val="en-US" w:eastAsia="zh-CN"/>
        </w:rPr>
        <w:t xml:space="preserve">2 </w:t>
      </w:r>
      <w:r>
        <w:rPr>
          <w:rFonts w:hint="default" w:ascii="Times New Roman" w:hAnsi="Times New Roman" w:eastAsia="黑体" w:cs="Times New Roman"/>
          <w:b w:val="0"/>
          <w:bCs/>
          <w:sz w:val="24"/>
          <w:szCs w:val="24"/>
        </w:rPr>
        <w:t xml:space="preserve"> 标准编写的目的和意义</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eastAsia="宋体" w:cs="Times New Roman"/>
          <w:kern w:val="0"/>
          <w:sz w:val="24"/>
          <w:szCs w:val="24"/>
          <w:lang w:val="en-US" w:eastAsia="zh-CN" w:bidi="ar"/>
        </w:rPr>
        <w:t>资源及环境问题是人类面临的共同挑战，可持续发展日益成为全球共识。我国大力提倡实施绿色可持续发展战略，坚持以“节约资源及能源、减少环境污染”为主要目的，致力于</w:t>
      </w:r>
      <w:r>
        <w:rPr>
          <w:rFonts w:hint="default" w:ascii="Times New Roman" w:hAnsi="Times New Roman" w:eastAsia="宋体" w:cs="Times New Roman"/>
          <w:kern w:val="0"/>
          <w:sz w:val="24"/>
          <w:szCs w:val="24"/>
          <w:lang w:val="en-US" w:eastAsia="zh-CN" w:bidi="ar"/>
        </w:rPr>
        <w:t>加快转变经济发展方式和优化产业结构</w:t>
      </w:r>
      <w:r>
        <w:rPr>
          <w:rFonts w:hint="eastAsia" w:ascii="Times New Roman" w:hAnsi="Times New Roman" w:eastAsia="宋体" w:cs="Times New Roman"/>
          <w:kern w:val="0"/>
          <w:sz w:val="24"/>
          <w:szCs w:val="24"/>
          <w:lang w:val="en-US" w:eastAsia="zh-CN" w:bidi="ar"/>
        </w:rPr>
        <w:t>，促进我国由制造大国向制造强国转型升级，是</w:t>
      </w:r>
      <w:r>
        <w:rPr>
          <w:rFonts w:hint="default" w:ascii="Times New Roman" w:hAnsi="Times New Roman" w:eastAsia="宋体" w:cs="Times New Roman"/>
          <w:kern w:val="0"/>
          <w:sz w:val="24"/>
          <w:szCs w:val="24"/>
          <w:lang w:val="en-US" w:eastAsia="zh-CN" w:bidi="ar"/>
        </w:rPr>
        <w:t>提高</w:t>
      </w:r>
      <w:r>
        <w:rPr>
          <w:rFonts w:hint="eastAsia" w:ascii="Times New Roman" w:hAnsi="Times New Roman" w:eastAsia="宋体" w:cs="Times New Roman"/>
          <w:kern w:val="0"/>
          <w:sz w:val="24"/>
          <w:szCs w:val="24"/>
          <w:lang w:val="en-US" w:eastAsia="zh-CN" w:bidi="ar"/>
        </w:rPr>
        <w:t>我国</w:t>
      </w:r>
      <w:r>
        <w:rPr>
          <w:rFonts w:hint="default" w:ascii="Times New Roman" w:hAnsi="Times New Roman" w:eastAsia="宋体" w:cs="Times New Roman"/>
          <w:kern w:val="0"/>
          <w:sz w:val="24"/>
          <w:szCs w:val="24"/>
          <w:lang w:val="en-US" w:eastAsia="zh-CN" w:bidi="ar"/>
        </w:rPr>
        <w:t>国际竞争力</w:t>
      </w:r>
      <w:r>
        <w:rPr>
          <w:rFonts w:hint="eastAsia" w:ascii="Times New Roman" w:hAnsi="Times New Roman" w:eastAsia="宋体" w:cs="Times New Roman"/>
          <w:kern w:val="0"/>
          <w:sz w:val="24"/>
          <w:szCs w:val="24"/>
          <w:lang w:val="en-US" w:eastAsia="zh-CN" w:bidi="ar"/>
        </w:rPr>
        <w:t>的有效手段</w:t>
      </w:r>
      <w:r>
        <w:rPr>
          <w:rFonts w:hint="eastAsia" w:eastAsia="宋体"/>
          <w:kern w:val="2"/>
          <w:sz w:val="18"/>
          <w:szCs w:val="22"/>
          <w:lang w:val="en-US" w:eastAsia="zh-CN" w:bidi="ar-SA"/>
        </w:rPr>
        <w:t>。</w:t>
      </w:r>
      <w:r>
        <w:rPr>
          <w:rFonts w:hint="default" w:ascii="Times New Roman" w:hAnsi="Times New Roman" w:cs="Times New Roman" w:eastAsiaTheme="minorEastAsia"/>
          <w:color w:val="000000"/>
          <w:kern w:val="0"/>
          <w:sz w:val="24"/>
          <w:szCs w:val="24"/>
          <w:lang w:val="en-US" w:eastAsia="zh-CN" w:bidi="ar"/>
        </w:rPr>
        <w:t>绿色制造工程实施指南（2016-2020年）文件中指出，要建立健全绿色标准，完善产品从设计、制造、使用、回收到再制造的全生命周期绿色标准，强化绿色标准实施。工业和信息化部印发的《工业绿色发展规划（2016-2020年）》，按照产品全生命周期绿色管理理念，大力开展绿色设计示范试点，制定绿色产品标准。</w:t>
      </w:r>
      <w:r>
        <w:rPr>
          <w:rFonts w:hint="eastAsia" w:ascii="Times New Roman" w:hAnsi="Times New Roman" w:cs="Times New Roman"/>
          <w:color w:val="000000"/>
          <w:kern w:val="0"/>
          <w:sz w:val="24"/>
          <w:szCs w:val="24"/>
          <w:lang w:val="en-US" w:eastAsia="zh-CN" w:bidi="ar"/>
        </w:rPr>
        <w:t>因此</w:t>
      </w:r>
      <w:r>
        <w:rPr>
          <w:rFonts w:hint="default" w:ascii="Times New Roman" w:hAnsi="Times New Roman" w:cs="Times New Roman" w:eastAsiaTheme="minorEastAsia"/>
          <w:color w:val="000000"/>
          <w:kern w:val="0"/>
          <w:sz w:val="24"/>
          <w:szCs w:val="24"/>
          <w:lang w:val="en-US" w:eastAsia="zh-CN" w:bidi="ar"/>
        </w:rPr>
        <w:t>强化绿色产品标准领跑、持续构建绿色制造体系，是加强供给侧结构性改革、提升绿色产品供给质量和效率的重要举措，是引导产业转型升级、提升中国制造竞争力的紧迫任务，是引领绿色消费、保障和改善民生的有效途径</w:t>
      </w:r>
      <w:r>
        <w:rPr>
          <w:rFonts w:hint="eastAsia" w:ascii="Times New Roman" w:hAnsi="Times New Roman" w:cs="Times New Roman"/>
          <w:color w:val="000000"/>
          <w:kern w:val="0"/>
          <w:sz w:val="24"/>
          <w:szCs w:val="24"/>
          <w:lang w:val="en-US" w:eastAsia="zh-CN" w:bidi="ar"/>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eastAsiaTheme="minorEastAsia"/>
          <w:b w:val="0"/>
          <w:bCs/>
          <w:sz w:val="24"/>
          <w:szCs w:val="24"/>
          <w:lang w:val="en-US" w:eastAsia="zh-CN"/>
        </w:rPr>
      </w:pPr>
      <w:r>
        <w:rPr>
          <w:rFonts w:hint="eastAsia"/>
          <w:sz w:val="24"/>
          <w:lang w:val="en-US" w:eastAsia="zh-CN"/>
        </w:rPr>
        <w:t>新能源汽车产业是国家战略新兴产业，被“中国制造2025”列入十大重点领域之一，成为解决当今社会面临的环境污染严重及能源短缺问题的有效举措。</w:t>
      </w:r>
      <w:r>
        <w:rPr>
          <w:rFonts w:hint="default" w:ascii="Times New Roman" w:hAnsi="Times New Roman" w:cs="Times New Roman" w:eastAsiaTheme="minorEastAsia"/>
          <w:color w:val="000000"/>
          <w:kern w:val="0"/>
          <w:sz w:val="24"/>
          <w:szCs w:val="24"/>
          <w:lang w:val="en-US" w:eastAsia="zh-CN" w:bidi="ar"/>
        </w:rPr>
        <w:t>锂离子电池正极材料</w:t>
      </w:r>
      <w:r>
        <w:rPr>
          <w:rFonts w:hint="eastAsia" w:ascii="Times New Roman" w:hAnsi="Times New Roman" w:cs="Times New Roman"/>
          <w:color w:val="000000"/>
          <w:kern w:val="0"/>
          <w:sz w:val="24"/>
          <w:szCs w:val="24"/>
          <w:lang w:val="en-US" w:eastAsia="zh-CN" w:bidi="ar"/>
        </w:rPr>
        <w:t>前驱体</w:t>
      </w:r>
      <w:r>
        <w:rPr>
          <w:rFonts w:hint="default" w:ascii="Times New Roman" w:hAnsi="Times New Roman" w:cs="Times New Roman" w:eastAsiaTheme="minorEastAsia"/>
          <w:color w:val="000000"/>
          <w:kern w:val="0"/>
          <w:sz w:val="24"/>
          <w:szCs w:val="24"/>
          <w:lang w:val="en-US" w:eastAsia="zh-CN" w:bidi="ar"/>
        </w:rPr>
        <w:t>是新能源汽车中动力电池的重要组成部分，直接影响着动力电池性能的发挥</w:t>
      </w: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eastAsiaTheme="minorEastAsia"/>
          <w:color w:val="000000"/>
          <w:kern w:val="0"/>
          <w:sz w:val="24"/>
          <w:szCs w:val="24"/>
          <w:lang w:val="en-US" w:eastAsia="zh-CN" w:bidi="ar"/>
        </w:rPr>
        <w:t>因此开发性能优异﹑成本低廉的前驱体材料成为未来新能源汽车材料的重点关注及研究领域。镍钴二元素复合氢氧化物前驱体材料，采用氢氧化物共沉淀法制备而成，</w:t>
      </w:r>
      <w:r>
        <w:rPr>
          <w:rFonts w:hint="default" w:ascii="Times New Roman" w:hAnsi="Times New Roman" w:cs="Times New Roman" w:eastAsiaTheme="minorEastAsia"/>
          <w:color w:val="000000"/>
          <w:kern w:val="0"/>
          <w:sz w:val="24"/>
          <w:szCs w:val="24"/>
          <w:lang w:val="en-US" w:eastAsia="zh-TW" w:bidi="ar"/>
        </w:rPr>
        <w:t>可</w:t>
      </w:r>
      <w:r>
        <w:rPr>
          <w:rFonts w:hint="default" w:ascii="Times New Roman" w:hAnsi="Times New Roman" w:cs="Times New Roman" w:eastAsiaTheme="minorEastAsia"/>
          <w:color w:val="000000"/>
          <w:kern w:val="0"/>
          <w:sz w:val="24"/>
          <w:szCs w:val="24"/>
          <w:lang w:val="en-US" w:eastAsia="zh-CN" w:bidi="ar"/>
        </w:rPr>
        <w:t>通过</w:t>
      </w:r>
      <w:r>
        <w:rPr>
          <w:rFonts w:hint="default" w:ascii="Times New Roman" w:hAnsi="Times New Roman" w:cs="Times New Roman" w:eastAsiaTheme="minorEastAsia"/>
          <w:color w:val="000000"/>
          <w:kern w:val="0"/>
          <w:sz w:val="24"/>
          <w:szCs w:val="24"/>
          <w:lang w:val="en-US" w:eastAsia="zh-TW" w:bidi="ar"/>
        </w:rPr>
        <w:t>直接烧结制成</w:t>
      </w:r>
      <w:r>
        <w:rPr>
          <w:rFonts w:hint="default" w:ascii="Times New Roman" w:hAnsi="Times New Roman" w:cs="Times New Roman" w:eastAsiaTheme="minorEastAsia"/>
          <w:color w:val="000000"/>
          <w:kern w:val="0"/>
          <w:sz w:val="24"/>
          <w:szCs w:val="24"/>
          <w:lang w:val="en-US" w:eastAsia="zh-CN" w:bidi="ar"/>
        </w:rPr>
        <w:t>镍钴二元素氧化物，</w:t>
      </w:r>
      <w:r>
        <w:rPr>
          <w:rFonts w:hint="default" w:ascii="Times New Roman" w:hAnsi="Times New Roman" w:cs="Times New Roman" w:eastAsiaTheme="minorEastAsia"/>
          <w:color w:val="000000"/>
          <w:kern w:val="0"/>
          <w:sz w:val="24"/>
          <w:szCs w:val="24"/>
          <w:lang w:val="en-US" w:eastAsia="zh-TW" w:bidi="ar"/>
        </w:rPr>
        <w:t>制备</w:t>
      </w:r>
      <w:r>
        <w:rPr>
          <w:rFonts w:hint="default" w:ascii="Times New Roman" w:hAnsi="Times New Roman" w:cs="Times New Roman" w:eastAsiaTheme="minorEastAsia"/>
          <w:color w:val="000000"/>
          <w:kern w:val="0"/>
          <w:sz w:val="24"/>
          <w:szCs w:val="24"/>
          <w:lang w:val="en-US" w:eastAsia="zh-CN" w:bidi="ar"/>
        </w:rPr>
        <w:t>得到</w:t>
      </w:r>
      <w:r>
        <w:rPr>
          <w:rFonts w:hint="default" w:ascii="Times New Roman" w:hAnsi="Times New Roman" w:cs="Times New Roman" w:eastAsiaTheme="minorEastAsia"/>
          <w:color w:val="000000"/>
          <w:kern w:val="0"/>
          <w:sz w:val="24"/>
          <w:szCs w:val="24"/>
          <w:lang w:val="en-US" w:eastAsia="zh-TW" w:bidi="ar"/>
        </w:rPr>
        <w:t>镍钴酸锂和镍钴铝酸锂等</w:t>
      </w:r>
      <w:r>
        <w:rPr>
          <w:rFonts w:hint="default" w:ascii="Times New Roman" w:hAnsi="Times New Roman" w:cs="Times New Roman" w:eastAsiaTheme="minorEastAsia"/>
          <w:color w:val="000000"/>
          <w:kern w:val="0"/>
          <w:sz w:val="24"/>
          <w:szCs w:val="24"/>
          <w:lang w:val="en-US" w:eastAsia="zh-CN" w:bidi="ar"/>
        </w:rPr>
        <w:t>锂离子电池</w:t>
      </w:r>
      <w:r>
        <w:rPr>
          <w:rFonts w:hint="default" w:ascii="Times New Roman" w:hAnsi="Times New Roman" w:cs="Times New Roman" w:eastAsiaTheme="minorEastAsia"/>
          <w:color w:val="000000"/>
          <w:kern w:val="0"/>
          <w:sz w:val="24"/>
          <w:szCs w:val="24"/>
          <w:lang w:val="en-US" w:eastAsia="zh-TW" w:bidi="ar"/>
        </w:rPr>
        <w:t>正极材料</w:t>
      </w:r>
      <w:r>
        <w:rPr>
          <w:rFonts w:hint="default" w:ascii="Times New Roman" w:hAnsi="Times New Roman" w:cs="Times New Roman" w:eastAsiaTheme="minorEastAsia"/>
          <w:color w:val="000000"/>
          <w:kern w:val="0"/>
          <w:sz w:val="24"/>
          <w:szCs w:val="24"/>
          <w:lang w:val="en-US" w:eastAsia="zh-CN" w:bidi="ar"/>
        </w:rPr>
        <w:t>；同时</w:t>
      </w:r>
      <w:r>
        <w:rPr>
          <w:rFonts w:hint="default" w:ascii="Times New Roman" w:hAnsi="Times New Roman" w:cs="Times New Roman" w:eastAsiaTheme="minorEastAsia"/>
          <w:color w:val="000000"/>
          <w:kern w:val="0"/>
          <w:sz w:val="24"/>
          <w:szCs w:val="24"/>
          <w:lang w:val="en-US" w:eastAsia="zh-TW" w:bidi="ar"/>
        </w:rPr>
        <w:t>还可以通过</w:t>
      </w:r>
      <w:r>
        <w:rPr>
          <w:rFonts w:hint="default" w:ascii="Times New Roman" w:hAnsi="Times New Roman" w:cs="Times New Roman" w:eastAsiaTheme="minorEastAsia"/>
          <w:color w:val="000000"/>
          <w:kern w:val="0"/>
          <w:sz w:val="24"/>
          <w:szCs w:val="24"/>
          <w:lang w:val="en-US" w:eastAsia="zh-CN" w:bidi="ar"/>
        </w:rPr>
        <w:t>与</w:t>
      </w:r>
      <w:r>
        <w:rPr>
          <w:rFonts w:hint="default" w:ascii="Times New Roman" w:hAnsi="Times New Roman" w:cs="Times New Roman" w:eastAsiaTheme="minorEastAsia"/>
          <w:color w:val="000000"/>
          <w:kern w:val="0"/>
          <w:sz w:val="24"/>
          <w:szCs w:val="24"/>
          <w:lang w:val="en-US" w:eastAsia="zh-TW" w:bidi="ar"/>
        </w:rPr>
        <w:t>铝</w:t>
      </w:r>
      <w:r>
        <w:rPr>
          <w:rFonts w:hint="default" w:ascii="Times New Roman" w:hAnsi="Times New Roman" w:cs="Times New Roman" w:eastAsiaTheme="minorEastAsia"/>
          <w:color w:val="000000"/>
          <w:kern w:val="0"/>
          <w:sz w:val="24"/>
          <w:szCs w:val="24"/>
          <w:lang w:val="en-US" w:eastAsia="zh-CN" w:bidi="ar"/>
        </w:rPr>
        <w:t>盐共沉淀形成镍钴铝三元前驱体，是制备镍钴铝正极材料的原材料。</w:t>
      </w:r>
      <w:r>
        <w:rPr>
          <w:rFonts w:hint="default" w:ascii="Times New Roman" w:hAnsi="Times New Roman" w:cs="Times New Roman" w:eastAsiaTheme="minorEastAsia"/>
          <w:color w:val="000000"/>
          <w:kern w:val="0"/>
          <w:sz w:val="24"/>
          <w:szCs w:val="24"/>
          <w:lang w:val="en-US" w:eastAsia="zh-TW" w:bidi="ar"/>
        </w:rPr>
        <w:t>以镍钴酸锂和镍钴铝酸锂为正极材料的</w:t>
      </w:r>
      <w:r>
        <w:rPr>
          <w:rFonts w:hint="eastAsia" w:ascii="Times New Roman" w:hAnsi="Times New Roman" w:cs="Times New Roman"/>
          <w:color w:val="000000"/>
          <w:kern w:val="0"/>
          <w:sz w:val="24"/>
          <w:szCs w:val="24"/>
          <w:lang w:val="en-US" w:eastAsia="zh-CN" w:bidi="ar"/>
        </w:rPr>
        <w:t>锂离子电池</w:t>
      </w:r>
      <w:r>
        <w:rPr>
          <w:rFonts w:hint="default" w:ascii="Times New Roman" w:hAnsi="Times New Roman" w:cs="Times New Roman" w:eastAsiaTheme="minorEastAsia"/>
          <w:color w:val="000000"/>
          <w:kern w:val="0"/>
          <w:sz w:val="24"/>
          <w:szCs w:val="24"/>
          <w:lang w:val="en-US" w:eastAsia="zh-TW" w:bidi="ar"/>
        </w:rPr>
        <w:t>，具有比容量高、热稳定性和循环稳定性好、倍率性能优良等突出优点，在电子设备、通讯和</w:t>
      </w:r>
      <w:r>
        <w:rPr>
          <w:rFonts w:hint="default" w:ascii="Times New Roman" w:hAnsi="Times New Roman" w:cs="Times New Roman" w:eastAsiaTheme="minorEastAsia"/>
          <w:color w:val="000000"/>
          <w:kern w:val="0"/>
          <w:sz w:val="24"/>
          <w:szCs w:val="24"/>
          <w:lang w:val="en-US" w:eastAsia="zh-CN" w:bidi="ar"/>
        </w:rPr>
        <w:t>新能源汽车</w:t>
      </w:r>
      <w:r>
        <w:rPr>
          <w:rFonts w:hint="default" w:ascii="Times New Roman" w:hAnsi="Times New Roman" w:cs="Times New Roman" w:eastAsiaTheme="minorEastAsia"/>
          <w:color w:val="000000"/>
          <w:kern w:val="0"/>
          <w:sz w:val="24"/>
          <w:szCs w:val="24"/>
          <w:lang w:val="en-US" w:eastAsia="zh-TW" w:bidi="ar"/>
        </w:rPr>
        <w:t>等领域具有广阔的应用前景。</w:t>
      </w:r>
      <w:r>
        <w:rPr>
          <w:rFonts w:hint="eastAsia" w:ascii="Times New Roman" w:hAnsi="Times New Roman" w:cs="Times New Roman"/>
          <w:color w:val="000000"/>
          <w:kern w:val="0"/>
          <w:sz w:val="24"/>
          <w:szCs w:val="24"/>
          <w:lang w:val="en-US" w:eastAsia="zh-CN" w:bidi="ar"/>
        </w:rPr>
        <w:t>因此针对镍钴二元素复合氢氧化物制定相关的绿色产品设计评价技术规范标准具有重要的意义。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eastAsia" w:ascii="Times New Roman" w:hAnsi="Times New Roman" w:eastAsia="黑体" w:cs="Times New Roman"/>
          <w:b w:val="0"/>
          <w:bCs/>
          <w:sz w:val="24"/>
          <w:szCs w:val="24"/>
          <w:lang w:val="en-US" w:eastAsia="zh-CN"/>
        </w:rPr>
        <w:t>3</w:t>
      </w:r>
      <w:r>
        <w:rPr>
          <w:rFonts w:hint="eastAsia" w:ascii="Times New Roman" w:hAnsi="Times New Roman" w:eastAsia="黑体" w:cs="Times New Roman"/>
          <w:b w:val="0"/>
          <w:bCs/>
          <w:sz w:val="24"/>
          <w:szCs w:val="24"/>
        </w:rPr>
        <w:t>主要</w:t>
      </w:r>
      <w:r>
        <w:rPr>
          <w:rFonts w:hint="default" w:ascii="Times New Roman" w:hAnsi="Times New Roman" w:eastAsia="黑体" w:cs="Times New Roman"/>
          <w:b w:val="0"/>
          <w:bCs/>
          <w:sz w:val="24"/>
          <w:szCs w:val="24"/>
        </w:rPr>
        <w:t>参</w:t>
      </w:r>
      <w:r>
        <w:rPr>
          <w:rFonts w:hint="eastAsia" w:ascii="Times New Roman" w:hAnsi="Times New Roman" w:eastAsia="黑体" w:cs="Times New Roman"/>
          <w:b w:val="0"/>
          <w:bCs/>
          <w:sz w:val="24"/>
          <w:szCs w:val="24"/>
        </w:rPr>
        <w:t>加</w:t>
      </w:r>
      <w:r>
        <w:rPr>
          <w:rFonts w:hint="default" w:ascii="Times New Roman" w:hAnsi="Times New Roman" w:eastAsia="黑体" w:cs="Times New Roman"/>
          <w:b w:val="0"/>
          <w:bCs/>
          <w:sz w:val="24"/>
          <w:szCs w:val="24"/>
        </w:rPr>
        <w:t>单位和工作成员及其所</w:t>
      </w:r>
      <w:r>
        <w:rPr>
          <w:rFonts w:hint="eastAsia" w:ascii="Times New Roman" w:hAnsi="Times New Roman" w:eastAsia="黑体" w:cs="Times New Roman"/>
          <w:b w:val="0"/>
          <w:bCs/>
          <w:sz w:val="24"/>
          <w:szCs w:val="24"/>
        </w:rPr>
        <w:t>做</w:t>
      </w:r>
      <w:r>
        <w:rPr>
          <w:rFonts w:hint="default" w:ascii="Times New Roman" w:hAnsi="Times New Roman" w:eastAsia="黑体" w:cs="Times New Roman"/>
          <w:b w:val="0"/>
          <w:bCs/>
          <w:sz w:val="24"/>
          <w:szCs w:val="24"/>
        </w:rPr>
        <w:t>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rPr>
        <w:t>1.</w:t>
      </w:r>
      <w:r>
        <w:rPr>
          <w:rFonts w:hint="eastAsia" w:ascii="Times New Roman" w:hAnsi="Times New Roman" w:eastAsia="黑体" w:cs="Times New Roman"/>
          <w:b w:val="0"/>
          <w:bCs/>
          <w:sz w:val="24"/>
          <w:szCs w:val="24"/>
          <w:lang w:val="en-US" w:eastAsia="zh-CN"/>
        </w:rPr>
        <w:t>3</w:t>
      </w:r>
      <w:r>
        <w:rPr>
          <w:rFonts w:hint="default" w:ascii="Times New Roman" w:hAnsi="Times New Roman" w:eastAsia="黑体" w:cs="Times New Roman"/>
          <w:b w:val="0"/>
          <w:bCs/>
          <w:sz w:val="24"/>
          <w:szCs w:val="24"/>
        </w:rPr>
        <w:t>.1承担单位</w:t>
      </w:r>
      <w:r>
        <w:rPr>
          <w:rFonts w:hint="eastAsia" w:ascii="Times New Roman" w:hAnsi="Times New Roman" w:eastAsia="黑体" w:cs="Times New Roman"/>
          <w:b w:val="0"/>
          <w:bCs/>
          <w:sz w:val="24"/>
          <w:szCs w:val="24"/>
          <w:lang w:val="en-US" w:eastAsia="zh-CN"/>
        </w:rPr>
        <w:t>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湖南长远锂科股份有限公司成立于2002年，是世界500强企业中国五矿集团有限公司直管企业，是中央企业电动汽车联盟成员企业，是科创板上市企业。公司专注于高效电池材料的研究与生产，主要产品包括多元材料前驱体、多元正极材料、钴酸锂等锂电正极材料和镍氢电池正极材料，拥有锂电多元材料前驱体和锂电多元正极材料完整产品体系，在动力三元材料市场占有率始终保持行业领先。目前，公司拥有麓谷基地、铜官基地、高新基地三个生产基地，2022年将达到2万吨/年前驱体、11万吨/年正极材料的产能。</w:t>
      </w:r>
    </w:p>
    <w:p>
      <w:pPr>
        <w:pStyle w:val="7"/>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cs="Times New Roman"/>
          <w:kern w:val="0"/>
          <w:sz w:val="24"/>
          <w:szCs w:val="24"/>
          <w:lang w:val="en-US" w:eastAsia="zh-CN" w:bidi="ar"/>
        </w:rPr>
        <w:t>公司</w:t>
      </w:r>
      <w:r>
        <w:rPr>
          <w:rFonts w:hint="eastAsia" w:ascii="Times New Roman" w:hAnsi="Times New Roman" w:eastAsia="宋体" w:cs="Times New Roman"/>
          <w:kern w:val="0"/>
          <w:sz w:val="24"/>
          <w:szCs w:val="24"/>
          <w:lang w:val="en-US" w:eastAsia="zh-CN" w:bidi="ar"/>
        </w:rPr>
        <w:t>是高新技术企业、省级企业技术中心，拥有博士后工作站。公司产品代表了高性能锂离子电池正极材料的发展方向，单晶三元、高镍材料在行业内享誉盛名，产品技术处于国际先进水平。公司通过ISO9001质量管理体系认证、ISO14001环境管理体系认证、ISO45001职业健康安全管理体系认证、ISO50001能源管理体系认证、ISO27001信息安全管理体系认证、IATF16949汽车行业质量管理体系认证和知识产权管理体系认证。</w:t>
      </w:r>
    </w:p>
    <w:p>
      <w:pPr>
        <w:pStyle w:val="7"/>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cs="Times New Roman"/>
          <w:kern w:val="0"/>
          <w:sz w:val="24"/>
          <w:szCs w:val="24"/>
          <w:lang w:val="en-US" w:eastAsia="zh-CN" w:bidi="ar"/>
        </w:rPr>
        <w:t>公司</w:t>
      </w:r>
      <w:r>
        <w:rPr>
          <w:rFonts w:hint="eastAsia" w:ascii="Times New Roman" w:hAnsi="Times New Roman" w:eastAsia="宋体" w:cs="Times New Roman"/>
          <w:kern w:val="0"/>
          <w:sz w:val="24"/>
          <w:szCs w:val="24"/>
          <w:lang w:val="en-US" w:eastAsia="zh-CN" w:bidi="ar"/>
        </w:rPr>
        <w:t>是中国五矿新能源材料产业的骨干企业，是国内先进储能材料产业链的典型代表性企业，是长株潭先进储能材料产业联盟盟长单位。作为中国五矿成员企业，借助集团公司镍、钴、锰、锂等资源长远保障优势和全产业链优势，公司坚持品质，集聚人才，专注研发，致力于成为全球技术领先、品质优良、价格优惠、受行业尊敬的新能源材料行业引领者，为中国五矿“四梁八柱”业务体系做强做优增砖加瓦，为实现国有资产快速增值贡献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1.3.2</w:t>
      </w:r>
      <w:r>
        <w:rPr>
          <w:rFonts w:hint="default" w:ascii="Times New Roman" w:hAnsi="Times New Roman" w:eastAsia="黑体" w:cs="Times New Roman"/>
          <w:b w:val="0"/>
          <w:bCs/>
          <w:sz w:val="24"/>
          <w:szCs w:val="24"/>
        </w:rPr>
        <w:t>主要参加单位</w:t>
      </w:r>
      <w:r>
        <w:rPr>
          <w:rFonts w:hint="eastAsia" w:ascii="Times New Roman" w:hAnsi="Times New Roman" w:eastAsia="黑体" w:cs="Times New Roman"/>
          <w:b w:val="0"/>
          <w:bCs/>
          <w:sz w:val="24"/>
          <w:szCs w:val="24"/>
        </w:rPr>
        <w:t>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8"/>
          <w:szCs w:val="28"/>
          <w:lang w:val="en-US" w:eastAsia="zh-CN"/>
        </w:rPr>
      </w:pPr>
      <w:r>
        <w:rPr>
          <w:rFonts w:hint="default" w:ascii="Times New Roman" w:hAnsi="Times New Roman" w:cs="Times New Roman"/>
          <w:sz w:val="24"/>
          <w:lang w:val="en-US" w:eastAsia="zh-CN"/>
        </w:rPr>
        <w:t>在标准的编制过程</w:t>
      </w:r>
      <w:r>
        <w:rPr>
          <w:rFonts w:hint="eastAsia" w:ascii="Times New Roman" w:hAnsi="Times New Roman" w:cs="Times New Roman"/>
          <w:sz w:val="24"/>
          <w:lang w:val="en-US" w:eastAsia="zh-CN"/>
        </w:rPr>
        <w:t>中</w:t>
      </w: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Times New Roman"/>
          <w:kern w:val="0"/>
          <w:sz w:val="24"/>
          <w:szCs w:val="24"/>
          <w:lang w:val="en-US" w:eastAsia="zh-CN" w:bidi="ar"/>
        </w:rPr>
        <w:t>金驰能源材料有限公司、华友新能源科技（衢州）有限公司、中伟新材料股份有限公司、天津国安盟固利新材料科技股份有限公司、广东邦普循环科技有限公司、江苏当升材料科技有限公司、格林爱科（荆门）新能源材料有限公司等镍钴二元素复合氢氧化物生产企业</w:t>
      </w:r>
      <w:r>
        <w:rPr>
          <w:rFonts w:hint="default" w:ascii="Times New Roman" w:hAnsi="Times New Roman" w:eastAsia="宋体" w:cs="Times New Roman"/>
          <w:kern w:val="0"/>
          <w:sz w:val="24"/>
          <w:szCs w:val="24"/>
          <w:lang w:val="en-US" w:eastAsia="zh-CN" w:bidi="ar"/>
        </w:rPr>
        <w:t>，积极参与</w:t>
      </w:r>
      <w:r>
        <w:rPr>
          <w:rFonts w:hint="eastAsia" w:ascii="Times New Roman" w:hAnsi="Times New Roman" w:eastAsia="宋体" w:cs="Times New Roman"/>
          <w:kern w:val="0"/>
          <w:sz w:val="24"/>
          <w:szCs w:val="24"/>
          <w:lang w:val="en-US" w:eastAsia="zh-CN" w:bidi="ar"/>
        </w:rPr>
        <w:t>本</w:t>
      </w:r>
      <w:r>
        <w:rPr>
          <w:rFonts w:hint="default" w:ascii="Times New Roman" w:hAnsi="Times New Roman" w:eastAsia="宋体" w:cs="Times New Roman"/>
          <w:kern w:val="0"/>
          <w:sz w:val="24"/>
          <w:szCs w:val="24"/>
          <w:lang w:val="en-US" w:eastAsia="zh-CN" w:bidi="ar"/>
        </w:rPr>
        <w:t>标准的调研工作，</w:t>
      </w:r>
      <w:r>
        <w:rPr>
          <w:rFonts w:hint="eastAsia" w:ascii="Times New Roman" w:hAnsi="Times New Roman" w:eastAsia="宋体" w:cs="Times New Roman"/>
          <w:kern w:val="0"/>
          <w:sz w:val="24"/>
          <w:szCs w:val="24"/>
          <w:lang w:val="en-US" w:eastAsia="zh-CN" w:bidi="ar"/>
        </w:rPr>
        <w:t>结合企</w:t>
      </w:r>
      <w:r>
        <w:rPr>
          <w:rFonts w:hint="eastAsia" w:ascii="Times New Roman" w:hAnsi="Times New Roman" w:cs="Times New Roman"/>
          <w:sz w:val="24"/>
          <w:lang w:val="en-US" w:eastAsia="zh-CN"/>
        </w:rPr>
        <w:t>业实际生产情况提供相关数据，并对</w:t>
      </w:r>
      <w:r>
        <w:rPr>
          <w:rFonts w:hint="default" w:ascii="Times New Roman" w:hAnsi="Times New Roman" w:cs="Times New Roman"/>
          <w:sz w:val="24"/>
          <w:lang w:val="en-US" w:eastAsia="zh-CN"/>
        </w:rPr>
        <w:t>标准的征求意见稿</w:t>
      </w:r>
      <w:r>
        <w:rPr>
          <w:rFonts w:hint="eastAsia" w:ascii="Times New Roman" w:hAnsi="Times New Roman" w:cs="Times New Roman"/>
          <w:sz w:val="24"/>
          <w:lang w:val="en-US" w:eastAsia="zh-CN"/>
        </w:rPr>
        <w:t>提出了</w:t>
      </w:r>
      <w:r>
        <w:rPr>
          <w:rFonts w:hint="default" w:ascii="Times New Roman" w:hAnsi="Times New Roman" w:cs="Times New Roman"/>
          <w:sz w:val="24"/>
          <w:lang w:val="en-US" w:eastAsia="zh-CN"/>
        </w:rPr>
        <w:t>修改意见</w:t>
      </w:r>
      <w:r>
        <w:rPr>
          <w:rFonts w:hint="eastAsia" w:ascii="Times New Roman" w:hAnsi="Times New Roman" w:cs="Times New Roman"/>
          <w:sz w:val="24"/>
          <w:lang w:val="en-US" w:eastAsia="zh-CN"/>
        </w:rPr>
        <w:t>，为本标准的编制工作提供有力支撑。</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 xml:space="preserve">1.3.3 </w:t>
      </w:r>
      <w:r>
        <w:rPr>
          <w:rFonts w:hint="default" w:ascii="Times New Roman" w:hAnsi="Times New Roman" w:eastAsia="黑体" w:cs="Times New Roman"/>
          <w:b w:val="0"/>
          <w:bCs/>
          <w:sz w:val="24"/>
          <w:szCs w:val="24"/>
        </w:rPr>
        <w:t>主要工作成员所</w:t>
      </w:r>
      <w:r>
        <w:rPr>
          <w:rFonts w:hint="eastAsia" w:ascii="Times New Roman" w:hAnsi="Times New Roman" w:eastAsia="黑体" w:cs="Times New Roman"/>
          <w:b w:val="0"/>
          <w:bCs/>
          <w:sz w:val="24"/>
          <w:szCs w:val="24"/>
        </w:rPr>
        <w:t>负责</w:t>
      </w:r>
      <w:r>
        <w:rPr>
          <w:rFonts w:hint="default" w:ascii="Times New Roman" w:hAnsi="Times New Roman" w:eastAsia="黑体" w:cs="Times New Roman"/>
          <w:b w:val="0"/>
          <w:bCs/>
          <w:sz w:val="24"/>
          <w:szCs w:val="24"/>
        </w:rPr>
        <w:t>的工作情况</w:t>
      </w:r>
    </w:p>
    <w:p>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本标准主要起草人及工作职责见表1。</w:t>
      </w:r>
    </w:p>
    <w:p>
      <w:pPr>
        <w:spacing w:line="360" w:lineRule="auto"/>
        <w:ind w:firstLine="480" w:firstLineChars="200"/>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表1 主要</w:t>
      </w:r>
      <w:r>
        <w:rPr>
          <w:rFonts w:hint="default" w:ascii="Times New Roman" w:hAnsi="Times New Roman" w:cs="Times New Roman"/>
          <w:sz w:val="24"/>
          <w:lang w:val="en-US" w:eastAsia="zh-CN"/>
        </w:rPr>
        <w:t>起草人及工作职责</w:t>
      </w:r>
    </w:p>
    <w:tbl>
      <w:tblPr>
        <w:tblStyle w:val="9"/>
        <w:tblW w:w="7507" w:type="dxa"/>
        <w:tblInd w:w="10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7"/>
        <w:gridCol w:w="4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7"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起草</w:t>
            </w:r>
            <w:r>
              <w:rPr>
                <w:rFonts w:hint="default" w:ascii="Times New Roman" w:hAnsi="Times New Roman" w:cs="Times New Roman"/>
                <w:sz w:val="21"/>
                <w:szCs w:val="21"/>
                <w:lang w:val="en-US" w:eastAsia="zh-CN"/>
              </w:rPr>
              <w:t>人</w:t>
            </w:r>
          </w:p>
        </w:tc>
        <w:tc>
          <w:tcPr>
            <w:tcW w:w="4620"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工作</w:t>
            </w:r>
            <w:r>
              <w:rPr>
                <w:rFonts w:hint="default" w:ascii="Times New Roman" w:hAnsi="Times New Roman" w:cs="Times New Roman"/>
                <w:sz w:val="21"/>
                <w:szCs w:val="21"/>
                <w:lang w:val="en-US" w:eastAsia="zh-CN"/>
              </w:rPr>
              <w:t>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7" w:type="dxa"/>
            <w:noWrap w:val="0"/>
            <w:vAlign w:val="center"/>
          </w:tcPr>
          <w:p>
            <w:pPr>
              <w:spacing w:line="360" w:lineRule="auto"/>
              <w:ind w:firstLine="840" w:firstLineChars="40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周耀、周春仙</w:t>
            </w:r>
          </w:p>
        </w:tc>
        <w:tc>
          <w:tcPr>
            <w:tcW w:w="4620" w:type="dxa"/>
            <w:noWrap w:val="0"/>
            <w:vAlign w:val="center"/>
          </w:tcPr>
          <w:p>
            <w:pPr>
              <w:spacing w:line="360" w:lineRule="auto"/>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负责本</w:t>
            </w:r>
            <w:r>
              <w:rPr>
                <w:rFonts w:hint="default" w:ascii="Times New Roman" w:hAnsi="Times New Roman" w:cs="Times New Roman"/>
                <w:sz w:val="21"/>
                <w:szCs w:val="21"/>
                <w:lang w:val="en-US" w:eastAsia="zh-CN"/>
              </w:rPr>
              <w:t>标准</w:t>
            </w:r>
            <w:r>
              <w:rPr>
                <w:rFonts w:hint="eastAsia" w:ascii="Times New Roman" w:hAnsi="Times New Roman" w:cs="Times New Roman"/>
                <w:sz w:val="21"/>
                <w:szCs w:val="21"/>
                <w:lang w:val="en-US" w:eastAsia="zh-CN"/>
              </w:rPr>
              <w:t>的指导及</w:t>
            </w:r>
            <w:r>
              <w:rPr>
                <w:rFonts w:hint="default" w:ascii="Times New Roman" w:hAnsi="Times New Roman" w:cs="Times New Roman"/>
                <w:sz w:val="21"/>
                <w:szCs w:val="21"/>
                <w:lang w:val="en-US" w:eastAsia="zh-CN"/>
              </w:rPr>
              <w:t>组织协调</w:t>
            </w:r>
            <w:r>
              <w:rPr>
                <w:rFonts w:hint="eastAsia" w:ascii="Times New Roman" w:hAnsi="Times New Roman" w:cs="Times New Roman"/>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7"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刘玮、胡坚罗</w:t>
            </w:r>
          </w:p>
        </w:tc>
        <w:tc>
          <w:tcPr>
            <w:tcW w:w="4620" w:type="dxa"/>
            <w:noWrap w:val="0"/>
            <w:vAlign w:val="center"/>
          </w:tcPr>
          <w:p>
            <w:pPr>
              <w:spacing w:line="360" w:lineRule="auto"/>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负责本</w:t>
            </w:r>
            <w:r>
              <w:rPr>
                <w:rFonts w:hint="default" w:ascii="Times New Roman" w:hAnsi="Times New Roman" w:cs="Times New Roman"/>
                <w:sz w:val="21"/>
                <w:szCs w:val="21"/>
                <w:lang w:val="en-US" w:eastAsia="zh-CN"/>
              </w:rPr>
              <w:t>标准的标准文本、编制说明的撰写</w:t>
            </w:r>
            <w:r>
              <w:rPr>
                <w:rFonts w:hint="eastAsia" w:ascii="Times New Roman" w:hAnsi="Times New Roman" w:cs="Times New Roman"/>
                <w:sz w:val="21"/>
                <w:szCs w:val="21"/>
                <w:lang w:val="en-US" w:eastAsia="zh-CN"/>
              </w:rPr>
              <w:t>，标准意见</w:t>
            </w:r>
            <w:r>
              <w:rPr>
                <w:rFonts w:hint="default" w:ascii="Times New Roman" w:hAnsi="Times New Roman" w:cs="Times New Roman"/>
                <w:sz w:val="21"/>
                <w:szCs w:val="21"/>
                <w:lang w:val="en-US" w:eastAsia="zh-CN"/>
              </w:rPr>
              <w:t>汇总处理</w:t>
            </w:r>
            <w:r>
              <w:rPr>
                <w:rFonts w:hint="eastAsia" w:ascii="Times New Roman" w:hAnsi="Times New Roman" w:cs="Times New Roman"/>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陈婷、田桂英、凌仕刚、明邦来、孙国平、王培等</w:t>
            </w:r>
          </w:p>
        </w:tc>
        <w:tc>
          <w:tcPr>
            <w:tcW w:w="4620" w:type="dxa"/>
            <w:noWrap w:val="0"/>
            <w:vAlign w:val="center"/>
          </w:tcPr>
          <w:p>
            <w:pPr>
              <w:spacing w:line="360" w:lineRule="auto"/>
              <w:ind w:left="0" w:leftChars="0" w:firstLine="0" w:firstLineChars="0"/>
              <w:jc w:val="both"/>
              <w:rPr>
                <w:rFonts w:hint="eastAsia" w:ascii="Times New Roman" w:hAnsi="Times New Roman" w:eastAsia="宋体" w:cs="Times New Roman"/>
                <w:sz w:val="21"/>
                <w:szCs w:val="21"/>
                <w:lang w:val="en-US" w:eastAsia="zh-CN"/>
              </w:rPr>
            </w:pPr>
            <w:r>
              <w:rPr>
                <w:rFonts w:hint="eastAsia"/>
                <w:sz w:val="22"/>
              </w:rPr>
              <w:t>负责提供企业的现场调研及配合文件编写开展现场评价及数据提供</w:t>
            </w:r>
            <w:r>
              <w:rPr>
                <w:rFonts w:hint="eastAsia"/>
                <w:sz w:val="22"/>
                <w:lang w:eastAsia="zh-CN"/>
              </w:rPr>
              <w:t>。</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1.</w:t>
      </w:r>
      <w:r>
        <w:rPr>
          <w:rFonts w:hint="eastAsia" w:ascii="Times New Roman" w:hAnsi="Times New Roman" w:eastAsia="黑体" w:cs="Times New Roman"/>
          <w:b w:val="0"/>
          <w:bCs/>
          <w:sz w:val="24"/>
          <w:szCs w:val="24"/>
          <w:lang w:val="en-US" w:eastAsia="zh-CN"/>
        </w:rPr>
        <w:t>4</w:t>
      </w:r>
      <w:r>
        <w:rPr>
          <w:rFonts w:hint="default" w:ascii="Times New Roman" w:hAnsi="Times New Roman" w:eastAsia="黑体" w:cs="Times New Roman"/>
          <w:b w:val="0"/>
          <w:bCs/>
          <w:sz w:val="24"/>
          <w:szCs w:val="24"/>
          <w:lang w:val="en-US" w:eastAsia="zh-CN"/>
        </w:rPr>
        <w:t>主要工作过程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1.4.1 起草阶段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根据任务落实会议精神，</w:t>
      </w:r>
      <w:r>
        <w:rPr>
          <w:rFonts w:hint="eastAsia" w:ascii="Times New Roman" w:hAnsi="Times New Roman" w:eastAsia="宋体" w:cs="Times New Roman"/>
          <w:kern w:val="0"/>
          <w:sz w:val="24"/>
          <w:szCs w:val="24"/>
          <w:lang w:val="en-US" w:eastAsia="zh-CN" w:bidi="ar"/>
        </w:rPr>
        <w:t>湖南长远锂科股份有限公司</w:t>
      </w:r>
      <w:r>
        <w:rPr>
          <w:rFonts w:hint="default" w:ascii="Times New Roman" w:hAnsi="Times New Roman" w:cs="Times New Roman" w:eastAsiaTheme="minorEastAsia"/>
          <w:kern w:val="2"/>
          <w:sz w:val="24"/>
          <w:szCs w:val="22"/>
          <w:lang w:val="en-US" w:eastAsia="zh-CN" w:bidi="ar-SA"/>
        </w:rPr>
        <w:t>接到项目下达任务后，积极组织相关人员成立标准</w:t>
      </w:r>
      <w:r>
        <w:rPr>
          <w:rFonts w:ascii="Times New Roman" w:hAnsi="Times New Roman" w:eastAsia="宋体" w:cs="Times New Roman"/>
          <w:color w:val="000000"/>
          <w:sz w:val="24"/>
          <w:szCs w:val="24"/>
        </w:rPr>
        <w:t>编制工作组</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rPr>
        <w:t>确认了各成员的工作任务和职责，制定了工作计划和进度安排，确定了制定原则</w:t>
      </w:r>
      <w:r>
        <w:rPr>
          <w:rFonts w:hint="eastAsia" w:ascii="Times New Roman" w:hAnsi="Times New Roman" w:cs="Times New Roman" w:eastAsiaTheme="minorEastAsia"/>
          <w:kern w:val="2"/>
          <w:sz w:val="24"/>
          <w:szCs w:val="22"/>
          <w:lang w:val="en-US" w:eastAsia="zh-CN" w:bidi="ar-SA"/>
        </w:rPr>
        <w:t>。</w:t>
      </w:r>
      <w:r>
        <w:rPr>
          <w:rFonts w:hint="eastAsia" w:ascii="Times New Roman" w:hAnsi="Times New Roman" w:cs="Times New Roman"/>
          <w:kern w:val="2"/>
          <w:sz w:val="24"/>
          <w:szCs w:val="22"/>
          <w:lang w:val="en-US" w:eastAsia="zh-CN" w:bidi="ar-SA"/>
        </w:rPr>
        <w:t>标准编制工作组</w:t>
      </w:r>
      <w:r>
        <w:rPr>
          <w:rFonts w:hint="eastAsia" w:ascii="Times New Roman" w:hAnsi="Times New Roman" w:cs="Times New Roman" w:eastAsiaTheme="minorEastAsia"/>
          <w:kern w:val="2"/>
          <w:sz w:val="24"/>
          <w:szCs w:val="22"/>
          <w:lang w:val="en-US" w:eastAsia="zh-CN" w:bidi="ar-SA"/>
        </w:rPr>
        <w:t>通过</w:t>
      </w:r>
      <w:r>
        <w:rPr>
          <w:rFonts w:hint="eastAsia" w:ascii="Times New Roman" w:hAnsi="Times New Roman" w:cs="Times New Roman"/>
          <w:kern w:val="2"/>
          <w:sz w:val="24"/>
          <w:szCs w:val="22"/>
          <w:lang w:val="en-US" w:eastAsia="zh-CN" w:bidi="ar-SA"/>
        </w:rPr>
        <w:t>查找、分析</w:t>
      </w:r>
      <w:r>
        <w:rPr>
          <w:rFonts w:ascii="Times New Roman" w:hAnsi="Times New Roman" w:eastAsia="宋体" w:cs="Times New Roman"/>
          <w:sz w:val="24"/>
          <w:szCs w:val="24"/>
        </w:rPr>
        <w:t>相关标准</w:t>
      </w:r>
      <w:r>
        <w:rPr>
          <w:rFonts w:hint="eastAsia" w:ascii="Times New Roman" w:hAnsi="Times New Roman" w:eastAsia="宋体" w:cs="Times New Roman"/>
          <w:sz w:val="24"/>
          <w:szCs w:val="24"/>
          <w:lang w:val="en-US" w:eastAsia="zh-CN"/>
        </w:rPr>
        <w:t>及</w:t>
      </w:r>
      <w:r>
        <w:rPr>
          <w:rFonts w:ascii="Times New Roman" w:hAnsi="Times New Roman" w:eastAsia="宋体" w:cs="Times New Roman"/>
          <w:sz w:val="24"/>
          <w:szCs w:val="24"/>
        </w:rPr>
        <w:t>文献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同时</w:t>
      </w:r>
      <w:r>
        <w:rPr>
          <w:rFonts w:hint="eastAsia" w:ascii="Times New Roman" w:hAnsi="Times New Roman" w:cs="Times New Roman" w:eastAsiaTheme="minorEastAsia"/>
          <w:kern w:val="2"/>
          <w:sz w:val="24"/>
          <w:szCs w:val="22"/>
          <w:lang w:val="en-US" w:eastAsia="zh-CN" w:bidi="ar-SA"/>
        </w:rPr>
        <w:t>对</w:t>
      </w:r>
      <w:r>
        <w:rPr>
          <w:rFonts w:hint="eastAsia" w:ascii="Times New Roman" w:hAnsi="Times New Roman" w:cs="Times New Roman"/>
          <w:kern w:val="2"/>
          <w:sz w:val="24"/>
          <w:szCs w:val="22"/>
          <w:lang w:val="en-US" w:eastAsia="zh-CN" w:bidi="ar-SA"/>
        </w:rPr>
        <w:t>镍钴二元素复合氢氧化物</w:t>
      </w:r>
      <w:r>
        <w:rPr>
          <w:rFonts w:hint="eastAsia" w:ascii="Times New Roman" w:hAnsi="Times New Roman" w:cs="Times New Roman" w:eastAsiaTheme="minorEastAsia"/>
          <w:kern w:val="2"/>
          <w:sz w:val="24"/>
          <w:szCs w:val="22"/>
          <w:lang w:val="en-US" w:eastAsia="zh-CN" w:bidi="ar-SA"/>
        </w:rPr>
        <w:t>生产</w:t>
      </w:r>
      <w:r>
        <w:rPr>
          <w:rFonts w:hint="eastAsia" w:ascii="Times New Roman" w:hAnsi="Times New Roman" w:cs="Times New Roman"/>
          <w:kern w:val="2"/>
          <w:sz w:val="24"/>
          <w:szCs w:val="22"/>
          <w:lang w:val="en-US" w:eastAsia="zh-CN" w:bidi="ar-SA"/>
        </w:rPr>
        <w:t>企业</w:t>
      </w:r>
      <w:r>
        <w:rPr>
          <w:rFonts w:hint="eastAsia" w:ascii="Times New Roman" w:hAnsi="Times New Roman" w:cs="Times New Roman" w:eastAsiaTheme="minorEastAsia"/>
          <w:kern w:val="2"/>
          <w:sz w:val="24"/>
          <w:szCs w:val="22"/>
          <w:lang w:val="en-US" w:eastAsia="zh-CN" w:bidi="ar-SA"/>
        </w:rPr>
        <w:t>的实际情况进行了大量调研，对国内水平进行了充分论证，于202</w:t>
      </w:r>
      <w:r>
        <w:rPr>
          <w:rFonts w:hint="eastAsia" w:ascii="Times New Roman" w:hAnsi="Times New Roman" w:cs="Times New Roman"/>
          <w:kern w:val="2"/>
          <w:sz w:val="24"/>
          <w:szCs w:val="22"/>
          <w:lang w:val="en-US" w:eastAsia="zh-CN" w:bidi="ar-SA"/>
        </w:rPr>
        <w:t>1</w:t>
      </w:r>
      <w:r>
        <w:rPr>
          <w:rFonts w:hint="eastAsia" w:ascii="Times New Roman" w:hAnsi="Times New Roman" w:cs="Times New Roman" w:eastAsiaTheme="minorEastAsia"/>
          <w:kern w:val="2"/>
          <w:sz w:val="24"/>
          <w:szCs w:val="22"/>
          <w:lang w:val="en-US" w:eastAsia="zh-CN" w:bidi="ar-SA"/>
        </w:rPr>
        <w:t>年</w:t>
      </w:r>
      <w:r>
        <w:rPr>
          <w:rFonts w:hint="eastAsia" w:ascii="Times New Roman" w:hAnsi="Times New Roman" w:cs="Times New Roman"/>
          <w:kern w:val="2"/>
          <w:sz w:val="24"/>
          <w:szCs w:val="22"/>
          <w:lang w:val="en-US" w:eastAsia="zh-CN" w:bidi="ar-SA"/>
        </w:rPr>
        <w:t>11</w:t>
      </w:r>
      <w:r>
        <w:rPr>
          <w:rFonts w:hint="eastAsia" w:ascii="Times New Roman" w:hAnsi="Times New Roman" w:cs="Times New Roman" w:eastAsiaTheme="minorEastAsia"/>
          <w:kern w:val="2"/>
          <w:sz w:val="24"/>
          <w:szCs w:val="22"/>
          <w:lang w:val="en-US" w:eastAsia="zh-CN" w:bidi="ar-SA"/>
        </w:rPr>
        <w:t xml:space="preserve">月形成了协会标准《绿色设计产品评价技术规范 </w:t>
      </w:r>
      <w:r>
        <w:rPr>
          <w:rFonts w:hint="eastAsia" w:ascii="Times New Roman" w:hAnsi="Times New Roman" w:eastAsia="宋体" w:cs="Times New Roman"/>
          <w:kern w:val="0"/>
          <w:sz w:val="24"/>
          <w:szCs w:val="24"/>
          <w:lang w:val="en-US" w:eastAsia="zh-CN" w:bidi="ar"/>
        </w:rPr>
        <w:t>镍钴二元素复合氢氧化物</w:t>
      </w:r>
      <w:r>
        <w:rPr>
          <w:rFonts w:hint="eastAsia" w:ascii="Times New Roman" w:hAnsi="Times New Roman" w:cs="Times New Roman" w:eastAsiaTheme="minorEastAsia"/>
          <w:kern w:val="2"/>
          <w:sz w:val="24"/>
          <w:szCs w:val="22"/>
          <w:lang w:val="en-US" w:eastAsia="zh-CN" w:bidi="ar-SA"/>
        </w:rPr>
        <w:t>》（征求意见稿）和编制说明。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1.4.2 征求意见阶段</w:t>
      </w:r>
    </w:p>
    <w:p>
      <w:pPr>
        <w:spacing w:line="440" w:lineRule="exact"/>
        <w:ind w:firstLine="470" w:firstLineChars="196"/>
        <w:rPr>
          <w:rFonts w:hAnsi="宋体"/>
          <w:sz w:val="24"/>
        </w:rPr>
      </w:pPr>
      <w:r>
        <w:rPr>
          <w:sz w:val="24"/>
        </w:rPr>
        <w:t>20</w:t>
      </w:r>
      <w:r>
        <w:rPr>
          <w:rFonts w:hint="eastAsia"/>
          <w:sz w:val="24"/>
        </w:rPr>
        <w:t>2</w:t>
      </w:r>
      <w:r>
        <w:rPr>
          <w:rFonts w:hint="eastAsia"/>
          <w:sz w:val="24"/>
          <w:lang w:val="en-US" w:eastAsia="zh-CN"/>
        </w:rPr>
        <w:t>1</w:t>
      </w:r>
      <w:r>
        <w:rPr>
          <w:rFonts w:hAnsi="宋体"/>
          <w:sz w:val="24"/>
        </w:rPr>
        <w:t>年</w:t>
      </w:r>
      <w:r>
        <w:rPr>
          <w:rFonts w:hint="eastAsia"/>
          <w:sz w:val="24"/>
          <w:lang w:val="en-US" w:eastAsia="zh-CN"/>
        </w:rPr>
        <w:t>12</w:t>
      </w:r>
      <w:r>
        <w:rPr>
          <w:rFonts w:hAnsi="宋体"/>
          <w:sz w:val="24"/>
        </w:rPr>
        <w:t>月</w:t>
      </w:r>
      <w:r>
        <w:rPr>
          <w:rFonts w:hint="eastAsia"/>
          <w:sz w:val="24"/>
          <w:lang w:val="en-US" w:eastAsia="zh-CN"/>
        </w:rPr>
        <w:t>15</w:t>
      </w:r>
      <w:r>
        <w:rPr>
          <w:rFonts w:hAnsi="宋体"/>
          <w:color w:val="000000"/>
          <w:sz w:val="24"/>
        </w:rPr>
        <w:t>日～</w:t>
      </w:r>
      <w:r>
        <w:rPr>
          <w:rFonts w:hint="eastAsia"/>
          <w:color w:val="000000"/>
          <w:sz w:val="24"/>
          <w:lang w:val="en-US" w:eastAsia="zh-CN"/>
        </w:rPr>
        <w:t>18</w:t>
      </w:r>
      <w:r>
        <w:rPr>
          <w:rFonts w:hAnsi="宋体"/>
          <w:sz w:val="24"/>
        </w:rPr>
        <w:t>日，全国有色金属标准化技术委员会组织在</w:t>
      </w:r>
      <w:r>
        <w:rPr>
          <w:rFonts w:hint="eastAsia" w:hAnsi="宋体"/>
          <w:sz w:val="24"/>
          <w:lang w:val="en-US" w:eastAsia="zh-CN"/>
        </w:rPr>
        <w:t>海南省海口市</w:t>
      </w:r>
      <w:r>
        <w:rPr>
          <w:rFonts w:hAnsi="宋体"/>
          <w:sz w:val="24"/>
        </w:rPr>
        <w:t>召开本标准的讨论会。来自</w:t>
      </w:r>
      <w:r>
        <w:rPr>
          <w:rFonts w:hint="eastAsia" w:hAnsi="宋体"/>
          <w:sz w:val="24"/>
          <w:lang w:val="en-US" w:eastAsia="zh-CN"/>
        </w:rPr>
        <w:t>株洲冶炼集团股份有限公司、清华大学、矿冶集团科技有限公司、</w:t>
      </w:r>
      <w:r>
        <w:rPr>
          <w:rFonts w:hint="eastAsia" w:hAnsi="宋体"/>
          <w:sz w:val="24"/>
        </w:rPr>
        <w:t>湖南长远锂科股份有限公司、金驰能源材料有限公司、</w:t>
      </w:r>
      <w:r>
        <w:rPr>
          <w:rFonts w:hint="eastAsia" w:hAnsi="宋体"/>
          <w:sz w:val="24"/>
          <w:lang w:val="en-US" w:eastAsia="zh-CN"/>
        </w:rPr>
        <w:t>有研资源环境技术研究院（北京）有限公司、</w:t>
      </w:r>
      <w:r>
        <w:rPr>
          <w:rFonts w:hint="eastAsia" w:hAnsi="宋体"/>
          <w:sz w:val="24"/>
        </w:rPr>
        <w:t>华友新能源科技（衢州）有限公司、</w:t>
      </w:r>
      <w:r>
        <w:rPr>
          <w:rFonts w:hint="eastAsia" w:hAnsi="宋体"/>
          <w:sz w:val="24"/>
          <w:lang w:val="en-US" w:eastAsia="zh-CN"/>
        </w:rPr>
        <w:t>江西华赣瑞林稀贵金属科技有限公司、湖南柿竹园有色金属有限责任公司、</w:t>
      </w:r>
      <w:r>
        <w:rPr>
          <w:rFonts w:hint="eastAsia" w:hAnsi="宋体"/>
          <w:sz w:val="24"/>
        </w:rPr>
        <w:t>格林爱科（荆门）新能源材料有限公司、中伟新材料股份有限公司、天津国安盟固利新材料科技股份有限公司、广东邦普循环科技有限公司、江苏当升材料科技有限公司</w:t>
      </w:r>
      <w:r>
        <w:rPr>
          <w:sz w:val="24"/>
        </w:rPr>
        <w:t>等</w:t>
      </w:r>
      <w:r>
        <w:rPr>
          <w:rFonts w:hint="eastAsia"/>
          <w:sz w:val="24"/>
        </w:rPr>
        <w:t>XX</w:t>
      </w:r>
      <w:r>
        <w:rPr>
          <w:sz w:val="24"/>
        </w:rPr>
        <w:t>家单位的</w:t>
      </w:r>
      <w:r>
        <w:rPr>
          <w:rFonts w:hint="eastAsia"/>
          <w:sz w:val="24"/>
        </w:rPr>
        <w:t>XX</w:t>
      </w:r>
      <w:r>
        <w:rPr>
          <w:sz w:val="24"/>
        </w:rPr>
        <w:t>位专家</w:t>
      </w:r>
      <w:r>
        <w:rPr>
          <w:rFonts w:hAnsi="宋体"/>
          <w:sz w:val="24"/>
        </w:rPr>
        <w:t>代表参加了会议。与会代表对本标准的</w:t>
      </w:r>
      <w:r>
        <w:rPr>
          <w:rFonts w:hAnsi="宋体"/>
          <w:color w:val="000000"/>
          <w:sz w:val="24"/>
        </w:rPr>
        <w:t>征求意见稿和编制说明</w:t>
      </w:r>
      <w:r>
        <w:rPr>
          <w:rFonts w:hAnsi="宋体"/>
          <w:sz w:val="24"/>
        </w:rPr>
        <w:t>进行了认真、细致的讨论，提出了修改意见和建议。</w:t>
      </w:r>
      <w:r>
        <w:rPr>
          <w:rFonts w:hint="eastAsia" w:hAnsi="宋体"/>
          <w:sz w:val="24"/>
        </w:rPr>
        <w:t>编制</w:t>
      </w:r>
      <w:r>
        <w:rPr>
          <w:rFonts w:hAnsi="宋体"/>
          <w:sz w:val="24"/>
        </w:rPr>
        <w:t>组根据讨论的意见对标准进行修改，形成了标准预审稿。</w:t>
      </w:r>
    </w:p>
    <w:p>
      <w:pPr>
        <w:adjustRightInd w:val="0"/>
        <w:spacing w:line="440" w:lineRule="exact"/>
        <w:ind w:firstLine="480" w:firstLineChars="200"/>
        <w:rPr>
          <w:rFonts w:hint="eastAsia" w:hAnsi="宋体"/>
          <w:sz w:val="24"/>
        </w:rPr>
      </w:pPr>
      <w:r>
        <w:rPr>
          <w:rFonts w:hAnsi="宋体"/>
          <w:color w:val="000000"/>
          <w:sz w:val="24"/>
        </w:rPr>
        <w:t>同时，</w:t>
      </w:r>
      <w:r>
        <w:rPr>
          <w:rFonts w:hAnsi="宋体"/>
          <w:sz w:val="24"/>
        </w:rPr>
        <w:t>全国有色金属标准化技术委员会通过工作群、邮件向委员单位征求意见，并将征求意见资料在</w:t>
      </w:r>
      <w:r>
        <w:rPr>
          <w:sz w:val="24"/>
        </w:rPr>
        <w:fldChar w:fldCharType="begin"/>
      </w:r>
      <w:r>
        <w:rPr>
          <w:sz w:val="24"/>
        </w:rPr>
        <w:instrText xml:space="preserve"> HYPERLINK "http://www.cnsmq.com" </w:instrText>
      </w:r>
      <w:r>
        <w:rPr>
          <w:sz w:val="24"/>
        </w:rPr>
        <w:fldChar w:fldCharType="separate"/>
      </w:r>
      <w:r>
        <w:rPr>
          <w:rStyle w:val="12"/>
          <w:sz w:val="24"/>
        </w:rPr>
        <w:t>www.cnsmq.com</w:t>
      </w:r>
      <w:r>
        <w:rPr>
          <w:sz w:val="24"/>
        </w:rPr>
        <w:fldChar w:fldCharType="end"/>
      </w:r>
      <w:r>
        <w:rPr>
          <w:rFonts w:hAnsi="宋体"/>
          <w:sz w:val="24"/>
        </w:rPr>
        <w:t>网站上挂网。征求意见的单位包括主要生产、经销、使用、科研、检验等单位及大专院校，征求意见单位广泛且具有代表性，征求意见时间大于</w:t>
      </w:r>
      <w:r>
        <w:rPr>
          <w:sz w:val="24"/>
        </w:rPr>
        <w:t>2</w:t>
      </w:r>
      <w:r>
        <w:rPr>
          <w:rFonts w:hAnsi="宋体"/>
          <w:sz w:val="24"/>
        </w:rPr>
        <w:t>个月。</w:t>
      </w:r>
    </w:p>
    <w:p>
      <w:pPr>
        <w:adjustRightInd w:val="0"/>
        <w:spacing w:line="440" w:lineRule="exact"/>
        <w:ind w:firstLine="480" w:firstLineChars="200"/>
        <w:rPr>
          <w:rFonts w:hAnsi="宋体"/>
          <w:sz w:val="24"/>
        </w:rPr>
      </w:pPr>
      <w:r>
        <w:rPr>
          <w:rFonts w:hint="eastAsia" w:hAnsi="宋体"/>
          <w:sz w:val="24"/>
          <w:lang w:val="en-US" w:eastAsia="zh-CN"/>
        </w:rPr>
        <w:t>2022</w:t>
      </w:r>
      <w:r>
        <w:rPr>
          <w:rFonts w:hint="eastAsia" w:hAnsi="宋体"/>
          <w:sz w:val="24"/>
        </w:rPr>
        <w:t>年</w:t>
      </w:r>
      <w:r>
        <w:rPr>
          <w:rFonts w:hint="eastAsia" w:hAnsi="宋体"/>
          <w:sz w:val="24"/>
          <w:lang w:val="en-US" w:eastAsia="zh-CN"/>
        </w:rPr>
        <w:t>1</w:t>
      </w:r>
      <w:r>
        <w:rPr>
          <w:rFonts w:hint="eastAsia" w:hAnsi="宋体"/>
          <w:sz w:val="24"/>
        </w:rPr>
        <w:t>月，编制</w:t>
      </w:r>
      <w:r>
        <w:rPr>
          <w:rFonts w:hAnsi="宋体"/>
          <w:sz w:val="24"/>
        </w:rPr>
        <w:t>组</w:t>
      </w:r>
      <w:r>
        <w:rPr>
          <w:rFonts w:hint="eastAsia" w:hAnsi="宋体"/>
          <w:sz w:val="24"/>
        </w:rPr>
        <w:t>对收集到的意见进行整理，共收到</w:t>
      </w:r>
      <w:r>
        <w:rPr>
          <w:rFonts w:hint="eastAsia" w:hAnsi="宋体"/>
          <w:sz w:val="24"/>
          <w:lang w:val="en-US" w:eastAsia="zh-CN"/>
        </w:rPr>
        <w:t>6</w:t>
      </w:r>
      <w:r>
        <w:rPr>
          <w:rFonts w:hint="eastAsia" w:hAnsi="宋体"/>
          <w:sz w:val="24"/>
        </w:rPr>
        <w:t>条意见，形成了</w:t>
      </w:r>
      <w:r>
        <w:rPr>
          <w:rFonts w:hAnsi="宋体"/>
          <w:sz w:val="24"/>
        </w:rPr>
        <w:t>标准意见汇总处理表。</w:t>
      </w:r>
      <w:r>
        <w:rPr>
          <w:rFonts w:hint="eastAsia" w:hAnsi="宋体"/>
          <w:sz w:val="24"/>
        </w:rPr>
        <w:t>标准制定工作组</w:t>
      </w:r>
      <w:r>
        <w:rPr>
          <w:rFonts w:hAnsi="宋体"/>
          <w:sz w:val="24"/>
        </w:rPr>
        <w:t>根据意见对标准进行修改，形成了标准意见汇总处理表和</w:t>
      </w:r>
      <w:r>
        <w:rPr>
          <w:rFonts w:hint="eastAsia" w:hAnsi="宋体"/>
          <w:sz w:val="24"/>
        </w:rPr>
        <w:t>送</w:t>
      </w:r>
      <w:r>
        <w:rPr>
          <w:rFonts w:hAnsi="宋体"/>
          <w:sz w:val="24"/>
        </w:rPr>
        <w:t>审稿。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eastAsia" w:ascii="Times New Roman" w:hAnsi="Times New Roman" w:eastAsia="黑体" w:cs="Times New Roman"/>
          <w:b w:val="0"/>
          <w:bCs/>
          <w:sz w:val="24"/>
          <w:szCs w:val="24"/>
          <w:lang w:val="en-US" w:eastAsia="zh-CN"/>
        </w:rPr>
        <w:t>4</w:t>
      </w:r>
      <w:r>
        <w:rPr>
          <w:rFonts w:hint="default" w:ascii="Times New Roman" w:hAnsi="Times New Roman" w:eastAsia="黑体" w:cs="Times New Roman"/>
          <w:b w:val="0"/>
          <w:bCs/>
          <w:sz w:val="24"/>
          <w:szCs w:val="24"/>
        </w:rPr>
        <w:t>.</w:t>
      </w:r>
      <w:r>
        <w:rPr>
          <w:rFonts w:hint="default" w:ascii="Times New Roman" w:hAnsi="Times New Roman" w:eastAsia="黑体" w:cs="Times New Roman"/>
          <w:b w:val="0"/>
          <w:bCs/>
          <w:sz w:val="24"/>
          <w:szCs w:val="24"/>
          <w:lang w:val="en-US" w:eastAsia="zh-CN"/>
        </w:rPr>
        <w:t>3</w:t>
      </w:r>
      <w:r>
        <w:rPr>
          <w:rFonts w:hint="default" w:ascii="Times New Roman" w:hAnsi="Times New Roman" w:eastAsia="黑体" w:cs="Times New Roman"/>
          <w:b w:val="0"/>
          <w:bCs/>
          <w:sz w:val="24"/>
          <w:szCs w:val="24"/>
        </w:rPr>
        <w:t xml:space="preserve"> 审查阶段</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XXX。</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eastAsia" w:ascii="Times New Roman" w:hAnsi="Times New Roman" w:eastAsia="黑体" w:cs="Times New Roman"/>
          <w:b w:val="0"/>
          <w:bCs/>
          <w:sz w:val="24"/>
          <w:szCs w:val="24"/>
          <w:lang w:val="en-US" w:eastAsia="zh-CN"/>
        </w:rPr>
        <w:t>4</w:t>
      </w:r>
      <w:r>
        <w:rPr>
          <w:rFonts w:hint="default" w:ascii="Times New Roman" w:hAnsi="Times New Roman" w:eastAsia="黑体" w:cs="Times New Roman"/>
          <w:b w:val="0"/>
          <w:bCs/>
          <w:sz w:val="24"/>
          <w:szCs w:val="24"/>
        </w:rPr>
        <w:t>.4 报批阶段</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lang w:val="en-US" w:eastAsia="zh-CN"/>
        </w:rPr>
      </w:pPr>
      <w:r>
        <w:rPr>
          <w:rFonts w:hint="eastAsia" w:ascii="宋体" w:hAnsi="宋体" w:eastAsia="宋体" w:cs="宋体"/>
          <w:sz w:val="24"/>
          <w:lang w:val="en-US" w:eastAsia="zh-CN"/>
        </w:rPr>
        <w:t>XXX。</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二、</w:t>
      </w:r>
      <w:r>
        <w:rPr>
          <w:rFonts w:hint="default" w:ascii="Times New Roman" w:hAnsi="Times New Roman" w:eastAsia="黑体" w:cs="Times New Roman"/>
          <w:b w:val="0"/>
          <w:bCs/>
          <w:sz w:val="24"/>
          <w:szCs w:val="24"/>
        </w:rPr>
        <w:t>标准编制原则</w:t>
      </w:r>
      <w:r>
        <w:rPr>
          <w:rFonts w:hint="eastAsia" w:ascii="Times New Roman" w:hAnsi="Times New Roman" w:eastAsia="黑体" w:cs="Times New Roman"/>
          <w:b w:val="0"/>
          <w:bCs/>
          <w:sz w:val="24"/>
          <w:szCs w:val="24"/>
          <w:lang w:val="en-US" w:eastAsia="zh-CN"/>
        </w:rPr>
        <w:t>及主要内容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2.1  编制原则</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本标准的制定工作遵循“统一性、协调性、适用性、一致性、规范性”的原则，本着先进性、科学性、合理性和可操作性的原则，按</w:t>
      </w:r>
      <w:r>
        <w:rPr>
          <w:rFonts w:hint="default" w:ascii="Times New Roman" w:hAnsi="Times New Roman" w:eastAsia="宋体" w:cs="Times New Roman"/>
          <w:color w:val="000000"/>
          <w:sz w:val="24"/>
          <w:szCs w:val="24"/>
        </w:rPr>
        <w:t>照GB/T 1.1-20</w:t>
      </w:r>
      <w:r>
        <w:rPr>
          <w:rFonts w:hint="default" w:ascii="Times New Roman" w:hAnsi="Times New Roman" w:eastAsia="宋体" w:cs="Times New Roman"/>
          <w:color w:val="000000"/>
          <w:sz w:val="24"/>
          <w:szCs w:val="24"/>
          <w:lang w:val="en-US" w:eastAsia="zh-CN"/>
        </w:rPr>
        <w:t>20</w:t>
      </w:r>
      <w:r>
        <w:rPr>
          <w:rFonts w:hint="default" w:ascii="Times New Roman" w:hAnsi="Times New Roman" w:eastAsia="宋体" w:cs="Times New Roman"/>
          <w:color w:val="000000"/>
          <w:sz w:val="24"/>
          <w:szCs w:val="24"/>
        </w:rPr>
        <w:t>给</w:t>
      </w:r>
      <w:r>
        <w:rPr>
          <w:rFonts w:hint="eastAsia" w:ascii="宋体" w:hAnsi="宋体" w:eastAsia="宋体" w:cs="Times New Roman"/>
          <w:color w:val="000000"/>
          <w:sz w:val="24"/>
          <w:szCs w:val="24"/>
        </w:rPr>
        <w:t>出的规则编写。</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本标准的编制充分考虑生产企业的产品质量和相关单位的意见，同时要确保用户的需求，为</w:t>
      </w:r>
      <w:r>
        <w:rPr>
          <w:rFonts w:hint="eastAsia" w:ascii="宋体" w:hAnsi="宋体" w:eastAsia="宋体" w:cs="Times New Roman"/>
          <w:color w:val="000000"/>
          <w:sz w:val="24"/>
          <w:szCs w:val="24"/>
          <w:lang w:val="en-US" w:eastAsia="zh-CN"/>
        </w:rPr>
        <w:t>电池</w:t>
      </w:r>
      <w:r>
        <w:rPr>
          <w:rFonts w:hint="eastAsia" w:ascii="宋体" w:hAnsi="宋体" w:eastAsia="宋体" w:cs="Times New Roman"/>
          <w:color w:val="000000"/>
          <w:sz w:val="24"/>
          <w:szCs w:val="24"/>
        </w:rPr>
        <w:t>生产企业提供满意的使用原料。</w:t>
      </w:r>
    </w:p>
    <w:p>
      <w:pPr>
        <w:snapToGrid w:val="0"/>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本</w:t>
      </w:r>
      <w:r>
        <w:rPr>
          <w:rFonts w:hint="eastAsia" w:ascii="宋体" w:hAnsi="宋体" w:eastAsia="宋体" w:cs="Times New Roman"/>
          <w:color w:val="000000"/>
          <w:sz w:val="24"/>
          <w:szCs w:val="24"/>
        </w:rPr>
        <w:t>标准</w:t>
      </w:r>
      <w:r>
        <w:rPr>
          <w:rFonts w:hint="eastAsia" w:ascii="宋体" w:hAnsi="宋体" w:eastAsia="宋体" w:cs="Times New Roman"/>
          <w:color w:val="000000"/>
          <w:sz w:val="24"/>
          <w:szCs w:val="24"/>
          <w:lang w:val="en-US" w:eastAsia="zh-CN"/>
        </w:rPr>
        <w:t>的制定</w:t>
      </w:r>
      <w:r>
        <w:rPr>
          <w:rFonts w:hint="eastAsia" w:ascii="宋体" w:hAnsi="宋体" w:eastAsia="宋体" w:cs="Times New Roman"/>
          <w:color w:val="000000"/>
          <w:sz w:val="24"/>
          <w:szCs w:val="24"/>
        </w:rPr>
        <w:t>应科学合理、切实可行、具有可操作性，同时促进</w:t>
      </w:r>
      <w:r>
        <w:rPr>
          <w:rFonts w:hint="eastAsia" w:ascii="Times New Roman" w:hAnsi="Times New Roman" w:eastAsia="宋体" w:cs="Times New Roman"/>
          <w:kern w:val="0"/>
          <w:sz w:val="24"/>
          <w:szCs w:val="24"/>
          <w:lang w:val="en-US" w:eastAsia="zh-CN" w:bidi="ar"/>
        </w:rPr>
        <w:t>镍钴二元素复合氢氧化物</w:t>
      </w:r>
      <w:r>
        <w:rPr>
          <w:rFonts w:hint="eastAsia" w:ascii="宋体" w:hAnsi="宋体" w:eastAsia="宋体" w:cs="Times New Roman"/>
          <w:color w:val="000000"/>
          <w:sz w:val="24"/>
          <w:szCs w:val="24"/>
        </w:rPr>
        <w:t>生产企业综合利用水平的提高。</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2.2  主要内容</w:t>
      </w:r>
    </w:p>
    <w:p>
      <w:pPr>
        <w:pStyle w:val="16"/>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w:t>
      </w:r>
      <w:r>
        <w:rPr>
          <w:rFonts w:hint="eastAsia" w:hAnsi="宋体" w:cs="Times New Roman"/>
          <w:color w:val="000000"/>
          <w:kern w:val="2"/>
          <w:sz w:val="24"/>
          <w:szCs w:val="24"/>
          <w:lang w:val="en-US" w:eastAsia="zh-CN" w:bidi="ar-SA"/>
        </w:rPr>
        <w:t>标准</w:t>
      </w:r>
      <w:r>
        <w:rPr>
          <w:rFonts w:hint="eastAsia" w:ascii="宋体" w:hAnsi="宋体" w:eastAsia="宋体" w:cs="Times New Roman"/>
          <w:color w:val="000000"/>
          <w:kern w:val="2"/>
          <w:sz w:val="24"/>
          <w:szCs w:val="24"/>
          <w:lang w:val="en-US" w:eastAsia="zh-CN" w:bidi="ar-SA"/>
        </w:rPr>
        <w:t>规定了镍钴二元素复合氢氧化物绿色设计产品评价的术语和定义、评价要求、产品生命周期评价</w:t>
      </w:r>
      <w:r>
        <w:rPr>
          <w:rFonts w:hint="eastAsia" w:hAnsi="宋体"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LCA</w:t>
      </w:r>
      <w:r>
        <w:rPr>
          <w:rFonts w:hint="eastAsia" w:hAnsi="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报告编制方法、评价方法和流程。本标准适用于锂离子电池正极材料前驱体镍钴二元素复合氢氧化物的绿色设计产品评价。</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三、</w:t>
      </w:r>
      <w:r>
        <w:rPr>
          <w:rFonts w:hint="default" w:ascii="Times New Roman" w:hAnsi="Times New Roman" w:eastAsia="黑体" w:cs="Times New Roman"/>
          <w:b w:val="0"/>
          <w:bCs/>
          <w:sz w:val="24"/>
          <w:szCs w:val="24"/>
        </w:rPr>
        <w:t>标准主要内容的论据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3.1  镍钴二元素复合氢氧化物生产工艺流程</w:t>
      </w:r>
    </w:p>
    <w:p>
      <w:pPr>
        <w:ind w:firstLine="480" w:firstLineChars="200"/>
        <w:rPr>
          <w:rFonts w:hint="eastAsia"/>
        </w:rPr>
      </w:pPr>
      <w:r>
        <w:rPr>
          <w:rFonts w:hint="eastAsia" w:ascii="Times New Roman" w:hAnsi="Times New Roman" w:eastAsia="宋体" w:cs="Times New Roman"/>
          <w:kern w:val="0"/>
          <w:sz w:val="24"/>
          <w:szCs w:val="24"/>
          <w:lang w:val="en-US" w:eastAsia="zh-CN" w:bidi="ar"/>
        </w:rPr>
        <w:t>镍钴二元素复合氢氧化物的生产工艺流程如图1所示。</w:t>
      </w:r>
    </w:p>
    <w:p>
      <w:pPr>
        <w:pStyle w:val="2"/>
        <w:ind w:left="0" w:leftChars="0" w:firstLine="0" w:firstLineChars="0"/>
        <w:rPr>
          <w:rFonts w:hint="eastAsia"/>
        </w:rPr>
      </w:pPr>
    </w:p>
    <w:p>
      <w:pPr>
        <w:pStyle w:val="2"/>
        <w:rPr>
          <w:rFonts w:hint="eastAsia"/>
        </w:rPr>
      </w:pPr>
      <w:r>
        <mc:AlternateContent>
          <mc:Choice Requires="wpg">
            <w:drawing>
              <wp:anchor distT="0" distB="0" distL="114300" distR="114300" simplePos="0" relativeHeight="251661312" behindDoc="0" locked="0" layoutInCell="1" allowOverlap="1">
                <wp:simplePos x="0" y="0"/>
                <wp:positionH relativeFrom="character">
                  <wp:posOffset>212090</wp:posOffset>
                </wp:positionH>
                <wp:positionV relativeFrom="line">
                  <wp:posOffset>104140</wp:posOffset>
                </wp:positionV>
                <wp:extent cx="3757930" cy="3886835"/>
                <wp:effectExtent l="9525" t="9525" r="23495" b="8890"/>
                <wp:wrapNone/>
                <wp:docPr id="52" name="组合 52"/>
                <wp:cNvGraphicFramePr/>
                <a:graphic xmlns:a="http://schemas.openxmlformats.org/drawingml/2006/main">
                  <a:graphicData uri="http://schemas.microsoft.com/office/word/2010/wordprocessingGroup">
                    <wpg:wgp>
                      <wpg:cNvGrpSpPr/>
                      <wpg:grpSpPr>
                        <a:xfrm>
                          <a:off x="0" y="0"/>
                          <a:ext cx="3757930" cy="3886835"/>
                          <a:chOff x="697865" y="18944"/>
                          <a:chExt cx="4262120" cy="4448281"/>
                        </a:xfrm>
                      </wpg:grpSpPr>
                      <wps:wsp>
                        <wps:cNvPr id="27" name="矩形 27"/>
                        <wps:cNvSpPr/>
                        <wps:spPr>
                          <a:xfrm>
                            <a:off x="2383844" y="18944"/>
                            <a:ext cx="1224333" cy="436035"/>
                          </a:xfrm>
                          <a:prstGeom prst="rect">
                            <a:avLst/>
                          </a:prstGeom>
                          <a:noFill/>
                          <a:ln w="19050" cap="flat" cmpd="sng">
                            <a:solidFill>
                              <a:srgbClr val="000000"/>
                            </a:solidFill>
                            <a:prstDash val="solid"/>
                            <a:miter/>
                            <a:headEnd type="none" w="med" len="med"/>
                            <a:tailEnd type="none" w="med" len="med"/>
                          </a:ln>
                        </wps:spPr>
                        <wps:txbx>
                          <w:txbxContent>
                            <w:p>
                              <w:pPr>
                                <w:adjustRightInd w:val="0"/>
                                <w:snapToGrid w:val="0"/>
                                <w:jc w:val="center"/>
                                <w:rPr>
                                  <w:color w:val="000000"/>
                                  <w:sz w:val="15"/>
                                  <w:szCs w:val="15"/>
                                </w:rPr>
                              </w:pPr>
                              <w:r>
                                <w:rPr>
                                  <w:rFonts w:hint="eastAsia"/>
                                  <w:color w:val="000000"/>
                                  <w:sz w:val="15"/>
                                  <w:szCs w:val="15"/>
                                </w:rPr>
                                <w:t>镍</w:t>
                              </w:r>
                              <w:r>
                                <w:rPr>
                                  <w:rFonts w:hint="eastAsia"/>
                                  <w:color w:val="000000"/>
                                  <w:sz w:val="15"/>
                                  <w:szCs w:val="15"/>
                                  <w:lang w:eastAsia="zh-CN"/>
                                </w:rPr>
                                <w:t>、</w:t>
                              </w:r>
                              <w:r>
                                <w:rPr>
                                  <w:rFonts w:hint="eastAsia"/>
                                  <w:color w:val="000000"/>
                                  <w:sz w:val="15"/>
                                  <w:szCs w:val="15"/>
                                  <w:lang w:val="en-US" w:eastAsia="zh-CN"/>
                                </w:rPr>
                                <w:t>钴</w:t>
                              </w:r>
                              <w:r>
                                <w:rPr>
                                  <w:rFonts w:hint="eastAsia"/>
                                  <w:color w:val="000000"/>
                                  <w:sz w:val="15"/>
                                  <w:szCs w:val="15"/>
                                </w:rPr>
                                <w:t>的硫酸盐或纯化液的预处理</w:t>
                              </w:r>
                            </w:p>
                          </w:txbxContent>
                        </wps:txbx>
                        <wps:bodyPr anchor="ctr" upright="1"/>
                      </wps:wsp>
                      <wps:wsp>
                        <wps:cNvPr id="28" name="直接箭头连接符 28"/>
                        <wps:cNvCnPr/>
                        <wps:spPr>
                          <a:xfrm flipH="1">
                            <a:off x="2993048" y="450215"/>
                            <a:ext cx="0" cy="215900"/>
                          </a:xfrm>
                          <a:prstGeom prst="straightConnector1">
                            <a:avLst/>
                          </a:prstGeom>
                          <a:ln w="12700" cap="flat" cmpd="sng">
                            <a:solidFill>
                              <a:srgbClr val="000000"/>
                            </a:solidFill>
                            <a:prstDash val="solid"/>
                            <a:headEnd type="none" w="med" len="med"/>
                            <a:tailEnd type="arrow" w="med" len="med"/>
                          </a:ln>
                        </wps:spPr>
                        <wps:bodyPr/>
                      </wps:wsp>
                      <wps:wsp>
                        <wps:cNvPr id="29" name="矩形 29"/>
                        <wps:cNvSpPr/>
                        <wps:spPr>
                          <a:xfrm>
                            <a:off x="2388618" y="67437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配料</w:t>
                              </w:r>
                            </w:p>
                          </w:txbxContent>
                        </wps:txbx>
                        <wps:bodyPr anchor="ctr" upright="1"/>
                      </wps:wsp>
                      <wps:wsp>
                        <wps:cNvPr id="30" name="直接箭头连接符 30"/>
                        <wps:cNvCnPr/>
                        <wps:spPr>
                          <a:xfrm flipH="1">
                            <a:off x="3007651" y="962025"/>
                            <a:ext cx="0" cy="216535"/>
                          </a:xfrm>
                          <a:prstGeom prst="straightConnector1">
                            <a:avLst/>
                          </a:prstGeom>
                          <a:ln w="12700" cap="flat" cmpd="sng">
                            <a:solidFill>
                              <a:srgbClr val="000000"/>
                            </a:solidFill>
                            <a:prstDash val="solid"/>
                            <a:headEnd type="none" w="med" len="med"/>
                            <a:tailEnd type="arrow" w="med" len="med"/>
                          </a:ln>
                        </wps:spPr>
                        <wps:bodyPr/>
                      </wps:wsp>
                      <wps:wsp>
                        <wps:cNvPr id="31" name="矩形 31"/>
                        <wps:cNvSpPr/>
                        <wps:spPr>
                          <a:xfrm>
                            <a:off x="2402586" y="119380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合成、陈化</w:t>
                              </w:r>
                            </w:p>
                          </w:txbxContent>
                        </wps:txbx>
                        <wps:bodyPr anchor="ctr" upright="1"/>
                      </wps:wsp>
                      <wps:wsp>
                        <wps:cNvPr id="32" name="直接箭头连接符 32"/>
                        <wps:cNvCnPr/>
                        <wps:spPr>
                          <a:xfrm flipH="1">
                            <a:off x="3007651" y="1490980"/>
                            <a:ext cx="0" cy="215900"/>
                          </a:xfrm>
                          <a:prstGeom prst="straightConnector1">
                            <a:avLst/>
                          </a:prstGeom>
                          <a:ln w="12700" cap="flat" cmpd="sng">
                            <a:solidFill>
                              <a:srgbClr val="000000"/>
                            </a:solidFill>
                            <a:prstDash val="solid"/>
                            <a:headEnd type="none" w="med" len="med"/>
                            <a:tailEnd type="arrow" w="med" len="med"/>
                          </a:ln>
                        </wps:spPr>
                        <wps:bodyPr/>
                      </wps:wsp>
                      <wps:wsp>
                        <wps:cNvPr id="33" name="矩形 33"/>
                        <wps:cNvSpPr/>
                        <wps:spPr>
                          <a:xfrm>
                            <a:off x="2402586" y="1722755"/>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洗涤、分离</w:t>
                              </w:r>
                            </w:p>
                          </w:txbxContent>
                        </wps:txbx>
                        <wps:bodyPr anchor="ctr" upright="1"/>
                      </wps:wsp>
                      <wps:wsp>
                        <wps:cNvPr id="34" name="直接箭头连接符 34"/>
                        <wps:cNvCnPr/>
                        <wps:spPr>
                          <a:xfrm flipH="1">
                            <a:off x="3007651" y="2014855"/>
                            <a:ext cx="0" cy="215900"/>
                          </a:xfrm>
                          <a:prstGeom prst="straightConnector1">
                            <a:avLst/>
                          </a:prstGeom>
                          <a:ln w="12700" cap="flat" cmpd="sng">
                            <a:solidFill>
                              <a:srgbClr val="000000"/>
                            </a:solidFill>
                            <a:prstDash val="solid"/>
                            <a:headEnd type="none" w="med" len="med"/>
                            <a:tailEnd type="arrow" w="med" len="med"/>
                          </a:ln>
                        </wps:spPr>
                        <wps:bodyPr/>
                      </wps:wsp>
                      <wps:wsp>
                        <wps:cNvPr id="35" name="矩形 35"/>
                        <wps:cNvSpPr/>
                        <wps:spPr>
                          <a:xfrm>
                            <a:off x="2402586" y="224663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干燥</w:t>
                              </w:r>
                            </w:p>
                          </w:txbxContent>
                        </wps:txbx>
                        <wps:bodyPr anchor="ctr" upright="1"/>
                      </wps:wsp>
                      <wps:wsp>
                        <wps:cNvPr id="36" name="直接箭头连接符 36"/>
                        <wps:cNvCnPr/>
                        <wps:spPr>
                          <a:xfrm flipH="1">
                            <a:off x="3007651" y="2519680"/>
                            <a:ext cx="0" cy="215900"/>
                          </a:xfrm>
                          <a:prstGeom prst="straightConnector1">
                            <a:avLst/>
                          </a:prstGeom>
                          <a:ln w="12700" cap="flat" cmpd="sng">
                            <a:solidFill>
                              <a:srgbClr val="000000"/>
                            </a:solidFill>
                            <a:prstDash val="solid"/>
                            <a:headEnd type="none" w="med" len="med"/>
                            <a:tailEnd type="arrow" w="med" len="med"/>
                          </a:ln>
                        </wps:spPr>
                        <wps:bodyPr/>
                      </wps:wsp>
                      <wps:wsp>
                        <wps:cNvPr id="37" name="矩形 37"/>
                        <wps:cNvSpPr/>
                        <wps:spPr>
                          <a:xfrm>
                            <a:off x="2402586" y="2751455"/>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混合</w:t>
                              </w:r>
                            </w:p>
                          </w:txbxContent>
                        </wps:txbx>
                        <wps:bodyPr anchor="ctr" upright="1"/>
                      </wps:wsp>
                      <wps:wsp>
                        <wps:cNvPr id="38" name="直接箭头连接符 38"/>
                        <wps:cNvCnPr/>
                        <wps:spPr>
                          <a:xfrm flipH="1">
                            <a:off x="3007651" y="3043555"/>
                            <a:ext cx="0" cy="215900"/>
                          </a:xfrm>
                          <a:prstGeom prst="straightConnector1">
                            <a:avLst/>
                          </a:prstGeom>
                          <a:ln w="12700" cap="flat" cmpd="sng">
                            <a:solidFill>
                              <a:srgbClr val="000000"/>
                            </a:solidFill>
                            <a:prstDash val="solid"/>
                            <a:headEnd type="none" w="med" len="med"/>
                            <a:tailEnd type="arrow" w="med" len="med"/>
                          </a:ln>
                        </wps:spPr>
                        <wps:bodyPr/>
                      </wps:wsp>
                      <wps:wsp>
                        <wps:cNvPr id="39" name="矩形 39"/>
                        <wps:cNvSpPr/>
                        <wps:spPr>
                          <a:xfrm>
                            <a:off x="2402586" y="327533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筛分</w:t>
                              </w:r>
                            </w:p>
                          </w:txbxContent>
                        </wps:txbx>
                        <wps:bodyPr anchor="ctr" upright="1"/>
                      </wps:wsp>
                      <wps:wsp>
                        <wps:cNvPr id="40" name="直接箭头连接符 40"/>
                        <wps:cNvCnPr/>
                        <wps:spPr>
                          <a:xfrm flipH="1">
                            <a:off x="3007651" y="3557905"/>
                            <a:ext cx="0" cy="215900"/>
                          </a:xfrm>
                          <a:prstGeom prst="straightConnector1">
                            <a:avLst/>
                          </a:prstGeom>
                          <a:ln w="12700" cap="flat" cmpd="sng">
                            <a:solidFill>
                              <a:srgbClr val="000000"/>
                            </a:solidFill>
                            <a:prstDash val="solid"/>
                            <a:headEnd type="none" w="med" len="med"/>
                            <a:tailEnd type="arrow" w="med" len="med"/>
                          </a:ln>
                        </wps:spPr>
                        <wps:bodyPr/>
                      </wps:wsp>
                      <wps:wsp>
                        <wps:cNvPr id="41" name="矩形 41"/>
                        <wps:cNvSpPr/>
                        <wps:spPr>
                          <a:xfrm>
                            <a:off x="2402586" y="3789680"/>
                            <a:ext cx="1223463" cy="287655"/>
                          </a:xfrm>
                          <a:prstGeom prst="rect">
                            <a:avLst/>
                          </a:prstGeom>
                          <a:noFill/>
                          <a:ln w="19050" cap="flat" cmpd="sng">
                            <a:solidFill>
                              <a:srgbClr val="000000"/>
                            </a:solidFill>
                            <a:prstDash val="solid"/>
                            <a:miter/>
                            <a:headEnd type="none" w="med" len="med"/>
                            <a:tailEnd type="none" w="med" len="med"/>
                          </a:ln>
                        </wps:spPr>
                        <wps:txbx>
                          <w:txbxContent>
                            <w:p>
                              <w:pPr>
                                <w:spacing w:before="0" w:beforeAutospacing="0" w:after="0" w:afterAutospacing="0"/>
                                <w:jc w:val="center"/>
                              </w:pPr>
                              <w:r>
                                <w:rPr>
                                  <w:rFonts w:hint="eastAsia" w:ascii="Times New Roman"/>
                                  <w:color w:val="000000"/>
                                  <w:kern w:val="2"/>
                                  <w:sz w:val="15"/>
                                  <w:szCs w:val="15"/>
                                </w:rPr>
                                <w:t>除磁性异物</w:t>
                              </w:r>
                            </w:p>
                          </w:txbxContent>
                        </wps:txbx>
                        <wps:bodyPr anchor="ctr" upright="1"/>
                      </wps:wsp>
                      <wps:wsp>
                        <wps:cNvPr id="42" name="直接箭头连接符 42"/>
                        <wps:cNvCnPr/>
                        <wps:spPr>
                          <a:xfrm flipH="1">
                            <a:off x="3007651" y="4072255"/>
                            <a:ext cx="0" cy="215900"/>
                          </a:xfrm>
                          <a:prstGeom prst="straightConnector1">
                            <a:avLst/>
                          </a:prstGeom>
                          <a:ln w="12700" cap="flat" cmpd="sng">
                            <a:solidFill>
                              <a:srgbClr val="000000"/>
                            </a:solidFill>
                            <a:prstDash val="solid"/>
                            <a:headEnd type="none" w="med" len="med"/>
                            <a:tailEnd type="arrow" w="med" len="med"/>
                          </a:ln>
                        </wps:spPr>
                        <wps:bodyPr/>
                      </wps:wsp>
                      <wps:wsp>
                        <wps:cNvPr id="43" name="左大括号 43"/>
                        <wps:cNvSpPr/>
                        <wps:spPr>
                          <a:xfrm>
                            <a:off x="1774030" y="266700"/>
                            <a:ext cx="593636" cy="4200525"/>
                          </a:xfrm>
                          <a:prstGeom prst="leftBrace">
                            <a:avLst>
                              <a:gd name="adj1" fmla="val 8353"/>
                              <a:gd name="adj2" fmla="val 50000"/>
                            </a:avLst>
                          </a:prstGeom>
                          <a:noFill/>
                          <a:ln w="9525" cap="flat" cmpd="sng">
                            <a:solidFill>
                              <a:srgbClr val="000000"/>
                            </a:solidFill>
                            <a:prstDash val="solid"/>
                            <a:headEnd type="none" w="med" len="med"/>
                            <a:tailEnd type="none" w="med" len="med"/>
                          </a:ln>
                        </wps:spPr>
                        <wps:bodyPr anchor="ctr" upright="1"/>
                      </wps:wsp>
                      <wps:wsp>
                        <wps:cNvPr id="44" name="矩形 44"/>
                        <wps:cNvSpPr/>
                        <wps:spPr>
                          <a:xfrm>
                            <a:off x="697865" y="1066800"/>
                            <a:ext cx="719983" cy="287655"/>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原辅料</w:t>
                              </w:r>
                            </w:p>
                          </w:txbxContent>
                        </wps:txbx>
                        <wps:bodyPr anchor="ctr" upright="1"/>
                      </wps:wsp>
                      <wps:wsp>
                        <wps:cNvPr id="45" name="矩形 45"/>
                        <wps:cNvSpPr/>
                        <wps:spPr>
                          <a:xfrm>
                            <a:off x="697865" y="2228850"/>
                            <a:ext cx="719983" cy="287655"/>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能源</w:t>
                              </w:r>
                            </w:p>
                          </w:txbxContent>
                        </wps:txbx>
                        <wps:bodyPr anchor="ctr" upright="1"/>
                      </wps:wsp>
                      <wps:wsp>
                        <wps:cNvPr id="46" name="矩形 46"/>
                        <wps:cNvSpPr/>
                        <wps:spPr>
                          <a:xfrm>
                            <a:off x="697865" y="3391535"/>
                            <a:ext cx="719983" cy="288290"/>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水</w:t>
                              </w:r>
                            </w:p>
                          </w:txbxContent>
                        </wps:txbx>
                        <wps:bodyPr anchor="ctr" upright="1"/>
                      </wps:wsp>
                      <wps:wsp>
                        <wps:cNvPr id="47" name="直接箭头连接符 47"/>
                        <wps:cNvCnPr/>
                        <wps:spPr>
                          <a:xfrm flipV="1">
                            <a:off x="1427381" y="1209675"/>
                            <a:ext cx="651422" cy="1270"/>
                          </a:xfrm>
                          <a:prstGeom prst="straightConnector1">
                            <a:avLst/>
                          </a:prstGeom>
                          <a:ln w="9525" cap="flat" cmpd="sng">
                            <a:solidFill>
                              <a:srgbClr val="000000"/>
                            </a:solidFill>
                            <a:prstDash val="solid"/>
                            <a:headEnd type="none" w="med" len="med"/>
                            <a:tailEnd type="arrow" w="med" len="med"/>
                          </a:ln>
                        </wps:spPr>
                        <wps:bodyPr/>
                      </wps:wsp>
                      <wps:wsp>
                        <wps:cNvPr id="48" name="直接箭头连接符 48"/>
                        <wps:cNvCnPr/>
                        <wps:spPr>
                          <a:xfrm flipV="1">
                            <a:off x="1427381" y="3529330"/>
                            <a:ext cx="659040" cy="6350"/>
                          </a:xfrm>
                          <a:prstGeom prst="straightConnector1">
                            <a:avLst/>
                          </a:prstGeom>
                          <a:ln w="9525" cap="flat" cmpd="sng">
                            <a:solidFill>
                              <a:srgbClr val="000000"/>
                            </a:solidFill>
                            <a:prstDash val="solid"/>
                            <a:headEnd type="none" w="med" len="med"/>
                            <a:tailEnd type="arrow" w="med" len="med"/>
                          </a:ln>
                        </wps:spPr>
                        <wps:bodyPr/>
                      </wps:wsp>
                      <wps:wsp>
                        <wps:cNvPr id="49" name="直接箭头连接符 49"/>
                        <wps:cNvCnPr/>
                        <wps:spPr>
                          <a:xfrm>
                            <a:off x="1415943" y="2367280"/>
                            <a:ext cx="358086" cy="0"/>
                          </a:xfrm>
                          <a:prstGeom prst="straightConnector1">
                            <a:avLst/>
                          </a:prstGeom>
                          <a:ln w="9525" cap="flat" cmpd="sng">
                            <a:solidFill>
                              <a:srgbClr val="000000"/>
                            </a:solidFill>
                            <a:prstDash val="solid"/>
                            <a:headEnd type="none" w="med" len="med"/>
                            <a:tailEnd type="arrow" w="med" len="med"/>
                          </a:ln>
                        </wps:spPr>
                        <wps:bodyPr/>
                      </wps:wsp>
                      <wps:wsp>
                        <wps:cNvPr id="50" name="右大括号 50"/>
                        <wps:cNvSpPr/>
                        <wps:spPr>
                          <a:xfrm>
                            <a:off x="3626049" y="266700"/>
                            <a:ext cx="594271" cy="4200525"/>
                          </a:xfrm>
                          <a:prstGeom prst="rightBrace">
                            <a:avLst>
                              <a:gd name="adj1" fmla="val 8344"/>
                              <a:gd name="adj2" fmla="val 50000"/>
                            </a:avLst>
                          </a:prstGeom>
                          <a:noFill/>
                          <a:ln w="9525" cap="flat" cmpd="sng">
                            <a:solidFill>
                              <a:srgbClr val="000000"/>
                            </a:solidFill>
                            <a:prstDash val="solid"/>
                            <a:headEnd type="none" w="med" len="med"/>
                            <a:tailEnd type="none" w="med" len="med"/>
                          </a:ln>
                        </wps:spPr>
                        <wps:bodyPr anchor="ctr" upright="1"/>
                      </wps:wsp>
                      <wps:wsp>
                        <wps:cNvPr id="51" name="矩形 51"/>
                        <wps:cNvSpPr/>
                        <wps:spPr>
                          <a:xfrm>
                            <a:off x="4240002" y="2227580"/>
                            <a:ext cx="719983" cy="288290"/>
                          </a:xfrm>
                          <a:prstGeom prst="rect">
                            <a:avLst/>
                          </a:prstGeom>
                          <a:noFill/>
                          <a:ln w="19050" cap="flat" cmpd="sng">
                            <a:solidFill>
                              <a:srgbClr val="000000"/>
                            </a:solidFill>
                            <a:prstDash val="solid"/>
                            <a:miter/>
                            <a:headEnd type="none" w="med" len="med"/>
                            <a:tailEnd type="none" w="med" len="med"/>
                          </a:ln>
                        </wps:spPr>
                        <wps:txbx>
                          <w:txbxContent>
                            <w:p>
                              <w:pPr>
                                <w:jc w:val="center"/>
                                <w:rPr>
                                  <w:color w:val="000000"/>
                                  <w:sz w:val="15"/>
                                  <w:szCs w:val="15"/>
                                </w:rPr>
                              </w:pPr>
                              <w:r>
                                <w:rPr>
                                  <w:rFonts w:hint="eastAsia"/>
                                  <w:color w:val="000000"/>
                                  <w:sz w:val="15"/>
                                  <w:szCs w:val="15"/>
                                </w:rPr>
                                <w:t>废物排放</w:t>
                              </w:r>
                            </w:p>
                          </w:txbxContent>
                        </wps:txbx>
                        <wps:bodyPr anchor="ctr" upright="1"/>
                      </wps:wsp>
                    </wpg:wgp>
                  </a:graphicData>
                </a:graphic>
              </wp:anchor>
            </w:drawing>
          </mc:Choice>
          <mc:Fallback>
            <w:pict>
              <v:group id="_x0000_s1026" o:spid="_x0000_s1026" o:spt="203" style="position:absolute;left:0pt;margin-left:16.7pt;margin-top:8.2pt;height:306.05pt;width:295.9pt;mso-position-horizontal-relative:char;mso-position-vertical-relative:line;z-index:251661312;mso-width-relative:page;mso-height-relative:page;" coordorigin="697865,18944" coordsize="4262120,4448281" o:gfxdata="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">
                <o:lock v:ext="edit" aspectratio="f"/>
                <v:rect id="_x0000_s1026" o:spid="_x0000_s1026" o:spt="1" style="position:absolute;left:2383844;top:18944;height:436035;width:1224333;v-text-anchor:middle;" filled="f" stroked="t" coordsize="21600,21600" o:gfxdata="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lNDe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adjustRightInd w:val="0"/>
                          <w:snapToGrid w:val="0"/>
                          <w:jc w:val="center"/>
                          <w:rPr>
                            <w:color w:val="000000"/>
                            <w:sz w:val="15"/>
                            <w:szCs w:val="15"/>
                          </w:rPr>
                        </w:pPr>
                        <w:r>
                          <w:rPr>
                            <w:rFonts w:hint="eastAsia"/>
                            <w:color w:val="000000"/>
                            <w:sz w:val="15"/>
                            <w:szCs w:val="15"/>
                          </w:rPr>
                          <w:t>镍</w:t>
                        </w:r>
                        <w:r>
                          <w:rPr>
                            <w:rFonts w:hint="eastAsia"/>
                            <w:color w:val="000000"/>
                            <w:sz w:val="15"/>
                            <w:szCs w:val="15"/>
                            <w:lang w:eastAsia="zh-CN"/>
                          </w:rPr>
                          <w:t>、</w:t>
                        </w:r>
                        <w:r>
                          <w:rPr>
                            <w:rFonts w:hint="eastAsia"/>
                            <w:color w:val="000000"/>
                            <w:sz w:val="15"/>
                            <w:szCs w:val="15"/>
                            <w:lang w:val="en-US" w:eastAsia="zh-CN"/>
                          </w:rPr>
                          <w:t>钴</w:t>
                        </w:r>
                        <w:r>
                          <w:rPr>
                            <w:rFonts w:hint="eastAsia"/>
                            <w:color w:val="000000"/>
                            <w:sz w:val="15"/>
                            <w:szCs w:val="15"/>
                          </w:rPr>
                          <w:t>的硫酸盐或纯化液的预处理</w:t>
                        </w:r>
                      </w:p>
                    </w:txbxContent>
                  </v:textbox>
                </v:rect>
                <v:shape id="_x0000_s1026" o:spid="_x0000_s1026" o:spt="32" type="#_x0000_t32" style="position:absolute;left:2993048;top:450215;flip:x;height:215900;width:0;" filled="f" stroked="t" coordsize="21600,21600" o:gfxdata="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U5Ob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388618;top:674370;height:287655;width:1223463;v-text-anchor:middle;" filled="f" stroked="t" coordsize="21600,21600" o:gfxdata="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R+E3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配料</w:t>
                        </w:r>
                      </w:p>
                    </w:txbxContent>
                  </v:textbox>
                </v:rect>
                <v:shape id="_x0000_s1026" o:spid="_x0000_s1026" o:spt="32" type="#_x0000_t32" style="position:absolute;left:3007651;top:962025;flip:x;height:216535;width:0;" filled="f" stroked="t" coordsize="21600,21600" o:gfxdata="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qj4r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402586;top:1193800;height:287655;width:1223463;v-text-anchor:middle;" filled="f" stroked="t" coordsize="21600,21600" o:gfxdata="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oe+y/&#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合成、陈化</w:t>
                        </w:r>
                      </w:p>
                    </w:txbxContent>
                  </v:textbox>
                </v:rect>
                <v:shape id="_x0000_s1026" o:spid="_x0000_s1026" o:spt="32" type="#_x0000_t32" style="position:absolute;left:3007651;top:1490980;flip:x;height:215900;width:0;" filled="f" stroked="t" coordsize="21600,21600" o:gfxdata="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SYDr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rect id="_x0000_s1026" o:spid="_x0000_s1026" o:spt="1" style="position:absolute;left:2402586;top:1722755;height:287655;width:1223463;v-text-anchor:middle;" filled="f" stroked="t" coordsize="21600,21600" o:gfxdata="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2QAC/&#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洗涤、分离</w:t>
                        </w:r>
                      </w:p>
                    </w:txbxContent>
                  </v:textbox>
                </v:rect>
                <v:shape id="_x0000_s1026" o:spid="_x0000_s1026" o:spt="32" type="#_x0000_t32" style="position:absolute;left:3007651;top:2014855;flip:x;height:215900;width:0;" filled="f" stroked="t" coordsize="21600,21600" o:gfxdata="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IaXh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rect id="_x0000_s1026" o:spid="_x0000_s1026" o:spt="1" style="position:absolute;left:2402586;top:2246630;height:287655;width:1223463;v-text-anchor:middle;" filled="f" stroked="t" coordsize="21600,21600" o:gfxdata="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033v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干燥</w:t>
                        </w:r>
                      </w:p>
                    </w:txbxContent>
                  </v:textbox>
                </v:rect>
                <v:shape id="_x0000_s1026" o:spid="_x0000_s1026" o:spt="32" type="#_x0000_t32" style="position:absolute;left:3007651;top:2519680;flip:x;height:215900;width:0;" filled="f" stroked="t" coordsize="21600,21600" o:gfxdata="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g2/&#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rect id="_x0000_s1026" o:spid="_x0000_s1026" o:spt="1" style="position:absolute;left:2402586;top:2751455;height:287655;width:1223463;v-text-anchor:middle;" filled="f" stroked="t" coordsize="21600,21600" o:gfxdata="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UYD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混合</w:t>
                        </w:r>
                      </w:p>
                    </w:txbxContent>
                  </v:textbox>
                </v:rect>
                <v:shape id="_x0000_s1026" o:spid="_x0000_s1026" o:spt="32" type="#_x0000_t32" style="position:absolute;left:3007651;top:3043555;flip:x;height:215900;width:0;" filled="f" stroked="t" coordsize="21600,21600" o:gfxdata="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yv5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402586;top:3275330;height:287655;width:1223463;v-text-anchor:middle;" filled="f" stroked="t" coordsize="21600,21600" o:gfxdata="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nnfqvQAA&#10;ANs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筛分</w:t>
                        </w:r>
                      </w:p>
                    </w:txbxContent>
                  </v:textbox>
                </v:rect>
                <v:shape id="_x0000_s1026" o:spid="_x0000_s1026" o:spt="32" type="#_x0000_t32" style="position:absolute;left:3007651;top:3557905;flip:x;height:215900;width:0;" filled="f" stroked="t" coordsize="21600,21600" o:gfxdata="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zQn7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rect id="_x0000_s1026" o:spid="_x0000_s1026" o:spt="1" style="position:absolute;left:2402586;top:3789680;height:287655;width:1223463;v-text-anchor:middle;" filled="f" stroked="t" coordsize="21600,21600" o:gfxdata="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4Ikb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spacing w:before="0" w:beforeAutospacing="0" w:after="0" w:afterAutospacing="0"/>
                          <w:jc w:val="center"/>
                        </w:pPr>
                        <w:r>
                          <w:rPr>
                            <w:rFonts w:hint="eastAsia" w:ascii="Times New Roman"/>
                            <w:color w:val="000000"/>
                            <w:kern w:val="2"/>
                            <w:sz w:val="15"/>
                            <w:szCs w:val="15"/>
                          </w:rPr>
                          <w:t>除磁性异物</w:t>
                        </w:r>
                      </w:p>
                    </w:txbxContent>
                  </v:textbox>
                </v:rect>
                <v:shape id="_x0000_s1026" o:spid="_x0000_s1026" o:spt="32" type="#_x0000_t32" style="position:absolute;left:3007651;top:4072255;flip:x;height:215900;width:0;" filled="f" stroked="t" coordsize="21600,21600" o:gfxdata="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C63O/&#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_x0000_s1026" o:spid="_x0000_s1026" o:spt="87" type="#_x0000_t87" style="position:absolute;left:1774030;top:266700;height:4200525;width:593636;v-text-anchor:middle;" filled="f" stroked="t" coordsize="21600,21600" o:gfxdata="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l+wu8AAAA&#10;2wAAAA8AAAAAAAAAAQAgAAAAIgAAAGRycy9kb3ducmV2LnhtbFBLAQIUABQAAAAIAIdO4kAzLwWe&#10;OwAAADkAAAAQAAAAAAAAAAEAIAAAAAsBAABkcnMvc2hhcGV4bWwueG1sUEsFBgAAAAAGAAYAWwEA&#10;ALUDAAAAAA==&#10;" adj="254,10800">
                  <v:fill on="f" focussize="0,0"/>
                  <v:stroke color="#000000" joinstyle="round"/>
                  <v:imagedata o:title=""/>
                  <o:lock v:ext="edit" aspectratio="f"/>
                </v:shape>
                <v:rect id="_x0000_s1026" o:spid="_x0000_s1026" o:spt="1" style="position:absolute;left:697865;top:1066800;height:287655;width:719983;v-text-anchor:middle;" filled="f" stroked="t" coordsize="21600,21600" o:gfxdata="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Zqwm/&#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原辅料</w:t>
                        </w:r>
                      </w:p>
                    </w:txbxContent>
                  </v:textbox>
                </v:rect>
                <v:rect id="_x0000_s1026" o:spid="_x0000_s1026" o:spt="1" style="position:absolute;left:697865;top:2228850;height:287655;width:719983;v-text-anchor:middle;" filled="f" stroked="t" coordsize="21600,21600" o:gfxdata="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UOkr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能源</w:t>
                        </w:r>
                      </w:p>
                    </w:txbxContent>
                  </v:textbox>
                </v:rect>
                <v:rect id="_x0000_s1026" o:spid="_x0000_s1026" o:spt="1" style="position:absolute;left:697865;top:3391535;height:288290;width:719983;v-text-anchor:middle;" filled="f" stroked="t" coordsize="21600,21600" o:gfxdata="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B5Dl&#10;wAAAANsAAAAPAAAAAAAAAAEAIAAAACIAAABkcnMvZG93bnJldi54bWxQSwECFAAUAAAACACHTuJA&#10;My8FnjsAAAA5AAAAEAAAAAAAAAABACAAAAAPAQAAZHJzL3NoYXBleG1sLnhtbFBLBQYAAAAABgAG&#10;AFsBAAC5Aw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水</w:t>
                        </w:r>
                      </w:p>
                    </w:txbxContent>
                  </v:textbox>
                </v:rect>
                <v:shape id="_x0000_s1026" o:spid="_x0000_s1026" o:spt="32" type="#_x0000_t32" style="position:absolute;left:1427381;top:1209675;flip:y;height:1270;width:651422;" filled="f" stroked="t" coordsize="21600,21600" o:gfxdata="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6h4X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1427381;top:3529330;flip:y;height:6350;width:659040;" filled="f" stroked="t" coordsize="21600,21600" o:gfxdata="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dYpl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32" type="#_x0000_t32" style="position:absolute;left:1415943;top:2367280;height:0;width:358086;" filled="f" stroked="t" coordsize="21600,21600" o:gfxdata="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SLuG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_x0000_s1026" o:spid="_x0000_s1026" o:spt="88" type="#_x0000_t88" style="position:absolute;left:3626049;top:266700;height:4200525;width:594271;v-text-anchor:middle;" filled="f" stroked="t" coordsize="21600,21600" o:gfxdata="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3HuG8AAAA&#10;2wAAAA8AAAAAAAAAAQAgAAAAIgAAAGRycy9kb3ducmV2LnhtbFBLAQIUABQAAAAIAIdO4kAzLwWe&#10;OwAAADkAAAAQAAAAAAAAAAEAIAAAAAsBAABkcnMvc2hhcGV4bWwueG1sUEsFBgAAAAAGAAYAWwEA&#10;ALUDAAAAAA==&#10;" adj="254,10800">
                  <v:fill on="f" focussize="0,0"/>
                  <v:stroke color="#000000" joinstyle="round"/>
                  <v:imagedata o:title=""/>
                  <o:lock v:ext="edit" aspectratio="f"/>
                </v:shape>
                <v:rect id="_x0000_s1026" o:spid="_x0000_s1026" o:spt="1" style="position:absolute;left:4240002;top:2227580;height:288290;width:719983;v-text-anchor:middle;" filled="f" stroked="t" coordsize="21600,21600" o:gfxdata="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eeTL4A&#10;AADb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textbox>
                    <w:txbxContent>
                      <w:p>
                        <w:pPr>
                          <w:jc w:val="center"/>
                          <w:rPr>
                            <w:color w:val="000000"/>
                            <w:sz w:val="15"/>
                            <w:szCs w:val="15"/>
                          </w:rPr>
                        </w:pPr>
                        <w:r>
                          <w:rPr>
                            <w:rFonts w:hint="eastAsia"/>
                            <w:color w:val="000000"/>
                            <w:sz w:val="15"/>
                            <w:szCs w:val="15"/>
                          </w:rPr>
                          <w:t>废物排放</w:t>
                        </w:r>
                      </w:p>
                    </w:txbxContent>
                  </v:textbox>
                </v:rect>
              </v:group>
            </w:pict>
          </mc:Fallback>
        </mc:AlternateConten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mc:AlternateContent>
          <mc:Choice Requires="wps">
            <w:drawing>
              <wp:anchor distT="0" distB="0" distL="114300" distR="114300" simplePos="0" relativeHeight="251665408" behindDoc="0" locked="0" layoutInCell="1" allowOverlap="1">
                <wp:simplePos x="0" y="0"/>
                <wp:positionH relativeFrom="character">
                  <wp:posOffset>1715135</wp:posOffset>
                </wp:positionH>
                <wp:positionV relativeFrom="line">
                  <wp:posOffset>91440</wp:posOffset>
                </wp:positionV>
                <wp:extent cx="1061085" cy="250190"/>
                <wp:effectExtent l="9525" t="9525" r="15240" b="26035"/>
                <wp:wrapNone/>
                <wp:docPr id="53" name="矩形 53"/>
                <wp:cNvGraphicFramePr/>
                <a:graphic xmlns:a="http://schemas.openxmlformats.org/drawingml/2006/main">
                  <a:graphicData uri="http://schemas.microsoft.com/office/word/2010/wordprocessingShape">
                    <wps:wsp>
                      <wps:cNvSpPr/>
                      <wps:spPr>
                        <a:xfrm>
                          <a:off x="0" y="0"/>
                          <a:ext cx="1061085" cy="250190"/>
                        </a:xfrm>
                        <a:prstGeom prst="rect">
                          <a:avLst/>
                        </a:prstGeom>
                        <a:noFill/>
                        <a:ln w="19050" cap="flat" cmpd="sng">
                          <a:solidFill>
                            <a:srgbClr val="000000"/>
                          </a:solidFill>
                          <a:prstDash val="solid"/>
                          <a:miter/>
                          <a:headEnd type="none" w="med" len="med"/>
                          <a:tailEnd type="none" w="med" len="med"/>
                        </a:ln>
                      </wps:spPr>
                      <wps:txbx>
                        <w:txbxContent>
                          <w:p>
                            <w:pPr>
                              <w:pStyle w:val="8"/>
                              <w:spacing w:before="0" w:beforeAutospacing="0" w:after="0" w:afterAutospacing="0"/>
                              <w:jc w:val="center"/>
                            </w:pPr>
                            <w:r>
                              <w:rPr>
                                <w:rFonts w:hint="eastAsia" w:ascii="Times New Roman"/>
                                <w:color w:val="000000"/>
                                <w:kern w:val="2"/>
                                <w:sz w:val="15"/>
                                <w:szCs w:val="15"/>
                              </w:rPr>
                              <w:t>产品包装</w:t>
                            </w:r>
                          </w:p>
                        </w:txbxContent>
                      </wps:txbx>
                      <wps:bodyPr anchor="ctr" upright="1"/>
                    </wps:wsp>
                  </a:graphicData>
                </a:graphic>
              </wp:anchor>
            </w:drawing>
          </mc:Choice>
          <mc:Fallback>
            <w:pict>
              <v:rect id="_x0000_s1026" o:spid="_x0000_s1026" o:spt="1" style="position:absolute;left:0pt;margin-left:135.05pt;margin-top:7.2pt;height:19.7pt;width:83.55pt;mso-position-horizontal-relative:char;mso-position-vertical-relative:line;z-index:251665408;v-text-anchor:middle;mso-width-relative:page;mso-height-relative:page;" filled="f" stroked="t" coordsize="21600,21600" o:gfxdata="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2WcA2QAAAAkBAAAPAAAAAAAAAAEAIAAAACIAAABkcnMvZG93bnJldi54bWxQSwECFAAUAAAA&#10;CACHTuJA5zpFqO0BAADCAwAADgAAAAAAAAABACAAAAAoAQAAZHJzL2Uyb0RvYy54bWxQSwUGAAAA&#10;AAYABgBZAQAAhwUAAAAA&#10;">
                <v:fill on="f" focussize="0,0"/>
                <v:stroke weight="1.5pt" color="#000000" joinstyle="miter"/>
                <v:imagedata o:title=""/>
                <o:lock v:ext="edit" aspectratio="f"/>
                <v:textbox>
                  <w:txbxContent>
                    <w:p>
                      <w:pPr>
                        <w:pStyle w:val="8"/>
                        <w:spacing w:before="0" w:beforeAutospacing="0" w:after="0" w:afterAutospacing="0"/>
                        <w:jc w:val="center"/>
                      </w:pPr>
                      <w:r>
                        <w:rPr>
                          <w:rFonts w:hint="eastAsia" w:ascii="Times New Roman"/>
                          <w:color w:val="000000"/>
                          <w:kern w:val="2"/>
                          <w:sz w:val="15"/>
                          <w:szCs w:val="15"/>
                        </w:rPr>
                        <w:t>产品包装</w:t>
                      </w:r>
                    </w:p>
                  </w:txbxContent>
                </v:textbox>
              </v:rect>
            </w:pict>
          </mc:Fallback>
        </mc:AlternateContent>
      </w:r>
    </w:p>
    <w:p>
      <w:pPr>
        <w:pStyle w:val="2"/>
        <w:rPr>
          <w:rFonts w:hint="eastAsia"/>
        </w:rPr>
      </w:pPr>
    </w:p>
    <w:p>
      <w:pPr>
        <w:pStyle w:val="16"/>
        <w:jc w:val="center"/>
        <w:rPr>
          <w:rFonts w:hint="eastAsia" w:ascii="黑体" w:hAnsi="黑体" w:eastAsia="黑体"/>
          <w:sz w:val="21"/>
          <w:szCs w:val="21"/>
        </w:rPr>
      </w:pPr>
    </w:p>
    <w:p>
      <w:pPr>
        <w:pStyle w:val="16"/>
        <w:jc w:val="center"/>
        <w:rPr>
          <w:rFonts w:hint="eastAsia" w:ascii="Times New Roman" w:hAnsi="Times New Roman" w:eastAsia="黑体" w:cs="Times New Roman"/>
          <w:b w:val="0"/>
          <w:bCs/>
          <w:sz w:val="24"/>
          <w:szCs w:val="24"/>
          <w:lang w:val="en-US" w:eastAsia="zh-CN"/>
        </w:rPr>
      </w:pPr>
      <w:r>
        <w:rPr>
          <w:rFonts w:hint="eastAsia" w:ascii="黑体" w:hAnsi="黑体" w:eastAsia="黑体"/>
          <w:sz w:val="21"/>
          <w:szCs w:val="21"/>
        </w:rPr>
        <w:t xml:space="preserve">图1 </w:t>
      </w:r>
      <w:r>
        <w:rPr>
          <w:rFonts w:hint="eastAsia" w:ascii="黑体" w:hAnsi="黑体" w:eastAsia="黑体" w:cs="Times New Roman"/>
          <w:sz w:val="21"/>
          <w:szCs w:val="21"/>
          <w:lang w:val="en-US" w:eastAsia="zh-CN"/>
        </w:rPr>
        <w:t>镍钴二元素复合氢氧化物</w:t>
      </w:r>
      <w:r>
        <w:rPr>
          <w:rFonts w:hint="eastAsia" w:ascii="黑体" w:hAnsi="黑体" w:eastAsia="黑体"/>
          <w:sz w:val="21"/>
          <w:szCs w:val="21"/>
          <w:lang w:val="en-US" w:eastAsia="zh-CN"/>
        </w:rPr>
        <w:t>生产工艺流程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3.2确定标准的主要技术内容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3.2.1基本要求</w:t>
      </w:r>
    </w:p>
    <w:p>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基本要求宜包括应满足的节能环保法律法规、工艺技术、管理体系及相关产品标准等方法的要求，参照已</w:t>
      </w:r>
      <w:r>
        <w:rPr>
          <w:rFonts w:hint="default" w:ascii="Times New Roman" w:hAnsi="Times New Roman" w:eastAsia="宋体" w:cs="Times New Roman"/>
          <w:sz w:val="24"/>
          <w:szCs w:val="24"/>
          <w:lang w:val="en-US" w:eastAsia="zh-CN"/>
        </w:rPr>
        <w:t>发布实施</w:t>
      </w:r>
      <w:r>
        <w:rPr>
          <w:rFonts w:hint="default" w:ascii="Times New Roman" w:hAnsi="Times New Roman" w:eastAsia="宋体" w:cs="Times New Roman"/>
          <w:sz w:val="24"/>
          <w:szCs w:val="24"/>
        </w:rPr>
        <w:t>的《绿色设计产品评价技术规范 镍钴锰氢氧化物》</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《绿色设计产品评价技术规范 镍钴锰酸锂》</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《绿色设计产品评价技术规范 镍钴</w:t>
      </w:r>
      <w:r>
        <w:rPr>
          <w:rFonts w:hint="default" w:ascii="Times New Roman" w:hAnsi="Times New Roman" w:eastAsia="宋体" w:cs="Times New Roman"/>
          <w:sz w:val="24"/>
          <w:szCs w:val="24"/>
          <w:lang w:val="en-US" w:eastAsia="zh-CN"/>
        </w:rPr>
        <w:t>铝</w:t>
      </w:r>
      <w:r>
        <w:rPr>
          <w:rFonts w:hint="default" w:ascii="Times New Roman" w:hAnsi="Times New Roman" w:eastAsia="宋体" w:cs="Times New Roman"/>
          <w:sz w:val="24"/>
          <w:szCs w:val="24"/>
        </w:rPr>
        <w:t>氢氧化物》</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《绿色设计产品评价技术规范 镍钴</w:t>
      </w:r>
      <w:r>
        <w:rPr>
          <w:rFonts w:hint="default" w:ascii="Times New Roman" w:hAnsi="Times New Roman" w:eastAsia="宋体" w:cs="Times New Roman"/>
          <w:sz w:val="24"/>
          <w:szCs w:val="24"/>
          <w:lang w:val="en-US" w:eastAsia="zh-CN"/>
        </w:rPr>
        <w:t>铝</w:t>
      </w:r>
      <w:r>
        <w:rPr>
          <w:rFonts w:hint="default" w:ascii="Times New Roman" w:hAnsi="Times New Roman" w:eastAsia="宋体" w:cs="Times New Roman"/>
          <w:sz w:val="24"/>
          <w:szCs w:val="24"/>
        </w:rPr>
        <w:t>酸锂》</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确定基本要求如下：</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宋体" w:cs="Times New Roman"/>
          <w:sz w:val="24"/>
          <w:szCs w:val="24"/>
        </w:rPr>
      </w:pPr>
      <w:r>
        <w:rPr>
          <w:rFonts w:hint="default" w:ascii="宋体" w:hAnsi="宋体" w:eastAsia="宋体" w:cs="宋体"/>
          <w:kern w:val="0"/>
          <w:sz w:val="24"/>
          <w:szCs w:val="24"/>
          <w:lang w:val="en-US" w:eastAsia="zh-CN" w:bidi="ar"/>
        </w:rPr>
        <w:t xml:space="preserve">3.2.1.1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企业近三年无重大安全、环境污染和质量事故，应设立安环、质量管理机构，并配置专职管理人员</w:t>
      </w:r>
      <w:r>
        <w:rPr>
          <w:rFonts w:hint="default" w:ascii="Times New Roman" w:hAnsi="Times New Roman" w:eastAsia="宋体" w:cs="Times New Roman"/>
          <w:sz w:val="24"/>
          <w:szCs w:val="24"/>
          <w:lang w:eastAsia="zh-CN"/>
        </w:rPr>
        <w:t>。</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宋体" w:cs="Times New Roman"/>
          <w:sz w:val="24"/>
          <w:szCs w:val="24"/>
        </w:rPr>
      </w:pPr>
      <w:r>
        <w:rPr>
          <w:rFonts w:hint="default" w:ascii="宋体" w:hAnsi="宋体" w:eastAsia="宋体" w:cs="宋体"/>
          <w:kern w:val="0"/>
          <w:sz w:val="24"/>
          <w:szCs w:val="24"/>
          <w:lang w:val="en-US" w:eastAsia="zh-CN" w:bidi="ar"/>
        </w:rPr>
        <w:t>3.2.1.2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企业应采用国家鼓励的先进技术和工艺，不应使用国家或有关部门发布的淘汰或禁止的技术、工艺、装备及相关物质。</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宋体" w:cs="Times New Roman"/>
          <w:sz w:val="24"/>
          <w:szCs w:val="24"/>
        </w:rPr>
      </w:pPr>
      <w:r>
        <w:rPr>
          <w:rFonts w:hint="default" w:ascii="宋体" w:hAnsi="宋体" w:eastAsia="宋体" w:cs="宋体"/>
          <w:kern w:val="0"/>
          <w:sz w:val="24"/>
          <w:szCs w:val="24"/>
          <w:lang w:val="en-US" w:eastAsia="zh-CN" w:bidi="ar"/>
        </w:rPr>
        <w:t>3.2.1.3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企业的污染物排放应达到国家和地方污染物排放标准的要求，污染物总量控制应达到国家和地方污染物排放总量控制指标。</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3.2.1.4  企业的噪声排放应符合GB 12348的规定。</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3.2.1.5  企业安全生产管理应符合GB/T 33000的规定。</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Chars="0"/>
        <w:jc w:val="both"/>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3.2.1.6  企业应按照GB 17167的规定配备能源计量器具</w:t>
      </w:r>
      <w:r>
        <w:rPr>
          <w:rFonts w:hint="eastAsia" w:ascii="宋体" w:hAnsi="宋体" w:eastAsia="宋体" w:cs="宋体"/>
          <w:bCs/>
          <w:kern w:val="2"/>
          <w:sz w:val="24"/>
          <w:szCs w:val="24"/>
          <w:lang w:val="en-US" w:eastAsia="zh-CN" w:bidi="ar-SA"/>
        </w:rPr>
        <w:t>，应按照GB24798的规定配备水计量器具。</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3.2.1.7  企业应按照GB/T 19001、GB/T 23331、GB/T 24001 和 GB/T 45001分别建立、实施、保持并持续改进质量管理体系、能源管理体系、环境管理体系和职业健康安全管理体系。</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3.2.1.8  企业对产品主要原料供应方、生产协作方、相关服务方等提出相关质量、环境、能源和安全等方面的管理要求；宜开展绿色供应链管理，并建立绿色供应链管理绩效评价机制、程序，确定评价指标和评价方法。</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3.2.1.9  产生的固体废物应进行无害化、资源化处理，根据固体废物性质鉴别的结果，一般固体废弃物按照GB 18599的要求进行管控，危险固体废物按照GB 18597的要求进行管控。</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3.2.1.10  企业应按照《国家危险废物名录》和《危险化学品安全管理条例》建立并运行危险化学品安全管理制度，应向使用方提供符合GB/T 16483要求的产品安全技术说明书。</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3.2.1.11  产品说明书中应包含有害物质使用、需特殊处理材料及产品废弃后循环利用的相关说明要求。产品包装材料应采用可再生利用或可降解材料。</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3.2.1.12  企业宜按照《环境信息公开办法（试行）》第十九条公开环境信息。</w:t>
      </w:r>
    </w:p>
    <w:p>
      <w:pPr>
        <w:pStyle w:val="17"/>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3.2.1.13  产品应符合YS/T XXXX的规定，执行企业标准的应不低于国家和行业标准的要求。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3.2.2评价指标</w:t>
      </w:r>
    </w:p>
    <w:p>
      <w:pPr>
        <w:widowControl/>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bCs/>
          <w:sz w:val="24"/>
          <w:szCs w:val="24"/>
        </w:rPr>
        <w:t>评价指标宜包括资源属性指标、能源属性指标、环境属性指标和品质属性指标等四类一级指标，在一级指标下设置可量化、可检测、可验证的二级指标，不同类别产品的一级指标可依据产品特点、对环境和人体健康影响程度、现有标准实施情况等因素选取。其中资源属性指标选择选取金属镍、金属钴的消耗量</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新鲜水消耗量</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水的重复利用率</w:t>
      </w:r>
      <w:r>
        <w:rPr>
          <w:rFonts w:hint="eastAsia" w:ascii="Times New Roman" w:hAnsi="Times New Roman" w:eastAsia="宋体" w:cs="Times New Roman"/>
          <w:bCs/>
          <w:sz w:val="24"/>
          <w:szCs w:val="24"/>
          <w:lang w:val="en-US" w:eastAsia="zh-CN"/>
        </w:rPr>
        <w:t>以及</w:t>
      </w:r>
      <w:r>
        <w:rPr>
          <w:rFonts w:hint="eastAsia" w:ascii="Times New Roman" w:hAnsi="Times New Roman" w:eastAsia="宋体" w:cs="Times New Roman"/>
          <w:bCs/>
          <w:sz w:val="24"/>
          <w:szCs w:val="24"/>
        </w:rPr>
        <w:t>废水中氨的回收利用率作为二级评价指标</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能源属</w:t>
      </w:r>
      <w:r>
        <w:rPr>
          <w:rFonts w:ascii="Times New Roman" w:hAnsi="Times New Roman" w:eastAsia="宋体" w:cs="Times New Roman"/>
          <w:color w:val="000000"/>
          <w:sz w:val="24"/>
          <w:szCs w:val="24"/>
        </w:rPr>
        <w:t>性选取单位产品综合能耗作为二级评价</w:t>
      </w:r>
      <w:r>
        <w:rPr>
          <w:rFonts w:hint="eastAsia" w:ascii="Times New Roman" w:hAnsi="Times New Roman" w:eastAsia="宋体" w:cs="Times New Roman"/>
          <w:color w:val="000000"/>
          <w:sz w:val="24"/>
          <w:szCs w:val="24"/>
          <w:lang w:val="en-US" w:eastAsia="zh-CN"/>
        </w:rPr>
        <w:t>指</w:t>
      </w:r>
      <w:r>
        <w:rPr>
          <w:rFonts w:ascii="Times New Roman" w:hAnsi="Times New Roman" w:eastAsia="宋体" w:cs="Times New Roman"/>
          <w:color w:val="000000"/>
          <w:sz w:val="24"/>
          <w:szCs w:val="24"/>
        </w:rPr>
        <w:t>标；环境属性根据网上公开的相关项目的环境影响评价文件以及企业反馈意见确定，</w:t>
      </w:r>
      <w:r>
        <w:rPr>
          <w:rFonts w:hint="eastAsia" w:ascii="Times New Roman" w:hAnsi="Times New Roman" w:eastAsia="宋体" w:cs="Times New Roman"/>
          <w:color w:val="000000"/>
          <w:sz w:val="24"/>
          <w:szCs w:val="24"/>
        </w:rPr>
        <w:t>因</w:t>
      </w:r>
      <w:r>
        <w:rPr>
          <w:rFonts w:hint="eastAsia" w:ascii="Times New Roman" w:hAnsi="Times New Roman" w:eastAsia="宋体" w:cs="Times New Roman"/>
          <w:kern w:val="0"/>
          <w:sz w:val="24"/>
          <w:szCs w:val="24"/>
          <w:lang w:val="en-US" w:eastAsia="zh-CN" w:bidi="ar"/>
        </w:rPr>
        <w:t>镍钴二元素复合氢氧化物</w:t>
      </w:r>
      <w:r>
        <w:rPr>
          <w:rFonts w:hint="eastAsia" w:ascii="Times New Roman" w:hAnsi="Times New Roman" w:eastAsia="宋体" w:cs="Times New Roman"/>
          <w:color w:val="000000"/>
          <w:sz w:val="24"/>
          <w:szCs w:val="24"/>
        </w:rPr>
        <w:t>生产过程中产品会使用水</w:t>
      </w:r>
      <w:r>
        <w:rPr>
          <w:rFonts w:hint="eastAsia" w:ascii="Times New Roman" w:hAnsi="Times New Roman" w:eastAsia="宋体" w:cs="Times New Roman"/>
          <w:color w:val="000000"/>
          <w:sz w:val="24"/>
          <w:szCs w:val="24"/>
          <w:lang w:val="en-US" w:eastAsia="zh-CN"/>
        </w:rPr>
        <w:t>进行合成及</w:t>
      </w:r>
      <w:r>
        <w:rPr>
          <w:rFonts w:hint="eastAsia" w:ascii="Times New Roman" w:hAnsi="Times New Roman" w:eastAsia="宋体" w:cs="Times New Roman"/>
          <w:color w:val="000000"/>
          <w:sz w:val="24"/>
          <w:szCs w:val="24"/>
        </w:rPr>
        <w:t>洗涤，选取了废水排放量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pH、</w:t>
      </w:r>
      <w:r>
        <w:rPr>
          <w:rFonts w:ascii="Times New Roman" w:hAnsi="Times New Roman" w:eastAsia="宋体" w:cs="Times New Roman"/>
          <w:color w:val="000000"/>
          <w:sz w:val="24"/>
          <w:szCs w:val="24"/>
        </w:rPr>
        <w:t>悬浮</w:t>
      </w:r>
      <w:r>
        <w:rPr>
          <w:rFonts w:hint="eastAsia" w:ascii="Times New Roman" w:hAnsi="Times New Roman" w:eastAsia="宋体" w:cs="Times New Roman"/>
          <w:kern w:val="0"/>
          <w:sz w:val="24"/>
          <w:szCs w:val="24"/>
          <w:lang w:val="en-US" w:eastAsia="zh-CN" w:bidi="ar"/>
        </w:rPr>
        <w:t>物、氨氮、</w:t>
      </w:r>
      <w:r>
        <w:rPr>
          <w:rFonts w:ascii="Times New Roman" w:hAnsi="Times New Roman" w:eastAsia="宋体" w:cs="Times New Roman"/>
          <w:color w:val="000000"/>
          <w:sz w:val="24"/>
          <w:szCs w:val="24"/>
        </w:rPr>
        <w:t>废水中</w:t>
      </w:r>
      <w:r>
        <w:rPr>
          <w:rFonts w:hint="eastAsia" w:ascii="Times New Roman" w:hAnsi="Times New Roman" w:eastAsia="宋体" w:cs="Times New Roman"/>
          <w:color w:val="000000"/>
          <w:sz w:val="24"/>
          <w:szCs w:val="24"/>
          <w:lang w:val="en-US" w:eastAsia="zh-CN"/>
        </w:rPr>
        <w:t>钠</w:t>
      </w:r>
      <w:r>
        <w:rPr>
          <w:rFonts w:ascii="Times New Roman" w:hAnsi="Times New Roman" w:eastAsia="宋体" w:cs="Times New Roman"/>
          <w:color w:val="000000"/>
          <w:sz w:val="24"/>
          <w:szCs w:val="24"/>
        </w:rPr>
        <w:t>离子含量</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rPr>
        <w:t>废水中镍离子含量、废水中钴离子</w:t>
      </w:r>
      <w:r>
        <w:rPr>
          <w:rFonts w:hint="eastAsia" w:ascii="Times New Roman" w:hAnsi="Times New Roman" w:eastAsia="宋体" w:cs="Times New Roman"/>
          <w:color w:val="000000"/>
          <w:sz w:val="24"/>
          <w:szCs w:val="24"/>
        </w:rPr>
        <w:t>含量</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粉尘废气中镍及其化合物</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氨气作为二级评价指标。品质属性选取</w:t>
      </w:r>
      <w:r>
        <w:rPr>
          <w:rFonts w:hint="eastAsia" w:ascii="Times New Roman" w:hAnsi="Times New Roman" w:eastAsia="宋体" w:cs="Times New Roman"/>
          <w:color w:val="000000"/>
          <w:sz w:val="24"/>
          <w:szCs w:val="24"/>
          <w:lang w:val="en-US" w:eastAsia="zh-CN"/>
        </w:rPr>
        <w:t>磁性异物</w:t>
      </w:r>
      <w:r>
        <w:rPr>
          <w:rFonts w:hint="eastAsia" w:ascii="Times New Roman" w:hAnsi="Times New Roman" w:eastAsia="宋体" w:cs="Times New Roman"/>
          <w:color w:val="000000"/>
          <w:sz w:val="24"/>
          <w:szCs w:val="24"/>
        </w:rPr>
        <w:t>作为二级</w:t>
      </w:r>
      <w:r>
        <w:rPr>
          <w:rFonts w:ascii="Times New Roman" w:hAnsi="Times New Roman" w:eastAsia="宋体" w:cs="Times New Roman"/>
          <w:color w:val="000000"/>
          <w:sz w:val="24"/>
          <w:szCs w:val="24"/>
        </w:rPr>
        <w:t>评价指标。</w:t>
      </w:r>
    </w:p>
    <w:p>
      <w:pPr>
        <w:widowControl/>
        <w:spacing w:line="360" w:lineRule="auto"/>
        <w:ind w:firstLine="480" w:firstLineChars="200"/>
        <w:jc w:val="left"/>
        <w:rPr>
          <w:rFonts w:ascii="Times New Roman" w:hAnsi="Times New Roman" w:cs="Times New Roman"/>
          <w:kern w:val="0"/>
          <w:szCs w:val="21"/>
        </w:rPr>
      </w:pPr>
      <w:r>
        <w:rPr>
          <w:rFonts w:hint="eastAsia" w:ascii="Times New Roman" w:hAnsi="Times New Roman" w:eastAsia="宋体" w:cs="Times New Roman"/>
          <w:sz w:val="24"/>
          <w:szCs w:val="24"/>
        </w:rPr>
        <w:t>本文绿色产品指标确定的依据为：选择所调研企业耗值最高的一家企业应不满足绿色产品的要求，但其指标不宜定的过于苛刻，通过适当工艺技术、管理等改进也能达到（其中部分指标由于各企业之间差距不大，选择全部满足）。</w:t>
      </w:r>
    </w:p>
    <w:p>
      <w:pPr>
        <w:snapToGrid w:val="0"/>
        <w:spacing w:line="360" w:lineRule="auto"/>
        <w:ind w:firstLine="480" w:firstLineChars="200"/>
        <w:rPr>
          <w:rFonts w:ascii="Times New Roman" w:hAnsi="Times New Roman" w:eastAsia="宋体" w:cs="Times New Roman"/>
          <w:szCs w:val="21"/>
        </w:rPr>
      </w:pPr>
      <w:r>
        <w:rPr>
          <w:rFonts w:hint="eastAsia"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lang w:val="en-US" w:eastAsia="zh-CN"/>
        </w:rPr>
        <w:t>根据镍钴二元素复合氢氧化物生产企业数据调研情况，常用型号为镍钴二元素复合氢氧化物，</w:t>
      </w:r>
      <w:r>
        <w:rPr>
          <w:rFonts w:hint="eastAsia" w:ascii="Times New Roman" w:hAnsi="Times New Roman" w:eastAsia="宋体" w:cs="Times New Roman"/>
          <w:sz w:val="24"/>
          <w:szCs w:val="24"/>
        </w:rPr>
        <w:t>其调研含量和理论含量值见表1。</w:t>
      </w:r>
    </w:p>
    <w:p>
      <w:pPr>
        <w:snapToGrid w:val="0"/>
        <w:spacing w:line="360" w:lineRule="auto"/>
        <w:ind w:firstLine="420" w:firstLineChars="200"/>
        <w:jc w:val="center"/>
        <w:rPr>
          <w:rFonts w:hint="eastAsia"/>
          <w:lang w:val="en-US" w:eastAsia="zh-CN"/>
        </w:rPr>
      </w:pPr>
      <w:r>
        <w:rPr>
          <w:rFonts w:ascii="Times New Roman" w:hAnsi="Times New Roman" w:eastAsia="宋体" w:cs="Times New Roman"/>
          <w:szCs w:val="21"/>
        </w:rPr>
        <w:t>表</w:t>
      </w:r>
      <w:r>
        <w:rPr>
          <w:rFonts w:hint="eastAsia" w:ascii="Times New Roman" w:hAnsi="Times New Roman" w:eastAsia="宋体" w:cs="Times New Roman"/>
          <w:szCs w:val="21"/>
        </w:rPr>
        <w:t>1</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镍钴二元素复合氢氧化物</w:t>
      </w:r>
      <w:r>
        <w:rPr>
          <w:rFonts w:ascii="Times New Roman" w:hAnsi="Times New Roman" w:eastAsia="宋体" w:cs="Times New Roman"/>
          <w:szCs w:val="21"/>
        </w:rPr>
        <w:t>产品中主要金属元素含量</w:t>
      </w:r>
    </w:p>
    <w:tbl>
      <w:tblPr>
        <w:tblStyle w:val="10"/>
        <w:tblW w:w="6854" w:type="dxa"/>
        <w:jc w:val="center"/>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409"/>
        <w:gridCol w:w="1815"/>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73" w:type="dxa"/>
            <w:vMerge w:val="restart"/>
            <w:vAlign w:val="center"/>
          </w:tcPr>
          <w:p>
            <w:pPr>
              <w:jc w:val="center"/>
              <w:rPr>
                <w:rFonts w:hint="default" w:ascii="Times New Roman" w:hAnsi="Times New Roman" w:eastAsia="宋体" w:cs="Times New Roman"/>
                <w:sz w:val="21"/>
                <w:szCs w:val="21"/>
                <w:vertAlign w:val="baseline"/>
                <w:lang w:val="en-US" w:eastAsia="zh-CN"/>
              </w:rPr>
            </w:pPr>
            <w:bookmarkStart w:id="0" w:name="_GoBack"/>
            <w:r>
              <w:rPr>
                <w:rFonts w:hint="eastAsia" w:ascii="Times New Roman" w:hAnsi="Times New Roman" w:eastAsia="宋体" w:cs="Times New Roman"/>
                <w:sz w:val="21"/>
                <w:szCs w:val="21"/>
                <w:vertAlign w:val="baseline"/>
                <w:lang w:val="en-US" w:eastAsia="zh-CN"/>
              </w:rPr>
              <w:t>镍钴二元素复合氢氧化物</w:t>
            </w:r>
            <w:r>
              <w:rPr>
                <w:rFonts w:hint="default" w:ascii="Times New Roman" w:hAnsi="Times New Roman" w:eastAsia="宋体" w:cs="Times New Roman"/>
                <w:sz w:val="21"/>
                <w:szCs w:val="21"/>
                <w:vertAlign w:val="baseline"/>
                <w:lang w:val="en-US" w:eastAsia="zh-CN"/>
              </w:rPr>
              <w:t>生产企业</w:t>
            </w:r>
          </w:p>
        </w:tc>
        <w:tc>
          <w:tcPr>
            <w:tcW w:w="1409" w:type="dxa"/>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w:t>
            </w:r>
            <w:r>
              <w:rPr>
                <w:rFonts w:hint="eastAsia" w:ascii="Times New Roman" w:hAnsi="Times New Roman" w:eastAsia="宋体" w:cs="Times New Roman"/>
                <w:sz w:val="21"/>
                <w:szCs w:val="21"/>
                <w:vertAlign w:val="baseline"/>
                <w:lang w:val="en-US" w:eastAsia="zh-CN"/>
              </w:rPr>
              <w:t>序号</w:t>
            </w:r>
          </w:p>
        </w:tc>
        <w:tc>
          <w:tcPr>
            <w:tcW w:w="3472" w:type="dxa"/>
            <w:gridSpan w:val="2"/>
            <w:vAlign w:val="center"/>
          </w:tcPr>
          <w:p>
            <w:pPr>
              <w:jc w:val="center"/>
              <w:rPr>
                <w:rFonts w:hint="default" w:ascii="Times New Roman" w:hAnsi="Times New Roman" w:eastAsia="宋体" w:cs="Times New Roman"/>
                <w:sz w:val="21"/>
                <w:szCs w:val="21"/>
                <w:vertAlign w:val="baseline"/>
                <w:lang w:val="en-US"/>
              </w:rPr>
            </w:pPr>
            <w:r>
              <w:rPr>
                <w:rFonts w:hint="default" w:ascii="Times New Roman" w:hAnsi="Times New Roman" w:eastAsia="宋体" w:cs="Times New Roman"/>
                <w:sz w:val="21"/>
                <w:szCs w:val="21"/>
                <w:vertAlign w:val="baseline"/>
                <w:lang w:val="en-US" w:eastAsia="zh-CN"/>
              </w:rPr>
              <w:t>主元素含量，%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exact"/>
          <w:jc w:val="center"/>
        </w:trPr>
        <w:tc>
          <w:tcPr>
            <w:tcW w:w="1973"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1409" w:type="dxa"/>
            <w:vMerge w:val="continue"/>
            <w:vAlign w:val="center"/>
          </w:tcPr>
          <w:p>
            <w:pPr>
              <w:jc w:val="center"/>
              <w:rPr>
                <w:rFonts w:hint="default" w:ascii="Times New Roman" w:hAnsi="Times New Roman" w:eastAsia="宋体" w:cs="Times New Roman"/>
                <w:sz w:val="21"/>
                <w:szCs w:val="21"/>
                <w:vertAlign w:val="baseline"/>
              </w:rPr>
            </w:pP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Ni</w:t>
            </w:r>
          </w:p>
        </w:tc>
        <w:tc>
          <w:tcPr>
            <w:tcW w:w="165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7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企业A</w:t>
            </w:r>
          </w:p>
        </w:tc>
        <w:tc>
          <w:tcPr>
            <w:tcW w:w="1409"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57.00~59.00</w:t>
            </w:r>
          </w:p>
        </w:tc>
        <w:tc>
          <w:tcPr>
            <w:tcW w:w="165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73"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企业B</w:t>
            </w:r>
          </w:p>
        </w:tc>
        <w:tc>
          <w:tcPr>
            <w:tcW w:w="1409"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55.93~56.31</w:t>
            </w:r>
          </w:p>
        </w:tc>
        <w:tc>
          <w:tcPr>
            <w:tcW w:w="1657"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3.49~3.74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73"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企业C</w:t>
            </w:r>
          </w:p>
        </w:tc>
        <w:tc>
          <w:tcPr>
            <w:tcW w:w="1409"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55.3</w:t>
            </w:r>
            <w:r>
              <w:rPr>
                <w:rFonts w:hint="eastAsia" w:ascii="Times New Roman" w:hAnsi="Times New Roman" w:eastAsia="宋体" w:cs="Times New Roman"/>
                <w:i w:val="0"/>
                <w:color w:val="000000"/>
                <w:kern w:val="0"/>
                <w:sz w:val="21"/>
                <w:szCs w:val="21"/>
                <w:u w:val="none"/>
                <w:lang w:val="en-US" w:eastAsia="zh-CN" w:bidi="ar"/>
              </w:rPr>
              <w:t>0</w:t>
            </w:r>
            <w:r>
              <w:rPr>
                <w:rFonts w:hint="default" w:ascii="Times New Roman" w:hAnsi="Times New Roman" w:eastAsia="宋体" w:cs="Times New Roman"/>
                <w:i w:val="0"/>
                <w:color w:val="000000"/>
                <w:kern w:val="0"/>
                <w:sz w:val="21"/>
                <w:szCs w:val="21"/>
                <w:u w:val="none"/>
                <w:lang w:val="en-US" w:eastAsia="zh-CN" w:bidi="ar"/>
              </w:rPr>
              <w:t>~56.3</w:t>
            </w:r>
            <w:r>
              <w:rPr>
                <w:rFonts w:hint="eastAsia" w:ascii="Times New Roman" w:hAnsi="Times New Roman" w:eastAsia="宋体" w:cs="Times New Roman"/>
                <w:i w:val="0"/>
                <w:color w:val="000000"/>
                <w:kern w:val="0"/>
                <w:sz w:val="21"/>
                <w:szCs w:val="21"/>
                <w:u w:val="none"/>
                <w:lang w:val="en-US" w:eastAsia="zh-CN" w:bidi="ar"/>
              </w:rPr>
              <w:t>0</w:t>
            </w:r>
          </w:p>
        </w:tc>
        <w:tc>
          <w:tcPr>
            <w:tcW w:w="1657"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6.05~6.35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exact"/>
          <w:jc w:val="center"/>
        </w:trPr>
        <w:tc>
          <w:tcPr>
            <w:tcW w:w="1973"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企业D</w:t>
            </w:r>
          </w:p>
        </w:tc>
        <w:tc>
          <w:tcPr>
            <w:tcW w:w="1409"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rPr>
              <w:t>55.42</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eastAsia="宋体" w:cs="Times New Roman"/>
                <w:sz w:val="21"/>
                <w:szCs w:val="21"/>
                <w:vertAlign w:val="baseline"/>
              </w:rPr>
              <w:t>57.25</w:t>
            </w:r>
          </w:p>
        </w:tc>
        <w:tc>
          <w:tcPr>
            <w:tcW w:w="165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5.30</w:t>
            </w:r>
            <w:r>
              <w:rPr>
                <w:rFonts w:hint="default" w:ascii="Times New Roman" w:hAnsi="Times New Roman" w:eastAsia="宋体" w:cs="Times New Roman"/>
                <w:i w:val="0"/>
                <w:color w:val="000000"/>
                <w:kern w:val="0"/>
                <w:sz w:val="21"/>
                <w:szCs w:val="21"/>
                <w:u w:val="none"/>
                <w:lang w:val="en-US" w:eastAsia="zh-CN" w:bidi="ar"/>
              </w:rPr>
              <w:t>~</w:t>
            </w:r>
            <w:r>
              <w:rPr>
                <w:rFonts w:hint="default" w:ascii="Times New Roman" w:hAnsi="Times New Roman" w:eastAsia="宋体" w:cs="Times New Roman"/>
                <w:sz w:val="21"/>
                <w:szCs w:val="21"/>
                <w:vertAlign w:val="baseline"/>
                <w:lang w:val="en-US" w:eastAsia="zh-CN"/>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7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w:t>
            </w:r>
            <w:r>
              <w:rPr>
                <w:rFonts w:hint="eastAsia" w:ascii="Times New Roman" w:hAnsi="Times New Roman" w:eastAsia="宋体" w:cs="Times New Roman"/>
                <w:sz w:val="21"/>
                <w:szCs w:val="21"/>
                <w:vertAlign w:val="baseline"/>
                <w:lang w:val="en-US" w:eastAsia="zh-CN"/>
              </w:rPr>
              <w:t>E</w:t>
            </w:r>
          </w:p>
        </w:tc>
        <w:tc>
          <w:tcPr>
            <w:tcW w:w="1409"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55.67~</w:t>
            </w:r>
            <w:r>
              <w:rPr>
                <w:rFonts w:hint="default" w:ascii="Times New Roman" w:hAnsi="Times New Roman" w:eastAsia="宋体" w:cs="Times New Roman"/>
                <w:i w:val="0"/>
                <w:color w:val="000000"/>
                <w:kern w:val="0"/>
                <w:sz w:val="21"/>
                <w:szCs w:val="21"/>
                <w:u w:val="none"/>
                <w:lang w:val="en-US" w:eastAsia="zh-CN" w:bidi="ar"/>
              </w:rPr>
              <w:t>5</w:t>
            </w:r>
            <w:r>
              <w:rPr>
                <w:rFonts w:hint="eastAsia" w:ascii="Times New Roman" w:hAnsi="Times New Roman" w:eastAsia="宋体" w:cs="Times New Roman"/>
                <w:i w:val="0"/>
                <w:color w:val="000000"/>
                <w:kern w:val="0"/>
                <w:sz w:val="21"/>
                <w:szCs w:val="21"/>
                <w:u w:val="none"/>
                <w:lang w:val="en-US" w:eastAsia="zh-CN" w:bidi="ar"/>
              </w:rPr>
              <w:t>7</w:t>
            </w:r>
            <w:r>
              <w:rPr>
                <w:rFonts w:hint="default" w:ascii="Times New Roman" w:hAnsi="Times New Roman" w:eastAsia="宋体" w:cs="Times New Roman"/>
                <w:i w:val="0"/>
                <w:color w:val="000000"/>
                <w:kern w:val="0"/>
                <w:sz w:val="21"/>
                <w:szCs w:val="21"/>
                <w:u w:val="none"/>
                <w:lang w:val="en-US" w:eastAsia="zh-CN" w:bidi="ar"/>
              </w:rPr>
              <w:t>.</w:t>
            </w:r>
            <w:r>
              <w:rPr>
                <w:rFonts w:hint="eastAsia" w:ascii="Times New Roman" w:hAnsi="Times New Roman" w:eastAsia="宋体" w:cs="Times New Roman"/>
                <w:i w:val="0"/>
                <w:color w:val="000000"/>
                <w:kern w:val="0"/>
                <w:sz w:val="21"/>
                <w:szCs w:val="21"/>
                <w:u w:val="none"/>
                <w:lang w:val="en-US" w:eastAsia="zh-CN" w:bidi="ar"/>
              </w:rPr>
              <w:t>0</w:t>
            </w:r>
            <w:r>
              <w:rPr>
                <w:rFonts w:hint="default" w:ascii="Times New Roman" w:hAnsi="Times New Roman" w:eastAsia="宋体" w:cs="Times New Roman"/>
                <w:i w:val="0"/>
                <w:color w:val="000000"/>
                <w:kern w:val="0"/>
                <w:sz w:val="21"/>
                <w:szCs w:val="21"/>
                <w:u w:val="none"/>
                <w:lang w:val="en-US" w:eastAsia="zh-CN" w:bidi="ar"/>
              </w:rPr>
              <w:t>1</w:t>
            </w:r>
          </w:p>
        </w:tc>
        <w:tc>
          <w:tcPr>
            <w:tcW w:w="165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3.</w:t>
            </w:r>
            <w:r>
              <w:rPr>
                <w:rFonts w:hint="eastAsia" w:ascii="Times New Roman" w:hAnsi="Times New Roman" w:eastAsia="宋体" w:cs="Times New Roman"/>
                <w:i w:val="0"/>
                <w:color w:val="000000"/>
                <w:kern w:val="0"/>
                <w:sz w:val="21"/>
                <w:szCs w:val="21"/>
                <w:u w:val="none"/>
                <w:lang w:val="en-US" w:eastAsia="zh-CN" w:bidi="ar"/>
              </w:rPr>
              <w:t>80</w:t>
            </w:r>
            <w:r>
              <w:rPr>
                <w:rFonts w:hint="default" w:ascii="Times New Roman" w:hAnsi="Times New Roman" w:eastAsia="宋体" w:cs="Times New Roman"/>
                <w:i w:val="0"/>
                <w:color w:val="000000"/>
                <w:kern w:val="0"/>
                <w:sz w:val="21"/>
                <w:szCs w:val="21"/>
                <w:u w:val="none"/>
                <w:lang w:val="en-US" w:eastAsia="zh-CN" w:bidi="ar"/>
              </w:rPr>
              <w:t>~</w:t>
            </w:r>
            <w:r>
              <w:rPr>
                <w:rFonts w:hint="eastAsia" w:ascii="Times New Roman" w:hAnsi="Times New Roman" w:eastAsia="宋体" w:cs="Times New Roman"/>
                <w:i w:val="0"/>
                <w:color w:val="000000"/>
                <w:kern w:val="0"/>
                <w:sz w:val="21"/>
                <w:szCs w:val="21"/>
                <w:u w:val="none"/>
                <w:lang w:val="en-US" w:eastAsia="zh-CN" w:bidi="ar"/>
              </w:rPr>
              <w:t>4</w:t>
            </w:r>
            <w:r>
              <w:rPr>
                <w:rFonts w:hint="default" w:ascii="Times New Roman" w:hAnsi="Times New Roman" w:eastAsia="宋体" w:cs="Times New Roman"/>
                <w:i w:val="0"/>
                <w:color w:val="000000"/>
                <w:kern w:val="0"/>
                <w:sz w:val="21"/>
                <w:szCs w:val="21"/>
                <w:u w:val="none"/>
                <w:lang w:val="en-US" w:eastAsia="zh-CN" w:bidi="ar"/>
              </w:rPr>
              <w:t>.7</w:t>
            </w:r>
            <w:r>
              <w:rPr>
                <w:rFonts w:hint="eastAsia" w:ascii="Times New Roman" w:hAnsi="Times New Roman" w:eastAsia="宋体" w:cs="Times New Roman"/>
                <w:i w:val="0"/>
                <w:color w:val="000000"/>
                <w:kern w:val="0"/>
                <w:sz w:val="21"/>
                <w:szCs w:val="21"/>
                <w:u w:val="none"/>
                <w:lang w:val="en-US" w:eastAsia="zh-CN" w:bidi="ar"/>
              </w:rPr>
              <w:t>0</w:t>
            </w:r>
          </w:p>
        </w:tc>
      </w:tr>
      <w:bookmarkEnd w:id="0"/>
    </w:tbl>
    <w:p>
      <w:pPr>
        <w:pStyle w:val="2"/>
        <w:ind w:left="0" w:leftChars="0" w:firstLine="0" w:firstLineChars="0"/>
        <w:rPr>
          <w:rFonts w:hint="eastAsia"/>
          <w:lang w:val="en-US" w:eastAsia="zh-CN"/>
        </w:rPr>
      </w:pPr>
    </w:p>
    <w:p>
      <w:pPr>
        <w:snapToGrid w:val="0"/>
        <w:spacing w:line="360" w:lineRule="auto"/>
        <w:ind w:firstLine="480" w:firstLineChars="200"/>
        <w:rPr>
          <w:rFonts w:hint="eastAsia" w:ascii="Times New Roman" w:hAnsi="Times New Roman" w:eastAsia="宋体" w:cs="Times New Roman"/>
          <w:color w:val="000000"/>
          <w:szCs w:val="24"/>
        </w:rPr>
      </w:pPr>
      <w:r>
        <w:rPr>
          <w:rFonts w:hint="eastAsia" w:ascii="Times New Roman" w:hAnsi="Times New Roman" w:eastAsia="宋体" w:cs="Times New Roman"/>
          <w:color w:val="000000"/>
          <w:sz w:val="24"/>
          <w:szCs w:val="24"/>
          <w:lang w:val="en-US" w:eastAsia="zh-CN"/>
        </w:rPr>
        <w:t>2、镍钴二元素复合氢氧化物产品生产企业新鲜水消耗量</w:t>
      </w:r>
      <w:r>
        <w:rPr>
          <w:rFonts w:hint="eastAsia" w:ascii="Times New Roman" w:hAnsi="Times New Roman" w:eastAsia="宋体" w:cs="Times New Roman"/>
          <w:color w:val="000000"/>
          <w:sz w:val="24"/>
          <w:szCs w:val="24"/>
        </w:rPr>
        <w:t>调研见表2</w:t>
      </w:r>
      <w:r>
        <w:rPr>
          <w:rFonts w:hint="eastAsia" w:ascii="Times New Roman" w:hAnsi="Times New Roman" w:eastAsia="宋体" w:cs="Times New Roman"/>
          <w:color w:val="000000"/>
          <w:sz w:val="24"/>
          <w:szCs w:val="24"/>
          <w:lang w:eastAsia="zh-CN"/>
        </w:rPr>
        <w:t>。</w:t>
      </w:r>
    </w:p>
    <w:p>
      <w:pPr>
        <w:snapToGrid w:val="0"/>
        <w:spacing w:line="360" w:lineRule="auto"/>
        <w:ind w:firstLine="420" w:firstLineChars="200"/>
        <w:jc w:val="center"/>
      </w:pPr>
      <w:r>
        <w:rPr>
          <w:rFonts w:hint="eastAsia" w:ascii="Times New Roman" w:hAnsi="Times New Roman" w:eastAsia="宋体" w:cs="Times New Roman"/>
          <w:color w:val="000000"/>
          <w:szCs w:val="24"/>
        </w:rPr>
        <w:t xml:space="preserve">表2  </w:t>
      </w:r>
      <w:r>
        <w:rPr>
          <w:rFonts w:hint="eastAsia" w:ascii="Times New Roman" w:hAnsi="Times New Roman" w:eastAsia="宋体" w:cs="Times New Roman"/>
          <w:szCs w:val="21"/>
          <w:lang w:val="en-US" w:eastAsia="zh-CN"/>
        </w:rPr>
        <w:t>镍钴二元素复合氢氧化物</w:t>
      </w:r>
      <w:r>
        <w:rPr>
          <w:rFonts w:ascii="Times New Roman" w:hAnsi="Times New Roman" w:eastAsia="宋体" w:cs="Times New Roman"/>
          <w:szCs w:val="21"/>
        </w:rPr>
        <w:t>产品</w:t>
      </w:r>
      <w:r>
        <w:rPr>
          <w:rFonts w:hint="eastAsia" w:ascii="Times New Roman" w:hAnsi="Times New Roman" w:eastAsia="宋体" w:cs="Times New Roman"/>
          <w:szCs w:val="21"/>
          <w:lang w:val="en-US" w:eastAsia="zh-CN"/>
        </w:rPr>
        <w:t>新鲜水消耗量</w:t>
      </w:r>
    </w:p>
    <w:tbl>
      <w:tblPr>
        <w:tblStyle w:val="10"/>
        <w:tblW w:w="6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486"/>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jc w:val="center"/>
        </w:trPr>
        <w:tc>
          <w:tcPr>
            <w:tcW w:w="2245" w:type="dxa"/>
            <w:vAlign w:val="center"/>
          </w:tcPr>
          <w:p>
            <w:pPr>
              <w:jc w:val="center"/>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镍钴二元素复合氢氧化物</w:t>
            </w:r>
            <w:r>
              <w:rPr>
                <w:rFonts w:hint="default" w:ascii="Times New Roman" w:hAnsi="Times New Roman" w:eastAsia="宋体" w:cs="Times New Roman"/>
                <w:sz w:val="21"/>
                <w:szCs w:val="21"/>
                <w:vertAlign w:val="baseline"/>
                <w:lang w:val="en-US" w:eastAsia="zh-CN"/>
              </w:rPr>
              <w:t>生产企业</w:t>
            </w:r>
          </w:p>
        </w:tc>
        <w:tc>
          <w:tcPr>
            <w:tcW w:w="1486" w:type="dxa"/>
            <w:vAlign w:val="center"/>
          </w:tcPr>
          <w:p>
            <w:pPr>
              <w:jc w:val="center"/>
              <w:rPr>
                <w:rFonts w:hint="eastAsia" w:ascii="宋体" w:hAnsi="宋体" w:eastAsia="宋体" w:cs="宋体"/>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w:t>
            </w:r>
            <w:r>
              <w:rPr>
                <w:rFonts w:hint="eastAsia" w:ascii="Times New Roman" w:hAnsi="Times New Roman" w:eastAsia="宋体" w:cs="Times New Roman"/>
                <w:sz w:val="21"/>
                <w:szCs w:val="21"/>
                <w:vertAlign w:val="baseline"/>
                <w:lang w:val="en-US" w:eastAsia="zh-CN"/>
              </w:rPr>
              <w:t>序号</w:t>
            </w:r>
          </w:p>
        </w:tc>
        <w:tc>
          <w:tcPr>
            <w:tcW w:w="2927" w:type="dxa"/>
            <w:vAlign w:val="center"/>
          </w:tcPr>
          <w:p>
            <w:pPr>
              <w:jc w:val="center"/>
              <w:rPr>
                <w:rFonts w:hint="eastAsia" w:ascii="宋体" w:hAnsi="宋体" w:eastAsia="宋体" w:cs="宋体"/>
                <w:sz w:val="21"/>
                <w:szCs w:val="21"/>
                <w:vertAlign w:val="baseline"/>
                <w:lang w:val="en-US"/>
              </w:rPr>
            </w:pPr>
            <w:r>
              <w:rPr>
                <w:rFonts w:hint="eastAsia" w:ascii="Times New Roman" w:hAnsi="Times New Roman" w:eastAsia="宋体" w:cs="Times New Roman"/>
                <w:szCs w:val="21"/>
                <w:lang w:val="en-US" w:eastAsia="zh-CN"/>
              </w:rPr>
              <w:t>新鲜水消耗量，t</w:t>
            </w:r>
            <w:r>
              <w:rPr>
                <w:rFonts w:hint="eastAsia" w:ascii="Times New Roman" w:hAnsi="Times New Roman" w:eastAsia="宋体" w:cs="Times New Roman"/>
                <w:szCs w:val="21"/>
              </w:rPr>
              <w:t>/t产品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45" w:type="dxa"/>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企业A</w:t>
            </w:r>
          </w:p>
        </w:tc>
        <w:tc>
          <w:tcPr>
            <w:tcW w:w="1486"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292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45" w:type="dxa"/>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企业B</w:t>
            </w:r>
          </w:p>
        </w:tc>
        <w:tc>
          <w:tcPr>
            <w:tcW w:w="1486"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292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45" w:type="dxa"/>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企业C</w:t>
            </w:r>
          </w:p>
          <w:p>
            <w:pPr>
              <w:jc w:val="center"/>
              <w:rPr>
                <w:rFonts w:hint="eastAsia" w:ascii="Times New Roman" w:hAnsi="Times New Roman" w:eastAsia="宋体" w:cs="Times New Roman"/>
                <w:sz w:val="21"/>
                <w:szCs w:val="21"/>
                <w:vertAlign w:val="baseline"/>
                <w:lang w:val="en-US" w:eastAsia="zh-CN"/>
              </w:rPr>
            </w:pPr>
          </w:p>
        </w:tc>
        <w:tc>
          <w:tcPr>
            <w:tcW w:w="1486"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292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45" w:type="dxa"/>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企业D</w:t>
            </w:r>
          </w:p>
        </w:tc>
        <w:tc>
          <w:tcPr>
            <w:tcW w:w="1486"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292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45" w:type="dxa"/>
            <w:vAlign w:val="center"/>
          </w:tcPr>
          <w:p>
            <w:pPr>
              <w:jc w:val="center"/>
              <w:rPr>
                <w:rFonts w:hint="eastAsia"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w:t>
            </w:r>
            <w:r>
              <w:rPr>
                <w:rFonts w:hint="eastAsia" w:ascii="Times New Roman" w:hAnsi="Times New Roman" w:eastAsia="宋体" w:cs="Times New Roman"/>
                <w:sz w:val="21"/>
                <w:szCs w:val="21"/>
                <w:vertAlign w:val="baseline"/>
                <w:lang w:val="en-US" w:eastAsia="zh-CN"/>
              </w:rPr>
              <w:t>E</w:t>
            </w:r>
          </w:p>
        </w:tc>
        <w:tc>
          <w:tcPr>
            <w:tcW w:w="1486"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292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w:t>
            </w:r>
          </w:p>
        </w:tc>
      </w:tr>
    </w:tbl>
    <w:p>
      <w:pPr>
        <w:pStyle w:val="2"/>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pPr>
      <w:r>
        <w:rPr>
          <w:rFonts w:hint="eastAsia" w:ascii="Times New Roman" w:hAnsi="Times New Roman" w:eastAsia="宋体" w:cs="Times New Roman"/>
          <w:sz w:val="24"/>
          <w:szCs w:val="24"/>
          <w:lang w:val="en-US" w:eastAsia="zh-CN"/>
        </w:rPr>
        <w:t>结合表2中</w:t>
      </w:r>
      <w:r>
        <w:rPr>
          <w:rFonts w:hint="eastAsia" w:ascii="Times New Roman" w:hAnsi="Times New Roman" w:eastAsia="宋体" w:cs="Times New Roman"/>
          <w:color w:val="000000"/>
          <w:sz w:val="24"/>
          <w:szCs w:val="24"/>
          <w:lang w:val="en-US" w:eastAsia="zh-CN"/>
        </w:rPr>
        <w:t xml:space="preserve">镍钴二元素复合氢氧化物产品生产企业新鲜水消耗量调研数据，确定新鲜水耗量基准值≤30 </w:t>
      </w:r>
      <w:r>
        <w:rPr>
          <w:rFonts w:hint="eastAsia" w:ascii="Times New Roman" w:hAnsi="Times New Roman" w:eastAsia="宋体" w:cs="Times New Roman"/>
          <w:szCs w:val="21"/>
          <w:lang w:val="en-US" w:eastAsia="zh-CN"/>
        </w:rPr>
        <w:t>t</w:t>
      </w:r>
      <w:r>
        <w:rPr>
          <w:rFonts w:hint="eastAsia" w:ascii="Times New Roman" w:hAnsi="Times New Roman" w:eastAsia="宋体" w:cs="Times New Roman"/>
          <w:szCs w:val="21"/>
        </w:rPr>
        <w:t>/t</w:t>
      </w:r>
      <w:r>
        <w:rPr>
          <w:rFonts w:hint="eastAsia" w:ascii="Times New Roman" w:hAnsi="Times New Roman" w:eastAsia="宋体" w:cs="Times New Roman"/>
          <w:color w:val="000000"/>
          <w:sz w:val="24"/>
          <w:szCs w:val="24"/>
          <w:lang w:val="en-US" w:eastAsia="zh-CN"/>
        </w:rPr>
        <w:t>镍钴二元素复合氢氧化物。</w:t>
      </w:r>
    </w:p>
    <w:p>
      <w:pPr>
        <w:snapToGrid w:val="0"/>
        <w:spacing w:line="360" w:lineRule="auto"/>
        <w:ind w:firstLine="480" w:firstLineChars="200"/>
        <w:rPr>
          <w:rFonts w:hint="eastAsia" w:ascii="Times New Roman" w:hAnsi="Times New Roman" w:eastAsia="宋体" w:cs="Times New Roman"/>
          <w:color w:val="000000"/>
          <w:szCs w:val="24"/>
        </w:rPr>
      </w:pPr>
      <w:r>
        <w:rPr>
          <w:rFonts w:hint="eastAsia" w:ascii="Times New Roman" w:hAnsi="Times New Roman" w:eastAsia="宋体" w:cs="Times New Roman"/>
          <w:color w:val="000000"/>
          <w:sz w:val="24"/>
          <w:szCs w:val="24"/>
          <w:lang w:val="en-US" w:eastAsia="zh-CN"/>
        </w:rPr>
        <w:t>3、镍钴二元素复合氢氧化物产品生产企业水的重复</w:t>
      </w:r>
      <w:r>
        <w:rPr>
          <w:rFonts w:hint="eastAsia" w:ascii="Times New Roman" w:hAnsi="Times New Roman" w:eastAsia="宋体" w:cs="Times New Roman"/>
          <w:color w:val="000000"/>
          <w:sz w:val="24"/>
          <w:szCs w:val="24"/>
        </w:rPr>
        <w:t>利用率调研见表</w:t>
      </w: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lang w:eastAsia="zh-CN"/>
        </w:rPr>
        <w:t>。</w:t>
      </w:r>
    </w:p>
    <w:p>
      <w:pPr>
        <w:snapToGrid w:val="0"/>
        <w:spacing w:line="360" w:lineRule="auto"/>
        <w:ind w:firstLine="420" w:firstLineChars="200"/>
        <w:jc w:val="center"/>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表</w:t>
      </w:r>
      <w:r>
        <w:rPr>
          <w:rFonts w:hint="eastAsia" w:ascii="Times New Roman" w:hAnsi="Times New Roman" w:eastAsia="宋体" w:cs="Times New Roman"/>
          <w:color w:val="000000"/>
          <w:szCs w:val="24"/>
          <w:lang w:val="en-US" w:eastAsia="zh-CN"/>
        </w:rPr>
        <w:t>3</w:t>
      </w:r>
      <w:r>
        <w:rPr>
          <w:rFonts w:hint="eastAsia" w:ascii="Times New Roman" w:hAnsi="Times New Roman" w:eastAsia="宋体" w:cs="Times New Roman"/>
          <w:color w:val="000000"/>
          <w:szCs w:val="24"/>
        </w:rPr>
        <w:t xml:space="preserve">  </w:t>
      </w:r>
      <w:r>
        <w:rPr>
          <w:rFonts w:hint="eastAsia" w:ascii="Times New Roman" w:hAnsi="Times New Roman" w:eastAsia="宋体" w:cs="Times New Roman"/>
          <w:szCs w:val="21"/>
          <w:lang w:val="en-US" w:eastAsia="zh-CN"/>
        </w:rPr>
        <w:t>镍钴二元素复合氢氧化物</w:t>
      </w:r>
      <w:r>
        <w:rPr>
          <w:rFonts w:ascii="Times New Roman" w:hAnsi="Times New Roman" w:eastAsia="宋体" w:cs="Times New Roman"/>
          <w:szCs w:val="21"/>
        </w:rPr>
        <w:t>产品</w:t>
      </w:r>
      <w:r>
        <w:rPr>
          <w:rFonts w:hint="eastAsia" w:ascii="Times New Roman" w:hAnsi="Times New Roman" w:eastAsia="宋体" w:cs="Times New Roman"/>
          <w:szCs w:val="21"/>
          <w:lang w:val="en-US" w:eastAsia="zh-CN"/>
        </w:rPr>
        <w:t>水的重复利用率</w:t>
      </w:r>
    </w:p>
    <w:tbl>
      <w:tblPr>
        <w:tblStyle w:val="10"/>
        <w:tblW w:w="6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772"/>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jc w:val="center"/>
        </w:trPr>
        <w:tc>
          <w:tcPr>
            <w:tcW w:w="2436" w:type="dxa"/>
            <w:vAlign w:val="center"/>
          </w:tcPr>
          <w:p>
            <w:pPr>
              <w:jc w:val="center"/>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镍钴二元素复合氢氧化物</w:t>
            </w:r>
            <w:r>
              <w:rPr>
                <w:rFonts w:hint="default" w:ascii="Times New Roman" w:hAnsi="Times New Roman" w:eastAsia="宋体" w:cs="Times New Roman"/>
                <w:sz w:val="21"/>
                <w:szCs w:val="21"/>
                <w:vertAlign w:val="baseline"/>
                <w:lang w:val="en-US" w:eastAsia="zh-CN"/>
              </w:rPr>
              <w:t>生产企业</w:t>
            </w:r>
          </w:p>
        </w:tc>
        <w:tc>
          <w:tcPr>
            <w:tcW w:w="1772" w:type="dxa"/>
            <w:vAlign w:val="center"/>
          </w:tcPr>
          <w:p>
            <w:pPr>
              <w:jc w:val="center"/>
              <w:rPr>
                <w:rFonts w:hint="eastAsia" w:ascii="宋体" w:hAnsi="宋体" w:eastAsia="宋体" w:cs="宋体"/>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w:t>
            </w:r>
            <w:r>
              <w:rPr>
                <w:rFonts w:hint="eastAsia" w:ascii="Times New Roman" w:hAnsi="Times New Roman" w:eastAsia="宋体" w:cs="Times New Roman"/>
                <w:sz w:val="21"/>
                <w:szCs w:val="21"/>
                <w:vertAlign w:val="baseline"/>
                <w:lang w:val="en-US" w:eastAsia="zh-CN"/>
              </w:rPr>
              <w:t>序号</w:t>
            </w:r>
          </w:p>
        </w:tc>
        <w:tc>
          <w:tcPr>
            <w:tcW w:w="2450" w:type="dxa"/>
            <w:vAlign w:val="center"/>
          </w:tcPr>
          <w:p>
            <w:pPr>
              <w:jc w:val="center"/>
              <w:rPr>
                <w:rFonts w:hint="eastAsia" w:ascii="宋体" w:hAnsi="宋体" w:eastAsia="宋体" w:cs="宋体"/>
                <w:sz w:val="21"/>
                <w:szCs w:val="21"/>
                <w:vertAlign w:val="baseline"/>
                <w:lang w:val="en-US"/>
              </w:rPr>
            </w:pPr>
            <w:r>
              <w:rPr>
                <w:rFonts w:hint="eastAsia" w:ascii="Times New Roman" w:hAnsi="Times New Roman" w:eastAsia="宋体" w:cs="Times New Roman"/>
                <w:szCs w:val="21"/>
                <w:lang w:val="en-US" w:eastAsia="zh-CN"/>
              </w:rPr>
              <w:t>水的重复利用率，%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3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77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3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tc>
        <w:tc>
          <w:tcPr>
            <w:tcW w:w="177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3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企业C</w:t>
            </w:r>
          </w:p>
          <w:p>
            <w:pPr>
              <w:jc w:val="center"/>
              <w:rPr>
                <w:rFonts w:hint="eastAsia" w:ascii="宋体" w:hAnsi="宋体" w:eastAsia="宋体" w:cs="宋体"/>
                <w:sz w:val="21"/>
                <w:szCs w:val="21"/>
                <w:vertAlign w:val="baseline"/>
              </w:rPr>
            </w:pPr>
          </w:p>
        </w:tc>
        <w:tc>
          <w:tcPr>
            <w:tcW w:w="177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50"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36"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77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3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企业E</w:t>
            </w:r>
          </w:p>
        </w:tc>
        <w:tc>
          <w:tcPr>
            <w:tcW w:w="177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55</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sz w:val="24"/>
          <w:szCs w:val="24"/>
          <w:lang w:val="en-US" w:eastAsia="zh-CN"/>
        </w:rPr>
        <w:t>结合表3中</w:t>
      </w:r>
      <w:r>
        <w:rPr>
          <w:rFonts w:hint="eastAsia" w:ascii="Times New Roman" w:hAnsi="Times New Roman" w:eastAsia="宋体" w:cs="Times New Roman"/>
          <w:color w:val="000000"/>
          <w:sz w:val="24"/>
          <w:szCs w:val="24"/>
          <w:lang w:val="en-US" w:eastAsia="zh-CN"/>
        </w:rPr>
        <w:t>镍钴二元素复合氢氧化物产品生产企业水的重复</w:t>
      </w:r>
      <w:r>
        <w:rPr>
          <w:rFonts w:hint="eastAsia" w:ascii="Times New Roman" w:hAnsi="Times New Roman" w:eastAsia="宋体" w:cs="Times New Roman"/>
          <w:color w:val="000000"/>
          <w:sz w:val="24"/>
          <w:szCs w:val="24"/>
        </w:rPr>
        <w:t>利用率</w:t>
      </w:r>
      <w:r>
        <w:rPr>
          <w:rFonts w:hint="eastAsia" w:ascii="Times New Roman" w:hAnsi="Times New Roman" w:eastAsia="宋体" w:cs="Times New Roman"/>
          <w:color w:val="000000"/>
          <w:sz w:val="24"/>
          <w:szCs w:val="24"/>
          <w:lang w:val="en-US" w:eastAsia="zh-CN"/>
        </w:rPr>
        <w:t>调研数据，确定水的重复</w:t>
      </w:r>
      <w:r>
        <w:rPr>
          <w:rFonts w:hint="eastAsia" w:ascii="Times New Roman" w:hAnsi="Times New Roman" w:eastAsia="宋体" w:cs="Times New Roman"/>
          <w:color w:val="000000"/>
          <w:sz w:val="24"/>
          <w:szCs w:val="24"/>
        </w:rPr>
        <w:t>利用率</w:t>
      </w:r>
      <w:r>
        <w:rPr>
          <w:rFonts w:hint="eastAsia" w:ascii="Times New Roman" w:hAnsi="Times New Roman" w:eastAsia="宋体" w:cs="Times New Roman"/>
          <w:color w:val="000000"/>
          <w:sz w:val="24"/>
          <w:szCs w:val="24"/>
          <w:lang w:val="en-US" w:eastAsia="zh-CN"/>
        </w:rPr>
        <w:t>基准值≥50%。</w:t>
      </w:r>
    </w:p>
    <w:p>
      <w:pPr>
        <w:snapToGrid w:val="0"/>
        <w:spacing w:line="360" w:lineRule="auto"/>
        <w:ind w:firstLine="480" w:firstLineChars="200"/>
        <w:rPr>
          <w:rFonts w:hint="eastAsia" w:ascii="Times New Roman" w:hAnsi="Times New Roman" w:eastAsia="宋体" w:cs="Times New Roman"/>
          <w:color w:val="000000"/>
          <w:szCs w:val="24"/>
        </w:rPr>
      </w:pPr>
      <w:r>
        <w:rPr>
          <w:rFonts w:hint="eastAsia" w:ascii="Times New Roman" w:hAnsi="Times New Roman" w:eastAsia="宋体" w:cs="Times New Roman"/>
          <w:color w:val="000000"/>
          <w:sz w:val="24"/>
          <w:szCs w:val="24"/>
          <w:lang w:val="en-US" w:eastAsia="zh-CN"/>
        </w:rPr>
        <w:t>4、镍钴二元素复合氢氧化物产品生产企业废水中氨的回收利用率</w:t>
      </w:r>
      <w:r>
        <w:rPr>
          <w:rFonts w:hint="eastAsia" w:ascii="Times New Roman" w:hAnsi="Times New Roman" w:eastAsia="宋体" w:cs="Times New Roman"/>
          <w:color w:val="000000"/>
          <w:sz w:val="24"/>
          <w:szCs w:val="24"/>
        </w:rPr>
        <w:t>调研见表</w:t>
      </w:r>
      <w:r>
        <w:rPr>
          <w:rFonts w:hint="eastAsia" w:ascii="Times New Roman" w:hAnsi="Times New Roman" w:eastAsia="宋体" w:cs="Times New Roman"/>
          <w:color w:val="000000"/>
          <w:sz w:val="24"/>
          <w:szCs w:val="24"/>
          <w:lang w:val="en-US" w:eastAsia="zh-CN"/>
        </w:rPr>
        <w:t>4</w:t>
      </w:r>
      <w:r>
        <w:rPr>
          <w:rFonts w:hint="eastAsia" w:ascii="Times New Roman" w:hAnsi="Times New Roman" w:eastAsia="宋体" w:cs="Times New Roman"/>
          <w:color w:val="000000"/>
          <w:sz w:val="24"/>
          <w:szCs w:val="24"/>
          <w:lang w:eastAsia="zh-CN"/>
        </w:rPr>
        <w:t>。</w:t>
      </w:r>
    </w:p>
    <w:p>
      <w:pPr>
        <w:pStyle w:val="2"/>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Cs w:val="24"/>
        </w:rPr>
        <w:t>表</w:t>
      </w:r>
      <w:r>
        <w:rPr>
          <w:rFonts w:hint="eastAsia" w:ascii="Times New Roman" w:hAnsi="Times New Roman" w:eastAsia="宋体" w:cs="Times New Roman"/>
          <w:color w:val="000000"/>
          <w:szCs w:val="24"/>
          <w:lang w:val="en-US" w:eastAsia="zh-CN"/>
        </w:rPr>
        <w:t>4</w:t>
      </w:r>
      <w:r>
        <w:rPr>
          <w:rFonts w:hint="eastAsia" w:ascii="Times New Roman" w:hAnsi="Times New Roman" w:eastAsia="宋体" w:cs="Times New Roman"/>
          <w:color w:val="000000"/>
          <w:szCs w:val="24"/>
        </w:rPr>
        <w:t xml:space="preserve"> </w:t>
      </w:r>
      <w:r>
        <w:rPr>
          <w:rFonts w:hint="eastAsia" w:ascii="Times New Roman" w:hAnsi="Times New Roman" w:eastAsia="宋体" w:cs="Times New Roman"/>
          <w:color w:val="000000"/>
          <w:sz w:val="21"/>
          <w:szCs w:val="21"/>
        </w:rPr>
        <w:t xml:space="preserve"> </w:t>
      </w:r>
      <w:r>
        <w:rPr>
          <w:rFonts w:hint="eastAsia" w:ascii="Times New Roman" w:hAnsi="Times New Roman" w:eastAsia="宋体" w:cs="Times New Roman"/>
          <w:color w:val="000000"/>
          <w:sz w:val="21"/>
          <w:szCs w:val="21"/>
          <w:lang w:val="en-US" w:eastAsia="zh-CN"/>
        </w:rPr>
        <w:t>镍钴二元素复合氢氧化物产品生产企业废水中氨的回收利用率</w:t>
      </w:r>
    </w:p>
    <w:tbl>
      <w:tblPr>
        <w:tblStyle w:val="10"/>
        <w:tblW w:w="6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459"/>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jc w:val="center"/>
        </w:trPr>
        <w:tc>
          <w:tcPr>
            <w:tcW w:w="2340" w:type="dxa"/>
            <w:vAlign w:val="center"/>
          </w:tcPr>
          <w:p>
            <w:pPr>
              <w:jc w:val="center"/>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镍钴二元素复合氢氧化物</w:t>
            </w:r>
            <w:r>
              <w:rPr>
                <w:rFonts w:hint="default" w:ascii="Times New Roman" w:hAnsi="Times New Roman" w:eastAsia="宋体" w:cs="Times New Roman"/>
                <w:sz w:val="21"/>
                <w:szCs w:val="21"/>
                <w:vertAlign w:val="baseline"/>
                <w:lang w:val="en-US" w:eastAsia="zh-CN"/>
              </w:rPr>
              <w:t>生产企业</w:t>
            </w:r>
          </w:p>
        </w:tc>
        <w:tc>
          <w:tcPr>
            <w:tcW w:w="1459" w:type="dxa"/>
            <w:vAlign w:val="center"/>
          </w:tcPr>
          <w:p>
            <w:pPr>
              <w:jc w:val="center"/>
              <w:rPr>
                <w:rFonts w:hint="eastAsia" w:ascii="宋体" w:hAnsi="宋体" w:eastAsia="宋体" w:cs="宋体"/>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w:t>
            </w:r>
            <w:r>
              <w:rPr>
                <w:rFonts w:hint="eastAsia" w:ascii="Times New Roman" w:hAnsi="Times New Roman" w:eastAsia="宋体" w:cs="Times New Roman"/>
                <w:sz w:val="21"/>
                <w:szCs w:val="21"/>
                <w:vertAlign w:val="baseline"/>
                <w:lang w:val="en-US" w:eastAsia="zh-CN"/>
              </w:rPr>
              <w:t>序号</w:t>
            </w:r>
          </w:p>
        </w:tc>
        <w:tc>
          <w:tcPr>
            <w:tcW w:w="2859" w:type="dxa"/>
            <w:vAlign w:val="center"/>
          </w:tcPr>
          <w:p>
            <w:pPr>
              <w:jc w:val="center"/>
              <w:rPr>
                <w:rFonts w:hint="eastAsia" w:ascii="宋体" w:hAnsi="宋体" w:eastAsia="宋体" w:cs="宋体"/>
                <w:sz w:val="21"/>
                <w:szCs w:val="21"/>
                <w:vertAlign w:val="baseline"/>
                <w:lang w:val="en-US"/>
              </w:rPr>
            </w:pPr>
            <w:r>
              <w:rPr>
                <w:rFonts w:hint="eastAsia" w:ascii="Times New Roman" w:hAnsi="Times New Roman" w:eastAsia="宋体" w:cs="Times New Roman"/>
                <w:color w:val="000000"/>
                <w:sz w:val="21"/>
                <w:szCs w:val="21"/>
                <w:lang w:val="en-US" w:eastAsia="zh-CN"/>
              </w:rPr>
              <w:t>废水中氨的回收利用率</w:t>
            </w: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45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85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tc>
        <w:tc>
          <w:tcPr>
            <w:tcW w:w="145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85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企业C</w:t>
            </w:r>
          </w:p>
          <w:p>
            <w:pPr>
              <w:jc w:val="center"/>
              <w:rPr>
                <w:rFonts w:hint="eastAsia" w:ascii="宋体" w:hAnsi="宋体" w:eastAsia="宋体" w:cs="宋体"/>
                <w:sz w:val="21"/>
                <w:szCs w:val="21"/>
                <w:vertAlign w:val="baseline"/>
              </w:rPr>
            </w:pPr>
          </w:p>
        </w:tc>
        <w:tc>
          <w:tcPr>
            <w:tcW w:w="145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859"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40"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45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85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3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企业E</w:t>
            </w:r>
          </w:p>
        </w:tc>
        <w:tc>
          <w:tcPr>
            <w:tcW w:w="145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85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91.54</w:t>
            </w:r>
          </w:p>
        </w:tc>
      </w:tr>
    </w:tbl>
    <w:p>
      <w:pPr>
        <w:pStyle w:val="2"/>
        <w:ind w:left="0" w:leftChars="0" w:firstLine="0" w:firstLineChars="0"/>
        <w:jc w:val="both"/>
        <w:rPr>
          <w:rFonts w:hint="eastAsia" w:ascii="Times New Roman" w:hAnsi="Times New Roman" w:eastAsia="宋体" w:cs="Times New Roman"/>
          <w:color w:val="000000"/>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000000"/>
          <w:szCs w:val="24"/>
          <w:lang w:val="en-US" w:eastAsia="zh-CN"/>
        </w:rPr>
      </w:pPr>
      <w:r>
        <w:rPr>
          <w:rFonts w:hint="eastAsia" w:ascii="Times New Roman" w:hAnsi="Times New Roman" w:eastAsia="宋体" w:cs="Times New Roman"/>
          <w:sz w:val="24"/>
          <w:szCs w:val="24"/>
          <w:lang w:val="en-US" w:eastAsia="zh-CN"/>
        </w:rPr>
        <w:t>结合表4中</w:t>
      </w:r>
      <w:r>
        <w:rPr>
          <w:rFonts w:hint="eastAsia" w:ascii="Times New Roman" w:hAnsi="Times New Roman" w:eastAsia="宋体" w:cs="Times New Roman"/>
          <w:color w:val="000000"/>
          <w:sz w:val="24"/>
          <w:szCs w:val="24"/>
          <w:lang w:val="en-US" w:eastAsia="zh-CN"/>
        </w:rPr>
        <w:t>镍钴二元素复合氢氧化物产品生产企业废水中氨的回收利用率调研数据，确定废水中氨的回收利用率基准值≥85%。</w:t>
      </w:r>
    </w:p>
    <w:p>
      <w:pPr>
        <w:snapToGrid w:val="0"/>
        <w:spacing w:line="360" w:lineRule="auto"/>
        <w:ind w:firstLine="480" w:firstLineChars="200"/>
        <w:rPr>
          <w:rFonts w:hint="eastAsia" w:ascii="Times New Roman" w:hAnsi="Times New Roman" w:eastAsia="宋体" w:cs="Times New Roman"/>
          <w:color w:val="000000"/>
          <w:szCs w:val="24"/>
        </w:rPr>
      </w:pPr>
      <w:r>
        <w:rPr>
          <w:rFonts w:hint="eastAsia" w:ascii="Times New Roman" w:hAnsi="Times New Roman" w:eastAsia="宋体" w:cs="Times New Roman"/>
          <w:color w:val="000000"/>
          <w:sz w:val="24"/>
          <w:szCs w:val="24"/>
          <w:lang w:val="en-US" w:eastAsia="zh-CN"/>
        </w:rPr>
        <w:t>5、镍钴二元素复合氢氧化物产品生产企业</w:t>
      </w:r>
      <w:r>
        <w:rPr>
          <w:rFonts w:hint="eastAsia" w:ascii="Times New Roman" w:hAnsi="Times New Roman" w:eastAsia="宋体" w:cs="Times New Roman"/>
          <w:color w:val="000000"/>
          <w:sz w:val="24"/>
          <w:szCs w:val="24"/>
        </w:rPr>
        <w:t>金属利用率调研见表2</w:t>
      </w:r>
      <w:r>
        <w:rPr>
          <w:rFonts w:hint="eastAsia" w:ascii="Times New Roman" w:hAnsi="Times New Roman" w:eastAsia="宋体" w:cs="Times New Roman"/>
          <w:color w:val="000000"/>
          <w:sz w:val="24"/>
          <w:szCs w:val="24"/>
          <w:lang w:eastAsia="zh-CN"/>
        </w:rPr>
        <w:t>。</w:t>
      </w:r>
    </w:p>
    <w:p>
      <w:pPr>
        <w:snapToGrid w:val="0"/>
        <w:spacing w:line="360" w:lineRule="auto"/>
        <w:ind w:firstLine="420" w:firstLineChars="200"/>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表</w:t>
      </w:r>
      <w:r>
        <w:rPr>
          <w:rFonts w:hint="eastAsia" w:ascii="Times New Roman" w:hAnsi="Times New Roman" w:eastAsia="宋体" w:cs="Times New Roman"/>
          <w:color w:val="000000"/>
          <w:szCs w:val="24"/>
          <w:lang w:val="en-US" w:eastAsia="zh-CN"/>
        </w:rPr>
        <w:t>5</w:t>
      </w:r>
      <w:r>
        <w:rPr>
          <w:rFonts w:hint="eastAsia" w:ascii="Times New Roman" w:hAnsi="Times New Roman" w:eastAsia="宋体" w:cs="Times New Roman"/>
          <w:color w:val="000000"/>
          <w:szCs w:val="24"/>
        </w:rPr>
        <w:t xml:space="preserve">  </w:t>
      </w:r>
      <w:r>
        <w:rPr>
          <w:rFonts w:hint="eastAsia" w:ascii="Times New Roman" w:hAnsi="Times New Roman" w:eastAsia="宋体" w:cs="Times New Roman"/>
          <w:szCs w:val="21"/>
          <w:lang w:val="en-US" w:eastAsia="zh-CN"/>
        </w:rPr>
        <w:t>镍钴二元素复合氢氧化物</w:t>
      </w:r>
      <w:r>
        <w:rPr>
          <w:rFonts w:ascii="Times New Roman" w:hAnsi="Times New Roman" w:eastAsia="宋体" w:cs="Times New Roman"/>
          <w:szCs w:val="21"/>
        </w:rPr>
        <w:t>产品</w:t>
      </w:r>
      <w:r>
        <w:rPr>
          <w:rFonts w:hint="eastAsia" w:ascii="Times New Roman" w:hAnsi="Times New Roman" w:eastAsia="宋体" w:cs="Times New Roman"/>
          <w:color w:val="000000"/>
          <w:szCs w:val="24"/>
        </w:rPr>
        <w:t>金属利用率（%）</w:t>
      </w:r>
    </w:p>
    <w:tbl>
      <w:tblPr>
        <w:tblStyle w:val="10"/>
        <w:tblW w:w="6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283"/>
        <w:gridCol w:w="1815"/>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43" w:type="dxa"/>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镍钴二元素复合氢氧化物</w:t>
            </w:r>
            <w:r>
              <w:rPr>
                <w:rFonts w:hint="default" w:ascii="Times New Roman" w:hAnsi="Times New Roman" w:eastAsia="宋体" w:cs="Times New Roman"/>
                <w:sz w:val="21"/>
                <w:szCs w:val="21"/>
                <w:vertAlign w:val="baseline"/>
                <w:lang w:val="en-US" w:eastAsia="zh-CN"/>
              </w:rPr>
              <w:t>生产企业</w:t>
            </w:r>
          </w:p>
        </w:tc>
        <w:tc>
          <w:tcPr>
            <w:tcW w:w="1283" w:type="dxa"/>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w:t>
            </w:r>
            <w:r>
              <w:rPr>
                <w:rFonts w:hint="eastAsia" w:ascii="Times New Roman" w:hAnsi="Times New Roman" w:eastAsia="宋体" w:cs="Times New Roman"/>
                <w:sz w:val="21"/>
                <w:szCs w:val="21"/>
                <w:vertAlign w:val="baseline"/>
                <w:lang w:val="en-US" w:eastAsia="zh-CN"/>
              </w:rPr>
              <w:t>序号</w:t>
            </w:r>
          </w:p>
        </w:tc>
        <w:tc>
          <w:tcPr>
            <w:tcW w:w="3699" w:type="dxa"/>
            <w:gridSpan w:val="2"/>
            <w:vAlign w:val="center"/>
          </w:tcPr>
          <w:p>
            <w:pPr>
              <w:jc w:val="center"/>
              <w:rPr>
                <w:rFonts w:hint="default" w:ascii="Times New Roman" w:hAnsi="Times New Roman" w:eastAsia="宋体" w:cs="Times New Roman"/>
                <w:sz w:val="21"/>
                <w:szCs w:val="21"/>
                <w:vertAlign w:val="baseline"/>
                <w:lang w:val="en-US"/>
              </w:rPr>
            </w:pPr>
            <w:r>
              <w:rPr>
                <w:rFonts w:hint="eastAsia" w:ascii="Times New Roman" w:hAnsi="Times New Roman" w:eastAsia="宋体" w:cs="Times New Roman"/>
                <w:color w:val="000000"/>
                <w:szCs w:val="24"/>
              </w:rPr>
              <w:t>金属利用率</w:t>
            </w: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43"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1283" w:type="dxa"/>
            <w:vMerge w:val="continue"/>
            <w:vAlign w:val="center"/>
          </w:tcPr>
          <w:p>
            <w:pPr>
              <w:jc w:val="center"/>
              <w:rPr>
                <w:rFonts w:hint="default" w:ascii="Times New Roman" w:hAnsi="Times New Roman" w:eastAsia="宋体" w:cs="Times New Roman"/>
                <w:sz w:val="21"/>
                <w:szCs w:val="21"/>
                <w:vertAlign w:val="baseline"/>
              </w:rPr>
            </w:pP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Ni</w:t>
            </w:r>
          </w:p>
        </w:tc>
        <w:tc>
          <w:tcPr>
            <w:tcW w:w="1884"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4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企业A</w:t>
            </w:r>
          </w:p>
        </w:tc>
        <w:tc>
          <w:tcPr>
            <w:tcW w:w="128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98.49</w:t>
            </w:r>
          </w:p>
        </w:tc>
        <w:tc>
          <w:tcPr>
            <w:tcW w:w="1884"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4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企业B</w:t>
            </w:r>
          </w:p>
          <w:p>
            <w:pPr>
              <w:jc w:val="center"/>
              <w:rPr>
                <w:rFonts w:hint="default" w:ascii="Times New Roman" w:hAnsi="Times New Roman" w:eastAsia="宋体" w:cs="Times New Roman"/>
                <w:sz w:val="21"/>
                <w:szCs w:val="21"/>
                <w:vertAlign w:val="baseline"/>
              </w:rPr>
            </w:pPr>
          </w:p>
        </w:tc>
        <w:tc>
          <w:tcPr>
            <w:tcW w:w="128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97.49</w:t>
            </w:r>
          </w:p>
        </w:tc>
        <w:tc>
          <w:tcPr>
            <w:tcW w:w="1884" w:type="dxa"/>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43"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企业C</w:t>
            </w:r>
          </w:p>
        </w:tc>
        <w:tc>
          <w:tcPr>
            <w:tcW w:w="128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bottom"/>
          </w:tcPr>
          <w:p>
            <w:pPr>
              <w:keepNext w:val="0"/>
              <w:keepLines w:val="0"/>
              <w:widowControl/>
              <w:suppressLineNumbers w:val="0"/>
              <w:jc w:val="center"/>
              <w:textAlignment w:val="bottom"/>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99.13</w:t>
            </w:r>
          </w:p>
        </w:tc>
        <w:tc>
          <w:tcPr>
            <w:tcW w:w="1884" w:type="dxa"/>
            <w:vAlign w:val="bottom"/>
          </w:tcPr>
          <w:p>
            <w:pPr>
              <w:keepNext w:val="0"/>
              <w:keepLines w:val="0"/>
              <w:widowControl/>
              <w:suppressLineNumbers w:val="0"/>
              <w:jc w:val="center"/>
              <w:textAlignment w:val="bottom"/>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43"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企业D</w:t>
            </w:r>
          </w:p>
        </w:tc>
        <w:tc>
          <w:tcPr>
            <w:tcW w:w="128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98.78</w:t>
            </w:r>
          </w:p>
        </w:tc>
        <w:tc>
          <w:tcPr>
            <w:tcW w:w="1884"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4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w:t>
            </w:r>
            <w:r>
              <w:rPr>
                <w:rFonts w:hint="eastAsia" w:ascii="Times New Roman" w:hAnsi="Times New Roman" w:eastAsia="宋体" w:cs="Times New Roman"/>
                <w:sz w:val="21"/>
                <w:szCs w:val="21"/>
                <w:vertAlign w:val="baseline"/>
                <w:lang w:val="en-US" w:eastAsia="zh-CN"/>
              </w:rPr>
              <w:t>E</w:t>
            </w:r>
          </w:p>
        </w:tc>
        <w:tc>
          <w:tcPr>
            <w:tcW w:w="128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98.99</w:t>
            </w:r>
          </w:p>
        </w:tc>
        <w:tc>
          <w:tcPr>
            <w:tcW w:w="1884"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99.07</w:t>
            </w:r>
          </w:p>
        </w:tc>
      </w:tr>
    </w:tbl>
    <w:p>
      <w:pPr>
        <w:pStyle w:val="2"/>
        <w:ind w:left="0" w:leftChars="0" w:firstLine="0" w:firstLineChars="0"/>
        <w:rPr>
          <w:rFonts w:hint="eastAsia" w:ascii="Times New Roman" w:hAnsi="Times New Roman" w:eastAsia="宋体" w:cs="Times New Roman"/>
          <w:color w:val="000000"/>
          <w:sz w:val="24"/>
          <w:szCs w:val="24"/>
          <w:lang w:val="en-US" w:eastAsia="zh-CN"/>
        </w:rPr>
      </w:pPr>
    </w:p>
    <w:p>
      <w:pPr>
        <w:snapToGrid w:val="0"/>
        <w:spacing w:line="360" w:lineRule="auto"/>
        <w:rPr>
          <w:rFonts w:hint="eastAsia" w:ascii="Times New Roman" w:hAnsi="Times New Roman" w:eastAsia="宋体" w:cs="Times New Roman"/>
          <w:szCs w:val="21"/>
        </w:rPr>
      </w:pPr>
      <w:r>
        <w:rPr>
          <w:rFonts w:hint="eastAsia" w:ascii="Times New Roman" w:hAnsi="Times New Roman" w:eastAsia="宋体" w:cs="Times New Roman"/>
          <w:color w:val="000000"/>
          <w:sz w:val="24"/>
          <w:szCs w:val="24"/>
          <w:lang w:val="en-US" w:eastAsia="zh-CN"/>
        </w:rPr>
        <w:t>6、镍钴二元素复合氢氧化物产品生产企业</w:t>
      </w:r>
      <w:r>
        <w:rPr>
          <w:rFonts w:hint="eastAsia" w:ascii="Times New Roman" w:hAnsi="Times New Roman" w:eastAsia="宋体" w:cs="Times New Roman"/>
          <w:color w:val="000000"/>
          <w:sz w:val="24"/>
          <w:szCs w:val="24"/>
        </w:rPr>
        <w:t>金属</w:t>
      </w:r>
      <w:r>
        <w:rPr>
          <w:rFonts w:hint="eastAsia" w:ascii="Times New Roman" w:hAnsi="Times New Roman" w:eastAsia="宋体" w:cs="Times New Roman"/>
          <w:color w:val="000000"/>
          <w:sz w:val="24"/>
          <w:szCs w:val="24"/>
          <w:lang w:val="en-US" w:eastAsia="zh-CN"/>
        </w:rPr>
        <w:t>消耗量</w:t>
      </w:r>
      <w:r>
        <w:rPr>
          <w:rFonts w:hint="eastAsia" w:ascii="Times New Roman" w:hAnsi="Times New Roman" w:eastAsia="宋体" w:cs="Times New Roman"/>
          <w:color w:val="000000"/>
          <w:sz w:val="24"/>
          <w:szCs w:val="24"/>
        </w:rPr>
        <w:t>调研见表</w:t>
      </w:r>
      <w:r>
        <w:rPr>
          <w:rFonts w:hint="eastAsia" w:ascii="Times New Roman" w:hAnsi="Times New Roman" w:eastAsia="宋体" w:cs="Times New Roman"/>
          <w:color w:val="000000"/>
          <w:sz w:val="24"/>
          <w:szCs w:val="24"/>
          <w:lang w:val="en-US" w:eastAsia="zh-CN"/>
        </w:rPr>
        <w:t>6</w:t>
      </w:r>
      <w:r>
        <w:rPr>
          <w:rFonts w:hint="eastAsia" w:ascii="Times New Roman" w:hAnsi="Times New Roman" w:eastAsia="宋体" w:cs="Times New Roman"/>
          <w:color w:val="000000"/>
          <w:sz w:val="24"/>
          <w:szCs w:val="24"/>
          <w:lang w:eastAsia="zh-CN"/>
        </w:rPr>
        <w:t>。</w:t>
      </w:r>
    </w:p>
    <w:p>
      <w:pPr>
        <w:wordWrap/>
        <w:snapToGrid w:val="0"/>
        <w:spacing w:line="360" w:lineRule="auto"/>
        <w:ind w:firstLine="420" w:firstLineChars="200"/>
        <w:jc w:val="center"/>
        <w:rPr>
          <w:rFonts w:hint="eastAsia" w:hAnsi="宋体" w:cs="宋体"/>
          <w:kern w:val="0"/>
          <w:szCs w:val="21"/>
          <w:lang w:val="en-US" w:eastAsia="zh-CN"/>
        </w:rPr>
      </w:pPr>
      <w:r>
        <w:rPr>
          <w:rFonts w:hint="eastAsia" w:ascii="Times New Roman" w:hAnsi="Times New Roman" w:eastAsia="宋体" w:cs="Times New Roman"/>
          <w:szCs w:val="21"/>
        </w:rPr>
        <w:t>表</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镍钴二元素复合氢氧化物</w:t>
      </w:r>
      <w:r>
        <w:rPr>
          <w:rFonts w:ascii="Times New Roman" w:hAnsi="Times New Roman" w:eastAsia="宋体" w:cs="Times New Roman"/>
          <w:szCs w:val="21"/>
        </w:rPr>
        <w:t>产品</w:t>
      </w:r>
      <w:r>
        <w:rPr>
          <w:rFonts w:hint="eastAsia" w:ascii="Times New Roman" w:hAnsi="Times New Roman" w:eastAsia="宋体" w:cs="Times New Roman"/>
          <w:szCs w:val="21"/>
        </w:rPr>
        <w:t>金属消耗量</w:t>
      </w:r>
    </w:p>
    <w:tbl>
      <w:tblPr>
        <w:tblStyle w:val="10"/>
        <w:tblW w:w="6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069"/>
        <w:gridCol w:w="181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57" w:type="dxa"/>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镍钴二元素复合氢氧化物</w:t>
            </w:r>
            <w:r>
              <w:rPr>
                <w:rFonts w:hint="default" w:ascii="Times New Roman" w:hAnsi="Times New Roman" w:eastAsia="宋体" w:cs="Times New Roman"/>
                <w:sz w:val="21"/>
                <w:szCs w:val="21"/>
                <w:vertAlign w:val="baseline"/>
                <w:lang w:val="en-US" w:eastAsia="zh-CN"/>
              </w:rPr>
              <w:t>生产企业</w:t>
            </w:r>
          </w:p>
        </w:tc>
        <w:tc>
          <w:tcPr>
            <w:tcW w:w="1069" w:type="dxa"/>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w:t>
            </w:r>
            <w:r>
              <w:rPr>
                <w:rFonts w:hint="eastAsia" w:ascii="Times New Roman" w:hAnsi="Times New Roman" w:eastAsia="宋体" w:cs="Times New Roman"/>
                <w:sz w:val="21"/>
                <w:szCs w:val="21"/>
                <w:vertAlign w:val="baseline"/>
                <w:lang w:val="en-US" w:eastAsia="zh-CN"/>
              </w:rPr>
              <w:t>序号</w:t>
            </w:r>
          </w:p>
        </w:tc>
        <w:tc>
          <w:tcPr>
            <w:tcW w:w="3758" w:type="dxa"/>
            <w:gridSpan w:val="2"/>
            <w:vAlign w:val="center"/>
          </w:tcPr>
          <w:p>
            <w:pPr>
              <w:jc w:val="center"/>
              <w:rPr>
                <w:rFonts w:hint="default" w:ascii="Times New Roman" w:hAnsi="Times New Roman" w:eastAsia="宋体" w:cs="Times New Roman"/>
                <w:sz w:val="21"/>
                <w:szCs w:val="21"/>
                <w:vertAlign w:val="baseline"/>
                <w:lang w:val="en-US"/>
              </w:rPr>
            </w:pPr>
            <w:r>
              <w:rPr>
                <w:rFonts w:hint="default" w:ascii="Times New Roman" w:hAnsi="Times New Roman" w:eastAsia="宋体" w:cs="Times New Roman"/>
                <w:sz w:val="21"/>
                <w:szCs w:val="21"/>
                <w:vertAlign w:val="baseline"/>
                <w:lang w:val="en-US" w:eastAsia="zh-CN"/>
              </w:rPr>
              <w:t>金属消耗量，</w:t>
            </w:r>
            <w:r>
              <w:rPr>
                <w:rFonts w:hint="default" w:ascii="Times New Roman" w:hAnsi="Times New Roman" w:eastAsia="宋体" w:cs="Times New Roman"/>
                <w:szCs w:val="21"/>
              </w:rPr>
              <w:t>kg/t产品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57"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1069" w:type="dxa"/>
            <w:vMerge w:val="continue"/>
            <w:vAlign w:val="center"/>
          </w:tcPr>
          <w:p>
            <w:pPr>
              <w:jc w:val="center"/>
              <w:rPr>
                <w:rFonts w:hint="default" w:ascii="Times New Roman" w:hAnsi="Times New Roman" w:eastAsia="宋体" w:cs="Times New Roman"/>
                <w:sz w:val="21"/>
                <w:szCs w:val="21"/>
                <w:vertAlign w:val="baseline"/>
              </w:rPr>
            </w:pP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Ni</w:t>
            </w:r>
          </w:p>
        </w:tc>
        <w:tc>
          <w:tcPr>
            <w:tcW w:w="1943"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5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企业A</w:t>
            </w:r>
          </w:p>
        </w:tc>
        <w:tc>
          <w:tcPr>
            <w:tcW w:w="1069"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r>
              <w:rPr>
                <w:rFonts w:hint="eastAsia" w:ascii="Times New Roman" w:hAnsi="Times New Roman" w:eastAsia="宋体" w:cs="Times New Roman"/>
                <w:sz w:val="21"/>
                <w:szCs w:val="21"/>
                <w:vertAlign w:val="baseline"/>
                <w:lang w:val="en-US" w:eastAsia="zh-CN"/>
              </w:rPr>
              <w:t>86.33</w:t>
            </w:r>
          </w:p>
        </w:tc>
        <w:tc>
          <w:tcPr>
            <w:tcW w:w="1943"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5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企业B</w:t>
            </w:r>
          </w:p>
          <w:p>
            <w:pPr>
              <w:jc w:val="center"/>
              <w:rPr>
                <w:rFonts w:hint="default" w:ascii="Times New Roman" w:hAnsi="Times New Roman" w:eastAsia="宋体" w:cs="Times New Roman"/>
                <w:sz w:val="21"/>
                <w:szCs w:val="21"/>
                <w:vertAlign w:val="baseline"/>
              </w:rPr>
            </w:pPr>
          </w:p>
        </w:tc>
        <w:tc>
          <w:tcPr>
            <w:tcW w:w="1069"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r>
              <w:rPr>
                <w:rFonts w:hint="eastAsia" w:ascii="Times New Roman" w:hAnsi="Times New Roman" w:eastAsia="宋体" w:cs="Times New Roman"/>
                <w:sz w:val="21"/>
                <w:szCs w:val="21"/>
                <w:vertAlign w:val="baseline"/>
                <w:lang w:val="en-US" w:eastAsia="zh-CN"/>
              </w:rPr>
              <w:t>75.67</w:t>
            </w:r>
          </w:p>
        </w:tc>
        <w:tc>
          <w:tcPr>
            <w:tcW w:w="1943"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57"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企业C</w:t>
            </w:r>
          </w:p>
        </w:tc>
        <w:tc>
          <w:tcPr>
            <w:tcW w:w="1069"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55</w:t>
            </w:r>
            <w:r>
              <w:rPr>
                <w:rFonts w:hint="eastAsia" w:ascii="Times New Roman" w:hAnsi="Times New Roman" w:eastAsia="宋体" w:cs="Times New Roman"/>
                <w:sz w:val="21"/>
                <w:szCs w:val="21"/>
                <w:vertAlign w:val="baseline"/>
                <w:lang w:val="en-US" w:eastAsia="zh-CN"/>
              </w:rPr>
              <w:t>9.44</w:t>
            </w:r>
          </w:p>
        </w:tc>
        <w:tc>
          <w:tcPr>
            <w:tcW w:w="1943"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57"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企业D</w:t>
            </w:r>
          </w:p>
        </w:tc>
        <w:tc>
          <w:tcPr>
            <w:tcW w:w="1069"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570.44</w:t>
            </w:r>
          </w:p>
        </w:tc>
        <w:tc>
          <w:tcPr>
            <w:tcW w:w="1943"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5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w:t>
            </w:r>
            <w:r>
              <w:rPr>
                <w:rFonts w:hint="eastAsia" w:ascii="Times New Roman" w:hAnsi="Times New Roman" w:eastAsia="宋体" w:cs="Times New Roman"/>
                <w:sz w:val="21"/>
                <w:szCs w:val="21"/>
                <w:vertAlign w:val="baseline"/>
                <w:lang w:val="en-US" w:eastAsia="zh-CN"/>
              </w:rPr>
              <w:t>E</w:t>
            </w:r>
          </w:p>
        </w:tc>
        <w:tc>
          <w:tcPr>
            <w:tcW w:w="1069"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815"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575.40</w:t>
            </w:r>
          </w:p>
        </w:tc>
        <w:tc>
          <w:tcPr>
            <w:tcW w:w="1943"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64.18</w:t>
            </w:r>
          </w:p>
        </w:tc>
      </w:tr>
    </w:tbl>
    <w:p>
      <w:pPr>
        <w:pStyle w:val="2"/>
        <w:keepNext w:val="0"/>
        <w:keepLines w:val="0"/>
        <w:pageBreakBefore w:val="0"/>
        <w:widowControl w:val="0"/>
        <w:kinsoku/>
        <w:wordWrap/>
        <w:overflowPunct/>
        <w:topLinePunct w:val="0"/>
        <w:autoSpaceDE/>
        <w:autoSpaceDN/>
        <w:bidi w:val="0"/>
        <w:adjustRightInd/>
        <w:spacing w:line="240" w:lineRule="atLeast"/>
        <w:textAlignment w:val="auto"/>
        <w:rPr>
          <w:rFonts w:hint="eastAsia" w:hAnsi="宋体" w:cs="宋体"/>
          <w:kern w:val="0"/>
          <w:szCs w:val="21"/>
          <w:lang w:val="en-US" w:eastAsia="zh-CN"/>
        </w:rPr>
      </w:pPr>
    </w:p>
    <w:p>
      <w:pPr>
        <w:snapToGrid w:val="0"/>
        <w:spacing w:line="360" w:lineRule="auto"/>
        <w:ind w:firstLine="480" w:firstLineChars="200"/>
        <w:rPr>
          <w:rFonts w:hint="eastAsia" w:hAnsi="宋体" w:cs="宋体"/>
          <w:kern w:val="0"/>
          <w:szCs w:val="21"/>
          <w:lang w:val="en-US" w:eastAsia="zh-CN"/>
        </w:rPr>
      </w:pPr>
      <w:r>
        <w:rPr>
          <w:rFonts w:hint="eastAsia" w:ascii="Times New Roman" w:hAnsi="Times New Roman" w:eastAsia="宋体" w:cs="Times New Roman"/>
          <w:color w:val="000000"/>
          <w:sz w:val="24"/>
          <w:szCs w:val="24"/>
          <w:lang w:val="en-US" w:eastAsia="zh-CN"/>
        </w:rPr>
        <w:t xml:space="preserve">结合表6中镍钴二元素复合氢氧化物产品生产企业调研数据，确定镍钴二元素复合氢氧化物产品绿色产品评价中，金属消耗量基准值要求为：镍的金属消耗量≤595.0 </w:t>
      </w:r>
      <w:r>
        <w:rPr>
          <w:rFonts w:hint="eastAsia" w:ascii="Times New Roman" w:hAnsi="Times New Roman" w:eastAsia="宋体" w:cs="Times New Roman"/>
          <w:sz w:val="24"/>
          <w:szCs w:val="24"/>
        </w:rPr>
        <w:t>kg/t</w:t>
      </w:r>
      <w:r>
        <w:rPr>
          <w:rFonts w:hint="eastAsia" w:ascii="Times New Roman" w:hAnsi="Times New Roman" w:eastAsia="宋体" w:cs="Times New Roman"/>
          <w:color w:val="000000"/>
          <w:sz w:val="24"/>
          <w:szCs w:val="24"/>
          <w:lang w:val="en-US" w:eastAsia="zh-CN"/>
        </w:rPr>
        <w:t xml:space="preserve">镍钴二元素复合氢氧化物，钴的金属消耗量≤70.0 </w:t>
      </w:r>
      <w:r>
        <w:rPr>
          <w:rFonts w:hint="eastAsia" w:ascii="Times New Roman" w:hAnsi="Times New Roman" w:eastAsia="宋体" w:cs="Times New Roman"/>
          <w:sz w:val="24"/>
          <w:szCs w:val="24"/>
        </w:rPr>
        <w:t>kg/t</w:t>
      </w:r>
      <w:r>
        <w:rPr>
          <w:rFonts w:hint="eastAsia" w:ascii="Times New Roman" w:hAnsi="Times New Roman" w:eastAsia="宋体" w:cs="Times New Roman"/>
          <w:color w:val="000000"/>
          <w:sz w:val="24"/>
          <w:szCs w:val="24"/>
          <w:lang w:val="en-US" w:eastAsia="zh-CN"/>
        </w:rPr>
        <w:t>镍钴二元素复合氢氧化物。</w:t>
      </w:r>
    </w:p>
    <w:p>
      <w:pPr>
        <w:snapToGrid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lang w:val="en-US" w:eastAsia="zh-CN"/>
        </w:rPr>
        <w:t>7</w:t>
      </w:r>
      <w:r>
        <w:rPr>
          <w:rFonts w:ascii="Times New Roman" w:hAnsi="Times New Roman" w:eastAsia="宋体" w:cs="Times New Roman"/>
          <w:sz w:val="24"/>
          <w:szCs w:val="21"/>
        </w:rPr>
        <w:t>、</w:t>
      </w:r>
      <w:r>
        <w:rPr>
          <w:rFonts w:hint="eastAsia" w:ascii="Times New Roman" w:hAnsi="Times New Roman" w:eastAsia="宋体" w:cs="Times New Roman"/>
          <w:color w:val="000000"/>
          <w:sz w:val="24"/>
          <w:szCs w:val="24"/>
          <w:lang w:val="en-US" w:eastAsia="zh-CN"/>
        </w:rPr>
        <w:t>镍钴二元素复合氢氧化物产品生产企业</w:t>
      </w:r>
      <w:r>
        <w:rPr>
          <w:rFonts w:ascii="Times New Roman" w:hAnsi="Times New Roman" w:eastAsia="宋体" w:cs="Times New Roman"/>
          <w:sz w:val="24"/>
          <w:szCs w:val="21"/>
        </w:rPr>
        <w:t>单位产品综合能耗</w:t>
      </w:r>
      <w:r>
        <w:rPr>
          <w:rFonts w:hint="eastAsia" w:ascii="Times New Roman" w:hAnsi="Times New Roman" w:eastAsia="宋体" w:cs="Times New Roman"/>
          <w:color w:val="000000"/>
          <w:sz w:val="24"/>
          <w:szCs w:val="24"/>
        </w:rPr>
        <w:t>调研见表</w:t>
      </w:r>
      <w:r>
        <w:rPr>
          <w:rFonts w:hint="eastAsia" w:ascii="Times New Roman" w:hAnsi="Times New Roman" w:eastAsia="宋体" w:cs="Times New Roman"/>
          <w:color w:val="000000"/>
          <w:sz w:val="24"/>
          <w:szCs w:val="24"/>
          <w:lang w:val="en-US" w:eastAsia="zh-CN"/>
        </w:rPr>
        <w:t>7</w:t>
      </w:r>
      <w:r>
        <w:rPr>
          <w:rFonts w:hint="eastAsia" w:ascii="Times New Roman" w:hAnsi="Times New Roman" w:eastAsia="宋体" w:cs="Times New Roman"/>
          <w:color w:val="000000"/>
          <w:sz w:val="24"/>
          <w:szCs w:val="24"/>
          <w:lang w:eastAsia="zh-CN"/>
        </w:rPr>
        <w:t>。</w:t>
      </w:r>
    </w:p>
    <w:p>
      <w:pPr>
        <w:snapToGri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w:t>
      </w:r>
      <w:r>
        <w:rPr>
          <w:rFonts w:hint="eastAsia" w:ascii="Times New Roman" w:hAnsi="Times New Roman" w:eastAsia="宋体" w:cs="Times New Roman"/>
          <w:szCs w:val="21"/>
          <w:lang w:val="en-US" w:eastAsia="zh-CN"/>
        </w:rPr>
        <w:t>7</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镍钴二元素复合氢氧化物产品</w:t>
      </w:r>
      <w:r>
        <w:rPr>
          <w:rFonts w:ascii="Times New Roman" w:hAnsi="Times New Roman" w:eastAsia="宋体" w:cs="Times New Roman"/>
          <w:szCs w:val="21"/>
        </w:rPr>
        <w:t>单位产品综合能耗调研结果</w:t>
      </w:r>
    </w:p>
    <w:tbl>
      <w:tblPr>
        <w:tblStyle w:val="10"/>
        <w:tblW w:w="6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160"/>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jc w:val="center"/>
        </w:trPr>
        <w:tc>
          <w:tcPr>
            <w:tcW w:w="2067"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镍钴二元素复合氢氧化物</w:t>
            </w:r>
            <w:r>
              <w:rPr>
                <w:rFonts w:hint="default" w:ascii="Times New Roman" w:hAnsi="Times New Roman" w:eastAsia="宋体" w:cs="Times New Roman"/>
                <w:sz w:val="21"/>
                <w:szCs w:val="21"/>
                <w:vertAlign w:val="baseline"/>
                <w:lang w:val="en-US" w:eastAsia="zh-CN"/>
              </w:rPr>
              <w:t>生产企业</w:t>
            </w:r>
          </w:p>
        </w:tc>
        <w:tc>
          <w:tcPr>
            <w:tcW w:w="116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w:t>
            </w:r>
            <w:r>
              <w:rPr>
                <w:rFonts w:hint="eastAsia" w:ascii="Times New Roman" w:hAnsi="Times New Roman" w:eastAsia="宋体" w:cs="Times New Roman"/>
                <w:sz w:val="21"/>
                <w:szCs w:val="21"/>
                <w:vertAlign w:val="baseline"/>
                <w:lang w:val="en-US" w:eastAsia="zh-CN"/>
              </w:rPr>
              <w:t>序号</w:t>
            </w:r>
          </w:p>
        </w:tc>
        <w:tc>
          <w:tcPr>
            <w:tcW w:w="3431" w:type="dxa"/>
            <w:vAlign w:val="center"/>
          </w:tcPr>
          <w:p>
            <w:pPr>
              <w:jc w:val="center"/>
              <w:rPr>
                <w:rFonts w:hint="default" w:ascii="Times New Roman" w:hAnsi="Times New Roman" w:eastAsia="宋体" w:cs="Times New Roman"/>
                <w:sz w:val="21"/>
                <w:szCs w:val="21"/>
                <w:vertAlign w:val="baseline"/>
                <w:lang w:val="en-US"/>
              </w:rPr>
            </w:pPr>
            <w:r>
              <w:rPr>
                <w:rFonts w:hint="default" w:ascii="Times New Roman" w:hAnsi="Times New Roman" w:eastAsia="宋体" w:cs="Times New Roman"/>
                <w:sz w:val="21"/>
                <w:szCs w:val="21"/>
                <w:vertAlign w:val="baseline"/>
                <w:lang w:val="en-US" w:eastAsia="zh-CN"/>
              </w:rPr>
              <w:t>单位产品综合能耗，</w:t>
            </w:r>
            <w:r>
              <w:rPr>
                <w:rFonts w:hint="default" w:ascii="Times New Roman" w:hAnsi="Times New Roman" w:eastAsia="宋体" w:cs="Times New Roman"/>
                <w:szCs w:val="21"/>
              </w:rPr>
              <w:t>kgce/t产品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企业A</w:t>
            </w:r>
          </w:p>
        </w:tc>
        <w:tc>
          <w:tcPr>
            <w:tcW w:w="116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431"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企业B</w:t>
            </w:r>
          </w:p>
        </w:tc>
        <w:tc>
          <w:tcPr>
            <w:tcW w:w="116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431"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企业C</w:t>
            </w:r>
          </w:p>
          <w:p>
            <w:pPr>
              <w:jc w:val="center"/>
              <w:rPr>
                <w:rFonts w:hint="default" w:ascii="Times New Roman" w:hAnsi="Times New Roman" w:eastAsia="宋体" w:cs="Times New Roman"/>
                <w:sz w:val="21"/>
                <w:szCs w:val="21"/>
                <w:vertAlign w:val="baseline"/>
              </w:rPr>
            </w:pPr>
          </w:p>
        </w:tc>
        <w:tc>
          <w:tcPr>
            <w:tcW w:w="116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431"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7"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企业D</w:t>
            </w:r>
          </w:p>
        </w:tc>
        <w:tc>
          <w:tcPr>
            <w:tcW w:w="116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431"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7"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企业D</w:t>
            </w:r>
          </w:p>
        </w:tc>
        <w:tc>
          <w:tcPr>
            <w:tcW w:w="1160"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431"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950</w:t>
            </w:r>
          </w:p>
        </w:tc>
      </w:tr>
    </w:tbl>
    <w:p>
      <w:pPr>
        <w:pStyle w:val="2"/>
        <w:ind w:left="0" w:leftChars="0" w:firstLine="0" w:firstLineChars="0"/>
        <w:rPr>
          <w:rFonts w:hint="eastAsia" w:ascii="Times New Roman" w:hAnsi="Times New Roman" w:eastAsia="宋体" w:cs="Times New Roman"/>
          <w:color w:val="000000"/>
          <w:sz w:val="24"/>
          <w:szCs w:val="24"/>
          <w:lang w:val="en-US" w:eastAsia="zh-CN"/>
        </w:rPr>
      </w:pPr>
    </w:p>
    <w:p>
      <w:pPr>
        <w:snapToGrid w:val="0"/>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结合表7中镍钴二元素复合氢氧化物生产企业调研数据，确定镍钴二元素复合氢氧化物产品单位产品综合能耗基准值≤1000 </w:t>
      </w:r>
      <w:r>
        <w:rPr>
          <w:rFonts w:ascii="Times New Roman" w:hAnsi="Times New Roman" w:eastAsia="宋体" w:cs="Times New Roman"/>
          <w:color w:val="000000"/>
          <w:sz w:val="24"/>
          <w:szCs w:val="24"/>
        </w:rPr>
        <w:t>kgce</w:t>
      </w:r>
      <w:r>
        <w:rPr>
          <w:rFonts w:hint="eastAsia" w:ascii="Times New Roman" w:hAnsi="Times New Roman" w:eastAsia="宋体" w:cs="Times New Roman"/>
          <w:color w:val="000000"/>
          <w:sz w:val="24"/>
          <w:szCs w:val="24"/>
        </w:rPr>
        <w:t>/t</w:t>
      </w:r>
      <w:r>
        <w:rPr>
          <w:rFonts w:hint="eastAsia" w:ascii="Times New Roman" w:hAnsi="Times New Roman" w:eastAsia="宋体" w:cs="Times New Roman"/>
          <w:color w:val="000000"/>
          <w:sz w:val="24"/>
          <w:szCs w:val="24"/>
          <w:lang w:val="en-US" w:eastAsia="zh-CN"/>
        </w:rPr>
        <w:t>镍钴二元素复合氢氧化物。</w:t>
      </w:r>
    </w:p>
    <w:p>
      <w:pPr>
        <w:snapToGrid w:val="0"/>
        <w:spacing w:line="360" w:lineRule="auto"/>
        <w:ind w:firstLine="480" w:firstLineChars="200"/>
        <w:rPr>
          <w:rFonts w:ascii="Times New Roman" w:hAnsi="Times New Roman" w:eastAsia="宋体" w:cs="Times New Roman"/>
          <w:szCs w:val="21"/>
        </w:rPr>
      </w:pP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w:t>
      </w:r>
      <w:r>
        <w:rPr>
          <w:rFonts w:hint="eastAsia" w:ascii="Times New Roman" w:hAnsi="Times New Roman" w:eastAsia="宋体" w:cs="Times New Roman"/>
          <w:color w:val="000000"/>
          <w:sz w:val="24"/>
          <w:szCs w:val="24"/>
          <w:lang w:val="en-US" w:eastAsia="zh-CN"/>
        </w:rPr>
        <w:t>镍钴二元素复合氢氧化物产品生产企业</w:t>
      </w:r>
      <w:r>
        <w:rPr>
          <w:rFonts w:ascii="Times New Roman" w:hAnsi="Times New Roman" w:eastAsia="宋体" w:cs="Times New Roman"/>
          <w:sz w:val="24"/>
          <w:szCs w:val="21"/>
        </w:rPr>
        <w:t>产品</w:t>
      </w:r>
      <w:r>
        <w:rPr>
          <w:rFonts w:hint="eastAsia" w:ascii="Times New Roman" w:hAnsi="Times New Roman" w:eastAsia="宋体" w:cs="Times New Roman"/>
          <w:sz w:val="24"/>
          <w:szCs w:val="21"/>
          <w:lang w:val="en-US" w:eastAsia="zh-CN"/>
        </w:rPr>
        <w:t>磁性异物</w:t>
      </w:r>
      <w:r>
        <w:rPr>
          <w:rFonts w:hint="eastAsia" w:ascii="Times New Roman" w:hAnsi="Times New Roman" w:eastAsia="宋体" w:cs="Times New Roman"/>
          <w:color w:val="000000"/>
          <w:sz w:val="24"/>
          <w:szCs w:val="24"/>
        </w:rPr>
        <w:t>调研见表</w:t>
      </w:r>
      <w:r>
        <w:rPr>
          <w:rFonts w:hint="eastAsia" w:ascii="Times New Roman" w:hAnsi="Times New Roman" w:eastAsia="宋体" w:cs="Times New Roman"/>
          <w:color w:val="000000"/>
          <w:sz w:val="24"/>
          <w:szCs w:val="24"/>
          <w:lang w:val="en-US" w:eastAsia="zh-CN"/>
        </w:rPr>
        <w:t>8</w:t>
      </w:r>
      <w:r>
        <w:rPr>
          <w:rFonts w:hint="eastAsia" w:ascii="Times New Roman" w:hAnsi="Times New Roman" w:eastAsia="宋体" w:cs="Times New Roman"/>
          <w:color w:val="000000"/>
          <w:sz w:val="24"/>
          <w:szCs w:val="24"/>
          <w:lang w:eastAsia="zh-CN"/>
        </w:rPr>
        <w:t>。</w:t>
      </w:r>
    </w:p>
    <w:p>
      <w:pPr>
        <w:snapToGrid w:val="0"/>
        <w:spacing w:line="360" w:lineRule="auto"/>
        <w:ind w:firstLine="420" w:firstLineChars="200"/>
        <w:jc w:val="center"/>
        <w:rPr>
          <w:rFonts w:hint="eastAsia" w:ascii="Times New Roman" w:hAnsi="Times New Roman" w:eastAsia="宋体" w:cs="Times New Roman"/>
          <w:szCs w:val="21"/>
          <w:lang w:val="en-US" w:eastAsia="zh-CN"/>
        </w:rPr>
      </w:pPr>
      <w:r>
        <w:rPr>
          <w:rFonts w:ascii="Times New Roman" w:hAnsi="Times New Roman" w:eastAsia="宋体" w:cs="Times New Roman"/>
          <w:szCs w:val="21"/>
        </w:rPr>
        <w:t>表</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镍钴二元素复合氢氧化物产品的磁性异物调研结果</w:t>
      </w:r>
    </w:p>
    <w:tbl>
      <w:tblPr>
        <w:tblStyle w:val="10"/>
        <w:tblW w:w="6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22"/>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jc w:val="center"/>
        </w:trPr>
        <w:tc>
          <w:tcPr>
            <w:tcW w:w="1844"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镍钴二元素复合氢氧化物</w:t>
            </w:r>
            <w:r>
              <w:rPr>
                <w:rFonts w:hint="default" w:ascii="Times New Roman" w:hAnsi="Times New Roman" w:eastAsia="宋体" w:cs="Times New Roman"/>
                <w:sz w:val="21"/>
                <w:szCs w:val="21"/>
                <w:vertAlign w:val="baseline"/>
                <w:lang w:val="en-US" w:eastAsia="zh-CN"/>
              </w:rPr>
              <w:t>生产企业</w:t>
            </w:r>
          </w:p>
        </w:tc>
        <w:tc>
          <w:tcPr>
            <w:tcW w:w="122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w:t>
            </w:r>
            <w:r>
              <w:rPr>
                <w:rFonts w:hint="eastAsia" w:ascii="Times New Roman" w:hAnsi="Times New Roman" w:eastAsia="宋体" w:cs="Times New Roman"/>
                <w:sz w:val="21"/>
                <w:szCs w:val="21"/>
                <w:vertAlign w:val="baseline"/>
                <w:lang w:val="en-US" w:eastAsia="zh-CN"/>
              </w:rPr>
              <w:t>序号</w:t>
            </w:r>
          </w:p>
        </w:tc>
        <w:tc>
          <w:tcPr>
            <w:tcW w:w="3053" w:type="dxa"/>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磁性异物</w:t>
            </w:r>
            <w:r>
              <w:rPr>
                <w:rFonts w:hint="default"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4"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企业A</w:t>
            </w:r>
          </w:p>
        </w:tc>
        <w:tc>
          <w:tcPr>
            <w:tcW w:w="122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053"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4"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企业B</w:t>
            </w:r>
          </w:p>
        </w:tc>
        <w:tc>
          <w:tcPr>
            <w:tcW w:w="122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053"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4"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企业C</w:t>
            </w:r>
          </w:p>
          <w:p>
            <w:pPr>
              <w:jc w:val="center"/>
              <w:rPr>
                <w:rFonts w:hint="default" w:ascii="Times New Roman" w:hAnsi="Times New Roman" w:eastAsia="宋体" w:cs="Times New Roman"/>
                <w:sz w:val="21"/>
                <w:szCs w:val="21"/>
                <w:vertAlign w:val="baseline"/>
              </w:rPr>
            </w:pPr>
          </w:p>
        </w:tc>
        <w:tc>
          <w:tcPr>
            <w:tcW w:w="122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053"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≤0.000 005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4" w:type="dxa"/>
            <w:vAlign w:val="center"/>
          </w:tcPr>
          <w:p>
            <w:pPr>
              <w:jc w:val="center"/>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企业D</w:t>
            </w:r>
          </w:p>
        </w:tc>
        <w:tc>
          <w:tcPr>
            <w:tcW w:w="122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053" w:type="dxa"/>
            <w:vAlign w:val="center"/>
          </w:tcPr>
          <w:p>
            <w:pPr>
              <w:jc w:val="center"/>
              <w:rPr>
                <w:rFonts w:hint="default" w:ascii="Times New Roman" w:hAnsi="Times New Roman" w:eastAsia="宋体" w:cs="Times New Roman"/>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44"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企业</w:t>
            </w:r>
            <w:r>
              <w:rPr>
                <w:rFonts w:hint="eastAsia" w:ascii="Times New Roman" w:hAnsi="Times New Roman" w:eastAsia="宋体" w:cs="Times New Roman"/>
                <w:sz w:val="21"/>
                <w:szCs w:val="21"/>
                <w:vertAlign w:val="baseline"/>
                <w:lang w:val="en-US" w:eastAsia="zh-CN"/>
              </w:rPr>
              <w:t>E</w:t>
            </w:r>
          </w:p>
        </w:tc>
        <w:tc>
          <w:tcPr>
            <w:tcW w:w="1222" w:type="dxa"/>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05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bl>
    <w:p>
      <w:pPr>
        <w:snapToGrid w:val="0"/>
        <w:spacing w:before="156" w:beforeLines="50"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结合镍钴二元素复合氢氧化物生产企业调研数据，确定磁性异物含量基准值≤0.000 005 0%。</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color w:val="000000"/>
          <w:sz w:val="24"/>
          <w:szCs w:val="24"/>
        </w:rPr>
      </w:pPr>
      <w:r>
        <w:rPr>
          <w:rFonts w:hint="eastAsia" w:ascii="Times New Roman" w:hAnsi="Times New Roman" w:eastAsia="宋体" w:cs="Times New Roman"/>
          <w:color w:val="000000"/>
          <w:kern w:val="2"/>
          <w:sz w:val="24"/>
          <w:szCs w:val="24"/>
          <w:lang w:val="en-US" w:eastAsia="zh-CN" w:bidi="ar-SA"/>
        </w:rPr>
        <w:t>9、根据调研镍钴二元素复合氢氧化物生产企业数据反馈，企业生产镍钴二元素复合氢氧化物产品产生废水中的pH、悬浮物、氨氮、钠离子含量、镍离子含量、钴离子含量均符合国家和地方标准，废气中的粉尘、镍及其化合物、钴及其化合物、氨气均满足国家和地方标准；符合REACH要求及RoHS指令限值要求。</w:t>
      </w:r>
    </w:p>
    <w:p>
      <w:pPr>
        <w:snapToGrid w:val="0"/>
        <w:spacing w:before="156" w:beforeLines="50" w:line="360" w:lineRule="auto"/>
        <w:ind w:firstLine="480" w:firstLineChars="200"/>
        <w:rPr>
          <w:rFonts w:hint="default" w:ascii="Times New Roman" w:hAnsi="Times New Roman" w:eastAsia="黑体" w:cs="Times New Roman"/>
          <w:b w:val="0"/>
          <w:bCs/>
          <w:sz w:val="24"/>
          <w:szCs w:val="24"/>
        </w:rPr>
      </w:pPr>
      <w:r>
        <w:rPr>
          <w:rFonts w:ascii="Times New Roman" w:hAnsi="Times New Roman" w:eastAsia="宋体" w:cs="Times New Roman"/>
          <w:color w:val="000000"/>
          <w:sz w:val="24"/>
          <w:szCs w:val="24"/>
        </w:rPr>
        <w:t>标准中其他部分的内容主要参照已</w:t>
      </w:r>
      <w:r>
        <w:rPr>
          <w:rFonts w:hint="eastAsia" w:ascii="Times New Roman" w:hAnsi="Times New Roman" w:eastAsia="宋体" w:cs="Times New Roman"/>
          <w:color w:val="000000"/>
          <w:sz w:val="24"/>
          <w:szCs w:val="24"/>
          <w:lang w:val="en-US" w:eastAsia="zh-CN"/>
        </w:rPr>
        <w:t>发布实施</w:t>
      </w:r>
      <w:r>
        <w:rPr>
          <w:rFonts w:ascii="Times New Roman" w:hAnsi="Times New Roman" w:eastAsia="宋体" w:cs="Times New Roman"/>
          <w:color w:val="000000"/>
          <w:sz w:val="24"/>
          <w:szCs w:val="24"/>
        </w:rPr>
        <w:t>的中国有色金属工业协会团体标准</w:t>
      </w:r>
      <w:r>
        <w:rPr>
          <w:rFonts w:hint="eastAsia" w:ascii="Times New Roman" w:hAnsi="Times New Roman" w:eastAsia="宋体" w:cs="Times New Roman"/>
          <w:color w:val="000000"/>
          <w:sz w:val="24"/>
          <w:szCs w:val="24"/>
        </w:rPr>
        <w:t>《绿色设计产品评价技术规范 镍钴锰酸锂》、《绿色设计产品评价技术规范 镍钴锰氢氧化物》，</w:t>
      </w:r>
      <w:r>
        <w:rPr>
          <w:rFonts w:hint="eastAsia" w:ascii="Times New Roman" w:hAnsi="Times New Roman" w:eastAsia="宋体" w:cs="Times New Roman"/>
          <w:color w:val="000000"/>
          <w:sz w:val="24"/>
          <w:szCs w:val="24"/>
          <w:lang w:val="en-US" w:eastAsia="zh-CN"/>
        </w:rPr>
        <w:t>以及报批的</w:t>
      </w:r>
      <w:r>
        <w:rPr>
          <w:rFonts w:ascii="Times New Roman" w:hAnsi="Times New Roman" w:eastAsia="宋体" w:cs="Times New Roman"/>
          <w:color w:val="000000"/>
          <w:sz w:val="24"/>
          <w:szCs w:val="24"/>
        </w:rPr>
        <w:t>中国有色金属工业协会团体标准</w:t>
      </w:r>
      <w:r>
        <w:rPr>
          <w:rFonts w:hint="eastAsia" w:ascii="Times New Roman" w:hAnsi="Times New Roman" w:eastAsia="宋体" w:cs="Times New Roman"/>
          <w:color w:val="000000"/>
          <w:sz w:val="24"/>
          <w:szCs w:val="24"/>
        </w:rPr>
        <w:t>《绿色设计产品评价技术规范 镍钴</w:t>
      </w:r>
      <w:r>
        <w:rPr>
          <w:rFonts w:hint="eastAsia" w:ascii="Times New Roman" w:hAnsi="Times New Roman" w:eastAsia="宋体" w:cs="Times New Roman"/>
          <w:color w:val="000000"/>
          <w:sz w:val="24"/>
          <w:szCs w:val="24"/>
          <w:lang w:val="en-US" w:eastAsia="zh-CN"/>
        </w:rPr>
        <w:t>铝</w:t>
      </w:r>
      <w:r>
        <w:rPr>
          <w:rFonts w:hint="eastAsia" w:ascii="Times New Roman" w:hAnsi="Times New Roman" w:eastAsia="宋体" w:cs="Times New Roman"/>
          <w:color w:val="000000"/>
          <w:sz w:val="24"/>
          <w:szCs w:val="24"/>
        </w:rPr>
        <w:t>酸锂》、《绿色设计产品评价技术规范 镍钴</w:t>
      </w:r>
      <w:r>
        <w:rPr>
          <w:rFonts w:hint="eastAsia" w:ascii="Times New Roman" w:hAnsi="Times New Roman" w:eastAsia="宋体" w:cs="Times New Roman"/>
          <w:color w:val="000000"/>
          <w:sz w:val="24"/>
          <w:szCs w:val="24"/>
          <w:lang w:val="en-US" w:eastAsia="zh-CN"/>
        </w:rPr>
        <w:t>铝</w:t>
      </w:r>
      <w:r>
        <w:rPr>
          <w:rFonts w:hint="eastAsia" w:ascii="Times New Roman" w:hAnsi="Times New Roman" w:eastAsia="宋体" w:cs="Times New Roman"/>
          <w:color w:val="000000"/>
          <w:sz w:val="24"/>
          <w:szCs w:val="24"/>
        </w:rPr>
        <w:t>氢氧化物》</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rPr>
        <w:t>根据</w:t>
      </w:r>
      <w:r>
        <w:rPr>
          <w:rFonts w:hint="eastAsia" w:ascii="Times New Roman" w:hAnsi="Times New Roman" w:eastAsia="宋体" w:cs="Times New Roman"/>
          <w:kern w:val="0"/>
          <w:sz w:val="24"/>
          <w:szCs w:val="24"/>
          <w:lang w:val="en-US" w:eastAsia="zh-CN" w:bidi="ar"/>
        </w:rPr>
        <w:t>镍钴二元素复合氢氧化物</w:t>
      </w:r>
      <w:r>
        <w:rPr>
          <w:rFonts w:hint="eastAsia" w:ascii="Times New Roman" w:hAnsi="Times New Roman" w:eastAsia="宋体" w:cs="Times New Roman"/>
          <w:color w:val="000000"/>
          <w:sz w:val="24"/>
          <w:szCs w:val="24"/>
        </w:rPr>
        <w:t>产品和</w:t>
      </w:r>
      <w:r>
        <w:rPr>
          <w:rFonts w:ascii="Times New Roman" w:hAnsi="Times New Roman" w:eastAsia="宋体" w:cs="Times New Roman"/>
          <w:color w:val="000000"/>
          <w:sz w:val="24"/>
          <w:szCs w:val="24"/>
        </w:rPr>
        <w:t>生产工艺的特点进行相应修改。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四、采用国际标准和国外先进标准的程度</w:t>
      </w:r>
    </w:p>
    <w:p>
      <w:pPr>
        <w:snapToGrid w:val="0"/>
        <w:spacing w:line="360" w:lineRule="auto"/>
        <w:ind w:firstLine="480" w:firstLineChars="200"/>
        <w:rPr>
          <w:rFonts w:ascii="Times New Roman" w:hAnsi="Times New Roman" w:eastAsia="宋体" w:cs="Times New Roman"/>
          <w:color w:val="000000"/>
          <w:sz w:val="24"/>
          <w:szCs w:val="24"/>
        </w:rPr>
      </w:pPr>
      <w:r>
        <w:rPr>
          <w:rFonts w:hint="default" w:ascii="Times New Roman" w:hAnsi="Times New Roman" w:eastAsia="宋体" w:cs="Times New Roman"/>
          <w:sz w:val="24"/>
          <w:szCs w:val="24"/>
        </w:rPr>
        <w:t>没有查找到国内</w:t>
      </w:r>
      <w:r>
        <w:rPr>
          <w:rFonts w:hint="default" w:ascii="Times New Roman" w:hAnsi="Times New Roman" w:cs="Times New Roman" w:eastAsiaTheme="minorEastAsia"/>
          <w:kern w:val="2"/>
          <w:sz w:val="24"/>
          <w:szCs w:val="22"/>
          <w:lang w:val="en-US" w:eastAsia="zh-CN" w:bidi="ar-SA"/>
        </w:rPr>
        <w:t>外</w:t>
      </w:r>
      <w:r>
        <w:rPr>
          <w:rFonts w:hint="eastAsia" w:ascii="Times New Roman" w:hAnsi="Times New Roman" w:cs="Times New Roman" w:eastAsiaTheme="minorEastAsia"/>
          <w:kern w:val="2"/>
          <w:sz w:val="24"/>
          <w:szCs w:val="22"/>
          <w:lang w:val="en-US" w:eastAsia="zh-CN" w:bidi="ar-SA"/>
        </w:rPr>
        <w:t>镍钴二元素复合氢氧化物绿色设计产品评价技术规范</w:t>
      </w:r>
      <w:r>
        <w:rPr>
          <w:rFonts w:hint="default" w:ascii="Times New Roman" w:hAnsi="Times New Roman" w:eastAsia="宋体" w:cs="Times New Roman"/>
          <w:sz w:val="24"/>
          <w:szCs w:val="24"/>
        </w:rPr>
        <w:t>的相关标准，故没有相应的国内外标准可采用。</w:t>
      </w:r>
    </w:p>
    <w:p>
      <w:pPr>
        <w:autoSpaceDE w:val="0"/>
        <w:autoSpaceDN w:val="0"/>
        <w:snapToGrid w:val="0"/>
        <w:spacing w:line="360" w:lineRule="auto"/>
        <w:ind w:firstLine="480" w:firstLineChars="200"/>
        <w:jc w:val="left"/>
        <w:rPr>
          <w:rFonts w:hint="default" w:ascii="Times New Roman" w:hAnsi="Times New Roman" w:eastAsia="宋体" w:cs="Times New Roman"/>
          <w:sz w:val="24"/>
          <w:szCs w:val="24"/>
        </w:rPr>
      </w:pPr>
      <w:r>
        <w:rPr>
          <w:rFonts w:ascii="Times New Roman" w:hAnsi="Times New Roman" w:eastAsia="宋体" w:cs="Times New Roman"/>
          <w:color w:val="000000"/>
          <w:sz w:val="24"/>
          <w:szCs w:val="24"/>
        </w:rPr>
        <w:t>本标准主要参考了</w:t>
      </w:r>
      <w:r>
        <w:rPr>
          <w:rFonts w:hint="eastAsia" w:ascii="Times New Roman" w:hAnsi="Times New Roman" w:eastAsia="宋体" w:cs="Times New Roman"/>
          <w:color w:val="000000"/>
          <w:sz w:val="24"/>
          <w:szCs w:val="24"/>
        </w:rPr>
        <w:t>《绿色设计产品评价技术规范 镍钴锰酸锂》、《绿色设计产品评价技术规范 镍钴锰氢氧化物》、《绿色设计产品评价技术规范 镍钴</w:t>
      </w:r>
      <w:r>
        <w:rPr>
          <w:rFonts w:hint="eastAsia" w:ascii="Times New Roman" w:hAnsi="Times New Roman" w:eastAsia="宋体" w:cs="Times New Roman"/>
          <w:color w:val="000000"/>
          <w:sz w:val="24"/>
          <w:szCs w:val="24"/>
          <w:lang w:val="en-US" w:eastAsia="zh-CN"/>
        </w:rPr>
        <w:t>铝</w:t>
      </w:r>
      <w:r>
        <w:rPr>
          <w:rFonts w:hint="eastAsia" w:ascii="Times New Roman" w:hAnsi="Times New Roman" w:eastAsia="宋体" w:cs="Times New Roman"/>
          <w:color w:val="000000"/>
          <w:sz w:val="24"/>
          <w:szCs w:val="24"/>
        </w:rPr>
        <w:t>酸锂》、《绿色设计产品评价技术规范 镍钴</w:t>
      </w:r>
      <w:r>
        <w:rPr>
          <w:rFonts w:hint="eastAsia" w:ascii="Times New Roman" w:hAnsi="Times New Roman" w:eastAsia="宋体" w:cs="Times New Roman"/>
          <w:color w:val="000000"/>
          <w:sz w:val="24"/>
          <w:szCs w:val="24"/>
          <w:lang w:val="en-US" w:eastAsia="zh-CN"/>
        </w:rPr>
        <w:t>铝</w:t>
      </w:r>
      <w:r>
        <w:rPr>
          <w:rFonts w:hint="eastAsia" w:ascii="Times New Roman" w:hAnsi="Times New Roman" w:eastAsia="宋体" w:cs="Times New Roman"/>
          <w:color w:val="000000"/>
          <w:sz w:val="24"/>
          <w:szCs w:val="24"/>
        </w:rPr>
        <w:t>氢氧化物》、GB/T 32161《生态设计产品评价通则》、</w:t>
      </w:r>
      <w:r>
        <w:rPr>
          <w:rFonts w:ascii="Times New Roman" w:hAnsi="Times New Roman" w:eastAsia="宋体" w:cs="Times New Roman"/>
          <w:color w:val="000000"/>
          <w:sz w:val="24"/>
          <w:szCs w:val="24"/>
        </w:rPr>
        <w:t>GB/T 12348《工业企业厂界环境噪声排放标准》、GB/T 17167《用能单位能源计量器具配备和管理通则》、GB 18597《危险废物贮存污染控制标准》、GB/T 19001《质量管理体系 要求》、GB/T 23331《能源管理体系 要求》、GB/T 24001《环境管理体系 要求及使用指南》、GB/T 24040《环境管理 生命周期评价 原则与框架》、GB/T 24044《环境管理 生命周期评价 要求与指南》、、GB/T 28001《职业健康安全管理体系 规范》、GB/T 33000《企业安全生产标准化基本规范》。编制内容以GB/T 33761《绿色产品评价通则》为基本框架，参照已发布的绿色产品评价相关的国家、行业及团体标准。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宋体" w:cs="Times New Roman"/>
          <w:b/>
          <w:sz w:val="24"/>
          <w:szCs w:val="28"/>
        </w:rPr>
      </w:pPr>
      <w:r>
        <w:rPr>
          <w:rFonts w:hint="default" w:ascii="Times New Roman" w:hAnsi="Times New Roman" w:eastAsia="黑体" w:cs="Times New Roman"/>
          <w:b w:val="0"/>
          <w:bCs/>
          <w:sz w:val="24"/>
          <w:szCs w:val="28"/>
        </w:rPr>
        <w:t>五、与有关的现行法律、法规和强制性国家标准及相关标准协调配套情况</w:t>
      </w:r>
    </w:p>
    <w:p>
      <w:pPr>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本标准与相关法律、法规、规章及相关标准协调一致，没有冲突。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六、重大分歧意见的出来经过和依据</w:t>
      </w:r>
    </w:p>
    <w:p>
      <w:pPr>
        <w:spacing w:line="360" w:lineRule="auto"/>
        <w:ind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无</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七、标准作为强制性或推荐性标准的建议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建议该标准作为</w:t>
      </w:r>
      <w:r>
        <w:rPr>
          <w:rFonts w:hint="eastAsia" w:ascii="Times New Roman" w:hAnsi="Times New Roman" w:eastAsia="宋体" w:cs="Times New Roman"/>
          <w:sz w:val="24"/>
          <w:szCs w:val="24"/>
          <w:lang w:val="en-US" w:eastAsia="zh-CN"/>
        </w:rPr>
        <w:t>团体标准发布实施</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八、贯彻标准的要求和措施建议，包括（组织措施、技术措施、过渡办法）</w:t>
      </w:r>
    </w:p>
    <w:p>
      <w:pPr>
        <w:spacing w:line="360" w:lineRule="auto"/>
        <w:ind w:firstLine="480"/>
        <w:rPr>
          <w:rFonts w:hint="default" w:ascii="Times New Roman" w:hAnsi="Times New Roman" w:eastAsia="宋体" w:cs="Times New Roman"/>
          <w:sz w:val="22"/>
          <w:szCs w:val="28"/>
        </w:rPr>
      </w:pPr>
      <w:r>
        <w:rPr>
          <w:rFonts w:hint="default" w:ascii="Times New Roman" w:hAnsi="Times New Roman" w:eastAsia="宋体" w:cs="Times New Roman"/>
          <w:sz w:val="24"/>
          <w:szCs w:val="24"/>
        </w:rPr>
        <w:t>由于本标准首次制定，没有特殊要求。</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九、废止现有有关标准的建议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default" w:ascii="Times New Roman" w:hAnsi="Times New Roman" w:eastAsia="黑体" w:cs="Times New Roman"/>
          <w:b w:val="0"/>
          <w:bCs/>
          <w:sz w:val="24"/>
          <w:szCs w:val="28"/>
        </w:rPr>
      </w:pPr>
      <w:r>
        <w:rPr>
          <w:rFonts w:hint="default" w:ascii="Times New Roman" w:hAnsi="Times New Roman" w:eastAsia="黑体" w:cs="Times New Roman"/>
          <w:b w:val="0"/>
          <w:bCs/>
          <w:sz w:val="24"/>
          <w:szCs w:val="28"/>
        </w:rPr>
        <w:t>十、其他应予说明的事项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sz w:val="24"/>
          <w:szCs w:val="28"/>
        </w:rPr>
      </w:pPr>
    </w:p>
    <w:p>
      <w:pPr>
        <w:spacing w:line="360" w:lineRule="auto"/>
        <w:ind w:firstLine="2160" w:firstLineChars="9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w:t>
      </w:r>
      <w:r>
        <w:rPr>
          <w:rFonts w:hint="eastAsia" w:ascii="Times New Roman" w:hAnsi="Times New Roman" w:cs="Times New Roman"/>
          <w:color w:val="000000"/>
          <w:sz w:val="24"/>
          <w:szCs w:val="24"/>
        </w:rPr>
        <w:t xml:space="preserve">绿色设计产品评价技术规范 </w:t>
      </w:r>
      <w:r>
        <w:rPr>
          <w:rFonts w:hint="eastAsia" w:ascii="Times New Roman" w:hAnsi="Times New Roman" w:eastAsia="宋体" w:cs="Times New Roman"/>
          <w:kern w:val="0"/>
          <w:sz w:val="24"/>
          <w:szCs w:val="24"/>
          <w:lang w:val="en-US" w:eastAsia="zh-CN" w:bidi="ar"/>
        </w:rPr>
        <w:t>镍钴二元素复合氢氧化物</w:t>
      </w:r>
      <w:r>
        <w:rPr>
          <w:rFonts w:hint="default" w:ascii="Times New Roman" w:hAnsi="Times New Roman" w:eastAsia="宋体" w:cs="Times New Roman"/>
          <w:sz w:val="24"/>
          <w:szCs w:val="28"/>
        </w:rPr>
        <w:t>》</w:t>
      </w:r>
    </w:p>
    <w:p>
      <w:pPr>
        <w:spacing w:line="360" w:lineRule="auto"/>
        <w:ind w:firstLine="4560" w:firstLineChars="19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标准编制组</w:t>
      </w:r>
    </w:p>
    <w:p>
      <w:pPr>
        <w:spacing w:line="360" w:lineRule="auto"/>
        <w:ind w:firstLine="48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 xml:space="preserve">                                  20</w:t>
      </w:r>
      <w:r>
        <w:rPr>
          <w:rFonts w:hint="default" w:ascii="Times New Roman" w:hAnsi="Times New Roman" w:eastAsia="宋体" w:cs="Times New Roman"/>
          <w:sz w:val="24"/>
          <w:szCs w:val="28"/>
          <w:lang w:val="en-US" w:eastAsia="zh-CN"/>
        </w:rPr>
        <w:t>2</w:t>
      </w:r>
      <w:r>
        <w:rPr>
          <w:rFonts w:hint="eastAsia" w:ascii="Times New Roman" w:hAnsi="Times New Roman" w:eastAsia="宋体" w:cs="Times New Roman"/>
          <w:sz w:val="24"/>
          <w:szCs w:val="28"/>
          <w:lang w:val="en-US" w:eastAsia="zh-CN"/>
        </w:rPr>
        <w:t>2</w:t>
      </w:r>
      <w:r>
        <w:rPr>
          <w:rFonts w:hint="default" w:ascii="Times New Roman" w:hAnsi="Times New Roman" w:eastAsia="宋体" w:cs="Times New Roman"/>
          <w:sz w:val="24"/>
          <w:szCs w:val="28"/>
        </w:rPr>
        <w:t>年</w:t>
      </w:r>
      <w:r>
        <w:rPr>
          <w:rFonts w:hint="eastAsia" w:ascii="Times New Roman" w:hAnsi="Times New Roman" w:eastAsia="宋体" w:cs="Times New Roman"/>
          <w:sz w:val="24"/>
          <w:szCs w:val="28"/>
          <w:lang w:val="en-US" w:eastAsia="zh-CN"/>
        </w:rPr>
        <w:t>3</w:t>
      </w:r>
      <w:r>
        <w:rPr>
          <w:rFonts w:hint="default" w:ascii="Times New Roman" w:hAnsi="Times New Roman" w:eastAsia="宋体" w:cs="Times New Roman"/>
          <w:sz w:val="24"/>
          <w:szCs w:val="28"/>
        </w:rPr>
        <w:t>月</w:t>
      </w: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rPr>
      </w:pPr>
    </w:p>
    <w:p>
      <w:pPr>
        <w:pStyle w:val="2"/>
        <w:rPr>
          <w:rFonts w:hint="default" w:ascii="Times New Roman" w:hAnsi="Times New Roman" w:eastAsia="宋体" w:cs="Times New Roman"/>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Times New Roman" w:hAnsi="Times New Roman" w:eastAsia="黑体" w:cs="Times New Roman"/>
          <w:b w:val="0"/>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New Roman" w:hAnsi="Times New Roman" w:eastAsia="黑体" w:cs="Times New Roman"/>
          <w:b w:val="0"/>
          <w:bCs/>
          <w:sz w:val="24"/>
          <w:szCs w:val="24"/>
        </w:rPr>
      </w:pPr>
    </w:p>
    <w:p>
      <w:pPr>
        <w:pStyle w:val="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kern w:val="0"/>
          <w:sz w:val="32"/>
          <w:szCs w:val="21"/>
        </w:rPr>
      </w:pPr>
      <w:r>
        <w:rPr>
          <w:rFonts w:hint="eastAsia" w:ascii="黑体" w:hAnsi="黑体" w:eastAsia="黑体" w:cs="Times New Roman"/>
          <w:kern w:val="0"/>
          <w:sz w:val="32"/>
          <w:szCs w:val="21"/>
        </w:rPr>
        <w:t>标准</w:t>
      </w:r>
      <w:r>
        <w:rPr>
          <w:rFonts w:hint="eastAsia" w:ascii="黑体" w:hAnsi="黑体" w:eastAsia="黑体" w:cs="Times New Roman"/>
          <w:kern w:val="0"/>
          <w:sz w:val="32"/>
          <w:szCs w:val="21"/>
          <w:lang w:eastAsia="zh-CN"/>
        </w:rPr>
        <w:t>征求意见</w:t>
      </w:r>
      <w:r>
        <w:rPr>
          <w:rFonts w:hint="eastAsia" w:ascii="黑体" w:hAnsi="黑体" w:eastAsia="黑体" w:cs="Times New Roman"/>
          <w:kern w:val="0"/>
          <w:sz w:val="32"/>
          <w:szCs w:val="21"/>
        </w:rPr>
        <w:t>稿意见汇总</w:t>
      </w:r>
      <w:r>
        <w:rPr>
          <w:rFonts w:hint="eastAsia" w:ascii="黑体" w:hAnsi="黑体" w:eastAsia="黑体" w:cs="Times New Roman"/>
          <w:kern w:val="0"/>
          <w:sz w:val="32"/>
          <w:szCs w:val="21"/>
          <w:lang w:val="en-US" w:eastAsia="zh-CN"/>
        </w:rPr>
        <w:t>处理</w:t>
      </w:r>
      <w:r>
        <w:rPr>
          <w:rFonts w:hint="eastAsia" w:ascii="黑体" w:hAnsi="黑体" w:eastAsia="黑体" w:cs="Times New Roman"/>
          <w:kern w:val="0"/>
          <w:sz w:val="32"/>
          <w:szCs w:val="21"/>
        </w:rPr>
        <w:t>表</w:t>
      </w:r>
    </w:p>
    <w:p>
      <w:pPr>
        <w:pStyle w:val="6"/>
        <w:widowControl/>
        <w:spacing w:line="240" w:lineRule="auto"/>
        <w:ind w:left="-617" w:leftChars="-294" w:firstLine="417" w:firstLineChars="199"/>
        <w:rPr>
          <w:rFonts w:hint="eastAsia" w:ascii="宋体" w:hAnsi="宋体" w:eastAsia="宋体" w:cs="宋体"/>
          <w:kern w:val="0"/>
          <w:sz w:val="21"/>
          <w:szCs w:val="21"/>
        </w:rPr>
      </w:pPr>
      <w:r>
        <w:rPr>
          <w:rFonts w:hint="eastAsia" w:ascii="宋体" w:hAnsi="宋体" w:eastAsia="宋体" w:cs="宋体"/>
          <w:kern w:val="0"/>
          <w:sz w:val="21"/>
          <w:szCs w:val="21"/>
        </w:rPr>
        <w:t>标准</w:t>
      </w:r>
      <w:r>
        <w:rPr>
          <w:rFonts w:hint="eastAsia" w:ascii="宋体" w:hAnsi="宋体" w:eastAsia="宋体" w:cs="宋体"/>
          <w:kern w:val="0"/>
          <w:sz w:val="21"/>
          <w:szCs w:val="21"/>
          <w:lang w:val="en-US" w:eastAsia="zh-CN"/>
        </w:rPr>
        <w:t>项目</w:t>
      </w:r>
      <w:r>
        <w:rPr>
          <w:rFonts w:hint="eastAsia" w:ascii="宋体" w:hAnsi="宋体" w:eastAsia="宋体" w:cs="宋体"/>
          <w:kern w:val="0"/>
          <w:sz w:val="21"/>
          <w:szCs w:val="21"/>
        </w:rPr>
        <w:t>名称：绿色设计产品评价技术规范</w:t>
      </w:r>
      <w:r>
        <w:rPr>
          <w:rFonts w:hint="eastAsia" w:ascii="宋体" w:hAnsi="宋体" w:cs="宋体"/>
          <w:kern w:val="0"/>
          <w:sz w:val="21"/>
          <w:szCs w:val="21"/>
          <w:lang w:val="en-US" w:eastAsia="zh-CN"/>
        </w:rPr>
        <w:t xml:space="preserve"> 镍钴二元素复合氢氧化物</w:t>
      </w:r>
      <w:r>
        <w:rPr>
          <w:rFonts w:hint="eastAsia" w:ascii="宋体" w:hAnsi="宋体" w:eastAsia="宋体" w:cs="宋体"/>
          <w:kern w:val="0"/>
          <w:sz w:val="21"/>
          <w:szCs w:val="21"/>
        </w:rPr>
        <w:t xml:space="preserve"> 承办人：</w:t>
      </w:r>
      <w:r>
        <w:rPr>
          <w:rFonts w:hint="eastAsia" w:ascii="宋体" w:hAnsi="宋体" w:eastAsia="宋体" w:cs="宋体"/>
          <w:kern w:val="0"/>
          <w:sz w:val="21"/>
          <w:szCs w:val="21"/>
          <w:lang w:val="en-US" w:eastAsia="zh-CN"/>
        </w:rPr>
        <w:t>刘玮</w:t>
      </w:r>
      <w:r>
        <w:rPr>
          <w:rFonts w:hint="eastAsia" w:ascii="宋体" w:hAnsi="宋体" w:eastAsia="宋体" w:cs="宋体"/>
          <w:kern w:val="0"/>
          <w:sz w:val="21"/>
          <w:szCs w:val="21"/>
        </w:rPr>
        <w:t xml:space="preserve"> 共</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页 第1页</w:t>
      </w:r>
    </w:p>
    <w:p>
      <w:pPr>
        <w:pStyle w:val="6"/>
        <w:widowControl/>
        <w:spacing w:line="240" w:lineRule="auto"/>
        <w:ind w:left="-617" w:leftChars="-294" w:firstLine="417" w:firstLineChars="199"/>
        <w:rPr>
          <w:rFonts w:hint="eastAsia" w:ascii="宋体" w:hAnsi="宋体" w:eastAsia="宋体" w:cs="宋体"/>
          <w:kern w:val="0"/>
          <w:sz w:val="21"/>
          <w:szCs w:val="21"/>
        </w:rPr>
      </w:pPr>
      <w:r>
        <w:rPr>
          <w:rFonts w:hint="eastAsia" w:ascii="宋体" w:hAnsi="宋体" w:eastAsia="宋体" w:cs="宋体"/>
          <w:kern w:val="0"/>
          <w:sz w:val="21"/>
          <w:szCs w:val="21"/>
        </w:rPr>
        <w:t>标准负责起草单位：</w:t>
      </w:r>
      <w:r>
        <w:rPr>
          <w:rFonts w:hint="eastAsia" w:ascii="宋体" w:hAnsi="宋体" w:cs="宋体"/>
          <w:kern w:val="0"/>
          <w:sz w:val="21"/>
          <w:szCs w:val="21"/>
          <w:lang w:val="en-US" w:eastAsia="zh-CN"/>
        </w:rPr>
        <w:t>湖南长远锂科股份</w:t>
      </w:r>
      <w:r>
        <w:rPr>
          <w:rFonts w:hint="eastAsia" w:ascii="宋体" w:hAnsi="宋体" w:eastAsia="宋体" w:cs="宋体"/>
          <w:kern w:val="0"/>
          <w:sz w:val="21"/>
          <w:szCs w:val="21"/>
          <w:lang w:eastAsia="zh-CN"/>
        </w:rPr>
        <w:t>有限公司</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电话：</w:t>
      </w:r>
      <w:r>
        <w:rPr>
          <w:rFonts w:hint="eastAsia" w:ascii="宋体" w:hAnsi="宋体" w:eastAsia="宋体" w:cs="宋体"/>
          <w:kern w:val="0"/>
          <w:sz w:val="21"/>
          <w:szCs w:val="21"/>
          <w:lang w:val="en-US" w:eastAsia="zh-CN"/>
        </w:rPr>
        <w:t xml:space="preserve">18874837040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202</w:t>
      </w:r>
      <w:r>
        <w:rPr>
          <w:rFonts w:hint="eastAsia" w:ascii="宋体" w:hAnsi="宋体" w:cs="宋体"/>
          <w:kern w:val="0"/>
          <w:sz w:val="21"/>
          <w:szCs w:val="21"/>
          <w:lang w:val="en-US" w:eastAsia="zh-CN"/>
        </w:rPr>
        <w:t>2</w:t>
      </w:r>
      <w:r>
        <w:rPr>
          <w:rFonts w:hint="eastAsia" w:ascii="宋体" w:hAnsi="宋体" w:eastAsia="宋体" w:cs="宋体"/>
          <w:kern w:val="0"/>
          <w:sz w:val="21"/>
          <w:szCs w:val="21"/>
        </w:rPr>
        <w:t>年</w:t>
      </w:r>
      <w:r>
        <w:rPr>
          <w:rFonts w:hint="eastAsia" w:ascii="宋体" w:hAnsi="宋体" w:cs="宋体"/>
          <w:kern w:val="0"/>
          <w:sz w:val="21"/>
          <w:szCs w:val="21"/>
          <w:lang w:val="en-US" w:eastAsia="zh-CN"/>
        </w:rPr>
        <w:t>1</w:t>
      </w:r>
      <w:r>
        <w:rPr>
          <w:rFonts w:hint="eastAsia" w:ascii="宋体" w:hAnsi="宋体" w:eastAsia="宋体" w:cs="宋体"/>
          <w:kern w:val="0"/>
          <w:sz w:val="21"/>
          <w:szCs w:val="21"/>
        </w:rPr>
        <w:t>月</w:t>
      </w:r>
      <w:r>
        <w:rPr>
          <w:rFonts w:hint="eastAsia" w:ascii="宋体" w:hAnsi="宋体" w:cs="宋体"/>
          <w:kern w:val="0"/>
          <w:sz w:val="21"/>
          <w:szCs w:val="21"/>
          <w:lang w:val="en-US" w:eastAsia="zh-CN"/>
        </w:rPr>
        <w:t>5</w:t>
      </w:r>
      <w:r>
        <w:rPr>
          <w:rFonts w:hint="eastAsia" w:ascii="宋体" w:hAnsi="宋体" w:eastAsia="宋体" w:cs="宋体"/>
          <w:kern w:val="0"/>
          <w:sz w:val="21"/>
          <w:szCs w:val="21"/>
        </w:rPr>
        <w:t>日填写</w:t>
      </w:r>
    </w:p>
    <w:tbl>
      <w:tblPr>
        <w:tblStyle w:val="9"/>
        <w:tblW w:w="9159" w:type="dxa"/>
        <w:jc w:val="center"/>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16"/>
        <w:gridCol w:w="2950"/>
        <w:gridCol w:w="2384"/>
        <w:gridCol w:w="161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标准章</w:t>
            </w:r>
          </w:p>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条编号</w:t>
            </w:r>
          </w:p>
        </w:tc>
        <w:tc>
          <w:tcPr>
            <w:tcW w:w="2950"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意见内容</w:t>
            </w:r>
          </w:p>
        </w:tc>
        <w:tc>
          <w:tcPr>
            <w:tcW w:w="238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提出单位</w:t>
            </w:r>
          </w:p>
        </w:tc>
        <w:tc>
          <w:tcPr>
            <w:tcW w:w="1613"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处理意见</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删除规范性引用文件中的“危险化学品安全管理条例”等三项文件</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全国有色金属标准化技术委员会</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4.2</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补充完善表1内容</w:t>
            </w:r>
          </w:p>
        </w:tc>
        <w:tc>
          <w:tcPr>
            <w:tcW w:w="2384" w:type="dxa"/>
            <w:noWrap w:val="0"/>
            <w:vAlign w:val="center"/>
          </w:tcPr>
          <w:p>
            <w:pPr>
              <w:widowControl w:val="0"/>
              <w:spacing w:line="240" w:lineRule="auto"/>
              <w:ind w:firstLine="0" w:firstLineChars="0"/>
              <w:jc w:val="both"/>
              <w:rPr>
                <w:rFonts w:hint="default" w:ascii="Times New Roman" w:hAnsi="Times New Roman" w:eastAsia="宋体" w:cs="Times New Roman"/>
                <w:kern w:val="2"/>
                <w:sz w:val="21"/>
                <w:szCs w:val="21"/>
                <w:lang w:val="en-US" w:eastAsia="zh-CN"/>
              </w:rPr>
            </w:pPr>
            <w:r>
              <w:rPr>
                <w:rFonts w:hint="eastAsia" w:ascii="宋体" w:hAnsi="宋体" w:eastAsia="宋体" w:cs="宋体"/>
                <w:kern w:val="2"/>
                <w:sz w:val="21"/>
                <w:szCs w:val="21"/>
                <w:lang w:val="en-US" w:eastAsia="zh-CN"/>
              </w:rPr>
              <w:t>株洲硬质合金集团有限公司</w:t>
            </w:r>
          </w:p>
        </w:tc>
        <w:tc>
          <w:tcPr>
            <w:tcW w:w="1613" w:type="dxa"/>
            <w:noWrap w:val="0"/>
            <w:vAlign w:val="center"/>
          </w:tcPr>
          <w:p>
            <w:pPr>
              <w:widowControl w:val="0"/>
              <w:spacing w:line="240" w:lineRule="auto"/>
              <w:ind w:firstLine="0" w:firstLineChars="0"/>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附录A</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根据球形氢氧化镍生产工序，修改图A.1系统边界图</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江西省锂电产品质量监督检验中心</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4"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附录A</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表A.1、表A.2、表A.3结合球形氢氧化镍产品特点进行修改完善</w:t>
            </w:r>
          </w:p>
        </w:tc>
        <w:tc>
          <w:tcPr>
            <w:tcW w:w="2384" w:type="dxa"/>
            <w:noWrap w:val="0"/>
            <w:vAlign w:val="center"/>
          </w:tcPr>
          <w:p>
            <w:pPr>
              <w:widowControl w:val="0"/>
              <w:spacing w:line="240" w:lineRule="auto"/>
              <w:ind w:firstLine="0" w:firstLineChars="0"/>
              <w:jc w:val="both"/>
              <w:rPr>
                <w:rFonts w:hint="eastAsia" w:ascii="宋体" w:hAnsi="宋体" w:eastAsia="宋体" w:cs="宋体"/>
                <w:kern w:val="2"/>
                <w:sz w:val="21"/>
                <w:szCs w:val="21"/>
              </w:rPr>
            </w:pPr>
            <w:r>
              <w:rPr>
                <w:rFonts w:hint="eastAsia" w:ascii="Times New Roman" w:hAnsi="Times New Roman" w:eastAsia="宋体" w:cs="Times New Roman"/>
                <w:kern w:val="0"/>
                <w:sz w:val="21"/>
                <w:szCs w:val="21"/>
                <w:lang w:val="en-US" w:eastAsia="zh-CN"/>
              </w:rPr>
              <w:t>国标（北京）检验认证有限公司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5</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附录C</w:t>
            </w: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修改完善表C.2内容</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钢铁研究总院</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p>
        </w:tc>
        <w:tc>
          <w:tcPr>
            <w:tcW w:w="2950" w:type="dxa"/>
            <w:noWrap w:val="0"/>
            <w:vAlign w:val="center"/>
          </w:tcPr>
          <w:p>
            <w:pPr>
              <w:widowControl w:val="0"/>
              <w:spacing w:line="240" w:lineRule="auto"/>
              <w:ind w:firstLine="0" w:firstLineChars="0"/>
              <w:jc w:val="both"/>
              <w:rPr>
                <w:rFonts w:hint="default" w:ascii="宋体" w:hAnsi="宋体" w:eastAsia="宋体" w:cs="宋体"/>
                <w:kern w:val="0"/>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Times New Roman" w:hAnsi="Times New Roman" w:eastAsia="宋体" w:cs="Times New Roman"/>
                <w:kern w:val="2"/>
                <w:sz w:val="21"/>
                <w:szCs w:val="21"/>
                <w:lang w:val="en-US" w:eastAsia="zh-CN"/>
              </w:rPr>
              <w:t>矿冶科技集团有限公司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7</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Times New Roman" w:hAnsi="Times New Roman" w:eastAsia="宋体" w:cs="Times New Roman"/>
                <w:kern w:val="2"/>
                <w:sz w:val="21"/>
                <w:szCs w:val="21"/>
                <w:lang w:val="en-US" w:eastAsia="zh-CN"/>
              </w:rPr>
              <w:t>西安泰金工业电化学技术有限公司</w:t>
            </w:r>
          </w:p>
        </w:tc>
        <w:tc>
          <w:tcPr>
            <w:tcW w:w="1613"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8</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西北有色金属研究院</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7"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广东省科学院工业分析检测中心</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采纳</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江苏威拉里新材料科技有限公司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自贡硬质合金有限责任公司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eastAsia" w:ascii="宋体" w:hAnsi="宋体" w:eastAsia="宋体" w:cs="宋体"/>
                <w:kern w:val="0"/>
                <w:sz w:val="21"/>
                <w:szCs w:val="21"/>
                <w:lang w:val="en-US" w:eastAsia="zh-CN"/>
              </w:rPr>
            </w:pPr>
          </w:p>
        </w:tc>
      </w:tr>
    </w:tbl>
    <w:p>
      <w:pPr>
        <w:pStyle w:val="6"/>
        <w:widowControl/>
        <w:spacing w:line="240" w:lineRule="auto"/>
        <w:ind w:left="-617" w:leftChars="-294" w:firstLine="417" w:firstLineChars="199"/>
        <w:rPr>
          <w:rFonts w:hint="eastAsia" w:ascii="宋体" w:hAnsi="宋体" w:eastAsia="宋体" w:cs="宋体"/>
          <w:kern w:val="0"/>
          <w:sz w:val="21"/>
          <w:szCs w:val="21"/>
        </w:rPr>
      </w:pPr>
    </w:p>
    <w:p>
      <w:pPr>
        <w:pStyle w:val="6"/>
        <w:widowControl/>
        <w:spacing w:line="240" w:lineRule="auto"/>
        <w:ind w:left="-617" w:leftChars="-294" w:firstLine="417" w:firstLineChars="199"/>
        <w:rPr>
          <w:rFonts w:hint="eastAsia" w:ascii="宋体" w:hAnsi="宋体" w:eastAsia="宋体" w:cs="宋体"/>
          <w:kern w:val="0"/>
          <w:sz w:val="21"/>
          <w:szCs w:val="21"/>
        </w:rPr>
      </w:pPr>
    </w:p>
    <w:p>
      <w:pPr>
        <w:pStyle w:val="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Times New Roman"/>
          <w:kern w:val="0"/>
          <w:sz w:val="32"/>
          <w:szCs w:val="21"/>
        </w:rPr>
      </w:pPr>
      <w:r>
        <w:rPr>
          <w:rFonts w:hint="eastAsia" w:ascii="黑体" w:hAnsi="黑体" w:eastAsia="黑体" w:cs="Times New Roman"/>
          <w:kern w:val="0"/>
          <w:sz w:val="32"/>
          <w:szCs w:val="21"/>
        </w:rPr>
        <w:t>标准</w:t>
      </w:r>
      <w:r>
        <w:rPr>
          <w:rFonts w:hint="eastAsia" w:ascii="黑体" w:hAnsi="黑体" w:eastAsia="黑体" w:cs="Times New Roman"/>
          <w:kern w:val="0"/>
          <w:sz w:val="32"/>
          <w:szCs w:val="21"/>
          <w:lang w:eastAsia="zh-CN"/>
        </w:rPr>
        <w:t>征求意见</w:t>
      </w:r>
      <w:r>
        <w:rPr>
          <w:rFonts w:hint="eastAsia" w:ascii="黑体" w:hAnsi="黑体" w:eastAsia="黑体" w:cs="Times New Roman"/>
          <w:kern w:val="0"/>
          <w:sz w:val="32"/>
          <w:szCs w:val="21"/>
        </w:rPr>
        <w:t>稿意见汇总</w:t>
      </w:r>
      <w:r>
        <w:rPr>
          <w:rFonts w:hint="eastAsia" w:ascii="黑体" w:hAnsi="黑体" w:eastAsia="黑体" w:cs="Times New Roman"/>
          <w:kern w:val="0"/>
          <w:sz w:val="32"/>
          <w:szCs w:val="21"/>
          <w:lang w:val="en-US" w:eastAsia="zh-CN"/>
        </w:rPr>
        <w:t>处理</w:t>
      </w:r>
      <w:r>
        <w:rPr>
          <w:rFonts w:hint="eastAsia" w:ascii="黑体" w:hAnsi="黑体" w:eastAsia="黑体" w:cs="Times New Roman"/>
          <w:kern w:val="0"/>
          <w:sz w:val="32"/>
          <w:szCs w:val="21"/>
        </w:rPr>
        <w:t>表</w:t>
      </w:r>
    </w:p>
    <w:p>
      <w:pPr>
        <w:pStyle w:val="6"/>
        <w:widowControl/>
        <w:spacing w:line="240" w:lineRule="auto"/>
        <w:ind w:left="-617" w:leftChars="-294" w:firstLine="417" w:firstLineChars="199"/>
        <w:rPr>
          <w:rFonts w:hint="eastAsia" w:ascii="宋体" w:hAnsi="宋体" w:eastAsia="宋体" w:cs="宋体"/>
          <w:kern w:val="0"/>
          <w:sz w:val="21"/>
          <w:szCs w:val="21"/>
        </w:rPr>
      </w:pPr>
      <w:r>
        <w:rPr>
          <w:rFonts w:hint="eastAsia" w:ascii="宋体" w:hAnsi="宋体" w:eastAsia="宋体" w:cs="宋体"/>
          <w:kern w:val="0"/>
          <w:sz w:val="21"/>
          <w:szCs w:val="21"/>
        </w:rPr>
        <w:t>标准</w:t>
      </w:r>
      <w:r>
        <w:rPr>
          <w:rFonts w:hint="eastAsia" w:ascii="宋体" w:hAnsi="宋体" w:eastAsia="宋体" w:cs="宋体"/>
          <w:kern w:val="0"/>
          <w:sz w:val="21"/>
          <w:szCs w:val="21"/>
          <w:lang w:val="en-US" w:eastAsia="zh-CN"/>
        </w:rPr>
        <w:t>项目</w:t>
      </w:r>
      <w:r>
        <w:rPr>
          <w:rFonts w:hint="eastAsia" w:ascii="宋体" w:hAnsi="宋体" w:eastAsia="宋体" w:cs="宋体"/>
          <w:kern w:val="0"/>
          <w:sz w:val="21"/>
          <w:szCs w:val="21"/>
        </w:rPr>
        <w:t>名称：绿色设计产品评价技术规范</w:t>
      </w:r>
      <w:r>
        <w:rPr>
          <w:rFonts w:hint="eastAsia" w:ascii="宋体" w:hAnsi="宋体" w:cs="宋体"/>
          <w:kern w:val="0"/>
          <w:sz w:val="21"/>
          <w:szCs w:val="21"/>
          <w:lang w:val="en-US" w:eastAsia="zh-CN"/>
        </w:rPr>
        <w:t xml:space="preserve"> 镍钴二元素复合氢氧化物</w:t>
      </w:r>
      <w:r>
        <w:rPr>
          <w:rFonts w:hint="eastAsia" w:ascii="宋体" w:hAnsi="宋体" w:eastAsia="宋体" w:cs="宋体"/>
          <w:kern w:val="0"/>
          <w:sz w:val="21"/>
          <w:szCs w:val="21"/>
        </w:rPr>
        <w:t xml:space="preserve"> 承办人：</w:t>
      </w:r>
      <w:r>
        <w:rPr>
          <w:rFonts w:hint="eastAsia" w:ascii="宋体" w:hAnsi="宋体" w:eastAsia="宋体" w:cs="宋体"/>
          <w:kern w:val="0"/>
          <w:sz w:val="21"/>
          <w:szCs w:val="21"/>
          <w:lang w:val="en-US" w:eastAsia="zh-CN"/>
        </w:rPr>
        <w:t xml:space="preserve">刘玮 </w:t>
      </w:r>
      <w:r>
        <w:rPr>
          <w:rFonts w:hint="eastAsia" w:ascii="宋体" w:hAnsi="宋体" w:eastAsia="宋体" w:cs="宋体"/>
          <w:kern w:val="0"/>
          <w:sz w:val="21"/>
          <w:szCs w:val="21"/>
        </w:rPr>
        <w:t>共</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页 第</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页</w:t>
      </w:r>
    </w:p>
    <w:p>
      <w:pPr>
        <w:pStyle w:val="6"/>
        <w:widowControl/>
        <w:spacing w:line="240" w:lineRule="auto"/>
        <w:ind w:left="-617" w:leftChars="-294" w:firstLine="417" w:firstLineChars="199"/>
        <w:rPr>
          <w:rFonts w:hint="eastAsia" w:ascii="宋体" w:hAnsi="宋体" w:eastAsia="宋体" w:cs="宋体"/>
          <w:kern w:val="0"/>
          <w:sz w:val="21"/>
          <w:szCs w:val="21"/>
        </w:rPr>
      </w:pPr>
      <w:r>
        <w:rPr>
          <w:rFonts w:hint="eastAsia" w:ascii="宋体" w:hAnsi="宋体" w:eastAsia="宋体" w:cs="宋体"/>
          <w:kern w:val="0"/>
          <w:sz w:val="21"/>
          <w:szCs w:val="21"/>
        </w:rPr>
        <w:t>标准负责起草单位：</w:t>
      </w:r>
      <w:r>
        <w:rPr>
          <w:rFonts w:hint="eastAsia" w:ascii="宋体" w:hAnsi="宋体" w:cs="宋体"/>
          <w:kern w:val="0"/>
          <w:sz w:val="21"/>
          <w:szCs w:val="21"/>
          <w:lang w:val="en-US" w:eastAsia="zh-CN"/>
        </w:rPr>
        <w:t>湖南长远锂科股份</w:t>
      </w:r>
      <w:r>
        <w:rPr>
          <w:rFonts w:hint="eastAsia" w:ascii="宋体" w:hAnsi="宋体" w:eastAsia="宋体" w:cs="宋体"/>
          <w:kern w:val="0"/>
          <w:sz w:val="21"/>
          <w:szCs w:val="21"/>
          <w:lang w:eastAsia="zh-CN"/>
        </w:rPr>
        <w:t>有限公司</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电话：</w:t>
      </w:r>
      <w:r>
        <w:rPr>
          <w:rFonts w:hint="eastAsia" w:ascii="宋体" w:hAnsi="宋体" w:eastAsia="宋体" w:cs="宋体"/>
          <w:kern w:val="0"/>
          <w:sz w:val="21"/>
          <w:szCs w:val="21"/>
          <w:lang w:val="en-US" w:eastAsia="zh-CN"/>
        </w:rPr>
        <w:t>18874837040</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202</w:t>
      </w:r>
      <w:r>
        <w:rPr>
          <w:rFonts w:hint="eastAsia" w:ascii="宋体" w:hAnsi="宋体" w:cs="宋体"/>
          <w:kern w:val="0"/>
          <w:sz w:val="21"/>
          <w:szCs w:val="21"/>
          <w:lang w:val="en-US" w:eastAsia="zh-CN"/>
        </w:rPr>
        <w:t>2</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月</w:t>
      </w:r>
      <w:r>
        <w:rPr>
          <w:rFonts w:hint="eastAsia" w:ascii="宋体" w:hAnsi="宋体" w:cs="宋体"/>
          <w:kern w:val="0"/>
          <w:sz w:val="21"/>
          <w:szCs w:val="21"/>
          <w:lang w:val="en-US" w:eastAsia="zh-CN"/>
        </w:rPr>
        <w:t>5</w:t>
      </w:r>
      <w:r>
        <w:rPr>
          <w:rFonts w:hint="eastAsia" w:ascii="宋体" w:hAnsi="宋体" w:eastAsia="宋体" w:cs="宋体"/>
          <w:kern w:val="0"/>
          <w:sz w:val="21"/>
          <w:szCs w:val="21"/>
        </w:rPr>
        <w:t>日填写</w:t>
      </w:r>
    </w:p>
    <w:tbl>
      <w:tblPr>
        <w:tblStyle w:val="9"/>
        <w:tblW w:w="9159" w:type="dxa"/>
        <w:jc w:val="center"/>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16"/>
        <w:gridCol w:w="2950"/>
        <w:gridCol w:w="2384"/>
        <w:gridCol w:w="161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9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标准章</w:t>
            </w:r>
          </w:p>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条编号</w:t>
            </w:r>
          </w:p>
        </w:tc>
        <w:tc>
          <w:tcPr>
            <w:tcW w:w="2950"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意见内容</w:t>
            </w:r>
          </w:p>
        </w:tc>
        <w:tc>
          <w:tcPr>
            <w:tcW w:w="2384"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提出单位</w:t>
            </w:r>
          </w:p>
        </w:tc>
        <w:tc>
          <w:tcPr>
            <w:tcW w:w="1613" w:type="dxa"/>
            <w:noWrap w:val="0"/>
            <w:vAlign w:val="center"/>
          </w:tcPr>
          <w:p>
            <w:pPr>
              <w:widowControl w:val="0"/>
              <w:spacing w:line="240" w:lineRule="auto"/>
              <w:ind w:firstLine="0" w:firstLineChars="0"/>
              <w:jc w:val="center"/>
              <w:rPr>
                <w:rFonts w:hint="eastAsia" w:ascii="宋体" w:hAnsi="宋体" w:eastAsia="宋体" w:cs="宋体"/>
                <w:kern w:val="2"/>
                <w:sz w:val="21"/>
                <w:szCs w:val="21"/>
              </w:rPr>
            </w:pPr>
            <w:r>
              <w:rPr>
                <w:rFonts w:hint="eastAsia" w:ascii="宋体" w:hAnsi="宋体" w:eastAsia="宋体" w:cs="宋体"/>
                <w:kern w:val="2"/>
                <w:sz w:val="21"/>
                <w:szCs w:val="21"/>
              </w:rPr>
              <w:t>处理意见</w:t>
            </w:r>
          </w:p>
        </w:tc>
        <w:tc>
          <w:tcPr>
            <w:tcW w:w="702"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12</w:t>
            </w:r>
          </w:p>
        </w:tc>
        <w:tc>
          <w:tcPr>
            <w:tcW w:w="1016" w:type="dxa"/>
            <w:noWrap w:val="0"/>
            <w:vAlign w:val="center"/>
          </w:tcPr>
          <w:p>
            <w:pPr>
              <w:widowControl w:val="0"/>
              <w:spacing w:line="240" w:lineRule="auto"/>
              <w:ind w:firstLine="0" w:firstLineChars="0"/>
              <w:jc w:val="center"/>
              <w:rPr>
                <w:rFonts w:hint="eastAsia" w:ascii="宋体" w:hAnsi="宋体" w:eastAsia="宋体" w:cs="宋体"/>
                <w:kern w:val="2"/>
                <w:sz w:val="21"/>
                <w:szCs w:val="21"/>
                <w:lang w:val="en-US" w:eastAsia="zh-CN"/>
              </w:rPr>
            </w:pPr>
          </w:p>
        </w:tc>
        <w:tc>
          <w:tcPr>
            <w:tcW w:w="2950"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0"/>
                <w:sz w:val="21"/>
                <w:szCs w:val="21"/>
              </w:rPr>
              <w:t>广东佳纳能源科技有限公司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13</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Times New Roman" w:hAnsi="Times New Roman" w:eastAsia="宋体" w:cs="Times New Roman"/>
                <w:kern w:val="2"/>
                <w:sz w:val="21"/>
                <w:szCs w:val="21"/>
                <w:lang w:val="en-US" w:eastAsia="zh-CN"/>
              </w:rPr>
            </w:pPr>
            <w:r>
              <w:rPr>
                <w:rFonts w:hint="eastAsia" w:ascii="宋体" w:hAnsi="宋体" w:eastAsia="宋体" w:cs="宋体"/>
                <w:kern w:val="0"/>
                <w:sz w:val="21"/>
                <w:szCs w:val="21"/>
              </w:rPr>
              <w:t>江西理工大学</w:t>
            </w:r>
          </w:p>
        </w:tc>
        <w:tc>
          <w:tcPr>
            <w:tcW w:w="1613" w:type="dxa"/>
            <w:noWrap w:val="0"/>
            <w:vAlign w:val="center"/>
          </w:tcPr>
          <w:p>
            <w:pPr>
              <w:widowControl w:val="0"/>
              <w:spacing w:line="240" w:lineRule="auto"/>
              <w:ind w:firstLine="0" w:firstLineChars="0"/>
              <w:jc w:val="both"/>
              <w:rPr>
                <w:rFonts w:hint="default" w:ascii="宋体" w:hAnsi="宋体" w:eastAsia="宋体" w:cs="宋体"/>
                <w:kern w:val="0"/>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14</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崇义章源钨业股份有限公司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4"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15</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eastAsia" w:ascii="宋体" w:hAnsi="宋体" w:eastAsia="宋体" w:cs="宋体"/>
                <w:kern w:val="2"/>
                <w:sz w:val="21"/>
                <w:szCs w:val="21"/>
              </w:rPr>
            </w:pPr>
            <w:r>
              <w:rPr>
                <w:rFonts w:hint="eastAsia" w:ascii="宋体" w:hAnsi="宋体" w:eastAsia="宋体" w:cs="宋体"/>
                <w:kern w:val="0"/>
                <w:sz w:val="21"/>
                <w:szCs w:val="21"/>
                <w:lang w:val="en-US" w:eastAsia="zh-CN"/>
              </w:rPr>
              <w:t>清远佳致新材料研究院有限责任公司</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7" w:hRule="exact"/>
          <w:jc w:val="center"/>
        </w:trPr>
        <w:tc>
          <w:tcPr>
            <w:tcW w:w="494"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1016"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p>
        </w:tc>
        <w:tc>
          <w:tcPr>
            <w:tcW w:w="2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回函同意，无意见</w:t>
            </w:r>
          </w:p>
        </w:tc>
        <w:tc>
          <w:tcPr>
            <w:tcW w:w="2384" w:type="dxa"/>
            <w:noWrap w:val="0"/>
            <w:vAlign w:val="center"/>
          </w:tcPr>
          <w:p>
            <w:pPr>
              <w:widowControl w:val="0"/>
              <w:spacing w:line="240" w:lineRule="auto"/>
              <w:ind w:firstLine="0" w:firstLineChars="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中南大学</w:t>
            </w:r>
          </w:p>
        </w:tc>
        <w:tc>
          <w:tcPr>
            <w:tcW w:w="1613" w:type="dxa"/>
            <w:noWrap w:val="0"/>
            <w:vAlign w:val="center"/>
          </w:tcPr>
          <w:p>
            <w:pPr>
              <w:widowControl w:val="0"/>
              <w:spacing w:line="240" w:lineRule="auto"/>
              <w:ind w:firstLine="0" w:firstLineChars="0"/>
              <w:jc w:val="both"/>
              <w:rPr>
                <w:rFonts w:hint="eastAsia" w:ascii="宋体" w:hAnsi="宋体" w:eastAsia="宋体" w:cs="宋体"/>
                <w:kern w:val="2"/>
                <w:sz w:val="21"/>
                <w:szCs w:val="21"/>
                <w:lang w:val="en-US" w:eastAsia="zh-CN"/>
              </w:rPr>
            </w:pPr>
          </w:p>
        </w:tc>
        <w:tc>
          <w:tcPr>
            <w:tcW w:w="702" w:type="dxa"/>
            <w:noWrap w:val="0"/>
            <w:vAlign w:val="center"/>
          </w:tcPr>
          <w:p>
            <w:pPr>
              <w:widowControl w:val="0"/>
              <w:spacing w:line="240" w:lineRule="auto"/>
              <w:ind w:firstLine="0" w:firstLineChars="0"/>
              <w:jc w:val="center"/>
              <w:rPr>
                <w:rFonts w:hint="default"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w:t>
            </w:r>
          </w:p>
        </w:tc>
      </w:tr>
    </w:tbl>
    <w:p>
      <w:pPr>
        <w:keepNext w:val="0"/>
        <w:keepLines w:val="0"/>
        <w:pageBreakBefore w:val="0"/>
        <w:widowControl/>
        <w:kinsoku/>
        <w:wordWrap/>
        <w:overflowPunct/>
        <w:topLinePunct w:val="0"/>
        <w:autoSpaceDE/>
        <w:autoSpaceDN/>
        <w:bidi w:val="0"/>
        <w:adjustRightInd/>
        <w:snapToGrid/>
        <w:spacing w:before="156" w:beforeLines="50" w:line="36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说明：</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发送“征求意见稿”的单位数：</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个。</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收到“征求意见稿”后，回函的单位数：</w:t>
      </w: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个。</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收到“征求意见稿”后，回函并有建议或意见的单位数：</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没有回函的单位数：0个。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010DC"/>
    <w:rsid w:val="00725F6B"/>
    <w:rsid w:val="016553F1"/>
    <w:rsid w:val="01B01A72"/>
    <w:rsid w:val="02487153"/>
    <w:rsid w:val="02513953"/>
    <w:rsid w:val="03D97811"/>
    <w:rsid w:val="03F81B19"/>
    <w:rsid w:val="04016449"/>
    <w:rsid w:val="04A844D6"/>
    <w:rsid w:val="0531346A"/>
    <w:rsid w:val="05535CDF"/>
    <w:rsid w:val="05A60FBD"/>
    <w:rsid w:val="06E7284F"/>
    <w:rsid w:val="072F019A"/>
    <w:rsid w:val="07B03640"/>
    <w:rsid w:val="07C25D83"/>
    <w:rsid w:val="084E5D81"/>
    <w:rsid w:val="084E69C0"/>
    <w:rsid w:val="0B0F3292"/>
    <w:rsid w:val="0B7A42A4"/>
    <w:rsid w:val="0C2E66DE"/>
    <w:rsid w:val="0C8E39F0"/>
    <w:rsid w:val="0CC21911"/>
    <w:rsid w:val="0CF77A0F"/>
    <w:rsid w:val="0DC33AD5"/>
    <w:rsid w:val="0DD14A50"/>
    <w:rsid w:val="0E8F01B6"/>
    <w:rsid w:val="0F0771CD"/>
    <w:rsid w:val="0F0A6BBB"/>
    <w:rsid w:val="10635D2D"/>
    <w:rsid w:val="10B17ECC"/>
    <w:rsid w:val="11AB77EB"/>
    <w:rsid w:val="11BE6353"/>
    <w:rsid w:val="11E0121B"/>
    <w:rsid w:val="12B65F19"/>
    <w:rsid w:val="12EC49FF"/>
    <w:rsid w:val="15512C5E"/>
    <w:rsid w:val="155D53AA"/>
    <w:rsid w:val="169E277C"/>
    <w:rsid w:val="16BD4BE4"/>
    <w:rsid w:val="16C2435B"/>
    <w:rsid w:val="170B57D7"/>
    <w:rsid w:val="17687F33"/>
    <w:rsid w:val="178657DC"/>
    <w:rsid w:val="181164BE"/>
    <w:rsid w:val="182826B5"/>
    <w:rsid w:val="185B7197"/>
    <w:rsid w:val="18EB3C15"/>
    <w:rsid w:val="19B549F6"/>
    <w:rsid w:val="19C41B39"/>
    <w:rsid w:val="1A030D20"/>
    <w:rsid w:val="1A500818"/>
    <w:rsid w:val="1B40048F"/>
    <w:rsid w:val="1B6B5589"/>
    <w:rsid w:val="1DC37E53"/>
    <w:rsid w:val="1EAF0341"/>
    <w:rsid w:val="1F1D25A3"/>
    <w:rsid w:val="1F6F0F0C"/>
    <w:rsid w:val="1FA077BD"/>
    <w:rsid w:val="1FEC2A59"/>
    <w:rsid w:val="2003753C"/>
    <w:rsid w:val="20B010DC"/>
    <w:rsid w:val="21783CA2"/>
    <w:rsid w:val="21A31F1C"/>
    <w:rsid w:val="21B26FD1"/>
    <w:rsid w:val="21F52690"/>
    <w:rsid w:val="22680198"/>
    <w:rsid w:val="228A2FF1"/>
    <w:rsid w:val="22B82CA2"/>
    <w:rsid w:val="249A7208"/>
    <w:rsid w:val="252B56E6"/>
    <w:rsid w:val="255260AB"/>
    <w:rsid w:val="25D07163"/>
    <w:rsid w:val="28481A53"/>
    <w:rsid w:val="28FA733A"/>
    <w:rsid w:val="2924190D"/>
    <w:rsid w:val="298E6EC6"/>
    <w:rsid w:val="29CE7FE0"/>
    <w:rsid w:val="2A633C13"/>
    <w:rsid w:val="2AD0334A"/>
    <w:rsid w:val="2B293AC3"/>
    <w:rsid w:val="2B8664B2"/>
    <w:rsid w:val="2BAF75CD"/>
    <w:rsid w:val="2BE279F8"/>
    <w:rsid w:val="2BED00B4"/>
    <w:rsid w:val="2C2F4401"/>
    <w:rsid w:val="2C80122C"/>
    <w:rsid w:val="2CDF0578"/>
    <w:rsid w:val="2D016548"/>
    <w:rsid w:val="2D033BC1"/>
    <w:rsid w:val="2D5215E6"/>
    <w:rsid w:val="2DFD1E1D"/>
    <w:rsid w:val="30563F41"/>
    <w:rsid w:val="309059C2"/>
    <w:rsid w:val="313C3AF8"/>
    <w:rsid w:val="324B4CE5"/>
    <w:rsid w:val="325751D2"/>
    <w:rsid w:val="32B3539F"/>
    <w:rsid w:val="32CA777D"/>
    <w:rsid w:val="33446FC8"/>
    <w:rsid w:val="33624860"/>
    <w:rsid w:val="33687017"/>
    <w:rsid w:val="33B71BCC"/>
    <w:rsid w:val="33D46911"/>
    <w:rsid w:val="3500371F"/>
    <w:rsid w:val="35D239D4"/>
    <w:rsid w:val="360250DF"/>
    <w:rsid w:val="36F53558"/>
    <w:rsid w:val="37BE29ED"/>
    <w:rsid w:val="38711B97"/>
    <w:rsid w:val="387A3784"/>
    <w:rsid w:val="393037BB"/>
    <w:rsid w:val="394317C8"/>
    <w:rsid w:val="3A3A1BDA"/>
    <w:rsid w:val="3AE31B4A"/>
    <w:rsid w:val="3AFB704D"/>
    <w:rsid w:val="3B2A40ED"/>
    <w:rsid w:val="3B781C25"/>
    <w:rsid w:val="3BDC7BD4"/>
    <w:rsid w:val="3BF407F9"/>
    <w:rsid w:val="3D100C69"/>
    <w:rsid w:val="3D1351CD"/>
    <w:rsid w:val="3D414333"/>
    <w:rsid w:val="3E6A0EB5"/>
    <w:rsid w:val="3E9073C6"/>
    <w:rsid w:val="3EDD273E"/>
    <w:rsid w:val="42115BFC"/>
    <w:rsid w:val="423952F2"/>
    <w:rsid w:val="44AF154F"/>
    <w:rsid w:val="44B90A36"/>
    <w:rsid w:val="44CA3A98"/>
    <w:rsid w:val="46905E4C"/>
    <w:rsid w:val="46D723D9"/>
    <w:rsid w:val="474D355C"/>
    <w:rsid w:val="47DC1B69"/>
    <w:rsid w:val="48181AF6"/>
    <w:rsid w:val="498E3F4D"/>
    <w:rsid w:val="4B124F17"/>
    <w:rsid w:val="4B3246CD"/>
    <w:rsid w:val="4B5A679B"/>
    <w:rsid w:val="4C1C116E"/>
    <w:rsid w:val="4F277184"/>
    <w:rsid w:val="4F4A0745"/>
    <w:rsid w:val="4F7E4E13"/>
    <w:rsid w:val="50B659BC"/>
    <w:rsid w:val="51662F13"/>
    <w:rsid w:val="52DA4DB5"/>
    <w:rsid w:val="52EE1BFE"/>
    <w:rsid w:val="53923522"/>
    <w:rsid w:val="53CA1F43"/>
    <w:rsid w:val="543619FF"/>
    <w:rsid w:val="54663D18"/>
    <w:rsid w:val="54F26A01"/>
    <w:rsid w:val="556C06CE"/>
    <w:rsid w:val="55712F20"/>
    <w:rsid w:val="558E37C4"/>
    <w:rsid w:val="559F5360"/>
    <w:rsid w:val="571D70AC"/>
    <w:rsid w:val="57D41C42"/>
    <w:rsid w:val="587A3C08"/>
    <w:rsid w:val="5926186C"/>
    <w:rsid w:val="594D2F8B"/>
    <w:rsid w:val="5996412E"/>
    <w:rsid w:val="5A4737C8"/>
    <w:rsid w:val="5A7B2270"/>
    <w:rsid w:val="5ADC4F23"/>
    <w:rsid w:val="5B1F6EA4"/>
    <w:rsid w:val="5BAB4D77"/>
    <w:rsid w:val="5C907979"/>
    <w:rsid w:val="5CE12A4F"/>
    <w:rsid w:val="5D8652FA"/>
    <w:rsid w:val="5DBC7659"/>
    <w:rsid w:val="5E2C2C0D"/>
    <w:rsid w:val="5F357B34"/>
    <w:rsid w:val="5F835E65"/>
    <w:rsid w:val="601453B1"/>
    <w:rsid w:val="60455EC9"/>
    <w:rsid w:val="60D3735E"/>
    <w:rsid w:val="614C0E7E"/>
    <w:rsid w:val="61F2556D"/>
    <w:rsid w:val="62206A26"/>
    <w:rsid w:val="62CF7536"/>
    <w:rsid w:val="63B35875"/>
    <w:rsid w:val="63E15835"/>
    <w:rsid w:val="64E23F08"/>
    <w:rsid w:val="6504693A"/>
    <w:rsid w:val="65AD617D"/>
    <w:rsid w:val="65CF1A61"/>
    <w:rsid w:val="6629303A"/>
    <w:rsid w:val="66355A52"/>
    <w:rsid w:val="66405C56"/>
    <w:rsid w:val="672F73F0"/>
    <w:rsid w:val="67B35415"/>
    <w:rsid w:val="68E3614A"/>
    <w:rsid w:val="696673E0"/>
    <w:rsid w:val="6A8746C9"/>
    <w:rsid w:val="6B6A10B4"/>
    <w:rsid w:val="6CD77C0E"/>
    <w:rsid w:val="6CDC6D09"/>
    <w:rsid w:val="6CED7893"/>
    <w:rsid w:val="6D2670FD"/>
    <w:rsid w:val="6DB0224B"/>
    <w:rsid w:val="70B704CD"/>
    <w:rsid w:val="72DC73CB"/>
    <w:rsid w:val="72FD5643"/>
    <w:rsid w:val="73571C6B"/>
    <w:rsid w:val="741853B5"/>
    <w:rsid w:val="741D1082"/>
    <w:rsid w:val="754420DB"/>
    <w:rsid w:val="769C38B0"/>
    <w:rsid w:val="76B25988"/>
    <w:rsid w:val="77FC7476"/>
    <w:rsid w:val="78201E11"/>
    <w:rsid w:val="79932ACB"/>
    <w:rsid w:val="7A337A03"/>
    <w:rsid w:val="7A360237"/>
    <w:rsid w:val="7ADE7514"/>
    <w:rsid w:val="7B0E3519"/>
    <w:rsid w:val="7B7237EF"/>
    <w:rsid w:val="7B870BD5"/>
    <w:rsid w:val="7BFD5DC2"/>
    <w:rsid w:val="7CA45C2C"/>
    <w:rsid w:val="7CED0D9B"/>
    <w:rsid w:val="7D3B2EF8"/>
    <w:rsid w:val="7E682F9E"/>
    <w:rsid w:val="7F5C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List Paragraph"/>
    <w:basedOn w:val="1"/>
    <w:qFormat/>
    <w:uiPriority w:val="34"/>
    <w:pPr>
      <w:ind w:left="720"/>
      <w:contextualSpacing/>
    </w:pPr>
  </w:style>
  <w:style w:type="paragraph" w:styleId="5">
    <w:name w:val="annotation text"/>
    <w:basedOn w:val="1"/>
    <w:semiHidden/>
    <w:unhideWhenUsed/>
    <w:qFormat/>
    <w:uiPriority w:val="99"/>
    <w:pPr>
      <w:jc w:val="left"/>
    </w:pPr>
  </w:style>
  <w:style w:type="paragraph" w:styleId="6">
    <w:name w:val="Body Text Indent 2"/>
    <w:qFormat/>
    <w:uiPriority w:val="0"/>
    <w:pPr>
      <w:spacing w:line="360" w:lineRule="auto"/>
      <w:ind w:firstLine="510" w:firstLineChars="200"/>
      <w:jc w:val="both"/>
    </w:pPr>
    <w:rPr>
      <w:rFonts w:ascii="Times New Roman" w:hAnsi="Times New Roman" w:eastAsia="宋体" w:cs="Times New Roman"/>
      <w:sz w:val="24"/>
      <w:szCs w:val="24"/>
      <w:lang w:val="en-US" w:eastAsia="zh-CN" w:bidi="ar-SA"/>
    </w:rPr>
  </w:style>
  <w:style w:type="paragraph" w:styleId="7">
    <w:name w:val="endnote text"/>
    <w:basedOn w:val="1"/>
    <w:unhideWhenUsed/>
    <w:qFormat/>
    <w:uiPriority w:val="99"/>
    <w:pPr>
      <w:snapToGrid w:val="0"/>
    </w:pPr>
    <w:rPr>
      <w:rFonts w:ascii="Calibri" w:hAnsi="Calibri" w:eastAsia="宋体" w:cs="Times New Roman"/>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unhideWhenUsed/>
    <w:qFormat/>
    <w:uiPriority w:val="99"/>
    <w:rPr>
      <w:color w:val="0000FF"/>
      <w:u w:val="single"/>
    </w:rPr>
  </w:style>
  <w:style w:type="paragraph" w:customStyle="1" w:styleId="13">
    <w:name w:val="正文格式"/>
    <w:basedOn w:val="1"/>
    <w:qFormat/>
    <w:uiPriority w:val="0"/>
    <w:pPr>
      <w:spacing w:line="360" w:lineRule="auto"/>
      <w:ind w:firstLine="485" w:firstLineChars="202"/>
    </w:pPr>
    <w:rPr>
      <w:rFonts w:ascii="宋体" w:hAnsi="宋体" w:eastAsia="宋体" w:cs="Times New Roman"/>
      <w:sz w:val="24"/>
      <w:szCs w:val="24"/>
    </w:rPr>
  </w:style>
  <w:style w:type="table" w:customStyle="1" w:styleId="14">
    <w:name w:val="网格型1"/>
    <w:basedOn w:val="9"/>
    <w:qFormat/>
    <w:uiPriority w:val="59"/>
    <w:rPr>
      <w:rFonts w:ascii="Times New Roman" w:hAnsi="Times New Roman" w:eastAsia="宋体" w:cs="Times New Roman"/>
      <w:kern w:val="0"/>
      <w:sz w:val="20"/>
      <w:szCs w:val="20"/>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
    <w:name w:val="网格型2"/>
    <w:basedOn w:val="9"/>
    <w:qFormat/>
    <w:uiPriority w:val="59"/>
    <w:rPr>
      <w:rFonts w:ascii="Times New Roman" w:hAnsi="Times New Roman" w:eastAsia="宋体" w:cs="Times New Roman"/>
      <w:kern w:val="0"/>
      <w:sz w:val="20"/>
      <w:szCs w:val="20"/>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二级条标题"/>
    <w:basedOn w:val="18"/>
    <w:next w:val="16"/>
    <w:qFormat/>
    <w:uiPriority w:val="0"/>
    <w:pPr>
      <w:spacing w:before="50" w:after="50"/>
      <w:outlineLvl w:val="3"/>
    </w:pPr>
  </w:style>
  <w:style w:type="paragraph" w:customStyle="1" w:styleId="18">
    <w:name w:val="一级条标题"/>
    <w:next w:val="16"/>
    <w:qFormat/>
    <w:uiPriority w:val="0"/>
    <w:p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2020-01-04T01:28:00Z</dcterms:created>
  <dc:creator>刘玮</dc:creator>
  <cp:lastModifiedBy>刘玮</cp:lastModifiedBy>
  <dcterms:modified xsi:type="dcterms:W3CDTF">2022-04-09T08:58:57Z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