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Times New Roman" w:hAnsi="Times New Roman"/>
          <w:b/>
          <w:bCs/>
          <w:sz w:val="24"/>
          <w:szCs w:val="24"/>
        </w:rPr>
      </w:pPr>
    </w:p>
    <w:p>
      <w:pPr>
        <w:adjustRightInd w:val="0"/>
        <w:snapToGrid w:val="0"/>
        <w:spacing w:line="360" w:lineRule="auto"/>
        <w:jc w:val="center"/>
        <w:rPr>
          <w:rFonts w:ascii="Times New Roman" w:hAnsi="Times New Roman"/>
          <w:b/>
          <w:bCs/>
          <w:sz w:val="24"/>
          <w:szCs w:val="24"/>
        </w:rPr>
      </w:pPr>
    </w:p>
    <w:p>
      <w:pPr>
        <w:adjustRightInd w:val="0"/>
        <w:snapToGrid w:val="0"/>
        <w:spacing w:line="360" w:lineRule="auto"/>
        <w:jc w:val="center"/>
        <w:rPr>
          <w:rFonts w:ascii="Times New Roman" w:hAnsi="Times New Roman"/>
          <w:sz w:val="44"/>
          <w:szCs w:val="44"/>
        </w:rPr>
      </w:pPr>
    </w:p>
    <w:p>
      <w:pPr>
        <w:adjustRightInd w:val="0"/>
        <w:snapToGrid w:val="0"/>
        <w:spacing w:line="360" w:lineRule="auto"/>
        <w:jc w:val="center"/>
        <w:rPr>
          <w:rFonts w:ascii="Times New Roman" w:hAnsi="Times New Roman"/>
          <w:sz w:val="44"/>
          <w:szCs w:val="44"/>
        </w:rPr>
      </w:pPr>
      <w:bookmarkStart w:id="2" w:name="_GoBack"/>
      <w:bookmarkEnd w:id="2"/>
    </w:p>
    <w:p>
      <w:pPr>
        <w:adjustRightInd w:val="0"/>
        <w:snapToGrid w:val="0"/>
        <w:spacing w:line="360" w:lineRule="auto"/>
        <w:jc w:val="center"/>
        <w:rPr>
          <w:rFonts w:ascii="Times New Roman" w:hAnsi="Times New Roman"/>
          <w:b/>
          <w:sz w:val="52"/>
          <w:szCs w:val="52"/>
        </w:rPr>
      </w:pPr>
      <w:r>
        <w:rPr>
          <w:rFonts w:hint="eastAsia" w:ascii="Times New Roman" w:hAnsi="Times New Roman"/>
          <w:b/>
          <w:sz w:val="52"/>
          <w:szCs w:val="52"/>
        </w:rPr>
        <w:t>团体标准《</w:t>
      </w:r>
      <w:r>
        <w:rPr>
          <w:rFonts w:hint="eastAsia" w:ascii="Times New Roman" w:hAnsi="Times New Roman"/>
          <w:b/>
          <w:bCs/>
          <w:sz w:val="52"/>
          <w:szCs w:val="52"/>
        </w:rPr>
        <w:t>污酸渣富氧熔炼协同资源化技术规范</w:t>
      </w:r>
      <w:r>
        <w:rPr>
          <w:rFonts w:hint="eastAsia" w:ascii="Times New Roman" w:hAnsi="Times New Roman"/>
          <w:b/>
          <w:sz w:val="52"/>
          <w:szCs w:val="52"/>
        </w:rPr>
        <w:t>》</w:t>
      </w:r>
    </w:p>
    <w:p>
      <w:pPr>
        <w:adjustRightInd w:val="0"/>
        <w:snapToGrid w:val="0"/>
        <w:spacing w:line="360" w:lineRule="auto"/>
        <w:jc w:val="center"/>
        <w:rPr>
          <w:rFonts w:ascii="Times New Roman" w:hAnsi="Times New Roman"/>
          <w:sz w:val="52"/>
          <w:szCs w:val="52"/>
        </w:rPr>
      </w:pPr>
      <w:r>
        <w:rPr>
          <w:rFonts w:hint="eastAsia" w:ascii="Times New Roman" w:hAnsi="Times New Roman"/>
          <w:sz w:val="52"/>
          <w:szCs w:val="52"/>
        </w:rPr>
        <w:t>编制说明</w:t>
      </w:r>
    </w:p>
    <w:p>
      <w:pPr>
        <w:adjustRightInd w:val="0"/>
        <w:snapToGrid w:val="0"/>
        <w:spacing w:line="360" w:lineRule="auto"/>
        <w:jc w:val="center"/>
        <w:rPr>
          <w:rFonts w:ascii="Times New Roman" w:hAnsi="Times New Roman"/>
          <w:b/>
          <w:sz w:val="52"/>
          <w:szCs w:val="52"/>
        </w:rPr>
      </w:pPr>
    </w:p>
    <w:p>
      <w:pPr>
        <w:adjustRightInd w:val="0"/>
        <w:snapToGrid w:val="0"/>
        <w:spacing w:line="360" w:lineRule="auto"/>
        <w:jc w:val="center"/>
        <w:rPr>
          <w:rFonts w:ascii="Times New Roman" w:hAnsi="Times New Roman"/>
          <w:sz w:val="28"/>
          <w:szCs w:val="28"/>
        </w:rPr>
      </w:pPr>
      <w:r>
        <w:rPr>
          <w:rFonts w:hint="eastAsia" w:ascii="Times New Roman" w:hAnsi="Times New Roman"/>
          <w:sz w:val="28"/>
          <w:szCs w:val="28"/>
        </w:rPr>
        <w:t>（</w:t>
      </w:r>
      <w:r>
        <w:rPr>
          <w:rFonts w:hint="eastAsia" w:ascii="Times New Roman" w:hAnsi="Times New Roman"/>
          <w:sz w:val="28"/>
          <w:szCs w:val="28"/>
          <w:lang w:eastAsia="zh-CN"/>
        </w:rPr>
        <w:t>讨论</w:t>
      </w:r>
      <w:r>
        <w:rPr>
          <w:rFonts w:hint="eastAsia" w:ascii="Times New Roman" w:hAnsi="Times New Roman"/>
          <w:sz w:val="28"/>
          <w:szCs w:val="28"/>
        </w:rPr>
        <w:t>稿）</w:t>
      </w:r>
    </w:p>
    <w:p>
      <w:pPr>
        <w:adjustRightInd w:val="0"/>
        <w:snapToGrid w:val="0"/>
        <w:spacing w:line="360" w:lineRule="auto"/>
        <w:jc w:val="center"/>
        <w:rPr>
          <w:rFonts w:ascii="Times New Roman" w:hAnsi="Times New Roman"/>
          <w:b/>
          <w:sz w:val="32"/>
        </w:rPr>
      </w:pPr>
    </w:p>
    <w:p>
      <w:pPr>
        <w:adjustRightInd w:val="0"/>
        <w:snapToGrid w:val="0"/>
        <w:spacing w:line="360" w:lineRule="auto"/>
        <w:jc w:val="center"/>
        <w:rPr>
          <w:rFonts w:ascii="Times New Roman" w:hAnsi="Times New Roman"/>
          <w:b/>
          <w:sz w:val="32"/>
        </w:rPr>
      </w:pPr>
    </w:p>
    <w:p>
      <w:pPr>
        <w:adjustRightInd w:val="0"/>
        <w:snapToGrid w:val="0"/>
        <w:spacing w:line="360" w:lineRule="auto"/>
        <w:jc w:val="center"/>
        <w:rPr>
          <w:rFonts w:ascii="Times New Roman" w:hAnsi="Times New Roman"/>
          <w:b/>
          <w:sz w:val="32"/>
        </w:rPr>
      </w:pPr>
    </w:p>
    <w:p>
      <w:pPr>
        <w:adjustRightInd w:val="0"/>
        <w:snapToGrid w:val="0"/>
        <w:spacing w:line="360" w:lineRule="auto"/>
        <w:jc w:val="center"/>
        <w:rPr>
          <w:rFonts w:ascii="Times New Roman" w:hAnsi="Times New Roman"/>
          <w:b/>
          <w:sz w:val="32"/>
        </w:rPr>
      </w:pPr>
    </w:p>
    <w:p>
      <w:pPr>
        <w:adjustRightInd w:val="0"/>
        <w:snapToGrid w:val="0"/>
        <w:spacing w:line="360" w:lineRule="auto"/>
        <w:jc w:val="center"/>
        <w:rPr>
          <w:rFonts w:ascii="Times New Roman" w:hAnsi="Times New Roman"/>
          <w:b/>
          <w:sz w:val="32"/>
        </w:rPr>
      </w:pPr>
    </w:p>
    <w:p>
      <w:pPr>
        <w:adjustRightInd w:val="0"/>
        <w:snapToGrid w:val="0"/>
        <w:spacing w:line="360" w:lineRule="auto"/>
        <w:rPr>
          <w:rFonts w:ascii="Times New Roman" w:hAnsi="Times New Roman"/>
          <w:b/>
          <w:sz w:val="32"/>
        </w:rPr>
      </w:pPr>
    </w:p>
    <w:p>
      <w:pPr>
        <w:adjustRightInd w:val="0"/>
        <w:snapToGrid w:val="0"/>
        <w:spacing w:line="360" w:lineRule="auto"/>
        <w:jc w:val="center"/>
        <w:rPr>
          <w:rFonts w:ascii="Times New Roman" w:hAnsi="Times New Roman"/>
          <w:b/>
          <w:sz w:val="32"/>
        </w:rPr>
      </w:pPr>
    </w:p>
    <w:p>
      <w:pPr>
        <w:adjustRightInd w:val="0"/>
        <w:snapToGrid w:val="0"/>
        <w:spacing w:line="360" w:lineRule="auto"/>
        <w:jc w:val="center"/>
        <w:rPr>
          <w:rFonts w:ascii="Times New Roman" w:hAnsi="Times New Roman"/>
          <w:b/>
          <w:sz w:val="32"/>
        </w:rPr>
      </w:pPr>
    </w:p>
    <w:p>
      <w:pPr>
        <w:adjustRightInd w:val="0"/>
        <w:snapToGrid w:val="0"/>
        <w:spacing w:line="360" w:lineRule="auto"/>
        <w:jc w:val="center"/>
        <w:rPr>
          <w:rFonts w:ascii="Times New Roman" w:hAnsi="Times New Roman"/>
          <w:b/>
          <w:sz w:val="44"/>
          <w:szCs w:val="44"/>
        </w:rPr>
      </w:pPr>
      <w:r>
        <w:rPr>
          <w:rFonts w:hint="eastAsia" w:ascii="Times New Roman" w:hAnsi="Times New Roman"/>
          <w:b/>
          <w:sz w:val="44"/>
          <w:szCs w:val="44"/>
        </w:rPr>
        <w:t>清华大学</w:t>
      </w:r>
    </w:p>
    <w:p>
      <w:pPr>
        <w:adjustRightInd w:val="0"/>
        <w:snapToGrid w:val="0"/>
        <w:spacing w:line="360" w:lineRule="auto"/>
        <w:jc w:val="center"/>
        <w:rPr>
          <w:rFonts w:ascii="Times New Roman" w:hAnsi="Times New Roman"/>
          <w:b/>
          <w:sz w:val="32"/>
        </w:rPr>
      </w:pPr>
      <w:r>
        <w:rPr>
          <w:rFonts w:ascii="Times New Roman" w:hAnsi="Times New Roman"/>
          <w:b/>
          <w:sz w:val="44"/>
          <w:szCs w:val="44"/>
        </w:rPr>
        <w:t>202</w:t>
      </w:r>
      <w:r>
        <w:rPr>
          <w:rFonts w:hint="eastAsia" w:ascii="Times New Roman" w:hAnsi="Times New Roman"/>
          <w:b/>
          <w:sz w:val="44"/>
          <w:szCs w:val="44"/>
        </w:rPr>
        <w:t>2年3月</w:t>
      </w:r>
    </w:p>
    <w:p>
      <w:pPr>
        <w:adjustRightInd w:val="0"/>
        <w:snapToGrid w:val="0"/>
        <w:spacing w:before="156" w:beforeLines="50" w:after="156" w:afterLines="50" w:line="360" w:lineRule="auto"/>
        <w:rPr>
          <w:rFonts w:ascii="Times New Roman" w:hAnsi="Times New Roman"/>
          <w:b/>
          <w:bCs/>
          <w:sz w:val="24"/>
          <w:szCs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adjustRightInd w:val="0"/>
        <w:snapToGrid w:val="0"/>
        <w:spacing w:before="156" w:beforeLines="50" w:after="156" w:afterLines="50" w:line="360" w:lineRule="auto"/>
        <w:outlineLvl w:val="0"/>
        <w:rPr>
          <w:rFonts w:ascii="Times New Roman" w:hAnsi="Times New Roman"/>
          <w:b/>
          <w:szCs w:val="21"/>
        </w:rPr>
      </w:pPr>
      <w:r>
        <w:rPr>
          <w:rFonts w:hint="eastAsia" w:ascii="Times New Roman" w:hAnsi="Times New Roman"/>
          <w:b/>
          <w:szCs w:val="21"/>
        </w:rPr>
        <w:t>一、工作简况</w:t>
      </w:r>
    </w:p>
    <w:p>
      <w:pPr>
        <w:adjustRightInd w:val="0"/>
        <w:snapToGrid w:val="0"/>
        <w:spacing w:before="156" w:beforeLines="50" w:after="156" w:afterLines="50" w:line="360" w:lineRule="auto"/>
        <w:outlineLvl w:val="1"/>
        <w:rPr>
          <w:rFonts w:ascii="Times New Roman" w:hAnsi="Times New Roman"/>
          <w:b/>
          <w:szCs w:val="21"/>
        </w:rPr>
      </w:pPr>
      <w:r>
        <w:rPr>
          <w:rFonts w:ascii="Times New Roman" w:hAnsi="Times New Roman"/>
          <w:b/>
          <w:szCs w:val="21"/>
        </w:rPr>
        <w:t>1</w:t>
      </w:r>
      <w:r>
        <w:rPr>
          <w:rFonts w:hint="eastAsia" w:ascii="Times New Roman" w:hAnsi="Times New Roman"/>
          <w:b/>
          <w:szCs w:val="21"/>
        </w:rPr>
        <w:t>、任务来源</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【编制依据】：认真贯彻落实国务院《深化标准化工作改革方案》，进一步解决现阶段行业中标准缺失的问题，提升标准技术水平，实现标准的指导作用。根据中色协科字[2022]</w:t>
      </w:r>
      <w:r>
        <w:rPr>
          <w:rFonts w:ascii="Times New Roman" w:hAnsi="Times New Roman"/>
          <w:szCs w:val="21"/>
        </w:rPr>
        <w:t xml:space="preserve"> </w:t>
      </w:r>
      <w:r>
        <w:rPr>
          <w:rFonts w:hint="eastAsia" w:ascii="Times New Roman" w:hAnsi="Times New Roman"/>
          <w:szCs w:val="21"/>
        </w:rPr>
        <w:t>2号文件，《污酸渣富氧熔炼协同资源化技术规范》团体标准列入标准计划项目。</w:t>
      </w:r>
    </w:p>
    <w:p>
      <w:pPr>
        <w:adjustRightInd w:val="0"/>
        <w:snapToGrid w:val="0"/>
        <w:spacing w:after="100" w:afterAutospacing="1" w:line="360" w:lineRule="auto"/>
        <w:ind w:firstLine="420" w:firstLineChars="200"/>
        <w:rPr>
          <w:rFonts w:ascii="Times New Roman" w:hAnsi="Times New Roman"/>
          <w:szCs w:val="21"/>
        </w:rPr>
      </w:pPr>
      <w:r>
        <w:rPr>
          <w:rFonts w:hint="eastAsia" w:ascii="Times New Roman" w:hAnsi="Times New Roman"/>
          <w:szCs w:val="21"/>
        </w:rPr>
        <w:t>【项目概况】：计划项目名称：污酸渣富氧熔炼协同资源化技术规范；计划项目号：计划号</w:t>
      </w:r>
      <w:r>
        <w:rPr>
          <w:rFonts w:ascii="Times New Roman" w:hAnsi="Times New Roman"/>
          <w:szCs w:val="21"/>
        </w:rPr>
        <w:t>202</w:t>
      </w:r>
      <w:r>
        <w:rPr>
          <w:rFonts w:hint="eastAsia" w:ascii="Times New Roman" w:hAnsi="Times New Roman"/>
          <w:szCs w:val="21"/>
        </w:rPr>
        <w:t>2</w:t>
      </w:r>
      <w:r>
        <w:rPr>
          <w:rFonts w:ascii="Times New Roman" w:hAnsi="Times New Roman"/>
          <w:szCs w:val="21"/>
        </w:rPr>
        <w:t>-01</w:t>
      </w:r>
      <w:r>
        <w:rPr>
          <w:rFonts w:hint="eastAsia" w:ascii="Times New Roman" w:hAnsi="Times New Roman"/>
          <w:szCs w:val="21"/>
        </w:rPr>
        <w:t>8</w:t>
      </w:r>
      <w:r>
        <w:rPr>
          <w:rFonts w:ascii="Times New Roman" w:hAnsi="Times New Roman"/>
          <w:szCs w:val="21"/>
        </w:rPr>
        <w:t>-T/CNIA</w:t>
      </w:r>
      <w:r>
        <w:rPr>
          <w:rFonts w:hint="eastAsia" w:ascii="Times New Roman" w:hAnsi="Times New Roman"/>
          <w:szCs w:val="21"/>
        </w:rPr>
        <w:t>；主要起草单位：清华大学。</w:t>
      </w:r>
    </w:p>
    <w:p>
      <w:pPr>
        <w:adjustRightInd w:val="0"/>
        <w:snapToGrid w:val="0"/>
        <w:spacing w:before="156" w:beforeLines="50" w:after="156" w:afterLines="50" w:line="360" w:lineRule="auto"/>
        <w:outlineLvl w:val="1"/>
        <w:rPr>
          <w:rFonts w:ascii="Times New Roman" w:hAnsi="Times New Roman"/>
          <w:b/>
          <w:szCs w:val="21"/>
        </w:rPr>
      </w:pPr>
      <w:r>
        <w:rPr>
          <w:rFonts w:ascii="Times New Roman" w:hAnsi="Times New Roman"/>
          <w:b/>
          <w:szCs w:val="21"/>
        </w:rPr>
        <w:t>2</w:t>
      </w:r>
      <w:r>
        <w:rPr>
          <w:rFonts w:hint="eastAsia" w:ascii="Times New Roman" w:hAnsi="Times New Roman"/>
          <w:b/>
          <w:szCs w:val="21"/>
        </w:rPr>
        <w:t>、标准制定的必要性</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铜铅锌硫化矿冶炼过程产生的二氧化硫烟气在进入制酸系统前的动力波洗涤过程会产生大量的污酸，原料中的砷大部分都进入此污酸中。大部分铜、铅锌等有色金属冶炼企业的污酸处理工艺采用硫化法脱砷、剩余稀酸用氢氧化钙进行中和处理的方法。但是根据《国家危险废物名录》（2016年版）规定，硫化法脱砷工艺所产生的硫化砷及中和渣均属于危险废物，废物代码为321-002-48。故采用上述污酸处理方法，不能最终将砷的毒性转移。目前，这两种危险废物通常采用的处理方式是按照地方规定价格（约3元/kg）交由危废处置中心或有资质的单位进行合法处置。但其处理费用高，在很大程度上增加了铜、铅锌冶炼的成本，许多铜、铅锌冶炼企业无法承受，且危险废物在转运过程中存在二次污染的风险，增加了铜、铅锌冶炼的安全隐患。危险废物的处理已经成为铜、铅锌等有色金属冶炼行业普遍面临的问题。</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重金属污染综合防治“十二五”规划》实施以来，重金属污染防治取得积极成效，但重金属行业污染防控的总体形势依然不容乐观。2018年，生态环境部印发《关于加强涉重金属行业污染防控的意见》，明确将重有色金属矿采选业、冶炼业等作为重金属污染防控重点行业，聚焦行业生产、排放和污染等各个环节。加大铜、铅锌冶炼行业工艺提升改造力度，对有色金属行业实施清洁化改造，落实《土壤污染防治行动计划》有关要求，提高矿产资源的综合利用率，规范处理处置方法。污酸渣作为铜铅锌硫化矿冶炼过程的危险固废，其安全处理处置也成为我国环保领域特别是有色金属冶炼行业的重要任务。</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目前国内无污酸渣相关标准，本标准解决该领域缺失，并为有色金属冶炼行业污酸渣的资源化利用协同水污染控制提供重要的技术支撑。本标准以铜铅锌硫化矿冶炼污酸渣为处理对象，就工艺的选择、设计和运行维护做出详细说明，最后经毒性检测检验工艺处理效果。本标准建立的冶炼污酸渣矿相分离与富氧熔炼清洁利用工程技术规范响应国家循环经济、节能减排政策，可以降低污酸渣处置不当带来的环境风险，实现熔炼过程元素定向捕集与终渣无害化。结合相关资源化利用技术，降低成本，提高经济效益，具有重要的现实意义。</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3</w:t>
      </w:r>
      <w:r>
        <w:rPr>
          <w:rFonts w:hint="eastAsia" w:ascii="Times New Roman" w:hAnsi="Times New Roman"/>
          <w:b/>
          <w:bCs/>
          <w:szCs w:val="21"/>
        </w:rPr>
        <w:t>、承担单位情况及主要工作过程</w:t>
      </w:r>
    </w:p>
    <w:p>
      <w:pPr>
        <w:adjustRightInd w:val="0"/>
        <w:snapToGrid w:val="0"/>
        <w:spacing w:before="156" w:beforeLines="50" w:after="156" w:afterLines="50" w:line="360" w:lineRule="auto"/>
        <w:outlineLvl w:val="2"/>
        <w:rPr>
          <w:rFonts w:ascii="Times New Roman" w:hAnsi="Times New Roman"/>
          <w:bCs/>
          <w:szCs w:val="21"/>
        </w:rPr>
      </w:pPr>
      <w:r>
        <w:rPr>
          <w:rFonts w:ascii="Times New Roman" w:hAnsi="Times New Roman"/>
          <w:bCs/>
          <w:szCs w:val="21"/>
        </w:rPr>
        <w:t xml:space="preserve">3.1 </w:t>
      </w:r>
      <w:r>
        <w:rPr>
          <w:rFonts w:hint="eastAsia" w:ascii="Times New Roman" w:hAnsi="Times New Roman"/>
          <w:bCs/>
          <w:szCs w:val="21"/>
        </w:rPr>
        <w:t>承担单位情况</w:t>
      </w:r>
    </w:p>
    <w:p>
      <w:pPr>
        <w:widowControl/>
        <w:shd w:val="clear" w:color="auto" w:fill="FFFFFF"/>
        <w:adjustRightInd w:val="0"/>
        <w:snapToGrid w:val="0"/>
        <w:spacing w:line="360" w:lineRule="auto"/>
        <w:ind w:firstLine="420" w:firstLineChars="200"/>
        <w:rPr>
          <w:rFonts w:ascii="Times New Roman" w:hAnsi="Times New Roman"/>
          <w:kern w:val="0"/>
          <w:szCs w:val="21"/>
        </w:rPr>
      </w:pPr>
      <w:r>
        <w:rPr>
          <w:rFonts w:hint="eastAsia" w:ascii="Times New Roman" w:hAnsi="Times New Roman"/>
          <w:kern w:val="0"/>
          <w:szCs w:val="21"/>
        </w:rPr>
        <w:t>清华大学是国内领先、国际一流的综合性高等学府，具有多学科综合研究优势，拥有环境模拟与污染控制国家重点联合实验室、联合国环境规划署巴塞尔公约亚太地区协调中心等多个国家</w:t>
      </w:r>
      <w:r>
        <w:rPr>
          <w:rFonts w:ascii="Times New Roman" w:hAnsi="Times New Roman"/>
          <w:kern w:val="0"/>
          <w:szCs w:val="21"/>
        </w:rPr>
        <w:t>/</w:t>
      </w:r>
      <w:r>
        <w:rPr>
          <w:rFonts w:hint="eastAsia" w:ascii="Times New Roman" w:hAnsi="Times New Roman"/>
          <w:kern w:val="0"/>
          <w:szCs w:val="21"/>
        </w:rPr>
        <w:t>省部级科研平台。拥有国内先进的固体废物</w:t>
      </w:r>
      <w:r>
        <w:rPr>
          <w:rFonts w:ascii="Times New Roman" w:hAnsi="Times New Roman"/>
          <w:kern w:val="0"/>
          <w:szCs w:val="21"/>
        </w:rPr>
        <w:t>/</w:t>
      </w:r>
      <w:r>
        <w:rPr>
          <w:rFonts w:hint="eastAsia" w:ascii="Times New Roman" w:hAnsi="Times New Roman"/>
          <w:kern w:val="0"/>
          <w:szCs w:val="21"/>
        </w:rPr>
        <w:t>危险废物处理实验分析仪器设备，已建成城市排水系统运行管理决策支持系统等多个信息化平台。清华大学环境学院长期从事固废</w:t>
      </w:r>
      <w:r>
        <w:rPr>
          <w:rFonts w:ascii="Times New Roman" w:hAnsi="Times New Roman"/>
          <w:kern w:val="0"/>
          <w:szCs w:val="21"/>
        </w:rPr>
        <w:t>/</w:t>
      </w:r>
      <w:r>
        <w:rPr>
          <w:rFonts w:hint="eastAsia" w:ascii="Times New Roman" w:hAnsi="Times New Roman"/>
          <w:kern w:val="0"/>
          <w:szCs w:val="21"/>
        </w:rPr>
        <w:t>危废无害化处理处置和资源能源转化技术研发，在跨介质物质代谢系统集成模拟、固废资源化技术评估筛选及环境管理系统构建等领域有着丰富的项目经验，承担并完成了多项重大研究课题，例如</w:t>
      </w:r>
      <w:r>
        <w:rPr>
          <w:rFonts w:ascii="Times New Roman" w:hAnsi="Times New Roman"/>
          <w:kern w:val="0"/>
          <w:szCs w:val="21"/>
        </w:rPr>
        <w:t>“</w:t>
      </w:r>
      <w:r>
        <w:rPr>
          <w:rFonts w:hint="eastAsia" w:ascii="Times New Roman" w:hAnsi="Times New Roman"/>
          <w:kern w:val="0"/>
          <w:szCs w:val="21"/>
        </w:rPr>
        <w:t>张家港市固废园区化协同处置技术开发与集成示范</w:t>
      </w:r>
      <w:r>
        <w:rPr>
          <w:rFonts w:ascii="Times New Roman" w:hAnsi="Times New Roman"/>
          <w:kern w:val="0"/>
          <w:szCs w:val="21"/>
        </w:rPr>
        <w:t>”</w:t>
      </w:r>
      <w:r>
        <w:rPr>
          <w:rFonts w:hint="eastAsia" w:ascii="Times New Roman" w:hAnsi="Times New Roman"/>
          <w:kern w:val="0"/>
          <w:szCs w:val="21"/>
        </w:rPr>
        <w:t>（国家重点研发计划），</w:t>
      </w:r>
      <w:r>
        <w:rPr>
          <w:rFonts w:ascii="Times New Roman" w:hAnsi="Times New Roman"/>
          <w:kern w:val="0"/>
          <w:szCs w:val="21"/>
        </w:rPr>
        <w:t>“50</w:t>
      </w:r>
      <w:r>
        <w:rPr>
          <w:rFonts w:hint="eastAsia" w:ascii="Times New Roman" w:hAnsi="Times New Roman"/>
          <w:kern w:val="0"/>
          <w:szCs w:val="21"/>
        </w:rPr>
        <w:t>万吨</w:t>
      </w:r>
      <w:r>
        <w:rPr>
          <w:rFonts w:ascii="Times New Roman" w:hAnsi="Times New Roman"/>
          <w:kern w:val="0"/>
          <w:szCs w:val="21"/>
        </w:rPr>
        <w:t>/</w:t>
      </w:r>
      <w:r>
        <w:rPr>
          <w:rFonts w:hint="eastAsia" w:ascii="Times New Roman" w:hAnsi="Times New Roman"/>
          <w:kern w:val="0"/>
          <w:szCs w:val="21"/>
        </w:rPr>
        <w:t>年跨行业废弃物水泥窑协同利用技术及示范</w:t>
      </w:r>
      <w:r>
        <w:rPr>
          <w:rFonts w:ascii="Times New Roman" w:hAnsi="Times New Roman"/>
          <w:kern w:val="0"/>
          <w:szCs w:val="21"/>
        </w:rPr>
        <w:t>”</w:t>
      </w:r>
      <w:r>
        <w:rPr>
          <w:rFonts w:hint="eastAsia" w:ascii="Times New Roman" w:hAnsi="Times New Roman"/>
          <w:kern w:val="0"/>
          <w:szCs w:val="21"/>
        </w:rPr>
        <w:t>（国家科技支撑计划），</w:t>
      </w:r>
      <w:r>
        <w:rPr>
          <w:rFonts w:ascii="Times New Roman" w:hAnsi="Times New Roman"/>
          <w:kern w:val="0"/>
          <w:szCs w:val="21"/>
        </w:rPr>
        <w:t>“</w:t>
      </w:r>
      <w:r>
        <w:rPr>
          <w:rFonts w:hint="eastAsia" w:ascii="Times New Roman" w:hAnsi="Times New Roman"/>
          <w:kern w:val="0"/>
          <w:szCs w:val="21"/>
        </w:rPr>
        <w:t>城市循环经济发展共性技术开发与应用研究</w:t>
      </w:r>
      <w:r>
        <w:rPr>
          <w:rFonts w:ascii="Times New Roman" w:hAnsi="Times New Roman"/>
          <w:kern w:val="0"/>
          <w:szCs w:val="21"/>
        </w:rPr>
        <w:t>”</w:t>
      </w:r>
      <w:r>
        <w:rPr>
          <w:rFonts w:hint="eastAsia" w:ascii="Times New Roman" w:hAnsi="Times New Roman"/>
          <w:kern w:val="0"/>
          <w:szCs w:val="21"/>
        </w:rPr>
        <w:t>（国家科技二等奖）等。另外，清华大学作为主要技术支撑单位，参与了《循环发展引领行动》、《关于推进资源循环利用基地建设的指导意见》等文件的编制。</w:t>
      </w:r>
      <w:bookmarkStart w:id="0" w:name="_Hlk66693782"/>
      <w:r>
        <w:rPr>
          <w:rFonts w:hint="eastAsia" w:ascii="Times New Roman" w:hAnsi="Times New Roman"/>
          <w:kern w:val="0"/>
          <w:szCs w:val="21"/>
        </w:rPr>
        <w:t>研发了面向行业政策和管理的跨介质代谢模型、数据库和管理工具，已建立市政固废的气</w:t>
      </w:r>
      <w:r>
        <w:rPr>
          <w:rFonts w:ascii="Times New Roman" w:hAnsi="Times New Roman"/>
          <w:kern w:val="0"/>
          <w:szCs w:val="21"/>
        </w:rPr>
        <w:t>-</w:t>
      </w:r>
      <w:r>
        <w:rPr>
          <w:rFonts w:hint="eastAsia" w:ascii="Times New Roman" w:hAnsi="Times New Roman"/>
          <w:kern w:val="0"/>
          <w:szCs w:val="21"/>
        </w:rPr>
        <w:t>水</w:t>
      </w:r>
      <w:r>
        <w:rPr>
          <w:rFonts w:ascii="Times New Roman" w:hAnsi="Times New Roman"/>
          <w:kern w:val="0"/>
          <w:szCs w:val="21"/>
        </w:rPr>
        <w:t>-</w:t>
      </w:r>
      <w:r>
        <w:rPr>
          <w:rFonts w:hint="eastAsia" w:ascii="Times New Roman" w:hAnsi="Times New Roman"/>
          <w:kern w:val="0"/>
          <w:szCs w:val="21"/>
        </w:rPr>
        <w:t>土跨介质代谢分析模型（</w:t>
      </w:r>
      <w:r>
        <w:rPr>
          <w:rFonts w:ascii="Times New Roman" w:hAnsi="Times New Roman"/>
          <w:kern w:val="0"/>
          <w:szCs w:val="21"/>
        </w:rPr>
        <w:t>SOTE</w:t>
      </w:r>
      <w:r>
        <w:rPr>
          <w:rFonts w:hint="eastAsia" w:ascii="Times New Roman" w:hAnsi="Times New Roman"/>
          <w:kern w:val="0"/>
          <w:szCs w:val="21"/>
        </w:rPr>
        <w:t>，</w:t>
      </w:r>
      <w:r>
        <w:rPr>
          <w:rFonts w:ascii="Times New Roman" w:hAnsi="Times New Roman"/>
          <w:kern w:val="0"/>
          <w:szCs w:val="21"/>
        </w:rPr>
        <w:t>2018</w:t>
      </w:r>
      <w:r>
        <w:rPr>
          <w:rFonts w:hint="eastAsia" w:ascii="Times New Roman" w:hAnsi="Times New Roman"/>
          <w:kern w:val="0"/>
          <w:szCs w:val="21"/>
        </w:rPr>
        <w:t>，</w:t>
      </w:r>
      <w:r>
        <w:rPr>
          <w:rFonts w:ascii="Times New Roman" w:hAnsi="Times New Roman"/>
          <w:kern w:val="0"/>
          <w:szCs w:val="21"/>
        </w:rPr>
        <w:t>618</w:t>
      </w:r>
      <w:r>
        <w:rPr>
          <w:rFonts w:hint="eastAsia" w:ascii="Times New Roman" w:hAnsi="Times New Roman"/>
          <w:kern w:val="0"/>
          <w:szCs w:val="21"/>
        </w:rPr>
        <w:t>：</w:t>
      </w:r>
      <w:r>
        <w:rPr>
          <w:rFonts w:ascii="Times New Roman" w:hAnsi="Times New Roman"/>
          <w:kern w:val="0"/>
          <w:szCs w:val="21"/>
        </w:rPr>
        <w:t>810-818</w:t>
      </w:r>
      <w:r>
        <w:rPr>
          <w:rFonts w:hint="eastAsia" w:ascii="Times New Roman" w:hAnsi="Times New Roman"/>
          <w:kern w:val="0"/>
          <w:szCs w:val="21"/>
        </w:rPr>
        <w:t>），分析了关键元素在固废产生及上游、下游处置过程的元素物质流代谢特征，优化了行业技术路径（</w:t>
      </w:r>
      <w:r>
        <w:rPr>
          <w:rFonts w:ascii="Times New Roman" w:hAnsi="Times New Roman"/>
          <w:kern w:val="0"/>
          <w:szCs w:val="21"/>
        </w:rPr>
        <w:t>SOTE</w:t>
      </w:r>
      <w:r>
        <w:rPr>
          <w:rFonts w:hint="eastAsia" w:ascii="Times New Roman" w:hAnsi="Times New Roman"/>
          <w:kern w:val="0"/>
          <w:szCs w:val="21"/>
        </w:rPr>
        <w:t>，</w:t>
      </w:r>
      <w:r>
        <w:rPr>
          <w:rFonts w:ascii="Times New Roman" w:hAnsi="Times New Roman"/>
          <w:kern w:val="0"/>
          <w:szCs w:val="21"/>
        </w:rPr>
        <w:t>2019</w:t>
      </w:r>
      <w:r>
        <w:rPr>
          <w:rFonts w:hint="eastAsia" w:ascii="Times New Roman" w:hAnsi="Times New Roman"/>
          <w:kern w:val="0"/>
          <w:szCs w:val="21"/>
        </w:rPr>
        <w:t>，</w:t>
      </w:r>
      <w:r>
        <w:rPr>
          <w:rFonts w:ascii="Times New Roman" w:hAnsi="Times New Roman"/>
          <w:kern w:val="0"/>
          <w:szCs w:val="21"/>
        </w:rPr>
        <w:t>674</w:t>
      </w:r>
      <w:r>
        <w:rPr>
          <w:rFonts w:hint="eastAsia" w:ascii="Times New Roman" w:hAnsi="Times New Roman"/>
          <w:kern w:val="0"/>
          <w:szCs w:val="21"/>
        </w:rPr>
        <w:t>：</w:t>
      </w:r>
      <w:r>
        <w:rPr>
          <w:rFonts w:ascii="Times New Roman" w:hAnsi="Times New Roman"/>
          <w:kern w:val="0"/>
          <w:szCs w:val="21"/>
        </w:rPr>
        <w:t>512-523)</w:t>
      </w:r>
      <w:r>
        <w:rPr>
          <w:rFonts w:hint="eastAsia" w:ascii="Times New Roman" w:hAnsi="Times New Roman"/>
          <w:kern w:val="0"/>
          <w:szCs w:val="21"/>
        </w:rPr>
        <w:t>；建立了关键金属资源代谢的部门数据库与核算分析平台</w:t>
      </w:r>
      <w:r>
        <w:rPr>
          <w:rFonts w:ascii="Times New Roman" w:hAnsi="Times New Roman"/>
          <w:kern w:val="0"/>
          <w:szCs w:val="21"/>
        </w:rPr>
        <w:t>(2016SR086282)</w:t>
      </w:r>
      <w:r>
        <w:rPr>
          <w:rFonts w:hint="eastAsia" w:ascii="Times New Roman" w:hAnsi="Times New Roman"/>
          <w:kern w:val="0"/>
          <w:szCs w:val="21"/>
        </w:rPr>
        <w:t>、工业园区能源在线监测及管理分析平台（</w:t>
      </w:r>
      <w:r>
        <w:rPr>
          <w:rFonts w:ascii="Times New Roman" w:hAnsi="Times New Roman"/>
          <w:kern w:val="0"/>
          <w:szCs w:val="21"/>
        </w:rPr>
        <w:t>2016SR331345</w:t>
      </w:r>
      <w:r>
        <w:rPr>
          <w:rFonts w:hint="eastAsia" w:ascii="Times New Roman" w:hAnsi="Times New Roman"/>
          <w:kern w:val="0"/>
          <w:szCs w:val="21"/>
        </w:rPr>
        <w:t>）。</w:t>
      </w:r>
      <w:bookmarkEnd w:id="0"/>
    </w:p>
    <w:p>
      <w:pPr>
        <w:widowControl/>
        <w:shd w:val="clear" w:color="auto" w:fill="FFFFFF"/>
        <w:adjustRightInd w:val="0"/>
        <w:snapToGrid w:val="0"/>
        <w:spacing w:line="360" w:lineRule="auto"/>
        <w:ind w:firstLine="420" w:firstLineChars="200"/>
        <w:rPr>
          <w:rFonts w:ascii="Times New Roman" w:hAnsi="Times New Roman"/>
          <w:kern w:val="0"/>
          <w:szCs w:val="21"/>
        </w:rPr>
      </w:pPr>
      <w:r>
        <w:rPr>
          <w:rFonts w:hint="eastAsia" w:ascii="Times New Roman" w:hAnsi="Times New Roman"/>
          <w:kern w:val="0"/>
          <w:szCs w:val="21"/>
        </w:rPr>
        <w:t>中国科学院过程工程研究所（原化工冶金研究所）成立于1958年10月1日。建所之初，针对国家战略需求，以化工原理和技术强化冶金过程，创立了高压炉顶、高风温、高鼓风湿度的“三高理论”，使铁产量翻番；开拓了氧气转炉炼钢技术，作为项目负责单位与石景山钢铁公司等单位合作，建立了新中国第一座连续生产的工业化转炉炼钢厂，使炼钢效率提高二十余倍；针对国家急需开发的攀枝花钒钛磁铁矿、包头稀土铁矿及金川硫化镍矿，研究钒、钛、稀土、钴、镍等元素的分离提取新方法，为我国钢铁工业和有色金属工业发展做出了重要贡献。70年代，在郭慕孙先生和陈家镛先生带领下，拓展了化工原理在资源与环境、能源和材料制备等领域中的应用，80年代推动了化学工程与生物技术的交叉，90年代强化了工程化学研究。跨入21世纪，研究所在国内率先开创了过程工程领域，以时空多尺度结构为核心布局四个层次的系统研究，奠定了过程工程的学科发展基础。经中央编制委员会批准，于2001年正式更名为过程工程研究所，实现了从“化工冶金创所”到“过程工程强所”的历史性跨越。近十年来，面向过程工业绿色化、智能化、高端化的重大战略需求，致力构建从基础到应用的科教产融通发展新模式，于2019年联合院内外相关优势科研力量，牵头创建了中国科学院绿色过程制造创新研究院，肩负起新时代引领支撑绿色制造变革的历史重任。</w:t>
      </w:r>
    </w:p>
    <w:p>
      <w:pPr>
        <w:widowControl/>
        <w:shd w:val="clear" w:color="auto" w:fill="FFFFFF"/>
        <w:adjustRightInd w:val="0"/>
        <w:snapToGrid w:val="0"/>
        <w:spacing w:line="360" w:lineRule="auto"/>
        <w:ind w:firstLine="420" w:firstLineChars="200"/>
        <w:rPr>
          <w:rFonts w:ascii="Times New Roman" w:hAnsi="Times New Roman"/>
          <w:kern w:val="0"/>
          <w:szCs w:val="21"/>
        </w:rPr>
      </w:pPr>
      <w:r>
        <w:rPr>
          <w:rFonts w:hint="eastAsia" w:ascii="Times New Roman" w:hAnsi="Times New Roman"/>
          <w:kern w:val="0"/>
          <w:szCs w:val="21"/>
        </w:rPr>
        <w:t>中南大学拥有全球最长链的有色金属采选冶及加工的国家重点学科群，冶金工程和矿业工程是国家</w:t>
      </w:r>
      <w:r>
        <w:rPr>
          <w:rFonts w:ascii="Times New Roman" w:hAnsi="Times New Roman"/>
          <w:kern w:val="0"/>
          <w:szCs w:val="21"/>
        </w:rPr>
        <w:t>“</w:t>
      </w:r>
      <w:r>
        <w:rPr>
          <w:rFonts w:hint="eastAsia" w:ascii="Times New Roman" w:hAnsi="Times New Roman"/>
          <w:kern w:val="0"/>
          <w:szCs w:val="21"/>
        </w:rPr>
        <w:t>双一流</w:t>
      </w:r>
      <w:r>
        <w:rPr>
          <w:rFonts w:ascii="Times New Roman" w:hAnsi="Times New Roman"/>
          <w:kern w:val="0"/>
          <w:szCs w:val="21"/>
        </w:rPr>
        <w:t>”</w:t>
      </w:r>
      <w:r>
        <w:rPr>
          <w:rFonts w:hint="eastAsia" w:ascii="Times New Roman" w:hAnsi="Times New Roman"/>
          <w:kern w:val="0"/>
          <w:szCs w:val="21"/>
        </w:rPr>
        <w:t>重点建设</w:t>
      </w:r>
      <w:r>
        <w:rPr>
          <w:rFonts w:ascii="Times New Roman" w:hAnsi="Times New Roman"/>
          <w:kern w:val="0"/>
          <w:szCs w:val="21"/>
        </w:rPr>
        <w:t>A+</w:t>
      </w:r>
      <w:r>
        <w:rPr>
          <w:rFonts w:hint="eastAsia" w:ascii="Times New Roman" w:hAnsi="Times New Roman"/>
          <w:kern w:val="0"/>
          <w:szCs w:val="21"/>
        </w:rPr>
        <w:t>学科。研究团队依托国家重金属污染防治工程技术研究中心、国家环境保护有色金属工业污染控制工程技术中心等科技创新平台。开发了</w:t>
      </w:r>
      <w:r>
        <w:rPr>
          <w:rFonts w:ascii="Times New Roman" w:hAnsi="Times New Roman"/>
          <w:kern w:val="0"/>
          <w:szCs w:val="21"/>
        </w:rPr>
        <w:t>“</w:t>
      </w:r>
      <w:r>
        <w:rPr>
          <w:rFonts w:hint="eastAsia" w:ascii="Times New Roman" w:hAnsi="Times New Roman"/>
          <w:kern w:val="0"/>
          <w:szCs w:val="21"/>
        </w:rPr>
        <w:t>重金属固废硫化</w:t>
      </w:r>
      <w:r>
        <w:rPr>
          <w:rFonts w:ascii="Times New Roman" w:hAnsi="Times New Roman"/>
          <w:kern w:val="0"/>
          <w:szCs w:val="21"/>
        </w:rPr>
        <w:t>-</w:t>
      </w:r>
      <w:r>
        <w:rPr>
          <w:rFonts w:hint="eastAsia" w:ascii="Times New Roman" w:hAnsi="Times New Roman"/>
          <w:kern w:val="0"/>
          <w:szCs w:val="21"/>
        </w:rPr>
        <w:t>浮选回收硫化物系统</w:t>
      </w:r>
      <w:r>
        <w:rPr>
          <w:rFonts w:ascii="Times New Roman" w:hAnsi="Times New Roman"/>
          <w:kern w:val="0"/>
          <w:szCs w:val="21"/>
        </w:rPr>
        <w:t>”</w:t>
      </w:r>
      <w:r>
        <w:rPr>
          <w:rFonts w:hint="eastAsia" w:ascii="Times New Roman" w:hAnsi="Times New Roman"/>
          <w:kern w:val="0"/>
          <w:szCs w:val="21"/>
        </w:rPr>
        <w:t>、</w:t>
      </w:r>
      <w:r>
        <w:rPr>
          <w:rFonts w:ascii="Times New Roman" w:hAnsi="Times New Roman"/>
          <w:kern w:val="0"/>
          <w:szCs w:val="21"/>
        </w:rPr>
        <w:t>“</w:t>
      </w:r>
      <w:r>
        <w:rPr>
          <w:rFonts w:hint="eastAsia" w:ascii="Times New Roman" w:hAnsi="Times New Roman"/>
          <w:kern w:val="0"/>
          <w:szCs w:val="21"/>
        </w:rPr>
        <w:t>含砷固废微晶化解毒与胶凝固砷系统</w:t>
      </w:r>
      <w:r>
        <w:rPr>
          <w:rFonts w:ascii="Times New Roman" w:hAnsi="Times New Roman"/>
          <w:kern w:val="0"/>
          <w:szCs w:val="21"/>
        </w:rPr>
        <w:t>”</w:t>
      </w:r>
      <w:r>
        <w:rPr>
          <w:rFonts w:hint="eastAsia" w:ascii="Times New Roman" w:hAnsi="Times New Roman"/>
          <w:kern w:val="0"/>
          <w:szCs w:val="21"/>
        </w:rPr>
        <w:t>等</w:t>
      </w:r>
      <w:r>
        <w:rPr>
          <w:rFonts w:ascii="Times New Roman" w:hAnsi="Times New Roman"/>
          <w:kern w:val="0"/>
          <w:szCs w:val="21"/>
        </w:rPr>
        <w:t>11</w:t>
      </w:r>
      <w:r>
        <w:rPr>
          <w:rFonts w:hint="eastAsia" w:ascii="Times New Roman" w:hAnsi="Times New Roman"/>
          <w:kern w:val="0"/>
          <w:szCs w:val="21"/>
        </w:rPr>
        <w:t>套移动式中试装备系统，可为本项目开展相关研究提供硬件保证。中南大学在有色金属采选冶全流程控制及固废资源化方面具有深厚研究基础。近年来，承担了国家</w:t>
      </w:r>
      <w:r>
        <w:rPr>
          <w:rFonts w:ascii="Times New Roman" w:hAnsi="Times New Roman"/>
          <w:kern w:val="0"/>
          <w:szCs w:val="21"/>
        </w:rPr>
        <w:t>863</w:t>
      </w:r>
      <w:r>
        <w:rPr>
          <w:rFonts w:hint="eastAsia" w:ascii="Times New Roman" w:hAnsi="Times New Roman"/>
          <w:kern w:val="0"/>
          <w:szCs w:val="21"/>
        </w:rPr>
        <w:t>计划重点项目</w:t>
      </w:r>
      <w:r>
        <w:rPr>
          <w:rFonts w:ascii="Times New Roman" w:hAnsi="Times New Roman"/>
          <w:kern w:val="0"/>
          <w:szCs w:val="21"/>
        </w:rPr>
        <w:t>“</w:t>
      </w:r>
      <w:r>
        <w:rPr>
          <w:rFonts w:hint="eastAsia" w:ascii="Times New Roman" w:hAnsi="Times New Roman"/>
          <w:kern w:val="0"/>
          <w:szCs w:val="21"/>
        </w:rPr>
        <w:t>湘江流域冶炼重金属固体废物减排与利用关键技术及工程示范</w:t>
      </w:r>
      <w:r>
        <w:rPr>
          <w:rFonts w:ascii="Times New Roman" w:hAnsi="Times New Roman"/>
          <w:kern w:val="0"/>
          <w:szCs w:val="21"/>
        </w:rPr>
        <w:t>”</w:t>
      </w:r>
      <w:r>
        <w:rPr>
          <w:rFonts w:hint="eastAsia" w:ascii="Times New Roman" w:hAnsi="Times New Roman"/>
          <w:kern w:val="0"/>
          <w:szCs w:val="21"/>
        </w:rPr>
        <w:t>、</w:t>
      </w:r>
      <w:r>
        <w:rPr>
          <w:rFonts w:ascii="Times New Roman" w:hAnsi="Times New Roman"/>
          <w:kern w:val="0"/>
          <w:szCs w:val="21"/>
        </w:rPr>
        <w:t>“</w:t>
      </w:r>
      <w:r>
        <w:rPr>
          <w:rFonts w:hint="eastAsia" w:ascii="Times New Roman" w:hAnsi="Times New Roman"/>
          <w:kern w:val="0"/>
          <w:szCs w:val="21"/>
        </w:rPr>
        <w:t>十二五</w:t>
      </w:r>
      <w:r>
        <w:rPr>
          <w:rFonts w:ascii="Times New Roman" w:hAnsi="Times New Roman"/>
          <w:kern w:val="0"/>
          <w:szCs w:val="21"/>
        </w:rPr>
        <w:t>”</w:t>
      </w:r>
      <w:r>
        <w:rPr>
          <w:rFonts w:hint="eastAsia" w:ascii="Times New Roman" w:hAnsi="Times New Roman"/>
          <w:kern w:val="0"/>
          <w:szCs w:val="21"/>
        </w:rPr>
        <w:t>国家科技支撑计划项目</w:t>
      </w:r>
      <w:r>
        <w:rPr>
          <w:rFonts w:ascii="Times New Roman" w:hAnsi="Times New Roman"/>
          <w:kern w:val="0"/>
          <w:szCs w:val="21"/>
        </w:rPr>
        <w:t>“</w:t>
      </w:r>
      <w:r>
        <w:rPr>
          <w:rFonts w:hint="eastAsia" w:ascii="Times New Roman" w:hAnsi="Times New Roman"/>
          <w:kern w:val="0"/>
          <w:szCs w:val="21"/>
        </w:rPr>
        <w:t>稀有及贵金属复杂共伴生矿产资源高效提取关键技术研究</w:t>
      </w:r>
      <w:r>
        <w:rPr>
          <w:rFonts w:ascii="Times New Roman" w:hAnsi="Times New Roman"/>
          <w:kern w:val="0"/>
          <w:szCs w:val="21"/>
        </w:rPr>
        <w:t>”</w:t>
      </w:r>
      <w:r>
        <w:rPr>
          <w:rFonts w:hint="eastAsia" w:ascii="Times New Roman" w:hAnsi="Times New Roman"/>
          <w:kern w:val="0"/>
          <w:szCs w:val="21"/>
        </w:rPr>
        <w:t>等多项国家级科研项目，并顺利通过验收。目前正在承担国家自然科学基金</w:t>
      </w:r>
      <w:r>
        <w:rPr>
          <w:rFonts w:ascii="Times New Roman" w:hAnsi="Times New Roman"/>
          <w:kern w:val="0"/>
          <w:szCs w:val="21"/>
        </w:rPr>
        <w:t>“</w:t>
      </w:r>
      <w:r>
        <w:rPr>
          <w:rFonts w:hint="eastAsia" w:ascii="Times New Roman" w:hAnsi="Times New Roman"/>
          <w:kern w:val="0"/>
          <w:szCs w:val="21"/>
        </w:rPr>
        <w:t>硫化砷渣水热稳定化机制</w:t>
      </w:r>
      <w:r>
        <w:rPr>
          <w:rFonts w:ascii="Times New Roman" w:hAnsi="Times New Roman"/>
          <w:kern w:val="0"/>
          <w:szCs w:val="21"/>
        </w:rPr>
        <w:t>”</w:t>
      </w:r>
      <w:r>
        <w:rPr>
          <w:rFonts w:hint="eastAsia" w:ascii="Times New Roman" w:hAnsi="Times New Roman"/>
          <w:kern w:val="0"/>
          <w:szCs w:val="21"/>
        </w:rPr>
        <w:t>及</w:t>
      </w:r>
      <w:r>
        <w:rPr>
          <w:rFonts w:ascii="Times New Roman" w:hAnsi="Times New Roman"/>
          <w:kern w:val="0"/>
          <w:szCs w:val="21"/>
        </w:rPr>
        <w:t>“</w:t>
      </w:r>
      <w:r>
        <w:rPr>
          <w:rFonts w:hint="eastAsia" w:ascii="Times New Roman" w:hAnsi="Times New Roman"/>
          <w:kern w:val="0"/>
          <w:szCs w:val="21"/>
        </w:rPr>
        <w:t>重金属危险固废安全处置关键技术与应用</w:t>
      </w:r>
      <w:r>
        <w:rPr>
          <w:rFonts w:ascii="Times New Roman" w:hAnsi="Times New Roman"/>
          <w:kern w:val="0"/>
          <w:szCs w:val="21"/>
        </w:rPr>
        <w:t>”</w:t>
      </w:r>
      <w:r>
        <w:rPr>
          <w:rFonts w:hint="eastAsia" w:ascii="Times New Roman" w:hAnsi="Times New Roman"/>
          <w:kern w:val="0"/>
          <w:szCs w:val="21"/>
        </w:rPr>
        <w:t>等国家和省部级科研项目。编制完成了《砷渣稳定化处置工程技术规范》（</w:t>
      </w:r>
      <w:r>
        <w:rPr>
          <w:rFonts w:ascii="Times New Roman" w:hAnsi="Times New Roman"/>
          <w:kern w:val="0"/>
          <w:szCs w:val="21"/>
        </w:rPr>
        <w:t>HJ 1090-2020</w:t>
      </w:r>
      <w:r>
        <w:rPr>
          <w:rFonts w:hint="eastAsia" w:ascii="Times New Roman" w:hAnsi="Times New Roman"/>
          <w:kern w:val="0"/>
          <w:szCs w:val="21"/>
        </w:rPr>
        <w:t>）、《排污许可证申请与核发技术规范</w:t>
      </w:r>
      <w:r>
        <w:rPr>
          <w:rFonts w:ascii="Times New Roman" w:hAnsi="Times New Roman"/>
          <w:kern w:val="0"/>
          <w:szCs w:val="21"/>
        </w:rPr>
        <w:t xml:space="preserve"> </w:t>
      </w:r>
      <w:r>
        <w:rPr>
          <w:rFonts w:hint="eastAsia" w:ascii="Times New Roman" w:hAnsi="Times New Roman"/>
          <w:kern w:val="0"/>
          <w:szCs w:val="21"/>
        </w:rPr>
        <w:t>有色金属工业——铜</w:t>
      </w:r>
      <w:r>
        <w:rPr>
          <w:rFonts w:ascii="Times New Roman" w:hAnsi="Times New Roman"/>
          <w:kern w:val="0"/>
          <w:szCs w:val="21"/>
        </w:rPr>
        <w:t>/</w:t>
      </w:r>
      <w:r>
        <w:rPr>
          <w:rFonts w:hint="eastAsia" w:ascii="Times New Roman" w:hAnsi="Times New Roman"/>
          <w:kern w:val="0"/>
          <w:szCs w:val="21"/>
        </w:rPr>
        <w:t>钴</w:t>
      </w:r>
      <w:r>
        <w:rPr>
          <w:rFonts w:ascii="Times New Roman" w:hAnsi="Times New Roman"/>
          <w:kern w:val="0"/>
          <w:szCs w:val="21"/>
        </w:rPr>
        <w:t>/</w:t>
      </w:r>
      <w:r>
        <w:rPr>
          <w:rFonts w:hint="eastAsia" w:ascii="Times New Roman" w:hAnsi="Times New Roman"/>
          <w:kern w:val="0"/>
          <w:szCs w:val="21"/>
        </w:rPr>
        <w:t>镍冶炼》（</w:t>
      </w:r>
      <w:r>
        <w:rPr>
          <w:rFonts w:ascii="Times New Roman" w:hAnsi="Times New Roman"/>
          <w:kern w:val="0"/>
          <w:szCs w:val="21"/>
        </w:rPr>
        <w:t>HJ863.3-2017</w:t>
      </w:r>
      <w:r>
        <w:rPr>
          <w:rFonts w:hint="eastAsia" w:ascii="Times New Roman" w:hAnsi="Times New Roman"/>
          <w:kern w:val="0"/>
          <w:szCs w:val="21"/>
        </w:rPr>
        <w:t>、</w:t>
      </w:r>
      <w:r>
        <w:rPr>
          <w:rFonts w:ascii="Times New Roman" w:hAnsi="Times New Roman"/>
          <w:kern w:val="0"/>
          <w:szCs w:val="21"/>
        </w:rPr>
        <w:t>HJ937-2017</w:t>
      </w:r>
      <w:r>
        <w:rPr>
          <w:rFonts w:hint="eastAsia" w:ascii="Times New Roman" w:hAnsi="Times New Roman"/>
          <w:kern w:val="0"/>
          <w:szCs w:val="21"/>
        </w:rPr>
        <w:t>、</w:t>
      </w:r>
      <w:r>
        <w:rPr>
          <w:rFonts w:ascii="Times New Roman" w:hAnsi="Times New Roman"/>
          <w:kern w:val="0"/>
          <w:szCs w:val="21"/>
        </w:rPr>
        <w:t>HJ934-2017</w:t>
      </w:r>
      <w:r>
        <w:rPr>
          <w:rFonts w:hint="eastAsia" w:ascii="Times New Roman" w:hAnsi="Times New Roman"/>
          <w:kern w:val="0"/>
          <w:szCs w:val="21"/>
        </w:rPr>
        <w:t>）等国家标准规范，出版《铅锌冶炼固体废物高效硫化处理技术》。获得国家科技进步二等奖（</w:t>
      </w:r>
      <w:r>
        <w:rPr>
          <w:rFonts w:ascii="Times New Roman" w:hAnsi="Times New Roman"/>
          <w:kern w:val="0"/>
          <w:szCs w:val="21"/>
        </w:rPr>
        <w:t>2014</w:t>
      </w:r>
      <w:r>
        <w:rPr>
          <w:rFonts w:hint="eastAsia" w:ascii="Times New Roman" w:hAnsi="Times New Roman"/>
          <w:kern w:val="0"/>
          <w:szCs w:val="21"/>
        </w:rPr>
        <w:t>年、</w:t>
      </w:r>
      <w:r>
        <w:rPr>
          <w:rFonts w:ascii="Times New Roman" w:hAnsi="Times New Roman"/>
          <w:kern w:val="0"/>
          <w:szCs w:val="21"/>
        </w:rPr>
        <w:t>2018</w:t>
      </w:r>
      <w:r>
        <w:rPr>
          <w:rFonts w:hint="eastAsia" w:ascii="Times New Roman" w:hAnsi="Times New Roman"/>
          <w:kern w:val="0"/>
          <w:szCs w:val="21"/>
        </w:rPr>
        <w:t>年）、国家技术发明二等奖（</w:t>
      </w:r>
      <w:r>
        <w:rPr>
          <w:rFonts w:ascii="Times New Roman" w:hAnsi="Times New Roman"/>
          <w:kern w:val="0"/>
          <w:szCs w:val="21"/>
        </w:rPr>
        <w:t>2018</w:t>
      </w:r>
      <w:r>
        <w:rPr>
          <w:rFonts w:hint="eastAsia" w:ascii="Times New Roman" w:hAnsi="Times New Roman"/>
          <w:kern w:val="0"/>
          <w:szCs w:val="21"/>
        </w:rPr>
        <w:t>年）、湖南省首届科技创新奖（</w:t>
      </w:r>
      <w:r>
        <w:rPr>
          <w:rFonts w:ascii="Times New Roman" w:hAnsi="Times New Roman"/>
          <w:kern w:val="0"/>
          <w:szCs w:val="21"/>
        </w:rPr>
        <w:t>2017</w:t>
      </w:r>
      <w:r>
        <w:rPr>
          <w:rFonts w:hint="eastAsia" w:ascii="Times New Roman" w:hAnsi="Times New Roman"/>
          <w:kern w:val="0"/>
          <w:szCs w:val="21"/>
        </w:rPr>
        <w:t>年）、湖南省自然科学一等奖（</w:t>
      </w:r>
      <w:r>
        <w:rPr>
          <w:rFonts w:ascii="Times New Roman" w:hAnsi="Times New Roman"/>
          <w:kern w:val="0"/>
          <w:szCs w:val="21"/>
        </w:rPr>
        <w:t>2017</w:t>
      </w:r>
      <w:r>
        <w:rPr>
          <w:rFonts w:hint="eastAsia" w:ascii="Times New Roman" w:hAnsi="Times New Roman"/>
          <w:kern w:val="0"/>
          <w:szCs w:val="21"/>
        </w:rPr>
        <w:t>年）等科技奖励。</w:t>
      </w:r>
    </w:p>
    <w:p>
      <w:pPr>
        <w:widowControl/>
        <w:shd w:val="clear" w:color="auto" w:fill="FFFFFF"/>
        <w:adjustRightInd w:val="0"/>
        <w:snapToGrid w:val="0"/>
        <w:spacing w:line="360" w:lineRule="auto"/>
        <w:ind w:firstLine="420" w:firstLineChars="200"/>
        <w:rPr>
          <w:rFonts w:ascii="Times New Roman" w:hAnsi="Times New Roman"/>
          <w:kern w:val="0"/>
          <w:szCs w:val="21"/>
        </w:rPr>
      </w:pPr>
      <w:r>
        <w:rPr>
          <w:rFonts w:hint="eastAsia" w:ascii="Times New Roman" w:hAnsi="Times New Roman"/>
          <w:kern w:val="0"/>
          <w:szCs w:val="21"/>
        </w:rPr>
        <w:t>湖南腾驰环保科技有限公司是专门从事有色稀贵金属资源循环利用综合回收的科技型企业，秉持“自主创新、资源循环、变废为宝、绿色发展”的产业理念，拥有独立自主的知识产权，积极探索有色金属废弃物资源化利用、无害化处置的“双赢”模式，申请专利23件，还与中南大学形成全面战略合作，广纳英才，高起点规划布局，采用最先进的工艺技术和装备技术，致力于有色金属二次物料和城市矿山协同处置，回收有价金属，实现固废清洁无害资源化处置，充当危险固体废物的清道夫，为打造一个青山绿水型的金山银山目标提供有力保障。《有色金属废料稀贵金属综合回收项目》是省重点工程，省“五个100”重大产业项目，郴州市、县重点工程项目。项目一期以铅锌锑铋为主的多金属复杂物料混合熔炼、多金属分离提纯及稀贵金属回收。二期于2023年完成建设、投产，以铜、锡冶炼回收为主。稀贵金属项目采用“三联炉——富氧熔池熔炼”进行自热熔炼多金属稀散金属富集和渣无害化处置，并实现余热高效回收，助力“双碳”目标；富集稀贵金属物料采用“氧压浸出——萃取提纯”等先进工艺梯次回收铅、铜、锌、锡、锑、铋、锂及稀贵金属银、金、铟、锗、铼、硒、碲等有价元素及其化合物，同时将砷回收到产品砷，破除砷害难题，实现固废全部资源化，避免危废的二次转移以及转移过程引起的环境与健康风险。工艺废水深度处理，循环再生利用，以绿色节能理念进行危废治理和利用，对行业发展有重要的启示与示范作用，为危废治理提供领先解决方案。</w:t>
      </w:r>
    </w:p>
    <w:p>
      <w:pPr>
        <w:widowControl/>
        <w:shd w:val="clear" w:color="auto" w:fill="FFFFFF"/>
        <w:adjustRightInd w:val="0"/>
        <w:snapToGrid w:val="0"/>
        <w:spacing w:line="360" w:lineRule="auto"/>
        <w:ind w:firstLine="420" w:firstLineChars="200"/>
        <w:rPr>
          <w:rFonts w:ascii="Times New Roman" w:hAnsi="Times New Roman"/>
          <w:kern w:val="0"/>
          <w:szCs w:val="21"/>
        </w:rPr>
      </w:pPr>
      <w:r>
        <w:rPr>
          <w:rFonts w:hint="eastAsia" w:ascii="Times New Roman" w:hAnsi="Times New Roman"/>
          <w:kern w:val="0"/>
          <w:szCs w:val="21"/>
        </w:rPr>
        <w:t>中冶长天国际工程有限责任公司是中国五矿成员企业、中国中冶（</w:t>
      </w:r>
      <w:r>
        <w:rPr>
          <w:rFonts w:ascii="Times New Roman" w:hAnsi="Times New Roman"/>
          <w:kern w:val="0"/>
          <w:szCs w:val="21"/>
        </w:rPr>
        <w:t>MCC</w:t>
      </w:r>
      <w:r>
        <w:rPr>
          <w:rFonts w:hint="eastAsia" w:ascii="Times New Roman" w:hAnsi="Times New Roman"/>
          <w:kern w:val="0"/>
          <w:szCs w:val="21"/>
        </w:rPr>
        <w:t>）控股子公司，是集工程咨询、工程设计、技术研发、装备制造、工程总承包、项目管理和投融资建设等为一体的综合性、科技型国际工程公司。中冶长天服务中国钢铁工业</w:t>
      </w:r>
      <w:r>
        <w:rPr>
          <w:rFonts w:ascii="Times New Roman" w:hAnsi="Times New Roman"/>
          <w:kern w:val="0"/>
          <w:szCs w:val="21"/>
        </w:rPr>
        <w:t>60</w:t>
      </w:r>
      <w:r>
        <w:rPr>
          <w:rFonts w:hint="eastAsia" w:ascii="Times New Roman" w:hAnsi="Times New Roman"/>
          <w:kern w:val="0"/>
          <w:szCs w:val="21"/>
        </w:rPr>
        <w:t>余年，用独占鳌头的核心技术为国内宝钢等几乎所有大中型钢铁企业以及海外</w:t>
      </w:r>
      <w:r>
        <w:rPr>
          <w:rFonts w:ascii="Times New Roman" w:hAnsi="Times New Roman"/>
          <w:kern w:val="0"/>
          <w:szCs w:val="21"/>
        </w:rPr>
        <w:t>20</w:t>
      </w:r>
      <w:r>
        <w:rPr>
          <w:rFonts w:hint="eastAsia" w:ascii="Times New Roman" w:hAnsi="Times New Roman"/>
          <w:kern w:val="0"/>
          <w:szCs w:val="21"/>
        </w:rPr>
        <w:t>多个国家的客户建设了一大批精品工程，是中国冶金工程建设领域具有全产业链、全生命周期服务能力和具有领先优势的工程建设总承包商、技术装备集成制造供应商和工程运营管理服务商，是中国冶金铁前工程领域的</w:t>
      </w:r>
      <w:r>
        <w:rPr>
          <w:rFonts w:ascii="Times New Roman" w:hAnsi="Times New Roman"/>
          <w:kern w:val="0"/>
          <w:szCs w:val="21"/>
        </w:rPr>
        <w:t>“</w:t>
      </w:r>
      <w:r>
        <w:rPr>
          <w:rFonts w:hint="eastAsia" w:ascii="Times New Roman" w:hAnsi="Times New Roman"/>
          <w:kern w:val="0"/>
          <w:szCs w:val="21"/>
        </w:rPr>
        <w:t>国家队</w:t>
      </w:r>
      <w:r>
        <w:rPr>
          <w:rFonts w:ascii="Times New Roman" w:hAnsi="Times New Roman"/>
          <w:kern w:val="0"/>
          <w:szCs w:val="21"/>
        </w:rPr>
        <w:t>”</w:t>
      </w:r>
      <w:r>
        <w:rPr>
          <w:rFonts w:hint="eastAsia" w:ascii="Times New Roman" w:hAnsi="Times New Roman"/>
          <w:kern w:val="0"/>
          <w:szCs w:val="21"/>
        </w:rPr>
        <w:t>。中冶长天国际工程有限责任公司具备各类金属矿和非金属矿选矿及综合回收工程的设计和总承包能力，选矿技术水平国内领先；拥有720平米以下全系列烧结机技术研发和建设能力，设计了中国目前最大的660平米烧结机工程，累计设计和建设的烧结机工程数量和面积位居世界第一。在冶金环保领域，自主开发了一系列节能环保核心技术——烧结余热余能高效综合利用技术、直联炉罩式余热锅炉技术、活性炭法烟气多污染物协同高效净化技术、烧结球团低温SCR脱硝技术、球团高温脱硝技术等，均已达到国际先进水平，大大提升了钢铁行业的节能降耗水平；在工业固废和危废处理、重金属治理、土壤修复、垃圾填埋和焚烧发电、工业废水处理等领域技术实力雄厚，业绩覆盖全国多个地区，是国内固废与危废物处理处置、钢铁厂固废处置及资源化协同处置城市固废领域的领先者。</w:t>
      </w:r>
    </w:p>
    <w:p>
      <w:pPr>
        <w:adjustRightInd w:val="0"/>
        <w:snapToGrid w:val="0"/>
        <w:spacing w:before="156" w:beforeLines="50" w:after="156" w:afterLines="50" w:line="360" w:lineRule="auto"/>
        <w:outlineLvl w:val="2"/>
        <w:rPr>
          <w:rFonts w:ascii="Times New Roman" w:hAnsi="Times New Roman"/>
        </w:rPr>
      </w:pPr>
      <w:r>
        <w:rPr>
          <w:rFonts w:ascii="Times New Roman" w:hAnsi="Times New Roman"/>
          <w:bCs/>
          <w:szCs w:val="21"/>
        </w:rPr>
        <w:t xml:space="preserve">3.2 </w:t>
      </w:r>
      <w:r>
        <w:rPr>
          <w:rFonts w:hint="eastAsia" w:ascii="Times New Roman" w:hAnsi="Times New Roman"/>
          <w:bCs/>
          <w:szCs w:val="21"/>
        </w:rPr>
        <w:t>主要工作过程</w:t>
      </w:r>
    </w:p>
    <w:p>
      <w:pPr>
        <w:adjustRightInd w:val="0"/>
        <w:snapToGrid w:val="0"/>
        <w:spacing w:line="360" w:lineRule="auto"/>
        <w:ind w:firstLine="422" w:firstLineChars="200"/>
        <w:rPr>
          <w:rFonts w:ascii="Times New Roman" w:hAnsi="Times New Roman"/>
          <w:b/>
          <w:bCs/>
          <w:szCs w:val="21"/>
        </w:rPr>
      </w:pPr>
      <w:r>
        <w:rPr>
          <w:rFonts w:hint="eastAsia" w:ascii="Times New Roman" w:hAnsi="Times New Roman"/>
          <w:b/>
          <w:bCs/>
          <w:szCs w:val="21"/>
        </w:rPr>
        <w:t>（</w:t>
      </w:r>
      <w:r>
        <w:rPr>
          <w:rFonts w:ascii="Times New Roman" w:hAnsi="Times New Roman"/>
          <w:b/>
          <w:bCs/>
          <w:szCs w:val="21"/>
        </w:rPr>
        <w:t>1</w:t>
      </w:r>
      <w:r>
        <w:rPr>
          <w:rFonts w:hint="eastAsia" w:ascii="Times New Roman" w:hAnsi="Times New Roman"/>
          <w:b/>
          <w:bCs/>
          <w:szCs w:val="21"/>
        </w:rPr>
        <w:t>）编制组成立与立项报告起草</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《污酸渣富氧熔炼协同资源化技术规范》编制任务下达后，</w:t>
      </w:r>
      <w:r>
        <w:rPr>
          <w:rFonts w:ascii="Times New Roman" w:hAnsi="Times New Roman"/>
          <w:szCs w:val="21"/>
        </w:rPr>
        <w:t>2021</w:t>
      </w:r>
      <w:r>
        <w:rPr>
          <w:rFonts w:hint="eastAsia" w:ascii="Times New Roman" w:hAnsi="Times New Roman"/>
          <w:szCs w:val="21"/>
        </w:rPr>
        <w:t>年</w:t>
      </w:r>
      <w:r>
        <w:rPr>
          <w:rFonts w:ascii="Times New Roman" w:hAnsi="Times New Roman"/>
          <w:szCs w:val="21"/>
        </w:rPr>
        <w:t>2</w:t>
      </w:r>
      <w:r>
        <w:rPr>
          <w:rFonts w:hint="eastAsia" w:ascii="Times New Roman" w:hAnsi="Times New Roman"/>
          <w:szCs w:val="21"/>
        </w:rPr>
        <w:t>月，主编单位成立了污酸渣富氧熔炼协同资源化技术规范编制组，制定了工作进度安排，进行了任务分工，并开始开展调研、编制等工作。</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2021</w:t>
      </w:r>
      <w:r>
        <w:rPr>
          <w:rFonts w:hint="eastAsia" w:ascii="Times New Roman" w:hAnsi="Times New Roman"/>
          <w:szCs w:val="21"/>
        </w:rPr>
        <w:t>年</w:t>
      </w:r>
      <w:r>
        <w:rPr>
          <w:rFonts w:ascii="Times New Roman" w:hAnsi="Times New Roman"/>
          <w:szCs w:val="21"/>
        </w:rPr>
        <w:t>2</w:t>
      </w:r>
      <w:r>
        <w:rPr>
          <w:rFonts w:hint="eastAsia" w:ascii="Times New Roman" w:hAnsi="Times New Roman"/>
          <w:szCs w:val="21"/>
        </w:rPr>
        <w:t>月至</w:t>
      </w:r>
      <w:r>
        <w:rPr>
          <w:rFonts w:ascii="Times New Roman" w:hAnsi="Times New Roman"/>
          <w:szCs w:val="21"/>
        </w:rPr>
        <w:t>2021</w:t>
      </w:r>
      <w:r>
        <w:rPr>
          <w:rFonts w:hint="eastAsia" w:ascii="Times New Roman" w:hAnsi="Times New Roman"/>
          <w:szCs w:val="21"/>
        </w:rPr>
        <w:t>年</w:t>
      </w:r>
      <w:r>
        <w:rPr>
          <w:rFonts w:ascii="Times New Roman" w:hAnsi="Times New Roman"/>
          <w:szCs w:val="21"/>
        </w:rPr>
        <w:t>3</w:t>
      </w:r>
      <w:r>
        <w:rPr>
          <w:rFonts w:hint="eastAsia" w:ascii="Times New Roman" w:hAnsi="Times New Roman"/>
          <w:szCs w:val="21"/>
        </w:rPr>
        <w:t>月，编制组调研了大量国内外相关标准和文献资料，搜集冶炼污酸渣处理工艺、污酸渣特性、污酸渣处理处置现状以及污染治理和综合利用的相关资料，并对相关文献资料进行归纳和分析，进行多次讨论后，初步确定了《</w:t>
      </w:r>
      <w:bookmarkStart w:id="1" w:name="_Hlk97210483"/>
      <w:r>
        <w:rPr>
          <w:rFonts w:hint="eastAsia" w:ascii="Times New Roman" w:hAnsi="Times New Roman"/>
          <w:szCs w:val="21"/>
        </w:rPr>
        <w:t>污酸渣富氧熔炼协同资源化技术规范</w:t>
      </w:r>
      <w:bookmarkEnd w:id="1"/>
      <w:r>
        <w:rPr>
          <w:rFonts w:hint="eastAsia" w:ascii="Times New Roman" w:hAnsi="Times New Roman"/>
          <w:szCs w:val="21"/>
        </w:rPr>
        <w:t>》的技术路线和主要技术指标，完成了立项建议书、立项报告和标准草案。</w:t>
      </w:r>
    </w:p>
    <w:p>
      <w:pPr>
        <w:adjustRightInd w:val="0"/>
        <w:snapToGrid w:val="0"/>
        <w:spacing w:line="360" w:lineRule="auto"/>
        <w:ind w:firstLine="422" w:firstLineChars="200"/>
        <w:rPr>
          <w:rFonts w:ascii="Times New Roman" w:hAnsi="Times New Roman"/>
          <w:b/>
          <w:bCs/>
          <w:szCs w:val="21"/>
        </w:rPr>
      </w:pPr>
      <w:r>
        <w:rPr>
          <w:rFonts w:hint="eastAsia" w:ascii="Times New Roman" w:hAnsi="Times New Roman"/>
          <w:b/>
          <w:bCs/>
          <w:szCs w:val="21"/>
        </w:rPr>
        <w:t>（</w:t>
      </w:r>
      <w:r>
        <w:rPr>
          <w:rFonts w:ascii="Times New Roman" w:hAnsi="Times New Roman"/>
          <w:b/>
          <w:bCs/>
          <w:szCs w:val="21"/>
        </w:rPr>
        <w:t>2</w:t>
      </w:r>
      <w:r>
        <w:rPr>
          <w:rFonts w:hint="eastAsia" w:ascii="Times New Roman" w:hAnsi="Times New Roman"/>
          <w:b/>
          <w:bCs/>
          <w:szCs w:val="21"/>
        </w:rPr>
        <w:t>）立项讨论与前期调研</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2021年4月至2021年5月，编制组走访、调研了</w:t>
      </w:r>
      <w:r>
        <w:rPr>
          <w:rFonts w:hint="eastAsia" w:ascii="Times New Roman" w:hAnsi="Times New Roman"/>
          <w:szCs w:val="21"/>
        </w:rPr>
        <w:t>调研了大量有色金属冶炼企业和有色金属废料综合回收企业，收集相关企业需求，对各企业的污酸渣产生过程、污酸渣产量以及污酸渣处置方式等进行了详细的了解，并对调研数据进行了分类整理和综合分析，</w:t>
      </w:r>
      <w:r>
        <w:rPr>
          <w:rFonts w:ascii="Times New Roman" w:hAnsi="Times New Roman"/>
          <w:szCs w:val="21"/>
        </w:rPr>
        <w:t>进一步完善了立项相关文件。</w:t>
      </w:r>
    </w:p>
    <w:p>
      <w:pPr>
        <w:adjustRightInd w:val="0"/>
        <w:snapToGrid w:val="0"/>
        <w:spacing w:line="360" w:lineRule="auto"/>
        <w:ind w:firstLine="480"/>
        <w:rPr>
          <w:rFonts w:ascii="Times New Roman" w:hAnsi="Times New Roman"/>
          <w:szCs w:val="21"/>
        </w:rPr>
      </w:pPr>
      <w:r>
        <w:rPr>
          <w:rFonts w:ascii="Times New Roman" w:hAnsi="Times New Roman"/>
          <w:szCs w:val="21"/>
        </w:rPr>
        <w:t>2021年11月15日在常州召开了</w:t>
      </w:r>
      <w:r>
        <w:rPr>
          <w:rFonts w:hint="eastAsia" w:ascii="Times New Roman" w:hAnsi="Times New Roman"/>
          <w:szCs w:val="21"/>
        </w:rPr>
        <w:t>《污酸渣富氧熔炼协同资源化技术规范》</w:t>
      </w:r>
      <w:r>
        <w:rPr>
          <w:rFonts w:ascii="Times New Roman" w:hAnsi="Times New Roman"/>
          <w:szCs w:val="21"/>
        </w:rPr>
        <w:t>开题论证会。专家组详细审阅了编制单位提交的开题报告和标准初稿，听取了编制组的汇报。经质询和讨论，提出了专家组意见，确定了标准编制的技术路线和工作方案，通过了标准立项。</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2022年2月23日，</w:t>
      </w:r>
      <w:r>
        <w:rPr>
          <w:rFonts w:hint="eastAsia" w:ascii="Times New Roman" w:hAnsi="Times New Roman"/>
          <w:szCs w:val="21"/>
        </w:rPr>
        <w:t>根据中色协科字</w:t>
      </w:r>
      <w:r>
        <w:rPr>
          <w:rFonts w:ascii="Times New Roman" w:hAnsi="Times New Roman"/>
          <w:szCs w:val="21"/>
        </w:rPr>
        <w:t>[202</w:t>
      </w:r>
      <w:r>
        <w:rPr>
          <w:rFonts w:hint="eastAsia" w:ascii="Times New Roman" w:hAnsi="Times New Roman"/>
          <w:szCs w:val="21"/>
        </w:rPr>
        <w:t>2</w:t>
      </w:r>
      <w:r>
        <w:rPr>
          <w:rFonts w:ascii="Times New Roman" w:hAnsi="Times New Roman"/>
          <w:szCs w:val="21"/>
        </w:rPr>
        <w:t>]</w:t>
      </w:r>
      <w:r>
        <w:rPr>
          <w:rFonts w:hint="eastAsia" w:ascii="Times New Roman" w:hAnsi="Times New Roman"/>
          <w:szCs w:val="21"/>
        </w:rPr>
        <w:t>2号文件，《污酸渣富氧熔炼协同资源化技术规范》团体标准列入标准计划项目。</w:t>
      </w:r>
    </w:p>
    <w:p>
      <w:pPr>
        <w:adjustRightInd w:val="0"/>
        <w:snapToGrid w:val="0"/>
        <w:spacing w:line="360" w:lineRule="auto"/>
        <w:ind w:firstLine="422" w:firstLineChars="200"/>
        <w:rPr>
          <w:rFonts w:ascii="Times New Roman" w:hAnsi="Times New Roman"/>
          <w:b/>
          <w:bCs/>
          <w:szCs w:val="21"/>
        </w:rPr>
      </w:pPr>
      <w:r>
        <w:rPr>
          <w:rFonts w:hint="eastAsia" w:ascii="Times New Roman" w:hAnsi="Times New Roman"/>
          <w:b/>
          <w:bCs/>
          <w:szCs w:val="21"/>
        </w:rPr>
        <w:t>（</w:t>
      </w:r>
      <w:r>
        <w:rPr>
          <w:rFonts w:ascii="Times New Roman" w:hAnsi="Times New Roman"/>
          <w:b/>
          <w:bCs/>
          <w:szCs w:val="21"/>
        </w:rPr>
        <w:t>3</w:t>
      </w:r>
      <w:r>
        <w:rPr>
          <w:rFonts w:hint="eastAsia" w:ascii="Times New Roman" w:hAnsi="Times New Roman"/>
          <w:b/>
          <w:bCs/>
          <w:szCs w:val="21"/>
        </w:rPr>
        <w:t>）征求意见稿完善</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2021年11月底，</w:t>
      </w:r>
      <w:r>
        <w:rPr>
          <w:rFonts w:hint="eastAsia" w:ascii="Times New Roman" w:hAnsi="Times New Roman"/>
          <w:szCs w:val="21"/>
        </w:rPr>
        <w:t>编制组在长沙组织召开了《污酸渣富氧熔炼协同资源化技术规范》（征求意见稿初稿）的技术咨询会，邀请了相关行业专家对标准草案进行审阅，并提出修改意见，编制组根据专家意见对初稿进行了修改、完善。</w:t>
      </w:r>
    </w:p>
    <w:p>
      <w:pPr>
        <w:adjustRightInd w:val="0"/>
        <w:snapToGrid w:val="0"/>
        <w:spacing w:line="360" w:lineRule="auto"/>
        <w:ind w:firstLine="420" w:firstLineChars="200"/>
        <w:rPr>
          <w:rFonts w:ascii="Times New Roman" w:hAnsi="Times New Roman"/>
          <w:szCs w:val="21"/>
        </w:rPr>
      </w:pPr>
      <w:r>
        <w:rPr>
          <w:rFonts w:ascii="Times New Roman" w:hAnsi="Times New Roman"/>
          <w:kern w:val="0"/>
          <w:szCs w:val="21"/>
        </w:rPr>
        <w:t>2021年12月至2022年3月，</w:t>
      </w:r>
      <w:r>
        <w:rPr>
          <w:rFonts w:hint="eastAsia" w:ascii="Times New Roman" w:hAnsi="Times New Roman"/>
          <w:szCs w:val="21"/>
        </w:rPr>
        <w:t>编制组根据技术咨询会专家意见，补充了污酸渣富氧熔炼协同资源化技术规范的原料来源、工艺选择、应用情景，完善了工艺技术指标等结合专家咨询及国内外的相关资料，初步完善了《污酸渣富氧熔炼协同资源化技术规范》（征求意见稿初稿）和《污酸渣富氧熔炼协同资源化技术规范》（编制说明）。</w:t>
      </w:r>
    </w:p>
    <w:p>
      <w:pPr>
        <w:adjustRightInd w:val="0"/>
        <w:snapToGrid w:val="0"/>
        <w:spacing w:before="156" w:beforeLines="50" w:after="156" w:afterLines="50" w:line="360" w:lineRule="auto"/>
        <w:outlineLvl w:val="0"/>
        <w:rPr>
          <w:rFonts w:ascii="Times New Roman" w:hAnsi="Times New Roman"/>
          <w:b/>
          <w:bCs/>
          <w:szCs w:val="21"/>
        </w:rPr>
      </w:pPr>
      <w:r>
        <w:rPr>
          <w:rFonts w:hint="eastAsia" w:ascii="Times New Roman" w:hAnsi="Times New Roman"/>
          <w:b/>
          <w:bCs/>
          <w:szCs w:val="21"/>
        </w:rPr>
        <w:t>二、标准的编制原则</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 xml:space="preserve">1 </w:t>
      </w:r>
      <w:r>
        <w:rPr>
          <w:rFonts w:hint="eastAsia" w:ascii="Times New Roman" w:hAnsi="Times New Roman"/>
          <w:szCs w:val="21"/>
        </w:rPr>
        <w:t>编制《污酸渣富氧熔炼协同资源化技术规范》团体标准要以满足市场需求为指导，应有利于污酸渣的资源化和无害化处理，同时也可以起到规范和引导污酸渣的资源回收和安全处置工程建设和运维。</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 xml:space="preserve">2 </w:t>
      </w:r>
      <w:r>
        <w:rPr>
          <w:rFonts w:hint="eastAsia" w:ascii="Times New Roman" w:hAnsi="Times New Roman"/>
          <w:szCs w:val="21"/>
        </w:rPr>
        <w:t>标准的编制应根据我国国情，以利于保护我国矿产资源综合利用和生态环境的保护。</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 xml:space="preserve">3 </w:t>
      </w:r>
      <w:r>
        <w:rPr>
          <w:rFonts w:hint="eastAsia" w:ascii="Times New Roman" w:hAnsi="Times New Roman"/>
          <w:szCs w:val="21"/>
        </w:rPr>
        <w:t>标准的编制应充分考虑生产企业的产品质量和相关单位的意见，同时要确保用户的需求，为选矿和资源化利用企业提供满意的工艺。</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 xml:space="preserve">4 </w:t>
      </w:r>
      <w:r>
        <w:rPr>
          <w:rFonts w:hint="eastAsia" w:ascii="Times New Roman" w:hAnsi="Times New Roman"/>
          <w:szCs w:val="21"/>
        </w:rPr>
        <w:t>新编制的标准应更加科学合理、切实可行、具有可操作性，同时促进污酸渣冶炼企业资源化利用水平的提高，满足相关法律法规要求。</w:t>
      </w:r>
    </w:p>
    <w:p>
      <w:pPr>
        <w:adjustRightInd w:val="0"/>
        <w:snapToGrid w:val="0"/>
        <w:spacing w:before="156" w:beforeLines="50" w:after="156" w:afterLines="50" w:line="360" w:lineRule="auto"/>
        <w:outlineLvl w:val="0"/>
        <w:rPr>
          <w:rFonts w:ascii="Times New Roman" w:hAnsi="Times New Roman"/>
          <w:b/>
          <w:bCs/>
          <w:szCs w:val="21"/>
        </w:rPr>
      </w:pPr>
      <w:r>
        <w:rPr>
          <w:rFonts w:hint="eastAsia" w:ascii="Times New Roman" w:hAnsi="Times New Roman"/>
          <w:b/>
          <w:bCs/>
          <w:szCs w:val="21"/>
        </w:rPr>
        <w:t>三、同类工程现状调研</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在很长一段时间里，我国对含重金属污酸渣等有害固体废物的主要处置方法是安全填埋。由于我国对危险固体废物的管理起步较晚，处置技术还处在低水平阶段，对大多数工业废弃物只是简单堆放或填埋，二次污染极为严重，同时由于重金属的大量流失还造成了资源的极大浪费。因此，必须对含重金属污酸渣等危险废物进行科学、安全的处置，以达到保护环境、充分利用资源的目的。</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由于前期污酸治理工艺的不成熟，历史堆存的污酸渣主要以</w:t>
      </w:r>
      <w:r>
        <w:rPr>
          <w:rFonts w:hint="eastAsia" w:ascii="Times New Roman"/>
          <w:color w:val="000000"/>
        </w:rPr>
        <w:t>硫化渣、石膏、污水中和渣组成的混合渣为主。针对历史堆存的污酸渣目前采用的是酸浸固液分离和富氧熔炼技术相结合的处置方法。而现状污酸治理后的污酸渣主要为污水中和渣和不符合相关标准要求的石膏，所以仅需采用富氧熔炼技术进行处置。</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 xml:space="preserve">3.1 </w:t>
      </w:r>
      <w:r>
        <w:rPr>
          <w:rFonts w:hint="eastAsia" w:ascii="Times New Roman" w:hAnsi="Times New Roman"/>
          <w:b/>
          <w:bCs/>
          <w:szCs w:val="21"/>
        </w:rPr>
        <w:t>酸浸固液分离技术</w:t>
      </w:r>
    </w:p>
    <w:p>
      <w:pPr>
        <w:adjustRightInd w:val="0"/>
        <w:snapToGrid w:val="0"/>
        <w:spacing w:line="360" w:lineRule="auto"/>
        <w:ind w:firstLine="420"/>
        <w:rPr>
          <w:rFonts w:ascii="Times New Roman" w:hAnsi="Times New Roman"/>
        </w:rPr>
      </w:pPr>
      <w:r>
        <w:rPr>
          <w:rFonts w:hint="eastAsia" w:ascii="Times New Roman" w:hAnsi="Times New Roman"/>
        </w:rPr>
        <w:t>固液分离作业广泛用于化工、矿业、湿法冶金、发电、制药、饮料、生物发酵、环保等许多工业部门。所谓固液分离，就是把生产中含水的中间或最终产品（包括排出物）的液相和固相分开，其目的不外乎是：回收有价的固相；回收有价的液相；同时回收两相；不回收任何一相。由于固液分离涉及的范围很广，因此被分离的固液种类繁多，颗粒粒度范围很广。</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酸浸法就是借用各种无机酸、碱等溶剂或者微生物来从固体废弃物中提取可溶性的成分来加以回收利用，选择适当的溶剂将固相中的有害金属，有害成分选择性溶解，使其转入液相中，达到分离有用组分和有害组分的目的。</w:t>
      </w:r>
      <w:r>
        <w:t>杜</w:t>
      </w:r>
      <w:r>
        <w:rPr>
          <w:rFonts w:hint="eastAsia"/>
        </w:rPr>
        <w:t>澍</w:t>
      </w:r>
      <w:r>
        <w:t>芝</w:t>
      </w:r>
      <w:r>
        <w:rPr>
          <w:rFonts w:ascii="Times New Roman" w:hAnsi="Times New Roman"/>
          <w:szCs w:val="21"/>
        </w:rPr>
        <w:t>研究了硅酸锌矿直接酸浸工艺中的主要技术关键及其解决途径。通过采用控制浸出终酸</w:t>
      </w:r>
      <w:r>
        <w:rPr>
          <w:rFonts w:hint="eastAsia" w:ascii="Times New Roman" w:hAnsi="Times New Roman"/>
          <w:szCs w:val="21"/>
        </w:rPr>
        <w:t>p</w:t>
      </w:r>
      <w:r>
        <w:rPr>
          <w:rFonts w:ascii="Times New Roman" w:hAnsi="Times New Roman"/>
          <w:szCs w:val="21"/>
        </w:rPr>
        <w:t>H值</w:t>
      </w:r>
      <w:r>
        <w:rPr>
          <w:rFonts w:hint="eastAsia" w:ascii="Times New Roman" w:hAnsi="Times New Roman"/>
          <w:szCs w:val="21"/>
        </w:rPr>
        <w:t>1~2</w:t>
      </w:r>
      <w:r>
        <w:rPr>
          <w:rFonts w:ascii="Times New Roman" w:hAnsi="Times New Roman"/>
          <w:szCs w:val="21"/>
        </w:rPr>
        <w:t>，温度</w:t>
      </w:r>
      <w:r>
        <w:rPr>
          <w:rFonts w:hint="eastAsia" w:ascii="Times New Roman" w:hAnsi="Times New Roman"/>
          <w:szCs w:val="21"/>
        </w:rPr>
        <w:t>45~80</w:t>
      </w:r>
      <w:r>
        <w:rPr>
          <w:rFonts w:ascii="Times New Roman" w:hAnsi="Times New Roman"/>
          <w:szCs w:val="21"/>
        </w:rPr>
        <w:t>℃，时间</w:t>
      </w:r>
      <w:r>
        <w:rPr>
          <w:rFonts w:hint="eastAsia" w:ascii="Times New Roman" w:hAnsi="Times New Roman"/>
          <w:szCs w:val="21"/>
        </w:rPr>
        <w:t>1~2小时</w:t>
      </w:r>
      <w:r>
        <w:rPr>
          <w:rFonts w:ascii="Times New Roman" w:hAnsi="Times New Roman"/>
          <w:szCs w:val="21"/>
        </w:rPr>
        <w:t>，锌离子浓度</w:t>
      </w:r>
      <w:r>
        <w:rPr>
          <w:rFonts w:hint="eastAsia" w:ascii="Times New Roman" w:hAnsi="Times New Roman"/>
          <w:szCs w:val="21"/>
        </w:rPr>
        <w:t>100~140</w:t>
      </w:r>
      <w:r>
        <w:rPr>
          <w:rFonts w:ascii="Times New Roman" w:hAnsi="Times New Roman"/>
          <w:szCs w:val="21"/>
        </w:rPr>
        <w:t>克</w:t>
      </w:r>
      <w:r>
        <w:rPr>
          <w:rFonts w:hint="eastAsia" w:ascii="Times New Roman" w:hAnsi="Times New Roman"/>
          <w:szCs w:val="21"/>
        </w:rPr>
        <w:t>/</w:t>
      </w:r>
      <w:r>
        <w:rPr>
          <w:rFonts w:ascii="Times New Roman" w:hAnsi="Times New Roman"/>
          <w:szCs w:val="21"/>
        </w:rPr>
        <w:t>升，可以获得使溶解的S</w:t>
      </w:r>
      <w:r>
        <w:rPr>
          <w:rFonts w:hint="eastAsia" w:ascii="Times New Roman" w:hAnsi="Times New Roman"/>
          <w:szCs w:val="21"/>
        </w:rPr>
        <w:t>i</w:t>
      </w:r>
      <w:r>
        <w:rPr>
          <w:rFonts w:ascii="Times New Roman" w:hAnsi="Times New Roman"/>
          <w:szCs w:val="21"/>
        </w:rPr>
        <w:t>O</w:t>
      </w:r>
      <w:r>
        <w:rPr>
          <w:rFonts w:hint="eastAsia" w:ascii="Times New Roman" w:hAnsi="Times New Roman"/>
          <w:szCs w:val="21"/>
          <w:vertAlign w:val="subscript"/>
        </w:rPr>
        <w:t>2</w:t>
      </w:r>
      <w:r>
        <w:rPr>
          <w:rFonts w:ascii="Times New Roman" w:hAnsi="Times New Roman"/>
          <w:szCs w:val="21"/>
        </w:rPr>
        <w:t>不发生胶凝作用，能降低浸出矿浆的</w:t>
      </w:r>
      <w:r>
        <w:rPr>
          <w:rFonts w:hint="eastAsia" w:ascii="Times New Roman" w:hAnsi="Times New Roman"/>
          <w:szCs w:val="21"/>
        </w:rPr>
        <w:t>粘度</w:t>
      </w:r>
      <w:r>
        <w:rPr>
          <w:rFonts w:ascii="Times New Roman" w:hAnsi="Times New Roman"/>
          <w:szCs w:val="21"/>
        </w:rPr>
        <w:t>，固液分离顺利进行，锌浸出率</w:t>
      </w:r>
      <w:r>
        <w:rPr>
          <w:rFonts w:hint="eastAsia" w:ascii="Times New Roman" w:hAnsi="Times New Roman"/>
          <w:szCs w:val="21"/>
        </w:rPr>
        <w:t>＞95%</w:t>
      </w:r>
      <w:r>
        <w:rPr>
          <w:rFonts w:ascii="Times New Roman" w:hAnsi="Times New Roman"/>
          <w:szCs w:val="21"/>
        </w:rPr>
        <w:t>的结果。</w:t>
      </w:r>
      <w:r>
        <w:rPr>
          <w:rFonts w:hint="eastAsia" w:ascii="Times New Roman" w:hAnsi="Times New Roman"/>
          <w:szCs w:val="21"/>
        </w:rPr>
        <w:t>韦仁周等进行了铅渣高温高酸浸出－酸化培烧－水浸－碳酸钢中和沉铟的工艺研究，研究结果表明：利用硫酸化培烧、水浸工艺，可将高铟铅渣和低铟铅渣中的铟浸出，铟的浸出率＞85%，浸出渣中铟分别降至0.07%和0.04%，锌降到2.0%和3.0%，同时还将铅由原来的28.36%和20.85%富集到45.0%以上，这更有利于铅的回收。杨绍文等利用某铅冶炼厂产生的铅渣，以硫酸为浸取剂，采用适当的添加剂使锌浸出率达到99%，经除杂净化、碳酸氢铵沉淀制取了纯度大于98%的氧化锌，同时浸渣含铅达到40%以上，可作为炼铅原料。</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 xml:space="preserve">3.2 </w:t>
      </w:r>
      <w:r>
        <w:rPr>
          <w:rFonts w:hint="eastAsia" w:ascii="Times New Roman" w:hAnsi="Times New Roman"/>
          <w:b/>
          <w:bCs/>
          <w:szCs w:val="21"/>
        </w:rPr>
        <w:t>富氧熔炼技术</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在金属矿冶炼过程原料中的砷、铅等重金属会随之进入冶炼产生的污酸渣中。</w:t>
      </w:r>
      <w:r>
        <w:rPr>
          <w:rFonts w:ascii="Times New Roman" w:hAnsi="Times New Roman"/>
          <w:szCs w:val="21"/>
        </w:rPr>
        <w:t>为了处理这种</w:t>
      </w:r>
      <w:r>
        <w:rPr>
          <w:rFonts w:hint="eastAsia" w:ascii="Times New Roman" w:hAnsi="Times New Roman"/>
          <w:szCs w:val="21"/>
        </w:rPr>
        <w:t>污酸渣</w:t>
      </w:r>
      <w:r>
        <w:rPr>
          <w:rFonts w:ascii="Times New Roman" w:hAnsi="Times New Roman"/>
          <w:szCs w:val="21"/>
        </w:rPr>
        <w:t>，我国冶金工作者进行了大量的研究，于20世纪末开发了多种冶炼工艺，实现了包括铅锑鼓风炉水淬渣在内的资源综合回收，主金属综合回收率达到90%以上。</w:t>
      </w:r>
      <w:r>
        <w:rPr>
          <w:rFonts w:hint="eastAsia" w:ascii="Times New Roman" w:hAnsi="Times New Roman"/>
          <w:szCs w:val="21"/>
        </w:rPr>
        <w:t>近年来，各种富氧强化熔炼技术在铜、镍、铅、锡等重金属冶炼中已陆续应用成功。</w:t>
      </w:r>
      <w:r>
        <w:rPr>
          <w:rFonts w:ascii="Times New Roman" w:hAnsi="Times New Roman"/>
          <w:szCs w:val="21"/>
        </w:rPr>
        <w:t>2001年11月河南新乡中联公司建成了风口截面积为1.5 m</w:t>
      </w:r>
      <w:r>
        <w:rPr>
          <w:rFonts w:ascii="Times New Roman" w:hAnsi="Times New Roman"/>
          <w:szCs w:val="21"/>
          <w:vertAlign w:val="superscript"/>
        </w:rPr>
        <w:t>2</w:t>
      </w:r>
      <w:r>
        <w:rPr>
          <w:rFonts w:ascii="Times New Roman" w:hAnsi="Times New Roman"/>
          <w:szCs w:val="21"/>
        </w:rPr>
        <w:t>的富氧侧吹熔池熔炼工业试验炉</w:t>
      </w:r>
      <w:r>
        <w:rPr>
          <w:rFonts w:hint="eastAsia" w:ascii="Times New Roman" w:hAnsi="Times New Roman"/>
          <w:szCs w:val="21"/>
        </w:rPr>
        <w:t>，</w:t>
      </w:r>
      <w:r>
        <w:rPr>
          <w:rFonts w:ascii="Times New Roman" w:hAnsi="Times New Roman"/>
          <w:szCs w:val="21"/>
        </w:rPr>
        <w:t>并用于硫化铅精矿直接炼铅</w:t>
      </w:r>
      <w:r>
        <w:rPr>
          <w:rFonts w:hint="eastAsia" w:ascii="Times New Roman" w:hAnsi="Times New Roman"/>
          <w:szCs w:val="21"/>
        </w:rPr>
        <w:t>，</w:t>
      </w:r>
      <w:r>
        <w:rPr>
          <w:rFonts w:ascii="Times New Roman" w:hAnsi="Times New Roman"/>
          <w:szCs w:val="21"/>
        </w:rPr>
        <w:t>取得了一定成效</w:t>
      </w:r>
      <w:r>
        <w:rPr>
          <w:rFonts w:hint="eastAsia" w:ascii="Times New Roman" w:hAnsi="Times New Roman"/>
          <w:szCs w:val="21"/>
        </w:rPr>
        <w:t>；</w:t>
      </w:r>
      <w:r>
        <w:rPr>
          <w:rFonts w:ascii="Times New Roman" w:hAnsi="Times New Roman"/>
          <w:szCs w:val="21"/>
        </w:rPr>
        <w:t>2012年湖南金旺有色公司建成了氧化区为4.22 m</w:t>
      </w:r>
      <w:r>
        <w:rPr>
          <w:rFonts w:ascii="Times New Roman" w:hAnsi="Times New Roman"/>
          <w:szCs w:val="21"/>
          <w:vertAlign w:val="superscript"/>
        </w:rPr>
        <w:t>2</w:t>
      </w:r>
      <w:r>
        <w:rPr>
          <w:rFonts w:ascii="Times New Roman" w:hAnsi="Times New Roman"/>
          <w:szCs w:val="21"/>
        </w:rPr>
        <w:t>、还原区为3.6 m</w:t>
      </w:r>
      <w:r>
        <w:rPr>
          <w:rFonts w:ascii="Times New Roman" w:hAnsi="Times New Roman"/>
          <w:szCs w:val="21"/>
          <w:vertAlign w:val="superscript"/>
        </w:rPr>
        <w:t>2</w:t>
      </w:r>
      <w:r>
        <w:rPr>
          <w:rFonts w:ascii="Times New Roman" w:hAnsi="Times New Roman"/>
          <w:szCs w:val="21"/>
        </w:rPr>
        <w:t>、且中间用溜槽连接的、可间断生产的侧吹炉</w:t>
      </w:r>
      <w:r>
        <w:rPr>
          <w:rFonts w:hint="eastAsia" w:ascii="Times New Roman" w:hAnsi="Times New Roman"/>
          <w:szCs w:val="21"/>
        </w:rPr>
        <w:t>，</w:t>
      </w:r>
      <w:r>
        <w:rPr>
          <w:rFonts w:ascii="Times New Roman" w:hAnsi="Times New Roman"/>
          <w:szCs w:val="21"/>
        </w:rPr>
        <w:t>主要用于处理铅铋混合精矿</w:t>
      </w:r>
      <w:r>
        <w:rPr>
          <w:rFonts w:hint="eastAsia" w:ascii="Times New Roman" w:hAnsi="Times New Roman"/>
          <w:szCs w:val="21"/>
        </w:rPr>
        <w:t>。张佐民等采用富氧熔炼技术改造我国的炼铜密闭鼓风炉，可收到良好的技术经济效果。以铜陵第二冶炼厂为例，年生产能力可由目前的3万吨提高到4.5万吨，硫利用率可提高约14%，焦耗将降低11.4%。蔡炳龙等针对</w:t>
      </w:r>
      <w:r>
        <w:rPr>
          <w:rFonts w:ascii="Times New Roman" w:hAnsi="Times New Roman"/>
          <w:szCs w:val="21"/>
        </w:rPr>
        <w:t>处理铅精矿</w:t>
      </w:r>
      <w:r>
        <w:rPr>
          <w:rFonts w:hint="eastAsia" w:ascii="Times New Roman" w:hAnsi="Times New Roman"/>
          <w:szCs w:val="21"/>
        </w:rPr>
        <w:t>，设计了</w:t>
      </w:r>
      <w:r>
        <w:rPr>
          <w:rFonts w:ascii="Times New Roman" w:hAnsi="Times New Roman"/>
          <w:szCs w:val="21"/>
        </w:rPr>
        <w:t>富氧底吹炉与侧吹还原炉熔炼，利用两炉联合冶炼的优势，</w:t>
      </w:r>
      <w:r>
        <w:rPr>
          <w:rFonts w:hint="eastAsia" w:ascii="Times New Roman" w:hAnsi="Times New Roman"/>
          <w:szCs w:val="21"/>
        </w:rPr>
        <w:t>成功</w:t>
      </w:r>
      <w:r>
        <w:rPr>
          <w:rFonts w:ascii="Times New Roman" w:hAnsi="Times New Roman"/>
          <w:szCs w:val="21"/>
        </w:rPr>
        <w:t>对高铜、锌、低铅精矿或富含杂料，进行有效冶炼和综合回收有价金属</w:t>
      </w:r>
      <w:r>
        <w:rPr>
          <w:rFonts w:hint="eastAsia" w:ascii="Times New Roman" w:hAnsi="Times New Roman"/>
          <w:szCs w:val="21"/>
        </w:rPr>
        <w:t>。</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3.</w:t>
      </w:r>
      <w:r>
        <w:rPr>
          <w:rFonts w:hint="eastAsia" w:ascii="Times New Roman" w:hAnsi="Times New Roman"/>
          <w:b/>
          <w:bCs/>
          <w:szCs w:val="21"/>
        </w:rPr>
        <w:t>3工程实例</w:t>
      </w:r>
    </w:p>
    <w:p>
      <w:pPr>
        <w:adjustRightInd w:val="0"/>
        <w:snapToGrid w:val="0"/>
        <w:spacing w:line="360" w:lineRule="auto"/>
        <w:ind w:firstLine="420"/>
        <w:rPr>
          <w:rFonts w:ascii="Times New Roman" w:hAnsi="Times New Roman"/>
          <w:b/>
          <w:bCs/>
        </w:rPr>
      </w:pPr>
      <w:r>
        <w:rPr>
          <w:rFonts w:ascii="Times New Roman" w:hAnsi="Times New Roman"/>
          <w:b/>
          <w:bCs/>
        </w:rPr>
        <w:t>3.</w:t>
      </w:r>
      <w:r>
        <w:rPr>
          <w:rFonts w:hint="eastAsia" w:ascii="Times New Roman" w:hAnsi="Times New Roman"/>
          <w:b/>
          <w:bCs/>
        </w:rPr>
        <w:t>3</w:t>
      </w:r>
      <w:r>
        <w:rPr>
          <w:rFonts w:ascii="Times New Roman" w:hAnsi="Times New Roman"/>
          <w:b/>
          <w:bCs/>
        </w:rPr>
        <w:t xml:space="preserve">.1 </w:t>
      </w:r>
      <w:r>
        <w:rPr>
          <w:rFonts w:hint="eastAsia" w:ascii="Times New Roman" w:hAnsi="Times New Roman"/>
          <w:b/>
          <w:bCs/>
        </w:rPr>
        <w:t>湖南某企业低品位多金属物料综合回收利用工程实例</w:t>
      </w:r>
    </w:p>
    <w:p>
      <w:pPr>
        <w:adjustRightInd w:val="0"/>
        <w:snapToGrid w:val="0"/>
        <w:spacing w:line="360" w:lineRule="auto"/>
        <w:ind w:firstLine="420"/>
        <w:rPr>
          <w:rFonts w:ascii="Times New Roman" w:hAnsi="Times New Roman"/>
        </w:rPr>
      </w:pPr>
      <w:r>
        <w:rPr>
          <w:rFonts w:hint="eastAsia" w:ascii="Times New Roman" w:hAnsi="Times New Roman"/>
        </w:rPr>
        <w:t>湖南某企业是一家以综合性回收铜、铅、锌、锡、锑、砷、铋、金、银等多种有色金属的企业，主要原料为铅锡物料、锑多金属烟尘、铜锌物料、铜锌多金属物料，年处理量为100</w:t>
      </w:r>
      <w:r>
        <w:rPr>
          <w:rFonts w:ascii="Times New Roman" w:hAnsi="Times New Roman"/>
        </w:rPr>
        <w:t xml:space="preserve"> </w:t>
      </w:r>
      <w:r>
        <w:rPr>
          <w:rFonts w:hint="eastAsia" w:ascii="Times New Roman" w:hAnsi="Times New Roman"/>
        </w:rPr>
        <w:t>kt。</w:t>
      </w:r>
    </w:p>
    <w:p>
      <w:pPr>
        <w:adjustRightInd w:val="0"/>
        <w:snapToGrid w:val="0"/>
        <w:spacing w:line="360" w:lineRule="auto"/>
        <w:ind w:firstLine="420"/>
        <w:rPr>
          <w:rFonts w:ascii="Times New Roman" w:hAnsi="Times New Roman"/>
        </w:rPr>
      </w:pPr>
      <w:r>
        <w:rPr>
          <w:rFonts w:hint="eastAsia" w:ascii="Times New Roman" w:hAnsi="Times New Roman"/>
        </w:rPr>
        <w:t>本工程采用富氧侧吹熔炼工艺，产品种类繁多，包括</w:t>
      </w:r>
      <w:r>
        <w:rPr>
          <w:rFonts w:ascii="Times New Roman" w:hAnsi="Times New Roman"/>
          <w:szCs w:val="21"/>
        </w:rPr>
        <w:t>铅锭（99.97%）14447.25 t/a</w:t>
      </w:r>
      <w:r>
        <w:rPr>
          <w:rFonts w:hint="eastAsia" w:ascii="Times New Roman" w:hAnsi="Times New Roman"/>
          <w:szCs w:val="21"/>
        </w:rPr>
        <w:t>、硫酸（98%）39539.22 t/a、</w:t>
      </w:r>
      <w:r>
        <w:rPr>
          <w:rFonts w:ascii="Times New Roman" w:hAnsi="Times New Roman"/>
          <w:szCs w:val="21"/>
        </w:rPr>
        <w:t>单质砷（As99.8%）3757.6t/a</w:t>
      </w:r>
      <w:r>
        <w:rPr>
          <w:rFonts w:hint="eastAsia" w:ascii="Times New Roman" w:hAnsi="Times New Roman"/>
          <w:szCs w:val="21"/>
        </w:rPr>
        <w:t>、</w:t>
      </w:r>
      <w:r>
        <w:rPr>
          <w:rFonts w:ascii="Times New Roman" w:hAnsi="Times New Roman"/>
          <w:szCs w:val="21"/>
        </w:rPr>
        <w:t>熔炼冰铜（Cu56.62%）12357 t/a</w:t>
      </w:r>
      <w:r>
        <w:rPr>
          <w:rFonts w:hint="eastAsia" w:ascii="Times New Roman" w:hAnsi="Times New Roman"/>
          <w:szCs w:val="21"/>
        </w:rPr>
        <w:t>等</w:t>
      </w:r>
      <w:r>
        <w:rPr>
          <w:rFonts w:ascii="Times New Roman" w:hAnsi="Times New Roman"/>
          <w:szCs w:val="21"/>
        </w:rPr>
        <w:t>。</w:t>
      </w:r>
    </w:p>
    <w:p>
      <w:pPr>
        <w:adjustRightInd w:val="0"/>
        <w:snapToGrid w:val="0"/>
        <w:spacing w:line="360" w:lineRule="auto"/>
        <w:ind w:firstLine="420"/>
        <w:rPr>
          <w:rFonts w:ascii="Times New Roman" w:hAnsi="Times New Roman"/>
        </w:rPr>
      </w:pPr>
      <w:r>
        <w:rPr>
          <w:rFonts w:hint="eastAsia" w:ascii="Times New Roman" w:hAnsi="Times New Roman"/>
        </w:rPr>
        <w:t>（1）原料性质</w:t>
      </w:r>
    </w:p>
    <w:p>
      <w:pPr>
        <w:adjustRightInd w:val="0"/>
        <w:snapToGrid w:val="0"/>
        <w:spacing w:line="360" w:lineRule="auto"/>
        <w:ind w:firstLine="420"/>
        <w:rPr>
          <w:rFonts w:ascii="Times New Roman" w:hAnsi="Times New Roman"/>
        </w:rPr>
      </w:pPr>
      <w:r>
        <w:rPr>
          <w:rFonts w:hint="eastAsia" w:ascii="Times New Roman" w:hAnsi="Times New Roman"/>
        </w:rPr>
        <w:t>本工程处置多金属物料主要来源于湖南、江西、湖北、广西、广东、云南等有色金属采选企业、中小有色金属冶炼企业和化工企业。主要指标如表1所示。</w:t>
      </w:r>
    </w:p>
    <w:p>
      <w:pPr>
        <w:adjustRightInd w:val="0"/>
        <w:snapToGrid w:val="0"/>
        <w:spacing w:line="360" w:lineRule="auto"/>
        <w:jc w:val="center"/>
        <w:rPr>
          <w:rFonts w:ascii="Times New Roman" w:hAnsi="Times New Roman"/>
        </w:rPr>
      </w:pPr>
      <w:r>
        <w:rPr>
          <w:rFonts w:hint="eastAsia" w:ascii="Times New Roman" w:hAnsi="Times New Roman"/>
        </w:rPr>
        <w:t>表1原料主要化学成分表</w:t>
      </w:r>
    </w:p>
    <w:tbl>
      <w:tblPr>
        <w:tblStyle w:val="10"/>
        <w:tblW w:w="5000"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059"/>
        <w:gridCol w:w="925"/>
        <w:gridCol w:w="810"/>
        <w:gridCol w:w="925"/>
        <w:gridCol w:w="810"/>
        <w:gridCol w:w="810"/>
        <w:gridCol w:w="1150"/>
        <w:gridCol w:w="103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08" w:type="pct"/>
            <w:noWrap/>
            <w:vAlign w:val="center"/>
          </w:tcPr>
          <w:p>
            <w:pPr>
              <w:widowControl/>
              <w:spacing w:line="280" w:lineRule="exact"/>
              <w:jc w:val="center"/>
              <w:rPr>
                <w:rFonts w:ascii="Times New Roman" w:hAnsi="Times New Roman"/>
                <w:b/>
                <w:spacing w:val="-4"/>
                <w:kern w:val="0"/>
                <w:szCs w:val="21"/>
              </w:rPr>
            </w:pPr>
            <w:r>
              <w:rPr>
                <w:rFonts w:ascii="Times New Roman" w:hAnsi="Times New Roman"/>
                <w:b/>
                <w:spacing w:val="-4"/>
                <w:kern w:val="0"/>
                <w:szCs w:val="21"/>
              </w:rPr>
              <w:t>物料名称</w:t>
            </w:r>
          </w:p>
        </w:tc>
        <w:tc>
          <w:tcPr>
            <w:tcW w:w="543" w:type="pct"/>
            <w:noWrap/>
            <w:vAlign w:val="center"/>
          </w:tcPr>
          <w:p>
            <w:pPr>
              <w:widowControl/>
              <w:spacing w:line="280" w:lineRule="exact"/>
              <w:jc w:val="center"/>
              <w:rPr>
                <w:rFonts w:ascii="Times New Roman" w:hAnsi="Times New Roman"/>
                <w:b/>
                <w:spacing w:val="-4"/>
                <w:kern w:val="0"/>
                <w:szCs w:val="21"/>
              </w:rPr>
            </w:pPr>
            <w:r>
              <w:rPr>
                <w:rFonts w:ascii="Times New Roman" w:hAnsi="Times New Roman"/>
                <w:b/>
                <w:spacing w:val="-4"/>
                <w:kern w:val="0"/>
                <w:szCs w:val="21"/>
              </w:rPr>
              <w:t>Pb</w:t>
            </w:r>
          </w:p>
        </w:tc>
        <w:tc>
          <w:tcPr>
            <w:tcW w:w="475" w:type="pct"/>
            <w:noWrap/>
            <w:vAlign w:val="center"/>
          </w:tcPr>
          <w:p>
            <w:pPr>
              <w:widowControl/>
              <w:spacing w:line="280" w:lineRule="exact"/>
              <w:jc w:val="center"/>
              <w:rPr>
                <w:rFonts w:ascii="Times New Roman" w:hAnsi="Times New Roman"/>
                <w:b/>
                <w:spacing w:val="-4"/>
                <w:kern w:val="0"/>
                <w:szCs w:val="21"/>
              </w:rPr>
            </w:pPr>
            <w:r>
              <w:rPr>
                <w:rFonts w:ascii="Times New Roman" w:hAnsi="Times New Roman"/>
                <w:b/>
                <w:spacing w:val="-4"/>
                <w:kern w:val="0"/>
                <w:szCs w:val="21"/>
              </w:rPr>
              <w:t>Zn</w:t>
            </w:r>
          </w:p>
        </w:tc>
        <w:tc>
          <w:tcPr>
            <w:tcW w:w="543" w:type="pct"/>
            <w:noWrap/>
            <w:vAlign w:val="center"/>
          </w:tcPr>
          <w:p>
            <w:pPr>
              <w:widowControl/>
              <w:spacing w:line="280" w:lineRule="exact"/>
              <w:jc w:val="center"/>
              <w:rPr>
                <w:rFonts w:ascii="Times New Roman" w:hAnsi="Times New Roman"/>
                <w:b/>
                <w:spacing w:val="-4"/>
                <w:kern w:val="0"/>
                <w:szCs w:val="21"/>
              </w:rPr>
            </w:pPr>
            <w:r>
              <w:rPr>
                <w:rFonts w:ascii="Times New Roman" w:hAnsi="Times New Roman"/>
                <w:b/>
                <w:spacing w:val="-4"/>
                <w:kern w:val="0"/>
                <w:szCs w:val="21"/>
              </w:rPr>
              <w:t>Cd</w:t>
            </w:r>
          </w:p>
        </w:tc>
        <w:tc>
          <w:tcPr>
            <w:tcW w:w="475" w:type="pct"/>
            <w:noWrap/>
            <w:vAlign w:val="center"/>
          </w:tcPr>
          <w:p>
            <w:pPr>
              <w:widowControl/>
              <w:spacing w:line="280" w:lineRule="exact"/>
              <w:jc w:val="center"/>
              <w:rPr>
                <w:rFonts w:ascii="Times New Roman" w:hAnsi="Times New Roman"/>
                <w:b/>
                <w:spacing w:val="-4"/>
                <w:kern w:val="0"/>
                <w:szCs w:val="21"/>
              </w:rPr>
            </w:pPr>
            <w:r>
              <w:rPr>
                <w:rFonts w:ascii="Times New Roman" w:hAnsi="Times New Roman"/>
                <w:b/>
                <w:spacing w:val="-4"/>
                <w:kern w:val="0"/>
                <w:szCs w:val="21"/>
              </w:rPr>
              <w:t>Cu</w:t>
            </w:r>
          </w:p>
        </w:tc>
        <w:tc>
          <w:tcPr>
            <w:tcW w:w="475" w:type="pct"/>
            <w:noWrap/>
            <w:vAlign w:val="center"/>
          </w:tcPr>
          <w:p>
            <w:pPr>
              <w:widowControl/>
              <w:spacing w:line="280" w:lineRule="exact"/>
              <w:jc w:val="center"/>
              <w:rPr>
                <w:rFonts w:ascii="Times New Roman" w:hAnsi="Times New Roman"/>
                <w:b/>
                <w:spacing w:val="-4"/>
                <w:kern w:val="0"/>
                <w:szCs w:val="21"/>
              </w:rPr>
            </w:pPr>
            <w:r>
              <w:rPr>
                <w:rFonts w:ascii="Times New Roman" w:hAnsi="Times New Roman"/>
                <w:b/>
                <w:spacing w:val="-4"/>
                <w:kern w:val="0"/>
                <w:szCs w:val="21"/>
              </w:rPr>
              <w:t>Sn</w:t>
            </w:r>
          </w:p>
        </w:tc>
        <w:tc>
          <w:tcPr>
            <w:tcW w:w="675" w:type="pct"/>
            <w:noWrap/>
            <w:vAlign w:val="center"/>
          </w:tcPr>
          <w:p>
            <w:pPr>
              <w:widowControl/>
              <w:spacing w:line="280" w:lineRule="exact"/>
              <w:jc w:val="center"/>
              <w:rPr>
                <w:rFonts w:ascii="Times New Roman" w:hAnsi="Times New Roman"/>
                <w:b/>
                <w:spacing w:val="-4"/>
                <w:kern w:val="0"/>
                <w:szCs w:val="21"/>
              </w:rPr>
            </w:pPr>
            <w:r>
              <w:rPr>
                <w:rFonts w:ascii="Times New Roman" w:hAnsi="Times New Roman"/>
                <w:b/>
                <w:spacing w:val="-4"/>
                <w:kern w:val="0"/>
                <w:szCs w:val="21"/>
              </w:rPr>
              <w:t>Sb</w:t>
            </w:r>
          </w:p>
        </w:tc>
        <w:tc>
          <w:tcPr>
            <w:tcW w:w="606" w:type="pct"/>
            <w:noWrap/>
            <w:vAlign w:val="center"/>
          </w:tcPr>
          <w:p>
            <w:pPr>
              <w:widowControl/>
              <w:spacing w:line="280" w:lineRule="exact"/>
              <w:jc w:val="center"/>
              <w:rPr>
                <w:rFonts w:ascii="Times New Roman" w:hAnsi="Times New Roman"/>
                <w:b/>
                <w:spacing w:val="-4"/>
                <w:kern w:val="0"/>
                <w:szCs w:val="21"/>
              </w:rPr>
            </w:pPr>
            <w:r>
              <w:rPr>
                <w:rFonts w:ascii="Times New Roman" w:hAnsi="Times New Roman"/>
                <w:b/>
                <w:spacing w:val="-4"/>
                <w:kern w:val="0"/>
                <w:szCs w:val="21"/>
              </w:rPr>
              <w:t>Ni</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08"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铅锡物料</w:t>
            </w:r>
          </w:p>
        </w:tc>
        <w:tc>
          <w:tcPr>
            <w:tcW w:w="543"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28.10</w:t>
            </w:r>
          </w:p>
        </w:tc>
        <w:tc>
          <w:tcPr>
            <w:tcW w:w="475"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8.39</w:t>
            </w:r>
          </w:p>
        </w:tc>
        <w:tc>
          <w:tcPr>
            <w:tcW w:w="543"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0.36</w:t>
            </w:r>
          </w:p>
        </w:tc>
        <w:tc>
          <w:tcPr>
            <w:tcW w:w="475"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0.54</w:t>
            </w:r>
          </w:p>
        </w:tc>
        <w:tc>
          <w:tcPr>
            <w:tcW w:w="475"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3.24</w:t>
            </w:r>
          </w:p>
        </w:tc>
        <w:tc>
          <w:tcPr>
            <w:tcW w:w="675"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1.16</w:t>
            </w:r>
          </w:p>
        </w:tc>
        <w:tc>
          <w:tcPr>
            <w:tcW w:w="606"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0.25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08"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锑多金属烟尘</w:t>
            </w:r>
          </w:p>
        </w:tc>
        <w:tc>
          <w:tcPr>
            <w:tcW w:w="543"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25.29</w:t>
            </w:r>
          </w:p>
        </w:tc>
        <w:tc>
          <w:tcPr>
            <w:tcW w:w="475"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6.76</w:t>
            </w:r>
          </w:p>
        </w:tc>
        <w:tc>
          <w:tcPr>
            <w:tcW w:w="543"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0.57</w:t>
            </w:r>
          </w:p>
        </w:tc>
        <w:tc>
          <w:tcPr>
            <w:tcW w:w="475"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1.24</w:t>
            </w:r>
          </w:p>
        </w:tc>
        <w:tc>
          <w:tcPr>
            <w:tcW w:w="475"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4.12</w:t>
            </w:r>
          </w:p>
        </w:tc>
        <w:tc>
          <w:tcPr>
            <w:tcW w:w="675"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3.79</w:t>
            </w:r>
          </w:p>
        </w:tc>
        <w:tc>
          <w:tcPr>
            <w:tcW w:w="606"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0.38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08"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铜锌物料</w:t>
            </w:r>
          </w:p>
        </w:tc>
        <w:tc>
          <w:tcPr>
            <w:tcW w:w="543"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5.34</w:t>
            </w:r>
          </w:p>
        </w:tc>
        <w:tc>
          <w:tcPr>
            <w:tcW w:w="475"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12.46</w:t>
            </w:r>
          </w:p>
        </w:tc>
        <w:tc>
          <w:tcPr>
            <w:tcW w:w="543"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0.25</w:t>
            </w:r>
          </w:p>
        </w:tc>
        <w:tc>
          <w:tcPr>
            <w:tcW w:w="475"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12.86</w:t>
            </w:r>
          </w:p>
        </w:tc>
        <w:tc>
          <w:tcPr>
            <w:tcW w:w="475"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3.57</w:t>
            </w:r>
          </w:p>
        </w:tc>
        <w:tc>
          <w:tcPr>
            <w:tcW w:w="675"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1.69</w:t>
            </w:r>
          </w:p>
        </w:tc>
        <w:tc>
          <w:tcPr>
            <w:tcW w:w="606"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0.19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08"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铜锌多金属物料</w:t>
            </w:r>
          </w:p>
        </w:tc>
        <w:tc>
          <w:tcPr>
            <w:tcW w:w="543"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4.69</w:t>
            </w:r>
          </w:p>
        </w:tc>
        <w:tc>
          <w:tcPr>
            <w:tcW w:w="475"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10.58</w:t>
            </w:r>
          </w:p>
        </w:tc>
        <w:tc>
          <w:tcPr>
            <w:tcW w:w="543"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0.30</w:t>
            </w:r>
          </w:p>
        </w:tc>
        <w:tc>
          <w:tcPr>
            <w:tcW w:w="475"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16.25</w:t>
            </w:r>
          </w:p>
        </w:tc>
        <w:tc>
          <w:tcPr>
            <w:tcW w:w="475"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1.33</w:t>
            </w:r>
          </w:p>
        </w:tc>
        <w:tc>
          <w:tcPr>
            <w:tcW w:w="675"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2.75</w:t>
            </w:r>
          </w:p>
        </w:tc>
        <w:tc>
          <w:tcPr>
            <w:tcW w:w="606"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0.40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08"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硫渣</w:t>
            </w:r>
          </w:p>
        </w:tc>
        <w:tc>
          <w:tcPr>
            <w:tcW w:w="543"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3</w:t>
            </w:r>
          </w:p>
        </w:tc>
        <w:tc>
          <w:tcPr>
            <w:tcW w:w="475"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2.5</w:t>
            </w:r>
          </w:p>
        </w:tc>
        <w:tc>
          <w:tcPr>
            <w:tcW w:w="543"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w:t>
            </w:r>
          </w:p>
        </w:tc>
        <w:tc>
          <w:tcPr>
            <w:tcW w:w="475"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w:t>
            </w:r>
          </w:p>
        </w:tc>
        <w:tc>
          <w:tcPr>
            <w:tcW w:w="475"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w:t>
            </w:r>
          </w:p>
        </w:tc>
        <w:tc>
          <w:tcPr>
            <w:tcW w:w="675"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w:t>
            </w:r>
          </w:p>
        </w:tc>
        <w:tc>
          <w:tcPr>
            <w:tcW w:w="606"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08" w:type="pct"/>
            <w:noWrap/>
            <w:vAlign w:val="center"/>
          </w:tcPr>
          <w:p>
            <w:pPr>
              <w:widowControl/>
              <w:spacing w:line="280" w:lineRule="exact"/>
              <w:jc w:val="center"/>
              <w:rPr>
                <w:rFonts w:ascii="Times New Roman" w:hAnsi="Times New Roman"/>
                <w:b/>
                <w:bCs/>
                <w:spacing w:val="-4"/>
                <w:kern w:val="0"/>
                <w:szCs w:val="21"/>
              </w:rPr>
            </w:pPr>
            <w:r>
              <w:rPr>
                <w:rFonts w:ascii="Times New Roman" w:hAnsi="Times New Roman"/>
                <w:b/>
                <w:bCs/>
                <w:spacing w:val="-4"/>
                <w:kern w:val="0"/>
                <w:szCs w:val="21"/>
              </w:rPr>
              <w:t>物料名称</w:t>
            </w:r>
          </w:p>
        </w:tc>
        <w:tc>
          <w:tcPr>
            <w:tcW w:w="543" w:type="pct"/>
            <w:noWrap/>
            <w:vAlign w:val="center"/>
          </w:tcPr>
          <w:p>
            <w:pPr>
              <w:widowControl/>
              <w:spacing w:line="280" w:lineRule="exact"/>
              <w:jc w:val="center"/>
              <w:rPr>
                <w:rFonts w:ascii="Times New Roman" w:hAnsi="Times New Roman"/>
                <w:b/>
                <w:spacing w:val="-4"/>
                <w:kern w:val="0"/>
                <w:szCs w:val="21"/>
              </w:rPr>
            </w:pPr>
            <w:r>
              <w:rPr>
                <w:rFonts w:ascii="Times New Roman" w:hAnsi="Times New Roman"/>
                <w:b/>
                <w:spacing w:val="-4"/>
                <w:kern w:val="0"/>
                <w:szCs w:val="21"/>
              </w:rPr>
              <w:t>Co</w:t>
            </w:r>
          </w:p>
        </w:tc>
        <w:tc>
          <w:tcPr>
            <w:tcW w:w="475" w:type="pct"/>
            <w:noWrap/>
            <w:vAlign w:val="center"/>
          </w:tcPr>
          <w:p>
            <w:pPr>
              <w:spacing w:line="280" w:lineRule="exact"/>
              <w:jc w:val="center"/>
              <w:rPr>
                <w:rFonts w:ascii="Times New Roman" w:hAnsi="Times New Roman"/>
                <w:b/>
                <w:spacing w:val="-4"/>
                <w:kern w:val="0"/>
                <w:szCs w:val="21"/>
              </w:rPr>
            </w:pPr>
            <w:r>
              <w:rPr>
                <w:rFonts w:ascii="Times New Roman" w:hAnsi="Times New Roman"/>
                <w:b/>
                <w:spacing w:val="-4"/>
                <w:kern w:val="0"/>
                <w:szCs w:val="21"/>
              </w:rPr>
              <w:t>Bi</w:t>
            </w:r>
          </w:p>
        </w:tc>
        <w:tc>
          <w:tcPr>
            <w:tcW w:w="543" w:type="pct"/>
            <w:noWrap/>
            <w:vAlign w:val="center"/>
          </w:tcPr>
          <w:p>
            <w:pPr>
              <w:spacing w:line="280" w:lineRule="exact"/>
              <w:jc w:val="center"/>
              <w:rPr>
                <w:rFonts w:ascii="Times New Roman" w:hAnsi="Times New Roman"/>
                <w:b/>
                <w:spacing w:val="-4"/>
                <w:kern w:val="0"/>
                <w:szCs w:val="21"/>
              </w:rPr>
            </w:pPr>
            <w:r>
              <w:rPr>
                <w:rFonts w:ascii="Times New Roman" w:hAnsi="Times New Roman"/>
                <w:b/>
                <w:spacing w:val="-4"/>
                <w:kern w:val="0"/>
                <w:szCs w:val="21"/>
              </w:rPr>
              <w:t>Te</w:t>
            </w:r>
          </w:p>
        </w:tc>
        <w:tc>
          <w:tcPr>
            <w:tcW w:w="475" w:type="pct"/>
            <w:noWrap/>
            <w:vAlign w:val="center"/>
          </w:tcPr>
          <w:p>
            <w:pPr>
              <w:spacing w:line="280" w:lineRule="exact"/>
              <w:jc w:val="center"/>
              <w:rPr>
                <w:rFonts w:ascii="Times New Roman" w:hAnsi="Times New Roman"/>
                <w:b/>
                <w:spacing w:val="-4"/>
                <w:kern w:val="0"/>
                <w:szCs w:val="21"/>
              </w:rPr>
            </w:pPr>
            <w:r>
              <w:rPr>
                <w:rFonts w:ascii="Times New Roman" w:hAnsi="Times New Roman"/>
                <w:b/>
                <w:spacing w:val="-4"/>
                <w:kern w:val="0"/>
                <w:szCs w:val="21"/>
              </w:rPr>
              <w:t>Se</w:t>
            </w:r>
          </w:p>
        </w:tc>
        <w:tc>
          <w:tcPr>
            <w:tcW w:w="475" w:type="pct"/>
            <w:noWrap/>
            <w:vAlign w:val="center"/>
          </w:tcPr>
          <w:p>
            <w:pPr>
              <w:spacing w:line="280" w:lineRule="exact"/>
              <w:jc w:val="center"/>
              <w:rPr>
                <w:rFonts w:ascii="Times New Roman" w:hAnsi="Times New Roman"/>
                <w:b/>
                <w:spacing w:val="-4"/>
                <w:kern w:val="0"/>
                <w:szCs w:val="21"/>
              </w:rPr>
            </w:pPr>
            <w:r>
              <w:rPr>
                <w:rFonts w:ascii="Times New Roman" w:hAnsi="Times New Roman"/>
                <w:b/>
                <w:spacing w:val="-4"/>
                <w:kern w:val="0"/>
                <w:szCs w:val="21"/>
              </w:rPr>
              <w:t>S</w:t>
            </w:r>
          </w:p>
        </w:tc>
        <w:tc>
          <w:tcPr>
            <w:tcW w:w="675" w:type="pct"/>
            <w:noWrap/>
            <w:vAlign w:val="center"/>
          </w:tcPr>
          <w:p>
            <w:pPr>
              <w:spacing w:line="280" w:lineRule="exact"/>
              <w:jc w:val="center"/>
              <w:rPr>
                <w:rFonts w:ascii="Times New Roman" w:hAnsi="Times New Roman"/>
                <w:b/>
                <w:spacing w:val="-4"/>
                <w:kern w:val="0"/>
                <w:szCs w:val="21"/>
              </w:rPr>
            </w:pPr>
            <w:r>
              <w:rPr>
                <w:rFonts w:ascii="Times New Roman" w:hAnsi="Times New Roman"/>
                <w:b/>
                <w:spacing w:val="-4"/>
                <w:kern w:val="0"/>
                <w:szCs w:val="21"/>
              </w:rPr>
              <w:t>As</w:t>
            </w:r>
          </w:p>
        </w:tc>
        <w:tc>
          <w:tcPr>
            <w:tcW w:w="606" w:type="pct"/>
            <w:noWrap/>
            <w:vAlign w:val="center"/>
          </w:tcPr>
          <w:p>
            <w:pPr>
              <w:spacing w:line="280" w:lineRule="exact"/>
              <w:jc w:val="center"/>
              <w:rPr>
                <w:rFonts w:ascii="Times New Roman" w:hAnsi="Times New Roman"/>
                <w:b/>
                <w:spacing w:val="-4"/>
                <w:kern w:val="0"/>
                <w:szCs w:val="21"/>
              </w:rPr>
            </w:pPr>
            <w:r>
              <w:rPr>
                <w:rFonts w:ascii="Times New Roman" w:hAnsi="Times New Roman"/>
                <w:b/>
                <w:spacing w:val="-4"/>
                <w:kern w:val="0"/>
                <w:szCs w:val="21"/>
              </w:rPr>
              <w:t>Au</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08"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铅锡物料</w:t>
            </w:r>
          </w:p>
        </w:tc>
        <w:tc>
          <w:tcPr>
            <w:tcW w:w="543"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0.0028</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0.40</w:t>
            </w:r>
          </w:p>
        </w:tc>
        <w:tc>
          <w:tcPr>
            <w:tcW w:w="543"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0.0008</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0.0054</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8.92</w:t>
            </w:r>
          </w:p>
        </w:tc>
        <w:tc>
          <w:tcPr>
            <w:tcW w:w="6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1.64</w:t>
            </w:r>
          </w:p>
        </w:tc>
        <w:tc>
          <w:tcPr>
            <w:tcW w:w="606"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0.00016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08"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锑多金属烟尘</w:t>
            </w:r>
          </w:p>
        </w:tc>
        <w:tc>
          <w:tcPr>
            <w:tcW w:w="543"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0.0011</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0.65</w:t>
            </w:r>
          </w:p>
        </w:tc>
        <w:tc>
          <w:tcPr>
            <w:tcW w:w="543"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0.0056</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0.076</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10.48</w:t>
            </w:r>
          </w:p>
        </w:tc>
        <w:tc>
          <w:tcPr>
            <w:tcW w:w="6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3.43</w:t>
            </w:r>
          </w:p>
        </w:tc>
        <w:tc>
          <w:tcPr>
            <w:tcW w:w="606"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0.00024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08"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铜锌物料</w:t>
            </w:r>
          </w:p>
        </w:tc>
        <w:tc>
          <w:tcPr>
            <w:tcW w:w="543"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0.002</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0.35</w:t>
            </w:r>
          </w:p>
        </w:tc>
        <w:tc>
          <w:tcPr>
            <w:tcW w:w="543"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0.0034</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0.056</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8.36</w:t>
            </w:r>
          </w:p>
        </w:tc>
        <w:tc>
          <w:tcPr>
            <w:tcW w:w="6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2.10</w:t>
            </w:r>
          </w:p>
        </w:tc>
        <w:tc>
          <w:tcPr>
            <w:tcW w:w="606"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0.0002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08"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铜锌多金属物料</w:t>
            </w:r>
          </w:p>
        </w:tc>
        <w:tc>
          <w:tcPr>
            <w:tcW w:w="543"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0.0015</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0.54</w:t>
            </w:r>
          </w:p>
        </w:tc>
        <w:tc>
          <w:tcPr>
            <w:tcW w:w="543"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0.0061</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0.018</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23.09</w:t>
            </w:r>
          </w:p>
        </w:tc>
        <w:tc>
          <w:tcPr>
            <w:tcW w:w="6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1.35</w:t>
            </w:r>
          </w:p>
        </w:tc>
        <w:tc>
          <w:tcPr>
            <w:tcW w:w="606"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0.0003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08"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硫渣</w:t>
            </w:r>
          </w:p>
        </w:tc>
        <w:tc>
          <w:tcPr>
            <w:tcW w:w="543"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w:t>
            </w:r>
          </w:p>
        </w:tc>
        <w:tc>
          <w:tcPr>
            <w:tcW w:w="543"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66</w:t>
            </w:r>
          </w:p>
        </w:tc>
        <w:tc>
          <w:tcPr>
            <w:tcW w:w="6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w:t>
            </w:r>
          </w:p>
        </w:tc>
        <w:tc>
          <w:tcPr>
            <w:tcW w:w="606"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08" w:type="pct"/>
            <w:noWrap/>
            <w:vAlign w:val="center"/>
          </w:tcPr>
          <w:p>
            <w:pPr>
              <w:widowControl/>
              <w:spacing w:line="280" w:lineRule="exact"/>
              <w:jc w:val="center"/>
              <w:rPr>
                <w:rFonts w:ascii="Times New Roman" w:hAnsi="Times New Roman"/>
                <w:b/>
                <w:bCs/>
                <w:spacing w:val="-4"/>
                <w:kern w:val="0"/>
                <w:szCs w:val="21"/>
              </w:rPr>
            </w:pPr>
            <w:r>
              <w:rPr>
                <w:rFonts w:ascii="Times New Roman" w:hAnsi="Times New Roman"/>
                <w:b/>
                <w:bCs/>
                <w:spacing w:val="-4"/>
                <w:kern w:val="0"/>
                <w:szCs w:val="21"/>
              </w:rPr>
              <w:t>物料名称</w:t>
            </w:r>
          </w:p>
        </w:tc>
        <w:tc>
          <w:tcPr>
            <w:tcW w:w="543" w:type="pct"/>
            <w:noWrap/>
            <w:vAlign w:val="center"/>
          </w:tcPr>
          <w:p>
            <w:pPr>
              <w:spacing w:line="280" w:lineRule="exact"/>
              <w:jc w:val="center"/>
              <w:rPr>
                <w:rFonts w:ascii="Times New Roman" w:hAnsi="Times New Roman"/>
                <w:b/>
                <w:spacing w:val="-4"/>
                <w:kern w:val="0"/>
                <w:szCs w:val="21"/>
              </w:rPr>
            </w:pPr>
            <w:r>
              <w:rPr>
                <w:rFonts w:ascii="Times New Roman" w:hAnsi="Times New Roman"/>
                <w:b/>
                <w:spacing w:val="-4"/>
                <w:kern w:val="0"/>
                <w:szCs w:val="21"/>
              </w:rPr>
              <w:t>Ag</w:t>
            </w:r>
          </w:p>
        </w:tc>
        <w:tc>
          <w:tcPr>
            <w:tcW w:w="475" w:type="pct"/>
            <w:noWrap/>
            <w:vAlign w:val="center"/>
          </w:tcPr>
          <w:p>
            <w:pPr>
              <w:spacing w:line="280" w:lineRule="exact"/>
              <w:jc w:val="center"/>
              <w:rPr>
                <w:rFonts w:ascii="Times New Roman" w:hAnsi="Times New Roman"/>
                <w:b/>
                <w:spacing w:val="-4"/>
                <w:kern w:val="0"/>
                <w:szCs w:val="21"/>
              </w:rPr>
            </w:pPr>
            <w:r>
              <w:rPr>
                <w:rFonts w:ascii="Times New Roman" w:hAnsi="Times New Roman"/>
                <w:b/>
                <w:spacing w:val="-4"/>
                <w:kern w:val="0"/>
                <w:szCs w:val="21"/>
              </w:rPr>
              <w:t>In</w:t>
            </w:r>
          </w:p>
        </w:tc>
        <w:tc>
          <w:tcPr>
            <w:tcW w:w="543" w:type="pct"/>
            <w:noWrap/>
            <w:vAlign w:val="center"/>
          </w:tcPr>
          <w:p>
            <w:pPr>
              <w:spacing w:line="280" w:lineRule="exact"/>
              <w:jc w:val="center"/>
              <w:rPr>
                <w:rFonts w:ascii="Times New Roman" w:hAnsi="Times New Roman"/>
                <w:b/>
                <w:spacing w:val="-4"/>
                <w:kern w:val="0"/>
                <w:szCs w:val="21"/>
              </w:rPr>
            </w:pPr>
            <w:r>
              <w:rPr>
                <w:rFonts w:ascii="Times New Roman" w:hAnsi="Times New Roman"/>
                <w:b/>
                <w:spacing w:val="-4"/>
                <w:kern w:val="0"/>
                <w:szCs w:val="21"/>
              </w:rPr>
              <w:t>Fe</w:t>
            </w:r>
          </w:p>
        </w:tc>
        <w:tc>
          <w:tcPr>
            <w:tcW w:w="475" w:type="pct"/>
            <w:noWrap/>
            <w:vAlign w:val="center"/>
          </w:tcPr>
          <w:p>
            <w:pPr>
              <w:spacing w:line="280" w:lineRule="exact"/>
              <w:jc w:val="center"/>
              <w:rPr>
                <w:rFonts w:ascii="Times New Roman" w:hAnsi="Times New Roman"/>
                <w:b/>
                <w:spacing w:val="-4"/>
                <w:kern w:val="0"/>
                <w:szCs w:val="21"/>
              </w:rPr>
            </w:pPr>
            <w:r>
              <w:rPr>
                <w:rFonts w:ascii="Times New Roman" w:hAnsi="Times New Roman"/>
                <w:b/>
                <w:spacing w:val="-4"/>
                <w:kern w:val="0"/>
                <w:szCs w:val="21"/>
              </w:rPr>
              <w:t>SiO</w:t>
            </w:r>
            <w:r>
              <w:rPr>
                <w:rFonts w:ascii="Times New Roman" w:hAnsi="Times New Roman"/>
                <w:b/>
                <w:spacing w:val="-4"/>
                <w:kern w:val="0"/>
                <w:szCs w:val="21"/>
                <w:vertAlign w:val="subscript"/>
              </w:rPr>
              <w:t>2</w:t>
            </w:r>
          </w:p>
        </w:tc>
        <w:tc>
          <w:tcPr>
            <w:tcW w:w="475" w:type="pct"/>
            <w:noWrap/>
            <w:vAlign w:val="center"/>
          </w:tcPr>
          <w:p>
            <w:pPr>
              <w:spacing w:line="280" w:lineRule="exact"/>
              <w:jc w:val="center"/>
              <w:rPr>
                <w:rFonts w:ascii="Times New Roman" w:hAnsi="Times New Roman"/>
                <w:b/>
                <w:spacing w:val="-4"/>
                <w:kern w:val="0"/>
                <w:szCs w:val="21"/>
              </w:rPr>
            </w:pPr>
            <w:r>
              <w:rPr>
                <w:rFonts w:ascii="Times New Roman" w:hAnsi="Times New Roman"/>
                <w:b/>
                <w:spacing w:val="-4"/>
                <w:kern w:val="0"/>
                <w:szCs w:val="21"/>
              </w:rPr>
              <w:t>CaO</w:t>
            </w:r>
          </w:p>
        </w:tc>
        <w:tc>
          <w:tcPr>
            <w:tcW w:w="675" w:type="pct"/>
            <w:noWrap/>
            <w:vAlign w:val="center"/>
          </w:tcPr>
          <w:p>
            <w:pPr>
              <w:spacing w:line="280" w:lineRule="exact"/>
              <w:jc w:val="center"/>
              <w:rPr>
                <w:rFonts w:ascii="Times New Roman" w:hAnsi="Times New Roman"/>
                <w:b/>
                <w:spacing w:val="-4"/>
                <w:kern w:val="0"/>
                <w:szCs w:val="21"/>
              </w:rPr>
            </w:pPr>
          </w:p>
        </w:tc>
        <w:tc>
          <w:tcPr>
            <w:tcW w:w="606" w:type="pct"/>
            <w:noWrap/>
            <w:vAlign w:val="center"/>
          </w:tcPr>
          <w:p>
            <w:pPr>
              <w:spacing w:line="280" w:lineRule="exact"/>
              <w:jc w:val="center"/>
              <w:rPr>
                <w:rFonts w:ascii="Times New Roman" w:hAnsi="Times New Roman"/>
                <w:b/>
                <w:spacing w:val="-4"/>
                <w:kern w:val="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08"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铅锡物料</w:t>
            </w:r>
          </w:p>
        </w:tc>
        <w:tc>
          <w:tcPr>
            <w:tcW w:w="543"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0.144</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0.028</w:t>
            </w:r>
          </w:p>
        </w:tc>
        <w:tc>
          <w:tcPr>
            <w:tcW w:w="543"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10.45</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8.60</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4.26</w:t>
            </w:r>
          </w:p>
        </w:tc>
        <w:tc>
          <w:tcPr>
            <w:tcW w:w="675" w:type="pct"/>
            <w:noWrap/>
            <w:vAlign w:val="center"/>
          </w:tcPr>
          <w:p>
            <w:pPr>
              <w:spacing w:line="280" w:lineRule="exact"/>
              <w:jc w:val="center"/>
              <w:rPr>
                <w:rFonts w:ascii="Times New Roman" w:hAnsi="Times New Roman"/>
                <w:spacing w:val="-4"/>
                <w:kern w:val="0"/>
                <w:szCs w:val="21"/>
              </w:rPr>
            </w:pPr>
          </w:p>
        </w:tc>
        <w:tc>
          <w:tcPr>
            <w:tcW w:w="606" w:type="pct"/>
            <w:noWrap/>
            <w:vAlign w:val="center"/>
          </w:tcPr>
          <w:p>
            <w:pPr>
              <w:spacing w:line="280" w:lineRule="exact"/>
              <w:jc w:val="center"/>
              <w:rPr>
                <w:rFonts w:ascii="Times New Roman" w:hAnsi="Times New Roman"/>
                <w:spacing w:val="-4"/>
                <w:kern w:val="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08"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锑多金属烟尘</w:t>
            </w:r>
          </w:p>
        </w:tc>
        <w:tc>
          <w:tcPr>
            <w:tcW w:w="543"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0.160</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0.052</w:t>
            </w:r>
          </w:p>
        </w:tc>
        <w:tc>
          <w:tcPr>
            <w:tcW w:w="543"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12.10</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3.81</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1.80</w:t>
            </w:r>
          </w:p>
        </w:tc>
        <w:tc>
          <w:tcPr>
            <w:tcW w:w="675" w:type="pct"/>
            <w:noWrap/>
            <w:vAlign w:val="center"/>
          </w:tcPr>
          <w:p>
            <w:pPr>
              <w:spacing w:line="280" w:lineRule="exact"/>
              <w:jc w:val="center"/>
              <w:rPr>
                <w:rFonts w:ascii="Times New Roman" w:hAnsi="Times New Roman"/>
                <w:spacing w:val="-4"/>
                <w:kern w:val="0"/>
                <w:szCs w:val="21"/>
              </w:rPr>
            </w:pPr>
          </w:p>
        </w:tc>
        <w:tc>
          <w:tcPr>
            <w:tcW w:w="606" w:type="pct"/>
            <w:noWrap/>
            <w:vAlign w:val="center"/>
          </w:tcPr>
          <w:p>
            <w:pPr>
              <w:spacing w:line="280" w:lineRule="exact"/>
              <w:jc w:val="center"/>
              <w:rPr>
                <w:rFonts w:ascii="Times New Roman" w:hAnsi="Times New Roman"/>
                <w:spacing w:val="-4"/>
                <w:kern w:val="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08"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铜锌物料</w:t>
            </w:r>
          </w:p>
        </w:tc>
        <w:tc>
          <w:tcPr>
            <w:tcW w:w="543"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0.186</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0.016</w:t>
            </w:r>
          </w:p>
        </w:tc>
        <w:tc>
          <w:tcPr>
            <w:tcW w:w="543"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13.35</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6.12</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3.10</w:t>
            </w:r>
          </w:p>
        </w:tc>
        <w:tc>
          <w:tcPr>
            <w:tcW w:w="675" w:type="pct"/>
            <w:noWrap/>
            <w:vAlign w:val="center"/>
          </w:tcPr>
          <w:p>
            <w:pPr>
              <w:spacing w:line="280" w:lineRule="exact"/>
              <w:jc w:val="center"/>
              <w:rPr>
                <w:rFonts w:ascii="Times New Roman" w:hAnsi="Times New Roman"/>
                <w:spacing w:val="-4"/>
                <w:kern w:val="0"/>
                <w:szCs w:val="21"/>
              </w:rPr>
            </w:pPr>
          </w:p>
        </w:tc>
        <w:tc>
          <w:tcPr>
            <w:tcW w:w="606" w:type="pct"/>
            <w:noWrap/>
            <w:vAlign w:val="center"/>
          </w:tcPr>
          <w:p>
            <w:pPr>
              <w:spacing w:line="280" w:lineRule="exact"/>
              <w:jc w:val="center"/>
              <w:rPr>
                <w:rFonts w:ascii="Times New Roman" w:hAnsi="Times New Roman"/>
                <w:spacing w:val="-4"/>
                <w:kern w:val="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08"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铜锌多金属料</w:t>
            </w:r>
          </w:p>
        </w:tc>
        <w:tc>
          <w:tcPr>
            <w:tcW w:w="543"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0.189</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0.022</w:t>
            </w:r>
          </w:p>
        </w:tc>
        <w:tc>
          <w:tcPr>
            <w:tcW w:w="543"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12.67</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5.12</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3.05</w:t>
            </w:r>
          </w:p>
        </w:tc>
        <w:tc>
          <w:tcPr>
            <w:tcW w:w="675" w:type="pct"/>
            <w:noWrap/>
            <w:vAlign w:val="center"/>
          </w:tcPr>
          <w:p>
            <w:pPr>
              <w:spacing w:line="280" w:lineRule="exact"/>
              <w:jc w:val="center"/>
              <w:rPr>
                <w:rFonts w:ascii="Times New Roman" w:hAnsi="Times New Roman"/>
                <w:spacing w:val="-4"/>
                <w:kern w:val="0"/>
                <w:szCs w:val="21"/>
              </w:rPr>
            </w:pPr>
          </w:p>
        </w:tc>
        <w:tc>
          <w:tcPr>
            <w:tcW w:w="606" w:type="pct"/>
            <w:noWrap/>
            <w:vAlign w:val="center"/>
          </w:tcPr>
          <w:p>
            <w:pPr>
              <w:spacing w:line="280" w:lineRule="exact"/>
              <w:jc w:val="center"/>
              <w:rPr>
                <w:rFonts w:ascii="Times New Roman" w:hAnsi="Times New Roman"/>
                <w:spacing w:val="-4"/>
                <w:kern w:val="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08" w:type="pct"/>
            <w:noWrap/>
            <w:vAlign w:val="center"/>
          </w:tcPr>
          <w:p>
            <w:pPr>
              <w:widowControl/>
              <w:spacing w:line="280" w:lineRule="exact"/>
              <w:jc w:val="center"/>
              <w:rPr>
                <w:rFonts w:ascii="Times New Roman" w:hAnsi="Times New Roman"/>
                <w:spacing w:val="-4"/>
                <w:kern w:val="0"/>
                <w:szCs w:val="21"/>
              </w:rPr>
            </w:pPr>
            <w:r>
              <w:rPr>
                <w:rFonts w:ascii="Times New Roman" w:hAnsi="Times New Roman"/>
                <w:spacing w:val="-4"/>
                <w:kern w:val="0"/>
                <w:szCs w:val="21"/>
              </w:rPr>
              <w:t>硫渣</w:t>
            </w:r>
          </w:p>
        </w:tc>
        <w:tc>
          <w:tcPr>
            <w:tcW w:w="543"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w:t>
            </w:r>
          </w:p>
        </w:tc>
        <w:tc>
          <w:tcPr>
            <w:tcW w:w="543"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15</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w:t>
            </w:r>
          </w:p>
        </w:tc>
        <w:tc>
          <w:tcPr>
            <w:tcW w:w="475" w:type="pct"/>
            <w:noWrap/>
            <w:vAlign w:val="center"/>
          </w:tcPr>
          <w:p>
            <w:pPr>
              <w:spacing w:line="280" w:lineRule="exact"/>
              <w:jc w:val="center"/>
              <w:rPr>
                <w:rFonts w:ascii="Times New Roman" w:hAnsi="Times New Roman"/>
                <w:spacing w:val="-4"/>
                <w:kern w:val="0"/>
                <w:szCs w:val="21"/>
              </w:rPr>
            </w:pPr>
            <w:r>
              <w:rPr>
                <w:rFonts w:ascii="Times New Roman" w:hAnsi="Times New Roman"/>
                <w:spacing w:val="-4"/>
                <w:kern w:val="0"/>
                <w:szCs w:val="21"/>
              </w:rPr>
              <w:t>-</w:t>
            </w:r>
          </w:p>
        </w:tc>
        <w:tc>
          <w:tcPr>
            <w:tcW w:w="675" w:type="pct"/>
            <w:noWrap/>
            <w:vAlign w:val="center"/>
          </w:tcPr>
          <w:p>
            <w:pPr>
              <w:spacing w:line="280" w:lineRule="exact"/>
              <w:jc w:val="center"/>
              <w:rPr>
                <w:rFonts w:ascii="Times New Roman" w:hAnsi="Times New Roman"/>
                <w:spacing w:val="-4"/>
                <w:kern w:val="0"/>
                <w:szCs w:val="21"/>
              </w:rPr>
            </w:pPr>
          </w:p>
        </w:tc>
        <w:tc>
          <w:tcPr>
            <w:tcW w:w="606" w:type="pct"/>
            <w:noWrap/>
            <w:vAlign w:val="center"/>
          </w:tcPr>
          <w:p>
            <w:pPr>
              <w:spacing w:line="280" w:lineRule="exact"/>
              <w:jc w:val="center"/>
              <w:rPr>
                <w:rFonts w:ascii="Times New Roman" w:hAnsi="Times New Roman"/>
                <w:spacing w:val="-4"/>
                <w:kern w:val="0"/>
                <w:szCs w:val="21"/>
              </w:rPr>
            </w:pPr>
          </w:p>
        </w:tc>
      </w:tr>
    </w:tbl>
    <w:p>
      <w:pPr>
        <w:adjustRightInd w:val="0"/>
        <w:snapToGrid w:val="0"/>
        <w:spacing w:line="360" w:lineRule="auto"/>
        <w:ind w:firstLine="420"/>
        <w:rPr>
          <w:rFonts w:ascii="Times New Roman" w:hAnsi="Times New Roman"/>
        </w:rPr>
      </w:pPr>
      <w:r>
        <w:rPr>
          <w:rFonts w:hint="eastAsia" w:ascii="Times New Roman" w:hAnsi="Times New Roman"/>
        </w:rPr>
        <w:t>（2）处理工艺</w:t>
      </w:r>
    </w:p>
    <w:p>
      <w:pPr>
        <w:adjustRightInd w:val="0"/>
        <w:snapToGrid w:val="0"/>
        <w:spacing w:line="360" w:lineRule="auto"/>
        <w:ind w:firstLine="420"/>
        <w:rPr>
          <w:rFonts w:ascii="Times New Roman" w:hAnsi="Times New Roman"/>
        </w:rPr>
      </w:pPr>
      <w:r>
        <w:rPr>
          <w:rFonts w:hint="eastAsia" w:ascii="Times New Roman" w:hAnsi="Times New Roman"/>
        </w:rPr>
        <w:t>本工程的原料分为高</w:t>
      </w:r>
      <w:r>
        <w:rPr>
          <w:rFonts w:ascii="Times New Roman" w:hAnsi="Times New Roman"/>
        </w:rPr>
        <w:t>Cu</w:t>
      </w:r>
      <w:r>
        <w:rPr>
          <w:rFonts w:hint="eastAsia" w:ascii="Times New Roman" w:hAnsi="Times New Roman"/>
        </w:rPr>
        <w:t>低</w:t>
      </w:r>
      <w:r>
        <w:rPr>
          <w:rFonts w:ascii="Times New Roman" w:hAnsi="Times New Roman"/>
        </w:rPr>
        <w:t>Pb</w:t>
      </w:r>
      <w:r>
        <w:rPr>
          <w:rFonts w:hint="eastAsia" w:ascii="Times New Roman" w:hAnsi="Times New Roman"/>
        </w:rPr>
        <w:t>物料和高</w:t>
      </w:r>
      <w:r>
        <w:rPr>
          <w:rFonts w:ascii="Times New Roman" w:hAnsi="Times New Roman"/>
        </w:rPr>
        <w:t>Pb</w:t>
      </w:r>
      <w:r>
        <w:rPr>
          <w:rFonts w:hint="eastAsia" w:ascii="Times New Roman" w:hAnsi="Times New Roman"/>
        </w:rPr>
        <w:t>低</w:t>
      </w:r>
      <w:r>
        <w:rPr>
          <w:rFonts w:ascii="Times New Roman" w:hAnsi="Times New Roman"/>
        </w:rPr>
        <w:t>Cu</w:t>
      </w:r>
      <w:r>
        <w:rPr>
          <w:rFonts w:hint="eastAsia" w:ascii="Times New Roman" w:hAnsi="Times New Roman"/>
        </w:rPr>
        <w:t>物料两种进行处置。其中高</w:t>
      </w:r>
      <w:r>
        <w:rPr>
          <w:rFonts w:ascii="Times New Roman" w:hAnsi="Times New Roman"/>
        </w:rPr>
        <w:t>Pb</w:t>
      </w:r>
      <w:r>
        <w:rPr>
          <w:rFonts w:hint="eastAsia" w:ascii="Times New Roman" w:hAnsi="Times New Roman"/>
        </w:rPr>
        <w:t>低</w:t>
      </w:r>
      <w:r>
        <w:rPr>
          <w:rFonts w:ascii="Times New Roman" w:hAnsi="Times New Roman"/>
        </w:rPr>
        <w:t>Cu</w:t>
      </w:r>
      <w:r>
        <w:rPr>
          <w:rFonts w:hint="eastAsia" w:ascii="Times New Roman" w:hAnsi="Times New Roman"/>
        </w:rPr>
        <w:t>物料采用富氧侧吹熔池熔炼、富氧侧吹还原熔炼、烟化炉烟化工艺；高</w:t>
      </w:r>
      <w:r>
        <w:rPr>
          <w:rFonts w:ascii="Times New Roman" w:hAnsi="Times New Roman"/>
        </w:rPr>
        <w:t>Cu</w:t>
      </w:r>
      <w:r>
        <w:rPr>
          <w:rFonts w:hint="eastAsia" w:ascii="Times New Roman" w:hAnsi="Times New Roman"/>
        </w:rPr>
        <w:t>低</w:t>
      </w:r>
      <w:r>
        <w:rPr>
          <w:rFonts w:ascii="Times New Roman" w:hAnsi="Times New Roman"/>
        </w:rPr>
        <w:t>Pb</w:t>
      </w:r>
      <w:r>
        <w:rPr>
          <w:rFonts w:hint="eastAsia" w:ascii="Times New Roman" w:hAnsi="Times New Roman"/>
        </w:rPr>
        <w:t>物料采用富氧侧吹熔池熔炼、烟化炉烟化工艺。</w:t>
      </w:r>
    </w:p>
    <w:p>
      <w:pPr>
        <w:adjustRightInd w:val="0"/>
        <w:snapToGrid w:val="0"/>
        <w:spacing w:line="360" w:lineRule="auto"/>
        <w:ind w:firstLine="420"/>
        <w:rPr>
          <w:rFonts w:ascii="Times New Roman" w:hAnsi="Times New Roman"/>
        </w:rPr>
      </w:pPr>
      <w:r>
        <w:rPr>
          <w:rFonts w:hint="eastAsia" w:ascii="Times New Roman" w:hAnsi="Times New Roman"/>
        </w:rPr>
        <w:t>（3）工艺流程</w:t>
      </w:r>
    </w:p>
    <w:p>
      <w:pPr>
        <w:adjustRightInd w:val="0"/>
        <w:snapToGrid w:val="0"/>
        <w:spacing w:line="360" w:lineRule="auto"/>
        <w:ind w:firstLine="420"/>
        <w:rPr>
          <w:rFonts w:ascii="Times New Roman" w:hAnsi="Times New Roman"/>
        </w:rPr>
      </w:pPr>
      <w:r>
        <w:rPr>
          <w:rFonts w:ascii="Times New Roman" w:hAnsi="Times New Roman"/>
        </w:rPr>
        <w:t>① 高Pb低Cu物料</w:t>
      </w:r>
    </w:p>
    <w:p>
      <w:pPr>
        <w:adjustRightInd w:val="0"/>
        <w:snapToGrid w:val="0"/>
        <w:spacing w:line="360" w:lineRule="auto"/>
        <w:ind w:firstLine="420"/>
        <w:rPr>
          <w:rFonts w:ascii="Times New Roman" w:hAnsi="Times New Roman"/>
        </w:rPr>
      </w:pPr>
      <w:r>
        <w:rPr>
          <w:rFonts w:hint="eastAsia" w:ascii="Times New Roman" w:hAnsi="Times New Roman"/>
        </w:rPr>
        <w:t>物料按一定配料比进行配料后，由皮带转运加入富氧侧吹炉中进行富氧熔炼。炉料在富氧侧吹炉内与从炉体两侧的风口鼓入含氧～70%的富氧空气进行富氧熔池熔炼，产生铅锡合金、炉渣和高温烟气。铅锡合金自炉端的虹吸口排出；含铅锡合金较高的渣由渣口排出流入还原炉还原；高温烟气经余热锅炉冷却、电收尘器、布袋除尘器净化除尘后送硫酸车间，余热烟尘和电烟尘作为铅锡合金冶炼原料。</w:t>
      </w:r>
    </w:p>
    <w:p>
      <w:pPr>
        <w:adjustRightInd w:val="0"/>
        <w:snapToGrid w:val="0"/>
        <w:spacing w:line="360" w:lineRule="auto"/>
        <w:ind w:firstLine="420"/>
        <w:rPr>
          <w:rFonts w:ascii="Times New Roman" w:hAnsi="Times New Roman"/>
        </w:rPr>
      </w:pPr>
      <w:r>
        <w:rPr>
          <w:rFonts w:hint="eastAsia" w:ascii="Times New Roman" w:hAnsi="Times New Roman"/>
        </w:rPr>
        <w:t>炉渣在富氧侧吹炉还原炉内，与从炉体两侧的风口鼓入含氧～55%的富氧空气进行富氧熔池还原。熔炼生成产生铅锡合金、炉渣和高温烟气。铅锡合金由炉端的虹吸口排出；含铅锡合金较低的渣由渣口排出流入烟化炉烟化；高温烟气先经余热锅炉降温后，进入电除尘器除尘，再经骤冷器从380℃骤降温至135℃，袋式除尘器收白砷，然后送两转两吸制酸生产线。</w:t>
      </w:r>
    </w:p>
    <w:p>
      <w:pPr>
        <w:adjustRightInd w:val="0"/>
        <w:snapToGrid w:val="0"/>
        <w:spacing w:line="360" w:lineRule="auto"/>
        <w:ind w:firstLine="420"/>
        <w:rPr>
          <w:rFonts w:ascii="Times New Roman" w:hAnsi="Times New Roman"/>
        </w:rPr>
      </w:pPr>
      <w:r>
        <w:rPr>
          <w:rFonts w:hint="eastAsia" w:ascii="Times New Roman" w:hAnsi="Times New Roman"/>
        </w:rPr>
        <w:t>来自还原炉的热态渣流入烟化炉内，与粉煤、空气发生反应，产出的烟气（尘）经余热锅炉回收余热、布袋收尘器收尘，收下的收下的烟尘（即次氧化锌）送入锌系统，废气脱硫后经烟囱达标排放。烟化炉吹炼产出的炉渣经水淬沉淀后，送往渣场暂存，出售给水泥厂作原料。</w:t>
      </w:r>
    </w:p>
    <w:p>
      <w:pPr>
        <w:adjustRightInd w:val="0"/>
        <w:snapToGrid w:val="0"/>
        <w:spacing w:line="360" w:lineRule="auto"/>
        <w:ind w:firstLine="420"/>
        <w:rPr>
          <w:rFonts w:ascii="Times New Roman" w:hAnsi="Times New Roman"/>
        </w:rPr>
      </w:pPr>
    </w:p>
    <w:p>
      <w:pPr>
        <w:adjustRightInd w:val="0"/>
        <w:snapToGrid w:val="0"/>
        <w:spacing w:line="360" w:lineRule="auto"/>
        <w:jc w:val="center"/>
        <w:rPr>
          <w:rFonts w:ascii="Times New Roman" w:hAnsi="Times New Roman"/>
        </w:rPr>
      </w:pPr>
      <w:r>
        <w:rPr>
          <w:rFonts w:ascii="Times New Roman" w:hAnsi="Times New Roman"/>
        </w:rPr>
        <w:pict>
          <v:shape id="_x0000_i1025" o:spt="75" alt="1647935466(1)" type="#_x0000_t75" style="height:301.65pt;width:338.7pt;" filled="f" o:preferrelative="t" stroked="f" coordsize="21600,21600">
            <v:path/>
            <v:fill on="f" focussize="0,0"/>
            <v:stroke on="f" joinstyle="miter"/>
            <v:imagedata r:id="rId7" o:title="1647935466(1)"/>
            <o:lock v:ext="edit" aspectratio="t"/>
            <w10:wrap type="none"/>
            <w10:anchorlock/>
          </v:shape>
        </w:pict>
      </w:r>
    </w:p>
    <w:p>
      <w:pPr>
        <w:adjustRightInd w:val="0"/>
        <w:snapToGrid w:val="0"/>
        <w:spacing w:line="360" w:lineRule="auto"/>
        <w:jc w:val="center"/>
        <w:rPr>
          <w:rFonts w:ascii="Times New Roman" w:hAnsi="Times New Roman"/>
        </w:rPr>
      </w:pPr>
      <w:r>
        <w:rPr>
          <w:rFonts w:hint="eastAsia" w:ascii="Times New Roman" w:hAnsi="Times New Roman"/>
        </w:rPr>
        <w:t>图1 高</w:t>
      </w:r>
      <w:r>
        <w:rPr>
          <w:rFonts w:ascii="Times New Roman" w:hAnsi="Times New Roman"/>
        </w:rPr>
        <w:t>Pb</w:t>
      </w:r>
      <w:r>
        <w:rPr>
          <w:rFonts w:hint="eastAsia" w:ascii="Times New Roman" w:hAnsi="Times New Roman"/>
        </w:rPr>
        <w:t>低</w:t>
      </w:r>
      <w:r>
        <w:rPr>
          <w:rFonts w:ascii="Times New Roman" w:hAnsi="Times New Roman"/>
        </w:rPr>
        <w:t>Cu</w:t>
      </w:r>
      <w:r>
        <w:rPr>
          <w:rFonts w:hint="eastAsia" w:ascii="Times New Roman" w:hAnsi="Times New Roman"/>
        </w:rPr>
        <w:t>物料熔炼工艺流程图</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②高Cu低Pb物料</w:t>
      </w:r>
    </w:p>
    <w:p>
      <w:pPr>
        <w:adjustRightInd w:val="0"/>
        <w:snapToGrid w:val="0"/>
        <w:spacing w:line="360" w:lineRule="auto"/>
        <w:ind w:firstLine="420" w:firstLineChars="200"/>
        <w:rPr>
          <w:szCs w:val="21"/>
        </w:rPr>
      </w:pPr>
      <w:r>
        <w:rPr>
          <w:rFonts w:hint="eastAsia" w:ascii="Times New Roman" w:hAnsi="Times New Roman"/>
        </w:rPr>
        <w:t>物料按一定配料比进行配料后，由皮带转运加入富氧侧吹炉中进行富氧熔炼。炉料熔化并与还原剂发生强烈反应生成冰铜和炉渣，</w:t>
      </w:r>
      <w:r>
        <w:rPr>
          <w:rFonts w:hint="eastAsia"/>
          <w:szCs w:val="21"/>
        </w:rPr>
        <w:t>冰铜由炉端的虹吸口排出，经水碎后由冰铜扒渣机扒入成品库。含铜较低的渣由渣口排出流入烟化炉烟化。高温烟气出炉后经余热锅炉冷却、电收尘器、布袋除尘器净化除尘后送硫酸车间；余热烟尘和电烟尘作为铅锡合金冶炼原料，布袋尘送金属砷回收。</w:t>
      </w:r>
    </w:p>
    <w:p>
      <w:pPr>
        <w:adjustRightInd w:val="0"/>
        <w:snapToGrid w:val="0"/>
        <w:spacing w:line="360" w:lineRule="auto"/>
        <w:ind w:firstLine="420" w:firstLineChars="200"/>
        <w:rPr>
          <w:szCs w:val="21"/>
        </w:rPr>
      </w:pPr>
      <w:r>
        <w:rPr>
          <w:szCs w:val="21"/>
        </w:rPr>
        <w:t>来自熔炼炉的热态渣流入烟化炉内，与粉煤、空气发生反应，产出的烟气（尘）经余热锅炉回收余热、布袋收尘器收尘，收下的烟尘（即次氧化锌）送锌系统，废气脱硫后经烟囱达标排放。烟化炉吹炼产出的炉渣经水碎沉淀后，送往渣场暂存，出售给水泥厂作原料。</w:t>
      </w:r>
    </w:p>
    <w:p>
      <w:pPr>
        <w:adjustRightInd w:val="0"/>
        <w:snapToGrid w:val="0"/>
        <w:spacing w:line="360" w:lineRule="auto"/>
        <w:ind w:firstLine="420" w:firstLineChars="200"/>
        <w:jc w:val="center"/>
        <w:rPr>
          <w:rFonts w:ascii="Times New Roman" w:hAnsi="Times New Roman"/>
        </w:rPr>
      </w:pPr>
      <w:r>
        <w:rPr>
          <w:rFonts w:ascii="Times New Roman" w:hAnsi="Times New Roman"/>
        </w:rPr>
        <w:pict>
          <v:shape id="_x0000_i1026" o:spt="75" type="#_x0000_t75" style="height:209.85pt;width:280.15pt;" filled="f" o:preferrelative="t" stroked="f" coordsize="21600,21600">
            <v:path/>
            <v:fill on="f" focussize="0,0"/>
            <v:stroke on="f" joinstyle="miter"/>
            <v:imagedata r:id="rId8" o:title=""/>
            <o:lock v:ext="edit" aspectratio="t"/>
            <w10:wrap type="none"/>
            <w10:anchorlock/>
          </v:shape>
        </w:pict>
      </w:r>
    </w:p>
    <w:p>
      <w:pPr>
        <w:adjustRightInd w:val="0"/>
        <w:snapToGrid w:val="0"/>
        <w:spacing w:line="360" w:lineRule="auto"/>
        <w:jc w:val="center"/>
        <w:rPr>
          <w:rFonts w:ascii="Times New Roman" w:hAnsi="Times New Roman"/>
        </w:rPr>
      </w:pPr>
      <w:r>
        <w:rPr>
          <w:rFonts w:hint="eastAsia" w:ascii="Times New Roman" w:hAnsi="Times New Roman"/>
        </w:rPr>
        <w:t>图2 高Cu低Pb物料熔炼工艺流程图</w:t>
      </w:r>
    </w:p>
    <w:p>
      <w:pPr>
        <w:adjustRightInd w:val="0"/>
        <w:snapToGrid w:val="0"/>
        <w:spacing w:line="360" w:lineRule="auto"/>
        <w:ind w:firstLine="420" w:firstLineChars="200"/>
        <w:rPr>
          <w:rFonts w:ascii="Times New Roman" w:hAnsi="Times New Roman"/>
        </w:rPr>
      </w:pPr>
    </w:p>
    <w:p>
      <w:pPr>
        <w:adjustRightInd w:val="0"/>
        <w:snapToGrid w:val="0"/>
        <w:spacing w:line="360" w:lineRule="auto"/>
        <w:ind w:firstLine="420"/>
        <w:rPr>
          <w:rFonts w:ascii="Times New Roman" w:hAnsi="Times New Roman"/>
        </w:rPr>
      </w:pPr>
      <w:r>
        <w:rPr>
          <w:rFonts w:hint="eastAsia" w:ascii="Times New Roman" w:hAnsi="Times New Roman"/>
        </w:rPr>
        <w:t>（</w:t>
      </w:r>
      <w:r>
        <w:rPr>
          <w:rFonts w:ascii="Times New Roman" w:hAnsi="Times New Roman"/>
        </w:rPr>
        <w:t>4</w:t>
      </w:r>
      <w:r>
        <w:rPr>
          <w:rFonts w:hint="eastAsia" w:ascii="Times New Roman" w:hAnsi="Times New Roman"/>
        </w:rPr>
        <w:t>）工艺关键技术及处理效果</w:t>
      </w:r>
    </w:p>
    <w:p>
      <w:pPr>
        <w:adjustRightInd w:val="0"/>
        <w:snapToGrid w:val="0"/>
        <w:spacing w:line="360" w:lineRule="auto"/>
        <w:ind w:firstLine="420"/>
        <w:rPr>
          <w:rFonts w:ascii="Times New Roman" w:hAnsi="Times New Roman"/>
        </w:rPr>
      </w:pPr>
      <w:r>
        <w:rPr>
          <w:rFonts w:hint="eastAsia" w:ascii="Times New Roman" w:hAnsi="Times New Roman"/>
        </w:rPr>
        <w:t>本单元工艺关键参数如下：</w:t>
      </w:r>
      <w:r>
        <w:rPr>
          <w:rFonts w:ascii="Times New Roman" w:hAnsi="Times New Roman"/>
        </w:rPr>
        <w:t xml:space="preserve"> </w:t>
      </w:r>
    </w:p>
    <w:p>
      <w:pPr>
        <w:adjustRightInd w:val="0"/>
        <w:snapToGrid w:val="0"/>
        <w:spacing w:line="360" w:lineRule="auto"/>
        <w:jc w:val="center"/>
        <w:rPr>
          <w:rFonts w:ascii="Times New Roman" w:hAnsi="Times New Roman"/>
        </w:rPr>
      </w:pPr>
      <w:r>
        <w:rPr>
          <w:rFonts w:hint="eastAsia" w:ascii="Times New Roman" w:hAnsi="Times New Roman"/>
        </w:rPr>
        <w:t>表2关键工艺参数控制及处理效果</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6"/>
        <w:gridCol w:w="1309"/>
        <w:gridCol w:w="1019"/>
        <w:gridCol w:w="2309"/>
        <w:gridCol w:w="3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6" w:type="dxa"/>
            <w:vAlign w:val="center"/>
          </w:tcPr>
          <w:p>
            <w:pPr>
              <w:adjustRightInd w:val="0"/>
              <w:snapToGrid w:val="0"/>
              <w:spacing w:line="360" w:lineRule="auto"/>
              <w:jc w:val="center"/>
              <w:rPr>
                <w:rFonts w:ascii="Times New Roman" w:hAnsi="Times New Roman"/>
                <w:b/>
                <w:bCs/>
                <w:sz w:val="18"/>
              </w:rPr>
            </w:pPr>
            <w:r>
              <w:rPr>
                <w:rFonts w:hint="eastAsia" w:ascii="Times New Roman" w:hAnsi="Times New Roman"/>
                <w:b/>
                <w:bCs/>
                <w:sz w:val="18"/>
              </w:rPr>
              <w:t>工段</w:t>
            </w:r>
          </w:p>
        </w:tc>
        <w:tc>
          <w:tcPr>
            <w:tcW w:w="2328" w:type="dxa"/>
            <w:gridSpan w:val="2"/>
            <w:vAlign w:val="center"/>
          </w:tcPr>
          <w:p>
            <w:pPr>
              <w:adjustRightInd w:val="0"/>
              <w:snapToGrid w:val="0"/>
              <w:spacing w:line="360" w:lineRule="auto"/>
              <w:jc w:val="center"/>
              <w:rPr>
                <w:rFonts w:ascii="Times New Roman" w:hAnsi="Times New Roman"/>
                <w:b/>
                <w:bCs/>
                <w:sz w:val="18"/>
              </w:rPr>
            </w:pPr>
            <w:r>
              <w:rPr>
                <w:rFonts w:hint="eastAsia" w:ascii="Times New Roman" w:hAnsi="Times New Roman"/>
                <w:b/>
                <w:bCs/>
                <w:sz w:val="18"/>
              </w:rPr>
              <w:t>物料变化</w:t>
            </w:r>
          </w:p>
        </w:tc>
        <w:tc>
          <w:tcPr>
            <w:tcW w:w="2309" w:type="dxa"/>
            <w:vAlign w:val="center"/>
          </w:tcPr>
          <w:p>
            <w:pPr>
              <w:adjustRightInd w:val="0"/>
              <w:snapToGrid w:val="0"/>
              <w:spacing w:line="360" w:lineRule="auto"/>
              <w:jc w:val="center"/>
              <w:rPr>
                <w:rFonts w:ascii="Times New Roman" w:hAnsi="Times New Roman"/>
                <w:b/>
                <w:bCs/>
                <w:sz w:val="18"/>
              </w:rPr>
            </w:pPr>
            <w:r>
              <w:rPr>
                <w:rFonts w:hint="eastAsia" w:ascii="Times New Roman" w:hAnsi="Times New Roman"/>
                <w:b/>
                <w:bCs/>
                <w:sz w:val="18"/>
              </w:rPr>
              <w:t>参数控制</w:t>
            </w:r>
          </w:p>
        </w:tc>
        <w:tc>
          <w:tcPr>
            <w:tcW w:w="3169" w:type="dxa"/>
            <w:vAlign w:val="center"/>
          </w:tcPr>
          <w:p>
            <w:pPr>
              <w:adjustRightInd w:val="0"/>
              <w:snapToGrid w:val="0"/>
              <w:spacing w:line="360" w:lineRule="auto"/>
              <w:jc w:val="center"/>
              <w:rPr>
                <w:rFonts w:ascii="Times New Roman" w:hAnsi="Times New Roman"/>
                <w:b/>
                <w:bCs/>
                <w:sz w:val="18"/>
              </w:rPr>
            </w:pPr>
            <w:r>
              <w:rPr>
                <w:rFonts w:hint="eastAsia" w:ascii="Times New Roman" w:hAnsi="Times New Roman"/>
                <w:b/>
                <w:bCs/>
                <w:sz w:val="18"/>
              </w:rPr>
              <w:t>处理效果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716" w:type="dxa"/>
            <w:vMerge w:val="restart"/>
            <w:vAlign w:val="center"/>
          </w:tcPr>
          <w:p>
            <w:pPr>
              <w:adjustRightInd w:val="0"/>
              <w:snapToGrid w:val="0"/>
              <w:spacing w:line="360" w:lineRule="auto"/>
              <w:jc w:val="center"/>
              <w:rPr>
                <w:rFonts w:ascii="Times New Roman" w:hAnsi="Times New Roman"/>
                <w:sz w:val="18"/>
              </w:rPr>
            </w:pPr>
            <w:r>
              <w:rPr>
                <w:rFonts w:hint="eastAsia" w:ascii="Times New Roman" w:hAnsi="Times New Roman"/>
                <w:sz w:val="18"/>
              </w:rPr>
              <w:t>熔炼系统</w:t>
            </w:r>
          </w:p>
        </w:tc>
        <w:tc>
          <w:tcPr>
            <w:tcW w:w="1309" w:type="dxa"/>
            <w:vAlign w:val="center"/>
          </w:tcPr>
          <w:p>
            <w:pPr>
              <w:adjustRightInd w:val="0"/>
              <w:snapToGrid w:val="0"/>
              <w:spacing w:line="360" w:lineRule="auto"/>
              <w:rPr>
                <w:rFonts w:ascii="Times New Roman" w:hAnsi="Times New Roman"/>
                <w:sz w:val="18"/>
              </w:rPr>
            </w:pPr>
            <w:r>
              <w:rPr>
                <w:rFonts w:hint="eastAsia" w:ascii="Times New Roman" w:hAnsi="Times New Roman"/>
                <w:sz w:val="18"/>
              </w:rPr>
              <w:t xml:space="preserve">   原料                   </w:t>
            </w:r>
          </w:p>
        </w:tc>
        <w:tc>
          <w:tcPr>
            <w:tcW w:w="1019" w:type="dxa"/>
            <w:vAlign w:val="center"/>
          </w:tcPr>
          <w:p>
            <w:pPr>
              <w:adjustRightInd w:val="0"/>
              <w:snapToGrid w:val="0"/>
              <w:spacing w:line="360" w:lineRule="auto"/>
              <w:rPr>
                <w:rFonts w:ascii="Times New Roman" w:hAnsi="Times New Roman"/>
                <w:sz w:val="18"/>
              </w:rPr>
            </w:pPr>
            <w:r>
              <w:rPr>
                <w:rFonts w:hint="eastAsia" w:ascii="Times New Roman" w:hAnsi="Times New Roman"/>
                <w:sz w:val="18"/>
              </w:rPr>
              <w:t>产品</w:t>
            </w:r>
          </w:p>
        </w:tc>
        <w:tc>
          <w:tcPr>
            <w:tcW w:w="2309" w:type="dxa"/>
            <w:vMerge w:val="restart"/>
            <w:vAlign w:val="center"/>
          </w:tcPr>
          <w:p>
            <w:pPr>
              <w:adjustRightInd w:val="0"/>
              <w:snapToGrid w:val="0"/>
              <w:spacing w:line="360" w:lineRule="auto"/>
              <w:rPr>
                <w:rFonts w:ascii="Times New Roman" w:hAnsi="Times New Roman"/>
                <w:sz w:val="18"/>
              </w:rPr>
            </w:pPr>
            <w:r>
              <w:rPr>
                <w:rFonts w:hint="eastAsia" w:ascii="Times New Roman" w:hAnsi="Times New Roman"/>
                <w:sz w:val="18"/>
              </w:rPr>
              <w:t>熔炼炉氧气浓度：70%</w:t>
            </w:r>
          </w:p>
          <w:p>
            <w:pPr>
              <w:adjustRightInd w:val="0"/>
              <w:snapToGrid w:val="0"/>
              <w:spacing w:line="360" w:lineRule="auto"/>
              <w:rPr>
                <w:rFonts w:ascii="Times New Roman" w:hAnsi="Times New Roman"/>
                <w:sz w:val="18"/>
              </w:rPr>
            </w:pPr>
            <w:r>
              <w:rPr>
                <w:rFonts w:hint="eastAsia" w:ascii="Times New Roman" w:hAnsi="Times New Roman"/>
                <w:sz w:val="18"/>
              </w:rPr>
              <w:t>熔炼炉温度：1000-1200℃</w:t>
            </w:r>
          </w:p>
          <w:p>
            <w:pPr>
              <w:adjustRightInd w:val="0"/>
              <w:snapToGrid w:val="0"/>
              <w:spacing w:line="360" w:lineRule="auto"/>
              <w:rPr>
                <w:rFonts w:ascii="Times New Roman" w:hAnsi="Times New Roman"/>
                <w:sz w:val="18"/>
              </w:rPr>
            </w:pPr>
            <w:r>
              <w:rPr>
                <w:rFonts w:hint="eastAsia" w:ascii="Times New Roman" w:hAnsi="Times New Roman"/>
                <w:sz w:val="18"/>
              </w:rPr>
              <w:t>还原炉氧气浓度：55%</w:t>
            </w:r>
          </w:p>
          <w:p>
            <w:pPr>
              <w:adjustRightInd w:val="0"/>
              <w:snapToGrid w:val="0"/>
              <w:spacing w:line="360" w:lineRule="auto"/>
              <w:rPr>
                <w:rFonts w:ascii="Times New Roman" w:hAnsi="Times New Roman"/>
                <w:sz w:val="18"/>
              </w:rPr>
            </w:pPr>
            <w:r>
              <w:rPr>
                <w:rFonts w:hint="eastAsia" w:ascii="Times New Roman" w:hAnsi="Times New Roman"/>
                <w:sz w:val="18"/>
              </w:rPr>
              <w:t>还原炉温度：1200-1300℃</w:t>
            </w:r>
          </w:p>
          <w:p>
            <w:pPr>
              <w:adjustRightInd w:val="0"/>
              <w:snapToGrid w:val="0"/>
              <w:spacing w:line="360" w:lineRule="auto"/>
              <w:rPr>
                <w:rFonts w:ascii="Times New Roman" w:hAnsi="Times New Roman"/>
                <w:sz w:val="18"/>
              </w:rPr>
            </w:pPr>
            <w:r>
              <w:rPr>
                <w:rFonts w:hint="eastAsia" w:ascii="Times New Roman" w:hAnsi="Times New Roman"/>
                <w:sz w:val="18"/>
              </w:rPr>
              <w:t>烟化炉温度：1300℃</w:t>
            </w:r>
          </w:p>
          <w:p>
            <w:pPr>
              <w:adjustRightInd w:val="0"/>
              <w:snapToGrid w:val="0"/>
              <w:spacing w:line="360" w:lineRule="auto"/>
              <w:rPr>
                <w:rFonts w:ascii="Times New Roman" w:hAnsi="Times New Roman"/>
                <w:sz w:val="18"/>
              </w:rPr>
            </w:pPr>
            <w:r>
              <w:rPr>
                <w:rFonts w:hint="eastAsia" w:ascii="Times New Roman" w:hAnsi="Times New Roman"/>
                <w:sz w:val="18"/>
              </w:rPr>
              <w:t>原料含水率8%</w:t>
            </w:r>
          </w:p>
        </w:tc>
        <w:tc>
          <w:tcPr>
            <w:tcW w:w="3169" w:type="dxa"/>
            <w:vMerge w:val="restart"/>
            <w:vAlign w:val="center"/>
          </w:tcPr>
          <w:p>
            <w:pPr>
              <w:adjustRightInd w:val="0"/>
              <w:snapToGrid w:val="0"/>
              <w:spacing w:line="360" w:lineRule="auto"/>
              <w:jc w:val="center"/>
              <w:rPr>
                <w:rFonts w:ascii="Times New Roman" w:hAnsi="Times New Roman"/>
                <w:sz w:val="18"/>
              </w:rPr>
            </w:pPr>
            <w:r>
              <w:rPr>
                <w:rFonts w:hint="eastAsia" w:ascii="Times New Roman" w:hAnsi="Times New Roman"/>
                <w:sz w:val="18"/>
              </w:rPr>
              <w:t>铅回收率：91%-92%</w:t>
            </w:r>
          </w:p>
          <w:p>
            <w:pPr>
              <w:adjustRightInd w:val="0"/>
              <w:snapToGrid w:val="0"/>
              <w:spacing w:line="360" w:lineRule="auto"/>
              <w:ind w:firstLine="720" w:firstLineChars="400"/>
              <w:rPr>
                <w:rFonts w:ascii="Times New Roman" w:hAnsi="Times New Roman"/>
                <w:sz w:val="18"/>
              </w:rPr>
            </w:pPr>
            <w:r>
              <w:rPr>
                <w:rFonts w:hint="eastAsia" w:ascii="Times New Roman" w:hAnsi="Times New Roman"/>
                <w:sz w:val="18"/>
              </w:rPr>
              <w:t xml:space="preserve">砷回收率： </w:t>
            </w:r>
            <w:r>
              <w:rPr>
                <w:rFonts w:hint="eastAsia" w:ascii="宋体" w:hAnsi="宋体" w:cs="宋体"/>
                <w:sz w:val="18"/>
              </w:rPr>
              <w:t>≥</w:t>
            </w:r>
            <w:r>
              <w:rPr>
                <w:rFonts w:hint="eastAsia" w:ascii="Times New Roman" w:hAnsi="Times New Roman"/>
                <w:sz w:val="18"/>
              </w:rPr>
              <w:t>90%</w:t>
            </w:r>
          </w:p>
          <w:p>
            <w:pPr>
              <w:adjustRightInd w:val="0"/>
              <w:snapToGrid w:val="0"/>
              <w:spacing w:line="360" w:lineRule="auto"/>
              <w:jc w:val="center"/>
              <w:rPr>
                <w:rFonts w:ascii="Times New Roman" w:hAnsi="Times New Roman"/>
                <w:sz w:val="18"/>
              </w:rPr>
            </w:pPr>
            <w:r>
              <w:rPr>
                <w:rFonts w:hint="eastAsia" w:ascii="Times New Roman" w:hAnsi="Times New Roman"/>
                <w:sz w:val="18"/>
              </w:rPr>
              <w:t>铜回收率：</w:t>
            </w:r>
            <w:r>
              <w:rPr>
                <w:rFonts w:hint="eastAsia" w:ascii="宋体" w:hAnsi="宋体" w:cs="宋体"/>
                <w:sz w:val="18"/>
              </w:rPr>
              <w:t>≥</w:t>
            </w:r>
            <w:r>
              <w:rPr>
                <w:rFonts w:hint="eastAsia" w:ascii="Times New Roman" w:hAnsi="Times New Roman"/>
                <w:sz w:val="18"/>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6" w:type="dxa"/>
            <w:vMerge w:val="continue"/>
            <w:vAlign w:val="center"/>
          </w:tcPr>
          <w:p>
            <w:pPr>
              <w:adjustRightInd w:val="0"/>
              <w:snapToGrid w:val="0"/>
              <w:spacing w:line="360" w:lineRule="auto"/>
              <w:rPr>
                <w:rFonts w:ascii="Times New Roman" w:hAnsi="Times New Roman"/>
                <w:sz w:val="18"/>
              </w:rPr>
            </w:pPr>
          </w:p>
        </w:tc>
        <w:tc>
          <w:tcPr>
            <w:tcW w:w="1309" w:type="dxa"/>
            <w:vAlign w:val="center"/>
          </w:tcPr>
          <w:p>
            <w:pPr>
              <w:adjustRightInd w:val="0"/>
              <w:snapToGrid w:val="0"/>
              <w:spacing w:line="360" w:lineRule="auto"/>
              <w:rPr>
                <w:rFonts w:ascii="Times New Roman" w:hAnsi="Times New Roman"/>
                <w:sz w:val="18"/>
              </w:rPr>
            </w:pPr>
            <w:r>
              <w:rPr>
                <w:rFonts w:hint="eastAsia" w:ascii="Times New Roman" w:hAnsi="Times New Roman"/>
                <w:sz w:val="18"/>
              </w:rPr>
              <w:t>高Pb低Cu物料</w:t>
            </w:r>
          </w:p>
          <w:p>
            <w:pPr>
              <w:adjustRightInd w:val="0"/>
              <w:snapToGrid w:val="0"/>
              <w:spacing w:line="360" w:lineRule="auto"/>
              <w:rPr>
                <w:rFonts w:ascii="Times New Roman" w:hAnsi="Times New Roman"/>
                <w:sz w:val="18"/>
              </w:rPr>
            </w:pPr>
          </w:p>
        </w:tc>
        <w:tc>
          <w:tcPr>
            <w:tcW w:w="1019" w:type="dxa"/>
            <w:vAlign w:val="center"/>
          </w:tcPr>
          <w:p>
            <w:pPr>
              <w:adjustRightInd w:val="0"/>
              <w:snapToGrid w:val="0"/>
              <w:spacing w:line="360" w:lineRule="auto"/>
              <w:rPr>
                <w:rFonts w:ascii="Times New Roman" w:hAnsi="Times New Roman"/>
                <w:sz w:val="18"/>
              </w:rPr>
            </w:pPr>
            <w:r>
              <w:rPr>
                <w:rFonts w:hint="eastAsia" w:ascii="Times New Roman" w:hAnsi="Times New Roman"/>
                <w:sz w:val="18"/>
              </w:rPr>
              <w:t>铅锌合金</w:t>
            </w:r>
          </w:p>
          <w:p>
            <w:pPr>
              <w:adjustRightInd w:val="0"/>
              <w:snapToGrid w:val="0"/>
              <w:spacing w:line="360" w:lineRule="auto"/>
              <w:rPr>
                <w:rFonts w:ascii="Times New Roman" w:hAnsi="Times New Roman"/>
                <w:sz w:val="18"/>
              </w:rPr>
            </w:pPr>
            <w:r>
              <w:rPr>
                <w:rFonts w:hint="eastAsia" w:ascii="Times New Roman" w:hAnsi="Times New Roman"/>
                <w:sz w:val="18"/>
              </w:rPr>
              <w:t>水淬渣</w:t>
            </w:r>
          </w:p>
          <w:p>
            <w:pPr>
              <w:adjustRightInd w:val="0"/>
              <w:snapToGrid w:val="0"/>
              <w:spacing w:line="360" w:lineRule="auto"/>
              <w:rPr>
                <w:rFonts w:ascii="Times New Roman" w:hAnsi="Times New Roman"/>
                <w:sz w:val="18"/>
              </w:rPr>
            </w:pPr>
            <w:r>
              <w:rPr>
                <w:rFonts w:hint="eastAsia" w:ascii="Times New Roman" w:hAnsi="Times New Roman"/>
                <w:sz w:val="18"/>
              </w:rPr>
              <w:t>硫酸</w:t>
            </w:r>
          </w:p>
          <w:p>
            <w:pPr>
              <w:adjustRightInd w:val="0"/>
              <w:snapToGrid w:val="0"/>
              <w:spacing w:line="360" w:lineRule="auto"/>
              <w:rPr>
                <w:rFonts w:ascii="Times New Roman" w:hAnsi="Times New Roman"/>
                <w:sz w:val="18"/>
              </w:rPr>
            </w:pPr>
            <w:r>
              <w:rPr>
                <w:rFonts w:hint="eastAsia" w:ascii="Times New Roman" w:hAnsi="Times New Roman"/>
                <w:sz w:val="18"/>
              </w:rPr>
              <w:t>白砷</w:t>
            </w:r>
          </w:p>
        </w:tc>
        <w:tc>
          <w:tcPr>
            <w:tcW w:w="2309" w:type="dxa"/>
            <w:vMerge w:val="continue"/>
            <w:vAlign w:val="center"/>
          </w:tcPr>
          <w:p>
            <w:pPr>
              <w:adjustRightInd w:val="0"/>
              <w:snapToGrid w:val="0"/>
              <w:spacing w:line="360" w:lineRule="auto"/>
              <w:rPr>
                <w:rFonts w:ascii="Times New Roman" w:hAnsi="Times New Roman"/>
                <w:sz w:val="18"/>
              </w:rPr>
            </w:pPr>
          </w:p>
        </w:tc>
        <w:tc>
          <w:tcPr>
            <w:tcW w:w="3169" w:type="dxa"/>
            <w:vMerge w:val="continue"/>
            <w:vAlign w:val="center"/>
          </w:tcPr>
          <w:p>
            <w:pPr>
              <w:adjustRightInd w:val="0"/>
              <w:snapToGrid w:val="0"/>
              <w:spacing w:line="360" w:lineRule="auto"/>
              <w:rPr>
                <w:rFonts w:ascii="Times New Roman" w:hAnsi="Times New Roman"/>
                <w:sz w:val="18"/>
              </w:rPr>
            </w:pPr>
          </w:p>
        </w:tc>
      </w:tr>
    </w:tbl>
    <w:p>
      <w:pPr>
        <w:adjustRightInd w:val="0"/>
        <w:snapToGrid w:val="0"/>
        <w:spacing w:line="360" w:lineRule="auto"/>
        <w:ind w:firstLine="420"/>
        <w:rPr>
          <w:rFonts w:ascii="Times New Roman" w:hAnsi="Times New Roman"/>
          <w:b/>
          <w:bCs/>
        </w:rPr>
      </w:pPr>
      <w:r>
        <w:rPr>
          <w:rFonts w:ascii="Times New Roman" w:hAnsi="Times New Roman"/>
          <w:b/>
          <w:bCs/>
        </w:rPr>
        <w:t>3.</w:t>
      </w:r>
      <w:r>
        <w:rPr>
          <w:rFonts w:hint="eastAsia" w:ascii="Times New Roman" w:hAnsi="Times New Roman"/>
          <w:b/>
          <w:bCs/>
        </w:rPr>
        <w:t>3</w:t>
      </w:r>
      <w:r>
        <w:rPr>
          <w:rFonts w:ascii="Times New Roman" w:hAnsi="Times New Roman"/>
          <w:b/>
          <w:bCs/>
        </w:rPr>
        <w:t>.</w:t>
      </w:r>
      <w:r>
        <w:rPr>
          <w:rFonts w:hint="eastAsia" w:ascii="Times New Roman" w:hAnsi="Times New Roman"/>
          <w:b/>
          <w:bCs/>
        </w:rPr>
        <w:t>2</w:t>
      </w:r>
      <w:r>
        <w:rPr>
          <w:rFonts w:ascii="Times New Roman" w:hAnsi="Times New Roman"/>
          <w:b/>
          <w:bCs/>
        </w:rPr>
        <w:t xml:space="preserve"> </w:t>
      </w:r>
      <w:r>
        <w:rPr>
          <w:rFonts w:hint="eastAsia" w:ascii="Times New Roman" w:hAnsi="Times New Roman"/>
          <w:b/>
          <w:bCs/>
        </w:rPr>
        <w:t>湖南某企业有色金属废料综合回收工程实例</w:t>
      </w:r>
    </w:p>
    <w:p>
      <w:pPr>
        <w:adjustRightInd w:val="0"/>
        <w:snapToGrid w:val="0"/>
        <w:spacing w:line="360" w:lineRule="auto"/>
        <w:ind w:firstLine="420"/>
        <w:rPr>
          <w:rFonts w:ascii="Times New Roman" w:hAnsi="Times New Roman"/>
        </w:rPr>
      </w:pPr>
      <w:r>
        <w:rPr>
          <w:rFonts w:hint="eastAsia" w:ascii="Times New Roman" w:hAnsi="Times New Roman"/>
        </w:rPr>
        <w:t>本工程处置的有色金属废料主要为有色金属冶炼行业的废渣包括烟灰、砷滤饼、污酸渣等。年废物处理量可达186000t/a（均为危险固废），主要产品为电铅、电铜、硫酸锌、精锡等，副产品有砷、硫酸等。</w:t>
      </w:r>
    </w:p>
    <w:p>
      <w:pPr>
        <w:ind w:firstLine="420" w:firstLineChars="200"/>
        <w:rPr>
          <w:rFonts w:ascii="Times New Roman" w:hAnsi="Times New Roman"/>
          <w:szCs w:val="21"/>
        </w:rPr>
      </w:pPr>
      <w:r>
        <w:rPr>
          <w:rFonts w:hint="eastAsia" w:ascii="Times New Roman" w:hAnsi="Times New Roman"/>
          <w:szCs w:val="21"/>
        </w:rPr>
        <w:t>（1）</w:t>
      </w:r>
      <w:r>
        <w:rPr>
          <w:rFonts w:ascii="Times New Roman" w:hAnsi="Times New Roman"/>
          <w:szCs w:val="21"/>
        </w:rPr>
        <w:t>原料性质</w:t>
      </w:r>
    </w:p>
    <w:p>
      <w:pPr>
        <w:adjustRightInd w:val="0"/>
        <w:snapToGrid w:val="0"/>
        <w:spacing w:line="360" w:lineRule="auto"/>
        <w:jc w:val="center"/>
        <w:rPr>
          <w:rFonts w:ascii="Times New Roman" w:hAnsi="Times New Roman"/>
        </w:rPr>
      </w:pPr>
      <w:r>
        <w:rPr>
          <w:rFonts w:hint="eastAsia" w:ascii="Times New Roman" w:hAnsi="Times New Roman"/>
        </w:rPr>
        <w:t>表1原料主要化学成分表</w:t>
      </w:r>
    </w:p>
    <w:tbl>
      <w:tblPr>
        <w:tblStyle w:val="10"/>
        <w:tblW w:w="4998"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831"/>
        <w:gridCol w:w="817"/>
        <w:gridCol w:w="714"/>
        <w:gridCol w:w="818"/>
        <w:gridCol w:w="769"/>
        <w:gridCol w:w="714"/>
        <w:gridCol w:w="1020"/>
        <w:gridCol w:w="918"/>
        <w:gridCol w:w="91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74" w:type="pct"/>
            <w:noWrap/>
            <w:vAlign w:val="center"/>
          </w:tcPr>
          <w:p>
            <w:pPr>
              <w:widowControl/>
              <w:spacing w:line="280" w:lineRule="exact"/>
              <w:jc w:val="center"/>
              <w:rPr>
                <w:rFonts w:ascii="Times New Roman" w:hAnsi="Times New Roman"/>
                <w:b/>
                <w:spacing w:val="-4"/>
                <w:kern w:val="0"/>
                <w:szCs w:val="21"/>
              </w:rPr>
            </w:pPr>
            <w:r>
              <w:rPr>
                <w:rFonts w:ascii="Times New Roman" w:hAnsi="Times New Roman"/>
                <w:b/>
                <w:spacing w:val="-4"/>
                <w:kern w:val="0"/>
                <w:szCs w:val="21"/>
              </w:rPr>
              <w:t>物料名称</w:t>
            </w:r>
          </w:p>
        </w:tc>
        <w:tc>
          <w:tcPr>
            <w:tcW w:w="479" w:type="pct"/>
            <w:noWrap/>
            <w:vAlign w:val="center"/>
          </w:tcPr>
          <w:p>
            <w:pPr>
              <w:widowControl/>
              <w:spacing w:line="280" w:lineRule="exact"/>
              <w:jc w:val="center"/>
              <w:rPr>
                <w:rFonts w:ascii="Times New Roman" w:hAnsi="Times New Roman"/>
                <w:b/>
                <w:spacing w:val="-4"/>
                <w:kern w:val="0"/>
                <w:szCs w:val="21"/>
              </w:rPr>
            </w:pPr>
            <w:r>
              <w:rPr>
                <w:rFonts w:ascii="Times New Roman" w:hAnsi="Times New Roman"/>
                <w:b/>
                <w:spacing w:val="-4"/>
                <w:kern w:val="0"/>
                <w:szCs w:val="21"/>
              </w:rPr>
              <w:t>Pb</w:t>
            </w:r>
            <w:r>
              <w:rPr>
                <w:rFonts w:hint="eastAsia" w:ascii="Times New Roman" w:hAnsi="Times New Roman"/>
                <w:b/>
                <w:spacing w:val="-4"/>
                <w:kern w:val="0"/>
                <w:szCs w:val="21"/>
              </w:rPr>
              <w:t>%</w:t>
            </w:r>
          </w:p>
        </w:tc>
        <w:tc>
          <w:tcPr>
            <w:tcW w:w="419" w:type="pct"/>
            <w:noWrap/>
            <w:vAlign w:val="center"/>
          </w:tcPr>
          <w:p>
            <w:pPr>
              <w:widowControl/>
              <w:spacing w:line="280" w:lineRule="exact"/>
              <w:jc w:val="center"/>
              <w:rPr>
                <w:rFonts w:ascii="Times New Roman" w:hAnsi="Times New Roman"/>
                <w:b/>
                <w:spacing w:val="-4"/>
                <w:kern w:val="0"/>
                <w:szCs w:val="21"/>
              </w:rPr>
            </w:pPr>
            <w:r>
              <w:rPr>
                <w:rFonts w:ascii="Times New Roman" w:hAnsi="Times New Roman"/>
                <w:b/>
                <w:spacing w:val="-4"/>
                <w:kern w:val="0"/>
                <w:szCs w:val="21"/>
              </w:rPr>
              <w:t>Cu</w:t>
            </w:r>
            <w:r>
              <w:rPr>
                <w:rFonts w:hint="eastAsia" w:ascii="Times New Roman" w:hAnsi="Times New Roman"/>
                <w:b/>
                <w:spacing w:val="-4"/>
                <w:kern w:val="0"/>
                <w:szCs w:val="21"/>
              </w:rPr>
              <w:t>%</w:t>
            </w:r>
          </w:p>
        </w:tc>
        <w:tc>
          <w:tcPr>
            <w:tcW w:w="480" w:type="pct"/>
            <w:noWrap/>
            <w:vAlign w:val="center"/>
          </w:tcPr>
          <w:p>
            <w:pPr>
              <w:widowControl/>
              <w:spacing w:line="280" w:lineRule="exact"/>
              <w:jc w:val="center"/>
              <w:rPr>
                <w:rFonts w:ascii="Times New Roman" w:hAnsi="Times New Roman"/>
                <w:b/>
                <w:spacing w:val="-4"/>
                <w:kern w:val="0"/>
                <w:szCs w:val="21"/>
              </w:rPr>
            </w:pPr>
            <w:r>
              <w:rPr>
                <w:rFonts w:ascii="Times New Roman" w:hAnsi="Times New Roman"/>
                <w:b/>
                <w:spacing w:val="-4"/>
                <w:kern w:val="0"/>
                <w:szCs w:val="21"/>
              </w:rPr>
              <w:t>Zn</w:t>
            </w:r>
            <w:r>
              <w:rPr>
                <w:rFonts w:hint="eastAsia" w:ascii="Times New Roman" w:hAnsi="Times New Roman"/>
                <w:b/>
                <w:spacing w:val="-4"/>
                <w:kern w:val="0"/>
                <w:szCs w:val="21"/>
              </w:rPr>
              <w:t>%</w:t>
            </w:r>
          </w:p>
        </w:tc>
        <w:tc>
          <w:tcPr>
            <w:tcW w:w="451" w:type="pct"/>
            <w:noWrap/>
            <w:vAlign w:val="center"/>
          </w:tcPr>
          <w:p>
            <w:pPr>
              <w:widowControl/>
              <w:spacing w:line="280" w:lineRule="exact"/>
              <w:jc w:val="center"/>
              <w:rPr>
                <w:rFonts w:ascii="Times New Roman" w:hAnsi="Times New Roman"/>
                <w:b/>
                <w:spacing w:val="-4"/>
                <w:kern w:val="0"/>
                <w:szCs w:val="21"/>
              </w:rPr>
            </w:pPr>
            <w:r>
              <w:rPr>
                <w:rFonts w:ascii="Times New Roman" w:hAnsi="Times New Roman"/>
                <w:b/>
                <w:spacing w:val="-4"/>
                <w:kern w:val="0"/>
                <w:szCs w:val="21"/>
              </w:rPr>
              <w:t>Sn</w:t>
            </w:r>
            <w:r>
              <w:rPr>
                <w:rFonts w:hint="eastAsia" w:ascii="Times New Roman" w:hAnsi="Times New Roman"/>
                <w:b/>
                <w:spacing w:val="-4"/>
                <w:kern w:val="0"/>
                <w:szCs w:val="21"/>
              </w:rPr>
              <w:t>%</w:t>
            </w:r>
          </w:p>
        </w:tc>
        <w:tc>
          <w:tcPr>
            <w:tcW w:w="419" w:type="pct"/>
            <w:noWrap/>
            <w:vAlign w:val="center"/>
          </w:tcPr>
          <w:p>
            <w:pPr>
              <w:widowControl/>
              <w:spacing w:line="280" w:lineRule="exact"/>
              <w:jc w:val="center"/>
              <w:rPr>
                <w:rFonts w:ascii="Times New Roman" w:hAnsi="Times New Roman"/>
                <w:b/>
                <w:spacing w:val="-4"/>
                <w:kern w:val="0"/>
                <w:szCs w:val="21"/>
              </w:rPr>
            </w:pPr>
            <w:r>
              <w:rPr>
                <w:rFonts w:ascii="Times New Roman" w:hAnsi="Times New Roman"/>
                <w:b/>
                <w:spacing w:val="-4"/>
                <w:kern w:val="0"/>
                <w:szCs w:val="21"/>
              </w:rPr>
              <w:t>Sb</w:t>
            </w:r>
            <w:r>
              <w:rPr>
                <w:rFonts w:hint="eastAsia" w:ascii="Times New Roman" w:hAnsi="Times New Roman"/>
                <w:b/>
                <w:spacing w:val="-4"/>
                <w:kern w:val="0"/>
                <w:szCs w:val="21"/>
              </w:rPr>
              <w:t>%</w:t>
            </w:r>
          </w:p>
        </w:tc>
        <w:tc>
          <w:tcPr>
            <w:tcW w:w="598" w:type="pct"/>
            <w:noWrap/>
            <w:vAlign w:val="center"/>
          </w:tcPr>
          <w:p>
            <w:pPr>
              <w:widowControl/>
              <w:spacing w:line="280" w:lineRule="exact"/>
              <w:jc w:val="center"/>
              <w:rPr>
                <w:rFonts w:ascii="Times New Roman" w:hAnsi="Times New Roman"/>
                <w:b/>
                <w:spacing w:val="-4"/>
                <w:kern w:val="0"/>
                <w:szCs w:val="21"/>
              </w:rPr>
            </w:pPr>
            <w:r>
              <w:rPr>
                <w:rFonts w:hint="eastAsia" w:ascii="Times New Roman" w:hAnsi="Times New Roman"/>
                <w:b/>
                <w:spacing w:val="-4"/>
                <w:kern w:val="0"/>
                <w:szCs w:val="21"/>
              </w:rPr>
              <w:t>Bi%</w:t>
            </w:r>
          </w:p>
        </w:tc>
        <w:tc>
          <w:tcPr>
            <w:tcW w:w="538" w:type="pct"/>
            <w:noWrap/>
            <w:vAlign w:val="center"/>
          </w:tcPr>
          <w:p>
            <w:pPr>
              <w:widowControl/>
              <w:spacing w:line="280" w:lineRule="exact"/>
              <w:jc w:val="center"/>
              <w:rPr>
                <w:rFonts w:ascii="Times New Roman" w:hAnsi="Times New Roman"/>
                <w:b/>
                <w:spacing w:val="-4"/>
                <w:kern w:val="0"/>
                <w:szCs w:val="21"/>
              </w:rPr>
            </w:pPr>
            <w:r>
              <w:rPr>
                <w:rFonts w:hint="eastAsia" w:ascii="Times New Roman" w:hAnsi="Times New Roman"/>
                <w:b/>
                <w:spacing w:val="-4"/>
                <w:kern w:val="0"/>
                <w:szCs w:val="21"/>
              </w:rPr>
              <w:t>As%</w:t>
            </w:r>
          </w:p>
        </w:tc>
        <w:tc>
          <w:tcPr>
            <w:tcW w:w="538" w:type="pct"/>
            <w:noWrap/>
            <w:vAlign w:val="center"/>
          </w:tcPr>
          <w:p>
            <w:pPr>
              <w:widowControl/>
              <w:spacing w:line="280" w:lineRule="exact"/>
              <w:jc w:val="center"/>
              <w:rPr>
                <w:rFonts w:ascii="Times New Roman" w:hAnsi="Times New Roman"/>
                <w:b/>
                <w:spacing w:val="-4"/>
                <w:kern w:val="0"/>
                <w:szCs w:val="21"/>
              </w:rPr>
            </w:pPr>
            <w:r>
              <w:rPr>
                <w:rFonts w:hint="eastAsia" w:ascii="Times New Roman" w:hAnsi="Times New Roman"/>
                <w:b/>
                <w:spacing w:val="-4"/>
                <w:kern w:val="0"/>
                <w:szCs w:val="21"/>
              </w:rPr>
              <w:t>S%</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74" w:type="pct"/>
            <w:noWrap/>
            <w:vAlign w:val="center"/>
          </w:tcPr>
          <w:p>
            <w:pPr>
              <w:widowControl/>
              <w:spacing w:line="280" w:lineRule="exact"/>
              <w:jc w:val="center"/>
              <w:rPr>
                <w:rFonts w:ascii="Times New Roman" w:hAnsi="Times New Roman"/>
                <w:spacing w:val="-4"/>
                <w:kern w:val="0"/>
                <w:szCs w:val="21"/>
              </w:rPr>
            </w:pPr>
            <w:r>
              <w:rPr>
                <w:sz w:val="15"/>
                <w:szCs w:val="15"/>
              </w:rPr>
              <w:t>铜烟尘</w:t>
            </w:r>
          </w:p>
        </w:tc>
        <w:tc>
          <w:tcPr>
            <w:tcW w:w="479" w:type="pct"/>
            <w:noWrap/>
            <w:vAlign w:val="center"/>
          </w:tcPr>
          <w:p>
            <w:pPr>
              <w:widowControl/>
              <w:jc w:val="center"/>
              <w:rPr>
                <w:rFonts w:ascii="Times New Roman" w:hAnsi="Times New Roman"/>
                <w:spacing w:val="-4"/>
                <w:kern w:val="0"/>
                <w:szCs w:val="21"/>
              </w:rPr>
            </w:pPr>
            <w:r>
              <w:rPr>
                <w:color w:val="000000"/>
                <w:sz w:val="15"/>
                <w:szCs w:val="15"/>
              </w:rPr>
              <w:t xml:space="preserve">9.52 </w:t>
            </w:r>
          </w:p>
        </w:tc>
        <w:tc>
          <w:tcPr>
            <w:tcW w:w="419" w:type="pct"/>
            <w:noWrap/>
            <w:vAlign w:val="center"/>
          </w:tcPr>
          <w:p>
            <w:pPr>
              <w:widowControl/>
              <w:jc w:val="center"/>
              <w:rPr>
                <w:rFonts w:ascii="Times New Roman" w:hAnsi="Times New Roman"/>
                <w:b/>
                <w:spacing w:val="-4"/>
                <w:kern w:val="0"/>
                <w:szCs w:val="21"/>
              </w:rPr>
            </w:pPr>
            <w:r>
              <w:rPr>
                <w:color w:val="000000"/>
                <w:sz w:val="15"/>
                <w:szCs w:val="15"/>
              </w:rPr>
              <w:t xml:space="preserve">14.41 </w:t>
            </w:r>
          </w:p>
        </w:tc>
        <w:tc>
          <w:tcPr>
            <w:tcW w:w="480" w:type="pct"/>
            <w:noWrap/>
            <w:vAlign w:val="center"/>
          </w:tcPr>
          <w:p>
            <w:pPr>
              <w:widowControl/>
              <w:jc w:val="center"/>
              <w:rPr>
                <w:rFonts w:ascii="Times New Roman" w:hAnsi="Times New Roman"/>
                <w:b/>
                <w:spacing w:val="-4"/>
                <w:kern w:val="0"/>
                <w:szCs w:val="21"/>
              </w:rPr>
            </w:pPr>
            <w:r>
              <w:rPr>
                <w:color w:val="000000"/>
                <w:sz w:val="15"/>
                <w:szCs w:val="15"/>
              </w:rPr>
              <w:t xml:space="preserve">9.49 </w:t>
            </w:r>
          </w:p>
        </w:tc>
        <w:tc>
          <w:tcPr>
            <w:tcW w:w="451" w:type="pct"/>
            <w:noWrap/>
            <w:vAlign w:val="center"/>
          </w:tcPr>
          <w:p>
            <w:pPr>
              <w:widowControl/>
              <w:jc w:val="center"/>
              <w:rPr>
                <w:rFonts w:ascii="Times New Roman" w:hAnsi="Times New Roman"/>
                <w:b/>
                <w:spacing w:val="-4"/>
                <w:kern w:val="0"/>
                <w:szCs w:val="21"/>
              </w:rPr>
            </w:pPr>
            <w:r>
              <w:rPr>
                <w:color w:val="000000"/>
                <w:sz w:val="15"/>
                <w:szCs w:val="15"/>
              </w:rPr>
              <w:t xml:space="preserve">1.52 </w:t>
            </w:r>
          </w:p>
        </w:tc>
        <w:tc>
          <w:tcPr>
            <w:tcW w:w="419" w:type="pct"/>
            <w:noWrap/>
            <w:vAlign w:val="center"/>
          </w:tcPr>
          <w:p>
            <w:pPr>
              <w:widowControl/>
              <w:jc w:val="center"/>
              <w:rPr>
                <w:rFonts w:ascii="Times New Roman" w:hAnsi="Times New Roman"/>
                <w:b/>
                <w:spacing w:val="-4"/>
                <w:kern w:val="0"/>
                <w:szCs w:val="21"/>
              </w:rPr>
            </w:pPr>
            <w:r>
              <w:rPr>
                <w:color w:val="000000"/>
                <w:sz w:val="15"/>
                <w:szCs w:val="15"/>
              </w:rPr>
              <w:t xml:space="preserve">1.99 </w:t>
            </w:r>
          </w:p>
        </w:tc>
        <w:tc>
          <w:tcPr>
            <w:tcW w:w="598" w:type="pct"/>
            <w:noWrap/>
            <w:vAlign w:val="center"/>
          </w:tcPr>
          <w:p>
            <w:pPr>
              <w:widowControl/>
              <w:jc w:val="center"/>
              <w:rPr>
                <w:rFonts w:ascii="Times New Roman" w:hAnsi="Times New Roman"/>
                <w:b/>
                <w:spacing w:val="-4"/>
                <w:kern w:val="0"/>
                <w:szCs w:val="21"/>
              </w:rPr>
            </w:pPr>
            <w:r>
              <w:rPr>
                <w:color w:val="000000"/>
                <w:sz w:val="15"/>
                <w:szCs w:val="15"/>
              </w:rPr>
              <w:t xml:space="preserve">0.14 </w:t>
            </w:r>
          </w:p>
        </w:tc>
        <w:tc>
          <w:tcPr>
            <w:tcW w:w="538" w:type="pct"/>
            <w:noWrap/>
            <w:vAlign w:val="center"/>
          </w:tcPr>
          <w:p>
            <w:pPr>
              <w:widowControl/>
              <w:jc w:val="center"/>
              <w:rPr>
                <w:rFonts w:ascii="Times New Roman" w:hAnsi="Times New Roman"/>
                <w:b/>
                <w:spacing w:val="-4"/>
                <w:kern w:val="0"/>
                <w:szCs w:val="21"/>
              </w:rPr>
            </w:pPr>
            <w:r>
              <w:rPr>
                <w:color w:val="000000"/>
                <w:sz w:val="15"/>
                <w:szCs w:val="15"/>
              </w:rPr>
              <w:t xml:space="preserve">2.12 </w:t>
            </w:r>
          </w:p>
        </w:tc>
        <w:tc>
          <w:tcPr>
            <w:tcW w:w="538" w:type="pct"/>
            <w:noWrap/>
            <w:vAlign w:val="center"/>
          </w:tcPr>
          <w:p>
            <w:pPr>
              <w:widowControl/>
              <w:jc w:val="center"/>
              <w:rPr>
                <w:rFonts w:ascii="Times New Roman" w:hAnsi="Times New Roman"/>
                <w:b/>
                <w:spacing w:val="-4"/>
                <w:kern w:val="0"/>
                <w:szCs w:val="21"/>
              </w:rPr>
            </w:pPr>
            <w:r>
              <w:rPr>
                <w:color w:val="000000"/>
                <w:sz w:val="15"/>
                <w:szCs w:val="15"/>
              </w:rPr>
              <w:t xml:space="preserve">8.90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74" w:type="pct"/>
            <w:noWrap/>
            <w:vAlign w:val="center"/>
          </w:tcPr>
          <w:p>
            <w:pPr>
              <w:widowControl/>
              <w:jc w:val="center"/>
              <w:rPr>
                <w:sz w:val="15"/>
                <w:szCs w:val="15"/>
              </w:rPr>
            </w:pPr>
            <w:r>
              <w:rPr>
                <w:sz w:val="15"/>
                <w:szCs w:val="15"/>
              </w:rPr>
              <w:t>浸出渣</w:t>
            </w:r>
          </w:p>
        </w:tc>
        <w:tc>
          <w:tcPr>
            <w:tcW w:w="479" w:type="pct"/>
            <w:noWrap/>
            <w:vAlign w:val="center"/>
          </w:tcPr>
          <w:p>
            <w:pPr>
              <w:widowControl/>
              <w:jc w:val="center"/>
              <w:rPr>
                <w:sz w:val="15"/>
                <w:szCs w:val="15"/>
              </w:rPr>
            </w:pPr>
            <w:r>
              <w:rPr>
                <w:color w:val="000000"/>
                <w:sz w:val="15"/>
                <w:szCs w:val="15"/>
              </w:rPr>
              <w:t xml:space="preserve">15.08 </w:t>
            </w:r>
          </w:p>
        </w:tc>
        <w:tc>
          <w:tcPr>
            <w:tcW w:w="419" w:type="pct"/>
            <w:noWrap/>
            <w:vAlign w:val="center"/>
          </w:tcPr>
          <w:p>
            <w:pPr>
              <w:widowControl/>
              <w:jc w:val="center"/>
              <w:rPr>
                <w:sz w:val="15"/>
                <w:szCs w:val="15"/>
              </w:rPr>
            </w:pPr>
            <w:r>
              <w:rPr>
                <w:color w:val="000000"/>
                <w:sz w:val="15"/>
                <w:szCs w:val="15"/>
              </w:rPr>
              <w:t xml:space="preserve">2.30 </w:t>
            </w:r>
          </w:p>
        </w:tc>
        <w:tc>
          <w:tcPr>
            <w:tcW w:w="480" w:type="pct"/>
            <w:noWrap/>
            <w:vAlign w:val="center"/>
          </w:tcPr>
          <w:p>
            <w:pPr>
              <w:widowControl/>
              <w:jc w:val="center"/>
              <w:rPr>
                <w:sz w:val="15"/>
                <w:szCs w:val="15"/>
              </w:rPr>
            </w:pPr>
            <w:r>
              <w:rPr>
                <w:color w:val="000000"/>
                <w:sz w:val="15"/>
                <w:szCs w:val="15"/>
              </w:rPr>
              <w:t xml:space="preserve">16.80 </w:t>
            </w:r>
          </w:p>
        </w:tc>
        <w:tc>
          <w:tcPr>
            <w:tcW w:w="451" w:type="pct"/>
            <w:noWrap/>
            <w:vAlign w:val="center"/>
          </w:tcPr>
          <w:p>
            <w:pPr>
              <w:widowControl/>
              <w:jc w:val="center"/>
              <w:rPr>
                <w:sz w:val="15"/>
                <w:szCs w:val="15"/>
              </w:rPr>
            </w:pPr>
            <w:r>
              <w:rPr>
                <w:color w:val="000000"/>
                <w:sz w:val="15"/>
                <w:szCs w:val="15"/>
              </w:rPr>
              <w:t xml:space="preserve">1.40 </w:t>
            </w:r>
          </w:p>
        </w:tc>
        <w:tc>
          <w:tcPr>
            <w:tcW w:w="419" w:type="pct"/>
            <w:noWrap/>
            <w:vAlign w:val="center"/>
          </w:tcPr>
          <w:p>
            <w:pPr>
              <w:widowControl/>
              <w:jc w:val="center"/>
              <w:rPr>
                <w:sz w:val="15"/>
                <w:szCs w:val="15"/>
              </w:rPr>
            </w:pPr>
            <w:r>
              <w:rPr>
                <w:color w:val="000000"/>
                <w:sz w:val="15"/>
                <w:szCs w:val="15"/>
              </w:rPr>
              <w:t xml:space="preserve">0.39 </w:t>
            </w:r>
          </w:p>
        </w:tc>
        <w:tc>
          <w:tcPr>
            <w:tcW w:w="598" w:type="pct"/>
            <w:noWrap/>
            <w:vAlign w:val="center"/>
          </w:tcPr>
          <w:p>
            <w:pPr>
              <w:widowControl/>
              <w:jc w:val="center"/>
              <w:rPr>
                <w:sz w:val="15"/>
                <w:szCs w:val="15"/>
              </w:rPr>
            </w:pPr>
            <w:r>
              <w:rPr>
                <w:color w:val="000000"/>
                <w:sz w:val="15"/>
                <w:szCs w:val="15"/>
              </w:rPr>
              <w:t xml:space="preserve">0.38 </w:t>
            </w:r>
          </w:p>
        </w:tc>
        <w:tc>
          <w:tcPr>
            <w:tcW w:w="538" w:type="pct"/>
            <w:noWrap/>
            <w:vAlign w:val="center"/>
          </w:tcPr>
          <w:p>
            <w:pPr>
              <w:widowControl/>
              <w:jc w:val="center"/>
              <w:rPr>
                <w:sz w:val="15"/>
                <w:szCs w:val="15"/>
              </w:rPr>
            </w:pPr>
            <w:r>
              <w:rPr>
                <w:color w:val="000000"/>
                <w:sz w:val="15"/>
                <w:szCs w:val="15"/>
              </w:rPr>
              <w:t xml:space="preserve">0.20 </w:t>
            </w:r>
          </w:p>
        </w:tc>
        <w:tc>
          <w:tcPr>
            <w:tcW w:w="538" w:type="pct"/>
            <w:noWrap/>
            <w:vAlign w:val="center"/>
          </w:tcPr>
          <w:p>
            <w:pPr>
              <w:widowControl/>
              <w:jc w:val="center"/>
              <w:rPr>
                <w:sz w:val="15"/>
                <w:szCs w:val="15"/>
              </w:rPr>
            </w:pPr>
            <w:r>
              <w:rPr>
                <w:color w:val="000000"/>
                <w:sz w:val="15"/>
                <w:szCs w:val="15"/>
              </w:rPr>
              <w:t xml:space="preserve">8.15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74" w:type="pct"/>
            <w:noWrap/>
            <w:vAlign w:val="center"/>
          </w:tcPr>
          <w:p>
            <w:pPr>
              <w:widowControl/>
              <w:jc w:val="center"/>
              <w:rPr>
                <w:sz w:val="15"/>
                <w:szCs w:val="15"/>
              </w:rPr>
            </w:pPr>
            <w:r>
              <w:rPr>
                <w:sz w:val="15"/>
                <w:szCs w:val="15"/>
              </w:rPr>
              <w:t>氧压浸出渣</w:t>
            </w:r>
          </w:p>
        </w:tc>
        <w:tc>
          <w:tcPr>
            <w:tcW w:w="479" w:type="pct"/>
            <w:noWrap/>
            <w:vAlign w:val="center"/>
          </w:tcPr>
          <w:p>
            <w:pPr>
              <w:widowControl/>
              <w:jc w:val="center"/>
              <w:rPr>
                <w:sz w:val="15"/>
                <w:szCs w:val="15"/>
              </w:rPr>
            </w:pPr>
            <w:r>
              <w:rPr>
                <w:color w:val="000000"/>
                <w:sz w:val="15"/>
                <w:szCs w:val="15"/>
              </w:rPr>
              <w:t xml:space="preserve">2.26 </w:t>
            </w:r>
          </w:p>
        </w:tc>
        <w:tc>
          <w:tcPr>
            <w:tcW w:w="419" w:type="pct"/>
            <w:noWrap/>
            <w:vAlign w:val="center"/>
          </w:tcPr>
          <w:p>
            <w:pPr>
              <w:widowControl/>
              <w:jc w:val="center"/>
              <w:rPr>
                <w:sz w:val="15"/>
                <w:szCs w:val="15"/>
              </w:rPr>
            </w:pPr>
            <w:r>
              <w:rPr>
                <w:color w:val="000000"/>
                <w:sz w:val="15"/>
                <w:szCs w:val="15"/>
              </w:rPr>
              <w:t xml:space="preserve">1.32 </w:t>
            </w:r>
          </w:p>
        </w:tc>
        <w:tc>
          <w:tcPr>
            <w:tcW w:w="480" w:type="pct"/>
            <w:noWrap/>
            <w:vAlign w:val="center"/>
          </w:tcPr>
          <w:p>
            <w:pPr>
              <w:widowControl/>
              <w:jc w:val="center"/>
              <w:rPr>
                <w:sz w:val="15"/>
                <w:szCs w:val="15"/>
              </w:rPr>
            </w:pPr>
            <w:r>
              <w:rPr>
                <w:color w:val="000000"/>
                <w:sz w:val="15"/>
                <w:szCs w:val="15"/>
              </w:rPr>
              <w:t xml:space="preserve">6.25 </w:t>
            </w:r>
          </w:p>
        </w:tc>
        <w:tc>
          <w:tcPr>
            <w:tcW w:w="451" w:type="pct"/>
            <w:noWrap/>
            <w:vAlign w:val="center"/>
          </w:tcPr>
          <w:p>
            <w:pPr>
              <w:widowControl/>
              <w:jc w:val="center"/>
              <w:rPr>
                <w:sz w:val="15"/>
                <w:szCs w:val="15"/>
              </w:rPr>
            </w:pPr>
            <w:r>
              <w:rPr>
                <w:color w:val="000000"/>
                <w:sz w:val="15"/>
                <w:szCs w:val="15"/>
              </w:rPr>
              <w:t xml:space="preserve">1.76 </w:t>
            </w:r>
          </w:p>
        </w:tc>
        <w:tc>
          <w:tcPr>
            <w:tcW w:w="419" w:type="pct"/>
            <w:noWrap/>
            <w:vAlign w:val="center"/>
          </w:tcPr>
          <w:p>
            <w:pPr>
              <w:widowControl/>
              <w:jc w:val="center"/>
              <w:rPr>
                <w:sz w:val="15"/>
                <w:szCs w:val="15"/>
              </w:rPr>
            </w:pPr>
            <w:r>
              <w:rPr>
                <w:color w:val="000000"/>
                <w:sz w:val="15"/>
                <w:szCs w:val="15"/>
              </w:rPr>
              <w:t xml:space="preserve">1.25 </w:t>
            </w:r>
          </w:p>
        </w:tc>
        <w:tc>
          <w:tcPr>
            <w:tcW w:w="598" w:type="pct"/>
            <w:noWrap/>
            <w:vAlign w:val="center"/>
          </w:tcPr>
          <w:p>
            <w:pPr>
              <w:widowControl/>
              <w:jc w:val="center"/>
              <w:rPr>
                <w:sz w:val="15"/>
                <w:szCs w:val="15"/>
              </w:rPr>
            </w:pPr>
            <w:r>
              <w:rPr>
                <w:color w:val="000000"/>
                <w:sz w:val="15"/>
                <w:szCs w:val="15"/>
              </w:rPr>
              <w:t xml:space="preserve">0.13 </w:t>
            </w:r>
          </w:p>
        </w:tc>
        <w:tc>
          <w:tcPr>
            <w:tcW w:w="538" w:type="pct"/>
            <w:noWrap/>
            <w:vAlign w:val="center"/>
          </w:tcPr>
          <w:p>
            <w:pPr>
              <w:widowControl/>
              <w:jc w:val="center"/>
              <w:rPr>
                <w:sz w:val="15"/>
                <w:szCs w:val="15"/>
              </w:rPr>
            </w:pPr>
            <w:r>
              <w:rPr>
                <w:color w:val="000000"/>
                <w:sz w:val="15"/>
                <w:szCs w:val="15"/>
              </w:rPr>
              <w:t xml:space="preserve">0.05 </w:t>
            </w:r>
          </w:p>
        </w:tc>
        <w:tc>
          <w:tcPr>
            <w:tcW w:w="538" w:type="pct"/>
            <w:noWrap/>
            <w:vAlign w:val="center"/>
          </w:tcPr>
          <w:p>
            <w:pPr>
              <w:widowControl/>
              <w:jc w:val="center"/>
              <w:rPr>
                <w:sz w:val="15"/>
                <w:szCs w:val="15"/>
              </w:rPr>
            </w:pPr>
            <w:r>
              <w:rPr>
                <w:color w:val="000000"/>
                <w:sz w:val="15"/>
                <w:szCs w:val="15"/>
              </w:rPr>
              <w:t xml:space="preserve">65.21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74" w:type="pct"/>
            <w:noWrap/>
            <w:vAlign w:val="center"/>
          </w:tcPr>
          <w:p>
            <w:pPr>
              <w:widowControl/>
              <w:spacing w:line="280" w:lineRule="exact"/>
              <w:jc w:val="center"/>
              <w:rPr>
                <w:rFonts w:ascii="Times New Roman" w:hAnsi="Times New Roman"/>
                <w:spacing w:val="-4"/>
                <w:kern w:val="0"/>
                <w:szCs w:val="21"/>
              </w:rPr>
            </w:pPr>
            <w:r>
              <w:rPr>
                <w:sz w:val="15"/>
                <w:szCs w:val="15"/>
              </w:rPr>
              <w:t>铅泥</w:t>
            </w:r>
          </w:p>
        </w:tc>
        <w:tc>
          <w:tcPr>
            <w:tcW w:w="479" w:type="pct"/>
            <w:noWrap/>
            <w:vAlign w:val="center"/>
          </w:tcPr>
          <w:p>
            <w:pPr>
              <w:widowControl/>
              <w:jc w:val="center"/>
              <w:rPr>
                <w:sz w:val="15"/>
                <w:szCs w:val="15"/>
              </w:rPr>
            </w:pPr>
            <w:r>
              <w:rPr>
                <w:color w:val="000000"/>
                <w:sz w:val="15"/>
                <w:szCs w:val="15"/>
              </w:rPr>
              <w:t xml:space="preserve">18.61 </w:t>
            </w:r>
          </w:p>
        </w:tc>
        <w:tc>
          <w:tcPr>
            <w:tcW w:w="419" w:type="pct"/>
            <w:noWrap/>
            <w:vAlign w:val="center"/>
          </w:tcPr>
          <w:p>
            <w:pPr>
              <w:widowControl/>
              <w:jc w:val="center"/>
              <w:rPr>
                <w:sz w:val="15"/>
                <w:szCs w:val="15"/>
              </w:rPr>
            </w:pPr>
            <w:r>
              <w:rPr>
                <w:color w:val="000000"/>
                <w:sz w:val="15"/>
                <w:szCs w:val="15"/>
              </w:rPr>
              <w:t xml:space="preserve">8.26 </w:t>
            </w:r>
          </w:p>
        </w:tc>
        <w:tc>
          <w:tcPr>
            <w:tcW w:w="480" w:type="pct"/>
            <w:noWrap/>
            <w:vAlign w:val="center"/>
          </w:tcPr>
          <w:p>
            <w:pPr>
              <w:widowControl/>
              <w:jc w:val="center"/>
              <w:rPr>
                <w:sz w:val="15"/>
                <w:szCs w:val="15"/>
              </w:rPr>
            </w:pPr>
            <w:r>
              <w:rPr>
                <w:color w:val="000000"/>
                <w:sz w:val="15"/>
                <w:szCs w:val="15"/>
              </w:rPr>
              <w:t xml:space="preserve">6.89 </w:t>
            </w:r>
          </w:p>
        </w:tc>
        <w:tc>
          <w:tcPr>
            <w:tcW w:w="451" w:type="pct"/>
            <w:noWrap/>
            <w:vAlign w:val="center"/>
          </w:tcPr>
          <w:p>
            <w:pPr>
              <w:widowControl/>
              <w:jc w:val="center"/>
              <w:rPr>
                <w:sz w:val="15"/>
                <w:szCs w:val="15"/>
              </w:rPr>
            </w:pPr>
            <w:r>
              <w:rPr>
                <w:color w:val="000000"/>
                <w:sz w:val="15"/>
                <w:szCs w:val="15"/>
              </w:rPr>
              <w:t xml:space="preserve">4.63 </w:t>
            </w:r>
          </w:p>
        </w:tc>
        <w:tc>
          <w:tcPr>
            <w:tcW w:w="419" w:type="pct"/>
            <w:noWrap/>
            <w:vAlign w:val="center"/>
          </w:tcPr>
          <w:p>
            <w:pPr>
              <w:widowControl/>
              <w:jc w:val="center"/>
              <w:rPr>
                <w:sz w:val="15"/>
                <w:szCs w:val="15"/>
              </w:rPr>
            </w:pPr>
            <w:r>
              <w:rPr>
                <w:color w:val="000000"/>
                <w:sz w:val="15"/>
                <w:szCs w:val="15"/>
              </w:rPr>
              <w:t xml:space="preserve">1.46 </w:t>
            </w:r>
          </w:p>
        </w:tc>
        <w:tc>
          <w:tcPr>
            <w:tcW w:w="598" w:type="pct"/>
            <w:noWrap/>
            <w:vAlign w:val="center"/>
          </w:tcPr>
          <w:p>
            <w:pPr>
              <w:widowControl/>
              <w:jc w:val="center"/>
              <w:rPr>
                <w:sz w:val="15"/>
                <w:szCs w:val="15"/>
              </w:rPr>
            </w:pPr>
            <w:r>
              <w:rPr>
                <w:color w:val="000000"/>
                <w:sz w:val="15"/>
                <w:szCs w:val="15"/>
              </w:rPr>
              <w:t xml:space="preserve">0.19 </w:t>
            </w:r>
          </w:p>
        </w:tc>
        <w:tc>
          <w:tcPr>
            <w:tcW w:w="538" w:type="pct"/>
            <w:noWrap/>
            <w:vAlign w:val="center"/>
          </w:tcPr>
          <w:p>
            <w:pPr>
              <w:widowControl/>
              <w:jc w:val="center"/>
              <w:rPr>
                <w:sz w:val="15"/>
                <w:szCs w:val="15"/>
              </w:rPr>
            </w:pPr>
            <w:r>
              <w:rPr>
                <w:color w:val="000000"/>
                <w:sz w:val="15"/>
                <w:szCs w:val="15"/>
              </w:rPr>
              <w:t xml:space="preserve">0.10 </w:t>
            </w:r>
          </w:p>
        </w:tc>
        <w:tc>
          <w:tcPr>
            <w:tcW w:w="538" w:type="pct"/>
            <w:noWrap/>
            <w:vAlign w:val="center"/>
          </w:tcPr>
          <w:p>
            <w:pPr>
              <w:widowControl/>
              <w:jc w:val="center"/>
              <w:rPr>
                <w:sz w:val="15"/>
                <w:szCs w:val="15"/>
              </w:rPr>
            </w:pPr>
            <w:r>
              <w:rPr>
                <w:color w:val="000000"/>
                <w:sz w:val="15"/>
                <w:szCs w:val="15"/>
              </w:rPr>
              <w:t xml:space="preserve">3.60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74" w:type="pct"/>
            <w:noWrap/>
            <w:vAlign w:val="center"/>
          </w:tcPr>
          <w:p>
            <w:pPr>
              <w:widowControl/>
              <w:spacing w:line="280" w:lineRule="exact"/>
              <w:jc w:val="center"/>
              <w:rPr>
                <w:sz w:val="15"/>
                <w:szCs w:val="15"/>
              </w:rPr>
            </w:pPr>
            <w:r>
              <w:rPr>
                <w:sz w:val="15"/>
                <w:szCs w:val="15"/>
              </w:rPr>
              <w:t>阳极泥</w:t>
            </w:r>
          </w:p>
        </w:tc>
        <w:tc>
          <w:tcPr>
            <w:tcW w:w="479" w:type="pct"/>
            <w:noWrap/>
            <w:vAlign w:val="center"/>
          </w:tcPr>
          <w:p>
            <w:pPr>
              <w:widowControl/>
              <w:jc w:val="center"/>
              <w:rPr>
                <w:sz w:val="15"/>
                <w:szCs w:val="15"/>
              </w:rPr>
            </w:pPr>
            <w:r>
              <w:rPr>
                <w:color w:val="000000"/>
                <w:sz w:val="15"/>
                <w:szCs w:val="15"/>
              </w:rPr>
              <w:t xml:space="preserve">18.90 </w:t>
            </w:r>
          </w:p>
        </w:tc>
        <w:tc>
          <w:tcPr>
            <w:tcW w:w="419" w:type="pct"/>
            <w:noWrap/>
            <w:vAlign w:val="center"/>
          </w:tcPr>
          <w:p>
            <w:pPr>
              <w:widowControl/>
              <w:jc w:val="center"/>
              <w:rPr>
                <w:sz w:val="15"/>
                <w:szCs w:val="15"/>
              </w:rPr>
            </w:pPr>
            <w:r>
              <w:rPr>
                <w:color w:val="000000"/>
                <w:sz w:val="15"/>
                <w:szCs w:val="15"/>
              </w:rPr>
              <w:t xml:space="preserve">2.30 </w:t>
            </w:r>
          </w:p>
        </w:tc>
        <w:tc>
          <w:tcPr>
            <w:tcW w:w="480" w:type="pct"/>
            <w:noWrap/>
            <w:vAlign w:val="center"/>
          </w:tcPr>
          <w:p>
            <w:pPr>
              <w:widowControl/>
              <w:jc w:val="center"/>
              <w:rPr>
                <w:sz w:val="15"/>
                <w:szCs w:val="15"/>
              </w:rPr>
            </w:pPr>
            <w:r>
              <w:rPr>
                <w:color w:val="000000"/>
                <w:sz w:val="15"/>
                <w:szCs w:val="15"/>
              </w:rPr>
              <w:t xml:space="preserve">0.00 </w:t>
            </w:r>
          </w:p>
        </w:tc>
        <w:tc>
          <w:tcPr>
            <w:tcW w:w="451" w:type="pct"/>
            <w:noWrap/>
            <w:vAlign w:val="center"/>
          </w:tcPr>
          <w:p>
            <w:pPr>
              <w:widowControl/>
              <w:jc w:val="center"/>
              <w:rPr>
                <w:sz w:val="15"/>
                <w:szCs w:val="15"/>
              </w:rPr>
            </w:pPr>
            <w:r>
              <w:rPr>
                <w:color w:val="000000"/>
                <w:sz w:val="15"/>
                <w:szCs w:val="15"/>
              </w:rPr>
              <w:t xml:space="preserve">0.64 </w:t>
            </w:r>
          </w:p>
        </w:tc>
        <w:tc>
          <w:tcPr>
            <w:tcW w:w="419" w:type="pct"/>
            <w:noWrap/>
            <w:vAlign w:val="center"/>
          </w:tcPr>
          <w:p>
            <w:pPr>
              <w:widowControl/>
              <w:jc w:val="center"/>
              <w:rPr>
                <w:sz w:val="15"/>
                <w:szCs w:val="15"/>
              </w:rPr>
            </w:pPr>
            <w:r>
              <w:rPr>
                <w:color w:val="000000"/>
                <w:sz w:val="15"/>
                <w:szCs w:val="15"/>
              </w:rPr>
              <w:t xml:space="preserve">33.64 </w:t>
            </w:r>
          </w:p>
        </w:tc>
        <w:tc>
          <w:tcPr>
            <w:tcW w:w="598" w:type="pct"/>
            <w:noWrap/>
            <w:vAlign w:val="center"/>
          </w:tcPr>
          <w:p>
            <w:pPr>
              <w:widowControl/>
              <w:jc w:val="center"/>
              <w:rPr>
                <w:sz w:val="15"/>
                <w:szCs w:val="15"/>
              </w:rPr>
            </w:pPr>
            <w:r>
              <w:rPr>
                <w:color w:val="000000"/>
                <w:sz w:val="15"/>
                <w:szCs w:val="15"/>
              </w:rPr>
              <w:t xml:space="preserve">8.91 </w:t>
            </w:r>
          </w:p>
        </w:tc>
        <w:tc>
          <w:tcPr>
            <w:tcW w:w="538" w:type="pct"/>
            <w:noWrap/>
            <w:vAlign w:val="center"/>
          </w:tcPr>
          <w:p>
            <w:pPr>
              <w:widowControl/>
              <w:jc w:val="center"/>
              <w:rPr>
                <w:sz w:val="15"/>
                <w:szCs w:val="15"/>
              </w:rPr>
            </w:pPr>
            <w:r>
              <w:rPr>
                <w:color w:val="000000"/>
                <w:sz w:val="15"/>
                <w:szCs w:val="15"/>
              </w:rPr>
              <w:t xml:space="preserve">0.35 </w:t>
            </w:r>
          </w:p>
        </w:tc>
        <w:tc>
          <w:tcPr>
            <w:tcW w:w="538" w:type="pct"/>
            <w:noWrap/>
            <w:vAlign w:val="center"/>
          </w:tcPr>
          <w:p>
            <w:pPr>
              <w:widowControl/>
              <w:jc w:val="center"/>
              <w:rPr>
                <w:sz w:val="15"/>
                <w:szCs w:val="15"/>
              </w:rPr>
            </w:pPr>
            <w:r>
              <w:rPr>
                <w:color w:val="000000"/>
                <w:sz w:val="15"/>
                <w:szCs w:val="15"/>
              </w:rPr>
              <w:t xml:space="preserve">0.00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74" w:type="pct"/>
            <w:noWrap/>
            <w:vAlign w:val="center"/>
          </w:tcPr>
          <w:p>
            <w:pPr>
              <w:widowControl/>
              <w:spacing w:line="280" w:lineRule="exact"/>
              <w:jc w:val="center"/>
              <w:rPr>
                <w:sz w:val="15"/>
                <w:szCs w:val="15"/>
              </w:rPr>
            </w:pPr>
            <w:r>
              <w:rPr>
                <w:sz w:val="15"/>
                <w:szCs w:val="15"/>
              </w:rPr>
              <w:t>铜铅渣</w:t>
            </w:r>
          </w:p>
        </w:tc>
        <w:tc>
          <w:tcPr>
            <w:tcW w:w="479" w:type="pct"/>
            <w:noWrap/>
            <w:vAlign w:val="center"/>
          </w:tcPr>
          <w:p>
            <w:pPr>
              <w:widowControl/>
              <w:jc w:val="center"/>
              <w:rPr>
                <w:sz w:val="15"/>
                <w:szCs w:val="15"/>
              </w:rPr>
            </w:pPr>
            <w:r>
              <w:rPr>
                <w:color w:val="000000"/>
                <w:sz w:val="15"/>
                <w:szCs w:val="15"/>
              </w:rPr>
              <w:t xml:space="preserve">6.38 </w:t>
            </w:r>
          </w:p>
        </w:tc>
        <w:tc>
          <w:tcPr>
            <w:tcW w:w="419" w:type="pct"/>
            <w:noWrap/>
            <w:vAlign w:val="center"/>
          </w:tcPr>
          <w:p>
            <w:pPr>
              <w:widowControl/>
              <w:jc w:val="center"/>
              <w:rPr>
                <w:sz w:val="15"/>
                <w:szCs w:val="15"/>
              </w:rPr>
            </w:pPr>
            <w:r>
              <w:rPr>
                <w:color w:val="000000"/>
                <w:sz w:val="15"/>
                <w:szCs w:val="15"/>
              </w:rPr>
              <w:t xml:space="preserve">23.60 </w:t>
            </w:r>
          </w:p>
        </w:tc>
        <w:tc>
          <w:tcPr>
            <w:tcW w:w="480" w:type="pct"/>
            <w:noWrap/>
            <w:vAlign w:val="center"/>
          </w:tcPr>
          <w:p>
            <w:pPr>
              <w:widowControl/>
              <w:jc w:val="center"/>
              <w:rPr>
                <w:sz w:val="15"/>
                <w:szCs w:val="15"/>
              </w:rPr>
            </w:pPr>
            <w:r>
              <w:rPr>
                <w:color w:val="000000"/>
                <w:sz w:val="15"/>
                <w:szCs w:val="15"/>
              </w:rPr>
              <w:t xml:space="preserve">0.21 </w:t>
            </w:r>
          </w:p>
        </w:tc>
        <w:tc>
          <w:tcPr>
            <w:tcW w:w="451" w:type="pct"/>
            <w:noWrap/>
            <w:vAlign w:val="center"/>
          </w:tcPr>
          <w:p>
            <w:pPr>
              <w:widowControl/>
              <w:jc w:val="center"/>
              <w:rPr>
                <w:sz w:val="15"/>
                <w:szCs w:val="15"/>
              </w:rPr>
            </w:pPr>
            <w:r>
              <w:rPr>
                <w:color w:val="000000"/>
                <w:sz w:val="15"/>
                <w:szCs w:val="15"/>
              </w:rPr>
              <w:t xml:space="preserve">5.60 </w:t>
            </w:r>
          </w:p>
        </w:tc>
        <w:tc>
          <w:tcPr>
            <w:tcW w:w="419" w:type="pct"/>
            <w:noWrap/>
            <w:vAlign w:val="center"/>
          </w:tcPr>
          <w:p>
            <w:pPr>
              <w:widowControl/>
              <w:jc w:val="center"/>
              <w:rPr>
                <w:sz w:val="15"/>
                <w:szCs w:val="15"/>
              </w:rPr>
            </w:pPr>
            <w:r>
              <w:rPr>
                <w:color w:val="000000"/>
                <w:sz w:val="15"/>
                <w:szCs w:val="15"/>
              </w:rPr>
              <w:t xml:space="preserve">2.83 </w:t>
            </w:r>
          </w:p>
        </w:tc>
        <w:tc>
          <w:tcPr>
            <w:tcW w:w="598" w:type="pct"/>
            <w:noWrap/>
            <w:vAlign w:val="center"/>
          </w:tcPr>
          <w:p>
            <w:pPr>
              <w:widowControl/>
              <w:jc w:val="center"/>
              <w:rPr>
                <w:sz w:val="15"/>
                <w:szCs w:val="15"/>
              </w:rPr>
            </w:pPr>
            <w:r>
              <w:rPr>
                <w:color w:val="000000"/>
                <w:sz w:val="15"/>
                <w:szCs w:val="15"/>
              </w:rPr>
              <w:t xml:space="preserve">0.36 </w:t>
            </w:r>
          </w:p>
        </w:tc>
        <w:tc>
          <w:tcPr>
            <w:tcW w:w="538" w:type="pct"/>
            <w:noWrap/>
            <w:vAlign w:val="center"/>
          </w:tcPr>
          <w:p>
            <w:pPr>
              <w:widowControl/>
              <w:jc w:val="center"/>
              <w:rPr>
                <w:sz w:val="15"/>
                <w:szCs w:val="15"/>
              </w:rPr>
            </w:pPr>
            <w:r>
              <w:rPr>
                <w:color w:val="000000"/>
                <w:sz w:val="15"/>
                <w:szCs w:val="15"/>
              </w:rPr>
              <w:t xml:space="preserve">2.50 </w:t>
            </w:r>
          </w:p>
        </w:tc>
        <w:tc>
          <w:tcPr>
            <w:tcW w:w="538" w:type="pct"/>
            <w:noWrap/>
            <w:vAlign w:val="center"/>
          </w:tcPr>
          <w:p>
            <w:pPr>
              <w:widowControl/>
              <w:jc w:val="center"/>
              <w:rPr>
                <w:sz w:val="15"/>
                <w:szCs w:val="15"/>
              </w:rPr>
            </w:pPr>
            <w:r>
              <w:rPr>
                <w:color w:val="000000"/>
                <w:sz w:val="15"/>
                <w:szCs w:val="15"/>
              </w:rPr>
              <w:t xml:space="preserve">2.35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74" w:type="pct"/>
            <w:noWrap/>
            <w:vAlign w:val="center"/>
          </w:tcPr>
          <w:p>
            <w:pPr>
              <w:widowControl/>
              <w:spacing w:line="280" w:lineRule="exact"/>
              <w:jc w:val="center"/>
              <w:rPr>
                <w:sz w:val="15"/>
                <w:szCs w:val="15"/>
              </w:rPr>
            </w:pPr>
            <w:r>
              <w:rPr>
                <w:sz w:val="15"/>
                <w:szCs w:val="15"/>
              </w:rPr>
              <w:t>铅烟尘</w:t>
            </w:r>
          </w:p>
        </w:tc>
        <w:tc>
          <w:tcPr>
            <w:tcW w:w="479" w:type="pct"/>
            <w:noWrap/>
            <w:vAlign w:val="center"/>
          </w:tcPr>
          <w:p>
            <w:pPr>
              <w:widowControl/>
              <w:jc w:val="center"/>
              <w:rPr>
                <w:sz w:val="15"/>
                <w:szCs w:val="15"/>
              </w:rPr>
            </w:pPr>
            <w:r>
              <w:rPr>
                <w:color w:val="000000"/>
                <w:sz w:val="15"/>
                <w:szCs w:val="15"/>
              </w:rPr>
              <w:t xml:space="preserve">18.65 </w:t>
            </w:r>
          </w:p>
        </w:tc>
        <w:tc>
          <w:tcPr>
            <w:tcW w:w="419" w:type="pct"/>
            <w:noWrap/>
            <w:vAlign w:val="center"/>
          </w:tcPr>
          <w:p>
            <w:pPr>
              <w:widowControl/>
              <w:jc w:val="center"/>
              <w:rPr>
                <w:sz w:val="15"/>
                <w:szCs w:val="15"/>
              </w:rPr>
            </w:pPr>
            <w:r>
              <w:rPr>
                <w:color w:val="000000"/>
                <w:sz w:val="15"/>
                <w:szCs w:val="15"/>
              </w:rPr>
              <w:t xml:space="preserve">0.98 </w:t>
            </w:r>
          </w:p>
        </w:tc>
        <w:tc>
          <w:tcPr>
            <w:tcW w:w="480" w:type="pct"/>
            <w:noWrap/>
            <w:vAlign w:val="center"/>
          </w:tcPr>
          <w:p>
            <w:pPr>
              <w:widowControl/>
              <w:jc w:val="center"/>
              <w:rPr>
                <w:sz w:val="15"/>
                <w:szCs w:val="15"/>
              </w:rPr>
            </w:pPr>
            <w:r>
              <w:rPr>
                <w:color w:val="000000"/>
                <w:sz w:val="15"/>
                <w:szCs w:val="15"/>
              </w:rPr>
              <w:t xml:space="preserve">0.68 </w:t>
            </w:r>
          </w:p>
        </w:tc>
        <w:tc>
          <w:tcPr>
            <w:tcW w:w="451" w:type="pct"/>
            <w:noWrap/>
            <w:vAlign w:val="center"/>
          </w:tcPr>
          <w:p>
            <w:pPr>
              <w:widowControl/>
              <w:jc w:val="center"/>
              <w:rPr>
                <w:sz w:val="15"/>
                <w:szCs w:val="15"/>
              </w:rPr>
            </w:pPr>
            <w:r>
              <w:rPr>
                <w:color w:val="000000"/>
                <w:sz w:val="15"/>
                <w:szCs w:val="15"/>
              </w:rPr>
              <w:t xml:space="preserve">4.37 </w:t>
            </w:r>
          </w:p>
        </w:tc>
        <w:tc>
          <w:tcPr>
            <w:tcW w:w="419" w:type="pct"/>
            <w:noWrap/>
            <w:vAlign w:val="center"/>
          </w:tcPr>
          <w:p>
            <w:pPr>
              <w:widowControl/>
              <w:jc w:val="center"/>
              <w:rPr>
                <w:sz w:val="15"/>
                <w:szCs w:val="15"/>
              </w:rPr>
            </w:pPr>
            <w:r>
              <w:rPr>
                <w:color w:val="000000"/>
                <w:sz w:val="15"/>
                <w:szCs w:val="15"/>
              </w:rPr>
              <w:t xml:space="preserve">2.65 </w:t>
            </w:r>
          </w:p>
        </w:tc>
        <w:tc>
          <w:tcPr>
            <w:tcW w:w="598" w:type="pct"/>
            <w:noWrap/>
            <w:vAlign w:val="center"/>
          </w:tcPr>
          <w:p>
            <w:pPr>
              <w:widowControl/>
              <w:jc w:val="center"/>
              <w:rPr>
                <w:sz w:val="15"/>
                <w:szCs w:val="15"/>
              </w:rPr>
            </w:pPr>
            <w:r>
              <w:rPr>
                <w:color w:val="000000"/>
                <w:sz w:val="15"/>
                <w:szCs w:val="15"/>
              </w:rPr>
              <w:t xml:space="preserve">0.98 </w:t>
            </w:r>
          </w:p>
        </w:tc>
        <w:tc>
          <w:tcPr>
            <w:tcW w:w="538" w:type="pct"/>
            <w:noWrap/>
            <w:vAlign w:val="center"/>
          </w:tcPr>
          <w:p>
            <w:pPr>
              <w:widowControl/>
              <w:jc w:val="center"/>
              <w:rPr>
                <w:sz w:val="15"/>
                <w:szCs w:val="15"/>
              </w:rPr>
            </w:pPr>
            <w:r>
              <w:rPr>
                <w:color w:val="000000"/>
                <w:sz w:val="15"/>
                <w:szCs w:val="15"/>
              </w:rPr>
              <w:t xml:space="preserve">10.32 </w:t>
            </w:r>
          </w:p>
        </w:tc>
        <w:tc>
          <w:tcPr>
            <w:tcW w:w="538" w:type="pct"/>
            <w:noWrap/>
            <w:vAlign w:val="center"/>
          </w:tcPr>
          <w:p>
            <w:pPr>
              <w:widowControl/>
              <w:jc w:val="center"/>
              <w:rPr>
                <w:sz w:val="15"/>
                <w:szCs w:val="15"/>
              </w:rPr>
            </w:pPr>
            <w:r>
              <w:rPr>
                <w:color w:val="000000"/>
                <w:sz w:val="15"/>
                <w:szCs w:val="15"/>
              </w:rPr>
              <w:t xml:space="preserve">6.90 </w:t>
            </w:r>
          </w:p>
        </w:tc>
      </w:tr>
    </w:tbl>
    <w:p>
      <w:pPr>
        <w:rPr>
          <w:rFonts w:ascii="Times New Roman" w:hAnsi="Times New Roman"/>
          <w:szCs w:val="21"/>
        </w:rPr>
      </w:pPr>
    </w:p>
    <w:p>
      <w:pPr>
        <w:spacing w:line="360" w:lineRule="auto"/>
        <w:ind w:firstLine="210" w:firstLineChars="100"/>
        <w:rPr>
          <w:rFonts w:ascii="Times New Roman" w:hAnsi="Times New Roman"/>
          <w:szCs w:val="21"/>
        </w:rPr>
      </w:pPr>
      <w:r>
        <w:rPr>
          <w:rFonts w:hint="eastAsia" w:ascii="Times New Roman" w:hAnsi="Times New Roman"/>
          <w:szCs w:val="21"/>
        </w:rPr>
        <w:t>（2）</w:t>
      </w:r>
      <w:r>
        <w:rPr>
          <w:rFonts w:ascii="Times New Roman" w:hAnsi="Times New Roman"/>
          <w:szCs w:val="21"/>
        </w:rPr>
        <w:t>处理工艺</w:t>
      </w:r>
    </w:p>
    <w:p>
      <w:pPr>
        <w:spacing w:line="360" w:lineRule="auto"/>
        <w:ind w:firstLine="420" w:firstLineChars="200"/>
      </w:pPr>
      <w:r>
        <w:rPr>
          <w:rFonts w:hint="eastAsia" w:ascii="Times New Roman" w:hAnsi="Times New Roman"/>
          <w:szCs w:val="21"/>
        </w:rPr>
        <w:t>污酸渣的处理流程分为氧压酸浸和富氧熔炼两部分。污酸渣经</w:t>
      </w:r>
      <w:r>
        <w:t>氧压浸出得到浸出渣和浸出液，浸出渣送铅系统富氧侧吹熔炼—侧吹还原炉熔炼—烟化炉烟化工序得到铅合金；浸出液还原、萃取得到三氧化二砷</w:t>
      </w:r>
      <w:r>
        <w:rPr>
          <w:rFonts w:hint="eastAsia"/>
        </w:rPr>
        <w:t>。</w:t>
      </w:r>
    </w:p>
    <w:p>
      <w:pPr>
        <w:spacing w:line="360" w:lineRule="auto"/>
        <w:ind w:firstLine="420" w:firstLineChars="200"/>
        <w:rPr>
          <w:rFonts w:ascii="Times New Roman" w:hAnsi="Times New Roman"/>
          <w:szCs w:val="21"/>
        </w:rPr>
      </w:pPr>
      <w:r>
        <w:rPr>
          <w:rFonts w:hint="eastAsia" w:ascii="Times New Roman" w:hAnsi="Times New Roman"/>
          <w:szCs w:val="21"/>
        </w:rPr>
        <w:t>（3）</w:t>
      </w:r>
      <w:r>
        <w:rPr>
          <w:rFonts w:ascii="Times New Roman" w:hAnsi="Times New Roman"/>
          <w:szCs w:val="21"/>
        </w:rPr>
        <w:t>工艺流程</w:t>
      </w:r>
    </w:p>
    <w:p>
      <w:pPr>
        <w:spacing w:line="360" w:lineRule="auto"/>
        <w:rPr>
          <w:rFonts w:ascii="Times New Roman" w:hAnsi="Times New Roman"/>
          <w:szCs w:val="21"/>
        </w:rPr>
      </w:pPr>
      <w:r>
        <w:rPr>
          <w:rFonts w:ascii="Times New Roman" w:hAnsi="Times New Roman"/>
          <w:szCs w:val="21"/>
        </w:rPr>
        <w:t>①</w:t>
      </w:r>
      <w:r>
        <w:rPr>
          <w:rFonts w:hint="eastAsia" w:ascii="Times New Roman" w:hAnsi="Times New Roman"/>
          <w:szCs w:val="21"/>
        </w:rPr>
        <w:t>氧压浸出工艺</w:t>
      </w:r>
    </w:p>
    <w:p>
      <w:pPr>
        <w:spacing w:line="360" w:lineRule="auto"/>
        <w:ind w:firstLine="420" w:firstLineChars="200"/>
      </w:pPr>
      <w:r>
        <w:rPr>
          <w:rFonts w:hint="eastAsia" w:ascii="Times New Roman" w:hAnsi="Times New Roman"/>
          <w:szCs w:val="21"/>
        </w:rPr>
        <w:t>污酸处理产生的污酸渣加入铼萃余液等进行浆化，浆化后矿浆采用加压泵送至矿浆加热器加热至110℃后送至加压釜进行加压浸出，过程中控制反应温度150-160℃，并通入氧气，控制氧分压0.5MPa，得浸出液和浸出渣。浸出渣送铅系统侧吹炉配料回收工序，浸出液通过耐腐蚀泵输送到浸出液储槽冷却，经还原浸出和冷却结晶后得到</w:t>
      </w:r>
      <w:r>
        <w:t>三氧化二砷</w:t>
      </w:r>
      <w:r>
        <w:rPr>
          <w:rFonts w:hint="eastAsia"/>
        </w:rPr>
        <w:t>。</w:t>
      </w:r>
    </w:p>
    <w:p>
      <w:pPr>
        <w:spacing w:line="360" w:lineRule="auto"/>
        <w:ind w:firstLine="420" w:firstLineChars="200"/>
        <w:jc w:val="center"/>
      </w:pPr>
      <w:r>
        <w:pict>
          <v:shape id="_x0000_i1027" o:spt="75" alt="1648005693(1)" type="#_x0000_t75" style="height:236.45pt;width:259.15pt;" filled="f" o:preferrelative="t" stroked="f" coordsize="21600,21600">
            <v:path/>
            <v:fill on="f" focussize="0,0"/>
            <v:stroke on="f" joinstyle="miter"/>
            <v:imagedata r:id="rId9" o:title="1648005693(1)"/>
            <o:lock v:ext="edit" aspectratio="t"/>
            <w10:wrap type="none"/>
            <w10:anchorlock/>
          </v:shape>
        </w:pict>
      </w:r>
    </w:p>
    <w:p>
      <w:pPr>
        <w:adjustRightInd w:val="0"/>
        <w:snapToGrid w:val="0"/>
        <w:spacing w:line="360" w:lineRule="auto"/>
        <w:jc w:val="center"/>
      </w:pPr>
      <w:r>
        <w:rPr>
          <w:rFonts w:hint="eastAsia" w:ascii="Times New Roman" w:hAnsi="Times New Roman"/>
        </w:rPr>
        <w:t>图3 污酸渣氧压浸出工艺流程图</w:t>
      </w:r>
    </w:p>
    <w:p>
      <w:pPr>
        <w:spacing w:line="360" w:lineRule="auto"/>
        <w:rPr>
          <w:rFonts w:ascii="Times New Roman" w:hAnsi="Times New Roman"/>
          <w:szCs w:val="21"/>
        </w:rPr>
      </w:pPr>
      <w:r>
        <w:rPr>
          <w:rFonts w:ascii="Times New Roman" w:hAnsi="Times New Roman"/>
          <w:szCs w:val="21"/>
        </w:rPr>
        <w:t>②</w:t>
      </w:r>
      <w:r>
        <w:rPr>
          <w:rFonts w:hint="eastAsia" w:ascii="Times New Roman" w:hAnsi="Times New Roman"/>
          <w:szCs w:val="21"/>
        </w:rPr>
        <w:t>富氧熔炼工艺</w:t>
      </w:r>
    </w:p>
    <w:p>
      <w:pPr>
        <w:spacing w:line="360" w:lineRule="auto"/>
        <w:ind w:firstLine="420" w:firstLineChars="200"/>
      </w:pPr>
      <w:r>
        <w:rPr>
          <w:rFonts w:hint="eastAsia" w:ascii="Times New Roman" w:hAnsi="Times New Roman"/>
          <w:szCs w:val="21"/>
        </w:rPr>
        <w:t>浸出渣、其他含铅物料、</w:t>
      </w:r>
      <w:r>
        <w:rPr>
          <w:rFonts w:hint="eastAsia"/>
        </w:rPr>
        <w:t>粉煤、硫铁矿等按一定配料比配料制粒后经皮带运输加入富氧侧吹炉中进行富氧熔炼。炉料在富氧侧吹炉内与炉体两侧风口鼓入的含氧60%的富氧空气进行富氧熔池熔炼，产生了SO</w:t>
      </w:r>
      <w:r>
        <w:rPr>
          <w:rFonts w:hint="eastAsia"/>
          <w:vertAlign w:val="subscript"/>
        </w:rPr>
        <w:t>2</w:t>
      </w:r>
      <w:r>
        <w:rPr>
          <w:rFonts w:hint="eastAsia"/>
        </w:rPr>
        <w:t>高温烟气、铅冰铜、铅合金和炉渣。高温烟气出炉后经余热锅炉冷却、布袋收尘器净化除尘后送制酸；铅冰铜送铜回收系统；铅合金由出铅口放出，送下一工段精炼；氧化铅炉渣送往侧吹还原炉熔炼。</w:t>
      </w:r>
    </w:p>
    <w:p>
      <w:pPr>
        <w:spacing w:line="360" w:lineRule="auto"/>
        <w:ind w:firstLine="420" w:firstLineChars="200"/>
      </w:pPr>
      <w:r>
        <w:rPr>
          <w:rFonts w:hint="eastAsia"/>
        </w:rPr>
        <w:t>富氧侧吹炉产出的氧化铅炉渣经配比后加入侧吹还原炉内熔炼，产生铅合金、炉渣和烟气。铅合金由侧吹炉出铅口放出，送下一工段精炼；炉渣由渣口放出</w:t>
      </w:r>
      <w:r>
        <w:t>流入烟化炉内</w:t>
      </w:r>
      <w:r>
        <w:rPr>
          <w:rFonts w:hint="eastAsia"/>
        </w:rPr>
        <w:t>，侧吹炉烟气经余热锅炉回收余热后入布袋收尘器，收尘后烟气入烟气脱硫系统最终处理。</w:t>
      </w:r>
    </w:p>
    <w:p>
      <w:pPr>
        <w:spacing w:line="360" w:lineRule="auto"/>
        <w:ind w:firstLine="420" w:firstLineChars="200"/>
      </w:pPr>
      <w:r>
        <w:rPr>
          <w:rFonts w:hint="eastAsia"/>
        </w:rPr>
        <w:t>还原炉出来的炉渣由烟化炉炉料入口流入烟化炉内，</w:t>
      </w:r>
      <w:r>
        <w:rPr>
          <w:szCs w:val="21"/>
        </w:rPr>
        <w:t>与粉煤、空气发生反应</w:t>
      </w:r>
      <w:r>
        <w:rPr>
          <w:rFonts w:hint="eastAsia"/>
        </w:rPr>
        <w:t>，炉渣内的易挥发的金属挥发至烟气中，被烟化炉二次风氧化后进入烟气，烟气经余热锅炉冷却后入布袋收尘器收尘，收集的次氧化锌烟尘用于硫酸锌生产，尾气经脱硫后烟囱排放。烟化炉炉渣经水淬后得到水淬渣，为一般固体废弃物，外售至水泥厂。</w:t>
      </w:r>
    </w:p>
    <w:p>
      <w:pPr>
        <w:spacing w:line="360" w:lineRule="auto"/>
        <w:ind w:firstLine="420" w:firstLineChars="200"/>
      </w:pPr>
      <w:r>
        <w:pict>
          <v:shape id="_x0000_i1028" o:spt="75" alt="1648006526(1)" type="#_x0000_t75" style="height:325.85pt;width:334.95pt;" filled="f" o:preferrelative="t" stroked="f" coordsize="21600,21600">
            <v:path/>
            <v:fill on="f" focussize="0,0"/>
            <v:stroke on="f" joinstyle="miter"/>
            <v:imagedata r:id="rId10" o:title="1648006526(1)"/>
            <o:lock v:ext="edit" aspectratio="t"/>
            <w10:wrap type="none"/>
            <w10:anchorlock/>
          </v:shape>
        </w:pict>
      </w:r>
    </w:p>
    <w:p>
      <w:pPr>
        <w:adjustRightInd w:val="0"/>
        <w:snapToGrid w:val="0"/>
        <w:spacing w:line="360" w:lineRule="auto"/>
        <w:jc w:val="center"/>
      </w:pPr>
      <w:r>
        <w:rPr>
          <w:rFonts w:hint="eastAsia" w:ascii="Times New Roman" w:hAnsi="Times New Roman"/>
        </w:rPr>
        <w:t>图4 浸出渣富氧熔炼工艺流程图</w:t>
      </w:r>
    </w:p>
    <w:p>
      <w:pPr>
        <w:spacing w:line="360" w:lineRule="auto"/>
        <w:ind w:left="240"/>
        <w:rPr>
          <w:rFonts w:ascii="Times New Roman" w:hAnsi="Times New Roman"/>
          <w:szCs w:val="21"/>
        </w:rPr>
      </w:pPr>
      <w:r>
        <w:rPr>
          <w:rFonts w:hint="eastAsia" w:ascii="Times New Roman" w:hAnsi="Times New Roman"/>
          <w:szCs w:val="21"/>
        </w:rPr>
        <w:t>（4）</w:t>
      </w:r>
      <w:r>
        <w:rPr>
          <w:rFonts w:ascii="Times New Roman" w:hAnsi="Times New Roman"/>
          <w:szCs w:val="21"/>
        </w:rPr>
        <w:t>工艺参数控制及运行效果</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6"/>
        <w:gridCol w:w="1309"/>
        <w:gridCol w:w="1019"/>
        <w:gridCol w:w="2309"/>
        <w:gridCol w:w="3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vAlign w:val="center"/>
          </w:tcPr>
          <w:p>
            <w:pPr>
              <w:adjustRightInd w:val="0"/>
              <w:snapToGrid w:val="0"/>
              <w:spacing w:line="360" w:lineRule="auto"/>
              <w:jc w:val="center"/>
              <w:rPr>
                <w:rFonts w:ascii="Times New Roman" w:hAnsi="Times New Roman"/>
                <w:b/>
                <w:bCs/>
                <w:sz w:val="18"/>
              </w:rPr>
            </w:pPr>
            <w:r>
              <w:rPr>
                <w:rFonts w:hint="eastAsia" w:ascii="Times New Roman" w:hAnsi="Times New Roman"/>
                <w:b/>
                <w:bCs/>
                <w:sz w:val="18"/>
              </w:rPr>
              <w:t>工段</w:t>
            </w:r>
          </w:p>
        </w:tc>
        <w:tc>
          <w:tcPr>
            <w:tcW w:w="2328" w:type="dxa"/>
            <w:gridSpan w:val="2"/>
            <w:vAlign w:val="center"/>
          </w:tcPr>
          <w:p>
            <w:pPr>
              <w:adjustRightInd w:val="0"/>
              <w:snapToGrid w:val="0"/>
              <w:spacing w:line="360" w:lineRule="auto"/>
              <w:jc w:val="center"/>
              <w:rPr>
                <w:rFonts w:ascii="Times New Roman" w:hAnsi="Times New Roman"/>
                <w:b/>
                <w:bCs/>
                <w:sz w:val="18"/>
              </w:rPr>
            </w:pPr>
            <w:r>
              <w:rPr>
                <w:rFonts w:hint="eastAsia" w:ascii="Times New Roman" w:hAnsi="Times New Roman"/>
                <w:b/>
                <w:bCs/>
                <w:sz w:val="18"/>
              </w:rPr>
              <w:t>物料变化</w:t>
            </w:r>
          </w:p>
        </w:tc>
        <w:tc>
          <w:tcPr>
            <w:tcW w:w="2309" w:type="dxa"/>
            <w:vAlign w:val="center"/>
          </w:tcPr>
          <w:p>
            <w:pPr>
              <w:adjustRightInd w:val="0"/>
              <w:snapToGrid w:val="0"/>
              <w:spacing w:line="360" w:lineRule="auto"/>
              <w:jc w:val="center"/>
              <w:rPr>
                <w:rFonts w:ascii="Times New Roman" w:hAnsi="Times New Roman"/>
                <w:b/>
                <w:bCs/>
                <w:sz w:val="18"/>
              </w:rPr>
            </w:pPr>
            <w:r>
              <w:rPr>
                <w:rFonts w:hint="eastAsia" w:ascii="Times New Roman" w:hAnsi="Times New Roman"/>
                <w:b/>
                <w:bCs/>
                <w:sz w:val="18"/>
              </w:rPr>
              <w:t>参数控制</w:t>
            </w:r>
          </w:p>
        </w:tc>
        <w:tc>
          <w:tcPr>
            <w:tcW w:w="3169" w:type="dxa"/>
            <w:vAlign w:val="center"/>
          </w:tcPr>
          <w:p>
            <w:pPr>
              <w:adjustRightInd w:val="0"/>
              <w:snapToGrid w:val="0"/>
              <w:spacing w:line="360" w:lineRule="auto"/>
              <w:jc w:val="center"/>
              <w:rPr>
                <w:rFonts w:ascii="Times New Roman" w:hAnsi="Times New Roman"/>
                <w:b/>
                <w:bCs/>
                <w:sz w:val="18"/>
              </w:rPr>
            </w:pPr>
            <w:r>
              <w:rPr>
                <w:rFonts w:hint="eastAsia" w:ascii="Times New Roman" w:hAnsi="Times New Roman"/>
                <w:b/>
                <w:bCs/>
                <w:sz w:val="18"/>
              </w:rPr>
              <w:t>处理效果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jc w:val="center"/>
        </w:trPr>
        <w:tc>
          <w:tcPr>
            <w:tcW w:w="716" w:type="dxa"/>
            <w:vMerge w:val="restart"/>
            <w:vAlign w:val="center"/>
          </w:tcPr>
          <w:p>
            <w:pPr>
              <w:adjustRightInd w:val="0"/>
              <w:snapToGrid w:val="0"/>
              <w:spacing w:line="360" w:lineRule="auto"/>
              <w:jc w:val="center"/>
              <w:rPr>
                <w:rFonts w:ascii="Times New Roman" w:hAnsi="Times New Roman"/>
                <w:sz w:val="18"/>
              </w:rPr>
            </w:pPr>
            <w:r>
              <w:rPr>
                <w:rFonts w:hint="eastAsia" w:ascii="Times New Roman" w:hAnsi="Times New Roman"/>
                <w:sz w:val="18"/>
              </w:rPr>
              <w:t>氧压浸出</w:t>
            </w:r>
          </w:p>
        </w:tc>
        <w:tc>
          <w:tcPr>
            <w:tcW w:w="1309" w:type="dxa"/>
            <w:vAlign w:val="center"/>
          </w:tcPr>
          <w:p>
            <w:pPr>
              <w:adjustRightInd w:val="0"/>
              <w:snapToGrid w:val="0"/>
              <w:spacing w:line="360" w:lineRule="auto"/>
              <w:rPr>
                <w:rFonts w:ascii="Times New Roman" w:hAnsi="Times New Roman"/>
                <w:sz w:val="18"/>
              </w:rPr>
            </w:pPr>
            <w:r>
              <w:rPr>
                <w:rFonts w:hint="eastAsia" w:ascii="Times New Roman" w:hAnsi="Times New Roman"/>
                <w:sz w:val="18"/>
              </w:rPr>
              <w:t xml:space="preserve">   原料                   </w:t>
            </w:r>
          </w:p>
        </w:tc>
        <w:tc>
          <w:tcPr>
            <w:tcW w:w="1019" w:type="dxa"/>
            <w:vAlign w:val="center"/>
          </w:tcPr>
          <w:p>
            <w:pPr>
              <w:adjustRightInd w:val="0"/>
              <w:snapToGrid w:val="0"/>
              <w:spacing w:line="360" w:lineRule="auto"/>
              <w:rPr>
                <w:rFonts w:ascii="Times New Roman" w:hAnsi="Times New Roman"/>
                <w:sz w:val="18"/>
              </w:rPr>
            </w:pPr>
            <w:r>
              <w:rPr>
                <w:rFonts w:hint="eastAsia" w:ascii="Times New Roman" w:hAnsi="Times New Roman"/>
                <w:sz w:val="18"/>
              </w:rPr>
              <w:t>产品</w:t>
            </w:r>
          </w:p>
        </w:tc>
        <w:tc>
          <w:tcPr>
            <w:tcW w:w="2309" w:type="dxa"/>
            <w:vMerge w:val="restart"/>
            <w:vAlign w:val="center"/>
          </w:tcPr>
          <w:p>
            <w:pPr>
              <w:adjustRightInd w:val="0"/>
              <w:snapToGrid w:val="0"/>
              <w:spacing w:line="360" w:lineRule="auto"/>
              <w:rPr>
                <w:rFonts w:ascii="Times New Roman" w:hAnsi="Times New Roman"/>
                <w:szCs w:val="21"/>
              </w:rPr>
            </w:pPr>
            <w:r>
              <w:rPr>
                <w:rFonts w:hint="eastAsia" w:ascii="Times New Roman" w:hAnsi="Times New Roman"/>
                <w:sz w:val="18"/>
              </w:rPr>
              <w:t>浸出温度：150</w:t>
            </w:r>
            <w:r>
              <w:rPr>
                <w:rFonts w:hint="eastAsia" w:ascii="Times New Roman" w:hAnsi="Times New Roman"/>
                <w:szCs w:val="21"/>
              </w:rPr>
              <w:t>℃</w:t>
            </w:r>
          </w:p>
          <w:p>
            <w:pPr>
              <w:adjustRightInd w:val="0"/>
              <w:snapToGrid w:val="0"/>
              <w:spacing w:line="360" w:lineRule="auto"/>
              <w:rPr>
                <w:rFonts w:ascii="Times New Roman" w:hAnsi="Times New Roman"/>
                <w:szCs w:val="21"/>
              </w:rPr>
            </w:pPr>
            <w:r>
              <w:rPr>
                <w:rFonts w:hint="eastAsia" w:ascii="Times New Roman" w:hAnsi="Times New Roman"/>
                <w:sz w:val="18"/>
                <w:szCs w:val="18"/>
              </w:rPr>
              <w:t>浸出氧压：0.5MPa</w:t>
            </w:r>
          </w:p>
        </w:tc>
        <w:tc>
          <w:tcPr>
            <w:tcW w:w="3169" w:type="dxa"/>
            <w:vMerge w:val="restart"/>
            <w:vAlign w:val="center"/>
          </w:tcPr>
          <w:p>
            <w:pPr>
              <w:adjustRightInd w:val="0"/>
              <w:snapToGrid w:val="0"/>
              <w:spacing w:line="360" w:lineRule="auto"/>
              <w:ind w:firstLine="720" w:firstLineChars="400"/>
              <w:jc w:val="center"/>
              <w:rPr>
                <w:rFonts w:ascii="Times New Roman" w:hAnsi="Times New Roman"/>
                <w:sz w:val="18"/>
              </w:rPr>
            </w:pPr>
            <w:r>
              <w:rPr>
                <w:rFonts w:hint="eastAsia" w:ascii="Times New Roman" w:hAnsi="Times New Roman"/>
                <w:sz w:val="18"/>
              </w:rPr>
              <w:t xml:space="preserve">砷回收率： </w:t>
            </w:r>
            <w:r>
              <w:rPr>
                <w:rFonts w:hint="eastAsia" w:ascii="宋体" w:hAnsi="宋体" w:cs="宋体"/>
                <w:sz w:val="18"/>
              </w:rPr>
              <w:t>95.36%</w:t>
            </w:r>
          </w:p>
          <w:p>
            <w:pPr>
              <w:adjustRightInd w:val="0"/>
              <w:snapToGrid w:val="0"/>
              <w:spacing w:line="360" w:lineRule="auto"/>
              <w:jc w:val="center"/>
              <w:rPr>
                <w:rFonts w:ascii="Times New Roman" w:hAns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vMerge w:val="continue"/>
            <w:vAlign w:val="center"/>
          </w:tcPr>
          <w:p>
            <w:pPr>
              <w:adjustRightInd w:val="0"/>
              <w:snapToGrid w:val="0"/>
              <w:spacing w:line="360" w:lineRule="auto"/>
              <w:rPr>
                <w:rFonts w:ascii="Times New Roman" w:hAnsi="Times New Roman"/>
                <w:sz w:val="18"/>
              </w:rPr>
            </w:pPr>
          </w:p>
        </w:tc>
        <w:tc>
          <w:tcPr>
            <w:tcW w:w="1309" w:type="dxa"/>
            <w:vAlign w:val="center"/>
          </w:tcPr>
          <w:p>
            <w:pPr>
              <w:adjustRightInd w:val="0"/>
              <w:snapToGrid w:val="0"/>
              <w:spacing w:line="360" w:lineRule="auto"/>
              <w:rPr>
                <w:rFonts w:ascii="Times New Roman" w:hAnsi="Times New Roman"/>
                <w:sz w:val="18"/>
              </w:rPr>
            </w:pPr>
            <w:r>
              <w:rPr>
                <w:rFonts w:hint="eastAsia" w:ascii="Times New Roman" w:hAnsi="Times New Roman"/>
                <w:sz w:val="18"/>
              </w:rPr>
              <w:t>污酸渣</w:t>
            </w:r>
          </w:p>
        </w:tc>
        <w:tc>
          <w:tcPr>
            <w:tcW w:w="1019" w:type="dxa"/>
            <w:vAlign w:val="center"/>
          </w:tcPr>
          <w:p>
            <w:pPr>
              <w:adjustRightInd w:val="0"/>
              <w:snapToGrid w:val="0"/>
              <w:spacing w:line="360" w:lineRule="auto"/>
              <w:rPr>
                <w:rFonts w:ascii="Times New Roman" w:hAnsi="Times New Roman"/>
                <w:sz w:val="18"/>
              </w:rPr>
            </w:pPr>
            <w:r>
              <w:rPr>
                <w:rFonts w:hint="eastAsia" w:ascii="Times New Roman" w:hAnsi="Times New Roman"/>
                <w:sz w:val="18"/>
              </w:rPr>
              <w:t>As</w:t>
            </w:r>
            <w:r>
              <w:rPr>
                <w:rFonts w:hint="eastAsia" w:ascii="Times New Roman" w:hAnsi="Times New Roman"/>
                <w:sz w:val="18"/>
                <w:vertAlign w:val="subscript"/>
              </w:rPr>
              <w:t>2</w:t>
            </w:r>
            <w:r>
              <w:rPr>
                <w:rFonts w:hint="eastAsia" w:ascii="Times New Roman" w:hAnsi="Times New Roman"/>
                <w:sz w:val="18"/>
              </w:rPr>
              <w:t>O</w:t>
            </w:r>
            <w:r>
              <w:rPr>
                <w:rFonts w:hint="eastAsia" w:ascii="Times New Roman" w:hAnsi="Times New Roman"/>
                <w:sz w:val="18"/>
                <w:vertAlign w:val="subscript"/>
              </w:rPr>
              <w:t>3</w:t>
            </w:r>
          </w:p>
        </w:tc>
        <w:tc>
          <w:tcPr>
            <w:tcW w:w="2309" w:type="dxa"/>
            <w:vMerge w:val="continue"/>
            <w:vAlign w:val="center"/>
          </w:tcPr>
          <w:p>
            <w:pPr>
              <w:adjustRightInd w:val="0"/>
              <w:snapToGrid w:val="0"/>
              <w:spacing w:line="360" w:lineRule="auto"/>
              <w:rPr>
                <w:rFonts w:ascii="Times New Roman" w:hAnsi="Times New Roman"/>
                <w:sz w:val="18"/>
              </w:rPr>
            </w:pPr>
          </w:p>
        </w:tc>
        <w:tc>
          <w:tcPr>
            <w:tcW w:w="3169" w:type="dxa"/>
            <w:vMerge w:val="continue"/>
            <w:vAlign w:val="center"/>
          </w:tcPr>
          <w:p>
            <w:pPr>
              <w:adjustRightInd w:val="0"/>
              <w:snapToGrid w:val="0"/>
              <w:spacing w:line="360" w:lineRule="auto"/>
              <w:rPr>
                <w:rFonts w:ascii="Times New Roman" w:hAns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jc w:val="center"/>
        </w:trPr>
        <w:tc>
          <w:tcPr>
            <w:tcW w:w="716" w:type="dxa"/>
            <w:vAlign w:val="center"/>
          </w:tcPr>
          <w:p>
            <w:pPr>
              <w:adjustRightInd w:val="0"/>
              <w:snapToGrid w:val="0"/>
              <w:spacing w:line="360" w:lineRule="auto"/>
              <w:rPr>
                <w:rFonts w:ascii="Times New Roman" w:hAnsi="Times New Roman"/>
                <w:sz w:val="18"/>
              </w:rPr>
            </w:pPr>
            <w:r>
              <w:rPr>
                <w:rFonts w:hint="eastAsia" w:ascii="Times New Roman" w:hAnsi="Times New Roman"/>
                <w:sz w:val="18"/>
              </w:rPr>
              <w:t>富氧熔炼</w:t>
            </w:r>
          </w:p>
        </w:tc>
        <w:tc>
          <w:tcPr>
            <w:tcW w:w="1309" w:type="dxa"/>
            <w:vAlign w:val="center"/>
          </w:tcPr>
          <w:p>
            <w:pPr>
              <w:adjustRightInd w:val="0"/>
              <w:snapToGrid w:val="0"/>
              <w:spacing w:line="360" w:lineRule="auto"/>
              <w:rPr>
                <w:rFonts w:ascii="Times New Roman" w:hAnsi="Times New Roman"/>
                <w:sz w:val="18"/>
              </w:rPr>
            </w:pPr>
            <w:r>
              <w:rPr>
                <w:rFonts w:hint="eastAsia" w:ascii="Times New Roman" w:hAnsi="Times New Roman"/>
                <w:sz w:val="18"/>
              </w:rPr>
              <w:t>浸出渣</w:t>
            </w:r>
          </w:p>
        </w:tc>
        <w:tc>
          <w:tcPr>
            <w:tcW w:w="1019" w:type="dxa"/>
            <w:vAlign w:val="center"/>
          </w:tcPr>
          <w:p>
            <w:pPr>
              <w:adjustRightInd w:val="0"/>
              <w:snapToGrid w:val="0"/>
              <w:spacing w:line="360" w:lineRule="auto"/>
              <w:rPr>
                <w:rFonts w:ascii="Times New Roman" w:hAnsi="Times New Roman"/>
                <w:sz w:val="18"/>
              </w:rPr>
            </w:pPr>
            <w:r>
              <w:rPr>
                <w:rFonts w:hint="eastAsia" w:ascii="Times New Roman" w:hAnsi="Times New Roman"/>
                <w:sz w:val="18"/>
              </w:rPr>
              <w:t>铅合金</w:t>
            </w:r>
          </w:p>
          <w:p>
            <w:pPr>
              <w:adjustRightInd w:val="0"/>
              <w:snapToGrid w:val="0"/>
              <w:spacing w:line="360" w:lineRule="auto"/>
              <w:rPr>
                <w:rFonts w:ascii="Times New Roman" w:hAnsi="Times New Roman"/>
                <w:sz w:val="18"/>
              </w:rPr>
            </w:pPr>
            <w:r>
              <w:rPr>
                <w:rFonts w:hint="eastAsia" w:ascii="Times New Roman" w:hAnsi="Times New Roman"/>
                <w:sz w:val="18"/>
              </w:rPr>
              <w:t>铅冰铜</w:t>
            </w:r>
          </w:p>
          <w:p>
            <w:pPr>
              <w:adjustRightInd w:val="0"/>
              <w:snapToGrid w:val="0"/>
              <w:spacing w:line="360" w:lineRule="auto"/>
              <w:rPr>
                <w:rFonts w:ascii="Times New Roman" w:hAnsi="Times New Roman"/>
                <w:sz w:val="18"/>
              </w:rPr>
            </w:pPr>
            <w:r>
              <w:rPr>
                <w:rFonts w:hint="eastAsia" w:ascii="Times New Roman" w:hAnsi="Times New Roman"/>
                <w:sz w:val="18"/>
              </w:rPr>
              <w:t>硫酸</w:t>
            </w:r>
          </w:p>
        </w:tc>
        <w:tc>
          <w:tcPr>
            <w:tcW w:w="2309" w:type="dxa"/>
            <w:vAlign w:val="center"/>
          </w:tcPr>
          <w:p>
            <w:pPr>
              <w:adjustRightInd w:val="0"/>
              <w:snapToGrid w:val="0"/>
              <w:spacing w:line="360" w:lineRule="auto"/>
              <w:rPr>
                <w:rFonts w:ascii="Times New Roman" w:hAnsi="Times New Roman"/>
                <w:sz w:val="18"/>
              </w:rPr>
            </w:pPr>
            <w:r>
              <w:rPr>
                <w:rFonts w:hint="eastAsia" w:ascii="Times New Roman" w:hAnsi="Times New Roman"/>
                <w:sz w:val="18"/>
              </w:rPr>
              <w:t>熔炼炉氧气浓度：60%</w:t>
            </w:r>
          </w:p>
          <w:p>
            <w:pPr>
              <w:adjustRightInd w:val="0"/>
              <w:snapToGrid w:val="0"/>
              <w:spacing w:line="360" w:lineRule="auto"/>
              <w:rPr>
                <w:rFonts w:ascii="Times New Roman" w:hAnsi="Times New Roman"/>
                <w:sz w:val="18"/>
              </w:rPr>
            </w:pPr>
            <w:r>
              <w:rPr>
                <w:rFonts w:hint="eastAsia" w:ascii="Times New Roman" w:hAnsi="Times New Roman"/>
                <w:sz w:val="18"/>
              </w:rPr>
              <w:t>熔炼炉温度：1000-1200℃</w:t>
            </w:r>
          </w:p>
          <w:p>
            <w:pPr>
              <w:adjustRightInd w:val="0"/>
              <w:snapToGrid w:val="0"/>
              <w:spacing w:line="360" w:lineRule="auto"/>
              <w:rPr>
                <w:rFonts w:ascii="Times New Roman" w:hAnsi="Times New Roman"/>
                <w:sz w:val="18"/>
              </w:rPr>
            </w:pPr>
            <w:r>
              <w:rPr>
                <w:rFonts w:hint="eastAsia" w:ascii="Times New Roman" w:hAnsi="Times New Roman"/>
                <w:sz w:val="18"/>
              </w:rPr>
              <w:t>还原炉氧气浓度：55%</w:t>
            </w:r>
          </w:p>
          <w:p>
            <w:pPr>
              <w:adjustRightInd w:val="0"/>
              <w:snapToGrid w:val="0"/>
              <w:spacing w:line="360" w:lineRule="auto"/>
              <w:rPr>
                <w:rFonts w:ascii="Times New Roman" w:hAnsi="Times New Roman"/>
                <w:sz w:val="18"/>
              </w:rPr>
            </w:pPr>
            <w:r>
              <w:rPr>
                <w:rFonts w:hint="eastAsia" w:ascii="Times New Roman" w:hAnsi="Times New Roman"/>
                <w:sz w:val="18"/>
              </w:rPr>
              <w:t>还原炉温度：1000-1200℃</w:t>
            </w:r>
          </w:p>
          <w:p>
            <w:pPr>
              <w:adjustRightInd w:val="0"/>
              <w:snapToGrid w:val="0"/>
              <w:spacing w:line="360" w:lineRule="auto"/>
              <w:rPr>
                <w:rFonts w:ascii="Times New Roman" w:hAnsi="Times New Roman"/>
                <w:sz w:val="18"/>
              </w:rPr>
            </w:pPr>
            <w:r>
              <w:rPr>
                <w:rFonts w:hint="eastAsia" w:ascii="Times New Roman" w:hAnsi="Times New Roman"/>
                <w:sz w:val="18"/>
              </w:rPr>
              <w:t>烟化炉温度：1300℃</w:t>
            </w:r>
          </w:p>
        </w:tc>
        <w:tc>
          <w:tcPr>
            <w:tcW w:w="3169" w:type="dxa"/>
            <w:vAlign w:val="center"/>
          </w:tcPr>
          <w:p>
            <w:pPr>
              <w:adjustRightInd w:val="0"/>
              <w:snapToGrid w:val="0"/>
              <w:spacing w:line="360" w:lineRule="auto"/>
              <w:jc w:val="center"/>
              <w:rPr>
                <w:rFonts w:ascii="Times New Roman" w:hAnsi="Times New Roman"/>
                <w:sz w:val="18"/>
              </w:rPr>
            </w:pPr>
            <w:r>
              <w:rPr>
                <w:rFonts w:hint="eastAsia" w:ascii="Times New Roman" w:hAnsi="Times New Roman"/>
                <w:sz w:val="18"/>
              </w:rPr>
              <w:t>铅回收率：95.79%</w:t>
            </w:r>
          </w:p>
          <w:p>
            <w:pPr>
              <w:adjustRightInd w:val="0"/>
              <w:snapToGrid w:val="0"/>
              <w:spacing w:line="360" w:lineRule="auto"/>
              <w:jc w:val="center"/>
              <w:rPr>
                <w:rFonts w:ascii="Times New Roman" w:hAnsi="Times New Roman"/>
                <w:sz w:val="18"/>
              </w:rPr>
            </w:pPr>
            <w:r>
              <w:rPr>
                <w:rFonts w:hint="eastAsia" w:ascii="Times New Roman" w:hAnsi="Times New Roman"/>
                <w:sz w:val="18"/>
              </w:rPr>
              <w:t>铜回收率：</w:t>
            </w:r>
            <w:r>
              <w:rPr>
                <w:rFonts w:hint="eastAsia" w:ascii="宋体" w:hAnsi="宋体" w:cs="宋体"/>
                <w:sz w:val="18"/>
              </w:rPr>
              <w:t>98.0%</w:t>
            </w:r>
          </w:p>
        </w:tc>
      </w:tr>
    </w:tbl>
    <w:p>
      <w:pPr>
        <w:adjustRightInd w:val="0"/>
        <w:snapToGrid w:val="0"/>
        <w:spacing w:line="360" w:lineRule="auto"/>
        <w:ind w:firstLine="420"/>
        <w:rPr>
          <w:rFonts w:ascii="Times New Roman" w:hAnsi="Times New Roman"/>
        </w:rPr>
      </w:pPr>
    </w:p>
    <w:p>
      <w:pPr>
        <w:adjustRightInd w:val="0"/>
        <w:snapToGrid w:val="0"/>
        <w:spacing w:before="156" w:beforeLines="50" w:after="156" w:afterLines="50" w:line="360" w:lineRule="auto"/>
        <w:outlineLvl w:val="0"/>
        <w:rPr>
          <w:rFonts w:ascii="Times New Roman" w:hAnsi="Times New Roman"/>
          <w:b/>
          <w:bCs/>
          <w:szCs w:val="21"/>
        </w:rPr>
      </w:pPr>
      <w:r>
        <w:rPr>
          <w:rFonts w:hint="eastAsia" w:ascii="Times New Roman" w:hAnsi="Times New Roman"/>
          <w:b/>
          <w:bCs/>
          <w:szCs w:val="21"/>
        </w:rPr>
        <w:t>四、标准主要技术内容及说明</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4.1</w:t>
      </w:r>
      <w:r>
        <w:rPr>
          <w:rFonts w:hint="eastAsia" w:ascii="Times New Roman" w:hAnsi="Times New Roman"/>
          <w:b/>
          <w:bCs/>
          <w:szCs w:val="21"/>
        </w:rPr>
        <w:t>适用范围</w:t>
      </w:r>
    </w:p>
    <w:p>
      <w:pPr>
        <w:adjustRightInd w:val="0"/>
        <w:snapToGrid w:val="0"/>
        <w:spacing w:line="360" w:lineRule="auto"/>
        <w:ind w:firstLine="420" w:firstLineChars="200"/>
        <w:rPr>
          <w:rFonts w:ascii="Times New Roman" w:hAnsi="Times New Roman"/>
          <w:szCs w:val="28"/>
        </w:rPr>
      </w:pPr>
      <w:r>
        <w:rPr>
          <w:rFonts w:hint="eastAsia" w:ascii="Times New Roman" w:hAnsi="Times New Roman"/>
          <w:szCs w:val="28"/>
        </w:rPr>
        <w:t>本标准规定了污酸渣富氧熔炼协同资源化技术的总体要求、工艺设计、主要工艺设备和材料、检测与过程控制、运行与维护的要求。</w:t>
      </w:r>
    </w:p>
    <w:p>
      <w:pPr>
        <w:ind w:firstLine="420" w:firstLineChars="200"/>
        <w:jc w:val="left"/>
        <w:rPr>
          <w:rFonts w:ascii="Times New Roman" w:hAnsi="Times New Roman"/>
          <w:color w:val="000000"/>
          <w:szCs w:val="21"/>
        </w:rPr>
      </w:pPr>
      <w:r>
        <w:rPr>
          <w:rFonts w:ascii="Times New Roman" w:hAnsi="Times New Roman"/>
          <w:color w:val="000000"/>
          <w:szCs w:val="21"/>
        </w:rPr>
        <w:t>本标准适用于铜铅锌硫化矿冶炼</w:t>
      </w:r>
      <w:r>
        <w:rPr>
          <w:rFonts w:ascii="Times New Roman"/>
          <w:color w:val="000000"/>
        </w:rPr>
        <w:t>工艺段实时产生的污酸渣</w:t>
      </w:r>
      <w:r>
        <w:rPr>
          <w:rFonts w:hint="eastAsia" w:ascii="Times New Roman" w:hAnsi="Times New Roman"/>
          <w:color w:val="000000"/>
          <w:szCs w:val="21"/>
        </w:rPr>
        <w:t>和历史遗留堆存的</w:t>
      </w:r>
      <w:r>
        <w:rPr>
          <w:rFonts w:ascii="Times New Roman" w:hAnsi="Times New Roman"/>
          <w:color w:val="000000"/>
          <w:szCs w:val="21"/>
        </w:rPr>
        <w:t>污酸渣的资源化利用技术。</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4.2</w:t>
      </w:r>
      <w:r>
        <w:rPr>
          <w:rFonts w:hint="eastAsia" w:ascii="Times New Roman" w:hAnsi="Times New Roman"/>
          <w:b/>
          <w:bCs/>
          <w:szCs w:val="21"/>
        </w:rPr>
        <w:t>规范性应用文件</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本章节列出了规范条文中出现的标准。</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4.3</w:t>
      </w:r>
      <w:r>
        <w:rPr>
          <w:rFonts w:hint="eastAsia" w:ascii="Times New Roman" w:hAnsi="Times New Roman"/>
          <w:b/>
          <w:bCs/>
          <w:szCs w:val="21"/>
        </w:rPr>
        <w:t>术语和定义</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本标准规定了</w:t>
      </w:r>
      <w:r>
        <w:rPr>
          <w:rFonts w:hint="eastAsia" w:ascii="Times New Roman" w:hAnsi="Times New Roman"/>
          <w:szCs w:val="28"/>
        </w:rPr>
        <w:t>污酸渣富氧熔炼协同资源化</w:t>
      </w:r>
      <w:r>
        <w:rPr>
          <w:rFonts w:hint="eastAsia" w:ascii="Times New Roman" w:hAnsi="Times New Roman"/>
          <w:szCs w:val="28"/>
          <w:lang w:val="en-GB"/>
        </w:rPr>
        <w:t>工程技术规范所涉及到的有关术语及定义。根据本标准的技术内容，给出了污酸渣、富氧熔炼2个术语，并进行了定义或解释。本术语和定义仅适用于本标准。</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4.4</w:t>
      </w:r>
      <w:r>
        <w:rPr>
          <w:rFonts w:hint="eastAsia" w:ascii="Times New Roman" w:hAnsi="Times New Roman"/>
          <w:b/>
          <w:bCs/>
          <w:szCs w:val="21"/>
        </w:rPr>
        <w:t>污酸渣来源</w:t>
      </w:r>
    </w:p>
    <w:p>
      <w:pPr>
        <w:adjustRightInd w:val="0"/>
        <w:snapToGrid w:val="0"/>
        <w:spacing w:line="360" w:lineRule="auto"/>
        <w:ind w:firstLine="420" w:firstLineChars="200"/>
        <w:outlineLvl w:val="1"/>
        <w:rPr>
          <w:rFonts w:ascii="宋体" w:hAnsi="宋体" w:cs="宋体"/>
          <w:color w:val="000000"/>
        </w:rPr>
      </w:pPr>
      <w:r>
        <w:rPr>
          <w:rFonts w:hint="eastAsia" w:ascii="宋体" w:hAnsi="宋体" w:cs="宋体"/>
          <w:color w:val="000000"/>
        </w:rPr>
        <w:t>污酸渣主要来源于铜铅锌硫化矿及硫铁矿冶炼过程产生的污酸，经硫化法脱砷、剩余稀酸用石灰乳/石灰石粉进行中和处理后产生的固体废弃物，工艺流程图如图5所示。</w:t>
      </w:r>
    </w:p>
    <w:p>
      <w:pPr>
        <w:adjustRightInd w:val="0"/>
        <w:snapToGrid w:val="0"/>
        <w:spacing w:line="360" w:lineRule="auto"/>
        <w:ind w:firstLine="420" w:firstLineChars="200"/>
        <w:outlineLvl w:val="1"/>
        <w:rPr>
          <w:rFonts w:ascii="Times New Roman"/>
          <w:color w:val="000000"/>
        </w:rPr>
      </w:pPr>
      <w:r>
        <w:rPr>
          <w:rFonts w:hint="eastAsia" w:ascii="宋体" w:hAnsi="宋体" w:cs="宋体"/>
          <w:color w:val="000000"/>
        </w:rPr>
        <w:t>本标准所适用污酸渣包括</w:t>
      </w:r>
      <w:r>
        <w:rPr>
          <w:rFonts w:ascii="Times New Roman"/>
          <w:color w:val="000000"/>
        </w:rPr>
        <w:t>工艺段实时产生的污酸渣</w:t>
      </w:r>
      <w:r>
        <w:rPr>
          <w:rFonts w:hint="eastAsia" w:ascii="Times New Roman"/>
          <w:color w:val="000000"/>
        </w:rPr>
        <w:t>和历史</w:t>
      </w:r>
      <w:r>
        <w:rPr>
          <w:rFonts w:ascii="Times New Roman"/>
          <w:color w:val="000000"/>
        </w:rPr>
        <w:t>堆存的污酸渣</w:t>
      </w:r>
      <w:r>
        <w:rPr>
          <w:rFonts w:hint="eastAsia" w:ascii="Times New Roman"/>
          <w:color w:val="000000"/>
        </w:rPr>
        <w:t>两部分。工艺段实时产生的污酸渣为图5中所示的不满足T/CNIA0110标准要求的石膏和污水中和渣。历史堆存污酸渣为图5中所示硫化渣、石膏、污水中和渣组成的混合渣。</w:t>
      </w:r>
    </w:p>
    <w:p>
      <w:pPr>
        <w:adjustRightInd w:val="0"/>
        <w:snapToGrid w:val="0"/>
        <w:spacing w:line="360" w:lineRule="auto"/>
        <w:ind w:firstLine="420" w:firstLineChars="200"/>
        <w:jc w:val="center"/>
        <w:outlineLvl w:val="1"/>
      </w:pPr>
      <w:r>
        <w:pict>
          <v:shape id="_x0000_i1029" o:spt="75" alt="1647916075(1)" type="#_x0000_t75" style="height:228.95pt;width:298.55pt;" filled="f" o:preferrelative="t" stroked="f" coordsize="21600,21600">
            <v:path/>
            <v:fill on="f" focussize="0,0"/>
            <v:stroke on="f" joinstyle="miter"/>
            <v:imagedata r:id="rId11" o:title="1647916075(1)"/>
            <o:lock v:ext="edit" aspectratio="t"/>
            <w10:wrap type="none"/>
            <w10:anchorlock/>
          </v:shape>
        </w:pict>
      </w:r>
    </w:p>
    <w:p>
      <w:pPr>
        <w:adjustRightInd w:val="0"/>
        <w:snapToGrid w:val="0"/>
        <w:spacing w:line="360" w:lineRule="auto"/>
        <w:ind w:firstLine="420" w:firstLineChars="200"/>
        <w:jc w:val="center"/>
        <w:outlineLvl w:val="1"/>
      </w:pPr>
      <w:r>
        <w:rPr>
          <w:rFonts w:hint="eastAsia"/>
        </w:rPr>
        <w:t>图</w:t>
      </w:r>
      <w:r>
        <w:t>5</w:t>
      </w:r>
      <w:r>
        <w:rPr>
          <w:rFonts w:hint="eastAsia"/>
        </w:rPr>
        <w:t>污酸渣产生工艺流程图</w:t>
      </w:r>
    </w:p>
    <w:p>
      <w:pPr>
        <w:adjustRightInd w:val="0"/>
        <w:snapToGrid w:val="0"/>
        <w:spacing w:line="360" w:lineRule="auto"/>
        <w:rPr>
          <w:rFonts w:ascii="Times New Roman" w:hAnsi="Times New Roman"/>
          <w:szCs w:val="21"/>
        </w:rPr>
      </w:pPr>
    </w:p>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b/>
          <w:bCs/>
          <w:szCs w:val="21"/>
        </w:rPr>
        <w:t>4.</w:t>
      </w:r>
      <w:r>
        <w:rPr>
          <w:rFonts w:hint="eastAsia" w:ascii="Times New Roman" w:hAnsi="Times New Roman"/>
          <w:b/>
          <w:bCs/>
          <w:szCs w:val="21"/>
        </w:rPr>
        <w:t>5总体要求</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本标准在总体要求中，提出了</w:t>
      </w:r>
      <w:r>
        <w:rPr>
          <w:rFonts w:ascii="Times New Roman" w:hAnsi="Times New Roman"/>
          <w:szCs w:val="21"/>
        </w:rPr>
        <w:t>4</w:t>
      </w:r>
      <w:r>
        <w:rPr>
          <w:rFonts w:hint="eastAsia" w:ascii="Times New Roman" w:hAnsi="Times New Roman"/>
          <w:szCs w:val="21"/>
        </w:rPr>
        <w:t>项基本规定</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1</w:t>
      </w:r>
      <w:r>
        <w:rPr>
          <w:rFonts w:hint="eastAsia" w:ascii="Times New Roman" w:hAnsi="Times New Roman"/>
          <w:szCs w:val="28"/>
          <w:lang w:val="en-GB"/>
        </w:rPr>
        <w:t>）</w:t>
      </w:r>
      <w:r>
        <w:rPr>
          <w:rFonts w:hint="eastAsia" w:ascii="Times New Roman" w:hAnsi="Times New Roman"/>
          <w:szCs w:val="28"/>
        </w:rPr>
        <w:t>污酸渣富氧熔炼协同资源化</w:t>
      </w:r>
      <w:r>
        <w:rPr>
          <w:rFonts w:hint="eastAsia" w:ascii="Times New Roman" w:hAnsi="Times New Roman"/>
          <w:szCs w:val="28"/>
          <w:lang w:val="en-GB"/>
        </w:rPr>
        <w:t>工艺技术应符合我国现行的危险废物管理办法、固体废物污染防治法、环境质量标准、污染物排放标准等国家标准，及其他有关规定。</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2</w:t>
      </w:r>
      <w:r>
        <w:rPr>
          <w:rFonts w:hint="eastAsia" w:ascii="Times New Roman" w:hAnsi="Times New Roman"/>
          <w:szCs w:val="28"/>
          <w:lang w:val="en-GB"/>
        </w:rPr>
        <w:t>）</w:t>
      </w:r>
      <w:r>
        <w:rPr>
          <w:rFonts w:hint="eastAsia" w:ascii="Times New Roman" w:hAnsi="Times New Roman"/>
          <w:szCs w:val="28"/>
        </w:rPr>
        <w:t>污酸渣富氧熔炼协同资源化技术</w:t>
      </w:r>
      <w:r>
        <w:rPr>
          <w:rFonts w:hint="eastAsia" w:ascii="Times New Roman" w:hAnsi="Times New Roman"/>
          <w:szCs w:val="28"/>
          <w:lang w:val="en-GB"/>
        </w:rPr>
        <w:t>应实行全过程控制，形成一套完整的设计、运行及污染防治、应急措施等规范体系。</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3</w:t>
      </w:r>
      <w:r>
        <w:rPr>
          <w:rFonts w:hint="eastAsia" w:ascii="Times New Roman" w:hAnsi="Times New Roman"/>
          <w:szCs w:val="28"/>
          <w:lang w:val="en-GB"/>
        </w:rPr>
        <w:t>）污酸渣富氧熔炼工艺是冶炼企业的重要组成部分，同时也是资源最大化回收与利用的关键环节。因此，污酸渣富氧熔炼工艺应以企业发展规划为依据，在技术方案选择和确定方面要遵循经济合理、技术先进的基本原则。</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4</w:t>
      </w:r>
      <w:r>
        <w:rPr>
          <w:rFonts w:hint="eastAsia" w:ascii="Times New Roman" w:hAnsi="Times New Roman"/>
          <w:szCs w:val="28"/>
          <w:lang w:val="en-GB"/>
        </w:rPr>
        <w:t>）鉴于污酸渣成分复杂，各地冶炼企业的规模、产量不同，因此，污酸渣富氧熔炼技术只作原则性的建议，指导企业优化工艺运行提高资源回收与利用率。冶炼企业也应依据各自生产特点，结合污酸渣的实际产量、主要成分组成、有价组分特性等特点确定最佳工艺路径。</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4.</w:t>
      </w:r>
      <w:r>
        <w:rPr>
          <w:rFonts w:hint="eastAsia" w:ascii="Times New Roman" w:hAnsi="Times New Roman"/>
          <w:b/>
          <w:bCs/>
          <w:szCs w:val="21"/>
        </w:rPr>
        <w:t>6工艺设计</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污酸渣富氧熔炼工艺应优先处理工艺段实时产生的污酸渣，其次考虑历史堆存的污酸渣。</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污酸渣中的有价组分和重金属含量是决定技术工艺的重要依据，工艺设计前应充分调研并结合采样分析，以实际测试结果为工程设计提供参考，无实测数据可根据相似工程经验确定，也可根据物料平衡建模进行评估。</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本标准将富氧熔炼清洁利用技术从一般规定、工艺要求、贮存与转运、二次污染控制等方面分别提出了相应的技术要求。</w:t>
      </w:r>
    </w:p>
    <w:p>
      <w:pPr>
        <w:adjustRightInd w:val="0"/>
        <w:snapToGrid w:val="0"/>
        <w:spacing w:line="360" w:lineRule="auto"/>
        <w:rPr>
          <w:rFonts w:ascii="Times New Roman" w:hAnsi="Times New Roman"/>
        </w:rPr>
      </w:pPr>
      <w:r>
        <w:rPr>
          <w:rFonts w:ascii="Times New Roman" w:hAnsi="Times New Roman"/>
        </w:rPr>
        <w:t>4.</w:t>
      </w:r>
      <w:r>
        <w:rPr>
          <w:rFonts w:hint="eastAsia" w:ascii="Times New Roman" w:hAnsi="Times New Roman"/>
        </w:rPr>
        <w:t>6</w:t>
      </w:r>
      <w:r>
        <w:rPr>
          <w:rFonts w:ascii="Times New Roman" w:hAnsi="Times New Roman"/>
        </w:rPr>
        <w:t>.1</w:t>
      </w:r>
      <w:r>
        <w:rPr>
          <w:rFonts w:hint="eastAsia" w:ascii="Times New Roman" w:hAnsi="Times New Roman"/>
        </w:rPr>
        <w:t>在工艺的技术路线上，本标准遵循了以下原则：</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1</w:t>
      </w:r>
      <w:r>
        <w:rPr>
          <w:rFonts w:hint="eastAsia" w:ascii="Times New Roman" w:hAnsi="Times New Roman"/>
          <w:szCs w:val="28"/>
          <w:lang w:val="en-GB"/>
        </w:rPr>
        <w:t>）根据污酸渣的主要特性确定基本工艺流程及工艺技术路线的基本要求。</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2</w:t>
      </w:r>
      <w:r>
        <w:rPr>
          <w:rFonts w:hint="eastAsia" w:ascii="Times New Roman" w:hAnsi="Times New Roman"/>
          <w:szCs w:val="28"/>
          <w:lang w:val="en-GB"/>
        </w:rPr>
        <w:t>）本标准确定的工艺参数，以连续生产运行、处理结果稳定达标为基本原则，一般是通过综合调查国内典型工艺案例及全面分析评价确定的。</w:t>
      </w:r>
    </w:p>
    <w:p>
      <w:pPr>
        <w:adjustRightInd w:val="0"/>
        <w:snapToGrid w:val="0"/>
        <w:spacing w:line="360" w:lineRule="auto"/>
        <w:rPr>
          <w:rFonts w:ascii="Times New Roman" w:hAnsi="Times New Roman"/>
          <w:szCs w:val="21"/>
        </w:rPr>
      </w:pPr>
      <w:r>
        <w:rPr>
          <w:rFonts w:ascii="Times New Roman" w:hAnsi="Times New Roman"/>
          <w:szCs w:val="21"/>
        </w:rPr>
        <w:t>4.</w:t>
      </w:r>
      <w:r>
        <w:rPr>
          <w:rFonts w:hint="eastAsia" w:ascii="Times New Roman" w:hAnsi="Times New Roman"/>
          <w:szCs w:val="21"/>
        </w:rPr>
        <w:t>6</w:t>
      </w:r>
      <w:r>
        <w:rPr>
          <w:rFonts w:ascii="Times New Roman" w:hAnsi="Times New Roman"/>
          <w:szCs w:val="21"/>
        </w:rPr>
        <w:t>.2</w:t>
      </w:r>
      <w:r>
        <w:rPr>
          <w:rFonts w:hint="eastAsia" w:ascii="Times New Roman" w:hAnsi="Times New Roman"/>
          <w:szCs w:val="21"/>
        </w:rPr>
        <w:t>本标准对污酸渣富氧熔炼前的收集、储存和运输进行了规范。</w:t>
      </w:r>
    </w:p>
    <w:p>
      <w:pPr>
        <w:adjustRightInd w:val="0"/>
        <w:snapToGrid w:val="0"/>
        <w:spacing w:line="360" w:lineRule="auto"/>
        <w:rPr>
          <w:rFonts w:ascii="Times New Roman" w:hAnsi="Times New Roman"/>
          <w:szCs w:val="28"/>
          <w:lang w:val="en-GB"/>
        </w:rPr>
      </w:pPr>
      <w:r>
        <w:rPr>
          <w:rFonts w:ascii="Times New Roman" w:hAnsi="Times New Roman"/>
          <w:szCs w:val="21"/>
        </w:rPr>
        <w:t>4.</w:t>
      </w:r>
      <w:r>
        <w:rPr>
          <w:rFonts w:hint="eastAsia" w:ascii="Times New Roman" w:hAnsi="Times New Roman"/>
          <w:szCs w:val="21"/>
        </w:rPr>
        <w:t>6</w:t>
      </w:r>
      <w:r>
        <w:rPr>
          <w:rFonts w:ascii="Times New Roman" w:hAnsi="Times New Roman"/>
          <w:szCs w:val="21"/>
        </w:rPr>
        <w:t>.3</w:t>
      </w:r>
      <w:r>
        <w:rPr>
          <w:rFonts w:hint="eastAsia" w:ascii="Times New Roman" w:hAnsi="Times New Roman"/>
          <w:szCs w:val="28"/>
          <w:lang w:val="en-GB"/>
        </w:rPr>
        <w:t>本技术规范针对各单元主要设备组成、工艺布局、设备特殊要求、关键配置进行了规定。其中，</w:t>
      </w:r>
      <w:r>
        <w:rPr>
          <w:rFonts w:hint="eastAsia" w:ascii="Times New Roman" w:hAnsi="Times New Roman"/>
          <w:szCs w:val="28"/>
        </w:rPr>
        <w:t>酸浸作业、硫化沉砷作业、镉回收作业为按需选择项，处置对象为历史遗留污酸渣，按需选择项应结合生产实际情况进行选择。</w:t>
      </w:r>
      <w:r>
        <w:rPr>
          <w:rFonts w:hint="eastAsia" w:ascii="Times New Roman" w:hAnsi="Times New Roman"/>
          <w:szCs w:val="28"/>
          <w:lang w:val="en-GB"/>
        </w:rPr>
        <w:t>具体说明如下：</w:t>
      </w:r>
    </w:p>
    <w:p>
      <w:pPr>
        <w:adjustRightInd w:val="0"/>
        <w:snapToGrid w:val="0"/>
        <w:spacing w:line="360" w:lineRule="auto"/>
        <w:ind w:firstLine="422" w:firstLineChars="200"/>
        <w:rPr>
          <w:rFonts w:ascii="Times New Roman" w:hAnsi="Times New Roman"/>
          <w:b/>
          <w:bCs/>
          <w:szCs w:val="28"/>
        </w:rPr>
      </w:pPr>
      <w:r>
        <w:rPr>
          <w:rFonts w:hint="eastAsia" w:ascii="Times New Roman" w:hAnsi="Times New Roman"/>
          <w:b/>
          <w:bCs/>
          <w:szCs w:val="28"/>
          <w:lang w:val="en-GB"/>
        </w:rPr>
        <w:t>（</w:t>
      </w:r>
      <w:r>
        <w:rPr>
          <w:rFonts w:ascii="Times New Roman" w:hAnsi="Times New Roman"/>
          <w:b/>
          <w:bCs/>
          <w:szCs w:val="28"/>
          <w:lang w:val="en-GB"/>
        </w:rPr>
        <w:t>1</w:t>
      </w:r>
      <w:r>
        <w:rPr>
          <w:rFonts w:hint="eastAsia" w:ascii="Times New Roman" w:hAnsi="Times New Roman"/>
          <w:b/>
          <w:bCs/>
          <w:szCs w:val="28"/>
          <w:lang w:val="en-GB"/>
        </w:rPr>
        <w:t>）</w:t>
      </w:r>
      <w:r>
        <w:rPr>
          <w:rFonts w:hint="eastAsia" w:ascii="Times New Roman" w:hAnsi="Times New Roman"/>
          <w:b/>
          <w:bCs/>
          <w:szCs w:val="28"/>
        </w:rPr>
        <w:t>酸浸作业</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①</w:t>
      </w:r>
      <w:r>
        <w:rPr>
          <w:rFonts w:hint="eastAsia" w:ascii="Times New Roman" w:hAnsi="Times New Roman"/>
          <w:szCs w:val="28"/>
          <w:lang w:val="en-GB"/>
        </w:rPr>
        <w:t>本单元</w:t>
      </w:r>
      <w:r>
        <w:rPr>
          <w:rFonts w:hint="eastAsia" w:ascii="Times New Roman" w:hAnsi="Times New Roman"/>
          <w:szCs w:val="28"/>
        </w:rPr>
        <w:t>推荐了适宜的浸出剂和络合剂，建议以</w:t>
      </w:r>
      <w:r>
        <w:rPr>
          <w:rFonts w:ascii="Times New Roman"/>
          <w:color w:val="000000"/>
        </w:rPr>
        <w:t>硫酸作为浸出剂</w:t>
      </w:r>
      <w:r>
        <w:rPr>
          <w:rFonts w:hint="eastAsia" w:ascii="Times New Roman"/>
          <w:color w:val="000000"/>
        </w:rPr>
        <w:t>，</w:t>
      </w:r>
      <w:r>
        <w:rPr>
          <w:rFonts w:ascii="Times New Roman"/>
          <w:color w:val="000000"/>
        </w:rPr>
        <w:t>有机磷酸盐为络合剂</w:t>
      </w:r>
      <w:r>
        <w:rPr>
          <w:rFonts w:hint="eastAsia" w:ascii="Times New Roman" w:hAnsi="Times New Roman"/>
          <w:szCs w:val="28"/>
          <w:lang w:val="en-GB"/>
        </w:rPr>
        <w:t>；</w:t>
      </w:r>
    </w:p>
    <w:p>
      <w:pPr>
        <w:adjustRightInd w:val="0"/>
        <w:snapToGrid w:val="0"/>
        <w:spacing w:line="360" w:lineRule="auto"/>
        <w:ind w:firstLine="420" w:firstLineChars="200"/>
        <w:rPr>
          <w:rFonts w:ascii="Times New Roman" w:hAnsi="Times New Roman"/>
          <w:szCs w:val="28"/>
        </w:rPr>
      </w:pPr>
      <w:r>
        <w:rPr>
          <w:rFonts w:hint="eastAsia" w:ascii="宋体" w:hAnsi="宋体" w:cs="宋体"/>
          <w:szCs w:val="28"/>
          <w:lang w:val="en-GB"/>
        </w:rPr>
        <w:t>②</w:t>
      </w:r>
      <w:r>
        <w:rPr>
          <w:rFonts w:hint="eastAsia" w:ascii="Times New Roman" w:hAnsi="Times New Roman"/>
          <w:szCs w:val="28"/>
          <w:lang w:val="en-GB"/>
        </w:rPr>
        <w:t>规定了酸浸槽pH值、酸浸温</w:t>
      </w:r>
      <w:r>
        <w:rPr>
          <w:rFonts w:hint="eastAsia" w:ascii="Times New Roman" w:hAnsi="Times New Roman"/>
          <w:szCs w:val="28"/>
        </w:rPr>
        <w:t>和</w:t>
      </w:r>
      <w:r>
        <w:rPr>
          <w:rFonts w:hint="eastAsia" w:ascii="Times New Roman" w:hAnsi="Times New Roman"/>
          <w:szCs w:val="28"/>
          <w:lang w:val="en-GB"/>
        </w:rPr>
        <w:t>酸浸时间；</w:t>
      </w:r>
    </w:p>
    <w:p>
      <w:pPr>
        <w:adjustRightInd w:val="0"/>
        <w:snapToGrid w:val="0"/>
        <w:spacing w:line="360" w:lineRule="auto"/>
        <w:ind w:firstLine="420" w:firstLineChars="200"/>
        <w:rPr>
          <w:rFonts w:ascii="Times New Roman"/>
          <w:color w:val="000000"/>
        </w:rPr>
      </w:pPr>
      <w:r>
        <w:rPr>
          <w:rFonts w:hint="eastAsia" w:ascii="Times New Roman"/>
        </w:rPr>
        <w:t>③</w:t>
      </w:r>
      <w:r>
        <w:rPr>
          <w:rFonts w:hint="eastAsia" w:ascii="Times New Roman" w:hAnsi="Times New Roman"/>
          <w:szCs w:val="28"/>
          <w:lang w:val="en-GB"/>
        </w:rPr>
        <w:t>本单元规定了</w:t>
      </w:r>
      <w:r>
        <w:rPr>
          <w:rFonts w:ascii="Times New Roman"/>
          <w:color w:val="000000"/>
        </w:rPr>
        <w:t>酸浸</w:t>
      </w:r>
      <w:r>
        <w:rPr>
          <w:rFonts w:ascii="Times New Roman"/>
        </w:rPr>
        <w:t>矿浆、浸出液管道宜选择玻璃钢和HDPE管等，长距离输送管道采用HDPE管和钢塑复合管。</w:t>
      </w:r>
      <w:r>
        <w:rPr>
          <w:rFonts w:hint="eastAsia" w:ascii="Times New Roman"/>
          <w:color w:val="000000"/>
        </w:rPr>
        <w:t xml:space="preserve">  </w:t>
      </w:r>
    </w:p>
    <w:p>
      <w:pPr>
        <w:tabs>
          <w:tab w:val="left" w:pos="666"/>
        </w:tabs>
        <w:adjustRightInd w:val="0"/>
        <w:snapToGrid w:val="0"/>
        <w:spacing w:line="360" w:lineRule="auto"/>
        <w:ind w:firstLine="422" w:firstLineChars="200"/>
        <w:rPr>
          <w:rFonts w:ascii="Times New Roman" w:hAnsi="Times New Roman"/>
          <w:b/>
          <w:bCs/>
          <w:szCs w:val="28"/>
        </w:rPr>
      </w:pPr>
      <w:r>
        <w:rPr>
          <w:rFonts w:hint="eastAsia" w:ascii="Times New Roman" w:hAnsi="Times New Roman"/>
          <w:b/>
          <w:bCs/>
          <w:szCs w:val="28"/>
        </w:rPr>
        <w:t>（2）硫化沉砷作业</w:t>
      </w:r>
    </w:p>
    <w:p>
      <w:pPr>
        <w:adjustRightInd w:val="0"/>
        <w:snapToGrid w:val="0"/>
        <w:spacing w:line="360" w:lineRule="auto"/>
        <w:ind w:firstLine="420" w:firstLineChars="200"/>
        <w:rPr>
          <w:rFonts w:ascii="宋体" w:hAnsi="宋体" w:cs="宋体"/>
          <w:szCs w:val="28"/>
        </w:rPr>
      </w:pPr>
      <w:r>
        <w:rPr>
          <w:rFonts w:hint="eastAsia" w:ascii="宋体" w:hAnsi="宋体" w:cs="宋体"/>
          <w:szCs w:val="28"/>
          <w:lang w:val="en-GB"/>
        </w:rPr>
        <w:t>①</w:t>
      </w:r>
      <w:r>
        <w:rPr>
          <w:rFonts w:hint="eastAsia" w:ascii="Times New Roman" w:hAnsi="Times New Roman"/>
          <w:szCs w:val="28"/>
          <w:lang w:val="en-GB"/>
        </w:rPr>
        <w:t>本单元</w:t>
      </w:r>
      <w:r>
        <w:rPr>
          <w:rFonts w:hint="eastAsia" w:ascii="宋体" w:hAnsi="宋体" w:cs="宋体"/>
          <w:szCs w:val="28"/>
        </w:rPr>
        <w:t>推荐了适宜的沉砷工艺；</w:t>
      </w:r>
    </w:p>
    <w:p>
      <w:pPr>
        <w:pStyle w:val="40"/>
        <w:numPr>
          <w:ilvl w:val="0"/>
          <w:numId w:val="0"/>
        </w:numPr>
        <w:ind w:firstLine="420" w:firstLineChars="200"/>
        <w:rPr>
          <w:rFonts w:ascii="Times New Roman"/>
          <w:color w:val="000000"/>
        </w:rPr>
      </w:pPr>
      <w:r>
        <w:rPr>
          <w:rFonts w:hint="eastAsia" w:hAnsi="宋体" w:cs="宋体"/>
          <w:szCs w:val="28"/>
          <w:lang w:val="en-GB"/>
        </w:rPr>
        <w:t>②</w:t>
      </w:r>
      <w:r>
        <w:rPr>
          <w:rFonts w:hint="eastAsia" w:ascii="Times New Roman"/>
          <w:szCs w:val="28"/>
          <w:lang w:val="en-GB"/>
        </w:rPr>
        <w:t>本单元</w:t>
      </w:r>
      <w:r>
        <w:rPr>
          <w:rFonts w:hint="eastAsia" w:ascii="Times New Roman"/>
          <w:szCs w:val="28"/>
        </w:rPr>
        <w:t>推荐了适宜的沉淀剂，规定了沉淀剂的</w:t>
      </w:r>
      <w:r>
        <w:rPr>
          <w:rFonts w:ascii="Times New Roman"/>
          <w:color w:val="000000"/>
        </w:rPr>
        <w:t>投加量需根据污酸渣产量以及污酸渣中重金属含量确定</w:t>
      </w:r>
      <w:r>
        <w:rPr>
          <w:rFonts w:hint="eastAsia" w:ascii="Times New Roman"/>
          <w:color w:val="000000"/>
        </w:rPr>
        <w:t>。</w:t>
      </w:r>
    </w:p>
    <w:p>
      <w:pPr>
        <w:tabs>
          <w:tab w:val="left" w:pos="666"/>
        </w:tabs>
        <w:adjustRightInd w:val="0"/>
        <w:snapToGrid w:val="0"/>
        <w:spacing w:line="360" w:lineRule="auto"/>
        <w:ind w:firstLine="422" w:firstLineChars="200"/>
        <w:rPr>
          <w:rFonts w:ascii="Times New Roman" w:hAnsi="Times New Roman"/>
          <w:b/>
          <w:bCs/>
          <w:szCs w:val="28"/>
        </w:rPr>
      </w:pPr>
      <w:r>
        <w:rPr>
          <w:rFonts w:hint="eastAsia" w:ascii="Times New Roman" w:hAnsi="Times New Roman"/>
          <w:b/>
          <w:bCs/>
          <w:szCs w:val="28"/>
        </w:rPr>
        <w:t>（</w:t>
      </w:r>
      <w:r>
        <w:rPr>
          <w:rFonts w:ascii="Times New Roman" w:hAnsi="Times New Roman"/>
          <w:b/>
          <w:bCs/>
          <w:szCs w:val="28"/>
        </w:rPr>
        <w:t>3</w:t>
      </w:r>
      <w:r>
        <w:rPr>
          <w:rFonts w:hint="eastAsia" w:ascii="Times New Roman" w:hAnsi="Times New Roman"/>
          <w:b/>
          <w:bCs/>
          <w:szCs w:val="28"/>
        </w:rPr>
        <w:t>）镉回收作业</w:t>
      </w:r>
    </w:p>
    <w:p>
      <w:pPr>
        <w:adjustRightInd w:val="0"/>
        <w:snapToGrid w:val="0"/>
        <w:spacing w:line="360" w:lineRule="auto"/>
        <w:ind w:firstLine="420" w:firstLineChars="200"/>
        <w:rPr>
          <w:rFonts w:ascii="宋体" w:hAnsi="宋体" w:cs="宋体"/>
          <w:szCs w:val="28"/>
        </w:rPr>
      </w:pPr>
      <w:r>
        <w:rPr>
          <w:rFonts w:hint="eastAsia" w:ascii="宋体" w:hAnsi="宋体" w:cs="宋体"/>
          <w:szCs w:val="28"/>
          <w:lang w:val="en-GB"/>
        </w:rPr>
        <w:t>①</w:t>
      </w:r>
      <w:r>
        <w:rPr>
          <w:rFonts w:hint="eastAsia" w:ascii="Times New Roman" w:hAnsi="Times New Roman"/>
          <w:szCs w:val="28"/>
          <w:lang w:val="en-GB"/>
        </w:rPr>
        <w:t>本单元</w:t>
      </w:r>
      <w:r>
        <w:rPr>
          <w:rFonts w:hint="eastAsia" w:ascii="宋体" w:hAnsi="宋体" w:cs="宋体"/>
          <w:szCs w:val="28"/>
        </w:rPr>
        <w:t>推荐了适宜的镉回收工艺；</w:t>
      </w:r>
    </w:p>
    <w:p>
      <w:pPr>
        <w:pStyle w:val="40"/>
        <w:numPr>
          <w:ilvl w:val="0"/>
          <w:numId w:val="0"/>
        </w:numPr>
        <w:ind w:firstLine="420" w:firstLineChars="200"/>
        <w:rPr>
          <w:rFonts w:ascii="Times New Roman"/>
          <w:szCs w:val="28"/>
          <w:lang w:val="en-GB"/>
        </w:rPr>
      </w:pPr>
      <w:r>
        <w:rPr>
          <w:rFonts w:hint="eastAsia" w:hAnsi="宋体" w:cs="宋体"/>
          <w:szCs w:val="28"/>
          <w:lang w:val="en-GB"/>
        </w:rPr>
        <w:t>②</w:t>
      </w:r>
      <w:r>
        <w:rPr>
          <w:rFonts w:hint="eastAsia" w:ascii="Times New Roman"/>
          <w:szCs w:val="28"/>
          <w:lang w:val="en-GB"/>
        </w:rPr>
        <w:t>本单元</w:t>
      </w:r>
      <w:r>
        <w:rPr>
          <w:rFonts w:hint="eastAsia" w:ascii="Times New Roman"/>
          <w:szCs w:val="28"/>
        </w:rPr>
        <w:t>规定了镉回收的添加剂、p</w:t>
      </w:r>
      <w:r>
        <w:rPr>
          <w:rFonts w:ascii="Times New Roman"/>
          <w:szCs w:val="28"/>
        </w:rPr>
        <w:t>H</w:t>
      </w:r>
      <w:r>
        <w:rPr>
          <w:rFonts w:hint="eastAsia" w:ascii="Times New Roman"/>
          <w:szCs w:val="28"/>
        </w:rPr>
        <w:t>、温度、回收后物料要求。</w:t>
      </w:r>
    </w:p>
    <w:p>
      <w:pPr>
        <w:adjustRightInd w:val="0"/>
        <w:snapToGrid w:val="0"/>
        <w:spacing w:line="360" w:lineRule="auto"/>
        <w:ind w:firstLine="422" w:firstLineChars="200"/>
        <w:rPr>
          <w:rFonts w:ascii="Times New Roman" w:hAnsi="Times New Roman"/>
          <w:b/>
          <w:bCs/>
          <w:szCs w:val="28"/>
        </w:rPr>
      </w:pPr>
      <w:r>
        <w:rPr>
          <w:rFonts w:hint="eastAsia" w:ascii="Times New Roman" w:hAnsi="Times New Roman"/>
          <w:b/>
          <w:bCs/>
          <w:szCs w:val="28"/>
          <w:lang w:val="en-GB"/>
        </w:rPr>
        <w:t>（</w:t>
      </w:r>
      <w:r>
        <w:rPr>
          <w:rFonts w:ascii="Times New Roman" w:hAnsi="Times New Roman"/>
          <w:b/>
          <w:bCs/>
          <w:szCs w:val="28"/>
        </w:rPr>
        <w:t>4</w:t>
      </w:r>
      <w:r>
        <w:rPr>
          <w:rFonts w:hint="eastAsia" w:ascii="Times New Roman" w:hAnsi="Times New Roman"/>
          <w:b/>
          <w:bCs/>
          <w:szCs w:val="28"/>
        </w:rPr>
        <w:t>）配料制粒单元</w:t>
      </w:r>
    </w:p>
    <w:p>
      <w:pPr>
        <w:adjustRightInd w:val="0"/>
        <w:snapToGrid w:val="0"/>
        <w:spacing w:line="360" w:lineRule="auto"/>
        <w:ind w:firstLine="420" w:firstLineChars="200"/>
        <w:rPr>
          <w:rFonts w:ascii="宋体" w:hAnsi="宋体" w:cs="宋体"/>
          <w:szCs w:val="28"/>
          <w:lang w:val="en-GB"/>
        </w:rPr>
      </w:pPr>
      <w:r>
        <w:rPr>
          <w:rFonts w:hint="eastAsia" w:ascii="宋体" w:hAnsi="宋体" w:cs="宋体"/>
          <w:szCs w:val="28"/>
          <w:lang w:val="en-GB"/>
        </w:rPr>
        <w:t>①本单元规定了渣型配置过程</w:t>
      </w:r>
      <w:r>
        <w:rPr>
          <w:rFonts w:ascii="宋体" w:hAnsi="宋体" w:cs="宋体"/>
          <w:szCs w:val="28"/>
        </w:rPr>
        <w:t>由储仓、输送设备、计量设备、搅拌设备、制粒设备等组成</w:t>
      </w:r>
      <w:r>
        <w:rPr>
          <w:rFonts w:hint="eastAsia" w:ascii="宋体" w:hAnsi="宋体" w:cs="宋体"/>
          <w:szCs w:val="28"/>
        </w:rPr>
        <w:t>，并推荐了相应的设备；</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②规定了</w:t>
      </w:r>
      <w:r>
        <w:rPr>
          <w:rFonts w:ascii="Times New Roman"/>
          <w:color w:val="000000"/>
        </w:rPr>
        <w:t>原料和污酸渣的配制比例、添加剂的种类和加入量需</w:t>
      </w:r>
      <w:r>
        <w:rPr>
          <w:rFonts w:hint="eastAsia" w:ascii="Times New Roman"/>
          <w:color w:val="000000"/>
        </w:rPr>
        <w:t>根据</w:t>
      </w:r>
      <w:r>
        <w:rPr>
          <w:rFonts w:ascii="Times New Roman"/>
          <w:color w:val="000000"/>
        </w:rPr>
        <w:t>原料和污酸渣的渣型以及各组分含量确定；</w:t>
      </w:r>
    </w:p>
    <w:p>
      <w:pPr>
        <w:adjustRightInd w:val="0"/>
        <w:snapToGrid w:val="0"/>
        <w:spacing w:line="360" w:lineRule="auto"/>
        <w:ind w:firstLine="420" w:firstLineChars="200"/>
        <w:rPr>
          <w:rFonts w:ascii="Times New Roman"/>
          <w:color w:val="000000"/>
        </w:rPr>
      </w:pPr>
      <w:r>
        <w:rPr>
          <w:rFonts w:hint="eastAsia" w:ascii="Times New Roman" w:hAnsi="Times New Roman"/>
          <w:szCs w:val="28"/>
          <w:lang w:val="en-GB"/>
        </w:rPr>
        <w:t>③规定了</w:t>
      </w:r>
      <w:r>
        <w:rPr>
          <w:rFonts w:ascii="Times New Roman"/>
          <w:color w:val="000000"/>
        </w:rPr>
        <w:t>渣调节剂和制粒的粒径根据生产需求确定</w:t>
      </w:r>
      <w:r>
        <w:rPr>
          <w:rFonts w:hint="eastAsia" w:ascii="Times New Roman"/>
          <w:color w:val="000000"/>
        </w:rPr>
        <w:t>；</w:t>
      </w:r>
    </w:p>
    <w:p>
      <w:pPr>
        <w:adjustRightInd w:val="0"/>
        <w:snapToGrid w:val="0"/>
        <w:spacing w:line="360" w:lineRule="auto"/>
        <w:ind w:firstLine="422" w:firstLineChars="200"/>
        <w:rPr>
          <w:rFonts w:ascii="Times New Roman"/>
          <w:color w:val="000000"/>
        </w:rPr>
      </w:pPr>
      <w:r>
        <w:rPr>
          <w:rFonts w:hint="eastAsia" w:ascii="Times New Roman" w:hAnsi="Times New Roman"/>
          <w:b/>
          <w:bCs/>
          <w:szCs w:val="28"/>
          <w:lang w:val="en-GB"/>
        </w:rPr>
        <w:t>（</w:t>
      </w:r>
      <w:r>
        <w:rPr>
          <w:rFonts w:ascii="Times New Roman" w:hAnsi="Times New Roman"/>
          <w:b/>
          <w:bCs/>
          <w:szCs w:val="28"/>
        </w:rPr>
        <w:t>5</w:t>
      </w:r>
      <w:r>
        <w:rPr>
          <w:rFonts w:hint="eastAsia" w:ascii="Times New Roman" w:hAnsi="Times New Roman"/>
          <w:b/>
          <w:bCs/>
          <w:szCs w:val="28"/>
        </w:rPr>
        <w:t>）富氧熔炼单元</w:t>
      </w:r>
    </w:p>
    <w:p>
      <w:pPr>
        <w:adjustRightInd w:val="0"/>
        <w:snapToGrid w:val="0"/>
        <w:spacing w:line="360" w:lineRule="auto"/>
        <w:ind w:firstLine="420" w:firstLineChars="200"/>
        <w:rPr>
          <w:rFonts w:ascii="Times New Roman"/>
          <w:color w:val="000000"/>
        </w:rPr>
      </w:pPr>
      <w:r>
        <w:rPr>
          <w:rFonts w:hint="eastAsia" w:ascii="宋体" w:hAnsi="宋体" w:cs="宋体"/>
          <w:szCs w:val="28"/>
          <w:lang w:val="en-GB"/>
        </w:rPr>
        <w:t>①</w:t>
      </w:r>
      <w:r>
        <w:rPr>
          <w:rFonts w:hint="eastAsia" w:ascii="Times New Roman"/>
          <w:color w:val="000000"/>
        </w:rPr>
        <w:t>规定了</w:t>
      </w:r>
      <w:r>
        <w:rPr>
          <w:rFonts w:ascii="Times New Roman"/>
          <w:color w:val="000000"/>
        </w:rPr>
        <w:t>富氧熔炼</w:t>
      </w:r>
      <w:r>
        <w:rPr>
          <w:rFonts w:hint="eastAsia" w:ascii="Times New Roman"/>
          <w:color w:val="000000"/>
        </w:rPr>
        <w:t>系统</w:t>
      </w:r>
      <w:r>
        <w:rPr>
          <w:rFonts w:ascii="Times New Roman"/>
          <w:color w:val="000000"/>
        </w:rPr>
        <w:t>由熔炼炉、收尘袋、余热锅炉、计量设备和输送设备等组成</w:t>
      </w:r>
      <w:r>
        <w:rPr>
          <w:rFonts w:hint="eastAsia" w:ascii="Times New Roman"/>
          <w:color w:val="000000"/>
        </w:rPr>
        <w:t>；</w:t>
      </w:r>
    </w:p>
    <w:p>
      <w:pPr>
        <w:adjustRightInd w:val="0"/>
        <w:snapToGrid w:val="0"/>
        <w:spacing w:line="360" w:lineRule="auto"/>
        <w:ind w:firstLine="420" w:firstLineChars="200"/>
        <w:rPr>
          <w:rFonts w:hint="eastAsia" w:ascii="Times New Roman" w:hAnsi="Times New Roman"/>
          <w:szCs w:val="28"/>
          <w:lang w:val="en-GB"/>
        </w:rPr>
      </w:pPr>
      <w:r>
        <w:rPr>
          <w:rFonts w:hint="eastAsia" w:ascii="宋体" w:hAnsi="宋体" w:cs="宋体"/>
          <w:szCs w:val="28"/>
          <w:lang w:val="en-GB"/>
        </w:rPr>
        <w:t>②</w:t>
      </w:r>
      <w:r>
        <w:rPr>
          <w:rFonts w:hint="eastAsia" w:ascii="Times New Roman" w:hAnsi="Times New Roman"/>
          <w:szCs w:val="28"/>
          <w:lang w:val="en-GB"/>
        </w:rPr>
        <w:t>规定了</w:t>
      </w:r>
      <w:r>
        <w:rPr>
          <w:rFonts w:hint="eastAsia" w:ascii="Times New Roman" w:hAnsi="Times New Roman"/>
          <w:color w:val="000000"/>
          <w:kern w:val="0"/>
          <w:szCs w:val="21"/>
          <w:lang w:bidi="ar"/>
        </w:rPr>
        <w:t>应</w:t>
      </w:r>
      <w:r>
        <w:rPr>
          <w:rFonts w:ascii="Times New Roman" w:hAnsi="Times New Roman"/>
          <w:color w:val="000000"/>
          <w:kern w:val="0"/>
          <w:szCs w:val="21"/>
          <w:lang w:bidi="ar"/>
        </w:rPr>
        <w:t>根据原料组分</w:t>
      </w:r>
      <w:r>
        <w:rPr>
          <w:rFonts w:hint="eastAsia" w:ascii="Times New Roman" w:hAnsi="Times New Roman"/>
          <w:color w:val="000000"/>
          <w:kern w:val="0"/>
          <w:szCs w:val="21"/>
          <w:lang w:bidi="ar"/>
        </w:rPr>
        <w:t>的</w:t>
      </w:r>
      <w:r>
        <w:rPr>
          <w:rFonts w:ascii="Times New Roman" w:hAnsi="Times New Roman"/>
          <w:color w:val="000000"/>
          <w:kern w:val="0"/>
          <w:szCs w:val="21"/>
          <w:lang w:bidi="ar"/>
        </w:rPr>
        <w:t>不同按需选择富氧熔炼三连炉工艺或富氧熔炼工艺（底吹或侧吹）</w:t>
      </w:r>
      <w:r>
        <w:rPr>
          <w:rFonts w:hint="eastAsia" w:ascii="Times New Roman" w:hAnsi="Times New Roman"/>
          <w:color w:val="000000"/>
          <w:kern w:val="0"/>
          <w:szCs w:val="21"/>
          <w:lang w:bidi="ar"/>
        </w:rPr>
        <w:t>。</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4.6</w:t>
      </w:r>
      <w:r>
        <w:rPr>
          <w:rFonts w:hint="eastAsia" w:ascii="Times New Roman" w:hAnsi="Times New Roman"/>
          <w:b/>
          <w:bCs/>
          <w:szCs w:val="21"/>
        </w:rPr>
        <w:t>主要工艺设备和材料</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本技术规范对污酸渣富氧熔炼清洁利用工艺中常用设备和材料的选型，以及设备选用应遵循的标准规范提出了具体要求。选用的设备和材料需首先满足国家现行的产品标准，其次对本工艺系统具有良好的适用性、可靠性、经济性和环保性。</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针对污酸渣富氧熔炼工艺特点，对于常用设备选型、材料选择技术要求进行说明。</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1</w:t>
      </w:r>
      <w:r>
        <w:rPr>
          <w:rFonts w:hint="eastAsia" w:ascii="Times New Roman" w:hAnsi="Times New Roman"/>
          <w:szCs w:val="28"/>
          <w:lang w:val="en-GB"/>
        </w:rPr>
        <w:t>）污酸渣带式输送设备，充分考虑避免渣料掉落造成二次污染，其材质宜选用橡胶、硅胶、</w:t>
      </w:r>
      <w:r>
        <w:rPr>
          <w:rFonts w:ascii="Times New Roman" w:hAnsi="Times New Roman"/>
          <w:szCs w:val="28"/>
          <w:lang w:val="en-GB"/>
        </w:rPr>
        <w:t>PVC</w:t>
      </w:r>
      <w:r>
        <w:rPr>
          <w:rFonts w:hint="eastAsia" w:ascii="Times New Roman" w:hAnsi="Times New Roman"/>
          <w:szCs w:val="28"/>
          <w:lang w:val="en-GB"/>
        </w:rPr>
        <w:t>、</w:t>
      </w:r>
      <w:r>
        <w:rPr>
          <w:rFonts w:ascii="Times New Roman" w:hAnsi="Times New Roman"/>
          <w:szCs w:val="28"/>
          <w:lang w:val="en-GB"/>
        </w:rPr>
        <w:t>PU</w:t>
      </w:r>
      <w:r>
        <w:rPr>
          <w:rFonts w:hint="eastAsia" w:ascii="Times New Roman" w:hAnsi="Times New Roman"/>
          <w:szCs w:val="28"/>
          <w:lang w:val="en-GB"/>
        </w:rPr>
        <w:t>等材质。</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2</w:t>
      </w:r>
      <w:r>
        <w:rPr>
          <w:rFonts w:hint="eastAsia" w:ascii="Times New Roman" w:hAnsi="Times New Roman"/>
          <w:szCs w:val="28"/>
          <w:lang w:val="en-GB"/>
        </w:rPr>
        <w:t>）药剂储存罐</w:t>
      </w:r>
      <w:r>
        <w:rPr>
          <w:rFonts w:ascii="Times New Roman"/>
          <w:color w:val="000000"/>
        </w:rPr>
        <w:t>宜选择PVC材质。</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3</w:t>
      </w:r>
      <w:r>
        <w:rPr>
          <w:rFonts w:hint="eastAsia" w:ascii="Times New Roman" w:hAnsi="Times New Roman"/>
          <w:szCs w:val="28"/>
          <w:lang w:val="en-GB"/>
        </w:rPr>
        <w:t>）混合搅拌器选择，应满足以下条件：</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①</w:t>
      </w:r>
      <w:r>
        <w:rPr>
          <w:rFonts w:hint="eastAsia" w:ascii="Times New Roman" w:hAnsi="Times New Roman"/>
          <w:szCs w:val="28"/>
          <w:lang w:val="en-GB"/>
        </w:rPr>
        <w:t>搅拌机、混合机应符合</w:t>
      </w:r>
      <w:r>
        <w:rPr>
          <w:rFonts w:ascii="Times New Roman" w:hAnsi="Times New Roman"/>
          <w:szCs w:val="28"/>
          <w:lang w:val="en-GB"/>
        </w:rPr>
        <w:t>HG/T 20569</w:t>
      </w:r>
      <w:r>
        <w:rPr>
          <w:rFonts w:hint="eastAsia" w:ascii="Times New Roman" w:hAnsi="Times New Roman"/>
          <w:szCs w:val="28"/>
          <w:lang w:val="en-GB"/>
        </w:rPr>
        <w:t>的规定；</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②</w:t>
      </w:r>
      <w:r>
        <w:rPr>
          <w:rFonts w:hint="eastAsia" w:ascii="Times New Roman" w:hAnsi="Times New Roman"/>
          <w:szCs w:val="28"/>
          <w:lang w:val="en-GB"/>
        </w:rPr>
        <w:t>应配有变频装置、调速电机以及过扭矩保护装置；</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③</w:t>
      </w:r>
      <w:r>
        <w:rPr>
          <w:rFonts w:ascii="Times New Roman"/>
          <w:color w:val="000000"/>
        </w:rPr>
        <w:t>搅拌设备主体容器及其构件</w:t>
      </w:r>
      <w:r>
        <w:rPr>
          <w:rFonts w:hint="eastAsia" w:ascii="Times New Roman" w:hAnsi="Times New Roman"/>
          <w:szCs w:val="28"/>
          <w:lang w:val="en-GB"/>
        </w:rPr>
        <w:t>应采用</w:t>
      </w:r>
      <w:r>
        <w:rPr>
          <w:rFonts w:ascii="Times New Roman" w:hAnsi="Times New Roman"/>
          <w:szCs w:val="28"/>
          <w:lang w:val="en-GB"/>
        </w:rPr>
        <w:t>SUS304</w:t>
      </w:r>
      <w:r>
        <w:rPr>
          <w:rFonts w:hint="eastAsia" w:ascii="Times New Roman" w:hAnsi="Times New Roman"/>
          <w:szCs w:val="28"/>
          <w:lang w:val="en-GB"/>
        </w:rPr>
        <w:t>不锈钢、合金钢等材质。</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4.7</w:t>
      </w:r>
      <w:r>
        <w:rPr>
          <w:rFonts w:hint="eastAsia" w:ascii="Times New Roman" w:hAnsi="Times New Roman"/>
          <w:b/>
          <w:bCs/>
          <w:szCs w:val="21"/>
        </w:rPr>
        <w:t>检测与过程控制</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为保证污酸渣的处理效果、防止处理过程产生二次污染，同时对选用的工艺技术进行及时调整和控制，本标准规定了污酸渣富氧熔炼处置前、处置过程中、处置后检测内容及标准、同时还规定了处置场所和设施及主要生产工序检测内容和检测要求。</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 xml:space="preserve">4.8 </w:t>
      </w:r>
      <w:r>
        <w:rPr>
          <w:rFonts w:hint="eastAsia" w:ascii="Times New Roman" w:hAnsi="Times New Roman"/>
          <w:b/>
          <w:bCs/>
          <w:szCs w:val="21"/>
        </w:rPr>
        <w:t>运行与维护</w:t>
      </w:r>
      <w:r>
        <w:rPr>
          <w:rFonts w:ascii="Times New Roman" w:hAnsi="Times New Roman"/>
          <w:b/>
          <w:bCs/>
          <w:szCs w:val="21"/>
        </w:rPr>
        <w:t xml:space="preserve"> </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本标准在运行与维护一章中对污酸渣富氧熔炼协同资源化工艺的运行、维护和安全管理、规章制度、操作规程、运行记录、人员基本要求及应急措施等做出了具体的规定。</w:t>
      </w:r>
    </w:p>
    <w:p>
      <w:pPr>
        <w:adjustRightInd w:val="0"/>
        <w:snapToGrid w:val="0"/>
        <w:spacing w:before="156" w:beforeLines="50" w:after="156" w:afterLines="50" w:line="360" w:lineRule="auto"/>
        <w:outlineLvl w:val="0"/>
        <w:rPr>
          <w:rFonts w:ascii="Times New Roman" w:hAnsi="Times New Roman"/>
          <w:b/>
          <w:bCs/>
          <w:szCs w:val="21"/>
        </w:rPr>
      </w:pPr>
      <w:r>
        <w:rPr>
          <w:rFonts w:hint="eastAsia" w:ascii="Times New Roman" w:hAnsi="Times New Roman"/>
          <w:b/>
          <w:bCs/>
          <w:szCs w:val="21"/>
        </w:rPr>
        <w:t>五、明确标准中涉及专利的情况</w:t>
      </w:r>
    </w:p>
    <w:p>
      <w:pPr>
        <w:adjustRightInd w:val="0"/>
        <w:snapToGrid w:val="0"/>
        <w:spacing w:line="360" w:lineRule="auto"/>
        <w:ind w:firstLine="424" w:firstLineChars="202"/>
        <w:rPr>
          <w:rFonts w:ascii="Times New Roman" w:hAnsi="Times New Roman"/>
          <w:szCs w:val="21"/>
        </w:rPr>
      </w:pPr>
      <w:r>
        <w:rPr>
          <w:rFonts w:hint="eastAsia" w:ascii="Times New Roman" w:hAnsi="Times New Roman"/>
        </w:rPr>
        <w:t>本</w:t>
      </w:r>
      <w:r>
        <w:rPr>
          <w:rFonts w:hint="eastAsia" w:ascii="Times New Roman" w:hAnsi="Times New Roman"/>
          <w:szCs w:val="21"/>
        </w:rPr>
        <w:t>文件</w:t>
      </w:r>
      <w:r>
        <w:rPr>
          <w:rFonts w:hint="eastAsia" w:ascii="Times New Roman" w:hAnsi="Times New Roman"/>
        </w:rPr>
        <w:t>不涉及专利问题。</w:t>
      </w:r>
    </w:p>
    <w:p>
      <w:pPr>
        <w:adjustRightInd w:val="0"/>
        <w:snapToGrid w:val="0"/>
        <w:spacing w:before="156" w:beforeLines="50" w:after="156" w:afterLines="50" w:line="360" w:lineRule="auto"/>
        <w:outlineLvl w:val="0"/>
        <w:rPr>
          <w:rFonts w:ascii="Times New Roman" w:hAnsi="Times New Roman"/>
          <w:b/>
          <w:bCs/>
          <w:szCs w:val="21"/>
        </w:rPr>
      </w:pPr>
      <w:r>
        <w:rPr>
          <w:rFonts w:hint="eastAsia" w:ascii="Times New Roman" w:hAnsi="Times New Roman"/>
          <w:b/>
          <w:bCs/>
          <w:szCs w:val="21"/>
        </w:rPr>
        <w:t>六、采用国际标准和国外先进标准的情况，与国际、国内同类标准水平的对比情况</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本文件没有采用国际标准。</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本文件在制定过程中未检测到同类国际标准。</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本文件在制订过程中，以</w:t>
      </w:r>
      <w:r>
        <w:rPr>
          <w:rFonts w:hint="eastAsia" w:ascii="Times New Roman" w:hAnsi="Times New Roman"/>
          <w:szCs w:val="28"/>
        </w:rPr>
        <w:t>污酸渣冶炼和资源化利用的</w:t>
      </w:r>
      <w:r>
        <w:rPr>
          <w:rFonts w:hint="eastAsia" w:ascii="Times New Roman" w:hAnsi="Times New Roman"/>
          <w:szCs w:val="21"/>
        </w:rPr>
        <w:t>实际需求为依据，标准客观反应了目前污酸渣的产生及资源化利用现状，对污酸渣无害化处理与资源利用的工艺技术具有实际意义，具有适用性、准确性、指导性和先进性。</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本文件填补了国内外相关标准的空白。</w:t>
      </w:r>
    </w:p>
    <w:p>
      <w:pPr>
        <w:adjustRightInd w:val="0"/>
        <w:snapToGrid w:val="0"/>
        <w:spacing w:before="156" w:beforeLines="50" w:after="156" w:afterLines="50" w:line="360" w:lineRule="auto"/>
        <w:outlineLvl w:val="0"/>
        <w:rPr>
          <w:rFonts w:ascii="Times New Roman" w:hAnsi="Times New Roman"/>
          <w:b/>
          <w:bCs/>
          <w:szCs w:val="21"/>
        </w:rPr>
      </w:pPr>
      <w:r>
        <w:rPr>
          <w:rFonts w:hint="eastAsia" w:ascii="Times New Roman" w:hAnsi="Times New Roman"/>
          <w:b/>
          <w:bCs/>
          <w:szCs w:val="21"/>
        </w:rPr>
        <w:t>七、与有关的现行法律、法规和强制性国家标准的关系</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本文件不存在与相关法律、法规、规章相抵触之处，也不与其它标准相冲突。</w:t>
      </w:r>
    </w:p>
    <w:p>
      <w:pPr>
        <w:adjustRightInd w:val="0"/>
        <w:snapToGrid w:val="0"/>
        <w:spacing w:before="156" w:beforeLines="50" w:after="156" w:afterLines="50" w:line="360" w:lineRule="auto"/>
        <w:outlineLvl w:val="0"/>
        <w:rPr>
          <w:rFonts w:ascii="Times New Roman" w:hAnsi="Times New Roman"/>
          <w:b/>
          <w:bCs/>
          <w:szCs w:val="21"/>
        </w:rPr>
      </w:pPr>
      <w:r>
        <w:rPr>
          <w:rFonts w:hint="eastAsia" w:ascii="Times New Roman" w:hAnsi="Times New Roman"/>
          <w:b/>
          <w:bCs/>
          <w:szCs w:val="21"/>
        </w:rPr>
        <w:t>八、重大分歧意见的处理经过和依据</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无。</w:t>
      </w:r>
    </w:p>
    <w:p>
      <w:pPr>
        <w:adjustRightInd w:val="0"/>
        <w:snapToGrid w:val="0"/>
        <w:spacing w:before="156" w:beforeLines="50" w:after="156" w:afterLines="50" w:line="360" w:lineRule="auto"/>
        <w:outlineLvl w:val="0"/>
        <w:rPr>
          <w:rFonts w:ascii="Times New Roman" w:hAnsi="Times New Roman"/>
          <w:b/>
          <w:bCs/>
          <w:szCs w:val="21"/>
        </w:rPr>
      </w:pPr>
      <w:r>
        <w:rPr>
          <w:rFonts w:hint="eastAsia" w:ascii="Times New Roman" w:hAnsi="Times New Roman"/>
          <w:b/>
          <w:bCs/>
          <w:szCs w:val="21"/>
        </w:rPr>
        <w:t>九、国家标准作为强制性国家标准或推荐性国家标准的建议</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建议团体标准《污酸渣富氧熔炼协同资源化技术规范》作为推荐性标准颁布实施。</w:t>
      </w:r>
    </w:p>
    <w:p>
      <w:pPr>
        <w:adjustRightInd w:val="0"/>
        <w:snapToGrid w:val="0"/>
        <w:spacing w:before="156" w:beforeLines="50" w:after="156" w:afterLines="50" w:line="360" w:lineRule="auto"/>
        <w:outlineLvl w:val="0"/>
        <w:rPr>
          <w:rFonts w:ascii="Times New Roman" w:hAnsi="Times New Roman"/>
          <w:b/>
          <w:bCs/>
          <w:szCs w:val="21"/>
        </w:rPr>
      </w:pPr>
      <w:r>
        <w:rPr>
          <w:rFonts w:hint="eastAsia" w:ascii="Times New Roman" w:hAnsi="Times New Roman"/>
          <w:b/>
          <w:bCs/>
          <w:szCs w:val="21"/>
        </w:rPr>
        <w:t>十、贯彻标准的要求和措施建议</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本标准为首次制定，建议本文件在批准发布</w:t>
      </w:r>
      <w:r>
        <w:rPr>
          <w:rFonts w:ascii="Times New Roman" w:hAnsi="Times New Roman"/>
          <w:szCs w:val="21"/>
        </w:rPr>
        <w:t>3</w:t>
      </w:r>
      <w:r>
        <w:rPr>
          <w:rFonts w:hint="eastAsia" w:ascii="Times New Roman" w:hAnsi="Times New Roman"/>
          <w:szCs w:val="21"/>
        </w:rPr>
        <w:t>个月后实施，建议在实施过程先试行，然后广泛听取和收集各方面的意见与建议，根据反馈的问题和技术进步情况进一步对本标准进行修订与完善，最终形成实用的、先进的行业污染治理规范性技术管理文件。</w:t>
      </w:r>
    </w:p>
    <w:p>
      <w:pPr>
        <w:adjustRightInd w:val="0"/>
        <w:snapToGrid w:val="0"/>
        <w:spacing w:before="156" w:beforeLines="50" w:after="156" w:afterLines="50" w:line="360" w:lineRule="auto"/>
        <w:outlineLvl w:val="0"/>
        <w:rPr>
          <w:rFonts w:ascii="Times New Roman" w:hAnsi="Times New Roman"/>
          <w:b/>
          <w:bCs/>
          <w:szCs w:val="21"/>
        </w:rPr>
      </w:pPr>
      <w:r>
        <w:rPr>
          <w:rFonts w:hint="eastAsia" w:ascii="Times New Roman" w:hAnsi="Times New Roman"/>
          <w:b/>
          <w:bCs/>
          <w:szCs w:val="21"/>
        </w:rPr>
        <w:t>十一、废止现行有关标准的建议</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无。</w:t>
      </w:r>
    </w:p>
    <w:p>
      <w:pPr>
        <w:adjustRightInd w:val="0"/>
        <w:snapToGrid w:val="0"/>
        <w:spacing w:before="156" w:beforeLines="50" w:after="156" w:afterLines="50" w:line="360" w:lineRule="auto"/>
        <w:outlineLvl w:val="0"/>
        <w:rPr>
          <w:rFonts w:ascii="Times New Roman" w:hAnsi="Times New Roman"/>
          <w:b/>
          <w:bCs/>
          <w:szCs w:val="21"/>
        </w:rPr>
      </w:pPr>
      <w:r>
        <w:rPr>
          <w:rFonts w:hint="eastAsia" w:ascii="Times New Roman" w:hAnsi="Times New Roman"/>
          <w:b/>
          <w:bCs/>
          <w:szCs w:val="21"/>
        </w:rPr>
        <w:t>十二、其他应予说明的事项</w:t>
      </w:r>
    </w:p>
    <w:p>
      <w:pPr>
        <w:adjustRightInd w:val="0"/>
        <w:snapToGrid w:val="0"/>
        <w:spacing w:line="360" w:lineRule="auto"/>
        <w:ind w:firstLine="420" w:firstLineChars="200"/>
        <w:rPr>
          <w:rFonts w:ascii="Times New Roman" w:hAnsi="Times New Roman"/>
        </w:rPr>
      </w:pPr>
      <w:r>
        <w:rPr>
          <w:rFonts w:hint="eastAsia" w:ascii="Times New Roman" w:hAnsi="Times New Roman"/>
          <w:szCs w:val="21"/>
        </w:rPr>
        <w:t>无。</w:t>
      </w:r>
    </w:p>
    <w:p>
      <w:pPr>
        <w:adjustRightInd w:val="0"/>
        <w:snapToGrid w:val="0"/>
        <w:spacing w:line="360" w:lineRule="auto"/>
        <w:jc w:val="center"/>
        <w:rPr>
          <w:rFonts w:ascii="Times New Roman" w:hAnsi="Times New Roman"/>
        </w:rPr>
        <w:sectPr>
          <w:footerReference r:id="rId5" w:type="default"/>
          <w:pgSz w:w="11906" w:h="16838"/>
          <w:pgMar w:top="1440" w:right="1800" w:bottom="1440" w:left="1800" w:header="851" w:footer="992" w:gutter="0"/>
          <w:pgNumType w:start="1"/>
          <w:cols w:space="425" w:num="1"/>
          <w:docGrid w:type="lines" w:linePitch="312" w:charSpace="0"/>
        </w:sectPr>
      </w:pPr>
    </w:p>
    <w:p>
      <w:pPr>
        <w:adjustRightInd w:val="0"/>
        <w:snapToGrid w:val="0"/>
        <w:spacing w:line="360" w:lineRule="auto"/>
        <w:jc w:val="center"/>
        <w:rPr>
          <w:rFonts w:ascii="Times New Roman" w:hAnsi="Times New Roman"/>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24" o:spid="_x0000_s1026" o:spt="202" type="#_x0000_t202" style="position:absolute;left:0pt;margin-top:10.95pt;height:17.65pt;width:16.25pt;mso-position-horizontal:center;mso-position-horizontal-relative:margin;z-index:1024;mso-width-relative:page;mso-height-relative:page;" filled="f" stroked="f" coordsize="21600,21600">
          <v:path/>
          <v:fill on="f" focussize="0,0"/>
          <v:stroke on="f" weight="0.5pt" joinstyle="miter"/>
          <v:imagedata o:title=""/>
          <o:lock v:ext="edit"/>
          <v:textbox inset="0mm,0mm,0mm,0mm">
            <w:txbxContent>
              <w:p>
                <w:pPr>
                  <w:pStyle w:val="7"/>
                </w:pPr>
                <w:r>
                  <w:fldChar w:fldCharType="begin"/>
                </w:r>
                <w:r>
                  <w:instrText xml:space="preserve"> PAGE  \* MERGEFORMAT </w:instrText>
                </w:r>
                <w:r>
                  <w:fldChar w:fldCharType="separate"/>
                </w:r>
                <w:r>
                  <w:t>15</w:t>
                </w:r>
                <w:r>
                  <w:fldChar w:fldCharType="end"/>
                </w:r>
              </w:p>
            </w:txbxContent>
          </v:textbox>
        </v:shape>
      </w:pic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24"/>
      <w:suff w:val="nothing"/>
      <w:lvlText w:val="%1　"/>
      <w:lvlJc w:val="left"/>
      <w:pPr>
        <w:ind w:left="426"/>
      </w:pPr>
      <w:rPr>
        <w:rFonts w:hint="eastAsia" w:ascii="黑体" w:hAnsi="Times New Roman" w:eastAsia="黑体" w:cs="Times New Roman"/>
        <w:b w:val="0"/>
        <w:i w:val="0"/>
        <w:sz w:val="21"/>
        <w:szCs w:val="21"/>
      </w:rPr>
    </w:lvl>
    <w:lvl w:ilvl="1" w:tentative="0">
      <w:start w:val="1"/>
      <w:numFmt w:val="decimal"/>
      <w:pStyle w:val="22"/>
      <w:suff w:val="nothing"/>
      <w:lvlText w:val="%1.%2　"/>
      <w:lvlJc w:val="left"/>
      <w:pPr>
        <w:ind w:left="1842"/>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5"/>
      <w:suff w:val="nothing"/>
      <w:lvlText w:val="%1.%2.%3　"/>
      <w:lvlJc w:val="left"/>
      <w:rPr>
        <w:rFonts w:hint="eastAsia" w:ascii="黑体" w:hAnsi="Times New Roman" w:eastAsia="黑体" w:cs="Times New Roman"/>
        <w:b w:val="0"/>
        <w:i w:val="0"/>
        <w:sz w:val="21"/>
      </w:rPr>
    </w:lvl>
    <w:lvl w:ilvl="3" w:tentative="0">
      <w:start w:val="1"/>
      <w:numFmt w:val="decimal"/>
      <w:pStyle w:val="26"/>
      <w:suff w:val="nothing"/>
      <w:lvlText w:val="%1.%2.%3.%4　"/>
      <w:lvlJc w:val="left"/>
      <w:rPr>
        <w:rFonts w:hint="eastAsia" w:ascii="黑体" w:hAnsi="Times New Roman" w:eastAsia="黑体" w:cs="Times New Roman"/>
        <w:b w:val="0"/>
        <w:i w:val="0"/>
        <w:sz w:val="21"/>
      </w:rPr>
    </w:lvl>
    <w:lvl w:ilvl="4" w:tentative="0">
      <w:start w:val="1"/>
      <w:numFmt w:val="decimal"/>
      <w:pStyle w:val="27"/>
      <w:suff w:val="nothing"/>
      <w:lvlText w:val="%1.%2.%3.%4.%5　"/>
      <w:lvlJc w:val="left"/>
      <w:pPr>
        <w:ind w:left="1135"/>
      </w:pPr>
      <w:rPr>
        <w:rFonts w:hint="eastAsia" w:ascii="黑体" w:hAnsi="Times New Roman" w:eastAsia="黑体" w:cs="Times New Roman"/>
        <w:b w:val="0"/>
        <w:i w:val="0"/>
        <w:sz w:val="21"/>
      </w:rPr>
    </w:lvl>
    <w:lvl w:ilvl="5" w:tentative="0">
      <w:start w:val="1"/>
      <w:numFmt w:val="decimal"/>
      <w:pStyle w:val="28"/>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44C50F90"/>
    <w:multiLevelType w:val="multilevel"/>
    <w:tmpl w:val="44C50F90"/>
    <w:lvl w:ilvl="0" w:tentative="0">
      <w:start w:val="1"/>
      <w:numFmt w:val="lowerLetter"/>
      <w:pStyle w:val="40"/>
      <w:lvlText w:val="%1)"/>
      <w:lvlJc w:val="left"/>
      <w:pPr>
        <w:tabs>
          <w:tab w:val="left" w:pos="839"/>
        </w:tabs>
        <w:ind w:left="839" w:hanging="419"/>
      </w:pPr>
      <w:rPr>
        <w:rFonts w:hint="eastAsia" w:ascii="宋体" w:hAnsi="宋体" w:eastAsia="宋体" w:cs="Times New Roman"/>
        <w:b w:val="0"/>
        <w:i w:val="0"/>
        <w:sz w:val="21"/>
        <w:szCs w:val="21"/>
      </w:rPr>
    </w:lvl>
    <w:lvl w:ilvl="1" w:tentative="0">
      <w:start w:val="1"/>
      <w:numFmt w:val="decimal"/>
      <w:lvlText w:val="%2)"/>
      <w:lvlJc w:val="left"/>
      <w:pPr>
        <w:tabs>
          <w:tab w:val="left" w:pos="1259"/>
        </w:tabs>
        <w:ind w:left="1259" w:hanging="420"/>
      </w:pPr>
      <w:rPr>
        <w:rFonts w:hint="eastAsia" w:ascii="宋体" w:hAnsi="宋体" w:eastAsia="宋体" w:cs="Times New Roman"/>
        <w:b w:val="0"/>
        <w:i w:val="0"/>
        <w:sz w:val="20"/>
      </w:rPr>
    </w:lvl>
    <w:lvl w:ilvl="2" w:tentative="0">
      <w:start w:val="1"/>
      <w:numFmt w:val="decimal"/>
      <w:lvlText w:val="(%3)"/>
      <w:lvlJc w:val="left"/>
      <w:pPr>
        <w:tabs>
          <w:tab w:val="left" w:pos="0"/>
        </w:tabs>
        <w:ind w:left="1678" w:hanging="419"/>
      </w:pPr>
      <w:rPr>
        <w:rFonts w:hint="eastAsia" w:ascii="宋体" w:hAnsi="宋体" w:eastAsia="宋体" w:cs="Times New Roman"/>
        <w:b w:val="0"/>
        <w:i w:val="0"/>
        <w:sz w:val="21"/>
        <w:szCs w:val="21"/>
      </w:rPr>
    </w:lvl>
    <w:lvl w:ilvl="3" w:tentative="0">
      <w:start w:val="1"/>
      <w:numFmt w:val="decimal"/>
      <w:lvlText w:val="%4."/>
      <w:lvlJc w:val="left"/>
      <w:pPr>
        <w:tabs>
          <w:tab w:val="left" w:pos="2098"/>
        </w:tabs>
        <w:ind w:left="2098" w:hanging="420"/>
      </w:pPr>
      <w:rPr>
        <w:rFonts w:hint="eastAsia" w:cs="Times New Roman"/>
      </w:rPr>
    </w:lvl>
    <w:lvl w:ilvl="4" w:tentative="0">
      <w:start w:val="1"/>
      <w:numFmt w:val="lowerLetter"/>
      <w:lvlText w:val="%5)"/>
      <w:lvlJc w:val="left"/>
      <w:pPr>
        <w:tabs>
          <w:tab w:val="left" w:pos="2517"/>
        </w:tabs>
        <w:ind w:left="2517" w:hanging="419"/>
      </w:pPr>
      <w:rPr>
        <w:rFonts w:hint="eastAsia" w:cs="Times New Roman"/>
      </w:rPr>
    </w:lvl>
    <w:lvl w:ilvl="5" w:tentative="0">
      <w:start w:val="1"/>
      <w:numFmt w:val="lowerRoman"/>
      <w:lvlText w:val="%6."/>
      <w:lvlJc w:val="right"/>
      <w:pPr>
        <w:tabs>
          <w:tab w:val="left" w:pos="2942"/>
        </w:tabs>
        <w:ind w:left="2937" w:hanging="420"/>
      </w:pPr>
      <w:rPr>
        <w:rFonts w:hint="eastAsia" w:cs="Times New Roman"/>
      </w:rPr>
    </w:lvl>
    <w:lvl w:ilvl="6" w:tentative="0">
      <w:start w:val="1"/>
      <w:numFmt w:val="decimal"/>
      <w:lvlText w:val="%7."/>
      <w:lvlJc w:val="left"/>
      <w:pPr>
        <w:tabs>
          <w:tab w:val="left" w:pos="3362"/>
        </w:tabs>
        <w:ind w:left="3356" w:hanging="414"/>
      </w:pPr>
      <w:rPr>
        <w:rFonts w:hint="eastAsia" w:cs="Times New Roman"/>
      </w:rPr>
    </w:lvl>
    <w:lvl w:ilvl="7" w:tentative="0">
      <w:start w:val="1"/>
      <w:numFmt w:val="lowerLetter"/>
      <w:lvlText w:val="%8)"/>
      <w:lvlJc w:val="left"/>
      <w:pPr>
        <w:tabs>
          <w:tab w:val="left" w:pos="3781"/>
        </w:tabs>
        <w:ind w:left="3776" w:hanging="414"/>
      </w:pPr>
      <w:rPr>
        <w:rFonts w:hint="eastAsia" w:cs="Times New Roman"/>
      </w:rPr>
    </w:lvl>
    <w:lvl w:ilvl="8" w:tentative="0">
      <w:start w:val="1"/>
      <w:numFmt w:val="lowerRoman"/>
      <w:lvlText w:val="%9."/>
      <w:lvlJc w:val="right"/>
      <w:pPr>
        <w:tabs>
          <w:tab w:val="left" w:pos="4201"/>
        </w:tabs>
        <w:ind w:left="4201" w:hanging="420"/>
      </w:pPr>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B37"/>
    <w:rsid w:val="00000BD9"/>
    <w:rsid w:val="00006ECD"/>
    <w:rsid w:val="000134DE"/>
    <w:rsid w:val="0001389F"/>
    <w:rsid w:val="00024F4B"/>
    <w:rsid w:val="00033B50"/>
    <w:rsid w:val="00042379"/>
    <w:rsid w:val="000436E4"/>
    <w:rsid w:val="00044BCF"/>
    <w:rsid w:val="00055CC2"/>
    <w:rsid w:val="00055FFE"/>
    <w:rsid w:val="00060A54"/>
    <w:rsid w:val="00065E4B"/>
    <w:rsid w:val="00072173"/>
    <w:rsid w:val="00072205"/>
    <w:rsid w:val="00072323"/>
    <w:rsid w:val="0007314F"/>
    <w:rsid w:val="00086151"/>
    <w:rsid w:val="00086950"/>
    <w:rsid w:val="00093642"/>
    <w:rsid w:val="000A6742"/>
    <w:rsid w:val="000B0C16"/>
    <w:rsid w:val="000B77FE"/>
    <w:rsid w:val="000C7616"/>
    <w:rsid w:val="000D2399"/>
    <w:rsid w:val="000D5E4E"/>
    <w:rsid w:val="000E4AB3"/>
    <w:rsid w:val="000E7566"/>
    <w:rsid w:val="000F0659"/>
    <w:rsid w:val="000F6316"/>
    <w:rsid w:val="00105F21"/>
    <w:rsid w:val="00117F07"/>
    <w:rsid w:val="001301B7"/>
    <w:rsid w:val="00131A5A"/>
    <w:rsid w:val="0013553D"/>
    <w:rsid w:val="001377ED"/>
    <w:rsid w:val="00142415"/>
    <w:rsid w:val="00151A04"/>
    <w:rsid w:val="001611E0"/>
    <w:rsid w:val="00161C00"/>
    <w:rsid w:val="00180E38"/>
    <w:rsid w:val="00184F82"/>
    <w:rsid w:val="00190F2A"/>
    <w:rsid w:val="00192ABD"/>
    <w:rsid w:val="001A4216"/>
    <w:rsid w:val="001C41BC"/>
    <w:rsid w:val="001D5C9B"/>
    <w:rsid w:val="001F3124"/>
    <w:rsid w:val="00202570"/>
    <w:rsid w:val="002268AC"/>
    <w:rsid w:val="00231E90"/>
    <w:rsid w:val="00260ACC"/>
    <w:rsid w:val="00265E5A"/>
    <w:rsid w:val="00272A5C"/>
    <w:rsid w:val="00274BC0"/>
    <w:rsid w:val="002761CF"/>
    <w:rsid w:val="002876C8"/>
    <w:rsid w:val="00287B21"/>
    <w:rsid w:val="0029064C"/>
    <w:rsid w:val="002A0F11"/>
    <w:rsid w:val="002B7311"/>
    <w:rsid w:val="002C5241"/>
    <w:rsid w:val="00306237"/>
    <w:rsid w:val="00333D73"/>
    <w:rsid w:val="003407A5"/>
    <w:rsid w:val="00345254"/>
    <w:rsid w:val="00350B58"/>
    <w:rsid w:val="003549B9"/>
    <w:rsid w:val="00356818"/>
    <w:rsid w:val="00376CA7"/>
    <w:rsid w:val="00376FE6"/>
    <w:rsid w:val="003774B9"/>
    <w:rsid w:val="00384DFD"/>
    <w:rsid w:val="00386E5F"/>
    <w:rsid w:val="00390F6E"/>
    <w:rsid w:val="00391A3B"/>
    <w:rsid w:val="00397CE9"/>
    <w:rsid w:val="003B209A"/>
    <w:rsid w:val="003C7543"/>
    <w:rsid w:val="003D235E"/>
    <w:rsid w:val="003E0DA8"/>
    <w:rsid w:val="003E3740"/>
    <w:rsid w:val="003E587F"/>
    <w:rsid w:val="003F068B"/>
    <w:rsid w:val="003F4FE5"/>
    <w:rsid w:val="00400F85"/>
    <w:rsid w:val="004028CB"/>
    <w:rsid w:val="0040320E"/>
    <w:rsid w:val="00406313"/>
    <w:rsid w:val="0041034B"/>
    <w:rsid w:val="0041181E"/>
    <w:rsid w:val="0041574A"/>
    <w:rsid w:val="00477579"/>
    <w:rsid w:val="00477897"/>
    <w:rsid w:val="00493ACB"/>
    <w:rsid w:val="004955F5"/>
    <w:rsid w:val="004A1381"/>
    <w:rsid w:val="004A15D8"/>
    <w:rsid w:val="004B151B"/>
    <w:rsid w:val="004D118B"/>
    <w:rsid w:val="004D3DC5"/>
    <w:rsid w:val="004D4078"/>
    <w:rsid w:val="004D4129"/>
    <w:rsid w:val="004F2BDF"/>
    <w:rsid w:val="004F321C"/>
    <w:rsid w:val="004F4476"/>
    <w:rsid w:val="004F46B9"/>
    <w:rsid w:val="00510664"/>
    <w:rsid w:val="00511635"/>
    <w:rsid w:val="00511937"/>
    <w:rsid w:val="00512FDB"/>
    <w:rsid w:val="005138C6"/>
    <w:rsid w:val="00526254"/>
    <w:rsid w:val="00527B36"/>
    <w:rsid w:val="0053033E"/>
    <w:rsid w:val="0054156D"/>
    <w:rsid w:val="00545578"/>
    <w:rsid w:val="00562DC6"/>
    <w:rsid w:val="0056473B"/>
    <w:rsid w:val="00574345"/>
    <w:rsid w:val="00576196"/>
    <w:rsid w:val="00583CD4"/>
    <w:rsid w:val="00593155"/>
    <w:rsid w:val="0059583A"/>
    <w:rsid w:val="00596B87"/>
    <w:rsid w:val="005A2E72"/>
    <w:rsid w:val="005C3E1E"/>
    <w:rsid w:val="005D1CDD"/>
    <w:rsid w:val="005D7B06"/>
    <w:rsid w:val="005E72EC"/>
    <w:rsid w:val="005F091A"/>
    <w:rsid w:val="005F45C2"/>
    <w:rsid w:val="005F7508"/>
    <w:rsid w:val="00613A4B"/>
    <w:rsid w:val="0063707C"/>
    <w:rsid w:val="00646CF6"/>
    <w:rsid w:val="00650509"/>
    <w:rsid w:val="006548FB"/>
    <w:rsid w:val="00660423"/>
    <w:rsid w:val="0066384D"/>
    <w:rsid w:val="00672701"/>
    <w:rsid w:val="00673B3F"/>
    <w:rsid w:val="00681561"/>
    <w:rsid w:val="00691482"/>
    <w:rsid w:val="0069389D"/>
    <w:rsid w:val="006B05D3"/>
    <w:rsid w:val="006B6B90"/>
    <w:rsid w:val="006D226A"/>
    <w:rsid w:val="006F461E"/>
    <w:rsid w:val="006F7C71"/>
    <w:rsid w:val="007152AF"/>
    <w:rsid w:val="00720F90"/>
    <w:rsid w:val="0072129F"/>
    <w:rsid w:val="00721D0F"/>
    <w:rsid w:val="007307B9"/>
    <w:rsid w:val="007352E4"/>
    <w:rsid w:val="00740BC3"/>
    <w:rsid w:val="00740EEA"/>
    <w:rsid w:val="0074656B"/>
    <w:rsid w:val="0076074B"/>
    <w:rsid w:val="00764B2E"/>
    <w:rsid w:val="00775ECB"/>
    <w:rsid w:val="00776518"/>
    <w:rsid w:val="00793698"/>
    <w:rsid w:val="00794201"/>
    <w:rsid w:val="00796C51"/>
    <w:rsid w:val="007A0D54"/>
    <w:rsid w:val="007B6EE5"/>
    <w:rsid w:val="007C57AD"/>
    <w:rsid w:val="007D1F43"/>
    <w:rsid w:val="007D5A25"/>
    <w:rsid w:val="007E1139"/>
    <w:rsid w:val="007E2401"/>
    <w:rsid w:val="007E6469"/>
    <w:rsid w:val="008041EF"/>
    <w:rsid w:val="00814C95"/>
    <w:rsid w:val="008269B0"/>
    <w:rsid w:val="008425CC"/>
    <w:rsid w:val="0084583D"/>
    <w:rsid w:val="00845F91"/>
    <w:rsid w:val="00857FD7"/>
    <w:rsid w:val="0086179F"/>
    <w:rsid w:val="00861862"/>
    <w:rsid w:val="008650C0"/>
    <w:rsid w:val="00880317"/>
    <w:rsid w:val="0088498D"/>
    <w:rsid w:val="00887AAF"/>
    <w:rsid w:val="0089064E"/>
    <w:rsid w:val="008A195B"/>
    <w:rsid w:val="008A7E88"/>
    <w:rsid w:val="008A7FD3"/>
    <w:rsid w:val="008D4792"/>
    <w:rsid w:val="008E2CB5"/>
    <w:rsid w:val="008E6C14"/>
    <w:rsid w:val="008E707C"/>
    <w:rsid w:val="008F051F"/>
    <w:rsid w:val="008F35CB"/>
    <w:rsid w:val="008F7A49"/>
    <w:rsid w:val="009060DD"/>
    <w:rsid w:val="00907D16"/>
    <w:rsid w:val="009146F7"/>
    <w:rsid w:val="009248B5"/>
    <w:rsid w:val="00927A2B"/>
    <w:rsid w:val="009303F6"/>
    <w:rsid w:val="00931997"/>
    <w:rsid w:val="009346B0"/>
    <w:rsid w:val="00941ADE"/>
    <w:rsid w:val="0095623D"/>
    <w:rsid w:val="00965010"/>
    <w:rsid w:val="00972CB4"/>
    <w:rsid w:val="0097351C"/>
    <w:rsid w:val="00974FA2"/>
    <w:rsid w:val="00981287"/>
    <w:rsid w:val="009839D5"/>
    <w:rsid w:val="009848B1"/>
    <w:rsid w:val="0099239E"/>
    <w:rsid w:val="00997C1D"/>
    <w:rsid w:val="009A2D73"/>
    <w:rsid w:val="009B57D5"/>
    <w:rsid w:val="009C2441"/>
    <w:rsid w:val="009D27C3"/>
    <w:rsid w:val="009D293D"/>
    <w:rsid w:val="009E4C77"/>
    <w:rsid w:val="009F3E5B"/>
    <w:rsid w:val="00A05FC6"/>
    <w:rsid w:val="00A07F1C"/>
    <w:rsid w:val="00A109AC"/>
    <w:rsid w:val="00A1211C"/>
    <w:rsid w:val="00A12348"/>
    <w:rsid w:val="00A148B9"/>
    <w:rsid w:val="00A16767"/>
    <w:rsid w:val="00A2710C"/>
    <w:rsid w:val="00A40C76"/>
    <w:rsid w:val="00A47191"/>
    <w:rsid w:val="00A52F72"/>
    <w:rsid w:val="00A55EC7"/>
    <w:rsid w:val="00A57C86"/>
    <w:rsid w:val="00A62781"/>
    <w:rsid w:val="00A66EBF"/>
    <w:rsid w:val="00A763AD"/>
    <w:rsid w:val="00A82067"/>
    <w:rsid w:val="00A944E7"/>
    <w:rsid w:val="00AA119C"/>
    <w:rsid w:val="00AA520A"/>
    <w:rsid w:val="00AA77E1"/>
    <w:rsid w:val="00AB503C"/>
    <w:rsid w:val="00AC28A4"/>
    <w:rsid w:val="00AE0559"/>
    <w:rsid w:val="00AE27BA"/>
    <w:rsid w:val="00B01318"/>
    <w:rsid w:val="00B12E7C"/>
    <w:rsid w:val="00B213D2"/>
    <w:rsid w:val="00B30704"/>
    <w:rsid w:val="00B308F2"/>
    <w:rsid w:val="00B35D16"/>
    <w:rsid w:val="00B4273A"/>
    <w:rsid w:val="00B55C3F"/>
    <w:rsid w:val="00B63D60"/>
    <w:rsid w:val="00B729CA"/>
    <w:rsid w:val="00B74C37"/>
    <w:rsid w:val="00B76C6E"/>
    <w:rsid w:val="00B76FB3"/>
    <w:rsid w:val="00B87D46"/>
    <w:rsid w:val="00B91AAD"/>
    <w:rsid w:val="00B94908"/>
    <w:rsid w:val="00B9539C"/>
    <w:rsid w:val="00BA0042"/>
    <w:rsid w:val="00BA71D0"/>
    <w:rsid w:val="00BB2E94"/>
    <w:rsid w:val="00BB54DF"/>
    <w:rsid w:val="00BC4823"/>
    <w:rsid w:val="00BC6DB4"/>
    <w:rsid w:val="00BC7101"/>
    <w:rsid w:val="00BD4E62"/>
    <w:rsid w:val="00BE0E9C"/>
    <w:rsid w:val="00BE2F5F"/>
    <w:rsid w:val="00BF2270"/>
    <w:rsid w:val="00C03906"/>
    <w:rsid w:val="00C057B3"/>
    <w:rsid w:val="00C2796A"/>
    <w:rsid w:val="00C3410F"/>
    <w:rsid w:val="00C44454"/>
    <w:rsid w:val="00C57F1E"/>
    <w:rsid w:val="00C636C8"/>
    <w:rsid w:val="00C644E6"/>
    <w:rsid w:val="00C851FE"/>
    <w:rsid w:val="00C960BF"/>
    <w:rsid w:val="00CA0ECF"/>
    <w:rsid w:val="00CB1587"/>
    <w:rsid w:val="00CC0C1D"/>
    <w:rsid w:val="00CC54FF"/>
    <w:rsid w:val="00CE2C01"/>
    <w:rsid w:val="00CF5D19"/>
    <w:rsid w:val="00CF76CC"/>
    <w:rsid w:val="00D02C4F"/>
    <w:rsid w:val="00D37457"/>
    <w:rsid w:val="00D40151"/>
    <w:rsid w:val="00D45BE6"/>
    <w:rsid w:val="00D51297"/>
    <w:rsid w:val="00D607AA"/>
    <w:rsid w:val="00D65973"/>
    <w:rsid w:val="00D87E5B"/>
    <w:rsid w:val="00D90C44"/>
    <w:rsid w:val="00D97322"/>
    <w:rsid w:val="00DB3BCD"/>
    <w:rsid w:val="00DC3B63"/>
    <w:rsid w:val="00DC3C5B"/>
    <w:rsid w:val="00DC6855"/>
    <w:rsid w:val="00DC6FCE"/>
    <w:rsid w:val="00DD1A30"/>
    <w:rsid w:val="00DD29F8"/>
    <w:rsid w:val="00DE1553"/>
    <w:rsid w:val="00DE247F"/>
    <w:rsid w:val="00DE4FA4"/>
    <w:rsid w:val="00DE5B3A"/>
    <w:rsid w:val="00DF433E"/>
    <w:rsid w:val="00E03998"/>
    <w:rsid w:val="00E30D46"/>
    <w:rsid w:val="00E41D74"/>
    <w:rsid w:val="00E53EB9"/>
    <w:rsid w:val="00E627AA"/>
    <w:rsid w:val="00E67902"/>
    <w:rsid w:val="00E82DC7"/>
    <w:rsid w:val="00E85923"/>
    <w:rsid w:val="00E87445"/>
    <w:rsid w:val="00E97451"/>
    <w:rsid w:val="00E97E33"/>
    <w:rsid w:val="00EA2DB3"/>
    <w:rsid w:val="00EB1333"/>
    <w:rsid w:val="00EB1AE9"/>
    <w:rsid w:val="00EB7FA3"/>
    <w:rsid w:val="00EC2078"/>
    <w:rsid w:val="00EE4267"/>
    <w:rsid w:val="00EE59C1"/>
    <w:rsid w:val="00EE6FCD"/>
    <w:rsid w:val="00EE72A0"/>
    <w:rsid w:val="00EF3203"/>
    <w:rsid w:val="00EF74D1"/>
    <w:rsid w:val="00EF7D17"/>
    <w:rsid w:val="00F103D7"/>
    <w:rsid w:val="00F124B7"/>
    <w:rsid w:val="00F36B6D"/>
    <w:rsid w:val="00F40EF1"/>
    <w:rsid w:val="00F42534"/>
    <w:rsid w:val="00F5431F"/>
    <w:rsid w:val="00F5587F"/>
    <w:rsid w:val="00F706AE"/>
    <w:rsid w:val="00F71AAC"/>
    <w:rsid w:val="00F766B0"/>
    <w:rsid w:val="00F76F37"/>
    <w:rsid w:val="00F81305"/>
    <w:rsid w:val="00F85B85"/>
    <w:rsid w:val="00F8712B"/>
    <w:rsid w:val="00F90567"/>
    <w:rsid w:val="00F93C3D"/>
    <w:rsid w:val="00F940E2"/>
    <w:rsid w:val="00F94B37"/>
    <w:rsid w:val="00F9500A"/>
    <w:rsid w:val="00FA142A"/>
    <w:rsid w:val="00FA2639"/>
    <w:rsid w:val="00FB15B5"/>
    <w:rsid w:val="00FB568C"/>
    <w:rsid w:val="00FB5DA2"/>
    <w:rsid w:val="00FB6E30"/>
    <w:rsid w:val="00FB746F"/>
    <w:rsid w:val="00FB798E"/>
    <w:rsid w:val="00FC167E"/>
    <w:rsid w:val="00FC3CF1"/>
    <w:rsid w:val="00FC4E89"/>
    <w:rsid w:val="00FD48EC"/>
    <w:rsid w:val="00FD597E"/>
    <w:rsid w:val="00FE1E5D"/>
    <w:rsid w:val="00FF0842"/>
    <w:rsid w:val="00FF09D2"/>
    <w:rsid w:val="00FF3575"/>
    <w:rsid w:val="010B2CF7"/>
    <w:rsid w:val="012D7206"/>
    <w:rsid w:val="01346C16"/>
    <w:rsid w:val="01366F5A"/>
    <w:rsid w:val="01646BA2"/>
    <w:rsid w:val="0179686A"/>
    <w:rsid w:val="01905E6D"/>
    <w:rsid w:val="01AC357F"/>
    <w:rsid w:val="01BC54F2"/>
    <w:rsid w:val="01BD2297"/>
    <w:rsid w:val="01DE222D"/>
    <w:rsid w:val="021C161C"/>
    <w:rsid w:val="023F1125"/>
    <w:rsid w:val="026658F4"/>
    <w:rsid w:val="027235CB"/>
    <w:rsid w:val="029206B5"/>
    <w:rsid w:val="029663E8"/>
    <w:rsid w:val="029E359C"/>
    <w:rsid w:val="02B43686"/>
    <w:rsid w:val="02BB7351"/>
    <w:rsid w:val="030C7705"/>
    <w:rsid w:val="03177296"/>
    <w:rsid w:val="03243015"/>
    <w:rsid w:val="03467BF3"/>
    <w:rsid w:val="035B4A81"/>
    <w:rsid w:val="038831C3"/>
    <w:rsid w:val="038E5723"/>
    <w:rsid w:val="039E00D3"/>
    <w:rsid w:val="03C4296D"/>
    <w:rsid w:val="03CF2984"/>
    <w:rsid w:val="03E479CA"/>
    <w:rsid w:val="0403179B"/>
    <w:rsid w:val="041E40BB"/>
    <w:rsid w:val="045A31BA"/>
    <w:rsid w:val="04804575"/>
    <w:rsid w:val="04893DEF"/>
    <w:rsid w:val="04944DB1"/>
    <w:rsid w:val="049D7C8F"/>
    <w:rsid w:val="04A24336"/>
    <w:rsid w:val="04A913BD"/>
    <w:rsid w:val="04BB27D7"/>
    <w:rsid w:val="04C7004F"/>
    <w:rsid w:val="04CC210A"/>
    <w:rsid w:val="050447FF"/>
    <w:rsid w:val="052300FB"/>
    <w:rsid w:val="05332C5E"/>
    <w:rsid w:val="055038E3"/>
    <w:rsid w:val="055646DF"/>
    <w:rsid w:val="056753AA"/>
    <w:rsid w:val="05865EA4"/>
    <w:rsid w:val="05924135"/>
    <w:rsid w:val="059D0F45"/>
    <w:rsid w:val="05B5331F"/>
    <w:rsid w:val="05CF7B99"/>
    <w:rsid w:val="05D82C0C"/>
    <w:rsid w:val="05DB1689"/>
    <w:rsid w:val="05DD3356"/>
    <w:rsid w:val="05E40333"/>
    <w:rsid w:val="05F12109"/>
    <w:rsid w:val="06063987"/>
    <w:rsid w:val="065471D0"/>
    <w:rsid w:val="065710DE"/>
    <w:rsid w:val="067830E7"/>
    <w:rsid w:val="06910540"/>
    <w:rsid w:val="06A17480"/>
    <w:rsid w:val="06A23639"/>
    <w:rsid w:val="06A4615B"/>
    <w:rsid w:val="06A82CFD"/>
    <w:rsid w:val="06A96657"/>
    <w:rsid w:val="06B02BE1"/>
    <w:rsid w:val="06B33ABB"/>
    <w:rsid w:val="06D951E7"/>
    <w:rsid w:val="06DC5A21"/>
    <w:rsid w:val="06EC31E2"/>
    <w:rsid w:val="06FD002A"/>
    <w:rsid w:val="06FF380D"/>
    <w:rsid w:val="0705462E"/>
    <w:rsid w:val="071419C0"/>
    <w:rsid w:val="0716681D"/>
    <w:rsid w:val="072340DB"/>
    <w:rsid w:val="075642C2"/>
    <w:rsid w:val="075E172A"/>
    <w:rsid w:val="07763016"/>
    <w:rsid w:val="07771DE7"/>
    <w:rsid w:val="07B9749C"/>
    <w:rsid w:val="07BC5562"/>
    <w:rsid w:val="07CE2B1C"/>
    <w:rsid w:val="07CE57DE"/>
    <w:rsid w:val="07E42656"/>
    <w:rsid w:val="07F83DBA"/>
    <w:rsid w:val="08034CF3"/>
    <w:rsid w:val="08166575"/>
    <w:rsid w:val="081A023B"/>
    <w:rsid w:val="081D12E5"/>
    <w:rsid w:val="08361F45"/>
    <w:rsid w:val="08430D59"/>
    <w:rsid w:val="084A55FD"/>
    <w:rsid w:val="0866140A"/>
    <w:rsid w:val="0896753B"/>
    <w:rsid w:val="08A05FBB"/>
    <w:rsid w:val="08A11FDB"/>
    <w:rsid w:val="08A201CD"/>
    <w:rsid w:val="08B82F3F"/>
    <w:rsid w:val="08C62C7E"/>
    <w:rsid w:val="08D66FDC"/>
    <w:rsid w:val="08ED2533"/>
    <w:rsid w:val="091E762A"/>
    <w:rsid w:val="093F4F86"/>
    <w:rsid w:val="094047A5"/>
    <w:rsid w:val="094E3FFA"/>
    <w:rsid w:val="09604993"/>
    <w:rsid w:val="096269D5"/>
    <w:rsid w:val="0964586D"/>
    <w:rsid w:val="09702293"/>
    <w:rsid w:val="097308AA"/>
    <w:rsid w:val="09803CCF"/>
    <w:rsid w:val="09861276"/>
    <w:rsid w:val="099A3D69"/>
    <w:rsid w:val="09A1572C"/>
    <w:rsid w:val="09AB2582"/>
    <w:rsid w:val="09BD5E91"/>
    <w:rsid w:val="09D00125"/>
    <w:rsid w:val="09D41248"/>
    <w:rsid w:val="09E976D4"/>
    <w:rsid w:val="09ED0895"/>
    <w:rsid w:val="09F97FD2"/>
    <w:rsid w:val="0A0F59DF"/>
    <w:rsid w:val="0A1A5051"/>
    <w:rsid w:val="0A266CDC"/>
    <w:rsid w:val="0A37518E"/>
    <w:rsid w:val="0A454591"/>
    <w:rsid w:val="0A495E25"/>
    <w:rsid w:val="0A575449"/>
    <w:rsid w:val="0A5B4EE6"/>
    <w:rsid w:val="0A7643B1"/>
    <w:rsid w:val="0A927958"/>
    <w:rsid w:val="0A933317"/>
    <w:rsid w:val="0AA26514"/>
    <w:rsid w:val="0AC63551"/>
    <w:rsid w:val="0AD902EB"/>
    <w:rsid w:val="0ADB5B2D"/>
    <w:rsid w:val="0AE94B63"/>
    <w:rsid w:val="0AF17A1A"/>
    <w:rsid w:val="0B1D38B3"/>
    <w:rsid w:val="0B26129C"/>
    <w:rsid w:val="0B30231F"/>
    <w:rsid w:val="0B3C01D1"/>
    <w:rsid w:val="0B4A2C11"/>
    <w:rsid w:val="0B4D11F4"/>
    <w:rsid w:val="0B5841B7"/>
    <w:rsid w:val="0B5936F5"/>
    <w:rsid w:val="0B5A3AEC"/>
    <w:rsid w:val="0B7B4F17"/>
    <w:rsid w:val="0B885EAF"/>
    <w:rsid w:val="0B9F3FA1"/>
    <w:rsid w:val="0BB821B4"/>
    <w:rsid w:val="0BC731B4"/>
    <w:rsid w:val="0BD7766D"/>
    <w:rsid w:val="0C0314D1"/>
    <w:rsid w:val="0C070274"/>
    <w:rsid w:val="0C19463C"/>
    <w:rsid w:val="0C237384"/>
    <w:rsid w:val="0C265697"/>
    <w:rsid w:val="0C382F45"/>
    <w:rsid w:val="0C38467D"/>
    <w:rsid w:val="0C5276D4"/>
    <w:rsid w:val="0C5C5B1C"/>
    <w:rsid w:val="0C6013B7"/>
    <w:rsid w:val="0C684A2C"/>
    <w:rsid w:val="0C7B0A20"/>
    <w:rsid w:val="0C8143CC"/>
    <w:rsid w:val="0C8B4268"/>
    <w:rsid w:val="0CB6226B"/>
    <w:rsid w:val="0CE605D4"/>
    <w:rsid w:val="0CED6E5B"/>
    <w:rsid w:val="0CF92412"/>
    <w:rsid w:val="0D0C7E6B"/>
    <w:rsid w:val="0D367919"/>
    <w:rsid w:val="0D491782"/>
    <w:rsid w:val="0D494D87"/>
    <w:rsid w:val="0D726CE8"/>
    <w:rsid w:val="0D745358"/>
    <w:rsid w:val="0D861852"/>
    <w:rsid w:val="0D873088"/>
    <w:rsid w:val="0D8863DD"/>
    <w:rsid w:val="0D9A5507"/>
    <w:rsid w:val="0DA574FE"/>
    <w:rsid w:val="0DC05EEC"/>
    <w:rsid w:val="0DD01003"/>
    <w:rsid w:val="0E01202E"/>
    <w:rsid w:val="0E2639D5"/>
    <w:rsid w:val="0E3B678B"/>
    <w:rsid w:val="0E4460DF"/>
    <w:rsid w:val="0E571B3D"/>
    <w:rsid w:val="0E580ACE"/>
    <w:rsid w:val="0E6E1442"/>
    <w:rsid w:val="0E706FFF"/>
    <w:rsid w:val="0E8870C6"/>
    <w:rsid w:val="0E9048D8"/>
    <w:rsid w:val="0E92352D"/>
    <w:rsid w:val="0E9A31FE"/>
    <w:rsid w:val="0EAB2F7C"/>
    <w:rsid w:val="0EE2705E"/>
    <w:rsid w:val="0EEE6434"/>
    <w:rsid w:val="0EF15988"/>
    <w:rsid w:val="0EF51310"/>
    <w:rsid w:val="0F2132BE"/>
    <w:rsid w:val="0F240422"/>
    <w:rsid w:val="0F2406D5"/>
    <w:rsid w:val="0F3B42E1"/>
    <w:rsid w:val="0F4432A7"/>
    <w:rsid w:val="0F4F5A94"/>
    <w:rsid w:val="0F5D310F"/>
    <w:rsid w:val="0F5E7ECD"/>
    <w:rsid w:val="0F6A41B5"/>
    <w:rsid w:val="0F6C7CCE"/>
    <w:rsid w:val="0F752253"/>
    <w:rsid w:val="0F77564B"/>
    <w:rsid w:val="0F7914E9"/>
    <w:rsid w:val="0F802711"/>
    <w:rsid w:val="0F807D85"/>
    <w:rsid w:val="0F977CFE"/>
    <w:rsid w:val="0F9F009E"/>
    <w:rsid w:val="0FA7033B"/>
    <w:rsid w:val="0FAF1E10"/>
    <w:rsid w:val="0FB0048B"/>
    <w:rsid w:val="0FB931A8"/>
    <w:rsid w:val="0FD2396E"/>
    <w:rsid w:val="0FD95B24"/>
    <w:rsid w:val="0FE44325"/>
    <w:rsid w:val="0FEA19D2"/>
    <w:rsid w:val="0FEB3FBE"/>
    <w:rsid w:val="0FF04F81"/>
    <w:rsid w:val="0FFC1985"/>
    <w:rsid w:val="0FFC34B3"/>
    <w:rsid w:val="100D0F93"/>
    <w:rsid w:val="102006F8"/>
    <w:rsid w:val="103674F3"/>
    <w:rsid w:val="1051778F"/>
    <w:rsid w:val="10791563"/>
    <w:rsid w:val="107E4AEE"/>
    <w:rsid w:val="108615B4"/>
    <w:rsid w:val="108E799D"/>
    <w:rsid w:val="109903A6"/>
    <w:rsid w:val="10A575B1"/>
    <w:rsid w:val="10B836AF"/>
    <w:rsid w:val="10CA74C0"/>
    <w:rsid w:val="10D663A7"/>
    <w:rsid w:val="10E753A5"/>
    <w:rsid w:val="10F13090"/>
    <w:rsid w:val="11032DAD"/>
    <w:rsid w:val="11080AC3"/>
    <w:rsid w:val="11146F28"/>
    <w:rsid w:val="111828E3"/>
    <w:rsid w:val="11195EC3"/>
    <w:rsid w:val="11546D61"/>
    <w:rsid w:val="116E5085"/>
    <w:rsid w:val="117B55CC"/>
    <w:rsid w:val="11981282"/>
    <w:rsid w:val="119E6256"/>
    <w:rsid w:val="11A81F89"/>
    <w:rsid w:val="11C70A66"/>
    <w:rsid w:val="12035436"/>
    <w:rsid w:val="120514BB"/>
    <w:rsid w:val="121140A9"/>
    <w:rsid w:val="12221EB5"/>
    <w:rsid w:val="122A4F99"/>
    <w:rsid w:val="122E3023"/>
    <w:rsid w:val="123D6E70"/>
    <w:rsid w:val="126A0226"/>
    <w:rsid w:val="1271532F"/>
    <w:rsid w:val="1281514F"/>
    <w:rsid w:val="12910DC4"/>
    <w:rsid w:val="129A314B"/>
    <w:rsid w:val="129B222A"/>
    <w:rsid w:val="12AB4AAE"/>
    <w:rsid w:val="12AB6339"/>
    <w:rsid w:val="12BC6B7E"/>
    <w:rsid w:val="12D06D5F"/>
    <w:rsid w:val="12E454BF"/>
    <w:rsid w:val="12E8564D"/>
    <w:rsid w:val="12FA21F5"/>
    <w:rsid w:val="13243E15"/>
    <w:rsid w:val="132A68CF"/>
    <w:rsid w:val="13307CB1"/>
    <w:rsid w:val="1335067E"/>
    <w:rsid w:val="13447EF2"/>
    <w:rsid w:val="134D2768"/>
    <w:rsid w:val="135701E1"/>
    <w:rsid w:val="13654C5B"/>
    <w:rsid w:val="13692356"/>
    <w:rsid w:val="13694CCA"/>
    <w:rsid w:val="136F6B6F"/>
    <w:rsid w:val="137210D2"/>
    <w:rsid w:val="13734758"/>
    <w:rsid w:val="137544CE"/>
    <w:rsid w:val="137F272B"/>
    <w:rsid w:val="13874D10"/>
    <w:rsid w:val="13AB2595"/>
    <w:rsid w:val="13B673F0"/>
    <w:rsid w:val="13C66738"/>
    <w:rsid w:val="13C82C4C"/>
    <w:rsid w:val="13CD52A4"/>
    <w:rsid w:val="13F67F8C"/>
    <w:rsid w:val="14030042"/>
    <w:rsid w:val="143F1ACC"/>
    <w:rsid w:val="146B6B99"/>
    <w:rsid w:val="146D2CEE"/>
    <w:rsid w:val="14711F82"/>
    <w:rsid w:val="1477070D"/>
    <w:rsid w:val="14875BDD"/>
    <w:rsid w:val="149D3DE4"/>
    <w:rsid w:val="14A172BC"/>
    <w:rsid w:val="14BD1B90"/>
    <w:rsid w:val="14CD39E0"/>
    <w:rsid w:val="14D32E22"/>
    <w:rsid w:val="14E76D20"/>
    <w:rsid w:val="14E9492E"/>
    <w:rsid w:val="14F74264"/>
    <w:rsid w:val="15077555"/>
    <w:rsid w:val="15393416"/>
    <w:rsid w:val="153C7B36"/>
    <w:rsid w:val="154D7E5F"/>
    <w:rsid w:val="1565725B"/>
    <w:rsid w:val="157004F5"/>
    <w:rsid w:val="15754D5F"/>
    <w:rsid w:val="15813109"/>
    <w:rsid w:val="158416A8"/>
    <w:rsid w:val="15966261"/>
    <w:rsid w:val="15C95DCE"/>
    <w:rsid w:val="15CC44A0"/>
    <w:rsid w:val="15DD08AD"/>
    <w:rsid w:val="15EE57C4"/>
    <w:rsid w:val="15F05A5F"/>
    <w:rsid w:val="15FC56C5"/>
    <w:rsid w:val="15FF4644"/>
    <w:rsid w:val="16027F88"/>
    <w:rsid w:val="161758A8"/>
    <w:rsid w:val="162C65C1"/>
    <w:rsid w:val="16301A72"/>
    <w:rsid w:val="16330F77"/>
    <w:rsid w:val="163B37E1"/>
    <w:rsid w:val="16423829"/>
    <w:rsid w:val="16717CBB"/>
    <w:rsid w:val="16865D91"/>
    <w:rsid w:val="16871312"/>
    <w:rsid w:val="16890E37"/>
    <w:rsid w:val="168F5CB5"/>
    <w:rsid w:val="16975D2B"/>
    <w:rsid w:val="169C3511"/>
    <w:rsid w:val="16A4334B"/>
    <w:rsid w:val="16AD7E3A"/>
    <w:rsid w:val="16B4730B"/>
    <w:rsid w:val="16CF6CA0"/>
    <w:rsid w:val="16E550F7"/>
    <w:rsid w:val="170106FA"/>
    <w:rsid w:val="17131701"/>
    <w:rsid w:val="171353DA"/>
    <w:rsid w:val="172E24FD"/>
    <w:rsid w:val="174A489B"/>
    <w:rsid w:val="175077FC"/>
    <w:rsid w:val="1755551B"/>
    <w:rsid w:val="175E1209"/>
    <w:rsid w:val="176A11AE"/>
    <w:rsid w:val="176A4C72"/>
    <w:rsid w:val="176F52CB"/>
    <w:rsid w:val="177D456D"/>
    <w:rsid w:val="178B2CAA"/>
    <w:rsid w:val="17A60923"/>
    <w:rsid w:val="17A65350"/>
    <w:rsid w:val="17D25B02"/>
    <w:rsid w:val="17D74CF8"/>
    <w:rsid w:val="17DA7A89"/>
    <w:rsid w:val="17E73314"/>
    <w:rsid w:val="17FB737E"/>
    <w:rsid w:val="17FE01C9"/>
    <w:rsid w:val="17FE6840"/>
    <w:rsid w:val="1805459A"/>
    <w:rsid w:val="181044A2"/>
    <w:rsid w:val="1815363E"/>
    <w:rsid w:val="182175A0"/>
    <w:rsid w:val="182978F4"/>
    <w:rsid w:val="183249C4"/>
    <w:rsid w:val="1844236B"/>
    <w:rsid w:val="1852497F"/>
    <w:rsid w:val="18545A1F"/>
    <w:rsid w:val="185C110A"/>
    <w:rsid w:val="185D1BB4"/>
    <w:rsid w:val="185E18BF"/>
    <w:rsid w:val="186916F4"/>
    <w:rsid w:val="187645AF"/>
    <w:rsid w:val="18AB0368"/>
    <w:rsid w:val="18C10629"/>
    <w:rsid w:val="18E9202B"/>
    <w:rsid w:val="19097BC8"/>
    <w:rsid w:val="191870F2"/>
    <w:rsid w:val="191A523C"/>
    <w:rsid w:val="195C2F25"/>
    <w:rsid w:val="1963725F"/>
    <w:rsid w:val="196C08C6"/>
    <w:rsid w:val="197821E3"/>
    <w:rsid w:val="19BD4308"/>
    <w:rsid w:val="19C13977"/>
    <w:rsid w:val="19D51299"/>
    <w:rsid w:val="19DB269B"/>
    <w:rsid w:val="19EF3652"/>
    <w:rsid w:val="19F80244"/>
    <w:rsid w:val="19F92759"/>
    <w:rsid w:val="1A0354A0"/>
    <w:rsid w:val="1A2354C7"/>
    <w:rsid w:val="1A290FDB"/>
    <w:rsid w:val="1A562E6A"/>
    <w:rsid w:val="1A677403"/>
    <w:rsid w:val="1A69317A"/>
    <w:rsid w:val="1A6F0E8F"/>
    <w:rsid w:val="1A844FFB"/>
    <w:rsid w:val="1A946B4A"/>
    <w:rsid w:val="1A9A11E2"/>
    <w:rsid w:val="1A9B3B5C"/>
    <w:rsid w:val="1AA601BE"/>
    <w:rsid w:val="1AA71F61"/>
    <w:rsid w:val="1AA72114"/>
    <w:rsid w:val="1AD61D2B"/>
    <w:rsid w:val="1ADA2D03"/>
    <w:rsid w:val="1AED04AC"/>
    <w:rsid w:val="1AF40941"/>
    <w:rsid w:val="1AF43516"/>
    <w:rsid w:val="1AF47ABC"/>
    <w:rsid w:val="1B0B5A71"/>
    <w:rsid w:val="1B1408FF"/>
    <w:rsid w:val="1B1900FC"/>
    <w:rsid w:val="1B356B73"/>
    <w:rsid w:val="1B3D1BF2"/>
    <w:rsid w:val="1B5E6DFB"/>
    <w:rsid w:val="1B672952"/>
    <w:rsid w:val="1B743B55"/>
    <w:rsid w:val="1BA11B30"/>
    <w:rsid w:val="1BBA20CF"/>
    <w:rsid w:val="1BBB08E9"/>
    <w:rsid w:val="1BC4190C"/>
    <w:rsid w:val="1BCA7D31"/>
    <w:rsid w:val="1BCF1520"/>
    <w:rsid w:val="1BF0578B"/>
    <w:rsid w:val="1C013433"/>
    <w:rsid w:val="1C097E10"/>
    <w:rsid w:val="1C1010F7"/>
    <w:rsid w:val="1C176584"/>
    <w:rsid w:val="1C1D2B23"/>
    <w:rsid w:val="1C2C18B2"/>
    <w:rsid w:val="1C5C6A68"/>
    <w:rsid w:val="1C6661E8"/>
    <w:rsid w:val="1C7F4EA9"/>
    <w:rsid w:val="1C831EED"/>
    <w:rsid w:val="1C885AB4"/>
    <w:rsid w:val="1C955E27"/>
    <w:rsid w:val="1CA44943"/>
    <w:rsid w:val="1CAB30F7"/>
    <w:rsid w:val="1CCB1BCF"/>
    <w:rsid w:val="1CD51BD6"/>
    <w:rsid w:val="1CD82D36"/>
    <w:rsid w:val="1CDD2640"/>
    <w:rsid w:val="1CEE4535"/>
    <w:rsid w:val="1D1D2154"/>
    <w:rsid w:val="1D2F3058"/>
    <w:rsid w:val="1D395F51"/>
    <w:rsid w:val="1DB512CC"/>
    <w:rsid w:val="1DBF456A"/>
    <w:rsid w:val="1DEF490D"/>
    <w:rsid w:val="1DF841EE"/>
    <w:rsid w:val="1E087057"/>
    <w:rsid w:val="1E146842"/>
    <w:rsid w:val="1E2058A9"/>
    <w:rsid w:val="1E2322E7"/>
    <w:rsid w:val="1E2A2A02"/>
    <w:rsid w:val="1E422F0C"/>
    <w:rsid w:val="1E4A7780"/>
    <w:rsid w:val="1E5F1B1C"/>
    <w:rsid w:val="1E6038E9"/>
    <w:rsid w:val="1E6E71D2"/>
    <w:rsid w:val="1E853387"/>
    <w:rsid w:val="1EA35DC9"/>
    <w:rsid w:val="1EAD7BEB"/>
    <w:rsid w:val="1EB47B0C"/>
    <w:rsid w:val="1EB64EA5"/>
    <w:rsid w:val="1EB82215"/>
    <w:rsid w:val="1EB91874"/>
    <w:rsid w:val="1ED20B6C"/>
    <w:rsid w:val="1EF51677"/>
    <w:rsid w:val="1F0433C5"/>
    <w:rsid w:val="1F062240"/>
    <w:rsid w:val="1F145A54"/>
    <w:rsid w:val="1F2F0DFF"/>
    <w:rsid w:val="1F382319"/>
    <w:rsid w:val="1F4118C5"/>
    <w:rsid w:val="1F51672B"/>
    <w:rsid w:val="1F900EBB"/>
    <w:rsid w:val="1FA16C00"/>
    <w:rsid w:val="1FA22FD3"/>
    <w:rsid w:val="1FC41C11"/>
    <w:rsid w:val="1FF62C1C"/>
    <w:rsid w:val="200226DD"/>
    <w:rsid w:val="200C0189"/>
    <w:rsid w:val="201E748F"/>
    <w:rsid w:val="2023676D"/>
    <w:rsid w:val="20251E68"/>
    <w:rsid w:val="20343A1A"/>
    <w:rsid w:val="20386EC5"/>
    <w:rsid w:val="20467406"/>
    <w:rsid w:val="204B332E"/>
    <w:rsid w:val="204E19D4"/>
    <w:rsid w:val="20514DBE"/>
    <w:rsid w:val="205B563F"/>
    <w:rsid w:val="207F6C42"/>
    <w:rsid w:val="208C379B"/>
    <w:rsid w:val="20A12BFB"/>
    <w:rsid w:val="20A41C0B"/>
    <w:rsid w:val="20D812D5"/>
    <w:rsid w:val="21032C66"/>
    <w:rsid w:val="2138711C"/>
    <w:rsid w:val="214A5887"/>
    <w:rsid w:val="214D3B8E"/>
    <w:rsid w:val="2168414C"/>
    <w:rsid w:val="216E23A0"/>
    <w:rsid w:val="21707D8F"/>
    <w:rsid w:val="21737F49"/>
    <w:rsid w:val="21770B8A"/>
    <w:rsid w:val="21914E54"/>
    <w:rsid w:val="21A2168E"/>
    <w:rsid w:val="21A73185"/>
    <w:rsid w:val="21B712D9"/>
    <w:rsid w:val="21D2165A"/>
    <w:rsid w:val="21DF145D"/>
    <w:rsid w:val="21F6088B"/>
    <w:rsid w:val="22060FAA"/>
    <w:rsid w:val="22083599"/>
    <w:rsid w:val="22242510"/>
    <w:rsid w:val="222471E9"/>
    <w:rsid w:val="223258E6"/>
    <w:rsid w:val="223A0F13"/>
    <w:rsid w:val="223D6872"/>
    <w:rsid w:val="224750FC"/>
    <w:rsid w:val="22484FB5"/>
    <w:rsid w:val="226E62F3"/>
    <w:rsid w:val="22706127"/>
    <w:rsid w:val="227C4648"/>
    <w:rsid w:val="227E4B8C"/>
    <w:rsid w:val="22A01E3F"/>
    <w:rsid w:val="22A50E2C"/>
    <w:rsid w:val="22AB1051"/>
    <w:rsid w:val="22C60B70"/>
    <w:rsid w:val="22D7503A"/>
    <w:rsid w:val="22FC0F1E"/>
    <w:rsid w:val="23047E16"/>
    <w:rsid w:val="23163A0D"/>
    <w:rsid w:val="23527CE3"/>
    <w:rsid w:val="235972E9"/>
    <w:rsid w:val="23853744"/>
    <w:rsid w:val="23B32D38"/>
    <w:rsid w:val="23B473D4"/>
    <w:rsid w:val="23C155C3"/>
    <w:rsid w:val="23C22A8F"/>
    <w:rsid w:val="23CE5C5F"/>
    <w:rsid w:val="23D77DFA"/>
    <w:rsid w:val="23E85CE4"/>
    <w:rsid w:val="240200A3"/>
    <w:rsid w:val="24022746"/>
    <w:rsid w:val="24235676"/>
    <w:rsid w:val="24343C8D"/>
    <w:rsid w:val="24371305"/>
    <w:rsid w:val="243F1113"/>
    <w:rsid w:val="243F3F26"/>
    <w:rsid w:val="244E336A"/>
    <w:rsid w:val="24A8601B"/>
    <w:rsid w:val="24B5090F"/>
    <w:rsid w:val="24BE1707"/>
    <w:rsid w:val="24C530F2"/>
    <w:rsid w:val="24C9515F"/>
    <w:rsid w:val="24D96403"/>
    <w:rsid w:val="24DB7592"/>
    <w:rsid w:val="24DD2547"/>
    <w:rsid w:val="24DD4F39"/>
    <w:rsid w:val="24DE41AD"/>
    <w:rsid w:val="24E74D09"/>
    <w:rsid w:val="25004705"/>
    <w:rsid w:val="25016B7B"/>
    <w:rsid w:val="253A50A3"/>
    <w:rsid w:val="255F35E8"/>
    <w:rsid w:val="256D652F"/>
    <w:rsid w:val="256E4332"/>
    <w:rsid w:val="25A1518C"/>
    <w:rsid w:val="25A43B97"/>
    <w:rsid w:val="25D31569"/>
    <w:rsid w:val="25DE137C"/>
    <w:rsid w:val="25E77387"/>
    <w:rsid w:val="25EA7DC9"/>
    <w:rsid w:val="25FC0EC1"/>
    <w:rsid w:val="25FD249E"/>
    <w:rsid w:val="25FF15E6"/>
    <w:rsid w:val="2603614E"/>
    <w:rsid w:val="260D06A9"/>
    <w:rsid w:val="262F0C42"/>
    <w:rsid w:val="263556F9"/>
    <w:rsid w:val="26806082"/>
    <w:rsid w:val="26E2545C"/>
    <w:rsid w:val="26FB78AD"/>
    <w:rsid w:val="270437AF"/>
    <w:rsid w:val="2731303F"/>
    <w:rsid w:val="277A343B"/>
    <w:rsid w:val="27823657"/>
    <w:rsid w:val="278C1FB9"/>
    <w:rsid w:val="27905D7F"/>
    <w:rsid w:val="2796561F"/>
    <w:rsid w:val="27B03DFC"/>
    <w:rsid w:val="27BE065B"/>
    <w:rsid w:val="27C060E9"/>
    <w:rsid w:val="27CB709C"/>
    <w:rsid w:val="27CE0DEE"/>
    <w:rsid w:val="27D51A88"/>
    <w:rsid w:val="27D6462E"/>
    <w:rsid w:val="27FF1828"/>
    <w:rsid w:val="28052287"/>
    <w:rsid w:val="280E40F6"/>
    <w:rsid w:val="282934ED"/>
    <w:rsid w:val="282F5C9F"/>
    <w:rsid w:val="283942C7"/>
    <w:rsid w:val="283B4D8F"/>
    <w:rsid w:val="2867755B"/>
    <w:rsid w:val="288D5B66"/>
    <w:rsid w:val="2893465A"/>
    <w:rsid w:val="28AA1D0E"/>
    <w:rsid w:val="28B1231A"/>
    <w:rsid w:val="28B67741"/>
    <w:rsid w:val="28BA589F"/>
    <w:rsid w:val="28BB7DCD"/>
    <w:rsid w:val="28D4645D"/>
    <w:rsid w:val="28E53773"/>
    <w:rsid w:val="28E63A1A"/>
    <w:rsid w:val="28E85BF8"/>
    <w:rsid w:val="29065D01"/>
    <w:rsid w:val="29180857"/>
    <w:rsid w:val="29224388"/>
    <w:rsid w:val="292C0774"/>
    <w:rsid w:val="293E6EAC"/>
    <w:rsid w:val="29425F86"/>
    <w:rsid w:val="29463FB5"/>
    <w:rsid w:val="294852DE"/>
    <w:rsid w:val="29597A19"/>
    <w:rsid w:val="296B1872"/>
    <w:rsid w:val="2970755E"/>
    <w:rsid w:val="29715538"/>
    <w:rsid w:val="29797FF2"/>
    <w:rsid w:val="299559F1"/>
    <w:rsid w:val="29993ACC"/>
    <w:rsid w:val="299D5452"/>
    <w:rsid w:val="299E258D"/>
    <w:rsid w:val="29AA46C2"/>
    <w:rsid w:val="29B82597"/>
    <w:rsid w:val="29C073CE"/>
    <w:rsid w:val="29C54BB2"/>
    <w:rsid w:val="29E32676"/>
    <w:rsid w:val="29EE11FF"/>
    <w:rsid w:val="29F3720F"/>
    <w:rsid w:val="2A0C45C7"/>
    <w:rsid w:val="2A1D0076"/>
    <w:rsid w:val="2A43710D"/>
    <w:rsid w:val="2A58220B"/>
    <w:rsid w:val="2A747DD2"/>
    <w:rsid w:val="2A8B78C5"/>
    <w:rsid w:val="2A916C7C"/>
    <w:rsid w:val="2A980CB6"/>
    <w:rsid w:val="2AB649A8"/>
    <w:rsid w:val="2ABF5FF4"/>
    <w:rsid w:val="2ADA73FF"/>
    <w:rsid w:val="2B327B66"/>
    <w:rsid w:val="2B396A8A"/>
    <w:rsid w:val="2B3B39D3"/>
    <w:rsid w:val="2B4E69FE"/>
    <w:rsid w:val="2B7F2957"/>
    <w:rsid w:val="2B8A7A2E"/>
    <w:rsid w:val="2B9A43D2"/>
    <w:rsid w:val="2BA32F91"/>
    <w:rsid w:val="2BA47BA7"/>
    <w:rsid w:val="2BB21332"/>
    <w:rsid w:val="2BB24D09"/>
    <w:rsid w:val="2BBA7ABE"/>
    <w:rsid w:val="2BE27DFF"/>
    <w:rsid w:val="2BE63B20"/>
    <w:rsid w:val="2C0044AB"/>
    <w:rsid w:val="2C0278B3"/>
    <w:rsid w:val="2C182DF7"/>
    <w:rsid w:val="2C3D654D"/>
    <w:rsid w:val="2C4C7417"/>
    <w:rsid w:val="2C6905DB"/>
    <w:rsid w:val="2C764A5E"/>
    <w:rsid w:val="2C886F41"/>
    <w:rsid w:val="2C887586"/>
    <w:rsid w:val="2CA66EF4"/>
    <w:rsid w:val="2CB7122D"/>
    <w:rsid w:val="2CB77908"/>
    <w:rsid w:val="2CD03041"/>
    <w:rsid w:val="2CE755C4"/>
    <w:rsid w:val="2D0F358A"/>
    <w:rsid w:val="2D364E32"/>
    <w:rsid w:val="2D3A7AC3"/>
    <w:rsid w:val="2D3D2704"/>
    <w:rsid w:val="2D4953C2"/>
    <w:rsid w:val="2D5C1B0C"/>
    <w:rsid w:val="2D604F1C"/>
    <w:rsid w:val="2D886C60"/>
    <w:rsid w:val="2DB47AEA"/>
    <w:rsid w:val="2DC84736"/>
    <w:rsid w:val="2DD703F5"/>
    <w:rsid w:val="2DE016B7"/>
    <w:rsid w:val="2DF80495"/>
    <w:rsid w:val="2E17443A"/>
    <w:rsid w:val="2E1C6EA4"/>
    <w:rsid w:val="2E1E51C4"/>
    <w:rsid w:val="2E1F3396"/>
    <w:rsid w:val="2E464FCB"/>
    <w:rsid w:val="2E685A2F"/>
    <w:rsid w:val="2E735DCF"/>
    <w:rsid w:val="2E7509F5"/>
    <w:rsid w:val="2E9A6CD9"/>
    <w:rsid w:val="2EAA7664"/>
    <w:rsid w:val="2EC14A7F"/>
    <w:rsid w:val="2ECF609F"/>
    <w:rsid w:val="2EE84474"/>
    <w:rsid w:val="2EED1B9D"/>
    <w:rsid w:val="2F115B26"/>
    <w:rsid w:val="2F164A24"/>
    <w:rsid w:val="2F2450D2"/>
    <w:rsid w:val="2F325CA8"/>
    <w:rsid w:val="2F4F6533"/>
    <w:rsid w:val="2F55756F"/>
    <w:rsid w:val="2F6855DF"/>
    <w:rsid w:val="2F841F93"/>
    <w:rsid w:val="2F847E9C"/>
    <w:rsid w:val="2F95421A"/>
    <w:rsid w:val="2FA46262"/>
    <w:rsid w:val="2FA77E91"/>
    <w:rsid w:val="2FBB6A2F"/>
    <w:rsid w:val="2FE170F9"/>
    <w:rsid w:val="2FFA4B5F"/>
    <w:rsid w:val="30260B59"/>
    <w:rsid w:val="302C66EC"/>
    <w:rsid w:val="30300B31"/>
    <w:rsid w:val="30314BAF"/>
    <w:rsid w:val="304C576D"/>
    <w:rsid w:val="306000BF"/>
    <w:rsid w:val="30A0606C"/>
    <w:rsid w:val="30AE61A2"/>
    <w:rsid w:val="30B07F97"/>
    <w:rsid w:val="30C335BC"/>
    <w:rsid w:val="30C37850"/>
    <w:rsid w:val="30C623A9"/>
    <w:rsid w:val="30DE4435"/>
    <w:rsid w:val="30EA1412"/>
    <w:rsid w:val="30FB0B30"/>
    <w:rsid w:val="31005988"/>
    <w:rsid w:val="31102556"/>
    <w:rsid w:val="31164285"/>
    <w:rsid w:val="3121144C"/>
    <w:rsid w:val="314269CE"/>
    <w:rsid w:val="31654EA2"/>
    <w:rsid w:val="317367E1"/>
    <w:rsid w:val="31774FCE"/>
    <w:rsid w:val="3186339A"/>
    <w:rsid w:val="31AE4C6D"/>
    <w:rsid w:val="31B12DDD"/>
    <w:rsid w:val="31DC0B12"/>
    <w:rsid w:val="320978A9"/>
    <w:rsid w:val="320F2BB4"/>
    <w:rsid w:val="32323AD4"/>
    <w:rsid w:val="32514692"/>
    <w:rsid w:val="32770A67"/>
    <w:rsid w:val="327D4229"/>
    <w:rsid w:val="329B6ADE"/>
    <w:rsid w:val="32B62A19"/>
    <w:rsid w:val="32B82AD6"/>
    <w:rsid w:val="32BC5983"/>
    <w:rsid w:val="32BF56DB"/>
    <w:rsid w:val="32CE503E"/>
    <w:rsid w:val="32D368BC"/>
    <w:rsid w:val="32FB6EBC"/>
    <w:rsid w:val="32FE7B63"/>
    <w:rsid w:val="32FF2D38"/>
    <w:rsid w:val="332867B1"/>
    <w:rsid w:val="33561462"/>
    <w:rsid w:val="335A0BF3"/>
    <w:rsid w:val="337053B1"/>
    <w:rsid w:val="338D47C9"/>
    <w:rsid w:val="33A33409"/>
    <w:rsid w:val="33B434AB"/>
    <w:rsid w:val="33B95F94"/>
    <w:rsid w:val="33C475D3"/>
    <w:rsid w:val="33D17903"/>
    <w:rsid w:val="33EE5CC4"/>
    <w:rsid w:val="33EE604E"/>
    <w:rsid w:val="33F73E1E"/>
    <w:rsid w:val="342652C5"/>
    <w:rsid w:val="344148A7"/>
    <w:rsid w:val="34464223"/>
    <w:rsid w:val="344E5438"/>
    <w:rsid w:val="34573080"/>
    <w:rsid w:val="34A057FD"/>
    <w:rsid w:val="34BC1736"/>
    <w:rsid w:val="34BD645E"/>
    <w:rsid w:val="34D24425"/>
    <w:rsid w:val="34ED180B"/>
    <w:rsid w:val="34F20D3F"/>
    <w:rsid w:val="350833A3"/>
    <w:rsid w:val="35096E30"/>
    <w:rsid w:val="35112B14"/>
    <w:rsid w:val="3519452F"/>
    <w:rsid w:val="352E1A85"/>
    <w:rsid w:val="355D5347"/>
    <w:rsid w:val="35616366"/>
    <w:rsid w:val="35673C5D"/>
    <w:rsid w:val="357B0CC6"/>
    <w:rsid w:val="358B3FBD"/>
    <w:rsid w:val="35A03B8B"/>
    <w:rsid w:val="35BE5CDE"/>
    <w:rsid w:val="35C01403"/>
    <w:rsid w:val="35E91777"/>
    <w:rsid w:val="35EE3531"/>
    <w:rsid w:val="35F56AE6"/>
    <w:rsid w:val="360A600E"/>
    <w:rsid w:val="360F4455"/>
    <w:rsid w:val="3628515A"/>
    <w:rsid w:val="362C6632"/>
    <w:rsid w:val="36376823"/>
    <w:rsid w:val="364C1D7F"/>
    <w:rsid w:val="364E57C0"/>
    <w:rsid w:val="36530669"/>
    <w:rsid w:val="365845AD"/>
    <w:rsid w:val="366F42AC"/>
    <w:rsid w:val="369D5283"/>
    <w:rsid w:val="36C917B9"/>
    <w:rsid w:val="36D1326E"/>
    <w:rsid w:val="36D43066"/>
    <w:rsid w:val="36D5608F"/>
    <w:rsid w:val="36D60D69"/>
    <w:rsid w:val="36D962FD"/>
    <w:rsid w:val="370444AA"/>
    <w:rsid w:val="37161203"/>
    <w:rsid w:val="37196F16"/>
    <w:rsid w:val="372A2DB2"/>
    <w:rsid w:val="37503FE0"/>
    <w:rsid w:val="375C7DA1"/>
    <w:rsid w:val="37784AF5"/>
    <w:rsid w:val="377C4969"/>
    <w:rsid w:val="37843097"/>
    <w:rsid w:val="37AD0DE0"/>
    <w:rsid w:val="37CF3C29"/>
    <w:rsid w:val="37D85F27"/>
    <w:rsid w:val="37DA509A"/>
    <w:rsid w:val="37F902A0"/>
    <w:rsid w:val="37F91CDF"/>
    <w:rsid w:val="3810313A"/>
    <w:rsid w:val="382E6753"/>
    <w:rsid w:val="38364243"/>
    <w:rsid w:val="3877127E"/>
    <w:rsid w:val="387B63EE"/>
    <w:rsid w:val="38811E4D"/>
    <w:rsid w:val="38905DD9"/>
    <w:rsid w:val="389822AF"/>
    <w:rsid w:val="389963F5"/>
    <w:rsid w:val="389C631F"/>
    <w:rsid w:val="38A667B1"/>
    <w:rsid w:val="38BC1DCB"/>
    <w:rsid w:val="38C30006"/>
    <w:rsid w:val="38DB71CC"/>
    <w:rsid w:val="38E156B4"/>
    <w:rsid w:val="38E41276"/>
    <w:rsid w:val="38E92A18"/>
    <w:rsid w:val="38FB6AE9"/>
    <w:rsid w:val="39027326"/>
    <w:rsid w:val="39085790"/>
    <w:rsid w:val="392E0A31"/>
    <w:rsid w:val="39385078"/>
    <w:rsid w:val="395C038C"/>
    <w:rsid w:val="396512F5"/>
    <w:rsid w:val="396B5211"/>
    <w:rsid w:val="397E1975"/>
    <w:rsid w:val="398C7714"/>
    <w:rsid w:val="399021C9"/>
    <w:rsid w:val="39A9056A"/>
    <w:rsid w:val="39AB7161"/>
    <w:rsid w:val="39C51C04"/>
    <w:rsid w:val="39C77F53"/>
    <w:rsid w:val="39D27C18"/>
    <w:rsid w:val="39D343E7"/>
    <w:rsid w:val="39D96BFD"/>
    <w:rsid w:val="39E250DF"/>
    <w:rsid w:val="39EF7418"/>
    <w:rsid w:val="39F167F8"/>
    <w:rsid w:val="3A05073F"/>
    <w:rsid w:val="3A3C4B9C"/>
    <w:rsid w:val="3A453D86"/>
    <w:rsid w:val="3A4E66AB"/>
    <w:rsid w:val="3A5F1B3E"/>
    <w:rsid w:val="3AAE230E"/>
    <w:rsid w:val="3AB20AEB"/>
    <w:rsid w:val="3AB406C1"/>
    <w:rsid w:val="3AC419B4"/>
    <w:rsid w:val="3AE31F2E"/>
    <w:rsid w:val="3AE91AC5"/>
    <w:rsid w:val="3AED4022"/>
    <w:rsid w:val="3AF8273A"/>
    <w:rsid w:val="3AFC2AB9"/>
    <w:rsid w:val="3AFE5003"/>
    <w:rsid w:val="3B3B3279"/>
    <w:rsid w:val="3B48375A"/>
    <w:rsid w:val="3B493FCC"/>
    <w:rsid w:val="3B652FB5"/>
    <w:rsid w:val="3B6763B7"/>
    <w:rsid w:val="3B994F1A"/>
    <w:rsid w:val="3BAA4E8B"/>
    <w:rsid w:val="3BB14C1A"/>
    <w:rsid w:val="3BB50F58"/>
    <w:rsid w:val="3BBC52F6"/>
    <w:rsid w:val="3BCE3E88"/>
    <w:rsid w:val="3BD856CE"/>
    <w:rsid w:val="3BE559A3"/>
    <w:rsid w:val="3C064E07"/>
    <w:rsid w:val="3C0B51FD"/>
    <w:rsid w:val="3C145A8D"/>
    <w:rsid w:val="3C76657D"/>
    <w:rsid w:val="3C7A2347"/>
    <w:rsid w:val="3C8275C2"/>
    <w:rsid w:val="3C9F21DD"/>
    <w:rsid w:val="3C9F63ED"/>
    <w:rsid w:val="3CB30235"/>
    <w:rsid w:val="3CCB58F4"/>
    <w:rsid w:val="3CD96AE2"/>
    <w:rsid w:val="3CFF7F71"/>
    <w:rsid w:val="3D54167C"/>
    <w:rsid w:val="3D647E6E"/>
    <w:rsid w:val="3D7976EB"/>
    <w:rsid w:val="3D7F2787"/>
    <w:rsid w:val="3D7F5F59"/>
    <w:rsid w:val="3DA63C57"/>
    <w:rsid w:val="3DAF756A"/>
    <w:rsid w:val="3DB9496D"/>
    <w:rsid w:val="3DEE1F60"/>
    <w:rsid w:val="3DF52F0C"/>
    <w:rsid w:val="3DF72D79"/>
    <w:rsid w:val="3DFC61BF"/>
    <w:rsid w:val="3E083321"/>
    <w:rsid w:val="3E254EB2"/>
    <w:rsid w:val="3E2A63AA"/>
    <w:rsid w:val="3E2B492B"/>
    <w:rsid w:val="3E3B0179"/>
    <w:rsid w:val="3E4506D0"/>
    <w:rsid w:val="3E7F64A2"/>
    <w:rsid w:val="3EA17389"/>
    <w:rsid w:val="3EAA045F"/>
    <w:rsid w:val="3EBB2877"/>
    <w:rsid w:val="3ED06711"/>
    <w:rsid w:val="3EE30551"/>
    <w:rsid w:val="3EF22512"/>
    <w:rsid w:val="3EFA2572"/>
    <w:rsid w:val="3F1719B3"/>
    <w:rsid w:val="3F1944AB"/>
    <w:rsid w:val="3F3C6E3A"/>
    <w:rsid w:val="3F623BDD"/>
    <w:rsid w:val="3F6E0423"/>
    <w:rsid w:val="3F88035C"/>
    <w:rsid w:val="3F8A300D"/>
    <w:rsid w:val="3F943649"/>
    <w:rsid w:val="3FC34DB9"/>
    <w:rsid w:val="3FC83F0E"/>
    <w:rsid w:val="3FC90E4D"/>
    <w:rsid w:val="3FF86DD9"/>
    <w:rsid w:val="40003553"/>
    <w:rsid w:val="4004755A"/>
    <w:rsid w:val="40145315"/>
    <w:rsid w:val="401C3324"/>
    <w:rsid w:val="40242A0F"/>
    <w:rsid w:val="40305C5A"/>
    <w:rsid w:val="403579D1"/>
    <w:rsid w:val="403829AB"/>
    <w:rsid w:val="40462B83"/>
    <w:rsid w:val="406334D9"/>
    <w:rsid w:val="4079313C"/>
    <w:rsid w:val="407A5FE1"/>
    <w:rsid w:val="409A7057"/>
    <w:rsid w:val="409B4F0E"/>
    <w:rsid w:val="40AA4228"/>
    <w:rsid w:val="40CD2CA1"/>
    <w:rsid w:val="40D456E0"/>
    <w:rsid w:val="40D60380"/>
    <w:rsid w:val="40EE6471"/>
    <w:rsid w:val="410D3AF5"/>
    <w:rsid w:val="41354FA5"/>
    <w:rsid w:val="413B0366"/>
    <w:rsid w:val="41521AE0"/>
    <w:rsid w:val="41C20FFF"/>
    <w:rsid w:val="41D938AB"/>
    <w:rsid w:val="41EA2D02"/>
    <w:rsid w:val="42071690"/>
    <w:rsid w:val="42155C42"/>
    <w:rsid w:val="42220BCE"/>
    <w:rsid w:val="42271623"/>
    <w:rsid w:val="423361C3"/>
    <w:rsid w:val="426B0D01"/>
    <w:rsid w:val="426C7853"/>
    <w:rsid w:val="427B0129"/>
    <w:rsid w:val="42A63B57"/>
    <w:rsid w:val="42B30FDF"/>
    <w:rsid w:val="42D01A85"/>
    <w:rsid w:val="42D2702D"/>
    <w:rsid w:val="42E3492A"/>
    <w:rsid w:val="4300031F"/>
    <w:rsid w:val="4303491B"/>
    <w:rsid w:val="431A0640"/>
    <w:rsid w:val="432A2B93"/>
    <w:rsid w:val="433C0642"/>
    <w:rsid w:val="43450C98"/>
    <w:rsid w:val="43677DFC"/>
    <w:rsid w:val="436A1C00"/>
    <w:rsid w:val="437053EB"/>
    <w:rsid w:val="43737077"/>
    <w:rsid w:val="437B1EFF"/>
    <w:rsid w:val="43802E0E"/>
    <w:rsid w:val="438609C7"/>
    <w:rsid w:val="438A243C"/>
    <w:rsid w:val="43925284"/>
    <w:rsid w:val="43A145B7"/>
    <w:rsid w:val="43C0552D"/>
    <w:rsid w:val="43E51AB1"/>
    <w:rsid w:val="44004716"/>
    <w:rsid w:val="441272B1"/>
    <w:rsid w:val="4416234D"/>
    <w:rsid w:val="44191D09"/>
    <w:rsid w:val="443B4CBE"/>
    <w:rsid w:val="443D084C"/>
    <w:rsid w:val="44A3468D"/>
    <w:rsid w:val="44D043E6"/>
    <w:rsid w:val="44F16F0B"/>
    <w:rsid w:val="44F92631"/>
    <w:rsid w:val="451A6886"/>
    <w:rsid w:val="452631B5"/>
    <w:rsid w:val="4536143D"/>
    <w:rsid w:val="453621E0"/>
    <w:rsid w:val="454E409E"/>
    <w:rsid w:val="4552720D"/>
    <w:rsid w:val="45673EDA"/>
    <w:rsid w:val="458A500D"/>
    <w:rsid w:val="458B59FD"/>
    <w:rsid w:val="459E5BCF"/>
    <w:rsid w:val="45A324B3"/>
    <w:rsid w:val="45AA7559"/>
    <w:rsid w:val="45B7394B"/>
    <w:rsid w:val="45C105AD"/>
    <w:rsid w:val="45C96B4D"/>
    <w:rsid w:val="45CE251E"/>
    <w:rsid w:val="45D55DF6"/>
    <w:rsid w:val="45F836BF"/>
    <w:rsid w:val="460A1647"/>
    <w:rsid w:val="461E3CB8"/>
    <w:rsid w:val="46224393"/>
    <w:rsid w:val="46276BCD"/>
    <w:rsid w:val="462814FD"/>
    <w:rsid w:val="46373E5F"/>
    <w:rsid w:val="464A2493"/>
    <w:rsid w:val="464D3F8F"/>
    <w:rsid w:val="464F7F0D"/>
    <w:rsid w:val="465A7FF8"/>
    <w:rsid w:val="46680B4A"/>
    <w:rsid w:val="46A26CEC"/>
    <w:rsid w:val="46D14612"/>
    <w:rsid w:val="46E00291"/>
    <w:rsid w:val="46EF50D1"/>
    <w:rsid w:val="46F44BD5"/>
    <w:rsid w:val="471574FF"/>
    <w:rsid w:val="471D388B"/>
    <w:rsid w:val="47314339"/>
    <w:rsid w:val="473E3D76"/>
    <w:rsid w:val="4750199E"/>
    <w:rsid w:val="475805B6"/>
    <w:rsid w:val="47637D92"/>
    <w:rsid w:val="47696361"/>
    <w:rsid w:val="4773285A"/>
    <w:rsid w:val="478566AD"/>
    <w:rsid w:val="47A3651B"/>
    <w:rsid w:val="47B461AE"/>
    <w:rsid w:val="47BD0ED2"/>
    <w:rsid w:val="47C25D71"/>
    <w:rsid w:val="47D0433D"/>
    <w:rsid w:val="47EE2A59"/>
    <w:rsid w:val="482C75C9"/>
    <w:rsid w:val="483458A8"/>
    <w:rsid w:val="483737C5"/>
    <w:rsid w:val="484666F2"/>
    <w:rsid w:val="48590E83"/>
    <w:rsid w:val="486811F6"/>
    <w:rsid w:val="487C305A"/>
    <w:rsid w:val="487E28E8"/>
    <w:rsid w:val="48900935"/>
    <w:rsid w:val="4893045C"/>
    <w:rsid w:val="48933394"/>
    <w:rsid w:val="48935AE4"/>
    <w:rsid w:val="48A04319"/>
    <w:rsid w:val="48B04D6C"/>
    <w:rsid w:val="48CD7352"/>
    <w:rsid w:val="48D64302"/>
    <w:rsid w:val="48DB2379"/>
    <w:rsid w:val="48FB790B"/>
    <w:rsid w:val="48FE316B"/>
    <w:rsid w:val="49251ED9"/>
    <w:rsid w:val="493272DD"/>
    <w:rsid w:val="493643A0"/>
    <w:rsid w:val="493A075E"/>
    <w:rsid w:val="493C30CA"/>
    <w:rsid w:val="493C3CF0"/>
    <w:rsid w:val="494503D6"/>
    <w:rsid w:val="494C469C"/>
    <w:rsid w:val="496C7354"/>
    <w:rsid w:val="497079E0"/>
    <w:rsid w:val="49762F9C"/>
    <w:rsid w:val="4977704D"/>
    <w:rsid w:val="49787D6E"/>
    <w:rsid w:val="497D578A"/>
    <w:rsid w:val="49814427"/>
    <w:rsid w:val="4987079F"/>
    <w:rsid w:val="498C77DF"/>
    <w:rsid w:val="49AF49A5"/>
    <w:rsid w:val="49C3791F"/>
    <w:rsid w:val="49D317B9"/>
    <w:rsid w:val="49D42C4F"/>
    <w:rsid w:val="49DE0B79"/>
    <w:rsid w:val="49E83763"/>
    <w:rsid w:val="4A074FA9"/>
    <w:rsid w:val="4A0843B9"/>
    <w:rsid w:val="4A0F55DC"/>
    <w:rsid w:val="4A4A55BD"/>
    <w:rsid w:val="4A4E32C5"/>
    <w:rsid w:val="4A575889"/>
    <w:rsid w:val="4A5E5D7B"/>
    <w:rsid w:val="4A7F1E2E"/>
    <w:rsid w:val="4A9658D5"/>
    <w:rsid w:val="4A974E78"/>
    <w:rsid w:val="4A9800B5"/>
    <w:rsid w:val="4A9D3445"/>
    <w:rsid w:val="4A9F7A00"/>
    <w:rsid w:val="4AAA0CBC"/>
    <w:rsid w:val="4AAF1AD7"/>
    <w:rsid w:val="4AD843FB"/>
    <w:rsid w:val="4AF44D06"/>
    <w:rsid w:val="4AF57978"/>
    <w:rsid w:val="4AFF407F"/>
    <w:rsid w:val="4B03415E"/>
    <w:rsid w:val="4B106E21"/>
    <w:rsid w:val="4B18799E"/>
    <w:rsid w:val="4B1E6A4E"/>
    <w:rsid w:val="4B2E0E69"/>
    <w:rsid w:val="4B305475"/>
    <w:rsid w:val="4B35034A"/>
    <w:rsid w:val="4B490E12"/>
    <w:rsid w:val="4B53139E"/>
    <w:rsid w:val="4B5F3C2A"/>
    <w:rsid w:val="4B6D6FA4"/>
    <w:rsid w:val="4B731FC1"/>
    <w:rsid w:val="4B7A5EBB"/>
    <w:rsid w:val="4B9D46BE"/>
    <w:rsid w:val="4BAE43C2"/>
    <w:rsid w:val="4BAE479E"/>
    <w:rsid w:val="4BB976D4"/>
    <w:rsid w:val="4BD4754E"/>
    <w:rsid w:val="4BD47E7F"/>
    <w:rsid w:val="4BDB4799"/>
    <w:rsid w:val="4BDF28BB"/>
    <w:rsid w:val="4BE84A1A"/>
    <w:rsid w:val="4C045B13"/>
    <w:rsid w:val="4C1F53F2"/>
    <w:rsid w:val="4C3D5593"/>
    <w:rsid w:val="4C497A2F"/>
    <w:rsid w:val="4C505165"/>
    <w:rsid w:val="4C5E30D4"/>
    <w:rsid w:val="4C5F030F"/>
    <w:rsid w:val="4C650C95"/>
    <w:rsid w:val="4C6716C9"/>
    <w:rsid w:val="4C6F08B0"/>
    <w:rsid w:val="4C734968"/>
    <w:rsid w:val="4CA83CE5"/>
    <w:rsid w:val="4CB468F9"/>
    <w:rsid w:val="4CB52D77"/>
    <w:rsid w:val="4CD61E4B"/>
    <w:rsid w:val="4CEE1BFE"/>
    <w:rsid w:val="4CF35D49"/>
    <w:rsid w:val="4D1246AB"/>
    <w:rsid w:val="4D367FC9"/>
    <w:rsid w:val="4D4C3C63"/>
    <w:rsid w:val="4D6A3B24"/>
    <w:rsid w:val="4D6C7619"/>
    <w:rsid w:val="4D6E66BD"/>
    <w:rsid w:val="4D7227E5"/>
    <w:rsid w:val="4D763C0D"/>
    <w:rsid w:val="4D846A54"/>
    <w:rsid w:val="4DAF6C83"/>
    <w:rsid w:val="4DB47041"/>
    <w:rsid w:val="4DD80843"/>
    <w:rsid w:val="4DDA5EDC"/>
    <w:rsid w:val="4DF53A6F"/>
    <w:rsid w:val="4E0B3E3B"/>
    <w:rsid w:val="4E1D70B6"/>
    <w:rsid w:val="4E411666"/>
    <w:rsid w:val="4E4D57CF"/>
    <w:rsid w:val="4E657C7B"/>
    <w:rsid w:val="4E7618D3"/>
    <w:rsid w:val="4EC944BE"/>
    <w:rsid w:val="4EF8513F"/>
    <w:rsid w:val="4F053F16"/>
    <w:rsid w:val="4F185F06"/>
    <w:rsid w:val="4F21112B"/>
    <w:rsid w:val="4F2818E7"/>
    <w:rsid w:val="4F2952A3"/>
    <w:rsid w:val="4F314CBA"/>
    <w:rsid w:val="4F33411C"/>
    <w:rsid w:val="4F3B4446"/>
    <w:rsid w:val="4F4155BD"/>
    <w:rsid w:val="4F4C6809"/>
    <w:rsid w:val="4F607E3B"/>
    <w:rsid w:val="4F646C83"/>
    <w:rsid w:val="4F985831"/>
    <w:rsid w:val="4FC123D0"/>
    <w:rsid w:val="4FD20DFB"/>
    <w:rsid w:val="500A12BA"/>
    <w:rsid w:val="5025533C"/>
    <w:rsid w:val="50385CC8"/>
    <w:rsid w:val="504453F2"/>
    <w:rsid w:val="50746EEB"/>
    <w:rsid w:val="507704AD"/>
    <w:rsid w:val="508146ED"/>
    <w:rsid w:val="509651F9"/>
    <w:rsid w:val="50A45274"/>
    <w:rsid w:val="50C74958"/>
    <w:rsid w:val="50C75144"/>
    <w:rsid w:val="50CA6764"/>
    <w:rsid w:val="50DB436F"/>
    <w:rsid w:val="50DC3C61"/>
    <w:rsid w:val="50DD0CC4"/>
    <w:rsid w:val="50DD1BE1"/>
    <w:rsid w:val="50E56155"/>
    <w:rsid w:val="50E7530D"/>
    <w:rsid w:val="51047A26"/>
    <w:rsid w:val="51053DD3"/>
    <w:rsid w:val="510B0CE6"/>
    <w:rsid w:val="510C1274"/>
    <w:rsid w:val="51137A3C"/>
    <w:rsid w:val="511D09C7"/>
    <w:rsid w:val="51336FDE"/>
    <w:rsid w:val="5147131F"/>
    <w:rsid w:val="51511B0E"/>
    <w:rsid w:val="51701376"/>
    <w:rsid w:val="51784B20"/>
    <w:rsid w:val="51870589"/>
    <w:rsid w:val="51AF7D4D"/>
    <w:rsid w:val="51B570BE"/>
    <w:rsid w:val="51CC0D0C"/>
    <w:rsid w:val="51D50510"/>
    <w:rsid w:val="51F2388B"/>
    <w:rsid w:val="522D322A"/>
    <w:rsid w:val="523E7051"/>
    <w:rsid w:val="52572F1E"/>
    <w:rsid w:val="525F3700"/>
    <w:rsid w:val="525F780E"/>
    <w:rsid w:val="526D0B20"/>
    <w:rsid w:val="528641B5"/>
    <w:rsid w:val="5288137C"/>
    <w:rsid w:val="52906D43"/>
    <w:rsid w:val="52A446B6"/>
    <w:rsid w:val="52A53634"/>
    <w:rsid w:val="52B819E9"/>
    <w:rsid w:val="52BA696F"/>
    <w:rsid w:val="52C73C79"/>
    <w:rsid w:val="52C91817"/>
    <w:rsid w:val="52D62FC1"/>
    <w:rsid w:val="52F4569F"/>
    <w:rsid w:val="53506FE7"/>
    <w:rsid w:val="53513167"/>
    <w:rsid w:val="53603976"/>
    <w:rsid w:val="53701A3F"/>
    <w:rsid w:val="537E7684"/>
    <w:rsid w:val="53880FA6"/>
    <w:rsid w:val="538A661B"/>
    <w:rsid w:val="53DC001E"/>
    <w:rsid w:val="53DE60E5"/>
    <w:rsid w:val="53EC5427"/>
    <w:rsid w:val="53FA5CB9"/>
    <w:rsid w:val="543D5BD9"/>
    <w:rsid w:val="545B4A39"/>
    <w:rsid w:val="547710F4"/>
    <w:rsid w:val="548A5BD9"/>
    <w:rsid w:val="54921BB9"/>
    <w:rsid w:val="549539F6"/>
    <w:rsid w:val="54A520B2"/>
    <w:rsid w:val="54A7770F"/>
    <w:rsid w:val="54CA3D4E"/>
    <w:rsid w:val="54DC6AB3"/>
    <w:rsid w:val="54DE3C47"/>
    <w:rsid w:val="54E31384"/>
    <w:rsid w:val="552172DA"/>
    <w:rsid w:val="552C412D"/>
    <w:rsid w:val="553008E2"/>
    <w:rsid w:val="55481ACA"/>
    <w:rsid w:val="554B6054"/>
    <w:rsid w:val="554E48D2"/>
    <w:rsid w:val="554F1B5B"/>
    <w:rsid w:val="55531A96"/>
    <w:rsid w:val="556A638C"/>
    <w:rsid w:val="557A31CC"/>
    <w:rsid w:val="55997ADF"/>
    <w:rsid w:val="55A03BB1"/>
    <w:rsid w:val="55A308BB"/>
    <w:rsid w:val="55A87AE1"/>
    <w:rsid w:val="55A95019"/>
    <w:rsid w:val="55B5514D"/>
    <w:rsid w:val="55C673E9"/>
    <w:rsid w:val="55CD6556"/>
    <w:rsid w:val="55F009EE"/>
    <w:rsid w:val="560425D7"/>
    <w:rsid w:val="5615639D"/>
    <w:rsid w:val="562825ED"/>
    <w:rsid w:val="56304DEA"/>
    <w:rsid w:val="564C711F"/>
    <w:rsid w:val="56506A27"/>
    <w:rsid w:val="5659425A"/>
    <w:rsid w:val="566A39D5"/>
    <w:rsid w:val="5673578F"/>
    <w:rsid w:val="568B42D4"/>
    <w:rsid w:val="56A03C1F"/>
    <w:rsid w:val="56B4413B"/>
    <w:rsid w:val="56E947FD"/>
    <w:rsid w:val="56EA27B7"/>
    <w:rsid w:val="56ED6B83"/>
    <w:rsid w:val="56F055D0"/>
    <w:rsid w:val="56F86D9F"/>
    <w:rsid w:val="57304BF2"/>
    <w:rsid w:val="57353F03"/>
    <w:rsid w:val="575D74EC"/>
    <w:rsid w:val="57A704A1"/>
    <w:rsid w:val="57AD5A2B"/>
    <w:rsid w:val="57AE4A7C"/>
    <w:rsid w:val="57B215E5"/>
    <w:rsid w:val="57C8758D"/>
    <w:rsid w:val="57D166A6"/>
    <w:rsid w:val="57D30192"/>
    <w:rsid w:val="582452F2"/>
    <w:rsid w:val="5837365F"/>
    <w:rsid w:val="583D5ECB"/>
    <w:rsid w:val="585801F4"/>
    <w:rsid w:val="585A124B"/>
    <w:rsid w:val="58632F69"/>
    <w:rsid w:val="58671CDB"/>
    <w:rsid w:val="586C2E44"/>
    <w:rsid w:val="587E00D6"/>
    <w:rsid w:val="5884352E"/>
    <w:rsid w:val="58904A95"/>
    <w:rsid w:val="58BE6917"/>
    <w:rsid w:val="58D50661"/>
    <w:rsid w:val="58D61A7D"/>
    <w:rsid w:val="58F03D48"/>
    <w:rsid w:val="58F22801"/>
    <w:rsid w:val="58F74800"/>
    <w:rsid w:val="59275B29"/>
    <w:rsid w:val="592D528F"/>
    <w:rsid w:val="59330CB7"/>
    <w:rsid w:val="59405831"/>
    <w:rsid w:val="59474949"/>
    <w:rsid w:val="596C6579"/>
    <w:rsid w:val="59751930"/>
    <w:rsid w:val="597D6AB1"/>
    <w:rsid w:val="5988060B"/>
    <w:rsid w:val="59921B77"/>
    <w:rsid w:val="59973DAE"/>
    <w:rsid w:val="599867B7"/>
    <w:rsid w:val="59A258CE"/>
    <w:rsid w:val="59AC1280"/>
    <w:rsid w:val="59B97F65"/>
    <w:rsid w:val="59CD56AA"/>
    <w:rsid w:val="59EB2172"/>
    <w:rsid w:val="59EB3C4D"/>
    <w:rsid w:val="59F34A02"/>
    <w:rsid w:val="59FF479D"/>
    <w:rsid w:val="5A0A071F"/>
    <w:rsid w:val="5A4717C4"/>
    <w:rsid w:val="5A506FAC"/>
    <w:rsid w:val="5A52497B"/>
    <w:rsid w:val="5A792D91"/>
    <w:rsid w:val="5A7B09EA"/>
    <w:rsid w:val="5A863762"/>
    <w:rsid w:val="5A867695"/>
    <w:rsid w:val="5A871C88"/>
    <w:rsid w:val="5A876490"/>
    <w:rsid w:val="5A981595"/>
    <w:rsid w:val="5B1249F4"/>
    <w:rsid w:val="5B137EF5"/>
    <w:rsid w:val="5B302725"/>
    <w:rsid w:val="5B39672A"/>
    <w:rsid w:val="5B400F72"/>
    <w:rsid w:val="5B4848B5"/>
    <w:rsid w:val="5B4E1572"/>
    <w:rsid w:val="5B4E7CA8"/>
    <w:rsid w:val="5B5570EB"/>
    <w:rsid w:val="5B621C5B"/>
    <w:rsid w:val="5B79096B"/>
    <w:rsid w:val="5B8F3B25"/>
    <w:rsid w:val="5B9F0EBE"/>
    <w:rsid w:val="5BB73D39"/>
    <w:rsid w:val="5BBB295C"/>
    <w:rsid w:val="5BBC0C51"/>
    <w:rsid w:val="5BD8105C"/>
    <w:rsid w:val="5BD9358D"/>
    <w:rsid w:val="5BDA0944"/>
    <w:rsid w:val="5BDA5C09"/>
    <w:rsid w:val="5BE15AF3"/>
    <w:rsid w:val="5BE47C63"/>
    <w:rsid w:val="5BEF41A4"/>
    <w:rsid w:val="5C07676C"/>
    <w:rsid w:val="5C0C415E"/>
    <w:rsid w:val="5C0F40B5"/>
    <w:rsid w:val="5C3172D2"/>
    <w:rsid w:val="5C3D1487"/>
    <w:rsid w:val="5C5E67E4"/>
    <w:rsid w:val="5C5E7B4B"/>
    <w:rsid w:val="5C860865"/>
    <w:rsid w:val="5C867903"/>
    <w:rsid w:val="5C8C2C3B"/>
    <w:rsid w:val="5CB31574"/>
    <w:rsid w:val="5CC27BBF"/>
    <w:rsid w:val="5CEB55D6"/>
    <w:rsid w:val="5CF258BF"/>
    <w:rsid w:val="5CFC342B"/>
    <w:rsid w:val="5D022C8E"/>
    <w:rsid w:val="5D0C38E3"/>
    <w:rsid w:val="5D456830"/>
    <w:rsid w:val="5D5231D5"/>
    <w:rsid w:val="5D5B4060"/>
    <w:rsid w:val="5D65115B"/>
    <w:rsid w:val="5D6D6E33"/>
    <w:rsid w:val="5D9D00E3"/>
    <w:rsid w:val="5DCF4562"/>
    <w:rsid w:val="5DDC23BF"/>
    <w:rsid w:val="5DEC37E1"/>
    <w:rsid w:val="5DF055AC"/>
    <w:rsid w:val="5DF2791A"/>
    <w:rsid w:val="5DFB28A7"/>
    <w:rsid w:val="5E2769DC"/>
    <w:rsid w:val="5E292056"/>
    <w:rsid w:val="5E454D7A"/>
    <w:rsid w:val="5E551757"/>
    <w:rsid w:val="5E614568"/>
    <w:rsid w:val="5E6C616A"/>
    <w:rsid w:val="5E77621F"/>
    <w:rsid w:val="5E862EDB"/>
    <w:rsid w:val="5E89000D"/>
    <w:rsid w:val="5E9F3915"/>
    <w:rsid w:val="5EA43BBA"/>
    <w:rsid w:val="5EB36749"/>
    <w:rsid w:val="5EBB24D4"/>
    <w:rsid w:val="5EBF00B6"/>
    <w:rsid w:val="5EC46970"/>
    <w:rsid w:val="5ED910D8"/>
    <w:rsid w:val="5EDB4949"/>
    <w:rsid w:val="5EF55993"/>
    <w:rsid w:val="5F286C15"/>
    <w:rsid w:val="5F2F2BA2"/>
    <w:rsid w:val="5F3F457F"/>
    <w:rsid w:val="5F4D128A"/>
    <w:rsid w:val="5F4E6031"/>
    <w:rsid w:val="5F61260C"/>
    <w:rsid w:val="5F6773DC"/>
    <w:rsid w:val="5F6A7498"/>
    <w:rsid w:val="5F702CC4"/>
    <w:rsid w:val="5F7D346B"/>
    <w:rsid w:val="5FAD5B82"/>
    <w:rsid w:val="5FDA28BE"/>
    <w:rsid w:val="5FE763BF"/>
    <w:rsid w:val="5FE876C4"/>
    <w:rsid w:val="5FEA1152"/>
    <w:rsid w:val="5FEA2DA3"/>
    <w:rsid w:val="5FFB068D"/>
    <w:rsid w:val="60104F9D"/>
    <w:rsid w:val="601270BB"/>
    <w:rsid w:val="602A224A"/>
    <w:rsid w:val="60300BFE"/>
    <w:rsid w:val="603B4197"/>
    <w:rsid w:val="60670D92"/>
    <w:rsid w:val="606A08CD"/>
    <w:rsid w:val="606E7A7D"/>
    <w:rsid w:val="60930C78"/>
    <w:rsid w:val="609F6EB2"/>
    <w:rsid w:val="60D775AC"/>
    <w:rsid w:val="60F1098C"/>
    <w:rsid w:val="6107529C"/>
    <w:rsid w:val="612B63D3"/>
    <w:rsid w:val="61495914"/>
    <w:rsid w:val="614E7E7E"/>
    <w:rsid w:val="615B4328"/>
    <w:rsid w:val="6166470B"/>
    <w:rsid w:val="61CE5D3E"/>
    <w:rsid w:val="61EF73F5"/>
    <w:rsid w:val="620206A4"/>
    <w:rsid w:val="62153089"/>
    <w:rsid w:val="621546ED"/>
    <w:rsid w:val="622C0193"/>
    <w:rsid w:val="622D7D5B"/>
    <w:rsid w:val="6244012C"/>
    <w:rsid w:val="624932BF"/>
    <w:rsid w:val="624E7418"/>
    <w:rsid w:val="62503B96"/>
    <w:rsid w:val="62617235"/>
    <w:rsid w:val="628F5CC0"/>
    <w:rsid w:val="62A3307C"/>
    <w:rsid w:val="62A448C6"/>
    <w:rsid w:val="62BA43FA"/>
    <w:rsid w:val="630A26FD"/>
    <w:rsid w:val="632610D7"/>
    <w:rsid w:val="63264474"/>
    <w:rsid w:val="63363964"/>
    <w:rsid w:val="633D3AAC"/>
    <w:rsid w:val="635A1C3D"/>
    <w:rsid w:val="63625681"/>
    <w:rsid w:val="63634135"/>
    <w:rsid w:val="63741491"/>
    <w:rsid w:val="63747E63"/>
    <w:rsid w:val="638374DE"/>
    <w:rsid w:val="638D3C1D"/>
    <w:rsid w:val="63984F73"/>
    <w:rsid w:val="63B27153"/>
    <w:rsid w:val="63CD1B74"/>
    <w:rsid w:val="63D813F3"/>
    <w:rsid w:val="63FE5C8E"/>
    <w:rsid w:val="64086031"/>
    <w:rsid w:val="641A7281"/>
    <w:rsid w:val="642B499C"/>
    <w:rsid w:val="642D0613"/>
    <w:rsid w:val="645C3AD1"/>
    <w:rsid w:val="64641E26"/>
    <w:rsid w:val="647F57BE"/>
    <w:rsid w:val="64856612"/>
    <w:rsid w:val="6487785E"/>
    <w:rsid w:val="649977C4"/>
    <w:rsid w:val="64AA1E5E"/>
    <w:rsid w:val="64B222B2"/>
    <w:rsid w:val="64B70DB4"/>
    <w:rsid w:val="64BC52E6"/>
    <w:rsid w:val="64C33DD2"/>
    <w:rsid w:val="64C44E9B"/>
    <w:rsid w:val="64CB0596"/>
    <w:rsid w:val="64D113D2"/>
    <w:rsid w:val="64D92F52"/>
    <w:rsid w:val="64DC5B41"/>
    <w:rsid w:val="64F32524"/>
    <w:rsid w:val="64FD6589"/>
    <w:rsid w:val="6507020C"/>
    <w:rsid w:val="65191DC3"/>
    <w:rsid w:val="652561F3"/>
    <w:rsid w:val="65591232"/>
    <w:rsid w:val="655A2F4D"/>
    <w:rsid w:val="655D6FEA"/>
    <w:rsid w:val="656C42DF"/>
    <w:rsid w:val="65735C0D"/>
    <w:rsid w:val="657C34E5"/>
    <w:rsid w:val="6586217B"/>
    <w:rsid w:val="659C031C"/>
    <w:rsid w:val="65BE6256"/>
    <w:rsid w:val="65C537E4"/>
    <w:rsid w:val="65CA151F"/>
    <w:rsid w:val="65DD3502"/>
    <w:rsid w:val="66052EF6"/>
    <w:rsid w:val="660F7305"/>
    <w:rsid w:val="6612533D"/>
    <w:rsid w:val="661758FD"/>
    <w:rsid w:val="669C1B84"/>
    <w:rsid w:val="66C24AEB"/>
    <w:rsid w:val="66D34252"/>
    <w:rsid w:val="66D67FDF"/>
    <w:rsid w:val="670B6FF8"/>
    <w:rsid w:val="6737007D"/>
    <w:rsid w:val="67574DDF"/>
    <w:rsid w:val="676F6051"/>
    <w:rsid w:val="67932341"/>
    <w:rsid w:val="679369CF"/>
    <w:rsid w:val="67A750E4"/>
    <w:rsid w:val="67AD1538"/>
    <w:rsid w:val="67B73AF1"/>
    <w:rsid w:val="67C81028"/>
    <w:rsid w:val="67CC4646"/>
    <w:rsid w:val="67DD41F7"/>
    <w:rsid w:val="67DE4B55"/>
    <w:rsid w:val="67E86779"/>
    <w:rsid w:val="67F27ECD"/>
    <w:rsid w:val="67FE1DA0"/>
    <w:rsid w:val="682A2B5B"/>
    <w:rsid w:val="682D3CC4"/>
    <w:rsid w:val="686C4456"/>
    <w:rsid w:val="68803E56"/>
    <w:rsid w:val="688C46F2"/>
    <w:rsid w:val="68984727"/>
    <w:rsid w:val="68B20B91"/>
    <w:rsid w:val="68B23422"/>
    <w:rsid w:val="68BB1F16"/>
    <w:rsid w:val="68C24488"/>
    <w:rsid w:val="68C774F7"/>
    <w:rsid w:val="68CF10B8"/>
    <w:rsid w:val="68DD2FBC"/>
    <w:rsid w:val="68F15284"/>
    <w:rsid w:val="69090A8F"/>
    <w:rsid w:val="690C3ECC"/>
    <w:rsid w:val="69172EBD"/>
    <w:rsid w:val="692C2B6F"/>
    <w:rsid w:val="692C49DC"/>
    <w:rsid w:val="6951684E"/>
    <w:rsid w:val="695E5E16"/>
    <w:rsid w:val="696C6D73"/>
    <w:rsid w:val="696F28DF"/>
    <w:rsid w:val="69787A78"/>
    <w:rsid w:val="69792BA6"/>
    <w:rsid w:val="697D187A"/>
    <w:rsid w:val="698E4ED4"/>
    <w:rsid w:val="698F79C2"/>
    <w:rsid w:val="69EA3D8A"/>
    <w:rsid w:val="6A021ECC"/>
    <w:rsid w:val="6A09698C"/>
    <w:rsid w:val="6A4F7775"/>
    <w:rsid w:val="6A803AB3"/>
    <w:rsid w:val="6A9D2955"/>
    <w:rsid w:val="6B0459EA"/>
    <w:rsid w:val="6B0A7E7A"/>
    <w:rsid w:val="6B1660DF"/>
    <w:rsid w:val="6B2946A8"/>
    <w:rsid w:val="6B2A0A53"/>
    <w:rsid w:val="6B2A62CB"/>
    <w:rsid w:val="6B46682F"/>
    <w:rsid w:val="6B4F2812"/>
    <w:rsid w:val="6B576F0A"/>
    <w:rsid w:val="6B6568E7"/>
    <w:rsid w:val="6B771D8D"/>
    <w:rsid w:val="6BC37F12"/>
    <w:rsid w:val="6BC9019C"/>
    <w:rsid w:val="6BE747A8"/>
    <w:rsid w:val="6BEE6E36"/>
    <w:rsid w:val="6C0B1E59"/>
    <w:rsid w:val="6C0D4698"/>
    <w:rsid w:val="6C143A59"/>
    <w:rsid w:val="6C1739EB"/>
    <w:rsid w:val="6C2C6F95"/>
    <w:rsid w:val="6C3661AE"/>
    <w:rsid w:val="6C3663D9"/>
    <w:rsid w:val="6C473CF1"/>
    <w:rsid w:val="6C490509"/>
    <w:rsid w:val="6C4E47AE"/>
    <w:rsid w:val="6C577507"/>
    <w:rsid w:val="6C5C0F0D"/>
    <w:rsid w:val="6C6270B7"/>
    <w:rsid w:val="6C6810C3"/>
    <w:rsid w:val="6C910DFA"/>
    <w:rsid w:val="6CA16692"/>
    <w:rsid w:val="6CAC0624"/>
    <w:rsid w:val="6CC3258E"/>
    <w:rsid w:val="6CDC4B93"/>
    <w:rsid w:val="6CE43560"/>
    <w:rsid w:val="6CEC3E2D"/>
    <w:rsid w:val="6D1160C4"/>
    <w:rsid w:val="6D184238"/>
    <w:rsid w:val="6D2B2657"/>
    <w:rsid w:val="6D396291"/>
    <w:rsid w:val="6D3B5F3C"/>
    <w:rsid w:val="6D524B86"/>
    <w:rsid w:val="6D547E6E"/>
    <w:rsid w:val="6D6D31A3"/>
    <w:rsid w:val="6D717173"/>
    <w:rsid w:val="6D951457"/>
    <w:rsid w:val="6D9A42E4"/>
    <w:rsid w:val="6DC83929"/>
    <w:rsid w:val="6DC90B39"/>
    <w:rsid w:val="6DE00458"/>
    <w:rsid w:val="6DF315F0"/>
    <w:rsid w:val="6E002087"/>
    <w:rsid w:val="6E091146"/>
    <w:rsid w:val="6E1A2EFE"/>
    <w:rsid w:val="6E281E16"/>
    <w:rsid w:val="6E3C6E93"/>
    <w:rsid w:val="6E9A3B5D"/>
    <w:rsid w:val="6EBC41B3"/>
    <w:rsid w:val="6ED72F9B"/>
    <w:rsid w:val="6EDB071E"/>
    <w:rsid w:val="6EE76A4C"/>
    <w:rsid w:val="6EF87D37"/>
    <w:rsid w:val="6EFC5892"/>
    <w:rsid w:val="6F2227ED"/>
    <w:rsid w:val="6F446882"/>
    <w:rsid w:val="6F4E5714"/>
    <w:rsid w:val="6F6A6136"/>
    <w:rsid w:val="6F6D2C1A"/>
    <w:rsid w:val="6FA80DC3"/>
    <w:rsid w:val="6FD81BAC"/>
    <w:rsid w:val="6FDE3608"/>
    <w:rsid w:val="6FE16D12"/>
    <w:rsid w:val="6FE9175F"/>
    <w:rsid w:val="70011A4A"/>
    <w:rsid w:val="70045CA7"/>
    <w:rsid w:val="701B4E05"/>
    <w:rsid w:val="70224525"/>
    <w:rsid w:val="70235FFA"/>
    <w:rsid w:val="703C255A"/>
    <w:rsid w:val="70567C3A"/>
    <w:rsid w:val="70703F23"/>
    <w:rsid w:val="708735D3"/>
    <w:rsid w:val="70A229B7"/>
    <w:rsid w:val="70AC5E41"/>
    <w:rsid w:val="70B4513D"/>
    <w:rsid w:val="70D93EC4"/>
    <w:rsid w:val="710A6BEC"/>
    <w:rsid w:val="711450C2"/>
    <w:rsid w:val="711B2D1B"/>
    <w:rsid w:val="711B50B1"/>
    <w:rsid w:val="71246DBB"/>
    <w:rsid w:val="713F67A8"/>
    <w:rsid w:val="71413705"/>
    <w:rsid w:val="714D71E4"/>
    <w:rsid w:val="7157760F"/>
    <w:rsid w:val="71604CCA"/>
    <w:rsid w:val="716E2CF8"/>
    <w:rsid w:val="717230B8"/>
    <w:rsid w:val="717F575D"/>
    <w:rsid w:val="71B0350B"/>
    <w:rsid w:val="71BE3132"/>
    <w:rsid w:val="71C87884"/>
    <w:rsid w:val="71CC0FDE"/>
    <w:rsid w:val="720C1B37"/>
    <w:rsid w:val="72134128"/>
    <w:rsid w:val="72187B28"/>
    <w:rsid w:val="721C79AE"/>
    <w:rsid w:val="722D6D1D"/>
    <w:rsid w:val="723032BE"/>
    <w:rsid w:val="72415397"/>
    <w:rsid w:val="724331C4"/>
    <w:rsid w:val="72BE7ECC"/>
    <w:rsid w:val="72C11F5F"/>
    <w:rsid w:val="72C92576"/>
    <w:rsid w:val="731C41C1"/>
    <w:rsid w:val="732016BA"/>
    <w:rsid w:val="732E1CA8"/>
    <w:rsid w:val="734669F4"/>
    <w:rsid w:val="734A4B8F"/>
    <w:rsid w:val="734C61B1"/>
    <w:rsid w:val="736B78D6"/>
    <w:rsid w:val="7378769C"/>
    <w:rsid w:val="738C5233"/>
    <w:rsid w:val="73964336"/>
    <w:rsid w:val="739964CD"/>
    <w:rsid w:val="73AA6C0A"/>
    <w:rsid w:val="73AC0F77"/>
    <w:rsid w:val="73C93244"/>
    <w:rsid w:val="73D66A5C"/>
    <w:rsid w:val="73E4172B"/>
    <w:rsid w:val="73FC3382"/>
    <w:rsid w:val="73FE62F9"/>
    <w:rsid w:val="74013A44"/>
    <w:rsid w:val="740D75FF"/>
    <w:rsid w:val="741504F7"/>
    <w:rsid w:val="74212FEF"/>
    <w:rsid w:val="74213399"/>
    <w:rsid w:val="742F63CE"/>
    <w:rsid w:val="74367F78"/>
    <w:rsid w:val="74502B58"/>
    <w:rsid w:val="74573DF5"/>
    <w:rsid w:val="747079FF"/>
    <w:rsid w:val="749132F9"/>
    <w:rsid w:val="74A27780"/>
    <w:rsid w:val="74A877C7"/>
    <w:rsid w:val="74B33813"/>
    <w:rsid w:val="74BD0047"/>
    <w:rsid w:val="74BF420C"/>
    <w:rsid w:val="74C825F0"/>
    <w:rsid w:val="74D426FC"/>
    <w:rsid w:val="74D6094B"/>
    <w:rsid w:val="74FC71C6"/>
    <w:rsid w:val="74FD3EE0"/>
    <w:rsid w:val="75032864"/>
    <w:rsid w:val="75263381"/>
    <w:rsid w:val="75452220"/>
    <w:rsid w:val="754E713F"/>
    <w:rsid w:val="755E71A8"/>
    <w:rsid w:val="755F7429"/>
    <w:rsid w:val="756D0236"/>
    <w:rsid w:val="759C7F36"/>
    <w:rsid w:val="75A12511"/>
    <w:rsid w:val="75AC1A06"/>
    <w:rsid w:val="75C011EC"/>
    <w:rsid w:val="75D378FC"/>
    <w:rsid w:val="76015161"/>
    <w:rsid w:val="760F601E"/>
    <w:rsid w:val="761219EA"/>
    <w:rsid w:val="761B2E01"/>
    <w:rsid w:val="76225BDE"/>
    <w:rsid w:val="76296FD8"/>
    <w:rsid w:val="76372A92"/>
    <w:rsid w:val="763907B8"/>
    <w:rsid w:val="7641635B"/>
    <w:rsid w:val="76487E93"/>
    <w:rsid w:val="764F3547"/>
    <w:rsid w:val="76550779"/>
    <w:rsid w:val="766A4EBF"/>
    <w:rsid w:val="767A0A28"/>
    <w:rsid w:val="767F3423"/>
    <w:rsid w:val="767F6EC2"/>
    <w:rsid w:val="76B8009B"/>
    <w:rsid w:val="76B87DDF"/>
    <w:rsid w:val="76C85F4B"/>
    <w:rsid w:val="76F53CD1"/>
    <w:rsid w:val="76F71183"/>
    <w:rsid w:val="77013A55"/>
    <w:rsid w:val="771826B7"/>
    <w:rsid w:val="772469A7"/>
    <w:rsid w:val="772974F4"/>
    <w:rsid w:val="772C6F48"/>
    <w:rsid w:val="77314100"/>
    <w:rsid w:val="77335E40"/>
    <w:rsid w:val="77446094"/>
    <w:rsid w:val="774E214A"/>
    <w:rsid w:val="774F0D97"/>
    <w:rsid w:val="777A7D93"/>
    <w:rsid w:val="777B70E5"/>
    <w:rsid w:val="778F4341"/>
    <w:rsid w:val="7796162F"/>
    <w:rsid w:val="77997CF2"/>
    <w:rsid w:val="77A0057E"/>
    <w:rsid w:val="77A66031"/>
    <w:rsid w:val="77AD5BBE"/>
    <w:rsid w:val="77AF3D83"/>
    <w:rsid w:val="77B74ABC"/>
    <w:rsid w:val="77C906CE"/>
    <w:rsid w:val="77CD034F"/>
    <w:rsid w:val="77FD79F9"/>
    <w:rsid w:val="780A0019"/>
    <w:rsid w:val="78105146"/>
    <w:rsid w:val="781D1C3C"/>
    <w:rsid w:val="7823274D"/>
    <w:rsid w:val="78246821"/>
    <w:rsid w:val="782E5A95"/>
    <w:rsid w:val="7836426B"/>
    <w:rsid w:val="783B5E4D"/>
    <w:rsid w:val="783F4A54"/>
    <w:rsid w:val="784911C2"/>
    <w:rsid w:val="785D1BF2"/>
    <w:rsid w:val="786B45BF"/>
    <w:rsid w:val="78753CE3"/>
    <w:rsid w:val="78840664"/>
    <w:rsid w:val="788A7755"/>
    <w:rsid w:val="78A62ADE"/>
    <w:rsid w:val="78B00356"/>
    <w:rsid w:val="78E768D3"/>
    <w:rsid w:val="78EE0413"/>
    <w:rsid w:val="78F80C2F"/>
    <w:rsid w:val="790839AD"/>
    <w:rsid w:val="791E378E"/>
    <w:rsid w:val="792A790A"/>
    <w:rsid w:val="792D6F9E"/>
    <w:rsid w:val="79355165"/>
    <w:rsid w:val="796C3FDD"/>
    <w:rsid w:val="797B4284"/>
    <w:rsid w:val="798E05AF"/>
    <w:rsid w:val="798F7840"/>
    <w:rsid w:val="79B44524"/>
    <w:rsid w:val="79B6728E"/>
    <w:rsid w:val="79C62BFA"/>
    <w:rsid w:val="79CD01CB"/>
    <w:rsid w:val="79E92C12"/>
    <w:rsid w:val="79EE7FC8"/>
    <w:rsid w:val="7A26006A"/>
    <w:rsid w:val="7A3026AE"/>
    <w:rsid w:val="7A325B43"/>
    <w:rsid w:val="7A3B0D72"/>
    <w:rsid w:val="7A4F7D83"/>
    <w:rsid w:val="7A5605BB"/>
    <w:rsid w:val="7A7D6CAE"/>
    <w:rsid w:val="7A801B5C"/>
    <w:rsid w:val="7A856669"/>
    <w:rsid w:val="7A8630B3"/>
    <w:rsid w:val="7A9934BF"/>
    <w:rsid w:val="7ABF7655"/>
    <w:rsid w:val="7AC948C2"/>
    <w:rsid w:val="7AD14036"/>
    <w:rsid w:val="7ADA443C"/>
    <w:rsid w:val="7AE93F1B"/>
    <w:rsid w:val="7B011E88"/>
    <w:rsid w:val="7B1374E2"/>
    <w:rsid w:val="7B18314A"/>
    <w:rsid w:val="7B3B752E"/>
    <w:rsid w:val="7B54640D"/>
    <w:rsid w:val="7B6C4177"/>
    <w:rsid w:val="7B744EF3"/>
    <w:rsid w:val="7B914ABD"/>
    <w:rsid w:val="7B9A49E1"/>
    <w:rsid w:val="7BB90A45"/>
    <w:rsid w:val="7BCB2B72"/>
    <w:rsid w:val="7BDB6ACE"/>
    <w:rsid w:val="7BDC2918"/>
    <w:rsid w:val="7BFA2369"/>
    <w:rsid w:val="7BFE011A"/>
    <w:rsid w:val="7C054B3F"/>
    <w:rsid w:val="7C086FA2"/>
    <w:rsid w:val="7C0F668F"/>
    <w:rsid w:val="7C262A29"/>
    <w:rsid w:val="7C39774F"/>
    <w:rsid w:val="7C4B71E0"/>
    <w:rsid w:val="7C5F57CC"/>
    <w:rsid w:val="7C661087"/>
    <w:rsid w:val="7C8737E1"/>
    <w:rsid w:val="7C8931CA"/>
    <w:rsid w:val="7CA442B9"/>
    <w:rsid w:val="7CC05AED"/>
    <w:rsid w:val="7CC55276"/>
    <w:rsid w:val="7CD43536"/>
    <w:rsid w:val="7CD6252B"/>
    <w:rsid w:val="7CE85127"/>
    <w:rsid w:val="7CF1275F"/>
    <w:rsid w:val="7CFA5C9E"/>
    <w:rsid w:val="7CFC002A"/>
    <w:rsid w:val="7D023C5D"/>
    <w:rsid w:val="7D146021"/>
    <w:rsid w:val="7D2A612C"/>
    <w:rsid w:val="7D2B60F9"/>
    <w:rsid w:val="7D361A96"/>
    <w:rsid w:val="7D41044F"/>
    <w:rsid w:val="7D5768E7"/>
    <w:rsid w:val="7D5A2E9C"/>
    <w:rsid w:val="7D76736C"/>
    <w:rsid w:val="7D804C1D"/>
    <w:rsid w:val="7D957A55"/>
    <w:rsid w:val="7D9B1A54"/>
    <w:rsid w:val="7DB923AE"/>
    <w:rsid w:val="7DC1104E"/>
    <w:rsid w:val="7DD27515"/>
    <w:rsid w:val="7DDC20D2"/>
    <w:rsid w:val="7E250A1B"/>
    <w:rsid w:val="7E2B2BB3"/>
    <w:rsid w:val="7E2C4BE9"/>
    <w:rsid w:val="7E5D1376"/>
    <w:rsid w:val="7E6C0DA6"/>
    <w:rsid w:val="7E8018BC"/>
    <w:rsid w:val="7E8E65AF"/>
    <w:rsid w:val="7E9308B2"/>
    <w:rsid w:val="7EBB6C5B"/>
    <w:rsid w:val="7EE51B48"/>
    <w:rsid w:val="7EF801BA"/>
    <w:rsid w:val="7EFA173D"/>
    <w:rsid w:val="7EFE04B4"/>
    <w:rsid w:val="7F1A5639"/>
    <w:rsid w:val="7F260FF9"/>
    <w:rsid w:val="7F296F2B"/>
    <w:rsid w:val="7F2C5F48"/>
    <w:rsid w:val="7F3E3FF3"/>
    <w:rsid w:val="7F6D47FE"/>
    <w:rsid w:val="7F832D2C"/>
    <w:rsid w:val="7FB36974"/>
    <w:rsid w:val="7FBF5BED"/>
    <w:rsid w:val="7FC858CA"/>
    <w:rsid w:val="7FCE44DB"/>
    <w:rsid w:val="7FE24C47"/>
    <w:rsid w:val="7FE872CF"/>
    <w:rsid w:val="7FEA763F"/>
    <w:rsid w:val="7FFA15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qFormat="1" w:unhideWhenUsed="0" w:uiPriority="99" w:semiHidden="0"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semiHidden="0"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5"/>
    <w:qFormat/>
    <w:uiPriority w:val="99"/>
    <w:pPr>
      <w:keepNext/>
      <w:keepLines/>
      <w:spacing w:before="260" w:after="260" w:line="416" w:lineRule="auto"/>
      <w:outlineLvl w:val="1"/>
    </w:pPr>
    <w:rPr>
      <w:rFonts w:ascii="Cambria" w:hAnsi="Cambria"/>
      <w:b/>
      <w:bCs/>
      <w:sz w:val="32"/>
      <w:szCs w:val="32"/>
    </w:rPr>
  </w:style>
  <w:style w:type="paragraph" w:styleId="3">
    <w:name w:val="heading 3"/>
    <w:basedOn w:val="1"/>
    <w:next w:val="1"/>
    <w:link w:val="16"/>
    <w:qFormat/>
    <w:uiPriority w:val="99"/>
    <w:pPr>
      <w:keepNext/>
      <w:keepLines/>
      <w:spacing w:before="260" w:after="260" w:line="416" w:lineRule="auto"/>
      <w:outlineLvl w:val="2"/>
    </w:pPr>
    <w:rPr>
      <w:b/>
      <w:bCs/>
      <w:sz w:val="32"/>
      <w:szCs w:val="32"/>
    </w:rPr>
  </w:style>
  <w:style w:type="character" w:default="1" w:styleId="12">
    <w:name w:val="Default Paragraph Font"/>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7"/>
    <w:semiHidden/>
    <w:qFormat/>
    <w:uiPriority w:val="99"/>
    <w:pPr>
      <w:jc w:val="left"/>
    </w:pPr>
  </w:style>
  <w:style w:type="paragraph" w:styleId="5">
    <w:name w:val="endnote text"/>
    <w:basedOn w:val="1"/>
    <w:link w:val="18"/>
    <w:qFormat/>
    <w:uiPriority w:val="99"/>
    <w:pPr>
      <w:snapToGrid w:val="0"/>
    </w:pPr>
    <w:rPr>
      <w:szCs w:val="24"/>
    </w:rPr>
  </w:style>
  <w:style w:type="paragraph" w:styleId="6">
    <w:name w:val="Balloon Text"/>
    <w:basedOn w:val="1"/>
    <w:link w:val="19"/>
    <w:semiHidden/>
    <w:qFormat/>
    <w:uiPriority w:val="99"/>
    <w:rPr>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9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Hyperlink"/>
    <w:unhideWhenUsed/>
    <w:qFormat/>
    <w:locked/>
    <w:uiPriority w:val="99"/>
    <w:rPr>
      <w:color w:val="0000FF"/>
      <w:u w:val="single"/>
    </w:rPr>
  </w:style>
  <w:style w:type="character" w:styleId="14">
    <w:name w:val="annotation reference"/>
    <w:semiHidden/>
    <w:qFormat/>
    <w:uiPriority w:val="99"/>
    <w:rPr>
      <w:rFonts w:cs="Times New Roman"/>
      <w:sz w:val="21"/>
      <w:szCs w:val="21"/>
    </w:rPr>
  </w:style>
  <w:style w:type="character" w:customStyle="1" w:styleId="15">
    <w:name w:val="标题 2 字符"/>
    <w:link w:val="2"/>
    <w:qFormat/>
    <w:locked/>
    <w:uiPriority w:val="99"/>
    <w:rPr>
      <w:rFonts w:ascii="Cambria" w:hAnsi="Cambria" w:eastAsia="宋体" w:cs="Times New Roman"/>
      <w:b/>
      <w:bCs/>
      <w:kern w:val="2"/>
      <w:sz w:val="32"/>
      <w:szCs w:val="32"/>
    </w:rPr>
  </w:style>
  <w:style w:type="character" w:customStyle="1" w:styleId="16">
    <w:name w:val="标题 3 字符"/>
    <w:link w:val="3"/>
    <w:qFormat/>
    <w:locked/>
    <w:uiPriority w:val="99"/>
    <w:rPr>
      <w:rFonts w:ascii="Calibri" w:hAnsi="Calibri" w:eastAsia="宋体" w:cs="Times New Roman"/>
      <w:b/>
      <w:bCs/>
      <w:kern w:val="2"/>
      <w:sz w:val="32"/>
      <w:szCs w:val="32"/>
    </w:rPr>
  </w:style>
  <w:style w:type="character" w:customStyle="1" w:styleId="17">
    <w:name w:val="批注文字 字符"/>
    <w:link w:val="4"/>
    <w:semiHidden/>
    <w:qFormat/>
    <w:locked/>
    <w:uiPriority w:val="99"/>
    <w:rPr>
      <w:rFonts w:ascii="Calibri" w:hAnsi="Calibri" w:cs="Times New Roman"/>
    </w:rPr>
  </w:style>
  <w:style w:type="character" w:customStyle="1" w:styleId="18">
    <w:name w:val="尾注文本 字符"/>
    <w:link w:val="5"/>
    <w:semiHidden/>
    <w:qFormat/>
    <w:locked/>
    <w:uiPriority w:val="99"/>
    <w:rPr>
      <w:rFonts w:ascii="Calibri" w:hAnsi="Calibri" w:cs="Times New Roman"/>
    </w:rPr>
  </w:style>
  <w:style w:type="character" w:customStyle="1" w:styleId="19">
    <w:name w:val="批注框文本 字符"/>
    <w:link w:val="6"/>
    <w:semiHidden/>
    <w:qFormat/>
    <w:locked/>
    <w:uiPriority w:val="99"/>
    <w:rPr>
      <w:rFonts w:cs="Times New Roman"/>
      <w:kern w:val="2"/>
      <w:sz w:val="18"/>
      <w:szCs w:val="18"/>
    </w:rPr>
  </w:style>
  <w:style w:type="character" w:customStyle="1" w:styleId="20">
    <w:name w:val="页脚 字符"/>
    <w:link w:val="7"/>
    <w:qFormat/>
    <w:locked/>
    <w:uiPriority w:val="99"/>
    <w:rPr>
      <w:rFonts w:cs="Times New Roman"/>
      <w:sz w:val="18"/>
      <w:szCs w:val="18"/>
    </w:rPr>
  </w:style>
  <w:style w:type="character" w:customStyle="1" w:styleId="21">
    <w:name w:val="页眉 字符"/>
    <w:link w:val="8"/>
    <w:qFormat/>
    <w:locked/>
    <w:uiPriority w:val="99"/>
    <w:rPr>
      <w:rFonts w:cs="Times New Roman"/>
      <w:sz w:val="18"/>
      <w:szCs w:val="18"/>
    </w:rPr>
  </w:style>
  <w:style w:type="paragraph" w:customStyle="1" w:styleId="22">
    <w:name w:val="一级条标题"/>
    <w:next w:val="23"/>
    <w:qFormat/>
    <w:uiPriority w:val="99"/>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3">
    <w:name w:val="段"/>
    <w:link w:val="30"/>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24">
    <w:name w:val="章标题"/>
    <w:next w:val="23"/>
    <w:qFormat/>
    <w:uiPriority w:val="99"/>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5">
    <w:name w:val="二级条标题"/>
    <w:basedOn w:val="22"/>
    <w:next w:val="1"/>
    <w:qFormat/>
    <w:uiPriority w:val="99"/>
    <w:pPr>
      <w:numPr>
        <w:ilvl w:val="2"/>
      </w:numPr>
      <w:spacing w:before="50" w:after="50"/>
      <w:ind w:left="0"/>
      <w:outlineLvl w:val="3"/>
    </w:pPr>
  </w:style>
  <w:style w:type="paragraph" w:customStyle="1" w:styleId="26">
    <w:name w:val="三级条标题"/>
    <w:basedOn w:val="25"/>
    <w:next w:val="1"/>
    <w:qFormat/>
    <w:uiPriority w:val="99"/>
    <w:pPr>
      <w:numPr>
        <w:ilvl w:val="3"/>
      </w:numPr>
      <w:outlineLvl w:val="4"/>
    </w:pPr>
  </w:style>
  <w:style w:type="paragraph" w:customStyle="1" w:styleId="27">
    <w:name w:val="四级条标题"/>
    <w:basedOn w:val="26"/>
    <w:next w:val="1"/>
    <w:qFormat/>
    <w:uiPriority w:val="99"/>
    <w:pPr>
      <w:numPr>
        <w:ilvl w:val="4"/>
      </w:numPr>
      <w:outlineLvl w:val="5"/>
    </w:pPr>
  </w:style>
  <w:style w:type="paragraph" w:customStyle="1" w:styleId="28">
    <w:name w:val="五级条标题"/>
    <w:basedOn w:val="27"/>
    <w:next w:val="1"/>
    <w:qFormat/>
    <w:uiPriority w:val="99"/>
    <w:pPr>
      <w:numPr>
        <w:ilvl w:val="5"/>
      </w:numPr>
      <w:ind w:left="0"/>
      <w:outlineLvl w:val="6"/>
    </w:pPr>
  </w:style>
  <w:style w:type="paragraph" w:customStyle="1" w:styleId="29">
    <w:name w:val="正文 A"/>
    <w:qFormat/>
    <w:uiPriority w:val="99"/>
    <w:pPr>
      <w:framePr w:wrap="around" w:vAnchor="margin" w:hAnchor="text" w:y="1"/>
      <w:widowControl w:val="0"/>
      <w:jc w:val="both"/>
    </w:pPr>
    <w:rPr>
      <w:rFonts w:ascii="Times New Roman" w:hAnsi="Times New Roman" w:eastAsia="宋体" w:cs="Arial Unicode MS"/>
      <w:color w:val="000000"/>
      <w:kern w:val="2"/>
      <w:sz w:val="21"/>
      <w:szCs w:val="21"/>
      <w:u w:color="000000"/>
      <w:lang w:val="en-US" w:eastAsia="zh-CN" w:bidi="ar-SA"/>
    </w:rPr>
  </w:style>
  <w:style w:type="character" w:customStyle="1" w:styleId="30">
    <w:name w:val="段 Char"/>
    <w:link w:val="23"/>
    <w:qFormat/>
    <w:locked/>
    <w:uiPriority w:val="99"/>
    <w:rPr>
      <w:rFonts w:ascii="宋体"/>
      <w:sz w:val="22"/>
    </w:rPr>
  </w:style>
  <w:style w:type="character" w:customStyle="1" w:styleId="31">
    <w:name w:val="font11"/>
    <w:qFormat/>
    <w:uiPriority w:val="99"/>
    <w:rPr>
      <w:rFonts w:ascii="Times New Roman" w:hAnsi="Times New Roman" w:cs="Times New Roman"/>
      <w:color w:val="000000"/>
      <w:sz w:val="13"/>
      <w:szCs w:val="13"/>
      <w:u w:val="none"/>
      <w:vertAlign w:val="superscript"/>
    </w:rPr>
  </w:style>
  <w:style w:type="character" w:customStyle="1" w:styleId="32">
    <w:name w:val="font31"/>
    <w:qFormat/>
    <w:uiPriority w:val="99"/>
    <w:rPr>
      <w:rFonts w:ascii="Times New Roman" w:hAnsi="Times New Roman" w:cs="Times New Roman"/>
      <w:color w:val="000000"/>
      <w:sz w:val="13"/>
      <w:szCs w:val="13"/>
      <w:u w:val="none"/>
    </w:rPr>
  </w:style>
  <w:style w:type="character" w:customStyle="1" w:styleId="33">
    <w:name w:val="font01"/>
    <w:qFormat/>
    <w:uiPriority w:val="99"/>
    <w:rPr>
      <w:rFonts w:ascii="Times New Roman" w:hAnsi="Times New Roman" w:cs="Times New Roman"/>
      <w:color w:val="000000"/>
      <w:sz w:val="13"/>
      <w:szCs w:val="13"/>
      <w:u w:val="none"/>
      <w:vertAlign w:val="subscript"/>
    </w:rPr>
  </w:style>
  <w:style w:type="character" w:customStyle="1" w:styleId="34">
    <w:name w:val="font21"/>
    <w:qFormat/>
    <w:uiPriority w:val="99"/>
    <w:rPr>
      <w:rFonts w:ascii="Times New Roman" w:hAnsi="Times New Roman" w:cs="Times New Roman"/>
      <w:color w:val="000000"/>
      <w:sz w:val="13"/>
      <w:szCs w:val="13"/>
      <w:u w:val="none"/>
    </w:rPr>
  </w:style>
  <w:style w:type="character" w:customStyle="1" w:styleId="35">
    <w:name w:val="font41"/>
    <w:qFormat/>
    <w:uiPriority w:val="99"/>
    <w:rPr>
      <w:rFonts w:ascii="Times New Roman" w:hAnsi="Times New Roman" w:cs="Times New Roman"/>
      <w:color w:val="000000"/>
      <w:sz w:val="13"/>
      <w:szCs w:val="13"/>
      <w:u w:val="none"/>
      <w:vertAlign w:val="superscript"/>
    </w:rPr>
  </w:style>
  <w:style w:type="paragraph" w:customStyle="1" w:styleId="36">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7">
    <w:name w:val="标准书脚_奇数页"/>
    <w:qFormat/>
    <w:uiPriority w:val="99"/>
    <w:pPr>
      <w:spacing w:before="120"/>
      <w:ind w:right="198"/>
      <w:jc w:val="right"/>
    </w:pPr>
    <w:rPr>
      <w:rFonts w:ascii="宋体" w:hAnsi="Times New Roman" w:eastAsia="宋体" w:cs="Times New Roman"/>
      <w:sz w:val="18"/>
      <w:szCs w:val="18"/>
      <w:lang w:val="en-US" w:eastAsia="zh-CN" w:bidi="ar-SA"/>
    </w:rPr>
  </w:style>
  <w:style w:type="character" w:customStyle="1" w:styleId="38">
    <w:name w:val="font61"/>
    <w:qFormat/>
    <w:uiPriority w:val="99"/>
    <w:rPr>
      <w:rFonts w:ascii="Times New Roman" w:hAnsi="Times New Roman" w:cs="Times New Roman"/>
      <w:color w:val="000000"/>
      <w:sz w:val="20"/>
      <w:szCs w:val="20"/>
      <w:u w:val="none"/>
    </w:rPr>
  </w:style>
  <w:style w:type="character" w:customStyle="1" w:styleId="39">
    <w:name w:val="未处理的提及1"/>
    <w:semiHidden/>
    <w:unhideWhenUsed/>
    <w:qFormat/>
    <w:uiPriority w:val="99"/>
    <w:rPr>
      <w:color w:val="605E5C"/>
      <w:shd w:val="clear" w:color="auto" w:fill="E1DFDD"/>
    </w:rPr>
  </w:style>
  <w:style w:type="paragraph" w:customStyle="1" w:styleId="40">
    <w:name w:val="字母编号列项（一级）"/>
    <w:uiPriority w:val="99"/>
    <w:pPr>
      <w:numPr>
        <w:ilvl w:val="0"/>
        <w:numId w:val="2"/>
      </w:numPr>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1992</Words>
  <Characters>11357</Characters>
  <Lines>94</Lines>
  <Paragraphs>26</Paragraphs>
  <TotalTime>45</TotalTime>
  <ScaleCrop>false</ScaleCrop>
  <LinksUpToDate>false</LinksUpToDate>
  <CharactersWithSpaces>13323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2021-10-27T19:08:00Z</dcterms:created>
  <dc:creator>高秋燕</dc:creator>
  <cp:lastModifiedBy>林若虚</cp:lastModifiedBy>
  <dcterms:modified xsi:type="dcterms:W3CDTF">2022-04-08T05:00:40Z</dcterms:modified>
  <dc:title>团体标准《多金属矿区钨尾矿分离回收技术规范》</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D6EF5F23E9D04F22A354B8ABAC3D15FA</vt:lpwstr>
  </property>
</Properties>
</file>