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1"/>
      </w:pPr>
      <w:bookmarkStart w:id="0" w:name="SectionMark0"/>
      <w:r>
        <mc:AlternateContent>
          <mc:Choice Requires="wps">
            <w:drawing>
              <wp:anchor distT="0" distB="0" distL="114300" distR="114300" simplePos="0" relativeHeight="251668480" behindDoc="0" locked="1" layoutInCell="0" allowOverlap="1">
                <wp:simplePos x="0" y="0"/>
                <wp:positionH relativeFrom="page">
                  <wp:align>center</wp:align>
                </wp:positionH>
                <wp:positionV relativeFrom="margin">
                  <wp:posOffset>8996045</wp:posOffset>
                </wp:positionV>
                <wp:extent cx="2311400" cy="342265"/>
                <wp:effectExtent l="0" t="0" r="0" b="635"/>
                <wp:wrapNone/>
                <wp:docPr id="22" name="fmFrame7"/>
                <wp:cNvGraphicFramePr/>
                <a:graphic xmlns:a="http://schemas.openxmlformats.org/drawingml/2006/main">
                  <a:graphicData uri="http://schemas.microsoft.com/office/word/2010/wordprocessingShape">
                    <wps:wsp>
                      <wps:cNvSpPr txBox="1">
                        <a:spLocks noChangeArrowheads="1"/>
                      </wps:cNvSpPr>
                      <wps:spPr bwMode="auto">
                        <a:xfrm>
                          <a:off x="0" y="0"/>
                          <a:ext cx="2311400" cy="342265"/>
                        </a:xfrm>
                        <a:prstGeom prst="rect">
                          <a:avLst/>
                        </a:prstGeom>
                        <a:solidFill>
                          <a:srgbClr val="FFFFFF"/>
                        </a:solidFill>
                        <a:ln>
                          <a:noFill/>
                        </a:ln>
                        <a:effectLst/>
                      </wps:spPr>
                      <wps:txbx>
                        <w:txbxContent>
                          <w:p>
                            <w:pPr>
                              <w:pStyle w:val="45"/>
                              <w:ind w:firstLine="0" w:firstLineChars="0"/>
                              <w:jc w:val="distribute"/>
                              <w:rPr>
                                <w:rFonts w:hAnsi="宋体"/>
                                <w:b/>
                                <w:spacing w:val="20"/>
                                <w:w w:val="135"/>
                                <w:sz w:val="28"/>
                                <w:szCs w:val="28"/>
                              </w:rPr>
                            </w:pPr>
                            <w:r>
                              <w:rPr>
                                <w:rFonts w:hAnsi="宋体"/>
                                <w:b/>
                                <w:sz w:val="32"/>
                                <w:szCs w:val="32"/>
                              </w:rPr>
                              <w:t>国家</w:t>
                            </w:r>
                            <w:r>
                              <w:rPr>
                                <w:rFonts w:hint="eastAsia" w:hAnsi="宋体"/>
                                <w:b/>
                                <w:sz w:val="32"/>
                                <w:szCs w:val="32"/>
                              </w:rPr>
                              <w:t>市场监督管理总局</w:t>
                            </w:r>
                          </w:p>
                          <w:p>
                            <w:pPr>
                              <w:pStyle w:val="45"/>
                              <w:ind w:firstLine="560"/>
                              <w:jc w:val="distribute"/>
                              <w:rPr>
                                <w:sz w:val="28"/>
                                <w:szCs w:val="28"/>
                              </w:rPr>
                            </w:pPr>
                          </w:p>
                          <w:p>
                            <w:pPr>
                              <w:pStyle w:val="45"/>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top:708.35pt;height:26.95pt;width:182pt;mso-position-horizontal:center;mso-position-horizontal-relative:page;mso-position-vertical-relative:margin;z-index:251668480;mso-width-relative:page;mso-height-relative:page;" fillcolor="#FFFFFF" filled="t" stroked="f" coordsize="21600,21600" o:allowincell="f" o:gfxdata="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4Bg8jXAAAACgEAAA8AAAAA&#10;AAAAAQAgAAAAIgAAAGRycy9kb3ducmV2LnhtbFBLAQIUABQAAAAIAIdO4kDRkhY3FQIAADoEAAAO&#10;AAAAAAAAAAEAIAAAACYBAABkcnMvZTJvRG9jLnhtbFBLBQYAAAAABgAGAFkBAACtBQAAAAA=&#10;">
                <v:fill on="t" focussize="0,0"/>
                <v:stroke on="f"/>
                <v:imagedata o:title=""/>
                <o:lock v:ext="edit" aspectratio="f"/>
                <v:textbox inset="0mm,0mm,0mm,0mm">
                  <w:txbxContent>
                    <w:p>
                      <w:pPr>
                        <w:pStyle w:val="45"/>
                        <w:ind w:firstLine="0" w:firstLineChars="0"/>
                        <w:jc w:val="distribute"/>
                        <w:rPr>
                          <w:rFonts w:hAnsi="宋体"/>
                          <w:b/>
                          <w:spacing w:val="20"/>
                          <w:w w:val="135"/>
                          <w:sz w:val="28"/>
                          <w:szCs w:val="28"/>
                        </w:rPr>
                      </w:pPr>
                      <w:r>
                        <w:rPr>
                          <w:rFonts w:hAnsi="宋体"/>
                          <w:b/>
                          <w:sz w:val="32"/>
                          <w:szCs w:val="32"/>
                        </w:rPr>
                        <w:t>国家</w:t>
                      </w:r>
                      <w:r>
                        <w:rPr>
                          <w:rFonts w:hint="eastAsia" w:hAnsi="宋体"/>
                          <w:b/>
                          <w:sz w:val="32"/>
                          <w:szCs w:val="32"/>
                        </w:rPr>
                        <w:t>市场监督管理总局</w:t>
                      </w:r>
                    </w:p>
                    <w:p>
                      <w:pPr>
                        <w:pStyle w:val="45"/>
                        <w:ind w:firstLine="560"/>
                        <w:jc w:val="distribute"/>
                        <w:rPr>
                          <w:sz w:val="28"/>
                          <w:szCs w:val="28"/>
                        </w:rPr>
                      </w:pPr>
                    </w:p>
                    <w:p>
                      <w:pPr>
                        <w:pStyle w:val="45"/>
                        <w:ind w:firstLine="560"/>
                        <w:jc w:val="distribute"/>
                        <w:rPr>
                          <w:sz w:val="28"/>
                          <w:szCs w:val="28"/>
                        </w:rPr>
                      </w:pPr>
                    </w:p>
                  </w:txbxContent>
                </v:textbox>
                <w10:anchorlock/>
              </v:shape>
            </w:pict>
          </mc:Fallback>
        </mc:AlternateContent>
      </w:r>
      <w:r>
        <w:drawing>
          <wp:anchor distT="0" distB="0" distL="114300" distR="114300" simplePos="0" relativeHeight="251667456"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mc:AlternateContent>
          <mc:Choice Requires="wps">
            <w:drawing>
              <wp:anchor distT="0" distB="0" distL="114300" distR="114300" simplePos="0" relativeHeight="251664384" behindDoc="0" locked="1" layoutInCell="0" allowOverlap="1">
                <wp:simplePos x="0" y="0"/>
                <wp:positionH relativeFrom="page">
                  <wp:align>center</wp:align>
                </wp:positionH>
                <wp:positionV relativeFrom="margin">
                  <wp:posOffset>9258935</wp:posOffset>
                </wp:positionV>
                <wp:extent cx="2311400" cy="347345"/>
                <wp:effectExtent l="0" t="0" r="0" b="0"/>
                <wp:wrapNone/>
                <wp:docPr id="20" name="fmFrame7"/>
                <wp:cNvGraphicFramePr/>
                <a:graphic xmlns:a="http://schemas.openxmlformats.org/drawingml/2006/main">
                  <a:graphicData uri="http://schemas.microsoft.com/office/word/2010/wordprocessingShape">
                    <wps:wsp>
                      <wps:cNvSpPr txBox="1">
                        <a:spLocks noChangeArrowheads="1"/>
                      </wps:cNvSpPr>
                      <wps:spPr bwMode="auto">
                        <a:xfrm>
                          <a:off x="0" y="0"/>
                          <a:ext cx="2311400" cy="347345"/>
                        </a:xfrm>
                        <a:prstGeom prst="rect">
                          <a:avLst/>
                        </a:prstGeom>
                        <a:solidFill>
                          <a:srgbClr val="FFFFFF"/>
                        </a:solidFill>
                        <a:ln>
                          <a:noFill/>
                        </a:ln>
                        <a:effectLst/>
                      </wps:spPr>
                      <wps:txbx>
                        <w:txbxContent>
                          <w:p>
                            <w:pPr>
                              <w:pStyle w:val="69"/>
                              <w:jc w:val="distribute"/>
                              <w:rPr>
                                <w:rFonts w:asciiTheme="minorEastAsia" w:hAnsiTheme="minorEastAsia" w:eastAsiaTheme="minorEastAsia"/>
                                <w:spacing w:val="0"/>
                                <w:w w:val="100"/>
                                <w:sz w:val="32"/>
                                <w:szCs w:val="32"/>
                              </w:rPr>
                            </w:pPr>
                            <w:r>
                              <w:rPr>
                                <w:rFonts w:hint="eastAsia" w:asciiTheme="minorEastAsia" w:hAnsiTheme="minorEastAsia" w:eastAsiaTheme="minorEastAsia"/>
                                <w:spacing w:val="0"/>
                                <w:w w:val="100"/>
                                <w:sz w:val="32"/>
                                <w:szCs w:val="32"/>
                              </w:rPr>
                              <w:t>国家标准化管理委员会</w:t>
                            </w:r>
                          </w:p>
                          <w:p>
                            <w:pPr>
                              <w:pStyle w:val="45"/>
                              <w:ind w:firstLine="420"/>
                              <w:jc w:val="distribute"/>
                            </w:pPr>
                          </w:p>
                          <w:p>
                            <w:pPr>
                              <w:pStyle w:val="45"/>
                              <w:ind w:firstLine="420"/>
                              <w:jc w:val="distribute"/>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top:729.05pt;height:27.35pt;width:182pt;mso-position-horizontal:center;mso-position-horizontal-relative:page;mso-position-vertical-relative:margin;z-index:251664384;mso-width-relative:page;mso-height-relative:page;" fillcolor="#FFFFFF" filled="t" stroked="f" coordsize="21600,21600" o:allowincell="f" o:gfxdata="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K+hZ2AAAAAoBAAAPAAAA&#10;AAAAAAEAIAAAACIAAABkcnMvZG93bnJldi54bWxQSwECFAAUAAAACACHTuJAPRaAIRUCAAA6BAAA&#10;DgAAAAAAAAABACAAAAAnAQAAZHJzL2Uyb0RvYy54bWxQSwUGAAAAAAYABgBZAQAArgUAAAAA&#10;">
                <v:fill on="t" focussize="0,0"/>
                <v:stroke on="f"/>
                <v:imagedata o:title=""/>
                <o:lock v:ext="edit" aspectratio="f"/>
                <v:textbox inset="0mm,0mm,0mm,0mm">
                  <w:txbxContent>
                    <w:p>
                      <w:pPr>
                        <w:pStyle w:val="69"/>
                        <w:jc w:val="distribute"/>
                        <w:rPr>
                          <w:rFonts w:asciiTheme="minorEastAsia" w:hAnsiTheme="minorEastAsia" w:eastAsiaTheme="minorEastAsia"/>
                          <w:spacing w:val="0"/>
                          <w:w w:val="100"/>
                          <w:sz w:val="32"/>
                          <w:szCs w:val="32"/>
                        </w:rPr>
                      </w:pPr>
                      <w:r>
                        <w:rPr>
                          <w:rFonts w:hint="eastAsia" w:asciiTheme="minorEastAsia" w:hAnsiTheme="minorEastAsia" w:eastAsiaTheme="minorEastAsia"/>
                          <w:spacing w:val="0"/>
                          <w:w w:val="100"/>
                          <w:sz w:val="32"/>
                          <w:szCs w:val="32"/>
                        </w:rPr>
                        <w:t>国家标准化管理委员会</w:t>
                      </w:r>
                    </w:p>
                    <w:p>
                      <w:pPr>
                        <w:pStyle w:val="45"/>
                        <w:ind w:firstLine="420"/>
                        <w:jc w:val="distribute"/>
                      </w:pPr>
                    </w:p>
                    <w:p>
                      <w:pPr>
                        <w:pStyle w:val="45"/>
                        <w:ind w:firstLine="420"/>
                        <w:jc w:val="distribute"/>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4000500</wp:posOffset>
                </wp:positionH>
                <wp:positionV relativeFrom="margin">
                  <wp:posOffset>8528685</wp:posOffset>
                </wp:positionV>
                <wp:extent cx="2019300" cy="312420"/>
                <wp:effectExtent l="0" t="0" r="0" b="0"/>
                <wp:wrapNone/>
                <wp:docPr id="1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59"/>
                              <w:rPr>
                                <w:rFonts w:ascii="黑体" w:hAnsi="黑体"/>
                              </w:rPr>
                            </w:pPr>
                            <w:r>
                              <w:rPr>
                                <w:rFonts w:ascii="黑体" w:hAnsi="黑体"/>
                              </w:rPr>
                              <w:t>202X</w:t>
                            </w:r>
                            <w:r>
                              <w:rPr>
                                <w:rFonts w:hint="eastAsia" w:ascii="黑体" w:hAnsi="黑体"/>
                                <w:color w:val="000000"/>
                              </w:rPr>
                              <w:t>-</w:t>
                            </w:r>
                            <w:r>
                              <w:rPr>
                                <w:rFonts w:ascii="黑体" w:hAnsi="黑体"/>
                                <w:color w:val="000000"/>
                              </w:rPr>
                              <w:t>XX</w:t>
                            </w:r>
                            <w:r>
                              <w:rPr>
                                <w:rFonts w:hint="eastAsia" w:ascii="黑体" w:hAnsi="黑体"/>
                                <w:color w:val="000000"/>
                              </w:rPr>
                              <w:t>-</w:t>
                            </w:r>
                            <w:r>
                              <w:rPr>
                                <w:rFonts w:ascii="黑体" w:hAnsi="黑体"/>
                                <w:color w:val="000000"/>
                              </w:rPr>
                              <w:t>XX</w:t>
                            </w:r>
                            <w:r>
                              <w:rPr>
                                <w:rFonts w:hint="eastAsia" w:ascii="黑体" w:hAnsi="黑体"/>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71.55pt;height:24.6pt;width:159pt;mso-position-horizontal-relative:margin;mso-position-vertical-relative:margin;z-index:251663360;mso-width-relative:page;mso-height-relative:page;" fillcolor="#FFFFFF" filled="t" stroked="f" coordsize="21600,21600" o:gfxdata="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JcrhtoAAAANAQAADwAAAAAAAAAB&#10;ACAAAAAiAAAAZHJzL2Rvd25yZXYueG1sUEsBAhQAFAAAAAgAh07iQKQz/4UOAgAALAQAAA4AAAAA&#10;AAAAAQAgAAAAKQEAAGRycy9lMm9Eb2MueG1sUEsFBgAAAAAGAAYAWQEAAKkFAAAAAA==&#10;">
                <v:fill on="t" focussize="0,0"/>
                <v:stroke on="f"/>
                <v:imagedata o:title=""/>
                <o:lock v:ext="edit" aspectratio="f"/>
                <v:textbox inset="0mm,0mm,0mm,0mm">
                  <w:txbxContent>
                    <w:p>
                      <w:pPr>
                        <w:pStyle w:val="59"/>
                        <w:rPr>
                          <w:rFonts w:ascii="黑体" w:hAnsi="黑体"/>
                        </w:rPr>
                      </w:pPr>
                      <w:r>
                        <w:rPr>
                          <w:rFonts w:ascii="黑体" w:hAnsi="黑体"/>
                        </w:rPr>
                        <w:t>202X</w:t>
                      </w:r>
                      <w:r>
                        <w:rPr>
                          <w:rFonts w:hint="eastAsia" w:ascii="黑体" w:hAnsi="黑体"/>
                          <w:color w:val="000000"/>
                        </w:rPr>
                        <w:t>-</w:t>
                      </w:r>
                      <w:r>
                        <w:rPr>
                          <w:rFonts w:ascii="黑体" w:hAnsi="黑体"/>
                          <w:color w:val="000000"/>
                        </w:rPr>
                        <w:t>XX</w:t>
                      </w:r>
                      <w:r>
                        <w:rPr>
                          <w:rFonts w:hint="eastAsia" w:ascii="黑体" w:hAnsi="黑体"/>
                          <w:color w:val="000000"/>
                        </w:rPr>
                        <w:t>-</w:t>
                      </w:r>
                      <w:r>
                        <w:rPr>
                          <w:rFonts w:ascii="黑体" w:hAnsi="黑体"/>
                          <w:color w:val="000000"/>
                        </w:rPr>
                        <w:t>XX</w:t>
                      </w:r>
                      <w:r>
                        <w:rPr>
                          <w:rFonts w:hint="eastAsia" w:ascii="黑体" w:hAnsi="黑体"/>
                        </w:rPr>
                        <w:t>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8536940</wp:posOffset>
                </wp:positionV>
                <wp:extent cx="2019300" cy="312420"/>
                <wp:effectExtent l="0" t="0" r="0" b="0"/>
                <wp:wrapNone/>
                <wp:docPr id="1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0"/>
                              <w:rPr>
                                <w:rFonts w:ascii="黑体" w:hAnsi="黑体"/>
                                <w:color w:val="000000"/>
                              </w:rPr>
                            </w:pPr>
                            <w:r>
                              <w:rPr>
                                <w:rFonts w:hint="eastAsia" w:ascii="黑体" w:hAnsi="黑体"/>
                              </w:rPr>
                              <w:t>20</w:t>
                            </w:r>
                            <w:r>
                              <w:rPr>
                                <w:rFonts w:ascii="黑体" w:hAnsi="黑体"/>
                                <w:color w:val="000000"/>
                              </w:rPr>
                              <w:t>2X</w:t>
                            </w:r>
                            <w:r>
                              <w:rPr>
                                <w:rFonts w:hint="eastAsia" w:ascii="黑体" w:hAnsi="黑体"/>
                                <w:color w:val="000000"/>
                              </w:rPr>
                              <w:t>-</w:t>
                            </w:r>
                            <w:r>
                              <w:rPr>
                                <w:rFonts w:ascii="黑体" w:hAnsi="黑体"/>
                                <w:color w:val="000000"/>
                              </w:rPr>
                              <w:t>XX</w:t>
                            </w:r>
                            <w:r>
                              <w:rPr>
                                <w:rFonts w:hint="eastAsia" w:ascii="黑体" w:hAnsi="黑体"/>
                                <w:color w:val="000000"/>
                              </w:rPr>
                              <w:t>-</w:t>
                            </w:r>
                            <w:r>
                              <w:rPr>
                                <w:rFonts w:ascii="黑体" w:hAnsi="黑体"/>
                                <w:color w:val="000000"/>
                              </w:rPr>
                              <w:t>XX</w:t>
                            </w:r>
                            <w:r>
                              <w:rPr>
                                <w:rFonts w:hint="eastAsia" w:ascii="黑体" w:hAnsi="黑体"/>
                                <w:color w:val="000000"/>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2.2pt;height:24.6pt;width:159pt;mso-position-horizontal-relative:margin;mso-position-vertical-relative:margin;z-index:251662336;mso-width-relative:page;mso-height-relative:page;" fillcolor="#FFFFFF" filled="t" stroked="f" coordsize="21600,21600" o:gfxdata="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JtGrYAAAACgEAAA8AAAAAAAAAAQAg&#10;AAAAIgAAAGRycy9kb3ducmV2LnhtbFBLAQIUABQAAAAIAIdO4kBa0bhCDgIAACwEAAAOAAAAAAAA&#10;AAEAIAAAACcBAABkcnMvZTJvRG9jLnhtbFBLBQYAAAAABgAGAFkBAACnBQAAAAA=&#10;">
                <v:fill on="t" focussize="0,0"/>
                <v:stroke on="f"/>
                <v:imagedata o:title=""/>
                <o:lock v:ext="edit" aspectratio="f"/>
                <v:textbox inset="0mm,0mm,0mm,0mm">
                  <w:txbxContent>
                    <w:p>
                      <w:pPr>
                        <w:pStyle w:val="60"/>
                        <w:rPr>
                          <w:rFonts w:ascii="黑体" w:hAnsi="黑体"/>
                          <w:color w:val="000000"/>
                        </w:rPr>
                      </w:pPr>
                      <w:r>
                        <w:rPr>
                          <w:rFonts w:hint="eastAsia" w:ascii="黑体" w:hAnsi="黑体"/>
                        </w:rPr>
                        <w:t>20</w:t>
                      </w:r>
                      <w:r>
                        <w:rPr>
                          <w:rFonts w:ascii="黑体" w:hAnsi="黑体"/>
                          <w:color w:val="000000"/>
                        </w:rPr>
                        <w:t>2X</w:t>
                      </w:r>
                      <w:r>
                        <w:rPr>
                          <w:rFonts w:hint="eastAsia" w:ascii="黑体" w:hAnsi="黑体"/>
                          <w:color w:val="000000"/>
                        </w:rPr>
                        <w:t>-</w:t>
                      </w:r>
                      <w:r>
                        <w:rPr>
                          <w:rFonts w:ascii="黑体" w:hAnsi="黑体"/>
                          <w:color w:val="000000"/>
                        </w:rPr>
                        <w:t>XX</w:t>
                      </w:r>
                      <w:r>
                        <w:rPr>
                          <w:rFonts w:hint="eastAsia" w:ascii="黑体" w:hAnsi="黑体"/>
                          <w:color w:val="000000"/>
                        </w:rPr>
                        <w:t>-</w:t>
                      </w:r>
                      <w:r>
                        <w:rPr>
                          <w:rFonts w:ascii="黑体" w:hAnsi="黑体"/>
                          <w:color w:val="000000"/>
                        </w:rPr>
                        <w:t>XX</w:t>
                      </w:r>
                      <w:r>
                        <w:rPr>
                          <w:rFonts w:hint="eastAsia" w:ascii="黑体" w:hAnsi="黑体"/>
                          <w:color w:val="000000"/>
                        </w:rPr>
                        <w:t>发布</w:t>
                      </w:r>
                    </w:p>
                  </w:txbxContent>
                </v:textbox>
                <w10:anchorlock/>
              </v:shape>
            </w:pict>
          </mc:Fallback>
        </mc:AlternateContent>
      </w:r>
      <w:r>
        <mc:AlternateContent>
          <mc:Choice Requires="wps">
            <w:drawing>
              <wp:anchor distT="0" distB="0" distL="114300" distR="114300" simplePos="0" relativeHeight="251661312" behindDoc="0" locked="1" layoutInCell="0" allowOverlap="1">
                <wp:simplePos x="0" y="0"/>
                <wp:positionH relativeFrom="margin">
                  <wp:align>right</wp:align>
                </wp:positionH>
                <wp:positionV relativeFrom="margin">
                  <wp:posOffset>3785870</wp:posOffset>
                </wp:positionV>
                <wp:extent cx="6121400" cy="3738245"/>
                <wp:effectExtent l="0" t="0" r="0" b="0"/>
                <wp:wrapNone/>
                <wp:docPr id="17" name="fmFrame4"/>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wps:spPr>
                      <wps:txbx>
                        <w:txbxContent>
                          <w:p>
                            <w:pPr>
                              <w:pStyle w:val="109"/>
                            </w:pPr>
                            <w:r>
                              <w:rPr>
                                <w:rFonts w:hint="eastAsia"/>
                              </w:rPr>
                              <w:t>稀土铁合金化学分析方法</w:t>
                            </w:r>
                          </w:p>
                          <w:p>
                            <w:pPr>
                              <w:pStyle w:val="109"/>
                            </w:pPr>
                            <w:r>
                              <w:rPr>
                                <w:rFonts w:hint="eastAsia"/>
                              </w:rPr>
                              <w:t>第</w:t>
                            </w:r>
                            <w:r>
                              <w:t>9</w:t>
                            </w:r>
                            <w:r>
                              <w:rPr>
                                <w:rFonts w:hint="eastAsia"/>
                              </w:rPr>
                              <w:t>部分：磷量的测定</w:t>
                            </w:r>
                          </w:p>
                          <w:p>
                            <w:pPr>
                              <w:pStyle w:val="109"/>
                            </w:pPr>
                            <w:r>
                              <w:rPr>
                                <w:rFonts w:hint="eastAsia"/>
                              </w:rPr>
                              <w:t>铋磷钼蓝分光光度法</w:t>
                            </w:r>
                          </w:p>
                          <w:p>
                            <w:pPr>
                              <w:pStyle w:val="80"/>
                              <w:shd w:val="clear" w:color="auto" w:fill="FFFFFF"/>
                              <w:spacing w:before="567" w:beforeAutospacing="0" w:after="0" w:line="330" w:lineRule="exact"/>
                              <w:ind w:firstLine="567"/>
                              <w:jc w:val="center"/>
                              <w:rPr>
                                <w:rFonts w:cs="Times New Roman"/>
                                <w:color w:val="auto"/>
                                <w:sz w:val="28"/>
                              </w:rPr>
                            </w:pPr>
                            <w:r>
                              <w:rPr>
                                <w:rFonts w:hint="eastAsia" w:cs="Times New Roman"/>
                                <w:color w:val="auto"/>
                                <w:sz w:val="28"/>
                              </w:rPr>
                              <w:t xml:space="preserve">Chemical analysis methods for rare earth ferroalloy -   </w:t>
                            </w:r>
                          </w:p>
                          <w:p>
                            <w:pPr>
                              <w:pStyle w:val="80"/>
                              <w:shd w:val="clear" w:color="auto" w:fill="FFFFFF"/>
                              <w:spacing w:before="0" w:beforeAutospacing="0" w:after="0" w:line="330" w:lineRule="exact"/>
                              <w:ind w:firstLine="567"/>
                              <w:jc w:val="center"/>
                              <w:rPr>
                                <w:rFonts w:cs="Times New Roman"/>
                                <w:color w:val="auto"/>
                                <w:sz w:val="28"/>
                              </w:rPr>
                            </w:pPr>
                            <w:r>
                              <w:rPr>
                                <w:rFonts w:hint="eastAsia" w:cs="Times New Roman"/>
                                <w:color w:val="auto"/>
                                <w:sz w:val="28"/>
                              </w:rPr>
                              <w:t>Part 9：Determination of phosphorus content-</w:t>
                            </w:r>
                          </w:p>
                          <w:p>
                            <w:pPr>
                              <w:pStyle w:val="80"/>
                              <w:shd w:val="clear" w:color="auto" w:fill="FFFFFF"/>
                              <w:spacing w:before="0" w:beforeAutospacing="0" w:after="0" w:line="330" w:lineRule="exact"/>
                              <w:ind w:firstLine="567"/>
                              <w:jc w:val="center"/>
                              <w:rPr>
                                <w:rFonts w:cs="Times New Roman"/>
                                <w:color w:val="auto"/>
                                <w:sz w:val="28"/>
                              </w:rPr>
                            </w:pPr>
                            <w:r>
                              <w:rPr>
                                <w:rFonts w:hint="eastAsia" w:cs="Times New Roman"/>
                                <w:color w:val="auto"/>
                                <w:sz w:val="28"/>
                              </w:rPr>
                              <w:t>Bismuth Phosph</w:t>
                            </w:r>
                            <w:r>
                              <w:rPr>
                                <w:rFonts w:cs="Times New Roman"/>
                                <w:color w:val="auto"/>
                                <w:sz w:val="28"/>
                              </w:rPr>
                              <w:t>molybdate</w:t>
                            </w:r>
                            <w:r>
                              <w:rPr>
                                <w:rFonts w:hint="eastAsia" w:cs="Times New Roman"/>
                                <w:color w:val="auto"/>
                                <w:sz w:val="28"/>
                              </w:rPr>
                              <w:t xml:space="preserve"> blue spectrophotometry</w:t>
                            </w:r>
                          </w:p>
                          <w:p>
                            <w:pPr>
                              <w:pStyle w:val="80"/>
                              <w:shd w:val="clear" w:color="auto" w:fill="FFFFFF"/>
                              <w:spacing w:before="0" w:beforeAutospacing="0" w:after="0" w:line="330" w:lineRule="exact"/>
                              <w:ind w:firstLine="567"/>
                              <w:jc w:val="center"/>
                              <w:rPr>
                                <w:sz w:val="28"/>
                                <w:szCs w:val="28"/>
                              </w:rPr>
                            </w:pPr>
                            <w:r>
                              <w:rPr>
                                <w:rFonts w:hint="eastAsia"/>
                                <w:sz w:val="28"/>
                                <w:szCs w:val="28"/>
                              </w:rPr>
                              <w:t xml:space="preserve"> </w:t>
                            </w:r>
                          </w:p>
                          <w:p>
                            <w:pPr>
                              <w:pStyle w:val="80"/>
                              <w:shd w:val="clear" w:color="auto" w:fill="FFFFFF"/>
                              <w:spacing w:before="0" w:beforeAutospacing="0" w:after="0" w:line="330" w:lineRule="exact"/>
                              <w:ind w:firstLine="567"/>
                              <w:jc w:val="center"/>
                              <w:rPr>
                                <w:rFonts w:cs="Times New Roman"/>
                                <w:color w:val="auto"/>
                                <w:sz w:val="28"/>
                              </w:rPr>
                            </w:pPr>
                            <w:r>
                              <w:rPr>
                                <w:rFonts w:hint="eastAsia" w:ascii="黑体" w:hAnsi="黑体" w:eastAsia="黑体" w:cs="Times New Roman"/>
                                <w:color w:val="auto"/>
                                <w:sz w:val="28"/>
                              </w:rPr>
                              <w:t>（</w:t>
                            </w:r>
                            <w:r>
                              <w:rPr>
                                <w:rFonts w:hint="eastAsia" w:ascii="黑体" w:hAnsi="黑体" w:eastAsia="黑体" w:cs="Times New Roman"/>
                                <w:color w:val="auto"/>
                                <w:sz w:val="28"/>
                                <w:lang w:eastAsia="zh-CN"/>
                              </w:rPr>
                              <w:t>预审</w:t>
                            </w:r>
                            <w:r>
                              <w:rPr>
                                <w:rFonts w:hint="eastAsia" w:ascii="黑体" w:hAnsi="黑体" w:eastAsia="黑体" w:cs="Times New Roman"/>
                                <w:color w:val="auto"/>
                                <w:sz w:val="28"/>
                              </w:rPr>
                              <w:t>稿）</w:t>
                            </w:r>
                            <w:r>
                              <w:rPr>
                                <w:sz w:val="28"/>
                                <w:szCs w:val="28"/>
                              </w:rPr>
                              <w:br w:type="textWrapping"/>
                            </w:r>
                          </w:p>
                          <w:p>
                            <w:pPr>
                              <w:pStyle w:val="93"/>
                            </w:pPr>
                          </w:p>
                          <w:p>
                            <w:pPr>
                              <w:pStyle w:val="110"/>
                            </w:pPr>
                          </w:p>
                          <w:p>
                            <w:pPr>
                              <w:pStyle w:val="73"/>
                              <w:jc w:val="both"/>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top:298.1pt;height:294.35pt;width:482pt;mso-position-horizontal:right;mso-position-horizontal-relative:margin;mso-position-vertical-relative:margin;z-index:251661312;mso-width-relative:page;mso-height-relative:page;" fillcolor="#FFFFFF" filled="t" stroked="f" coordsize="21600,21600" o:allowincell="f" o:gfxdata="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3vWmzYAAAACQEAAA8AAAAAAAAA&#10;AQAgAAAAIgAAAGRycy9kb3ducmV2LnhtbFBLAQIUABQAAAAIAIdO4kDcXG0BEQIAAC0EAAAOAAAA&#10;AAAAAAEAIAAAACcBAABkcnMvZTJvRG9jLnhtbFBLBQYAAAAABgAGAFkBAACqBQAAAAA=&#10;">
                <v:fill on="t" focussize="0,0"/>
                <v:stroke on="f"/>
                <v:imagedata o:title=""/>
                <o:lock v:ext="edit" aspectratio="f"/>
                <v:textbox inset="0mm,0mm,0mm,0mm">
                  <w:txbxContent>
                    <w:p>
                      <w:pPr>
                        <w:pStyle w:val="109"/>
                      </w:pPr>
                      <w:r>
                        <w:rPr>
                          <w:rFonts w:hint="eastAsia"/>
                        </w:rPr>
                        <w:t>稀土铁合金化学分析方法</w:t>
                      </w:r>
                    </w:p>
                    <w:p>
                      <w:pPr>
                        <w:pStyle w:val="109"/>
                      </w:pPr>
                      <w:r>
                        <w:rPr>
                          <w:rFonts w:hint="eastAsia"/>
                        </w:rPr>
                        <w:t>第</w:t>
                      </w:r>
                      <w:r>
                        <w:t>9</w:t>
                      </w:r>
                      <w:r>
                        <w:rPr>
                          <w:rFonts w:hint="eastAsia"/>
                        </w:rPr>
                        <w:t>部分：磷量的测定</w:t>
                      </w:r>
                    </w:p>
                    <w:p>
                      <w:pPr>
                        <w:pStyle w:val="109"/>
                      </w:pPr>
                      <w:r>
                        <w:rPr>
                          <w:rFonts w:hint="eastAsia"/>
                        </w:rPr>
                        <w:t>铋磷钼蓝分光光度法</w:t>
                      </w:r>
                    </w:p>
                    <w:p>
                      <w:pPr>
                        <w:pStyle w:val="80"/>
                        <w:shd w:val="clear" w:color="auto" w:fill="FFFFFF"/>
                        <w:spacing w:before="567" w:beforeAutospacing="0" w:after="0" w:line="330" w:lineRule="exact"/>
                        <w:ind w:firstLine="567"/>
                        <w:jc w:val="center"/>
                        <w:rPr>
                          <w:rFonts w:cs="Times New Roman"/>
                          <w:color w:val="auto"/>
                          <w:sz w:val="28"/>
                        </w:rPr>
                      </w:pPr>
                      <w:r>
                        <w:rPr>
                          <w:rFonts w:hint="eastAsia" w:cs="Times New Roman"/>
                          <w:color w:val="auto"/>
                          <w:sz w:val="28"/>
                        </w:rPr>
                        <w:t xml:space="preserve">Chemical analysis methods for rare earth ferroalloy -   </w:t>
                      </w:r>
                    </w:p>
                    <w:p>
                      <w:pPr>
                        <w:pStyle w:val="80"/>
                        <w:shd w:val="clear" w:color="auto" w:fill="FFFFFF"/>
                        <w:spacing w:before="0" w:beforeAutospacing="0" w:after="0" w:line="330" w:lineRule="exact"/>
                        <w:ind w:firstLine="567"/>
                        <w:jc w:val="center"/>
                        <w:rPr>
                          <w:rFonts w:cs="Times New Roman"/>
                          <w:color w:val="auto"/>
                          <w:sz w:val="28"/>
                        </w:rPr>
                      </w:pPr>
                      <w:r>
                        <w:rPr>
                          <w:rFonts w:hint="eastAsia" w:cs="Times New Roman"/>
                          <w:color w:val="auto"/>
                          <w:sz w:val="28"/>
                        </w:rPr>
                        <w:t>Part 9：Determination of phosphorus content-</w:t>
                      </w:r>
                    </w:p>
                    <w:p>
                      <w:pPr>
                        <w:pStyle w:val="80"/>
                        <w:shd w:val="clear" w:color="auto" w:fill="FFFFFF"/>
                        <w:spacing w:before="0" w:beforeAutospacing="0" w:after="0" w:line="330" w:lineRule="exact"/>
                        <w:ind w:firstLine="567"/>
                        <w:jc w:val="center"/>
                        <w:rPr>
                          <w:rFonts w:cs="Times New Roman"/>
                          <w:color w:val="auto"/>
                          <w:sz w:val="28"/>
                        </w:rPr>
                      </w:pPr>
                      <w:r>
                        <w:rPr>
                          <w:rFonts w:hint="eastAsia" w:cs="Times New Roman"/>
                          <w:color w:val="auto"/>
                          <w:sz w:val="28"/>
                        </w:rPr>
                        <w:t>Bismuth Phosph</w:t>
                      </w:r>
                      <w:r>
                        <w:rPr>
                          <w:rFonts w:cs="Times New Roman"/>
                          <w:color w:val="auto"/>
                          <w:sz w:val="28"/>
                        </w:rPr>
                        <w:t>molybdate</w:t>
                      </w:r>
                      <w:r>
                        <w:rPr>
                          <w:rFonts w:hint="eastAsia" w:cs="Times New Roman"/>
                          <w:color w:val="auto"/>
                          <w:sz w:val="28"/>
                        </w:rPr>
                        <w:t xml:space="preserve"> blue spectrophotometry</w:t>
                      </w:r>
                    </w:p>
                    <w:p>
                      <w:pPr>
                        <w:pStyle w:val="80"/>
                        <w:shd w:val="clear" w:color="auto" w:fill="FFFFFF"/>
                        <w:spacing w:before="0" w:beforeAutospacing="0" w:after="0" w:line="330" w:lineRule="exact"/>
                        <w:ind w:firstLine="567"/>
                        <w:jc w:val="center"/>
                        <w:rPr>
                          <w:sz w:val="28"/>
                          <w:szCs w:val="28"/>
                        </w:rPr>
                      </w:pPr>
                      <w:r>
                        <w:rPr>
                          <w:rFonts w:hint="eastAsia"/>
                          <w:sz w:val="28"/>
                          <w:szCs w:val="28"/>
                        </w:rPr>
                        <w:t xml:space="preserve"> </w:t>
                      </w:r>
                    </w:p>
                    <w:p>
                      <w:pPr>
                        <w:pStyle w:val="80"/>
                        <w:shd w:val="clear" w:color="auto" w:fill="FFFFFF"/>
                        <w:spacing w:before="0" w:beforeAutospacing="0" w:after="0" w:line="330" w:lineRule="exact"/>
                        <w:ind w:firstLine="567"/>
                        <w:jc w:val="center"/>
                        <w:rPr>
                          <w:rFonts w:cs="Times New Roman"/>
                          <w:color w:val="auto"/>
                          <w:sz w:val="28"/>
                        </w:rPr>
                      </w:pPr>
                      <w:r>
                        <w:rPr>
                          <w:rFonts w:hint="eastAsia" w:ascii="黑体" w:hAnsi="黑体" w:eastAsia="黑体" w:cs="Times New Roman"/>
                          <w:color w:val="auto"/>
                          <w:sz w:val="28"/>
                        </w:rPr>
                        <w:t>（</w:t>
                      </w:r>
                      <w:r>
                        <w:rPr>
                          <w:rFonts w:hint="eastAsia" w:ascii="黑体" w:hAnsi="黑体" w:eastAsia="黑体" w:cs="Times New Roman"/>
                          <w:color w:val="auto"/>
                          <w:sz w:val="28"/>
                          <w:lang w:eastAsia="zh-CN"/>
                        </w:rPr>
                        <w:t>预审</w:t>
                      </w:r>
                      <w:r>
                        <w:rPr>
                          <w:rFonts w:hint="eastAsia" w:ascii="黑体" w:hAnsi="黑体" w:eastAsia="黑体" w:cs="Times New Roman"/>
                          <w:color w:val="auto"/>
                          <w:sz w:val="28"/>
                        </w:rPr>
                        <w:t>稿）</w:t>
                      </w:r>
                      <w:r>
                        <w:rPr>
                          <w:sz w:val="28"/>
                          <w:szCs w:val="28"/>
                        </w:rPr>
                        <w:br w:type="textWrapping"/>
                      </w:r>
                    </w:p>
                    <w:p>
                      <w:pPr>
                        <w:pStyle w:val="93"/>
                      </w:pPr>
                    </w:p>
                    <w:p>
                      <w:pPr>
                        <w:pStyle w:val="110"/>
                      </w:pPr>
                    </w:p>
                    <w:p>
                      <w:pPr>
                        <w:pStyle w:val="73"/>
                        <w:jc w:val="both"/>
                      </w:pPr>
                    </w:p>
                  </w:txbxContent>
                </v:textbox>
                <w10:anchorlock/>
              </v:shape>
            </w:pict>
          </mc:Fallback>
        </mc:AlternateContent>
      </w:r>
      <w:r>
        <mc:AlternateContent>
          <mc:Choice Requires="wps">
            <w:drawing>
              <wp:anchor distT="0" distB="0" distL="114300" distR="114300" simplePos="0" relativeHeight="251660288"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pPr>
                              <w:pStyle w:val="101"/>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83.75pt;height:30.8pt;width:477.75pt;mso-position-horizontal-relative:margin;mso-position-vertical-relative:margin;z-index:251660288;mso-width-relative:page;mso-height-relative:page;" fillcolor="#FFFFFF" filled="t" stroked="f" coordsize="21600,21600" o:allowincell="f" o:gfxdata="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WtUKdgAAAAKAQAADwAAAAAAAAAB&#10;ACAAAAAiAAAAZHJzL2Rvd25yZXYueG1sUEsBAhQAFAAAAAgAh07iQJGcFosQAgAALAQAAA4AAAAA&#10;AAAAAQAgAAAAJwEAAGRycy9lMm9Eb2MueG1sUEsFBgAAAAAGAAYAWQEAAKkFAAAAAA==&#10;">
                <v:fill on="t" focussize="0,0"/>
                <v:stroke on="f"/>
                <v:imagedata o:title=""/>
                <o:lock v:ext="edit" aspectratio="f"/>
                <v:textbox inset="0mm,0mm,0mm,0mm">
                  <w:txbxContent>
                    <w:p>
                      <w:pPr>
                        <w:pStyle w:val="101"/>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9264" behindDoc="0" locked="1" layoutInCell="0" allowOverlap="1">
                <wp:simplePos x="0" y="0"/>
                <wp:positionH relativeFrom="margin">
                  <wp:posOffset>-8255</wp:posOffset>
                </wp:positionH>
                <wp:positionV relativeFrom="margin">
                  <wp:posOffset>-16510</wp:posOffset>
                </wp:positionV>
                <wp:extent cx="1023620" cy="390525"/>
                <wp:effectExtent l="0" t="0" r="5080" b="9525"/>
                <wp:wrapNone/>
                <wp:docPr id="15" name="fmFrame1"/>
                <wp:cNvGraphicFramePr/>
                <a:graphic xmlns:a="http://schemas.openxmlformats.org/drawingml/2006/main">
                  <a:graphicData uri="http://schemas.microsoft.com/office/word/2010/wordprocessingShape">
                    <wps:wsp>
                      <wps:cNvSpPr txBox="1">
                        <a:spLocks noChangeArrowheads="1"/>
                      </wps:cNvSpPr>
                      <wps:spPr bwMode="auto">
                        <a:xfrm>
                          <a:off x="0" y="0"/>
                          <a:ext cx="1023620" cy="390525"/>
                        </a:xfrm>
                        <a:prstGeom prst="rect">
                          <a:avLst/>
                        </a:prstGeom>
                        <a:solidFill>
                          <a:srgbClr val="FFFFFF"/>
                        </a:solidFill>
                        <a:ln>
                          <a:noFill/>
                        </a:ln>
                      </wps:spPr>
                      <wps:txbx>
                        <w:txbxContent>
                          <w:p>
                            <w:pPr>
                              <w:pStyle w:val="96"/>
                              <w:rPr>
                                <w:rFonts w:asciiTheme="minorEastAsia" w:hAnsiTheme="minorEastAsia" w:eastAsiaTheme="minorEastAsia"/>
                              </w:rPr>
                            </w:pPr>
                            <w:r>
                              <w:rPr>
                                <w:rFonts w:asciiTheme="minorEastAsia" w:hAnsiTheme="minorEastAsia" w:eastAsiaTheme="minorEastAsia"/>
                              </w:rPr>
                              <w:t>ICS</w:t>
                            </w:r>
                            <w:r>
                              <w:rPr>
                                <w:rFonts w:asciiTheme="minorEastAsia" w:hAnsiTheme="minorEastAsia" w:eastAsiaTheme="minorEastAsia"/>
                                <w:color w:val="000000" w:themeColor="text1"/>
                                <w14:textFill>
                                  <w14:solidFill>
                                    <w14:schemeClr w14:val="tx1"/>
                                  </w14:solidFill>
                                </w14:textFill>
                              </w:rPr>
                              <w:t xml:space="preserve"> </w:t>
                            </w:r>
                            <w:r>
                              <w:rPr>
                                <w:rFonts w:asciiTheme="minorEastAsia" w:hAnsiTheme="minorEastAsia" w:eastAsiaTheme="minorEastAsia"/>
                              </w:rPr>
                              <w:t>77.120</w:t>
                            </w:r>
                            <w:r>
                              <w:rPr>
                                <w:rFonts w:hint="eastAsia" w:asciiTheme="minorEastAsia" w:hAnsiTheme="minorEastAsia" w:eastAsiaTheme="minorEastAsia"/>
                              </w:rPr>
                              <w:t>.99</w:t>
                            </w:r>
                          </w:p>
                          <w:p>
                            <w:pPr>
                              <w:pStyle w:val="96"/>
                              <w:rPr>
                                <w:rFonts w:asciiTheme="minorEastAsia" w:hAnsiTheme="minorEastAsia" w:eastAsiaTheme="minorEastAsia"/>
                              </w:rPr>
                            </w:pPr>
                            <w:r>
                              <w:rPr>
                                <w:rFonts w:asciiTheme="minorEastAsia" w:hAnsiTheme="minorEastAsia" w:eastAsiaTheme="minorEastAsia"/>
                              </w:rPr>
                              <w:t>H 14</w:t>
                            </w:r>
                          </w:p>
                          <w:p>
                            <w:pPr>
                              <w:pStyle w:val="96"/>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65pt;margin-top:-1.3pt;height:30.75pt;width:80.6pt;mso-position-horizontal-relative:margin;mso-position-vertical-relative:margin;z-index:251659264;mso-width-relative:page;mso-height-relative:page;" fillcolor="#FFFFFF" filled="t" stroked="f" coordsize="21600,21600" o:allowincell="f" o:gfxdata="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1yYRPYAAAACAEAAA8AAAAAAAAAAQAg&#10;AAAAIgAAAGRycy9kb3ducmV2LnhtbFBLAQIUABQAAAAIAIdO4kDYRiL6DgIAACwEAAAOAAAAAAAA&#10;AAEAIAAAACcBAABkcnMvZTJvRG9jLnhtbFBLBQYAAAAABgAGAFkBAACnBQAAAAA=&#10;">
                <v:fill on="t" focussize="0,0"/>
                <v:stroke on="f"/>
                <v:imagedata o:title=""/>
                <o:lock v:ext="edit" aspectratio="f"/>
                <v:textbox inset="0mm,0mm,0mm,0mm">
                  <w:txbxContent>
                    <w:p>
                      <w:pPr>
                        <w:pStyle w:val="96"/>
                        <w:rPr>
                          <w:rFonts w:asciiTheme="minorEastAsia" w:hAnsiTheme="minorEastAsia" w:eastAsiaTheme="minorEastAsia"/>
                        </w:rPr>
                      </w:pPr>
                      <w:r>
                        <w:rPr>
                          <w:rFonts w:asciiTheme="minorEastAsia" w:hAnsiTheme="minorEastAsia" w:eastAsiaTheme="minorEastAsia"/>
                        </w:rPr>
                        <w:t>ICS</w:t>
                      </w:r>
                      <w:r>
                        <w:rPr>
                          <w:rFonts w:asciiTheme="minorEastAsia" w:hAnsiTheme="minorEastAsia" w:eastAsiaTheme="minorEastAsia"/>
                          <w:color w:val="000000" w:themeColor="text1"/>
                          <w14:textFill>
                            <w14:solidFill>
                              <w14:schemeClr w14:val="tx1"/>
                            </w14:solidFill>
                          </w14:textFill>
                        </w:rPr>
                        <w:t xml:space="preserve"> </w:t>
                      </w:r>
                      <w:r>
                        <w:rPr>
                          <w:rFonts w:asciiTheme="minorEastAsia" w:hAnsiTheme="minorEastAsia" w:eastAsiaTheme="minorEastAsia"/>
                        </w:rPr>
                        <w:t>77.120</w:t>
                      </w:r>
                      <w:r>
                        <w:rPr>
                          <w:rFonts w:hint="eastAsia" w:asciiTheme="minorEastAsia" w:hAnsiTheme="minorEastAsia" w:eastAsiaTheme="minorEastAsia"/>
                        </w:rPr>
                        <w:t>.99</w:t>
                      </w:r>
                    </w:p>
                    <w:p>
                      <w:pPr>
                        <w:pStyle w:val="96"/>
                        <w:rPr>
                          <w:rFonts w:asciiTheme="minorEastAsia" w:hAnsiTheme="minorEastAsia" w:eastAsiaTheme="minorEastAsia"/>
                        </w:rPr>
                      </w:pPr>
                      <w:r>
                        <w:rPr>
                          <w:rFonts w:asciiTheme="minorEastAsia" w:hAnsiTheme="minorEastAsia" w:eastAsiaTheme="minorEastAsia"/>
                        </w:rPr>
                        <w:t>H 14</w:t>
                      </w:r>
                    </w:p>
                    <w:p>
                      <w:pPr>
                        <w:pStyle w:val="96"/>
                      </w:pPr>
                    </w:p>
                  </w:txbxContent>
                </v:textbox>
                <w10:anchorlock/>
              </v:shape>
            </w:pict>
          </mc:Fallback>
        </mc:AlternateContent>
      </w:r>
    </w:p>
    <w:p/>
    <w:p/>
    <w:p/>
    <w:p/>
    <w:p/>
    <w:p/>
    <w:p/>
    <w:p>
      <w:r>
        <mc:AlternateContent>
          <mc:Choice Requires="wps">
            <w:drawing>
              <wp:anchor distT="0" distB="0" distL="114300" distR="114300" simplePos="0" relativeHeight="251670528" behindDoc="0" locked="0" layoutInCell="1" allowOverlap="1">
                <wp:simplePos x="0" y="0"/>
                <wp:positionH relativeFrom="margin">
                  <wp:posOffset>254635</wp:posOffset>
                </wp:positionH>
                <wp:positionV relativeFrom="paragraph">
                  <wp:posOffset>39370</wp:posOffset>
                </wp:positionV>
                <wp:extent cx="5716905" cy="657860"/>
                <wp:effectExtent l="0" t="0" r="0" b="8890"/>
                <wp:wrapNone/>
                <wp:docPr id="14"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16905" cy="657860"/>
                        </a:xfrm>
                        <a:prstGeom prst="rect">
                          <a:avLst/>
                        </a:prstGeom>
                        <a:noFill/>
                        <a:ln>
                          <a:noFill/>
                        </a:ln>
                      </wps:spPr>
                      <wps:txbx>
                        <w:txbxContent>
                          <w:p>
                            <w:pPr>
                              <w:spacing w:line="380" w:lineRule="exact"/>
                              <w:jc w:val="right"/>
                            </w:pPr>
                            <w:r>
                              <w:rPr>
                                <w:rFonts w:ascii="黑体" w:hAnsi="黑体" w:eastAsia="黑体"/>
                                <w:sz w:val="28"/>
                              </w:rPr>
                              <w:t>GB/T</w:t>
                            </w:r>
                            <w:r>
                              <w:rPr>
                                <w:rFonts w:asciiTheme="minorEastAsia" w:hAnsiTheme="minorEastAsia" w:eastAsiaTheme="minorEastAsia"/>
                                <w:color w:val="000000" w:themeColor="text1"/>
                                <w14:textFill>
                                  <w14:solidFill>
                                    <w14:schemeClr w14:val="tx1"/>
                                  </w14:solidFill>
                                </w14:textFill>
                              </w:rPr>
                              <w:t xml:space="preserve"> </w:t>
                            </w:r>
                            <w:r>
                              <w:rPr>
                                <w:rFonts w:hint="eastAsia" w:ascii="黑体" w:hAnsi="黑体" w:eastAsia="黑体"/>
                                <w:sz w:val="28"/>
                              </w:rPr>
                              <w:t>26416</w:t>
                            </w:r>
                            <w:r>
                              <w:t>.</w:t>
                            </w:r>
                            <w:r>
                              <w:rPr>
                                <w:rFonts w:hint="eastAsia" w:ascii="黑体" w:hAnsi="黑体" w:eastAsia="黑体"/>
                                <w:sz w:val="28"/>
                              </w:rPr>
                              <w:t>9</w:t>
                            </w:r>
                            <w:r>
                              <w:rPr>
                                <w:rFonts w:ascii="黑体" w:hAnsi="黑体" w:eastAsia="黑体"/>
                                <w:sz w:val="28"/>
                              </w:rPr>
                              <w:t>-202X</w:t>
                            </w:r>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20.05pt;margin-top:3.1pt;height:51.8pt;width:450.15pt;mso-position-horizontal-relative:margin;z-index:251670528;mso-width-relative:page;mso-height-relative:page;" filled="f" stroked="f" coordsize="21600,21600" o:gfxdata="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67CX9UAAAAIAQAADwAA&#10;AAAAAAABACAAAAAiAAAAZHJzL2Rvd25yZXYueG1sUEsBAhQAFAAAAAgAh07iQLSjqDkZAgAAFwQA&#10;AA4AAAAAAAAAAQAgAAAAJAEAAGRycy9lMm9Eb2MueG1sUEsFBgAAAAAGAAYAWQEAAK8FAAAAAA==&#10;">
                <v:fill on="f" focussize="0,0"/>
                <v:stroke on="f"/>
                <v:imagedata o:title=""/>
                <o:lock v:ext="edit" aspectratio="f"/>
                <v:textbox>
                  <w:txbxContent>
                    <w:p>
                      <w:pPr>
                        <w:spacing w:line="380" w:lineRule="exact"/>
                        <w:jc w:val="right"/>
                      </w:pPr>
                      <w:r>
                        <w:rPr>
                          <w:rFonts w:ascii="黑体" w:hAnsi="黑体" w:eastAsia="黑体"/>
                          <w:sz w:val="28"/>
                        </w:rPr>
                        <w:t>GB/T</w:t>
                      </w:r>
                      <w:r>
                        <w:rPr>
                          <w:rFonts w:asciiTheme="minorEastAsia" w:hAnsiTheme="minorEastAsia" w:eastAsiaTheme="minorEastAsia"/>
                          <w:color w:val="000000" w:themeColor="text1"/>
                          <w14:textFill>
                            <w14:solidFill>
                              <w14:schemeClr w14:val="tx1"/>
                            </w14:solidFill>
                          </w14:textFill>
                        </w:rPr>
                        <w:t xml:space="preserve"> </w:t>
                      </w:r>
                      <w:r>
                        <w:rPr>
                          <w:rFonts w:hint="eastAsia" w:ascii="黑体" w:hAnsi="黑体" w:eastAsia="黑体"/>
                          <w:sz w:val="28"/>
                        </w:rPr>
                        <w:t>26416</w:t>
                      </w:r>
                      <w:r>
                        <w:t>.</w:t>
                      </w:r>
                      <w:r>
                        <w:rPr>
                          <w:rFonts w:hint="eastAsia" w:ascii="黑体" w:hAnsi="黑体" w:eastAsia="黑体"/>
                          <w:sz w:val="28"/>
                        </w:rPr>
                        <w:t>9</w:t>
                      </w:r>
                      <w:r>
                        <w:rPr>
                          <w:rFonts w:ascii="黑体" w:hAnsi="黑体" w:eastAsia="黑体"/>
                          <w:sz w:val="28"/>
                        </w:rPr>
                        <w:t>-202X</w:t>
                      </w:r>
                    </w:p>
                  </w:txbxContent>
                </v:textbox>
              </v:shape>
            </w:pict>
          </mc:Fallback>
        </mc:AlternateContent>
      </w:r>
    </w:p>
    <w:p/>
    <w:p>
      <w: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365125</wp:posOffset>
                </wp:positionV>
                <wp:extent cx="6121400" cy="0"/>
                <wp:effectExtent l="0" t="0" r="31750" b="19050"/>
                <wp:wrapSquare wrapText="bothSides"/>
                <wp:docPr id="1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0" o:spid="_x0000_s1026" o:spt="20" style="position:absolute;left:0pt;margin-left:0pt;margin-top:28.75pt;height:0pt;width:482pt;mso-position-horizontal-relative:margin;mso-wrap-distance-bottom:0pt;mso-wrap-distance-left:9pt;mso-wrap-distance-right:9pt;mso-wrap-distance-top:0pt;z-index:251665408;mso-width-relative:page;mso-height-relative:page;" filled="f" stroked="t" coordsize="21600,21600" o:gfxdata="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X0pTP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p/>
    <w:p/>
    <w:p/>
    <w:p/>
    <w:p/>
    <w:p/>
    <w:p/>
    <w:p/>
    <w:p/>
    <w:p/>
    <w:p>
      <w:pPr>
        <w:tabs>
          <w:tab w:val="left" w:pos="8916"/>
        </w:tabs>
        <w:jc w:val="left"/>
      </w:pPr>
      <w:r>
        <w:rPr>
          <w:rFonts w:hint="eastAsia"/>
        </w:rPr>
        <w:tab/>
      </w:r>
    </w:p>
    <w:p>
      <w:pPr>
        <w:tabs>
          <w:tab w:val="left" w:pos="8916"/>
        </w:tabs>
        <w:jc w:val="left"/>
      </w:pPr>
    </w:p>
    <w:p>
      <w:pPr>
        <w:tabs>
          <w:tab w:val="left" w:pos="8916"/>
        </w:tabs>
        <w:jc w:val="left"/>
      </w:pPr>
    </w:p>
    <w:p>
      <w:pPr>
        <w:tabs>
          <w:tab w:val="left" w:pos="8916"/>
        </w:tabs>
        <w:jc w:val="left"/>
      </w:pPr>
    </w:p>
    <w:p>
      <w:pPr>
        <w:tabs>
          <w:tab w:val="left" w:pos="8916"/>
        </w:tabs>
        <w:jc w:val="left"/>
      </w:pPr>
    </w:p>
    <w:p>
      <w:pPr>
        <w:tabs>
          <w:tab w:val="left" w:pos="8916"/>
        </w:tabs>
        <w:jc w:val="left"/>
      </w:pPr>
    </w:p>
    <w:p>
      <w:pPr>
        <w:tabs>
          <w:tab w:val="left" w:pos="8916"/>
        </w:tabs>
        <w:jc w:val="left"/>
      </w:pPr>
    </w:p>
    <w:p>
      <w:pPr>
        <w:tabs>
          <w:tab w:val="left" w:pos="8916"/>
        </w:tabs>
        <w:jc w:val="left"/>
      </w:pPr>
    </w:p>
    <w:p>
      <w:pPr>
        <w:tabs>
          <w:tab w:val="left" w:pos="8916"/>
        </w:tabs>
        <w:jc w:val="left"/>
      </w:pPr>
    </w:p>
    <w:p>
      <w:pPr>
        <w:tabs>
          <w:tab w:val="left" w:pos="8916"/>
        </w:tabs>
        <w:jc w:val="left"/>
      </w:pPr>
    </w:p>
    <w:p>
      <w:pPr>
        <w:tabs>
          <w:tab w:val="left" w:pos="8916"/>
        </w:tabs>
        <w:jc w:val="left"/>
      </w:pPr>
    </w:p>
    <w:p>
      <w:pPr>
        <w:tabs>
          <w:tab w:val="left" w:pos="8916"/>
        </w:tabs>
        <w:jc w:val="left"/>
      </w:pPr>
    </w:p>
    <w:p>
      <w:pPr>
        <w:tabs>
          <w:tab w:val="left" w:pos="8916"/>
        </w:tabs>
        <w:jc w:val="left"/>
      </w:pPr>
    </w:p>
    <w:p>
      <w:pPr>
        <w:tabs>
          <w:tab w:val="left" w:pos="8916"/>
        </w:tabs>
        <w:jc w:val="left"/>
      </w:pPr>
    </w:p>
    <w:p>
      <w:pPr>
        <w:tabs>
          <w:tab w:val="left" w:pos="8916"/>
        </w:tabs>
        <w:jc w:val="left"/>
      </w:pPr>
    </w:p>
    <w:p>
      <w:pPr>
        <w:tabs>
          <w:tab w:val="left" w:pos="8916"/>
        </w:tabs>
        <w:jc w:val="left"/>
      </w:pPr>
      <w:bookmarkStart w:id="3" w:name="_GoBack"/>
      <w:bookmarkEnd w:id="3"/>
    </w:p>
    <w:p>
      <w:pPr>
        <w:tabs>
          <w:tab w:val="left" w:pos="8916"/>
        </w:tabs>
        <w:jc w:val="left"/>
      </w:pPr>
    </w:p>
    <w:p>
      <w:pPr>
        <w:tabs>
          <w:tab w:val="left" w:pos="8916"/>
        </w:tabs>
        <w:jc w:val="left"/>
        <w:sectPr>
          <w:headerReference r:id="rId5" w:type="first"/>
          <w:headerReference r:id="rId3" w:type="default"/>
          <w:footerReference r:id="rId6" w:type="default"/>
          <w:headerReference r:id="rId4" w:type="even"/>
          <w:footerReference r:id="rId7" w:type="even"/>
          <w:pgSz w:w="11907" w:h="16839"/>
          <w:pgMar w:top="567" w:right="851" w:bottom="1418"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69504" behindDoc="0" locked="0" layoutInCell="1" allowOverlap="1">
                <wp:simplePos x="0" y="0"/>
                <wp:positionH relativeFrom="column">
                  <wp:posOffset>4123690</wp:posOffset>
                </wp:positionH>
                <wp:positionV relativeFrom="paragraph">
                  <wp:posOffset>1154430</wp:posOffset>
                </wp:positionV>
                <wp:extent cx="621665" cy="471170"/>
                <wp:effectExtent l="0" t="0" r="26035" b="24130"/>
                <wp:wrapNone/>
                <wp:docPr id="12"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noFill/>
                        <a:ln w="9525">
                          <a:solidFill>
                            <a:srgbClr val="FFFFFF"/>
                          </a:solidFill>
                          <a:miter lim="800000"/>
                        </a:ln>
                      </wps:spPr>
                      <wps:txb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文本框 26" o:spid="_x0000_s1026" o:spt="202" type="#_x0000_t202" style="position:absolute;left:0pt;margin-left:324.7pt;margin-top:90.9pt;height:37.1pt;width:48.95pt;z-index:251669504;mso-width-relative:page;mso-height-relative:page;" filled="f" stroked="t" coordsize="21600,21600" o:gfxdata="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kPKqtoAAAALAQAADwAAAAAAAAABACAAAAAi&#10;AAAAZHJzL2Rvd25yZXYueG1sUEsBAhQAFAAAAAgAh07iQIi8rp5BAgAAXwQAAA4AAAAAAAAAAQAg&#10;AAAAKQEAAGRycy9lMm9Eb2MueG1sUEsFBgAAAAAGAAYAWQEAANwFAAAAAA==&#10;">
                <v:fill on="f" focussize="0,0"/>
                <v:stroke color="#FFFFFF" miterlimit="8" joinstyle="miter"/>
                <v:imagedata o:title=""/>
                <o:lock v:ext="edit" aspectratio="f"/>
                <v:textbo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970280</wp:posOffset>
                </wp:positionV>
                <wp:extent cx="6121400" cy="0"/>
                <wp:effectExtent l="0" t="0" r="31750" b="19050"/>
                <wp:wrapSquare wrapText="bothSides"/>
                <wp:docPr id="11"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11" o:spid="_x0000_s1026" o:spt="20" style="position:absolute;left:0pt;margin-left:0pt;margin-top:76.4pt;height:0pt;width:482pt;mso-position-horizontal-relative:margin;mso-wrap-distance-bottom:0pt;mso-wrap-distance-left:9pt;mso-wrap-distance-right:9pt;mso-wrap-distance-top:0pt;z-index:251666432;mso-width-relative:page;mso-height-relative:page;" filled="f" stroked="t" coordsize="21600,21600" o:gfxdata="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ZVEwjVAAAACAEAAA8AAAAAAAAAAQAgAAAA&#10;IgAAAGRycy9kb3ducmV2LnhtbFBLAQIUABQAAAAIAIdO4kBwGDgJ1QEAAKQDAAAOAAAAAAAAAAEA&#10;IAAAACQBAABkcnMvZTJvRG9jLnhtbFBLBQYAAAAABgAGAFkBAABrBQAAAAA=&#10;">
                <v:fill on="f" focussize="0,0"/>
                <v:stroke weight="1pt" color="#000000" joinstyle="round"/>
                <v:imagedata o:title=""/>
                <o:lock v:ext="edit" aspectratio="f"/>
                <w10:wrap type="square"/>
              </v:line>
            </w:pict>
          </mc:Fallback>
        </mc:AlternateContent>
      </w:r>
    </w:p>
    <w:bookmarkEnd w:id="0"/>
    <w:p>
      <w:pPr>
        <w:pStyle w:val="71"/>
        <w:numPr>
          <w:ilvl w:val="0"/>
          <w:numId w:val="0"/>
        </w:numPr>
        <w:spacing w:before="851" w:after="680"/>
      </w:pPr>
      <w:bookmarkStart w:id="1" w:name="SectionMark2"/>
      <w:r>
        <w:rPr>
          <w:rFonts w:hint="eastAsia"/>
        </w:rPr>
        <w:t>前</w:t>
      </w:r>
      <w:r>
        <w:t>  </w:t>
      </w:r>
      <w:r>
        <w:rPr>
          <w:rFonts w:hint="eastAsia"/>
        </w:rPr>
        <w:t>言</w:t>
      </w:r>
    </w:p>
    <w:p>
      <w:pPr>
        <w:ind w:firstLine="42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按照GB/T</w:t>
      </w:r>
      <w:r>
        <w:rPr>
          <w:rFonts w:asciiTheme="minorEastAsia" w:hAnsiTheme="minorEastAsia" w:eastAsiaTheme="minorEastAsia"/>
          <w:color w:val="000000" w:themeColor="text1"/>
          <w14:textFill>
            <w14:solidFill>
              <w14:schemeClr w14:val="tx1"/>
            </w14:solidFill>
          </w14:textFill>
        </w:rPr>
        <w:t xml:space="preserve"> </w:t>
      </w:r>
      <w:r>
        <w:rPr>
          <w:rFonts w:asciiTheme="minorEastAsia" w:hAnsiTheme="minorEastAsia" w:eastAsiaTheme="minorEastAsia"/>
        </w:rPr>
        <w:t>1.1-2020《</w:t>
      </w:r>
      <w:r>
        <w:rPr>
          <w:rFonts w:hint="eastAsia" w:asciiTheme="minorEastAsia" w:hAnsiTheme="minorEastAsia" w:eastAsiaTheme="minorEastAsia"/>
        </w:rPr>
        <w:t>标准化工作导则</w:t>
      </w:r>
      <w:r>
        <w:rPr>
          <w:rFonts w:asciiTheme="minorEastAsia" w:hAnsiTheme="minorEastAsia" w:eastAsiaTheme="minorEastAsia"/>
        </w:rPr>
        <w:t> </w:t>
      </w:r>
      <w:r>
        <w:rPr>
          <w:rFonts w:hint="eastAsia" w:asciiTheme="minorEastAsia" w:hAnsiTheme="minorEastAsia" w:eastAsiaTheme="minorEastAsia"/>
        </w:rPr>
        <w:t>第1部分：标准化该文件的结构和起草规则</w:t>
      </w:r>
      <w:r>
        <w:rPr>
          <w:rFonts w:asciiTheme="minorEastAsia" w:hAnsiTheme="minorEastAsia" w:eastAsiaTheme="minorEastAsia"/>
        </w:rPr>
        <w:t>》的</w:t>
      </w:r>
      <w:r>
        <w:rPr>
          <w:rFonts w:hint="eastAsia" w:asciiTheme="minorEastAsia" w:hAnsiTheme="minorEastAsia" w:eastAsiaTheme="minorEastAsia"/>
        </w:rPr>
        <w:t>规定</w:t>
      </w:r>
      <w:r>
        <w:rPr>
          <w:rFonts w:asciiTheme="minorEastAsia" w:hAnsiTheme="minorEastAsia" w:eastAsiaTheme="minorEastAsia"/>
        </w:rPr>
        <w:t>起草。</w:t>
      </w:r>
    </w:p>
    <w:p>
      <w:pPr>
        <w:ind w:firstLine="420"/>
        <w:rPr>
          <w:rFonts w:asciiTheme="minorEastAsia" w:hAnsiTheme="minorEastAsia" w:eastAsiaTheme="minorEastAsia"/>
        </w:rPr>
      </w:pPr>
      <w:r>
        <w:rPr>
          <w:rFonts w:hint="eastAsia" w:asciiTheme="minorEastAsia" w:hAnsiTheme="minorEastAsia" w:eastAsiaTheme="minorEastAsia"/>
        </w:rPr>
        <w:t>本文件是G</w:t>
      </w:r>
      <w:r>
        <w:rPr>
          <w:rFonts w:asciiTheme="minorEastAsia" w:hAnsiTheme="minorEastAsia" w:eastAsiaTheme="minorEastAsia"/>
        </w:rPr>
        <w:t>B/T</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rPr>
        <w:t>26416</w:t>
      </w:r>
      <w:r>
        <w:rPr>
          <w:rFonts w:asciiTheme="minorEastAsia" w:hAnsiTheme="minorEastAsia" w:eastAsiaTheme="minorEastAsia"/>
        </w:rPr>
        <w:t>《</w:t>
      </w:r>
      <w:r>
        <w:rPr>
          <w:rFonts w:hint="eastAsia" w:asciiTheme="minorEastAsia" w:hAnsiTheme="minorEastAsia" w:eastAsiaTheme="minorEastAsia"/>
        </w:rPr>
        <w:t>稀土铁合金化学分析方法</w:t>
      </w:r>
      <w:r>
        <w:rPr>
          <w:rFonts w:asciiTheme="minorEastAsia" w:hAnsiTheme="minorEastAsia" w:eastAsiaTheme="minorEastAsia"/>
        </w:rPr>
        <w:t>》</w:t>
      </w:r>
      <w:r>
        <w:rPr>
          <w:rFonts w:hint="eastAsia" w:asciiTheme="minorEastAsia" w:hAnsiTheme="minorEastAsia" w:eastAsiaTheme="minorEastAsia"/>
        </w:rPr>
        <w:t>的第9部分，</w:t>
      </w:r>
      <w:r>
        <w:rPr>
          <w:rFonts w:asciiTheme="minorEastAsia" w:hAnsiTheme="minorEastAsia" w:eastAsiaTheme="minorEastAsia"/>
        </w:rPr>
        <w:t>GB/T</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rPr>
        <w:t>26416已经发布了以下</w:t>
      </w:r>
      <w:r>
        <w:rPr>
          <w:rFonts w:asciiTheme="minorEastAsia" w:hAnsiTheme="minorEastAsia" w:eastAsiaTheme="minorEastAsia"/>
        </w:rPr>
        <w:t>部分：</w:t>
      </w:r>
    </w:p>
    <w:p>
      <w:pPr>
        <w:spacing w:line="300" w:lineRule="auto"/>
        <w:ind w:left="3360" w:leftChars="200" w:hanging="2940" w:hangingChars="1400"/>
        <w:jc w:val="left"/>
        <w:rPr>
          <w:kern w:val="0"/>
          <w:szCs w:val="20"/>
        </w:rPr>
      </w:pPr>
      <w:r>
        <w:rPr>
          <w:rFonts w:hint="eastAsia" w:ascii="黑体" w:hAnsi="黑体" w:eastAsia="黑体" w:cs="黑体"/>
          <w:szCs w:val="21"/>
        </w:rPr>
        <w:t>──</w:t>
      </w:r>
      <w:r>
        <w:rPr>
          <w:rFonts w:hint="eastAsia"/>
          <w:kern w:val="0"/>
          <w:szCs w:val="20"/>
        </w:rPr>
        <w:t>第1部分：</w:t>
      </w:r>
      <w:r>
        <w:rPr>
          <w:kern w:val="0"/>
          <w:szCs w:val="20"/>
        </w:rPr>
        <w:t>G</w:t>
      </w:r>
      <w:r>
        <w:rPr>
          <w:rFonts w:hint="eastAsia"/>
          <w:kern w:val="0"/>
          <w:szCs w:val="20"/>
        </w:rPr>
        <w:t>B/T 26416.1-201X 稀土铁合金化学分析方法  稀土总量的测定 重量法；</w:t>
      </w:r>
    </w:p>
    <w:p>
      <w:pPr>
        <w:spacing w:line="300" w:lineRule="auto"/>
        <w:ind w:left="3360" w:leftChars="200" w:hanging="2940" w:hangingChars="1400"/>
        <w:jc w:val="left"/>
        <w:rPr>
          <w:kern w:val="0"/>
          <w:szCs w:val="20"/>
        </w:rPr>
      </w:pPr>
      <w:r>
        <w:rPr>
          <w:rFonts w:hint="eastAsia" w:ascii="黑体" w:hAnsi="黑体" w:eastAsia="黑体" w:cs="黑体"/>
          <w:szCs w:val="21"/>
        </w:rPr>
        <w:t>──</w:t>
      </w:r>
      <w:r>
        <w:rPr>
          <w:rFonts w:hint="eastAsia"/>
          <w:kern w:val="0"/>
          <w:szCs w:val="20"/>
        </w:rPr>
        <w:t>第2部分：</w:t>
      </w:r>
      <w:r>
        <w:rPr>
          <w:kern w:val="0"/>
          <w:szCs w:val="20"/>
        </w:rPr>
        <w:t>G</w:t>
      </w:r>
      <w:r>
        <w:rPr>
          <w:rFonts w:hint="eastAsia"/>
          <w:kern w:val="0"/>
          <w:szCs w:val="20"/>
        </w:rPr>
        <w:t>B/T 26416.</w:t>
      </w:r>
      <w:r>
        <w:rPr>
          <w:kern w:val="0"/>
          <w:szCs w:val="20"/>
        </w:rPr>
        <w:t>2</w:t>
      </w:r>
      <w:r>
        <w:rPr>
          <w:rFonts w:hint="eastAsia"/>
          <w:kern w:val="0"/>
          <w:szCs w:val="20"/>
        </w:rPr>
        <w:t>-201X稀土铁合金化学分析方法  铁量的测定  重铬酸钾滴定法；</w:t>
      </w:r>
    </w:p>
    <w:p>
      <w:pPr>
        <w:spacing w:line="300" w:lineRule="auto"/>
        <w:ind w:left="3363" w:leftChars="200" w:hanging="2943"/>
        <w:jc w:val="left"/>
        <w:rPr>
          <w:kern w:val="0"/>
          <w:szCs w:val="20"/>
        </w:rPr>
      </w:pPr>
      <w:r>
        <w:rPr>
          <w:rFonts w:hint="eastAsia" w:ascii="黑体" w:hAnsi="黑体" w:eastAsia="黑体" w:cs="黑体"/>
          <w:szCs w:val="21"/>
        </w:rPr>
        <w:t>──</w:t>
      </w:r>
      <w:r>
        <w:rPr>
          <w:rFonts w:hint="eastAsia"/>
          <w:kern w:val="0"/>
          <w:szCs w:val="20"/>
        </w:rPr>
        <w:t>第3部分：</w:t>
      </w:r>
      <w:r>
        <w:rPr>
          <w:kern w:val="0"/>
          <w:szCs w:val="20"/>
        </w:rPr>
        <w:t>G</w:t>
      </w:r>
      <w:r>
        <w:rPr>
          <w:rFonts w:hint="eastAsia"/>
          <w:kern w:val="0"/>
          <w:szCs w:val="20"/>
        </w:rPr>
        <w:t>B/T 26416.</w:t>
      </w:r>
      <w:r>
        <w:rPr>
          <w:kern w:val="0"/>
          <w:szCs w:val="20"/>
        </w:rPr>
        <w:t>3</w:t>
      </w:r>
      <w:r>
        <w:rPr>
          <w:rFonts w:hint="eastAsia"/>
          <w:kern w:val="0"/>
          <w:szCs w:val="20"/>
        </w:rPr>
        <w:t>-201X稀土铁合金化学分析方法  稀土杂质量的测定  电感耦合等</w:t>
      </w:r>
    </w:p>
    <w:p>
      <w:pPr>
        <w:spacing w:line="300" w:lineRule="auto"/>
        <w:jc w:val="left"/>
        <w:rPr>
          <w:szCs w:val="21"/>
        </w:rPr>
      </w:pPr>
      <w:r>
        <w:rPr>
          <w:rFonts w:hint="eastAsia"/>
          <w:kern w:val="0"/>
          <w:szCs w:val="20"/>
        </w:rPr>
        <w:t>离子体原子发射光谱法</w:t>
      </w:r>
    </w:p>
    <w:p>
      <w:pPr>
        <w:spacing w:line="300" w:lineRule="auto"/>
        <w:ind w:firstLine="420" w:firstLineChars="200"/>
        <w:jc w:val="left"/>
        <w:rPr>
          <w:kern w:val="0"/>
          <w:szCs w:val="20"/>
        </w:rPr>
      </w:pPr>
      <w:r>
        <w:rPr>
          <w:rFonts w:hint="eastAsia" w:ascii="黑体" w:hAnsi="黑体" w:eastAsia="黑体" w:cs="黑体"/>
          <w:szCs w:val="21"/>
        </w:rPr>
        <w:t>──</w:t>
      </w:r>
      <w:r>
        <w:rPr>
          <w:rFonts w:hint="eastAsia"/>
          <w:kern w:val="0"/>
          <w:szCs w:val="20"/>
        </w:rPr>
        <w:t>第4部分：</w:t>
      </w:r>
      <w:r>
        <w:rPr>
          <w:kern w:val="0"/>
          <w:szCs w:val="20"/>
        </w:rPr>
        <w:t>G</w:t>
      </w:r>
      <w:r>
        <w:rPr>
          <w:rFonts w:hint="eastAsia"/>
          <w:kern w:val="0"/>
          <w:szCs w:val="20"/>
        </w:rPr>
        <w:t>B/T 26416.</w:t>
      </w:r>
      <w:r>
        <w:rPr>
          <w:kern w:val="0"/>
          <w:szCs w:val="20"/>
        </w:rPr>
        <w:t>4</w:t>
      </w:r>
      <w:r>
        <w:rPr>
          <w:rFonts w:hint="eastAsia"/>
          <w:kern w:val="0"/>
          <w:szCs w:val="20"/>
        </w:rPr>
        <w:t xml:space="preserve">-201X稀土铁合金化学分析方法  </w:t>
      </w:r>
      <w:r>
        <w:rPr>
          <w:rFonts w:hint="eastAsia"/>
          <w:szCs w:val="21"/>
        </w:rPr>
        <w:t>钙、镁、铝、镍、锰量的测定</w:t>
      </w:r>
      <w:r>
        <w:rPr>
          <w:rFonts w:hint="eastAsia"/>
          <w:kern w:val="0"/>
          <w:szCs w:val="20"/>
        </w:rPr>
        <w:t xml:space="preserve">  电感耦合等离子体原子发射光谱法；</w:t>
      </w:r>
    </w:p>
    <w:p>
      <w:pPr>
        <w:spacing w:line="300" w:lineRule="auto"/>
        <w:jc w:val="left"/>
        <w:rPr>
          <w:kern w:val="0"/>
          <w:szCs w:val="20"/>
        </w:rPr>
      </w:pPr>
      <w:r>
        <w:rPr>
          <w:rFonts w:hint="eastAsia"/>
          <w:kern w:val="0"/>
          <w:szCs w:val="20"/>
        </w:rPr>
        <w:t xml:space="preserve">    </w:t>
      </w:r>
      <w:r>
        <w:rPr>
          <w:rFonts w:hint="eastAsia" w:ascii="黑体" w:hAnsi="黑体" w:eastAsia="黑体" w:cs="黑体"/>
          <w:szCs w:val="21"/>
        </w:rPr>
        <w:t>──</w:t>
      </w:r>
      <w:r>
        <w:rPr>
          <w:rFonts w:hint="eastAsia"/>
          <w:kern w:val="0"/>
          <w:szCs w:val="20"/>
        </w:rPr>
        <w:t>第5部分：</w:t>
      </w:r>
      <w:r>
        <w:rPr>
          <w:kern w:val="0"/>
          <w:szCs w:val="20"/>
        </w:rPr>
        <w:t>G</w:t>
      </w:r>
      <w:r>
        <w:rPr>
          <w:rFonts w:hint="eastAsia"/>
          <w:kern w:val="0"/>
          <w:szCs w:val="20"/>
        </w:rPr>
        <w:t xml:space="preserve">B/T26416.5-202X稀土铁合金化学分析方法  </w:t>
      </w:r>
      <w:r>
        <w:rPr>
          <w:rFonts w:hint="eastAsia"/>
          <w:szCs w:val="21"/>
        </w:rPr>
        <w:t>钛、钼、钨量的测定</w:t>
      </w:r>
      <w:r>
        <w:rPr>
          <w:rFonts w:hint="eastAsia"/>
          <w:kern w:val="0"/>
          <w:szCs w:val="20"/>
        </w:rPr>
        <w:t xml:space="preserve">  电感耦合等离子体原子发射光谱法；</w:t>
      </w:r>
    </w:p>
    <w:p>
      <w:pPr>
        <w:spacing w:line="300" w:lineRule="auto"/>
        <w:ind w:left="3363" w:leftChars="200" w:hanging="2943"/>
        <w:jc w:val="left"/>
        <w:rPr>
          <w:kern w:val="0"/>
          <w:szCs w:val="20"/>
        </w:rPr>
      </w:pPr>
      <w:r>
        <w:rPr>
          <w:rFonts w:hint="eastAsia" w:ascii="黑体" w:hAnsi="黑体" w:eastAsia="黑体" w:cs="黑体"/>
          <w:szCs w:val="21"/>
        </w:rPr>
        <w:t>──</w:t>
      </w:r>
      <w:r>
        <w:rPr>
          <w:rFonts w:hint="eastAsia"/>
          <w:kern w:val="0"/>
          <w:szCs w:val="20"/>
        </w:rPr>
        <w:t>第6部分：</w:t>
      </w:r>
      <w:r>
        <w:rPr>
          <w:kern w:val="0"/>
          <w:szCs w:val="20"/>
        </w:rPr>
        <w:t>G</w:t>
      </w:r>
      <w:r>
        <w:rPr>
          <w:rFonts w:hint="eastAsia"/>
          <w:kern w:val="0"/>
          <w:szCs w:val="20"/>
        </w:rPr>
        <w:t>B/T 26416.</w:t>
      </w:r>
      <w:r>
        <w:rPr>
          <w:kern w:val="0"/>
          <w:szCs w:val="20"/>
        </w:rPr>
        <w:t>6</w:t>
      </w:r>
      <w:r>
        <w:rPr>
          <w:rFonts w:hint="eastAsia"/>
          <w:kern w:val="0"/>
          <w:szCs w:val="20"/>
        </w:rPr>
        <w:t>-201X稀土铁合金化学分析方法  碳、硫量的测定  高频-红外吸</w:t>
      </w:r>
    </w:p>
    <w:p>
      <w:pPr>
        <w:spacing w:line="300" w:lineRule="auto"/>
        <w:jc w:val="left"/>
        <w:rPr>
          <w:kern w:val="0"/>
          <w:szCs w:val="20"/>
        </w:rPr>
      </w:pPr>
      <w:r>
        <w:rPr>
          <w:rFonts w:hint="eastAsia"/>
          <w:kern w:val="0"/>
          <w:szCs w:val="20"/>
        </w:rPr>
        <w:t>收法；</w:t>
      </w:r>
    </w:p>
    <w:p>
      <w:pPr>
        <w:spacing w:line="300" w:lineRule="auto"/>
        <w:ind w:left="3360" w:leftChars="200" w:hanging="2940" w:hangingChars="1400"/>
        <w:jc w:val="left"/>
        <w:rPr>
          <w:kern w:val="0"/>
          <w:szCs w:val="20"/>
        </w:rPr>
      </w:pPr>
      <w:r>
        <w:rPr>
          <w:rFonts w:hint="eastAsia" w:ascii="黑体" w:hAnsi="黑体" w:eastAsia="黑体" w:cs="黑体"/>
          <w:szCs w:val="21"/>
        </w:rPr>
        <w:t>──</w:t>
      </w:r>
      <w:r>
        <w:rPr>
          <w:rFonts w:hint="eastAsia"/>
          <w:kern w:val="0"/>
          <w:szCs w:val="20"/>
        </w:rPr>
        <w:t>第7部分：</w:t>
      </w:r>
      <w:r>
        <w:rPr>
          <w:kern w:val="0"/>
          <w:szCs w:val="20"/>
        </w:rPr>
        <w:t>G</w:t>
      </w:r>
      <w:r>
        <w:rPr>
          <w:rFonts w:hint="eastAsia"/>
          <w:kern w:val="0"/>
          <w:szCs w:val="20"/>
        </w:rPr>
        <w:t>B/T26416.</w:t>
      </w:r>
      <w:r>
        <w:rPr>
          <w:kern w:val="0"/>
          <w:szCs w:val="20"/>
        </w:rPr>
        <w:t>7</w:t>
      </w:r>
      <w:r>
        <w:rPr>
          <w:rFonts w:hint="eastAsia"/>
          <w:kern w:val="0"/>
          <w:szCs w:val="20"/>
        </w:rPr>
        <w:t>-201X稀土铁合金化学分析方法  氧量的测定  脉冲-红外吸收法；</w:t>
      </w:r>
    </w:p>
    <w:p>
      <w:pPr>
        <w:spacing w:line="300" w:lineRule="auto"/>
        <w:ind w:firstLine="420" w:firstLineChars="200"/>
        <w:jc w:val="left"/>
        <w:rPr>
          <w:kern w:val="0"/>
          <w:szCs w:val="20"/>
        </w:rPr>
      </w:pPr>
      <w:r>
        <w:rPr>
          <w:rFonts w:hint="eastAsia" w:ascii="黑体" w:hAnsi="黑体" w:eastAsia="黑体" w:cs="黑体"/>
          <w:szCs w:val="21"/>
        </w:rPr>
        <w:t>──</w:t>
      </w:r>
      <w:r>
        <w:rPr>
          <w:rFonts w:hint="eastAsia"/>
          <w:kern w:val="0"/>
          <w:szCs w:val="20"/>
        </w:rPr>
        <w:t>第8部分：</w:t>
      </w:r>
      <w:r>
        <w:rPr>
          <w:kern w:val="0"/>
          <w:szCs w:val="20"/>
        </w:rPr>
        <w:t>G</w:t>
      </w:r>
      <w:r>
        <w:rPr>
          <w:rFonts w:hint="eastAsia"/>
          <w:kern w:val="0"/>
          <w:szCs w:val="20"/>
        </w:rPr>
        <w:t>B/T 26416.</w:t>
      </w:r>
      <w:r>
        <w:rPr>
          <w:kern w:val="0"/>
          <w:szCs w:val="20"/>
        </w:rPr>
        <w:t>8</w:t>
      </w:r>
      <w:r>
        <w:rPr>
          <w:rFonts w:hint="eastAsia"/>
          <w:kern w:val="0"/>
          <w:szCs w:val="20"/>
        </w:rPr>
        <w:t>-201X稀土铁合金化学分析方法  硅量的测定  钼蓝分光光度法；</w:t>
      </w:r>
    </w:p>
    <w:p>
      <w:pPr>
        <w:spacing w:line="300" w:lineRule="auto"/>
        <w:ind w:left="3363" w:leftChars="200" w:hanging="2943"/>
        <w:rPr>
          <w:kern w:val="0"/>
          <w:szCs w:val="20"/>
        </w:rPr>
      </w:pPr>
      <w:r>
        <w:rPr>
          <w:rFonts w:hint="eastAsia" w:ascii="黑体" w:hAnsi="黑体" w:eastAsia="黑体" w:cs="黑体"/>
          <w:szCs w:val="21"/>
        </w:rPr>
        <w:t>──</w:t>
      </w:r>
      <w:r>
        <w:rPr>
          <w:rFonts w:hint="eastAsia"/>
          <w:kern w:val="0"/>
          <w:szCs w:val="20"/>
        </w:rPr>
        <w:t>第</w:t>
      </w:r>
      <w:r>
        <w:rPr>
          <w:kern w:val="0"/>
          <w:szCs w:val="20"/>
        </w:rPr>
        <w:t>9</w:t>
      </w:r>
      <w:r>
        <w:rPr>
          <w:rFonts w:hint="eastAsia"/>
          <w:kern w:val="0"/>
          <w:szCs w:val="20"/>
        </w:rPr>
        <w:t>部分：</w:t>
      </w:r>
      <w:r>
        <w:rPr>
          <w:kern w:val="0"/>
          <w:szCs w:val="20"/>
        </w:rPr>
        <w:t>G</w:t>
      </w:r>
      <w:r>
        <w:rPr>
          <w:rFonts w:hint="eastAsia"/>
          <w:kern w:val="0"/>
          <w:szCs w:val="20"/>
        </w:rPr>
        <w:t>B/T 26416.</w:t>
      </w:r>
      <w:r>
        <w:rPr>
          <w:kern w:val="0"/>
          <w:szCs w:val="20"/>
        </w:rPr>
        <w:t>9</w:t>
      </w:r>
      <w:r>
        <w:rPr>
          <w:rFonts w:hint="eastAsia"/>
          <w:kern w:val="0"/>
          <w:szCs w:val="20"/>
        </w:rPr>
        <w:t>-202X稀土铁合金化学分析方法  磷含量的测定  铋磷钼蓝分光光度</w:t>
      </w:r>
    </w:p>
    <w:p>
      <w:pPr>
        <w:spacing w:line="300" w:lineRule="auto"/>
        <w:jc w:val="left"/>
        <w:rPr>
          <w:kern w:val="0"/>
          <w:szCs w:val="20"/>
        </w:rPr>
      </w:pPr>
      <w:r>
        <w:rPr>
          <w:rFonts w:hint="eastAsia"/>
          <w:kern w:val="0"/>
          <w:szCs w:val="20"/>
        </w:rPr>
        <w:t>法；</w:t>
      </w:r>
    </w:p>
    <w:p>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请注意本文件的某些内容可能涉及专利</w:t>
      </w:r>
      <w:r>
        <w:rPr>
          <w:rFonts w:asciiTheme="minorEastAsia" w:hAnsiTheme="minorEastAsia" w:eastAsiaTheme="minorEastAsia"/>
        </w:rPr>
        <w:t>。</w:t>
      </w:r>
      <w:r>
        <w:rPr>
          <w:rFonts w:hint="eastAsia" w:asciiTheme="minorEastAsia" w:hAnsiTheme="minorEastAsia" w:eastAsiaTheme="minorEastAsia"/>
        </w:rPr>
        <w:t>本文件的发布机构不承担识别专利的责任。</w:t>
      </w:r>
    </w:p>
    <w:p>
      <w:pPr>
        <w:ind w:firstLine="420"/>
        <w:rPr>
          <w:rFonts w:hint="eastAsia" w:ascii="宋体" w:hAnsi="宋体"/>
        </w:rPr>
      </w:pPr>
      <w:r>
        <w:rPr>
          <w:rFonts w:hint="eastAsia" w:ascii="宋体" w:hAnsi="宋体"/>
        </w:rPr>
        <w:t>本文件由全国稀土标准化技术委员会（SAC/TC 229）提出并归口。</w:t>
      </w:r>
    </w:p>
    <w:p>
      <w:pPr>
        <w:spacing w:line="360" w:lineRule="exact"/>
        <w:ind w:firstLine="420"/>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起草单位：</w:t>
      </w:r>
    </w:p>
    <w:p>
      <w:pPr>
        <w:ind w:firstLine="420"/>
      </w:pPr>
      <w:r>
        <w:t>本</w:t>
      </w:r>
      <w:r>
        <w:rPr>
          <w:rFonts w:hint="eastAsia"/>
        </w:rPr>
        <w:t>文件</w:t>
      </w:r>
      <w:r>
        <w:t>主要起草人：</w:t>
      </w:r>
    </w:p>
    <w:p>
      <w:pPr>
        <w:widowControl/>
        <w:jc w:val="left"/>
        <w:rPr>
          <w:rFonts w:ascii="黑体" w:eastAsia="黑体"/>
          <w:kern w:val="0"/>
          <w:sz w:val="32"/>
          <w:szCs w:val="20"/>
        </w:rPr>
        <w:sectPr>
          <w:headerReference r:id="rId8" w:type="default"/>
          <w:footerReference r:id="rId10" w:type="default"/>
          <w:headerReference r:id="rId9" w:type="even"/>
          <w:footerReference r:id="rId11" w:type="even"/>
          <w:pgSz w:w="11907" w:h="16839"/>
          <w:pgMar w:top="1418" w:right="1134" w:bottom="1134" w:left="1418" w:header="1418" w:footer="851" w:gutter="0"/>
          <w:pgNumType w:fmt="upperRoman" w:start="1"/>
          <w:cols w:space="720" w:num="1"/>
          <w:docGrid w:type="lines" w:linePitch="312" w:charSpace="0"/>
        </w:sectPr>
      </w:pPr>
    </w:p>
    <w:bookmarkEnd w:id="1"/>
    <w:p>
      <w:pPr>
        <w:pStyle w:val="71"/>
        <w:numPr>
          <w:ilvl w:val="0"/>
          <w:numId w:val="0"/>
        </w:numPr>
        <w:spacing w:before="851" w:after="680"/>
      </w:pPr>
      <w:bookmarkStart w:id="2" w:name="SectionMark4"/>
      <w:r>
        <w:rPr>
          <w:rFonts w:hint="eastAsia"/>
        </w:rPr>
        <w:t>引   言</w:t>
      </w:r>
    </w:p>
    <w:p>
      <w:pPr>
        <w:ind w:firstLine="420"/>
      </w:pPr>
      <w:r>
        <w:rPr>
          <w:rFonts w:hint="eastAsia"/>
        </w:rPr>
        <w:t>本文件所指稀土铁合金为含有铁和一种或多种稀土元素的中间合金，一般采用熔盐电解法或熔配法制得，主要作为添加剂用于钕铁硼永磁材料、磁致伸缩材料、光磁记录材料等磁性材料或钢铁材料的制备。化学成分是稀土铁合金的重要考核指标。</w:t>
      </w:r>
      <w:r>
        <w:t xml:space="preserve"> </w:t>
      </w:r>
      <w:r>
        <w:rPr>
          <w:rFonts w:hint="eastAsia"/>
        </w:rPr>
        <w:t>本次修订</w:t>
      </w:r>
      <w:r>
        <w:t>GB/T 26416</w:t>
      </w:r>
      <w:r>
        <w:rPr>
          <w:rFonts w:hint="eastAsia"/>
        </w:rPr>
        <w:t>《稀土铁合金化学分析方法》系列标准，整合了行业标准</w:t>
      </w:r>
      <w:r>
        <w:t>XB/T 616-2012</w:t>
      </w:r>
      <w:r>
        <w:rPr>
          <w:rFonts w:hint="eastAsia"/>
        </w:rPr>
        <w:t>《钆铁合金化学分析方法》、</w:t>
      </w:r>
      <w:r>
        <w:t>XB/T 621-2016</w:t>
      </w:r>
      <w:r>
        <w:rPr>
          <w:rFonts w:hint="eastAsia"/>
        </w:rPr>
        <w:t>《钬铁合金化学分析方法》、</w:t>
      </w:r>
      <w:r>
        <w:t>XB/T 623-2018</w:t>
      </w:r>
      <w:r>
        <w:rPr>
          <w:rFonts w:hint="eastAsia"/>
        </w:rPr>
        <w:t>《铈铁合金化学分析方法》、</w:t>
      </w:r>
      <w:r>
        <w:t>XB/T 624-2018</w:t>
      </w:r>
      <w:r>
        <w:rPr>
          <w:rFonts w:hint="eastAsia"/>
        </w:rPr>
        <w:t>《钇铁合金化学分析方法》等，建立针对目前所有实现规模化生产的稀土铁合金（包括镧铁、铈铁、镧铈铁、钕铁、镝铁、钆铁、钬铁和钇铁等）的稀土总量、稀土杂质含量、非稀土杂质含量的系列方法标准，通过明确标准的适用范围，规范试剂、材料、试验设备和步骤，并经过多家实验室反复多次的试验和验证给出精密度数据，增强不同试验室间数据的一致性和可比性，为稀土铁合金的品质核查建立严谨、规范的标准化工作基础。</w:t>
      </w:r>
    </w:p>
    <w:p>
      <w:pPr>
        <w:ind w:firstLine="420"/>
      </w:pPr>
      <w:r>
        <w:rPr>
          <w:rFonts w:hint="eastAsia"/>
        </w:rPr>
        <w:t>本系列标准根据最新的标准化文件的结构和起草规则编写，所有标准方法均通过多家实验室试验、验证，修改“允许差”条款为“再现性”条款，在标准中给出了至少覆盖高、中、低的重复性、再现性限值，使方法的精密度要求更趋于完善。</w:t>
      </w:r>
    </w:p>
    <w:p>
      <w:pPr>
        <w:ind w:firstLine="420"/>
        <w:rPr>
          <w:color w:val="FF0000"/>
        </w:rPr>
      </w:pPr>
    </w:p>
    <w:p>
      <w:pPr>
        <w:pStyle w:val="106"/>
        <w:spacing w:before="851" w:after="0"/>
        <w:rPr>
          <w:rFonts w:ascii="Times New Roman"/>
        </w:rPr>
      </w:pPr>
    </w:p>
    <w:p>
      <w:pPr>
        <w:pStyle w:val="106"/>
        <w:spacing w:before="851" w:after="0"/>
        <w:rPr>
          <w:rFonts w:ascii="Times New Roman"/>
        </w:rPr>
      </w:pPr>
    </w:p>
    <w:p>
      <w:pPr>
        <w:pStyle w:val="106"/>
        <w:spacing w:before="851" w:after="0"/>
        <w:rPr>
          <w:rFonts w:ascii="Times New Roman"/>
        </w:rPr>
      </w:pPr>
    </w:p>
    <w:p>
      <w:pPr>
        <w:pStyle w:val="106"/>
        <w:spacing w:before="851" w:after="0"/>
        <w:rPr>
          <w:rFonts w:ascii="Times New Roman"/>
        </w:rPr>
      </w:pPr>
    </w:p>
    <w:p>
      <w:pPr>
        <w:pStyle w:val="106"/>
        <w:spacing w:before="851" w:after="0"/>
        <w:rPr>
          <w:rFonts w:hint="eastAsia" w:ascii="Times New Roman"/>
        </w:rPr>
      </w:pPr>
    </w:p>
    <w:p>
      <w:pPr>
        <w:pStyle w:val="106"/>
        <w:spacing w:before="851" w:after="0"/>
        <w:rPr>
          <w:rFonts w:ascii="Times New Roman"/>
        </w:rPr>
      </w:pPr>
    </w:p>
    <w:p>
      <w:pPr>
        <w:pStyle w:val="106"/>
        <w:spacing w:before="851" w:after="0"/>
        <w:rPr>
          <w:rFonts w:ascii="Times New Roman"/>
        </w:rPr>
      </w:pPr>
      <w:r>
        <w:rPr>
          <w:rFonts w:hint="eastAsia" w:ascii="Times New Roman"/>
        </w:rPr>
        <w:t>稀土铁合金化学分析方法</w:t>
      </w:r>
    </w:p>
    <w:p>
      <w:pPr>
        <w:pStyle w:val="106"/>
        <w:spacing w:before="0" w:after="680"/>
        <w:rPr>
          <w:rFonts w:ascii="Times New Roman"/>
        </w:rPr>
      </w:pPr>
      <w:r>
        <w:rPr>
          <w:rFonts w:hint="eastAsia"/>
        </w:rPr>
        <w:t>第9部分：磷量的测定                                       铋磷钼蓝分光光度法</w:t>
      </w:r>
    </w:p>
    <w:p>
      <w:pPr>
        <w:pStyle w:val="72"/>
        <w:numPr>
          <w:ilvl w:val="0"/>
          <w:numId w:val="11"/>
        </w:numPr>
        <w:tabs>
          <w:tab w:val="left" w:pos="112"/>
          <w:tab w:val="clear" w:pos="360"/>
        </w:tabs>
        <w:spacing w:before="312" w:beforeLines="100" w:after="312" w:afterLines="100"/>
        <w:ind w:left="357" w:hanging="357" w:hangingChars="170"/>
        <w:rPr>
          <w:rFonts w:hAnsi="黑体"/>
        </w:rPr>
      </w:pPr>
      <w:r>
        <w:rPr>
          <w:rFonts w:hAnsi="黑体"/>
        </w:rPr>
        <w:t>　范围</w:t>
      </w:r>
    </w:p>
    <w:p>
      <w:pPr>
        <w:pStyle w:val="45"/>
        <w:spacing w:line="360" w:lineRule="exact"/>
        <w:ind w:firstLine="42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本文件规定了稀土铁合金（镧铁、铈铁、钆铁、镝铁、钬铁、钇铁、镧铈铁）中磷含量的测定方法。</w:t>
      </w:r>
    </w:p>
    <w:p>
      <w:pPr>
        <w:pStyle w:val="45"/>
        <w:spacing w:line="360" w:lineRule="exact"/>
        <w:ind w:firstLine="420"/>
        <w:rPr>
          <w:rFonts w:ascii="Times New Roman"/>
        </w:rPr>
      </w:pPr>
      <w:r>
        <w:rPr>
          <w:rFonts w:hint="eastAsia" w:ascii="Times New Roman"/>
          <w:color w:val="000000" w:themeColor="text1"/>
          <w:szCs w:val="21"/>
          <w14:textFill>
            <w14:solidFill>
              <w14:schemeClr w14:val="tx1"/>
            </w14:solidFill>
          </w14:textFill>
        </w:rPr>
        <w:t>本文件适用于稀土铁合金（镧铁、铈铁、钆铁、镝铁、钬铁、钇铁、镧铈铁）中磷</w:t>
      </w:r>
      <w:r>
        <w:rPr>
          <w:rFonts w:hint="eastAsia" w:ascii="Times New Roman"/>
          <w:szCs w:val="21"/>
        </w:rPr>
        <w:t>含量的测定。测定范围（质量分数）：</w:t>
      </w:r>
      <w:r>
        <w:rPr>
          <w:rFonts w:hint="eastAsia"/>
        </w:rPr>
        <w:t>0.005%</w:t>
      </w:r>
      <w:r>
        <w:rPr>
          <w:rFonts w:hint="eastAsia"/>
          <w:szCs w:val="21"/>
        </w:rPr>
        <w:t>～</w:t>
      </w:r>
      <w:r>
        <w:rPr>
          <w:rFonts w:hint="eastAsia"/>
        </w:rPr>
        <w:t>0.20%。</w:t>
      </w:r>
    </w:p>
    <w:p>
      <w:pPr>
        <w:pStyle w:val="72"/>
        <w:numPr>
          <w:ilvl w:val="0"/>
          <w:numId w:val="11"/>
        </w:numPr>
        <w:tabs>
          <w:tab w:val="left" w:pos="112"/>
        </w:tabs>
        <w:spacing w:before="312" w:beforeLines="100" w:after="312" w:afterLines="100"/>
        <w:rPr>
          <w:rFonts w:ascii="Times New Roman"/>
        </w:rPr>
      </w:pPr>
      <w:r>
        <w:rPr>
          <w:rFonts w:ascii="Times New Roman"/>
        </w:rPr>
        <w:t>　</w:t>
      </w:r>
      <w:r>
        <w:rPr>
          <w:rFonts w:hint="eastAsia" w:ascii="Times New Roman"/>
        </w:rPr>
        <w:t>规范性引用文件</w:t>
      </w:r>
    </w:p>
    <w:p>
      <w:pPr>
        <w:pStyle w:val="45"/>
        <w:ind w:firstLine="420" w:firstLineChars="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5"/>
        <w:ind w:firstLine="420" w:firstLineChars="0"/>
        <w:rPr>
          <w:rFonts w:asciiTheme="minorEastAsia" w:hAnsiTheme="minorEastAsia" w:eastAsiaTheme="minorEastAsia"/>
        </w:rPr>
      </w:pPr>
      <w:r>
        <w:rPr>
          <w:rFonts w:hint="eastAsia" w:asciiTheme="minorEastAsia" w:hAnsiTheme="minorEastAsia" w:eastAsiaTheme="minorEastAsia"/>
        </w:rPr>
        <w:t>GB/T</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rPr>
        <w:t>6379.2</w:t>
      </w:r>
      <w:r>
        <w:rPr>
          <w:rFonts w:asciiTheme="minorEastAsia" w:hAnsiTheme="minorEastAsia" w:eastAsiaTheme="minorEastAsia"/>
        </w:rPr>
        <w:t> </w:t>
      </w:r>
      <w:r>
        <w:rPr>
          <w:rFonts w:hint="eastAsia" w:asciiTheme="minorEastAsia" w:hAnsiTheme="minorEastAsia" w:eastAsiaTheme="minorEastAsia"/>
        </w:rPr>
        <w:t>测量方法与结果的准确度（正确度与精密度）第2部分：确定标准测量方法重复性与再现性的基本方法</w:t>
      </w:r>
    </w:p>
    <w:p>
      <w:pPr>
        <w:pStyle w:val="45"/>
        <w:ind w:firstLine="420"/>
        <w:rPr>
          <w:rFonts w:asciiTheme="minorEastAsia" w:hAnsiTheme="minorEastAsia" w:eastAsiaTheme="minorEastAsia"/>
        </w:rPr>
      </w:pPr>
      <w:r>
        <w:rPr>
          <w:rFonts w:hint="eastAsia" w:asciiTheme="minorEastAsia" w:hAnsiTheme="minorEastAsia" w:eastAsiaTheme="minorEastAsia"/>
        </w:rPr>
        <w:t>GB/T</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rPr>
        <w:t>6682</w:t>
      </w:r>
      <w:r>
        <w:rPr>
          <w:rFonts w:asciiTheme="minorEastAsia" w:hAnsiTheme="minorEastAsia" w:eastAsiaTheme="minorEastAsia"/>
        </w:rPr>
        <w:t> </w:t>
      </w:r>
      <w:r>
        <w:rPr>
          <w:rFonts w:hint="eastAsia" w:asciiTheme="minorEastAsia" w:hAnsiTheme="minorEastAsia" w:eastAsiaTheme="minorEastAsia"/>
        </w:rPr>
        <w:t xml:space="preserve">分析实验室用水规格和试验方法 </w:t>
      </w:r>
    </w:p>
    <w:p>
      <w:pPr>
        <w:pStyle w:val="45"/>
        <w:ind w:firstLine="420"/>
        <w:rPr>
          <w:rFonts w:asciiTheme="minorEastAsia" w:hAnsiTheme="minorEastAsia" w:eastAsiaTheme="minorEastAsia"/>
        </w:rPr>
      </w:pPr>
      <w:r>
        <w:rPr>
          <w:rFonts w:hint="eastAsia" w:asciiTheme="minorEastAsia" w:hAnsiTheme="minorEastAsia" w:eastAsiaTheme="minorEastAsia"/>
        </w:rPr>
        <w:t>GB/T</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rPr>
        <w:t>8170</w:t>
      </w:r>
      <w:r>
        <w:rPr>
          <w:rFonts w:asciiTheme="minorEastAsia" w:hAnsiTheme="minorEastAsia" w:eastAsiaTheme="minorEastAsia"/>
        </w:rPr>
        <w:t> </w:t>
      </w:r>
      <w:r>
        <w:rPr>
          <w:rFonts w:hint="eastAsia" w:asciiTheme="minorEastAsia" w:hAnsiTheme="minorEastAsia" w:eastAsiaTheme="minorEastAsia"/>
        </w:rPr>
        <w:t>数值修约规则与极限数值的表示和判定</w:t>
      </w:r>
    </w:p>
    <w:p>
      <w:pPr>
        <w:pStyle w:val="72"/>
        <w:numPr>
          <w:ilvl w:val="0"/>
          <w:numId w:val="11"/>
        </w:numPr>
        <w:tabs>
          <w:tab w:val="left" w:pos="112"/>
        </w:tabs>
        <w:spacing w:before="312" w:beforeLines="100" w:after="312" w:afterLines="100"/>
        <w:rPr>
          <w:rFonts w:ascii="Times New Roman"/>
        </w:rPr>
      </w:pPr>
      <w:r>
        <w:rPr>
          <w:rFonts w:ascii="Times New Roman"/>
        </w:rPr>
        <w:t>　</w:t>
      </w:r>
      <w:r>
        <w:rPr>
          <w:rFonts w:hint="eastAsia" w:ascii="Times New Roman"/>
        </w:rPr>
        <w:t>术语和定义</w:t>
      </w:r>
    </w:p>
    <w:p>
      <w:pPr>
        <w:pStyle w:val="45"/>
        <w:ind w:firstLine="420" w:firstLineChars="0"/>
        <w:rPr>
          <w:rFonts w:ascii="Times New Roman"/>
        </w:rPr>
      </w:pPr>
      <w:r>
        <w:rPr>
          <w:rFonts w:hint="eastAsia" w:ascii="Times New Roman"/>
        </w:rPr>
        <w:t>本文件没有需要界定的术语和定义。</w:t>
      </w:r>
    </w:p>
    <w:p>
      <w:pPr>
        <w:pStyle w:val="72"/>
        <w:numPr>
          <w:ilvl w:val="0"/>
          <w:numId w:val="11"/>
        </w:numPr>
        <w:tabs>
          <w:tab w:val="left" w:pos="112"/>
        </w:tabs>
        <w:spacing w:before="312" w:beforeLines="100" w:after="312" w:afterLines="100"/>
        <w:rPr>
          <w:rFonts w:ascii="Times New Roman"/>
        </w:rPr>
      </w:pPr>
      <w:r>
        <w:rPr>
          <w:rFonts w:ascii="Times New Roman"/>
        </w:rPr>
        <w:t>　</w:t>
      </w:r>
      <w:r>
        <w:rPr>
          <w:rFonts w:hint="eastAsia" w:ascii="Times New Roman"/>
        </w:rPr>
        <w:t>原理</w:t>
      </w:r>
    </w:p>
    <w:p>
      <w:pPr>
        <w:pStyle w:val="72"/>
        <w:numPr>
          <w:ilvl w:val="0"/>
          <w:numId w:val="0"/>
        </w:numPr>
        <w:spacing w:before="156" w:after="156"/>
        <w:ind w:firstLine="420" w:firstLineChars="200"/>
        <w:rPr>
          <w:rFonts w:ascii="Times New Roman"/>
        </w:rPr>
      </w:pPr>
      <w:r>
        <w:rPr>
          <w:rFonts w:hint="eastAsia" w:ascii="Times New Roman" w:hAnsi="宋体" w:eastAsia="宋体"/>
          <w:szCs w:val="22"/>
        </w:rPr>
        <w:t>试样经</w:t>
      </w:r>
      <w:r>
        <w:rPr>
          <w:rFonts w:hint="eastAsia" w:ascii="Times New Roman" w:hAnsi="宋体" w:eastAsia="宋体"/>
        </w:rPr>
        <w:t>盐酸和硝酸分解，高氯酸冒烟至小体积，</w:t>
      </w:r>
      <w:r>
        <w:rPr>
          <w:rFonts w:ascii="Times New Roman" w:hAnsi="宋体" w:eastAsia="宋体"/>
          <w:szCs w:val="22"/>
        </w:rPr>
        <w:t>将亚磷酸氧化成正磷酸</w:t>
      </w:r>
      <w:r>
        <w:rPr>
          <w:rFonts w:hint="eastAsia" w:ascii="Times New Roman" w:hAnsi="宋体" w:eastAsia="宋体"/>
          <w:szCs w:val="22"/>
        </w:rPr>
        <w:t>，</w:t>
      </w:r>
      <w:r>
        <w:rPr>
          <w:rFonts w:hint="eastAsia" w:ascii="Times New Roman" w:hAnsi="宋体" w:eastAsia="宋体"/>
        </w:rPr>
        <w:t>在硫酸介质中，磷与铋及钼酸铵形成黄色磷铋钼三元杂多酸，用抗坏血酸将其还原为蓝色络合物，于分光光度计700 nm波长处测量吸光度，计算磷的含量。</w:t>
      </w:r>
    </w:p>
    <w:p>
      <w:pPr>
        <w:pStyle w:val="72"/>
        <w:numPr>
          <w:ilvl w:val="0"/>
          <w:numId w:val="11"/>
        </w:numPr>
        <w:tabs>
          <w:tab w:val="left" w:pos="112"/>
        </w:tabs>
        <w:spacing w:before="312" w:beforeLines="100" w:after="312" w:afterLines="100"/>
        <w:rPr>
          <w:rFonts w:ascii="Times New Roman"/>
        </w:rPr>
      </w:pPr>
      <w:r>
        <w:rPr>
          <w:rFonts w:ascii="Times New Roman"/>
        </w:rPr>
        <w:t>　试剂或材料</w:t>
      </w:r>
    </w:p>
    <w:bookmarkEnd w:id="2"/>
    <w:p>
      <w:pPr>
        <w:ind w:firstLine="420" w:firstLineChars="200"/>
        <w:rPr>
          <w:rFonts w:ascii="宋体" w:hAnsi="宋体"/>
          <w:kern w:val="0"/>
          <w:szCs w:val="20"/>
        </w:rPr>
      </w:pPr>
      <w:r>
        <w:rPr>
          <w:rFonts w:hint="eastAsia" w:ascii="宋体" w:hAnsi="宋体"/>
          <w:kern w:val="0"/>
          <w:szCs w:val="20"/>
        </w:rPr>
        <w:t>除另有说明，在分析中仅使用确认为分析纯的试剂和符合</w:t>
      </w:r>
      <w:r>
        <w:rPr>
          <w:rFonts w:ascii="宋体" w:hAnsi="宋体"/>
        </w:rPr>
        <w:t>GB/T</w:t>
      </w:r>
      <w:r>
        <w:rPr>
          <w:rFonts w:asciiTheme="minorEastAsia" w:hAnsiTheme="minorEastAsia" w:eastAsiaTheme="minorEastAsia"/>
          <w:color w:val="000000" w:themeColor="text1"/>
          <w14:textFill>
            <w14:solidFill>
              <w14:schemeClr w14:val="tx1"/>
            </w14:solidFill>
          </w14:textFill>
        </w:rPr>
        <w:t xml:space="preserve"> </w:t>
      </w:r>
      <w:r>
        <w:rPr>
          <w:rFonts w:ascii="宋体" w:hAnsi="宋体"/>
        </w:rPr>
        <w:t>6682</w:t>
      </w:r>
      <w:r>
        <w:rPr>
          <w:rFonts w:hint="eastAsia" w:ascii="宋体" w:hAnsi="宋体"/>
        </w:rPr>
        <w:t>规定的一级水</w:t>
      </w:r>
      <w:r>
        <w:rPr>
          <w:rFonts w:hint="eastAsia" w:ascii="宋体" w:hAnsi="宋体"/>
          <w:kern w:val="0"/>
          <w:szCs w:val="20"/>
        </w:rPr>
        <w:t>。</w:t>
      </w:r>
    </w:p>
    <w:p>
      <w:pPr>
        <w:rPr>
          <w:rFonts w:asciiTheme="minorEastAsia" w:hAnsiTheme="minorEastAsia" w:eastAsiaTheme="minorEastAsia"/>
        </w:rPr>
      </w:pPr>
      <w:r>
        <w:rPr>
          <w:rFonts w:ascii="黑体" w:hAnsi="黑体" w:eastAsia="黑体"/>
        </w:rPr>
        <w:t>5.1</w:t>
      </w:r>
      <w:r>
        <w:rPr>
          <w:rFonts w:asciiTheme="minorEastAsia" w:hAnsiTheme="minorEastAsia" w:eastAsiaTheme="minorEastAsia"/>
        </w:rPr>
        <w:t>　</w:t>
      </w:r>
      <w:r>
        <w:rPr>
          <w:rFonts w:hint="eastAsia"/>
        </w:rPr>
        <w:t>盐酸（</w:t>
      </w:r>
      <w:r>
        <w:rPr>
          <w:rFonts w:hint="eastAsia" w:ascii="宋体" w:hAnsi="宋体"/>
        </w:rPr>
        <w:t>ρ=1.19</w:t>
      </w:r>
      <w:r>
        <w:rPr>
          <w:rFonts w:ascii="MS Gothic" w:hAnsi="MS Gothic" w:cs="MS Gothic"/>
        </w:rPr>
        <w:t> </w:t>
      </w:r>
      <w:r>
        <w:rPr>
          <w:rFonts w:hint="eastAsia" w:ascii="宋体" w:hAnsi="宋体"/>
        </w:rPr>
        <w:t>g/mL</w:t>
      </w:r>
      <w:r>
        <w:rPr>
          <w:rFonts w:hint="eastAsia"/>
        </w:rPr>
        <w:t>），优级纯</w:t>
      </w:r>
      <w:r>
        <w:t>。</w:t>
      </w:r>
    </w:p>
    <w:p>
      <w:r>
        <w:rPr>
          <w:rFonts w:ascii="黑体" w:hAnsi="黑体" w:eastAsia="黑体"/>
        </w:rPr>
        <w:t>5.2</w:t>
      </w:r>
      <w:r>
        <w:rPr>
          <w:rFonts w:eastAsia="黑体"/>
        </w:rPr>
        <w:t>　</w:t>
      </w:r>
      <w:r>
        <w:rPr>
          <w:rFonts w:hint="eastAsia" w:asciiTheme="minorEastAsia" w:hAnsiTheme="minorEastAsia" w:eastAsiaTheme="minorEastAsia"/>
        </w:rPr>
        <w:t>硝酸</w:t>
      </w:r>
      <w:r>
        <w:rPr>
          <w:rFonts w:hint="eastAsia"/>
        </w:rPr>
        <w:t>（</w:t>
      </w:r>
      <w:r>
        <w:rPr>
          <w:rFonts w:hint="eastAsia" w:ascii="宋体" w:hAnsi="宋体"/>
        </w:rPr>
        <w:t>ρ=l.42</w:t>
      </w:r>
      <w:r>
        <w:rPr>
          <w:rFonts w:ascii="MS Gothic" w:hAnsi="MS Gothic" w:cs="MS Gothic"/>
        </w:rPr>
        <w:t> </w:t>
      </w:r>
      <w:r>
        <w:rPr>
          <w:rFonts w:hint="eastAsia" w:ascii="宋体" w:hAnsi="宋体"/>
        </w:rPr>
        <w:t>g/mL</w:t>
      </w:r>
      <w:r>
        <w:rPr>
          <w:rFonts w:hint="eastAsia"/>
        </w:rPr>
        <w:t>），优级纯</w:t>
      </w:r>
      <w:r>
        <w:t>。</w:t>
      </w:r>
    </w:p>
    <w:p>
      <w:pPr>
        <w:pStyle w:val="79"/>
      </w:pPr>
      <w:r>
        <w:rPr>
          <w:rFonts w:hAnsi="黑体"/>
        </w:rPr>
        <w:t>5.3</w:t>
      </w:r>
      <w:r>
        <w:t>　</w:t>
      </w:r>
      <w:r>
        <w:rPr>
          <w:rFonts w:hint="eastAsia" w:ascii="Times New Roman" w:eastAsia="宋体"/>
          <w:kern w:val="2"/>
          <w:szCs w:val="24"/>
        </w:rPr>
        <w:t>高氯</w:t>
      </w:r>
      <w:r>
        <w:rPr>
          <w:rFonts w:ascii="Times New Roman" w:eastAsia="宋体"/>
          <w:kern w:val="2"/>
          <w:szCs w:val="24"/>
        </w:rPr>
        <w:t>酸（</w:t>
      </w:r>
      <w:r>
        <w:rPr>
          <w:rFonts w:hint="eastAsia" w:ascii="宋体" w:hAnsi="宋体" w:eastAsia="宋体"/>
          <w:kern w:val="2"/>
          <w:szCs w:val="24"/>
        </w:rPr>
        <w:t>ρ</w:t>
      </w:r>
      <w:r>
        <w:rPr>
          <w:rFonts w:hint="eastAsia" w:ascii="宋体" w:hAnsi="宋体"/>
        </w:rPr>
        <w:t>=l.67</w:t>
      </w:r>
      <w:r>
        <w:rPr>
          <w:rFonts w:ascii="MS Gothic" w:hAnsi="MS Gothic" w:cs="MS Gothic"/>
        </w:rPr>
        <w:t> </w:t>
      </w:r>
      <w:r>
        <w:rPr>
          <w:rFonts w:hint="eastAsia" w:ascii="宋体" w:hAnsi="宋体"/>
        </w:rPr>
        <w:t>g/mL</w:t>
      </w:r>
      <w:r>
        <w:rPr>
          <w:rFonts w:ascii="Times New Roman" w:eastAsia="宋体"/>
          <w:kern w:val="2"/>
          <w:szCs w:val="24"/>
        </w:rPr>
        <w:t>）</w:t>
      </w:r>
      <w:r>
        <w:rPr>
          <w:rFonts w:hint="eastAsia" w:ascii="Times New Roman" w:eastAsia="宋体"/>
          <w:kern w:val="2"/>
          <w:szCs w:val="24"/>
        </w:rPr>
        <w:t>。</w:t>
      </w:r>
    </w:p>
    <w:p>
      <w:r>
        <w:rPr>
          <w:rFonts w:ascii="黑体" w:hAnsi="黑体" w:eastAsia="黑体"/>
        </w:rPr>
        <w:t>5.4</w:t>
      </w:r>
      <w:r>
        <w:rPr>
          <w:rFonts w:eastAsia="黑体"/>
        </w:rPr>
        <w:t>　</w:t>
      </w:r>
      <w:r>
        <w:rPr>
          <w:rFonts w:hint="eastAsia"/>
        </w:rPr>
        <w:t>硫酸（1+3，优级纯）</w:t>
      </w:r>
      <w:r>
        <w:t>。</w:t>
      </w:r>
    </w:p>
    <w:p>
      <w:pPr>
        <w:pStyle w:val="79"/>
        <w:rPr>
          <w:rFonts w:ascii="Times New Roman" w:eastAsia="宋体"/>
          <w:kern w:val="2"/>
          <w:szCs w:val="24"/>
        </w:rPr>
      </w:pPr>
      <w:r>
        <w:rPr>
          <w:rFonts w:hAnsi="黑体"/>
        </w:rPr>
        <w:t>5.5</w:t>
      </w:r>
      <w:r>
        <w:t>　</w:t>
      </w:r>
      <w:r>
        <w:rPr>
          <w:rFonts w:hint="eastAsia" w:ascii="Times New Roman" w:eastAsia="宋体"/>
          <w:kern w:val="2"/>
          <w:szCs w:val="24"/>
        </w:rPr>
        <w:t>硝酸</w:t>
      </w:r>
      <w:r>
        <w:rPr>
          <w:rFonts w:ascii="Times New Roman" w:eastAsia="宋体"/>
          <w:kern w:val="2"/>
          <w:szCs w:val="24"/>
        </w:rPr>
        <w:t>铋</w:t>
      </w:r>
      <w:r>
        <w:rPr>
          <w:rFonts w:hint="eastAsia" w:ascii="Times New Roman" w:eastAsia="宋体"/>
          <w:kern w:val="2"/>
          <w:szCs w:val="24"/>
        </w:rPr>
        <w:t>溶</w:t>
      </w:r>
      <w:r>
        <w:rPr>
          <w:rFonts w:ascii="Times New Roman" w:eastAsia="宋体"/>
          <w:kern w:val="2"/>
          <w:szCs w:val="24"/>
        </w:rPr>
        <w:t>液（</w:t>
      </w:r>
      <w:r>
        <w:rPr>
          <w:rFonts w:hint="eastAsia" w:ascii="Times New Roman" w:eastAsia="宋体"/>
          <w:kern w:val="2"/>
          <w:szCs w:val="24"/>
        </w:rPr>
        <w:t>10</w:t>
      </w:r>
      <w:r>
        <w:rPr>
          <w:rFonts w:ascii="Times New Roman" w:eastAsia="宋体"/>
          <w:kern w:val="2"/>
          <w:szCs w:val="24"/>
        </w:rPr>
        <w:t xml:space="preserve">g/L）： </w:t>
      </w:r>
      <w:r>
        <w:rPr>
          <w:rFonts w:hint="eastAsia" w:ascii="Times New Roman" w:eastAsia="宋体"/>
          <w:kern w:val="2"/>
          <w:szCs w:val="24"/>
        </w:rPr>
        <w:t>称取10</w:t>
      </w:r>
      <w:r>
        <w:rPr>
          <w:rFonts w:ascii="Times New Roman" w:eastAsia="宋体"/>
          <w:kern w:val="2"/>
          <w:szCs w:val="24"/>
        </w:rPr>
        <w:t>克硝酸铋</w:t>
      </w:r>
      <w:r>
        <w:rPr>
          <w:rFonts w:hint="eastAsia" w:ascii="Times New Roman" w:eastAsia="宋体"/>
          <w:kern w:val="2"/>
          <w:szCs w:val="24"/>
        </w:rPr>
        <w:t>，</w:t>
      </w:r>
      <w:r>
        <w:rPr>
          <w:rFonts w:ascii="Times New Roman" w:eastAsia="宋体"/>
          <w:kern w:val="2"/>
          <w:szCs w:val="24"/>
        </w:rPr>
        <w:t>加入硝酸</w:t>
      </w:r>
      <w:r>
        <w:rPr>
          <w:rFonts w:hint="eastAsia" w:ascii="Times New Roman" w:eastAsia="宋体"/>
          <w:kern w:val="2"/>
          <w:szCs w:val="24"/>
        </w:rPr>
        <w:t xml:space="preserve">（5.2）30 </w:t>
      </w:r>
      <w:r>
        <w:rPr>
          <w:rFonts w:ascii="Times New Roman" w:eastAsia="宋体"/>
          <w:kern w:val="2"/>
          <w:szCs w:val="24"/>
        </w:rPr>
        <w:t>mL</w:t>
      </w:r>
      <w:r>
        <w:rPr>
          <w:rFonts w:hint="eastAsia" w:ascii="Times New Roman" w:eastAsia="宋体"/>
          <w:kern w:val="2"/>
          <w:szCs w:val="24"/>
        </w:rPr>
        <w:t>溶解完全、加100</w:t>
      </w:r>
      <w:r>
        <w:rPr>
          <w:rFonts w:ascii="Times New Roman" w:eastAsia="宋体"/>
          <w:kern w:val="2"/>
          <w:szCs w:val="24"/>
        </w:rPr>
        <w:t>mL</w:t>
      </w:r>
      <w:r>
        <w:rPr>
          <w:rFonts w:hint="eastAsia" w:ascii="Times New Roman" w:eastAsia="宋体"/>
          <w:kern w:val="2"/>
          <w:szCs w:val="24"/>
        </w:rPr>
        <w:t>水，煮沸驱除氮氧化物，加100ml硫酸（5.4），冷却至室温，移入1000ml容量瓶，用水稀释至刻度，混匀。</w:t>
      </w:r>
    </w:p>
    <w:p>
      <w:pPr>
        <w:pStyle w:val="79"/>
      </w:pPr>
      <w:r>
        <w:rPr>
          <w:rFonts w:hAnsi="黑体"/>
        </w:rPr>
        <w:t>5.6</w:t>
      </w:r>
      <w:r>
        <w:t>　</w:t>
      </w:r>
      <w:r>
        <w:rPr>
          <w:rFonts w:hint="eastAsia" w:ascii="Times New Roman" w:eastAsia="宋体"/>
          <w:kern w:val="2"/>
          <w:szCs w:val="24"/>
        </w:rPr>
        <w:t>钼酸铵溶液（5</w:t>
      </w:r>
      <w:r>
        <w:rPr>
          <w:rFonts w:ascii="Times New Roman" w:eastAsia="宋体"/>
          <w:kern w:val="2"/>
          <w:szCs w:val="24"/>
        </w:rPr>
        <w:t>0g/L</w:t>
      </w:r>
      <w:r>
        <w:rPr>
          <w:rFonts w:hint="eastAsia" w:ascii="Times New Roman" w:eastAsia="宋体"/>
          <w:kern w:val="2"/>
          <w:szCs w:val="24"/>
        </w:rPr>
        <w:t>）：称取5</w:t>
      </w:r>
      <w:r>
        <w:rPr>
          <w:rFonts w:ascii="Times New Roman" w:eastAsia="宋体"/>
          <w:kern w:val="2"/>
          <w:szCs w:val="24"/>
        </w:rPr>
        <w:t>0g</w:t>
      </w:r>
      <w:r>
        <w:rPr>
          <w:rFonts w:hint="eastAsia" w:ascii="Times New Roman" w:eastAsia="宋体"/>
          <w:kern w:val="2"/>
          <w:szCs w:val="24"/>
        </w:rPr>
        <w:t>钼酸铵溶解于</w:t>
      </w:r>
      <w:r>
        <w:rPr>
          <w:rFonts w:ascii="Times New Roman" w:eastAsia="宋体"/>
          <w:kern w:val="2"/>
          <w:szCs w:val="24"/>
        </w:rPr>
        <w:t>1L</w:t>
      </w:r>
      <w:r>
        <w:rPr>
          <w:rFonts w:hint="eastAsia" w:ascii="Times New Roman" w:eastAsia="宋体"/>
          <w:kern w:val="2"/>
          <w:szCs w:val="24"/>
        </w:rPr>
        <w:t>水中。</w:t>
      </w:r>
    </w:p>
    <w:p>
      <w:pPr>
        <w:pStyle w:val="79"/>
      </w:pPr>
      <w:r>
        <w:rPr>
          <w:rFonts w:hAnsi="黑体"/>
        </w:rPr>
        <w:t>5.7</w:t>
      </w:r>
      <w:r>
        <w:t>　</w:t>
      </w:r>
      <w:r>
        <w:rPr>
          <w:rFonts w:hint="eastAsia" w:ascii="Times New Roman" w:eastAsia="宋体"/>
          <w:kern w:val="2"/>
          <w:szCs w:val="24"/>
        </w:rPr>
        <w:t>抗坏血酸溶液（2</w:t>
      </w:r>
      <w:r>
        <w:rPr>
          <w:rFonts w:ascii="Times New Roman" w:eastAsia="宋体"/>
          <w:kern w:val="2"/>
          <w:szCs w:val="24"/>
        </w:rPr>
        <w:t>0g/L</w:t>
      </w:r>
      <w:r>
        <w:rPr>
          <w:rFonts w:hint="eastAsia" w:ascii="Times New Roman" w:eastAsia="宋体"/>
          <w:kern w:val="2"/>
          <w:szCs w:val="24"/>
        </w:rPr>
        <w:t>）：称取2</w:t>
      </w:r>
      <w:r>
        <w:rPr>
          <w:rFonts w:ascii="Times New Roman" w:eastAsia="宋体"/>
          <w:kern w:val="2"/>
          <w:szCs w:val="24"/>
        </w:rPr>
        <w:t>g</w:t>
      </w:r>
      <w:r>
        <w:rPr>
          <w:rFonts w:hint="eastAsia" w:ascii="Times New Roman" w:eastAsia="宋体"/>
          <w:kern w:val="2"/>
          <w:szCs w:val="24"/>
        </w:rPr>
        <w:t>抗坏血酸溶解于100 m</w:t>
      </w:r>
      <w:r>
        <w:rPr>
          <w:rFonts w:ascii="Times New Roman" w:eastAsia="宋体"/>
          <w:kern w:val="2"/>
          <w:szCs w:val="24"/>
        </w:rPr>
        <w:t>L</w:t>
      </w:r>
      <w:r>
        <w:rPr>
          <w:rFonts w:hint="eastAsia" w:ascii="Times New Roman" w:eastAsia="宋体"/>
          <w:kern w:val="2"/>
          <w:szCs w:val="24"/>
        </w:rPr>
        <w:t>水中，用时现配。</w:t>
      </w:r>
    </w:p>
    <w:p>
      <w:r>
        <w:rPr>
          <w:rFonts w:ascii="黑体" w:hAnsi="黑体" w:eastAsia="黑体"/>
        </w:rPr>
        <w:t>5.8</w:t>
      </w:r>
      <w:r>
        <w:rPr>
          <w:rFonts w:eastAsia="黑体"/>
        </w:rPr>
        <w:t>　</w:t>
      </w:r>
      <w:r>
        <w:t>磷标准贮存液：称取</w:t>
      </w:r>
      <w:r>
        <w:rPr>
          <w:rFonts w:hint="eastAsia"/>
        </w:rPr>
        <w:t xml:space="preserve">0.4394 </w:t>
      </w:r>
      <w:r>
        <w:t>g磷酸二氢钾</w:t>
      </w:r>
      <w:r>
        <w:rPr>
          <w:rFonts w:hint="eastAsia"/>
        </w:rPr>
        <w:t>(</w:t>
      </w:r>
      <w:r>
        <w:t>优级纯</w:t>
      </w:r>
      <w:r>
        <w:rPr>
          <w:rFonts w:hint="eastAsia"/>
        </w:rPr>
        <w:t>，</w:t>
      </w:r>
      <w:r>
        <w:t>预先经105℃～110℃烘干1h</w:t>
      </w:r>
      <w:r>
        <w:rPr>
          <w:rFonts w:hint="eastAsia"/>
        </w:rPr>
        <w:t>)</w:t>
      </w:r>
      <w:r>
        <w:t>于250mL烧杯中，加水溶解，移入1000mL容量瓶中，</w:t>
      </w:r>
      <w:r>
        <w:rPr>
          <w:rFonts w:hint="eastAsia"/>
        </w:rPr>
        <w:t>用</w:t>
      </w:r>
      <w:r>
        <w:t>水稀释至刻度，混匀</w:t>
      </w:r>
      <w:r>
        <w:rPr>
          <w:rFonts w:hint="eastAsia"/>
        </w:rPr>
        <w:t>（</w:t>
      </w:r>
      <w:r>
        <w:t>此溶液1mL含</w:t>
      </w:r>
      <w:r>
        <w:rPr>
          <w:rFonts w:hint="eastAsia"/>
        </w:rPr>
        <w:t>100</w:t>
      </w:r>
      <w:r>
        <w:t>µg</w:t>
      </w:r>
      <w:r>
        <w:rPr>
          <w:rFonts w:hint="eastAsia"/>
        </w:rPr>
        <w:t>磷）</w:t>
      </w:r>
      <w:r>
        <w:rPr>
          <w:rFonts w:hint="eastAsia" w:hAnsi="宋体"/>
        </w:rPr>
        <w:t>。</w:t>
      </w:r>
    </w:p>
    <w:p>
      <w:pPr>
        <w:pStyle w:val="45"/>
        <w:ind w:firstLine="0" w:firstLineChars="0"/>
      </w:pPr>
      <w:r>
        <w:rPr>
          <w:rFonts w:ascii="黑体" w:hAnsi="黑体" w:eastAsia="黑体"/>
        </w:rPr>
        <w:t>5.9</w:t>
      </w:r>
      <w:r>
        <w:rPr>
          <w:rFonts w:eastAsia="黑体"/>
        </w:rPr>
        <w:t>　</w:t>
      </w:r>
      <w:r>
        <w:rPr>
          <w:rFonts w:ascii="Times New Roman"/>
          <w:kern w:val="2"/>
          <w:szCs w:val="24"/>
        </w:rPr>
        <w:t>磷标准溶液：移取</w:t>
      </w:r>
      <w:r>
        <w:rPr>
          <w:rFonts w:hint="eastAsia" w:ascii="Times New Roman"/>
          <w:kern w:val="2"/>
          <w:szCs w:val="24"/>
        </w:rPr>
        <w:t xml:space="preserve">5.00 </w:t>
      </w:r>
      <w:r>
        <w:rPr>
          <w:rFonts w:ascii="Times New Roman"/>
          <w:kern w:val="2"/>
          <w:szCs w:val="24"/>
        </w:rPr>
        <w:t>mL磷标准贮存液</w:t>
      </w:r>
      <w:r>
        <w:rPr>
          <w:rFonts w:hint="eastAsia" w:ascii="Times New Roman"/>
          <w:kern w:val="2"/>
          <w:szCs w:val="24"/>
        </w:rPr>
        <w:t>（5.8）</w:t>
      </w:r>
      <w:r>
        <w:rPr>
          <w:rFonts w:ascii="Times New Roman"/>
          <w:kern w:val="2"/>
          <w:szCs w:val="24"/>
        </w:rPr>
        <w:t>于</w:t>
      </w:r>
      <w:r>
        <w:rPr>
          <w:rFonts w:hint="eastAsia" w:ascii="Times New Roman"/>
          <w:kern w:val="2"/>
          <w:szCs w:val="24"/>
        </w:rPr>
        <w:t>1</w:t>
      </w:r>
      <w:r>
        <w:rPr>
          <w:rFonts w:ascii="Times New Roman"/>
          <w:kern w:val="2"/>
          <w:szCs w:val="24"/>
        </w:rPr>
        <w:t>00mL容量瓶中，水稀释至刻度，混匀</w:t>
      </w:r>
      <w:r>
        <w:rPr>
          <w:rFonts w:hint="eastAsia" w:ascii="Times New Roman"/>
          <w:kern w:val="2"/>
          <w:szCs w:val="24"/>
        </w:rPr>
        <w:t>（</w:t>
      </w:r>
      <w:r>
        <w:rPr>
          <w:rFonts w:ascii="Times New Roman"/>
          <w:kern w:val="2"/>
          <w:szCs w:val="24"/>
        </w:rPr>
        <w:t>此溶液1mL含</w:t>
      </w:r>
      <w:r>
        <w:rPr>
          <w:rFonts w:hint="eastAsia" w:ascii="Times New Roman"/>
          <w:kern w:val="2"/>
          <w:szCs w:val="24"/>
        </w:rPr>
        <w:t xml:space="preserve">5 </w:t>
      </w:r>
      <w:r>
        <w:rPr>
          <w:rFonts w:ascii="Times New Roman"/>
          <w:kern w:val="2"/>
          <w:szCs w:val="24"/>
        </w:rPr>
        <w:t>µg</w:t>
      </w:r>
      <w:r>
        <w:rPr>
          <w:rFonts w:hint="eastAsia" w:ascii="Times New Roman"/>
          <w:kern w:val="2"/>
          <w:szCs w:val="24"/>
        </w:rPr>
        <w:t>磷）。</w:t>
      </w:r>
    </w:p>
    <w:p>
      <w:pPr>
        <w:pStyle w:val="72"/>
        <w:numPr>
          <w:ilvl w:val="0"/>
          <w:numId w:val="0"/>
        </w:numPr>
        <w:spacing w:before="312" w:beforeLines="100" w:after="312" w:afterLines="100"/>
        <w:rPr>
          <w:rFonts w:ascii="Times New Roman"/>
        </w:rPr>
      </w:pPr>
      <w:r>
        <w:rPr>
          <w:rFonts w:hAnsi="黑体"/>
        </w:rPr>
        <w:t>6</w:t>
      </w:r>
      <w:r>
        <w:rPr>
          <w:rFonts w:ascii="Times New Roman"/>
        </w:rPr>
        <w:t>　仪器设备</w:t>
      </w:r>
    </w:p>
    <w:p>
      <w:pPr>
        <w:pStyle w:val="45"/>
        <w:ind w:firstLine="420"/>
        <w:rPr>
          <w:rFonts w:ascii="Times New Roman"/>
          <w:kern w:val="2"/>
          <w:szCs w:val="24"/>
        </w:rPr>
      </w:pPr>
      <w:r>
        <w:rPr>
          <w:rFonts w:hint="eastAsia" w:ascii="Times New Roman"/>
          <w:kern w:val="2"/>
          <w:szCs w:val="24"/>
        </w:rPr>
        <w:t>可见分光光度计</w:t>
      </w:r>
    </w:p>
    <w:p>
      <w:pPr>
        <w:pStyle w:val="72"/>
        <w:numPr>
          <w:ilvl w:val="0"/>
          <w:numId w:val="0"/>
        </w:numPr>
        <w:tabs>
          <w:tab w:val="center" w:pos="4677"/>
        </w:tabs>
        <w:spacing w:before="312" w:beforeLines="100" w:after="312" w:afterLines="100"/>
        <w:rPr>
          <w:rFonts w:ascii="Times New Roman"/>
        </w:rPr>
      </w:pPr>
      <w:r>
        <w:rPr>
          <w:rFonts w:hAnsi="黑体"/>
        </w:rPr>
        <w:t>7</w:t>
      </w:r>
      <w:r>
        <w:rPr>
          <w:rFonts w:ascii="Times New Roman"/>
        </w:rPr>
        <w:t>　</w:t>
      </w:r>
      <w:r>
        <w:rPr>
          <w:rFonts w:hint="eastAsia" w:ascii="Times New Roman"/>
        </w:rPr>
        <w:t>样品</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将试样制成粉末或小粒状，密封包装，取样后立即称量。</w:t>
      </w:r>
    </w:p>
    <w:p>
      <w:pPr>
        <w:pStyle w:val="72"/>
        <w:numPr>
          <w:ilvl w:val="0"/>
          <w:numId w:val="0"/>
        </w:numPr>
        <w:spacing w:before="312" w:beforeLines="100" w:after="312" w:afterLines="100"/>
        <w:rPr>
          <w:rFonts w:ascii="Times New Roman"/>
        </w:rPr>
      </w:pPr>
      <w:r>
        <w:rPr>
          <w:rFonts w:ascii="Times New Roman"/>
        </w:rPr>
        <w:t>8　</w:t>
      </w:r>
      <w:r>
        <w:rPr>
          <w:rFonts w:hint="eastAsia" w:ascii="Times New Roman"/>
        </w:rPr>
        <w:t>试验</w:t>
      </w:r>
      <w:r>
        <w:rPr>
          <w:rFonts w:ascii="Times New Roman"/>
        </w:rPr>
        <w:t>步骤</w:t>
      </w:r>
    </w:p>
    <w:p>
      <w:pPr>
        <w:pStyle w:val="79"/>
        <w:numPr>
          <w:ilvl w:val="0"/>
          <w:numId w:val="0"/>
        </w:numPr>
        <w:spacing w:before="156" w:beforeLines="50" w:after="156" w:afterLines="50"/>
        <w:rPr>
          <w:rFonts w:ascii="Times New Roman"/>
          <w:kern w:val="2"/>
        </w:rPr>
      </w:pPr>
      <w:r>
        <w:rPr>
          <w:rFonts w:hAnsi="黑体"/>
          <w:kern w:val="2"/>
        </w:rPr>
        <w:t>8.1</w:t>
      </w:r>
      <w:r>
        <w:rPr>
          <w:rFonts w:ascii="Times New Roman"/>
        </w:rPr>
        <w:t>　</w:t>
      </w:r>
      <w:r>
        <w:rPr>
          <w:rFonts w:ascii="Times New Roman"/>
          <w:kern w:val="2"/>
        </w:rPr>
        <w:t>试料</w:t>
      </w:r>
    </w:p>
    <w:p>
      <w:pPr>
        <w:pStyle w:val="79"/>
        <w:numPr>
          <w:ilvl w:val="0"/>
          <w:numId w:val="0"/>
        </w:numPr>
        <w:ind w:firstLine="420" w:firstLineChars="200"/>
        <w:rPr>
          <w:rFonts w:ascii="Times New Roman" w:eastAsia="宋体"/>
          <w:szCs w:val="22"/>
        </w:rPr>
      </w:pPr>
      <w:r>
        <w:rPr>
          <w:rFonts w:ascii="Times New Roman" w:eastAsia="宋体"/>
          <w:szCs w:val="22"/>
        </w:rPr>
        <w:t>按表1称取试样，精确至0.000 1g。</w:t>
      </w:r>
    </w:p>
    <w:p>
      <w:pPr>
        <w:snapToGrid w:val="0"/>
        <w:spacing w:before="156" w:beforeLines="50" w:after="156" w:afterLines="50"/>
        <w:jc w:val="center"/>
        <w:rPr>
          <w:rFonts w:eastAsia="黑体"/>
        </w:rPr>
      </w:pPr>
      <w:r>
        <w:rPr>
          <w:rFonts w:eastAsia="黑体"/>
        </w:rPr>
        <w:t>表1 试样称取量与分取体积</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220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895" w:type="dxa"/>
            <w:vAlign w:val="center"/>
          </w:tcPr>
          <w:p>
            <w:pPr>
              <w:spacing w:line="360" w:lineRule="auto"/>
              <w:jc w:val="center"/>
              <w:rPr>
                <w:sz w:val="18"/>
                <w:szCs w:val="18"/>
              </w:rPr>
            </w:pPr>
            <w:r>
              <w:rPr>
                <w:sz w:val="18"/>
                <w:szCs w:val="18"/>
              </w:rPr>
              <w:t>含量（质量分数）范围/%</w:t>
            </w:r>
          </w:p>
        </w:tc>
        <w:tc>
          <w:tcPr>
            <w:tcW w:w="2205" w:type="dxa"/>
            <w:vAlign w:val="center"/>
          </w:tcPr>
          <w:p>
            <w:pPr>
              <w:spacing w:line="360" w:lineRule="auto"/>
              <w:jc w:val="center"/>
              <w:rPr>
                <w:sz w:val="18"/>
                <w:szCs w:val="18"/>
              </w:rPr>
            </w:pPr>
            <w:r>
              <w:rPr>
                <w:sz w:val="18"/>
                <w:szCs w:val="18"/>
              </w:rPr>
              <w:t>试料/g</w:t>
            </w:r>
          </w:p>
        </w:tc>
        <w:tc>
          <w:tcPr>
            <w:tcW w:w="2694" w:type="dxa"/>
            <w:vAlign w:val="center"/>
          </w:tcPr>
          <w:p>
            <w:pPr>
              <w:spacing w:line="360" w:lineRule="auto"/>
              <w:jc w:val="center"/>
              <w:rPr>
                <w:sz w:val="18"/>
                <w:szCs w:val="18"/>
              </w:rPr>
            </w:pPr>
            <w:r>
              <w:rPr>
                <w:sz w:val="18"/>
                <w:szCs w:val="18"/>
              </w:rPr>
              <w:t>分取试液的体积/mL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95" w:type="dxa"/>
            <w:vAlign w:val="center"/>
          </w:tcPr>
          <w:p>
            <w:pPr>
              <w:spacing w:line="360" w:lineRule="auto"/>
              <w:jc w:val="center"/>
              <w:rPr>
                <w:sz w:val="18"/>
                <w:szCs w:val="18"/>
              </w:rPr>
            </w:pPr>
            <w:r>
              <w:rPr>
                <w:sz w:val="18"/>
                <w:szCs w:val="18"/>
              </w:rPr>
              <w:t>0.005~0.050</w:t>
            </w:r>
          </w:p>
        </w:tc>
        <w:tc>
          <w:tcPr>
            <w:tcW w:w="2205" w:type="dxa"/>
            <w:vAlign w:val="center"/>
          </w:tcPr>
          <w:p>
            <w:pPr>
              <w:spacing w:line="360" w:lineRule="auto"/>
              <w:jc w:val="center"/>
              <w:rPr>
                <w:sz w:val="18"/>
                <w:szCs w:val="18"/>
              </w:rPr>
            </w:pPr>
            <w:r>
              <w:rPr>
                <w:sz w:val="18"/>
                <w:szCs w:val="18"/>
              </w:rPr>
              <w:t>1.00</w:t>
            </w:r>
          </w:p>
        </w:tc>
        <w:tc>
          <w:tcPr>
            <w:tcW w:w="2694" w:type="dxa"/>
            <w:vAlign w:val="center"/>
          </w:tcPr>
          <w:p>
            <w:pPr>
              <w:spacing w:line="360" w:lineRule="auto"/>
              <w:jc w:val="center"/>
              <w:rPr>
                <w:sz w:val="18"/>
                <w:szCs w:val="18"/>
              </w:rPr>
            </w:pPr>
            <w:r>
              <w:rPr>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95" w:type="dxa"/>
            <w:vAlign w:val="center"/>
          </w:tcPr>
          <w:p>
            <w:pPr>
              <w:spacing w:line="360" w:lineRule="auto"/>
              <w:jc w:val="center"/>
              <w:rPr>
                <w:sz w:val="18"/>
                <w:szCs w:val="18"/>
              </w:rPr>
            </w:pPr>
            <w:r>
              <w:rPr>
                <w:sz w:val="18"/>
                <w:szCs w:val="18"/>
              </w:rPr>
              <w:t>＞0.050~0.20</w:t>
            </w:r>
          </w:p>
        </w:tc>
        <w:tc>
          <w:tcPr>
            <w:tcW w:w="2205" w:type="dxa"/>
            <w:vAlign w:val="center"/>
          </w:tcPr>
          <w:p>
            <w:pPr>
              <w:spacing w:line="360" w:lineRule="auto"/>
              <w:jc w:val="center"/>
              <w:rPr>
                <w:sz w:val="18"/>
                <w:szCs w:val="18"/>
              </w:rPr>
            </w:pPr>
            <w:r>
              <w:rPr>
                <w:sz w:val="18"/>
                <w:szCs w:val="18"/>
              </w:rPr>
              <w:t>0.50</w:t>
            </w:r>
          </w:p>
        </w:tc>
        <w:tc>
          <w:tcPr>
            <w:tcW w:w="2694" w:type="dxa"/>
            <w:vAlign w:val="center"/>
          </w:tcPr>
          <w:p>
            <w:pPr>
              <w:spacing w:line="360" w:lineRule="auto"/>
              <w:jc w:val="center"/>
              <w:rPr>
                <w:sz w:val="18"/>
                <w:szCs w:val="18"/>
              </w:rPr>
            </w:pPr>
            <w:r>
              <w:rPr>
                <w:sz w:val="18"/>
                <w:szCs w:val="18"/>
              </w:rPr>
              <w:t>5.00</w:t>
            </w:r>
          </w:p>
        </w:tc>
      </w:tr>
    </w:tbl>
    <w:p>
      <w:pPr>
        <w:pStyle w:val="79"/>
        <w:numPr>
          <w:ilvl w:val="0"/>
          <w:numId w:val="0"/>
        </w:numPr>
        <w:spacing w:before="156" w:beforeLines="50" w:after="156" w:afterLines="50"/>
        <w:rPr>
          <w:rFonts w:ascii="Times New Roman"/>
          <w:kern w:val="2"/>
        </w:rPr>
      </w:pPr>
      <w:r>
        <w:rPr>
          <w:rFonts w:hAnsi="黑体"/>
          <w:kern w:val="2"/>
        </w:rPr>
        <w:t>8.2</w:t>
      </w:r>
      <w:r>
        <w:rPr>
          <w:rFonts w:ascii="Times New Roman"/>
        </w:rPr>
        <w:t>　</w:t>
      </w:r>
      <w:r>
        <w:rPr>
          <w:rFonts w:hint="eastAsia" w:ascii="Times New Roman"/>
          <w:kern w:val="2"/>
        </w:rPr>
        <w:t>平行测定</w:t>
      </w:r>
    </w:p>
    <w:p>
      <w:pPr>
        <w:pStyle w:val="79"/>
        <w:numPr>
          <w:ilvl w:val="0"/>
          <w:numId w:val="0"/>
        </w:numPr>
        <w:ind w:firstLine="420" w:firstLineChars="200"/>
        <w:rPr>
          <w:rFonts w:ascii="Times New Roman" w:eastAsia="宋体"/>
        </w:rPr>
      </w:pPr>
      <w:r>
        <w:rPr>
          <w:rFonts w:hint="eastAsia" w:ascii="Times New Roman" w:eastAsia="宋体"/>
        </w:rPr>
        <w:t>平行进行两次测定，取其平均值</w:t>
      </w:r>
      <w:r>
        <w:rPr>
          <w:rFonts w:ascii="Times New Roman" w:eastAsia="宋体"/>
        </w:rPr>
        <w:t>。</w:t>
      </w:r>
    </w:p>
    <w:p>
      <w:pPr>
        <w:pStyle w:val="79"/>
        <w:numPr>
          <w:ilvl w:val="0"/>
          <w:numId w:val="0"/>
        </w:numPr>
        <w:spacing w:before="156" w:beforeLines="50" w:after="156" w:afterLines="50"/>
        <w:rPr>
          <w:rFonts w:ascii="Times New Roman"/>
          <w:kern w:val="2"/>
        </w:rPr>
      </w:pPr>
      <w:r>
        <w:rPr>
          <w:rFonts w:hAnsi="黑体"/>
          <w:kern w:val="2"/>
        </w:rPr>
        <w:t>8.3</w:t>
      </w:r>
      <w:r>
        <w:rPr>
          <w:rFonts w:ascii="Times New Roman"/>
        </w:rPr>
        <w:t>　</w:t>
      </w:r>
      <w:r>
        <w:rPr>
          <w:rFonts w:hint="eastAsia" w:ascii="Times New Roman"/>
          <w:kern w:val="2"/>
        </w:rPr>
        <w:t>空白</w:t>
      </w:r>
      <w:r>
        <w:rPr>
          <w:rFonts w:ascii="Times New Roman"/>
          <w:kern w:val="2"/>
        </w:rPr>
        <w:t>试验</w:t>
      </w:r>
    </w:p>
    <w:p>
      <w:pPr>
        <w:pStyle w:val="79"/>
        <w:numPr>
          <w:ilvl w:val="0"/>
          <w:numId w:val="0"/>
        </w:numPr>
        <w:ind w:firstLine="420" w:firstLineChars="200"/>
        <w:rPr>
          <w:rFonts w:ascii="Times New Roman" w:eastAsia="宋体"/>
        </w:rPr>
      </w:pPr>
      <w:r>
        <w:rPr>
          <w:rFonts w:hint="eastAsia" w:ascii="Times New Roman" w:eastAsia="宋体"/>
        </w:rPr>
        <w:t>随同试料（</w:t>
      </w:r>
      <w:r>
        <w:rPr>
          <w:rFonts w:ascii="Times New Roman" w:eastAsia="宋体"/>
        </w:rPr>
        <w:t>8</w:t>
      </w:r>
      <w:r>
        <w:rPr>
          <w:rFonts w:hint="eastAsia" w:ascii="Times New Roman" w:eastAsia="宋体"/>
        </w:rPr>
        <w:t>.1）进行空白试验</w:t>
      </w:r>
      <w:r>
        <w:rPr>
          <w:rFonts w:ascii="Times New Roman" w:eastAsia="宋体"/>
        </w:rPr>
        <w:t>。</w:t>
      </w:r>
    </w:p>
    <w:p>
      <w:pPr>
        <w:pStyle w:val="79"/>
        <w:numPr>
          <w:ilvl w:val="0"/>
          <w:numId w:val="0"/>
        </w:numPr>
        <w:spacing w:before="156" w:beforeLines="50" w:after="156" w:afterLines="50"/>
        <w:rPr>
          <w:rFonts w:ascii="Times New Roman"/>
          <w:kern w:val="2"/>
        </w:rPr>
      </w:pPr>
      <w:r>
        <w:rPr>
          <w:rFonts w:hAnsi="黑体"/>
          <w:kern w:val="2"/>
        </w:rPr>
        <w:t>8.4</w:t>
      </w:r>
      <w:r>
        <w:rPr>
          <w:rFonts w:ascii="Times New Roman"/>
        </w:rPr>
        <w:t>　</w:t>
      </w:r>
      <w:r>
        <w:rPr>
          <w:rFonts w:hint="eastAsia" w:ascii="Times New Roman"/>
          <w:kern w:val="2"/>
        </w:rPr>
        <w:t>测定</w:t>
      </w:r>
    </w:p>
    <w:p>
      <w:r>
        <w:rPr>
          <w:rFonts w:ascii="黑体" w:hAnsi="黑体" w:eastAsia="黑体"/>
        </w:rPr>
        <w:t>8.4.1</w:t>
      </w:r>
      <w:r>
        <w:rPr>
          <w:rFonts w:eastAsia="黑体"/>
        </w:rPr>
        <w:t>　</w:t>
      </w:r>
      <w:r>
        <w:rPr>
          <w:rFonts w:hint="eastAsia" w:ascii="宋体" w:hAnsi="宋体"/>
        </w:rPr>
        <w:t>将试料（</w:t>
      </w:r>
      <w:r>
        <w:rPr>
          <w:rFonts w:ascii="宋体" w:hAnsi="宋体"/>
        </w:rPr>
        <w:t>8</w:t>
      </w:r>
      <w:r>
        <w:rPr>
          <w:rFonts w:hint="eastAsia" w:ascii="宋体" w:hAnsi="宋体"/>
        </w:rPr>
        <w:t>.1）置于250</w:t>
      </w:r>
      <w:r>
        <w:rPr>
          <w:rFonts w:ascii="MS Gothic" w:hAnsi="MS Gothic" w:cs="MS Gothic"/>
        </w:rPr>
        <w:t> </w:t>
      </w:r>
      <w:r>
        <w:rPr>
          <w:rFonts w:hint="eastAsia" w:ascii="宋体" w:hAnsi="宋体"/>
        </w:rPr>
        <w:t>mL烧杯中，</w:t>
      </w:r>
      <w:r>
        <w:rPr>
          <w:szCs w:val="21"/>
        </w:rPr>
        <w:t>用水润湿，加入</w:t>
      </w:r>
      <w:r>
        <w:rPr>
          <w:rFonts w:hint="eastAsia" w:asciiTheme="minorEastAsia" w:hAnsiTheme="minorEastAsia" w:eastAsiaTheme="minorEastAsia"/>
        </w:rPr>
        <w:t>10</w:t>
      </w:r>
      <w:r>
        <w:rPr>
          <w:rFonts w:asciiTheme="minorEastAsia" w:hAnsiTheme="minorEastAsia" w:eastAsiaTheme="minorEastAsia"/>
        </w:rPr>
        <w:t> </w:t>
      </w:r>
      <w:r>
        <w:rPr>
          <w:rFonts w:hint="eastAsia" w:asciiTheme="minorEastAsia" w:hAnsiTheme="minorEastAsia" w:eastAsiaTheme="minorEastAsia"/>
        </w:rPr>
        <w:t>mL盐酸（5.2）和5</w:t>
      </w:r>
      <w:r>
        <w:rPr>
          <w:rFonts w:asciiTheme="minorEastAsia" w:hAnsiTheme="minorEastAsia" w:eastAsiaTheme="minorEastAsia"/>
        </w:rPr>
        <w:t> </w:t>
      </w:r>
      <w:r>
        <w:rPr>
          <w:rFonts w:hint="eastAsia" w:asciiTheme="minorEastAsia" w:hAnsiTheme="minorEastAsia" w:eastAsiaTheme="minorEastAsia"/>
        </w:rPr>
        <w:t>mL硝酸（5.1）</w:t>
      </w:r>
      <w:r>
        <w:rPr>
          <w:szCs w:val="21"/>
        </w:rPr>
        <w:t>，于低温炉缓慢加热至试样溶解完全，</w:t>
      </w:r>
      <w:r>
        <w:rPr>
          <w:rFonts w:hint="eastAsia"/>
          <w:szCs w:val="21"/>
        </w:rPr>
        <w:t>取下</w:t>
      </w:r>
      <w:r>
        <w:rPr>
          <w:szCs w:val="21"/>
        </w:rPr>
        <w:t>稍冷，加入5mL高氯酸（</w:t>
      </w:r>
      <w:r>
        <w:rPr>
          <w:rFonts w:hint="eastAsia"/>
          <w:szCs w:val="21"/>
        </w:rPr>
        <w:t>5.3</w:t>
      </w:r>
      <w:r>
        <w:rPr>
          <w:szCs w:val="21"/>
        </w:rPr>
        <w:t>），加热冒烟至</w:t>
      </w:r>
      <w:r>
        <w:rPr>
          <w:rFonts w:hint="eastAsia"/>
          <w:szCs w:val="21"/>
        </w:rPr>
        <w:t>1~2</w:t>
      </w:r>
      <w:r>
        <w:rPr>
          <w:szCs w:val="21"/>
        </w:rPr>
        <w:t xml:space="preserve"> mL，取下稍冷，加入</w:t>
      </w:r>
      <w:r>
        <w:rPr>
          <w:rFonts w:hint="eastAsia"/>
          <w:szCs w:val="21"/>
        </w:rPr>
        <w:t xml:space="preserve">10 </w:t>
      </w:r>
      <w:r>
        <w:rPr>
          <w:szCs w:val="21"/>
        </w:rPr>
        <w:t>mL硫酸（</w:t>
      </w:r>
      <w:r>
        <w:rPr>
          <w:rFonts w:hint="eastAsia"/>
          <w:szCs w:val="21"/>
        </w:rPr>
        <w:t>5.4</w:t>
      </w:r>
      <w:r>
        <w:rPr>
          <w:szCs w:val="21"/>
        </w:rPr>
        <w:t>）、</w:t>
      </w:r>
      <w:r>
        <w:rPr>
          <w:rFonts w:hint="eastAsia"/>
          <w:szCs w:val="21"/>
        </w:rPr>
        <w:t>1</w:t>
      </w:r>
      <w:r>
        <w:rPr>
          <w:szCs w:val="21"/>
        </w:rPr>
        <w:t>0ml水，加热溶解盐类，</w:t>
      </w:r>
      <w:r>
        <w:rPr>
          <w:rFonts w:hint="eastAsia"/>
        </w:rPr>
        <w:t xml:space="preserve">冷却至室温，将溶液移入200 </w:t>
      </w:r>
      <w:r>
        <w:t>mL</w:t>
      </w:r>
      <w:r>
        <w:rPr>
          <w:rFonts w:hint="eastAsia"/>
        </w:rPr>
        <w:t>容量瓶中，用水稀释至刻度，混匀。</w:t>
      </w:r>
    </w:p>
    <w:p>
      <w:pPr>
        <w:rPr>
          <w:szCs w:val="21"/>
        </w:rPr>
      </w:pPr>
      <w:r>
        <w:rPr>
          <w:rFonts w:ascii="黑体" w:hAnsi="黑体" w:eastAsia="黑体"/>
        </w:rPr>
        <w:t>8.4.2</w:t>
      </w:r>
      <w:r>
        <w:rPr>
          <w:rFonts w:eastAsia="黑体"/>
        </w:rPr>
        <w:t>　</w:t>
      </w:r>
      <w:r>
        <w:rPr>
          <w:szCs w:val="21"/>
        </w:rPr>
        <w:t>按表1分取溶液（</w:t>
      </w:r>
      <w:r>
        <w:rPr>
          <w:rFonts w:hint="eastAsia"/>
          <w:szCs w:val="21"/>
        </w:rPr>
        <w:t>8</w:t>
      </w:r>
      <w:r>
        <w:rPr>
          <w:szCs w:val="21"/>
        </w:rPr>
        <w:t>.4.1）于50 mL比色管中，加入</w:t>
      </w:r>
      <w:r>
        <w:rPr>
          <w:rFonts w:hint="eastAsia"/>
          <w:szCs w:val="21"/>
        </w:rPr>
        <w:t>4</w:t>
      </w:r>
      <w:r>
        <w:rPr>
          <w:szCs w:val="21"/>
        </w:rPr>
        <w:t>mL硫酸（</w:t>
      </w:r>
      <w:r>
        <w:rPr>
          <w:rFonts w:hint="eastAsia"/>
          <w:szCs w:val="21"/>
        </w:rPr>
        <w:t>5.4</w:t>
      </w:r>
      <w:r>
        <w:rPr>
          <w:szCs w:val="21"/>
        </w:rPr>
        <w:t>），2mL硝酸铋溶液（</w:t>
      </w:r>
      <w:r>
        <w:rPr>
          <w:rFonts w:hint="eastAsia"/>
          <w:szCs w:val="21"/>
        </w:rPr>
        <w:t>5.5</w:t>
      </w:r>
      <w:r>
        <w:rPr>
          <w:szCs w:val="21"/>
        </w:rPr>
        <w:t>），用水稀释至25 ml，再加入3mL钼酸铵（</w:t>
      </w:r>
      <w:r>
        <w:rPr>
          <w:rFonts w:hint="eastAsia"/>
          <w:szCs w:val="21"/>
        </w:rPr>
        <w:t>5.6</w:t>
      </w:r>
      <w:r>
        <w:rPr>
          <w:szCs w:val="21"/>
        </w:rPr>
        <w:t>），每加一种溶液必须立即混匀，加入5 mL抗坏血酸（</w:t>
      </w:r>
      <w:r>
        <w:rPr>
          <w:rFonts w:hint="eastAsia"/>
          <w:szCs w:val="21"/>
        </w:rPr>
        <w:t>5.7</w:t>
      </w:r>
      <w:r>
        <w:rPr>
          <w:szCs w:val="21"/>
        </w:rPr>
        <w:t>），用水稀释至刻度，混匀。在</w:t>
      </w:r>
      <w:r>
        <w:rPr>
          <w:rFonts w:hint="eastAsia"/>
          <w:szCs w:val="21"/>
        </w:rPr>
        <w:t>室温下</w:t>
      </w:r>
      <w:r>
        <w:rPr>
          <w:szCs w:val="21"/>
        </w:rPr>
        <w:t>显色30</w:t>
      </w:r>
      <w:r>
        <w:rPr>
          <w:rFonts w:hint="eastAsia"/>
          <w:szCs w:val="21"/>
        </w:rPr>
        <w:t xml:space="preserve"> </w:t>
      </w:r>
      <w:r>
        <w:rPr>
          <w:szCs w:val="21"/>
        </w:rPr>
        <w:t>min。</w:t>
      </w:r>
    </w:p>
    <w:p>
      <w:pPr>
        <w:rPr>
          <w:szCs w:val="21"/>
        </w:rPr>
      </w:pPr>
      <w:r>
        <w:rPr>
          <w:rFonts w:ascii="黑体" w:hAnsi="黑体" w:eastAsia="黑体"/>
        </w:rPr>
        <w:t>8.4.</w:t>
      </w:r>
      <w:r>
        <w:rPr>
          <w:rFonts w:hint="eastAsia" w:ascii="黑体" w:hAnsi="黑体" w:eastAsia="黑体"/>
        </w:rPr>
        <w:t xml:space="preserve">3  </w:t>
      </w:r>
      <w:r>
        <w:rPr>
          <w:szCs w:val="21"/>
        </w:rPr>
        <w:t>将部分试料溶液（</w:t>
      </w:r>
      <w:r>
        <w:rPr>
          <w:rFonts w:hint="eastAsia"/>
          <w:szCs w:val="21"/>
        </w:rPr>
        <w:t>8</w:t>
      </w:r>
      <w:r>
        <w:rPr>
          <w:szCs w:val="21"/>
        </w:rPr>
        <w:t>.4.2）移入3cm比色皿中，以试料空白溶液作参比，于分光光度计波长700</w:t>
      </w:r>
      <w:r>
        <w:rPr>
          <w:rFonts w:hint="eastAsia"/>
          <w:szCs w:val="21"/>
        </w:rPr>
        <w:t xml:space="preserve"> </w:t>
      </w:r>
      <w:r>
        <w:rPr>
          <w:szCs w:val="21"/>
        </w:rPr>
        <w:t>nm处，测量其吸光度。在标准曲线上求出溶液</w:t>
      </w:r>
      <w:r>
        <w:rPr>
          <w:rFonts w:hint="eastAsia"/>
          <w:szCs w:val="21"/>
        </w:rPr>
        <w:t>（8.4.2）</w:t>
      </w:r>
      <w:r>
        <w:rPr>
          <w:szCs w:val="21"/>
        </w:rPr>
        <w:t>的磷</w:t>
      </w:r>
      <w:r>
        <w:rPr>
          <w:rFonts w:hint="eastAsia"/>
          <w:szCs w:val="21"/>
        </w:rPr>
        <w:t>含</w:t>
      </w:r>
      <w:r>
        <w:rPr>
          <w:szCs w:val="21"/>
        </w:rPr>
        <w:t>量。</w:t>
      </w:r>
    </w:p>
    <w:p>
      <w:pPr>
        <w:pStyle w:val="79"/>
        <w:numPr>
          <w:ilvl w:val="0"/>
          <w:numId w:val="0"/>
        </w:numPr>
        <w:spacing w:before="156" w:beforeLines="50" w:after="156" w:afterLines="50"/>
        <w:rPr>
          <w:rFonts w:ascii="Times New Roman"/>
          <w:kern w:val="2"/>
        </w:rPr>
      </w:pPr>
      <w:r>
        <w:rPr>
          <w:rFonts w:hAnsi="黑体"/>
          <w:kern w:val="2"/>
        </w:rPr>
        <w:t>8.5</w:t>
      </w:r>
      <w:r>
        <w:rPr>
          <w:rFonts w:ascii="Times New Roman"/>
        </w:rPr>
        <w:t>　</w:t>
      </w:r>
      <w:r>
        <w:rPr>
          <w:rFonts w:hint="eastAsia" w:ascii="Times New Roman"/>
          <w:kern w:val="2"/>
        </w:rPr>
        <w:t>标准曲线的绘制</w:t>
      </w:r>
    </w:p>
    <w:p>
      <w:r>
        <w:rPr>
          <w:rFonts w:ascii="黑体" w:hAnsi="黑体" w:eastAsia="黑体"/>
        </w:rPr>
        <w:t>8.</w:t>
      </w:r>
      <w:r>
        <w:rPr>
          <w:rFonts w:hint="eastAsia" w:ascii="黑体" w:hAnsi="黑体" w:eastAsia="黑体"/>
        </w:rPr>
        <w:t>5</w:t>
      </w:r>
      <w:r>
        <w:rPr>
          <w:rFonts w:ascii="黑体" w:hAnsi="黑体" w:eastAsia="黑体"/>
        </w:rPr>
        <w:t>.</w:t>
      </w:r>
      <w:r>
        <w:rPr>
          <w:rFonts w:hint="eastAsia" w:ascii="黑体" w:hAnsi="黑体" w:eastAsia="黑体"/>
        </w:rPr>
        <w:t xml:space="preserve">1 </w:t>
      </w:r>
      <w:r>
        <w:rPr>
          <w:rFonts w:hint="eastAsia"/>
          <w:szCs w:val="21"/>
        </w:rPr>
        <w:t>分别</w:t>
      </w:r>
      <w:r>
        <w:rPr>
          <w:szCs w:val="21"/>
        </w:rPr>
        <w:t>移取0 mL、0.50 mL、1.00 mL、2.00 mL、3.00 mL、5.00 mL、6.00 mL磷标准溶液（</w:t>
      </w:r>
      <w:r>
        <w:rPr>
          <w:rFonts w:hint="eastAsia"/>
          <w:szCs w:val="21"/>
        </w:rPr>
        <w:t>5.9</w:t>
      </w:r>
      <w:r>
        <w:rPr>
          <w:szCs w:val="21"/>
        </w:rPr>
        <w:t>）于50mL</w:t>
      </w:r>
      <w:r>
        <w:rPr>
          <w:rFonts w:hint="eastAsia"/>
          <w:szCs w:val="21"/>
        </w:rPr>
        <w:t>比色管</w:t>
      </w:r>
      <w:r>
        <w:rPr>
          <w:szCs w:val="21"/>
        </w:rPr>
        <w:t>中，</w:t>
      </w:r>
      <w:r>
        <w:rPr>
          <w:rFonts w:hint="eastAsia"/>
        </w:rPr>
        <w:t xml:space="preserve">以下按8.4.2操作。 </w:t>
      </w:r>
    </w:p>
    <w:p>
      <w:pPr>
        <w:pStyle w:val="45"/>
        <w:ind w:firstLine="0" w:firstLineChars="0"/>
        <w:rPr>
          <w:rFonts w:asciiTheme="minorEastAsia" w:hAnsiTheme="minorEastAsia" w:eastAsiaTheme="minorEastAsia"/>
        </w:rPr>
      </w:pPr>
      <w:r>
        <w:rPr>
          <w:rFonts w:ascii="黑体" w:hAnsi="黑体" w:eastAsia="黑体"/>
        </w:rPr>
        <w:t>8.</w:t>
      </w:r>
      <w:r>
        <w:rPr>
          <w:rFonts w:hint="eastAsia" w:ascii="黑体" w:hAnsi="黑体" w:eastAsia="黑体"/>
        </w:rPr>
        <w:t>5</w:t>
      </w:r>
      <w:r>
        <w:rPr>
          <w:rFonts w:ascii="黑体" w:hAnsi="黑体" w:eastAsia="黑体"/>
        </w:rPr>
        <w:t>.</w:t>
      </w:r>
      <w:r>
        <w:rPr>
          <w:rFonts w:hint="eastAsia" w:ascii="黑体" w:hAnsi="黑体" w:eastAsia="黑体"/>
        </w:rPr>
        <w:t>2</w:t>
      </w:r>
      <w:r>
        <w:rPr>
          <w:rFonts w:hint="eastAsia"/>
          <w:b/>
          <w:bCs/>
        </w:rPr>
        <w:t xml:space="preserve"> </w:t>
      </w:r>
      <w:r>
        <w:rPr>
          <w:rFonts w:hint="eastAsia"/>
        </w:rPr>
        <w:t>将部分试液（8.5.1）移入3cm比色皿中，以试剂空白溶液作参比，于分光光度计波长700 nm处，测量其吸光度。以磷含量为横坐标，吸光度为纵坐标，绘制标准曲线。</w:t>
      </w:r>
    </w:p>
    <w:p>
      <w:pPr>
        <w:pStyle w:val="72"/>
        <w:numPr>
          <w:ilvl w:val="0"/>
          <w:numId w:val="0"/>
        </w:numPr>
        <w:spacing w:before="312" w:beforeLines="100" w:after="312" w:afterLines="100"/>
        <w:rPr>
          <w:rFonts w:ascii="Times New Roman"/>
        </w:rPr>
      </w:pPr>
      <w:r>
        <w:rPr>
          <w:rFonts w:ascii="Times New Roman"/>
        </w:rPr>
        <w:t>9　试验</w:t>
      </w:r>
      <w:r>
        <w:rPr>
          <w:rFonts w:hint="eastAsia" w:ascii="Times New Roman"/>
        </w:rPr>
        <w:t>数据处理</w:t>
      </w:r>
    </w:p>
    <w:p>
      <w:pPr>
        <w:pStyle w:val="45"/>
        <w:ind w:firstLine="420"/>
        <w:rPr>
          <w:rFonts w:hAnsi="宋体"/>
        </w:rPr>
      </w:pPr>
      <w:r>
        <w:rPr>
          <w:rFonts w:hint="eastAsia" w:hAnsi="宋体"/>
        </w:rPr>
        <w:t>磷含量以磷的质量分数</w:t>
      </w:r>
      <w:r>
        <w:rPr>
          <w:rFonts w:hint="eastAsia" w:hAnsi="宋体"/>
          <w:i/>
          <w:iCs/>
        </w:rPr>
        <w:t>w</w:t>
      </w:r>
      <w:r>
        <w:rPr>
          <w:rFonts w:hint="eastAsia" w:hAnsi="宋体" w:cs="宋体"/>
          <w:vertAlign w:val="subscript"/>
        </w:rPr>
        <w:t>P</w:t>
      </w:r>
      <w:r>
        <w:rPr>
          <w:rFonts w:hint="eastAsia" w:hAnsi="宋体"/>
        </w:rPr>
        <w:t>计，按公式（1）计算：</w:t>
      </w:r>
    </w:p>
    <w:p>
      <w:pPr>
        <w:pStyle w:val="45"/>
        <w:ind w:firstLine="480"/>
        <w:jc w:val="center"/>
        <w:rPr>
          <w:rFonts w:hAnsi="宋体"/>
        </w:rPr>
      </w:pPr>
      <w:r>
        <w:rPr>
          <w:rFonts w:ascii="Times New Roman"/>
          <w:position w:val="-30"/>
          <w:sz w:val="24"/>
          <w:szCs w:val="24"/>
        </w:rPr>
        <w:object>
          <v:shape id="_x0000_i1025" o:spt="75" type="#_x0000_t75" style="height:36pt;width:126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hAnsi="宋体"/>
        </w:rPr>
        <w:t>%</w:t>
      </w:r>
      <w:r>
        <w:rPr>
          <w:rFonts w:hAnsi="宋体"/>
        </w:rPr>
        <w:t>………………………………（1）</w:t>
      </w:r>
    </w:p>
    <w:p>
      <w:pPr>
        <w:pStyle w:val="45"/>
        <w:ind w:firstLine="420"/>
        <w:rPr>
          <w:rFonts w:hAnsi="宋体"/>
        </w:rPr>
      </w:pPr>
      <w:r>
        <w:rPr>
          <w:rFonts w:hAnsi="宋体"/>
        </w:rPr>
        <w:t>式中：</w:t>
      </w:r>
    </w:p>
    <w:p>
      <w:pPr>
        <w:ind w:firstLine="630" w:firstLineChars="300"/>
        <w:rPr>
          <w:rFonts w:ascii="宋体" w:hAnsi="宋体" w:cs="宋体"/>
          <w:szCs w:val="21"/>
        </w:rPr>
      </w:pPr>
      <w:r>
        <w:rPr>
          <w:rFonts w:hint="eastAsia" w:ascii="宋体" w:hAnsi="宋体" w:cs="宋体"/>
          <w:i/>
          <w:szCs w:val="21"/>
        </w:rPr>
        <w:t>m</w:t>
      </w:r>
      <w:r>
        <w:rPr>
          <w:rFonts w:hint="eastAsia" w:ascii="宋体" w:hAnsi="宋体" w:cs="宋体"/>
          <w:i/>
          <w:szCs w:val="21"/>
          <w:vertAlign w:val="subscript"/>
        </w:rPr>
        <w:t>1</w:t>
      </w:r>
      <w:r>
        <w:rPr>
          <w:rFonts w:hint="eastAsia" w:ascii="宋体" w:hAnsi="宋体" w:cs="宋体"/>
          <w:szCs w:val="21"/>
        </w:rPr>
        <w:t>—自标准曲线上查得的磷量，单位为微克（μg）；</w:t>
      </w:r>
    </w:p>
    <w:p>
      <w:pPr>
        <w:ind w:firstLine="630" w:firstLineChars="300"/>
        <w:rPr>
          <w:rFonts w:ascii="宋体" w:hAnsi="宋体" w:cs="宋体"/>
          <w:szCs w:val="21"/>
        </w:rPr>
      </w:pPr>
      <w:r>
        <w:rPr>
          <w:rFonts w:hint="eastAsia" w:ascii="宋体" w:hAnsi="宋体" w:cs="宋体"/>
          <w:i/>
          <w:szCs w:val="21"/>
        </w:rPr>
        <w:t>V</w:t>
      </w:r>
      <w:r>
        <w:rPr>
          <w:rFonts w:hint="eastAsia" w:ascii="宋体" w:hAnsi="宋体" w:cs="宋体"/>
          <w:szCs w:val="21"/>
        </w:rPr>
        <w:t>—试液总体积（8.4.1），单位为毫升（mL）；</w:t>
      </w:r>
    </w:p>
    <w:p>
      <w:pPr>
        <w:ind w:firstLine="630" w:firstLineChars="300"/>
        <w:rPr>
          <w:rFonts w:ascii="宋体" w:hAnsi="宋体" w:cs="宋体"/>
          <w:szCs w:val="21"/>
        </w:rPr>
      </w:pPr>
      <w:r>
        <w:rPr>
          <w:rFonts w:hint="eastAsia" w:ascii="宋体" w:hAnsi="宋体" w:cs="宋体"/>
          <w:i/>
          <w:szCs w:val="21"/>
        </w:rPr>
        <w:t>m</w:t>
      </w:r>
      <w:r>
        <w:rPr>
          <w:rFonts w:hint="eastAsia" w:ascii="宋体" w:hAnsi="宋体" w:cs="宋体"/>
          <w:i/>
          <w:szCs w:val="21"/>
          <w:vertAlign w:val="subscript"/>
        </w:rPr>
        <w:t>0</w:t>
      </w:r>
      <w:r>
        <w:rPr>
          <w:rFonts w:hint="eastAsia" w:ascii="宋体" w:hAnsi="宋体" w:cs="宋体"/>
          <w:szCs w:val="21"/>
        </w:rPr>
        <w:t>—试料的质量，单位为克（g）；</w:t>
      </w:r>
    </w:p>
    <w:p>
      <w:pPr>
        <w:ind w:firstLine="630" w:firstLineChars="300"/>
        <w:rPr>
          <w:rFonts w:hint="eastAsia" w:ascii="宋体" w:hAnsi="宋体" w:cs="宋体"/>
          <w:szCs w:val="21"/>
        </w:rPr>
      </w:pPr>
      <w:r>
        <w:rPr>
          <w:rFonts w:hint="eastAsia" w:ascii="宋体" w:hAnsi="宋体" w:cs="宋体"/>
          <w:i/>
          <w:szCs w:val="21"/>
        </w:rPr>
        <w:t>V</w:t>
      </w:r>
      <w:r>
        <w:rPr>
          <w:rFonts w:hint="eastAsia" w:ascii="宋体" w:hAnsi="宋体" w:cs="宋体"/>
          <w:i/>
          <w:szCs w:val="21"/>
          <w:vertAlign w:val="subscript"/>
        </w:rPr>
        <w:t>1</w:t>
      </w:r>
      <w:r>
        <w:rPr>
          <w:rFonts w:hint="eastAsia" w:ascii="宋体" w:hAnsi="宋体" w:cs="宋体"/>
          <w:szCs w:val="21"/>
        </w:rPr>
        <w:t>—移取试液体积（8.4.2），单位为毫升（mL）；</w:t>
      </w:r>
    </w:p>
    <w:p>
      <w:pPr>
        <w:adjustRightInd w:val="0"/>
        <w:snapToGrid w:val="0"/>
        <w:spacing w:line="360" w:lineRule="exact"/>
        <w:ind w:firstLine="666" w:firstLineChars="300"/>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计算结果保留2位有效数字，数值修约按照GB/T 8170规定执行。</w:t>
      </w:r>
    </w:p>
    <w:p>
      <w:pPr>
        <w:pStyle w:val="72"/>
        <w:numPr>
          <w:ilvl w:val="0"/>
          <w:numId w:val="0"/>
        </w:numPr>
        <w:spacing w:before="312" w:beforeLines="100" w:after="312" w:afterLines="100"/>
        <w:rPr>
          <w:rFonts w:ascii="Times New Roman"/>
        </w:rPr>
      </w:pPr>
      <w:r>
        <w:rPr>
          <w:rFonts w:hAnsi="黑体"/>
        </w:rPr>
        <w:t>10</w:t>
      </w:r>
      <w:r>
        <w:rPr>
          <w:rFonts w:ascii="Times New Roman"/>
        </w:rPr>
        <w:t>　精密度</w:t>
      </w:r>
    </w:p>
    <w:p>
      <w:pPr>
        <w:pStyle w:val="79"/>
        <w:numPr>
          <w:ilvl w:val="0"/>
          <w:numId w:val="0"/>
        </w:numPr>
        <w:spacing w:before="156" w:beforeLines="50" w:after="156" w:afterLines="50"/>
        <w:rPr>
          <w:rFonts w:ascii="Times New Roman"/>
          <w:kern w:val="2"/>
        </w:rPr>
      </w:pPr>
      <w:r>
        <w:rPr>
          <w:rFonts w:hAnsi="黑体"/>
          <w:kern w:val="2"/>
        </w:rPr>
        <w:t>10.1</w:t>
      </w:r>
      <w:r>
        <w:rPr>
          <w:rFonts w:hint="eastAsia" w:ascii="Times New Roman"/>
          <w:kern w:val="2"/>
        </w:rPr>
        <w:t>　精密度原始数据及统计分析</w:t>
      </w:r>
    </w:p>
    <w:p>
      <w:pPr>
        <w:pStyle w:val="45"/>
        <w:ind w:firstLine="420"/>
        <w:rPr>
          <w:rFonts w:asciiTheme="minorEastAsia" w:hAnsiTheme="minorEastAsia" w:eastAsiaTheme="minorEastAsia"/>
        </w:rPr>
      </w:pPr>
      <w:r>
        <w:rPr>
          <w:rFonts w:hint="eastAsia" w:asciiTheme="minorEastAsia" w:hAnsiTheme="minorEastAsia" w:eastAsiaTheme="minorEastAsia"/>
        </w:rPr>
        <w:t>本文件精密度数据是由8家实验室对磷含量的</w:t>
      </w:r>
      <w:r>
        <w:rPr>
          <w:rFonts w:asciiTheme="minorEastAsia" w:hAnsiTheme="minorEastAsia" w:eastAsiaTheme="minorEastAsia"/>
        </w:rPr>
        <w:t>5</w:t>
      </w:r>
      <w:r>
        <w:rPr>
          <w:rFonts w:hint="eastAsia" w:asciiTheme="minorEastAsia" w:hAnsiTheme="minorEastAsia" w:eastAsiaTheme="minorEastAsia"/>
        </w:rPr>
        <w:t>个不同水平样品进行共同试验确定的，数据统计按照GB/T</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rPr>
        <w:t>6379.2进行。每个实验室对每个水平的锑含量在重复性条件下独立测定11次。测量的原始数据见附录A。</w:t>
      </w:r>
    </w:p>
    <w:p>
      <w:pPr>
        <w:pStyle w:val="79"/>
        <w:numPr>
          <w:ilvl w:val="0"/>
          <w:numId w:val="0"/>
        </w:numPr>
        <w:spacing w:before="156" w:beforeLines="50" w:after="156" w:afterLines="50"/>
        <w:rPr>
          <w:rFonts w:ascii="Times New Roman"/>
          <w:kern w:val="2"/>
        </w:rPr>
      </w:pPr>
      <w:r>
        <w:rPr>
          <w:rFonts w:hAnsi="黑体"/>
          <w:kern w:val="2"/>
        </w:rPr>
        <w:t>10.2</w:t>
      </w:r>
      <w:r>
        <w:rPr>
          <w:rFonts w:ascii="Times New Roman"/>
        </w:rPr>
        <w:t>　</w:t>
      </w:r>
      <w:r>
        <w:rPr>
          <w:rFonts w:ascii="Times New Roman"/>
          <w:kern w:val="2"/>
        </w:rPr>
        <w:t>重复性</w:t>
      </w:r>
    </w:p>
    <w:p>
      <w:pPr>
        <w:pStyle w:val="21"/>
        <w:ind w:firstLine="420" w:firstLineChars="200"/>
        <w:jc w:val="left"/>
        <w:rPr>
          <w:rFonts w:ascii="Times New Roman"/>
        </w:rPr>
      </w:pPr>
      <w:r>
        <w:rPr>
          <w:rFonts w:hint="eastAsia" w:hAnsi="宋体"/>
        </w:rPr>
        <w:t>在同一实验室，由同一操作者使用相同设备，按相同的测试方法，并在短时间内对同一被测对象相互独立进行测试获得的两次独立测试结果的测定值，在以下给出的平均值的范围内，这两个测试结果的绝对差值不超过重复性限（</w:t>
      </w:r>
      <w:r>
        <w:rPr>
          <w:rFonts w:hint="eastAsia" w:hAnsi="宋体"/>
          <w:i/>
          <w:iCs/>
        </w:rPr>
        <w:t>r</w:t>
      </w:r>
      <w:r>
        <w:rPr>
          <w:rFonts w:hint="eastAsia" w:hAnsi="宋体"/>
        </w:rPr>
        <w:t>），超过重复性限（</w:t>
      </w:r>
      <w:r>
        <w:rPr>
          <w:rFonts w:hint="eastAsia" w:hAnsi="宋体"/>
          <w:i/>
          <w:iCs/>
        </w:rPr>
        <w:t>r</w:t>
      </w:r>
      <w:r>
        <w:rPr>
          <w:rFonts w:hint="eastAsia" w:hAnsi="宋体"/>
        </w:rPr>
        <w:t>）的情况不超过5%，重复性限（</w:t>
      </w:r>
      <w:r>
        <w:rPr>
          <w:rFonts w:hint="eastAsia" w:hAnsi="宋体"/>
          <w:i/>
          <w:iCs/>
        </w:rPr>
        <w:t>r</w:t>
      </w:r>
      <w:r>
        <w:rPr>
          <w:rFonts w:hint="eastAsia" w:hAnsi="宋体"/>
        </w:rPr>
        <w:t>）按表1数据采用线性内插法或外延法求得。</w:t>
      </w:r>
    </w:p>
    <w:p>
      <w:pPr>
        <w:snapToGrid w:val="0"/>
        <w:spacing w:before="156" w:beforeLines="50" w:after="156" w:afterLines="50"/>
        <w:jc w:val="center"/>
        <w:rPr>
          <w:rFonts w:eastAsia="黑体"/>
        </w:rPr>
      </w:pPr>
      <w:r>
        <w:rPr>
          <w:rFonts w:eastAsia="黑体"/>
        </w:rPr>
        <w:t>表2 重复性</w:t>
      </w:r>
    </w:p>
    <w:tbl>
      <w:tblPr>
        <w:tblStyle w:val="30"/>
        <w:tblW w:w="8937" w:type="dxa"/>
        <w:tblInd w:w="4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135"/>
        <w:gridCol w:w="1135"/>
        <w:gridCol w:w="1135"/>
        <w:gridCol w:w="1135"/>
        <w:gridCol w:w="1135"/>
        <w:gridCol w:w="1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26" w:type="dxa"/>
            <w:vAlign w:val="center"/>
          </w:tcPr>
          <w:p>
            <w:pPr>
              <w:ind w:firstLine="360" w:firstLineChars="200"/>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6" w:type="dxa"/>
            <w:vAlign w:val="center"/>
          </w:tcPr>
          <w:p>
            <w:pPr>
              <w:jc w:val="center"/>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26" w:type="dxa"/>
            <w:vAlign w:val="center"/>
          </w:tcPr>
          <w:p>
            <w:pPr>
              <w:ind w:firstLine="360" w:firstLineChars="200"/>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6" w:type="dxa"/>
            <w:vAlign w:val="center"/>
          </w:tcPr>
          <w:p>
            <w:pPr>
              <w:jc w:val="center"/>
              <w:rPr>
                <w:rFonts w:asciiTheme="minorEastAsia" w:hAnsiTheme="minorEastAsia" w:eastAsiaTheme="minorEastAsia"/>
                <w:sz w:val="18"/>
                <w:szCs w:val="18"/>
              </w:rPr>
            </w:pPr>
          </w:p>
        </w:tc>
      </w:tr>
    </w:tbl>
    <w:p>
      <w:pPr>
        <w:pStyle w:val="79"/>
        <w:numPr>
          <w:ilvl w:val="0"/>
          <w:numId w:val="0"/>
        </w:numPr>
        <w:tabs>
          <w:tab w:val="left" w:pos="5259"/>
        </w:tabs>
        <w:rPr>
          <w:rFonts w:ascii="Times New Roman"/>
          <w:kern w:val="2"/>
        </w:rPr>
      </w:pPr>
      <w:r>
        <w:rPr>
          <w:rFonts w:ascii="Times New Roman"/>
          <w:kern w:val="2"/>
        </w:rPr>
        <w:tab/>
      </w:r>
    </w:p>
    <w:p>
      <w:pPr>
        <w:pStyle w:val="79"/>
        <w:numPr>
          <w:ilvl w:val="0"/>
          <w:numId w:val="0"/>
        </w:numPr>
        <w:spacing w:before="156" w:beforeLines="50" w:after="156" w:afterLines="50"/>
        <w:rPr>
          <w:rFonts w:ascii="Times New Roman"/>
          <w:kern w:val="2"/>
        </w:rPr>
      </w:pPr>
      <w:r>
        <w:rPr>
          <w:rFonts w:hAnsi="黑体"/>
          <w:kern w:val="2"/>
        </w:rPr>
        <w:t>10.3</w:t>
      </w:r>
      <w:r>
        <w:rPr>
          <w:rFonts w:ascii="Times New Roman"/>
        </w:rPr>
        <w:t>　</w:t>
      </w:r>
      <w:r>
        <w:rPr>
          <w:rFonts w:hint="eastAsia" w:ascii="Times New Roman"/>
          <w:kern w:val="2"/>
        </w:rPr>
        <w:t>再现性</w:t>
      </w:r>
    </w:p>
    <w:p>
      <w:pPr>
        <w:pStyle w:val="21"/>
        <w:ind w:firstLine="420"/>
        <w:rPr>
          <w:rFonts w:hAnsi="宋体"/>
        </w:rPr>
      </w:pPr>
      <w:r>
        <w:rPr>
          <w:rFonts w:hint="eastAsia" w:hAnsi="宋体"/>
        </w:rPr>
        <w:t>在不同的实验室，由不同的操作者使用不同的设备，按相同的测试方法，对同一被测对象相互独立进行测试获得的两次独立测试结果的测定值，在以下给出的平均值的范围内，这两个测试结果的绝对差值不超过再现性限（</w:t>
      </w:r>
      <w:r>
        <w:rPr>
          <w:rFonts w:hint="eastAsia" w:hAnsi="宋体"/>
          <w:i/>
          <w:iCs/>
        </w:rPr>
        <w:t>R</w:t>
      </w:r>
      <w:r>
        <w:rPr>
          <w:rFonts w:hint="eastAsia" w:hAnsi="宋体"/>
        </w:rPr>
        <w:t>），超过再现性限（</w:t>
      </w:r>
      <w:r>
        <w:rPr>
          <w:rFonts w:hint="eastAsia" w:hAnsi="宋体"/>
          <w:i/>
          <w:iCs/>
        </w:rPr>
        <w:t>R</w:t>
      </w:r>
      <w:r>
        <w:rPr>
          <w:rFonts w:hint="eastAsia" w:hAnsi="宋体"/>
        </w:rPr>
        <w:t>）的情况不超过5%，再现性限（</w:t>
      </w:r>
      <w:r>
        <w:rPr>
          <w:rFonts w:hint="eastAsia" w:hAnsi="宋体"/>
          <w:i/>
          <w:iCs/>
        </w:rPr>
        <w:t>R</w:t>
      </w:r>
      <w:r>
        <w:rPr>
          <w:rFonts w:hint="eastAsia" w:hAnsi="宋体"/>
        </w:rPr>
        <w:t>）按表2数据采用线性内插法或外延法求得。</w:t>
      </w:r>
    </w:p>
    <w:p>
      <w:pPr>
        <w:widowControl/>
        <w:spacing w:before="156" w:beforeLines="50" w:after="156" w:afterLines="50"/>
        <w:ind w:left="181"/>
        <w:jc w:val="center"/>
        <w:rPr>
          <w:rFonts w:eastAsia="黑体"/>
        </w:rPr>
      </w:pPr>
      <w:r>
        <w:rPr>
          <w:rFonts w:eastAsia="黑体"/>
          <w:kern w:val="0"/>
          <w:szCs w:val="20"/>
        </w:rPr>
        <w:t>表3</w:t>
      </w:r>
      <w:r>
        <w:rPr>
          <w:rFonts w:eastAsia="黑体"/>
        </w:rPr>
        <w:t> 再现性</w:t>
      </w:r>
    </w:p>
    <w:tbl>
      <w:tblPr>
        <w:tblStyle w:val="30"/>
        <w:tblW w:w="8937" w:type="dxa"/>
        <w:tblInd w:w="4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135"/>
        <w:gridCol w:w="1135"/>
        <w:gridCol w:w="1135"/>
        <w:gridCol w:w="1135"/>
        <w:gridCol w:w="1135"/>
        <w:gridCol w:w="1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26" w:type="dxa"/>
            <w:vAlign w:val="center"/>
          </w:tcPr>
          <w:p>
            <w:pPr>
              <w:ind w:firstLine="360" w:firstLineChars="200"/>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6" w:type="dxa"/>
            <w:vAlign w:val="center"/>
          </w:tcPr>
          <w:p>
            <w:pPr>
              <w:jc w:val="center"/>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26" w:type="dxa"/>
            <w:vAlign w:val="center"/>
          </w:tcPr>
          <w:p>
            <w:pPr>
              <w:ind w:firstLine="360" w:firstLineChars="200"/>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5" w:type="dxa"/>
            <w:vAlign w:val="center"/>
          </w:tcPr>
          <w:p>
            <w:pPr>
              <w:jc w:val="center"/>
              <w:rPr>
                <w:rFonts w:asciiTheme="minorEastAsia" w:hAnsiTheme="minorEastAsia" w:eastAsiaTheme="minorEastAsia"/>
                <w:sz w:val="18"/>
                <w:szCs w:val="18"/>
              </w:rPr>
            </w:pPr>
          </w:p>
        </w:tc>
        <w:tc>
          <w:tcPr>
            <w:tcW w:w="1136" w:type="dxa"/>
            <w:vAlign w:val="center"/>
          </w:tcPr>
          <w:p>
            <w:pPr>
              <w:jc w:val="center"/>
              <w:rPr>
                <w:rFonts w:asciiTheme="minorEastAsia" w:hAnsiTheme="minorEastAsia" w:eastAsiaTheme="minorEastAsia"/>
                <w:sz w:val="18"/>
                <w:szCs w:val="18"/>
              </w:rPr>
            </w:pPr>
          </w:p>
        </w:tc>
      </w:tr>
    </w:tbl>
    <w:p>
      <w:pPr>
        <w:pStyle w:val="45"/>
        <w:ind w:firstLine="0" w:firstLineChars="0"/>
        <w:rPr>
          <w:rFonts w:ascii="Times New Roman"/>
        </w:rPr>
      </w:pPr>
    </w:p>
    <w:p>
      <w:pPr>
        <w:pStyle w:val="21"/>
        <w:spacing w:before="312" w:beforeLines="100" w:after="312" w:afterLines="100"/>
        <w:rPr>
          <w:rFonts w:ascii="黑体" w:hAnsi="黑体" w:eastAsia="黑体" w:cs="黑体"/>
          <w:szCs w:val="24"/>
        </w:rPr>
      </w:pPr>
      <w:r>
        <w:rPr>
          <w:rFonts w:ascii="黑体" w:hAnsi="黑体" w:eastAsia="黑体" w:cs="黑体"/>
          <w:szCs w:val="24"/>
        </w:rPr>
        <w:t>11</w:t>
      </w:r>
      <w:r>
        <w:rPr>
          <w:rFonts w:ascii="Times New Roman"/>
        </w:rPr>
        <w:t>　</w:t>
      </w:r>
      <w:r>
        <w:rPr>
          <w:rFonts w:ascii="黑体" w:hAnsi="黑体" w:eastAsia="黑体" w:cs="黑体"/>
          <w:szCs w:val="24"/>
        </w:rPr>
        <w:t>试验报告</w:t>
      </w:r>
    </w:p>
    <w:p>
      <w:pPr>
        <w:spacing w:line="360" w:lineRule="exact"/>
        <w:ind w:firstLine="420"/>
        <w:rPr>
          <w:rFonts w:ascii="宋体" w:hAnsi="宋体"/>
          <w:szCs w:val="21"/>
        </w:rPr>
      </w:pPr>
      <w:r>
        <w:rPr>
          <w:rFonts w:hint="eastAsia" w:ascii="宋体" w:hAnsi="宋体"/>
          <w:szCs w:val="21"/>
        </w:rPr>
        <w:t>试验报告</w:t>
      </w:r>
      <w:r>
        <w:rPr>
          <w:rFonts w:ascii="宋体" w:hAnsi="宋体"/>
          <w:szCs w:val="21"/>
        </w:rPr>
        <w:t>应</w:t>
      </w:r>
      <w:r>
        <w:rPr>
          <w:rFonts w:hint="eastAsia" w:ascii="宋体" w:hAnsi="宋体"/>
          <w:szCs w:val="21"/>
        </w:rPr>
        <w:t>包括以下</w:t>
      </w:r>
      <w:r>
        <w:rPr>
          <w:rFonts w:ascii="宋体" w:hAnsi="宋体"/>
          <w:szCs w:val="21"/>
        </w:rPr>
        <w:t>内容：</w:t>
      </w:r>
    </w:p>
    <w:p>
      <w:pPr>
        <w:pStyle w:val="45"/>
        <w:spacing w:line="360" w:lineRule="exact"/>
        <w:ind w:left="420" w:leftChars="200" w:firstLine="0" w:firstLineChars="0"/>
        <w:rPr>
          <w:rFonts w:hAnsi="宋体"/>
          <w:szCs w:val="21"/>
        </w:rPr>
      </w:pPr>
      <w:r>
        <w:rPr>
          <w:rFonts w:hAnsi="宋体"/>
          <w:szCs w:val="21"/>
        </w:rPr>
        <w:t>——</w:t>
      </w:r>
      <w:r>
        <w:rPr>
          <w:rFonts w:hint="eastAsia" w:hAnsi="宋体"/>
          <w:szCs w:val="21"/>
        </w:rPr>
        <w:t>试验对象</w:t>
      </w:r>
      <w:r>
        <w:rPr>
          <w:rFonts w:hAnsi="宋体"/>
          <w:szCs w:val="21"/>
        </w:rPr>
        <w:t>；</w:t>
      </w:r>
    </w:p>
    <w:p>
      <w:pPr>
        <w:pStyle w:val="45"/>
        <w:spacing w:line="360" w:lineRule="exact"/>
        <w:ind w:left="420" w:leftChars="200" w:firstLine="0" w:firstLineChars="0"/>
        <w:rPr>
          <w:rFonts w:hAnsi="宋体"/>
          <w:szCs w:val="21"/>
        </w:rPr>
      </w:pPr>
      <w:r>
        <w:rPr>
          <w:rFonts w:hAnsi="宋体"/>
          <w:szCs w:val="21"/>
        </w:rPr>
        <w:t>——</w:t>
      </w:r>
      <w:r>
        <w:rPr>
          <w:rFonts w:hint="eastAsia" w:hAnsi="宋体"/>
          <w:szCs w:val="21"/>
        </w:rPr>
        <w:t>所</w:t>
      </w:r>
      <w:r>
        <w:rPr>
          <w:rFonts w:hAnsi="宋体"/>
          <w:szCs w:val="21"/>
        </w:rPr>
        <w:t>使用的标准</w:t>
      </w:r>
      <w:r>
        <w:rPr>
          <w:rFonts w:hint="eastAsia" w:hAnsi="宋体"/>
          <w:szCs w:val="21"/>
        </w:rPr>
        <w:t>（包括发布或出版年号）</w:t>
      </w:r>
      <w:r>
        <w:rPr>
          <w:rFonts w:hAnsi="宋体"/>
          <w:szCs w:val="21"/>
        </w:rPr>
        <w:t>；</w:t>
      </w:r>
    </w:p>
    <w:p>
      <w:pPr>
        <w:pStyle w:val="45"/>
        <w:spacing w:line="360" w:lineRule="exact"/>
        <w:ind w:left="420" w:leftChars="200" w:firstLine="0" w:firstLineChars="0"/>
        <w:rPr>
          <w:rFonts w:hAnsi="宋体"/>
          <w:szCs w:val="21"/>
        </w:rPr>
      </w:pPr>
      <w:r>
        <w:rPr>
          <w:rFonts w:hAnsi="宋体"/>
          <w:szCs w:val="21"/>
        </w:rPr>
        <w:t>——</w:t>
      </w:r>
      <w:r>
        <w:rPr>
          <w:rFonts w:hint="eastAsia" w:hAnsi="宋体"/>
          <w:szCs w:val="21"/>
        </w:rPr>
        <w:t>所</w:t>
      </w:r>
      <w:r>
        <w:rPr>
          <w:rFonts w:hAnsi="宋体"/>
          <w:szCs w:val="21"/>
        </w:rPr>
        <w:t>使用的方法</w:t>
      </w:r>
      <w:r>
        <w:rPr>
          <w:rFonts w:hint="eastAsia" w:hAnsi="宋体"/>
          <w:szCs w:val="21"/>
        </w:rPr>
        <w:t>（如果标准中包括几个方法）</w:t>
      </w:r>
      <w:r>
        <w:rPr>
          <w:rFonts w:hAnsi="宋体"/>
          <w:szCs w:val="21"/>
        </w:rPr>
        <w:t>；</w:t>
      </w:r>
    </w:p>
    <w:p>
      <w:pPr>
        <w:pStyle w:val="45"/>
        <w:spacing w:line="360" w:lineRule="exact"/>
        <w:ind w:left="420" w:leftChars="200" w:firstLine="0" w:firstLineChars="0"/>
        <w:rPr>
          <w:rFonts w:hAnsi="宋体"/>
          <w:szCs w:val="21"/>
        </w:rPr>
      </w:pPr>
      <w:r>
        <w:rPr>
          <w:rFonts w:hAnsi="宋体"/>
          <w:szCs w:val="21"/>
        </w:rPr>
        <w:t>——</w:t>
      </w:r>
      <w:r>
        <w:rPr>
          <w:rFonts w:hint="eastAsia" w:hAnsi="宋体"/>
          <w:szCs w:val="21"/>
        </w:rPr>
        <w:t>分析</w:t>
      </w:r>
      <w:r>
        <w:rPr>
          <w:rFonts w:hAnsi="宋体"/>
          <w:szCs w:val="21"/>
        </w:rPr>
        <w:t>结果</w:t>
      </w:r>
      <w:r>
        <w:rPr>
          <w:rFonts w:hint="eastAsia" w:hAnsi="宋体"/>
          <w:szCs w:val="21"/>
        </w:rPr>
        <w:t>及其</w:t>
      </w:r>
      <w:r>
        <w:rPr>
          <w:rFonts w:hAnsi="宋体"/>
          <w:szCs w:val="21"/>
        </w:rPr>
        <w:t>表示；</w:t>
      </w:r>
    </w:p>
    <w:p>
      <w:pPr>
        <w:pStyle w:val="45"/>
        <w:spacing w:line="360" w:lineRule="exact"/>
        <w:ind w:left="420" w:leftChars="200" w:firstLine="0" w:firstLineChars="0"/>
        <w:rPr>
          <w:rFonts w:hAnsi="宋体"/>
          <w:szCs w:val="21"/>
        </w:rPr>
      </w:pPr>
      <w:r>
        <w:rPr>
          <w:rFonts w:hAnsi="宋体"/>
          <w:szCs w:val="21"/>
        </w:rPr>
        <w:t>——观测到的异常现象；</w:t>
      </w:r>
    </w:p>
    <w:p>
      <w:pPr>
        <w:pStyle w:val="45"/>
        <w:spacing w:line="360" w:lineRule="exact"/>
        <w:ind w:left="420" w:leftChars="200" w:firstLine="0" w:firstLineChars="0"/>
        <w:rPr>
          <w:rFonts w:ascii="Times New Roman"/>
          <w:szCs w:val="21"/>
        </w:rPr>
        <w:sectPr>
          <w:footerReference r:id="rId12" w:type="default"/>
          <w:pgSz w:w="11907" w:h="16839"/>
          <w:pgMar w:top="1418" w:right="1134" w:bottom="1134" w:left="1418" w:header="1418" w:footer="851" w:gutter="0"/>
          <w:pgNumType w:start="1"/>
          <w:cols w:space="720" w:num="1"/>
          <w:docGrid w:type="lines" w:linePitch="312" w:charSpace="0"/>
        </w:sectPr>
      </w:pPr>
      <w:r>
        <w:rPr>
          <w:rFonts w:hAnsi="宋体"/>
          <w:szCs w:val="21"/>
        </w:rPr>
        <w:t>——</w:t>
      </w:r>
      <w:r>
        <w:rPr>
          <w:rFonts w:hint="eastAsia" w:hAnsi="宋体"/>
          <w:szCs w:val="21"/>
        </w:rPr>
        <w:t>试验</w:t>
      </w:r>
      <w:r>
        <w:rPr>
          <w:rFonts w:hAnsi="宋体"/>
          <w:szCs w:val="21"/>
        </w:rPr>
        <w:t>日期</w:t>
      </w:r>
      <w:r>
        <w:rPr>
          <w:rFonts w:hint="eastAsia" w:hAnsi="宋体"/>
          <w:szCs w:val="21"/>
        </w:rPr>
        <w:t>。</w:t>
      </w:r>
    </w:p>
    <w:p>
      <w:pPr>
        <w:pStyle w:val="106"/>
        <w:spacing w:before="850" w:after="0" w:line="240" w:lineRule="auto"/>
        <w:rPr>
          <w:rFonts w:hAnsi="黑体"/>
        </w:rPr>
      </w:pPr>
      <w:r>
        <w:rPr>
          <w:rFonts w:hint="eastAsia" w:hAnsi="黑体"/>
          <w:sz w:val="21"/>
        </w:rPr>
        <w:t>附</w:t>
      </w:r>
      <w:r>
        <w:rPr>
          <w:rFonts w:hAnsi="黑体"/>
          <w:sz w:val="21"/>
        </w:rPr>
        <w:t> </w:t>
      </w:r>
      <w:r>
        <w:rPr>
          <w:rFonts w:hint="eastAsia" w:hAnsi="黑体"/>
          <w:sz w:val="21"/>
        </w:rPr>
        <w:t>录</w:t>
      </w:r>
      <w:r>
        <w:rPr>
          <w:rFonts w:hAnsi="黑体"/>
          <w:sz w:val="21"/>
        </w:rPr>
        <w:t> </w:t>
      </w:r>
      <w:r>
        <w:rPr>
          <w:rFonts w:hint="eastAsia" w:hAnsi="黑体"/>
          <w:sz w:val="21"/>
        </w:rPr>
        <w:t>A</w:t>
      </w:r>
    </w:p>
    <w:p>
      <w:pPr>
        <w:pStyle w:val="71"/>
        <w:numPr>
          <w:ilvl w:val="0"/>
          <w:numId w:val="0"/>
        </w:numPr>
        <w:spacing w:before="0" w:after="0"/>
        <w:rPr>
          <w:sz w:val="21"/>
        </w:rPr>
      </w:pPr>
      <w:r>
        <w:rPr>
          <w:rFonts w:hint="eastAsia" w:hAnsi="黑体"/>
          <w:sz w:val="21"/>
          <w:szCs w:val="21"/>
        </w:rPr>
        <w:t>（资料性）</w:t>
      </w:r>
    </w:p>
    <w:p>
      <w:pPr>
        <w:pStyle w:val="45"/>
        <w:ind w:firstLine="0" w:firstLineChars="0"/>
        <w:jc w:val="center"/>
        <w:rPr>
          <w:rFonts w:ascii="黑体" w:hAnsi="黑体" w:eastAsia="黑体"/>
          <w:szCs w:val="21"/>
        </w:rPr>
      </w:pPr>
      <w:r>
        <w:rPr>
          <w:rFonts w:hint="eastAsia" w:ascii="黑体" w:hAnsi="黑体" w:eastAsia="黑体"/>
          <w:szCs w:val="21"/>
        </w:rPr>
        <w:t>精密度</w:t>
      </w:r>
      <w:r>
        <w:rPr>
          <w:rFonts w:ascii="黑体" w:hAnsi="黑体" w:eastAsia="黑体"/>
          <w:szCs w:val="21"/>
        </w:rPr>
        <w:t>试验原始数据</w:t>
      </w:r>
    </w:p>
    <w:p>
      <w:pPr>
        <w:tabs>
          <w:tab w:val="left" w:pos="420"/>
        </w:tabs>
        <w:snapToGrid w:val="0"/>
        <w:spacing w:before="156" w:beforeLines="50" w:after="156" w:afterLines="50" w:line="360" w:lineRule="atLeast"/>
        <w:outlineLvl w:val="1"/>
        <w:rPr>
          <w:rFonts w:ascii="宋体" w:hAnsi="宋体"/>
          <w:szCs w:val="21"/>
        </w:rPr>
      </w:pPr>
      <w:r>
        <w:rPr>
          <w:rFonts w:hint="eastAsia" w:ascii="黑体" w:hAnsi="黑体" w:eastAsia="黑体"/>
          <w:szCs w:val="21"/>
        </w:rPr>
        <w:t>A</w:t>
      </w:r>
      <w:r>
        <w:rPr>
          <w:rFonts w:ascii="黑体" w:hAnsi="黑体" w:eastAsia="黑体"/>
          <w:szCs w:val="21"/>
        </w:rPr>
        <w:t>.1</w:t>
      </w:r>
      <w:r>
        <w:rPr>
          <w:rFonts w:ascii="宋体" w:hAnsi="宋体"/>
          <w:szCs w:val="21"/>
        </w:rPr>
        <w:t> </w:t>
      </w:r>
      <w:r>
        <w:rPr>
          <w:rFonts w:hint="eastAsia" w:ascii="宋体" w:hAnsi="宋体"/>
          <w:szCs w:val="21"/>
        </w:rPr>
        <w:t>本附录</w:t>
      </w:r>
      <w:r>
        <w:rPr>
          <w:rFonts w:ascii="宋体" w:hAnsi="宋体"/>
          <w:szCs w:val="21"/>
        </w:rPr>
        <w:t>精密度数据</w:t>
      </w:r>
      <w:r>
        <w:t>是在</w:t>
      </w:r>
      <w:r>
        <w:rPr>
          <w:rFonts w:hint="eastAsia"/>
        </w:rPr>
        <w:t>202</w:t>
      </w:r>
      <w:r>
        <w:t>2</w:t>
      </w:r>
      <w:r>
        <w:rPr>
          <w:rFonts w:hint="eastAsia"/>
        </w:rPr>
        <w:t>年由</w:t>
      </w:r>
      <w:r>
        <w:t>7</w:t>
      </w:r>
      <w:r>
        <w:rPr>
          <w:rFonts w:hint="eastAsia"/>
        </w:rPr>
        <w:t>家实</w:t>
      </w:r>
      <w:r>
        <w:t>验室对</w:t>
      </w:r>
      <w:r>
        <w:rPr>
          <w:rFonts w:hint="eastAsia"/>
        </w:rPr>
        <w:t>磷含量的</w:t>
      </w:r>
      <w:r>
        <w:t>5</w:t>
      </w:r>
      <w:r>
        <w:rPr>
          <w:rFonts w:hint="eastAsia"/>
        </w:rPr>
        <w:t>个</w:t>
      </w:r>
      <w:r>
        <w:t>不同水平样品进行</w:t>
      </w:r>
      <w:r>
        <w:rPr>
          <w:rFonts w:hint="eastAsia"/>
        </w:rPr>
        <w:t>共同</w:t>
      </w:r>
      <w:r>
        <w:t>试验确定的。</w:t>
      </w:r>
      <w:r>
        <w:rPr>
          <w:rFonts w:hint="eastAsia"/>
        </w:rPr>
        <w:t>每个实验室对</w:t>
      </w:r>
      <w:r>
        <w:t>每个水平的</w:t>
      </w:r>
      <w:r>
        <w:rPr>
          <w:rFonts w:hint="eastAsia"/>
        </w:rPr>
        <w:t>磷</w:t>
      </w:r>
      <w:r>
        <w:t>含量在重复性条件下独立测定11</w:t>
      </w:r>
      <w:r>
        <w:rPr>
          <w:rFonts w:hint="eastAsia"/>
        </w:rPr>
        <w:t>次</w:t>
      </w:r>
      <w:r>
        <w:t>。</w:t>
      </w:r>
      <w:r>
        <w:rPr>
          <w:rFonts w:hint="eastAsia"/>
        </w:rPr>
        <w:t>测量的</w:t>
      </w:r>
      <w:r>
        <w:t>原始数据见表A.1</w:t>
      </w:r>
      <w:r>
        <w:rPr>
          <w:rFonts w:hint="eastAsia"/>
        </w:rPr>
        <w:t>。</w:t>
      </w:r>
    </w:p>
    <w:p>
      <w:pPr>
        <w:pStyle w:val="18"/>
        <w:spacing w:before="312" w:beforeLines="100"/>
        <w:ind w:firstLine="0" w:firstLineChars="0"/>
        <w:jc w:val="center"/>
        <w:rPr>
          <w:rFonts w:ascii="黑体" w:hAnsi="黑体" w:eastAsia="黑体"/>
          <w:szCs w:val="21"/>
        </w:rPr>
      </w:pPr>
      <w:r>
        <w:rPr>
          <w:rFonts w:hint="eastAsia" w:ascii="黑体" w:hAnsi="黑体" w:eastAsia="黑体"/>
          <w:szCs w:val="21"/>
        </w:rPr>
        <w:t>表</w:t>
      </w:r>
      <w:r>
        <w:rPr>
          <w:rFonts w:ascii="黑体" w:hAnsi="黑体" w:eastAsia="黑体"/>
          <w:szCs w:val="21"/>
        </w:rPr>
        <w:t>A</w:t>
      </w:r>
      <w:r>
        <w:rPr>
          <w:rFonts w:hint="eastAsia" w:ascii="黑体" w:hAnsi="黑体" w:eastAsia="黑体"/>
          <w:szCs w:val="21"/>
        </w:rPr>
        <w:t>.</w:t>
      </w:r>
      <w:r>
        <w:rPr>
          <w:rFonts w:ascii="黑体" w:hAnsi="黑体" w:eastAsia="黑体"/>
          <w:szCs w:val="21"/>
        </w:rPr>
        <w:t>1 精密度</w:t>
      </w:r>
      <w:r>
        <w:rPr>
          <w:rFonts w:hint="eastAsia" w:ascii="黑体" w:hAnsi="黑体" w:eastAsia="黑体"/>
          <w:szCs w:val="21"/>
        </w:rPr>
        <w:t>试验</w:t>
      </w:r>
      <w:r>
        <w:rPr>
          <w:rFonts w:ascii="黑体" w:hAnsi="黑体" w:eastAsia="黑体"/>
          <w:szCs w:val="21"/>
        </w:rPr>
        <w:t>原始数据</w:t>
      </w:r>
    </w:p>
    <w:p>
      <w:pPr>
        <w:pStyle w:val="18"/>
        <w:ind w:firstLine="0" w:firstLineChars="0"/>
        <w:jc w:val="center"/>
        <w:rPr>
          <w:rFonts w:ascii="黑体" w:hAnsi="黑体" w:eastAsia="黑体"/>
          <w:szCs w:val="21"/>
        </w:rPr>
      </w:pPr>
    </w:p>
    <w:tbl>
      <w:tblPr>
        <w:tblStyle w:val="30"/>
        <w:tblW w:w="8207" w:type="dxa"/>
        <w:jc w:val="center"/>
        <w:tblLayout w:type="fixed"/>
        <w:tblCellMar>
          <w:top w:w="0" w:type="dxa"/>
          <w:left w:w="108" w:type="dxa"/>
          <w:bottom w:w="0" w:type="dxa"/>
          <w:right w:w="108" w:type="dxa"/>
        </w:tblCellMar>
      </w:tblPr>
      <w:tblGrid>
        <w:gridCol w:w="1126"/>
        <w:gridCol w:w="987"/>
        <w:gridCol w:w="1201"/>
        <w:gridCol w:w="1201"/>
        <w:gridCol w:w="1201"/>
        <w:gridCol w:w="1201"/>
        <w:gridCol w:w="1290"/>
      </w:tblGrid>
      <w:tr>
        <w:tblPrEx>
          <w:tblCellMar>
            <w:top w:w="0" w:type="dxa"/>
            <w:left w:w="108" w:type="dxa"/>
            <w:bottom w:w="0" w:type="dxa"/>
            <w:right w:w="108" w:type="dxa"/>
          </w:tblCellMar>
        </w:tblPrEx>
        <w:trPr>
          <w:trHeight w:val="270" w:hRule="atLeast"/>
          <w:tblHeader/>
          <w:jc w:val="center"/>
        </w:trPr>
        <w:tc>
          <w:tcPr>
            <w:tcW w:w="1126" w:type="dxa"/>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实验室</w:t>
            </w:r>
          </w:p>
        </w:tc>
        <w:tc>
          <w:tcPr>
            <w:tcW w:w="987" w:type="dxa"/>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测定数</w:t>
            </w:r>
          </w:p>
        </w:tc>
        <w:tc>
          <w:tcPr>
            <w:tcW w:w="6094" w:type="dxa"/>
            <w:gridSpan w:val="5"/>
            <w:tcBorders>
              <w:top w:val="single" w:color="auto" w:sz="12" w:space="0"/>
              <w:left w:val="nil"/>
              <w:bottom w:val="single" w:color="auto" w:sz="4" w:space="0"/>
              <w:right w:val="single" w:color="auto" w:sz="12"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不同水平下磷</w:t>
            </w:r>
            <w:r>
              <w:rPr>
                <w:rFonts w:asciiTheme="minorEastAsia" w:hAnsiTheme="minorEastAsia" w:eastAsiaTheme="minorEastAsia"/>
                <w:kern w:val="0"/>
                <w:sz w:val="18"/>
                <w:szCs w:val="18"/>
              </w:rPr>
              <w:t>的质量分数/%，（n=11）</w:t>
            </w:r>
          </w:p>
        </w:tc>
      </w:tr>
      <w:tr>
        <w:tblPrEx>
          <w:tblCellMar>
            <w:top w:w="0" w:type="dxa"/>
            <w:left w:w="108" w:type="dxa"/>
            <w:bottom w:w="0" w:type="dxa"/>
            <w:right w:w="108" w:type="dxa"/>
          </w:tblCellMar>
        </w:tblPrEx>
        <w:trPr>
          <w:trHeight w:val="270" w:hRule="atLeast"/>
          <w:tblHeader/>
          <w:jc w:val="center"/>
        </w:trPr>
        <w:tc>
          <w:tcPr>
            <w:tcW w:w="1126" w:type="dxa"/>
            <w:vMerge w:val="continue"/>
            <w:tcBorders>
              <w:top w:val="single" w:color="auto" w:sz="4" w:space="0"/>
              <w:left w:val="single" w:color="auto" w:sz="12" w:space="0"/>
              <w:bottom w:val="single" w:color="auto" w:sz="12"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vMerge w:val="continue"/>
            <w:tcBorders>
              <w:top w:val="single" w:color="auto" w:sz="4" w:space="0"/>
              <w:left w:val="single" w:color="auto" w:sz="4" w:space="0"/>
              <w:bottom w:val="single" w:color="auto" w:sz="12"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1201" w:type="dxa"/>
            <w:tcBorders>
              <w:top w:val="nil"/>
              <w:left w:val="nil"/>
              <w:bottom w:val="single" w:color="auto" w:sz="12"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水平1</w:t>
            </w:r>
          </w:p>
        </w:tc>
        <w:tc>
          <w:tcPr>
            <w:tcW w:w="1201" w:type="dxa"/>
            <w:tcBorders>
              <w:top w:val="nil"/>
              <w:left w:val="nil"/>
              <w:bottom w:val="single" w:color="auto" w:sz="12"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水平2</w:t>
            </w:r>
          </w:p>
        </w:tc>
        <w:tc>
          <w:tcPr>
            <w:tcW w:w="1201" w:type="dxa"/>
            <w:tcBorders>
              <w:top w:val="nil"/>
              <w:left w:val="nil"/>
              <w:bottom w:val="single" w:color="auto" w:sz="12"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水平3</w:t>
            </w:r>
          </w:p>
        </w:tc>
        <w:tc>
          <w:tcPr>
            <w:tcW w:w="1201" w:type="dxa"/>
            <w:tcBorders>
              <w:top w:val="nil"/>
              <w:left w:val="nil"/>
              <w:bottom w:val="single" w:color="auto" w:sz="12"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水平4</w:t>
            </w:r>
          </w:p>
        </w:tc>
        <w:tc>
          <w:tcPr>
            <w:tcW w:w="1290" w:type="dxa"/>
            <w:tcBorders>
              <w:top w:val="nil"/>
              <w:left w:val="nil"/>
              <w:bottom w:val="single" w:color="auto" w:sz="12" w:space="0"/>
              <w:right w:val="single" w:color="auto" w:sz="12"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水平5</w:t>
            </w:r>
          </w:p>
        </w:tc>
      </w:tr>
      <w:tr>
        <w:tblPrEx>
          <w:tblCellMar>
            <w:top w:w="0" w:type="dxa"/>
            <w:left w:w="108" w:type="dxa"/>
            <w:bottom w:w="0" w:type="dxa"/>
            <w:right w:w="108" w:type="dxa"/>
          </w:tblCellMar>
        </w:tblPrEx>
        <w:trPr>
          <w:trHeight w:val="300" w:hRule="atLeast"/>
          <w:jc w:val="center"/>
        </w:trPr>
        <w:tc>
          <w:tcPr>
            <w:tcW w:w="1126" w:type="dxa"/>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w:t>
            </w:r>
          </w:p>
        </w:tc>
        <w:tc>
          <w:tcPr>
            <w:tcW w:w="987" w:type="dxa"/>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w:t>
            </w:r>
          </w:p>
        </w:tc>
        <w:tc>
          <w:tcPr>
            <w:tcW w:w="1201" w:type="dxa"/>
            <w:tcBorders>
              <w:top w:val="single" w:color="auto" w:sz="12"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12"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12"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12"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12"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0</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11</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w:t>
            </w: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0</w:t>
            </w: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11</w:t>
            </w: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3</w:t>
            </w: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w:t>
            </w:r>
          </w:p>
        </w:tc>
        <w:tc>
          <w:tcPr>
            <w:tcW w:w="1201" w:type="dxa"/>
            <w:tcBorders>
              <w:top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000000" w:fill="FFFFFF"/>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201" w:type="dxa"/>
            <w:tcBorders>
              <w:top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000000" w:fill="FFFFFF"/>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201" w:type="dxa"/>
            <w:tcBorders>
              <w:top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000000" w:fill="FFFFFF"/>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201" w:type="dxa"/>
            <w:tcBorders>
              <w:top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000000" w:fill="FFFFFF"/>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201" w:type="dxa"/>
            <w:tcBorders>
              <w:top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000000" w:fill="FFFFFF"/>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201" w:type="dxa"/>
            <w:tcBorders>
              <w:top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000000" w:fill="FFFFFF"/>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201" w:type="dxa"/>
            <w:tcBorders>
              <w:top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000000" w:fill="FFFFFF"/>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201" w:type="dxa"/>
            <w:tcBorders>
              <w:top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12" w:space="0"/>
            </w:tcBorders>
            <w:shd w:val="clear" w:color="000000" w:fill="FFFFFF"/>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12"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12"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201" w:type="dxa"/>
            <w:tcBorders>
              <w:top w:val="single" w:color="auto" w:sz="4" w:space="0"/>
              <w:bottom w:val="single" w:color="auto" w:sz="12"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12"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12"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12" w:space="0"/>
              <w:right w:val="single" w:color="auto" w:sz="4" w:space="0"/>
            </w:tcBorders>
            <w:shd w:val="clear" w:color="000000" w:fill="FFFFFF"/>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12" w:space="0"/>
              <w:right w:val="single" w:color="auto" w:sz="12" w:space="0"/>
            </w:tcBorders>
            <w:shd w:val="clear" w:color="000000" w:fill="FFFFFF"/>
            <w:noWrap/>
            <w:vAlign w:val="center"/>
          </w:tcPr>
          <w:p>
            <w:pPr>
              <w:jc w:val="center"/>
              <w:rPr>
                <w:rFonts w:asciiTheme="minorEastAsia" w:hAnsiTheme="minorEastAsia" w:eastAsiaTheme="minorEastAsia"/>
                <w:sz w:val="18"/>
                <w:szCs w:val="18"/>
              </w:rPr>
            </w:pPr>
          </w:p>
        </w:tc>
      </w:tr>
    </w:tbl>
    <w:p>
      <w:pPr>
        <w:pStyle w:val="18"/>
        <w:spacing w:before="156" w:beforeLines="50" w:after="156" w:afterLines="50"/>
        <w:ind w:firstLine="0" w:firstLineChars="0"/>
        <w:jc w:val="center"/>
        <w:rPr>
          <w:rFonts w:ascii="黑体" w:hAnsi="黑体" w:eastAsia="黑体"/>
          <w:szCs w:val="21"/>
        </w:rPr>
      </w:pPr>
      <w:r>
        <w:rPr>
          <w:rFonts w:hint="eastAsia" w:ascii="黑体" w:hAnsi="黑体" w:eastAsia="黑体"/>
          <w:szCs w:val="21"/>
        </w:rPr>
        <w:t>表</w:t>
      </w:r>
      <w:r>
        <w:rPr>
          <w:rFonts w:ascii="黑体" w:hAnsi="黑体" w:eastAsia="黑体"/>
          <w:szCs w:val="21"/>
        </w:rPr>
        <w:t>A</w:t>
      </w:r>
      <w:r>
        <w:rPr>
          <w:rFonts w:hint="eastAsia" w:ascii="黑体" w:hAnsi="黑体" w:eastAsia="黑体"/>
          <w:szCs w:val="21"/>
        </w:rPr>
        <w:t>.</w:t>
      </w:r>
      <w:r>
        <w:rPr>
          <w:rFonts w:ascii="黑体" w:hAnsi="黑体" w:eastAsia="黑体"/>
          <w:szCs w:val="21"/>
        </w:rPr>
        <w:t>1 精密度</w:t>
      </w:r>
      <w:r>
        <w:rPr>
          <w:rFonts w:hint="eastAsia" w:ascii="黑体" w:hAnsi="黑体" w:eastAsia="黑体"/>
          <w:szCs w:val="21"/>
        </w:rPr>
        <w:t>试验</w:t>
      </w:r>
      <w:r>
        <w:rPr>
          <w:rFonts w:ascii="黑体" w:hAnsi="黑体" w:eastAsia="黑体"/>
          <w:szCs w:val="21"/>
        </w:rPr>
        <w:t>原始数据</w:t>
      </w:r>
      <w:r>
        <w:rPr>
          <w:rFonts w:hint="eastAsia" w:asciiTheme="minorEastAsia" w:hAnsiTheme="minorEastAsia" w:eastAsiaTheme="minorEastAsia"/>
          <w:szCs w:val="21"/>
        </w:rPr>
        <w:t>（续）</w:t>
      </w:r>
    </w:p>
    <w:tbl>
      <w:tblPr>
        <w:tblStyle w:val="30"/>
        <w:tblW w:w="8207" w:type="dxa"/>
        <w:jc w:val="center"/>
        <w:tblLayout w:type="fixed"/>
        <w:tblCellMar>
          <w:top w:w="0" w:type="dxa"/>
          <w:left w:w="108" w:type="dxa"/>
          <w:bottom w:w="0" w:type="dxa"/>
          <w:right w:w="108" w:type="dxa"/>
        </w:tblCellMar>
      </w:tblPr>
      <w:tblGrid>
        <w:gridCol w:w="1126"/>
        <w:gridCol w:w="987"/>
        <w:gridCol w:w="1201"/>
        <w:gridCol w:w="1201"/>
        <w:gridCol w:w="1201"/>
        <w:gridCol w:w="1201"/>
        <w:gridCol w:w="1290"/>
      </w:tblGrid>
      <w:tr>
        <w:tblPrEx>
          <w:tblCellMar>
            <w:top w:w="0" w:type="dxa"/>
            <w:left w:w="108" w:type="dxa"/>
            <w:bottom w:w="0" w:type="dxa"/>
            <w:right w:w="108" w:type="dxa"/>
          </w:tblCellMar>
        </w:tblPrEx>
        <w:trPr>
          <w:trHeight w:val="270" w:hRule="atLeast"/>
          <w:tblHeader/>
          <w:jc w:val="center"/>
        </w:trPr>
        <w:tc>
          <w:tcPr>
            <w:tcW w:w="1126" w:type="dxa"/>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实验室</w:t>
            </w:r>
          </w:p>
        </w:tc>
        <w:tc>
          <w:tcPr>
            <w:tcW w:w="987" w:type="dxa"/>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测定数</w:t>
            </w:r>
          </w:p>
        </w:tc>
        <w:tc>
          <w:tcPr>
            <w:tcW w:w="6094" w:type="dxa"/>
            <w:gridSpan w:val="5"/>
            <w:tcBorders>
              <w:top w:val="single" w:color="auto" w:sz="12" w:space="0"/>
              <w:left w:val="nil"/>
              <w:bottom w:val="single" w:color="auto" w:sz="4" w:space="0"/>
              <w:right w:val="single" w:color="auto" w:sz="12"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不同水平下磷</w:t>
            </w:r>
            <w:r>
              <w:rPr>
                <w:rFonts w:asciiTheme="minorEastAsia" w:hAnsiTheme="minorEastAsia" w:eastAsiaTheme="minorEastAsia"/>
                <w:kern w:val="0"/>
                <w:sz w:val="18"/>
                <w:szCs w:val="18"/>
              </w:rPr>
              <w:t>的质量分数/%，（n=11）</w:t>
            </w:r>
          </w:p>
        </w:tc>
      </w:tr>
      <w:tr>
        <w:tblPrEx>
          <w:tblCellMar>
            <w:top w:w="0" w:type="dxa"/>
            <w:left w:w="108" w:type="dxa"/>
            <w:bottom w:w="0" w:type="dxa"/>
            <w:right w:w="108" w:type="dxa"/>
          </w:tblCellMar>
        </w:tblPrEx>
        <w:trPr>
          <w:trHeight w:val="270" w:hRule="atLeast"/>
          <w:tblHeader/>
          <w:jc w:val="center"/>
        </w:trPr>
        <w:tc>
          <w:tcPr>
            <w:tcW w:w="1126" w:type="dxa"/>
            <w:vMerge w:val="continue"/>
            <w:tcBorders>
              <w:top w:val="single" w:color="auto" w:sz="4" w:space="0"/>
              <w:left w:val="single" w:color="auto" w:sz="12" w:space="0"/>
              <w:bottom w:val="single" w:color="auto" w:sz="12"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vMerge w:val="continue"/>
            <w:tcBorders>
              <w:top w:val="single" w:color="auto" w:sz="4" w:space="0"/>
              <w:left w:val="single" w:color="auto" w:sz="4" w:space="0"/>
              <w:bottom w:val="single" w:color="auto" w:sz="12"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1201" w:type="dxa"/>
            <w:tcBorders>
              <w:top w:val="nil"/>
              <w:left w:val="nil"/>
              <w:bottom w:val="single" w:color="auto" w:sz="12"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水平1</w:t>
            </w:r>
          </w:p>
        </w:tc>
        <w:tc>
          <w:tcPr>
            <w:tcW w:w="1201" w:type="dxa"/>
            <w:tcBorders>
              <w:top w:val="nil"/>
              <w:left w:val="nil"/>
              <w:bottom w:val="single" w:color="auto" w:sz="12"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水平2</w:t>
            </w:r>
          </w:p>
        </w:tc>
        <w:tc>
          <w:tcPr>
            <w:tcW w:w="1201" w:type="dxa"/>
            <w:tcBorders>
              <w:top w:val="nil"/>
              <w:left w:val="nil"/>
              <w:bottom w:val="single" w:color="auto" w:sz="12"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水平3</w:t>
            </w:r>
          </w:p>
        </w:tc>
        <w:tc>
          <w:tcPr>
            <w:tcW w:w="1201" w:type="dxa"/>
            <w:tcBorders>
              <w:top w:val="nil"/>
              <w:left w:val="nil"/>
              <w:bottom w:val="single" w:color="auto" w:sz="12"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水平4</w:t>
            </w:r>
          </w:p>
        </w:tc>
        <w:tc>
          <w:tcPr>
            <w:tcW w:w="1290" w:type="dxa"/>
            <w:tcBorders>
              <w:top w:val="nil"/>
              <w:left w:val="nil"/>
              <w:bottom w:val="single" w:color="auto" w:sz="12"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水平5</w:t>
            </w:r>
          </w:p>
        </w:tc>
      </w:tr>
      <w:tr>
        <w:tblPrEx>
          <w:tblCellMar>
            <w:top w:w="0" w:type="dxa"/>
            <w:left w:w="108" w:type="dxa"/>
            <w:bottom w:w="0" w:type="dxa"/>
            <w:right w:w="108" w:type="dxa"/>
          </w:tblCellMar>
        </w:tblPrEx>
        <w:trPr>
          <w:trHeight w:val="300" w:hRule="atLeast"/>
          <w:jc w:val="center"/>
        </w:trPr>
        <w:tc>
          <w:tcPr>
            <w:tcW w:w="1126" w:type="dxa"/>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3</w:t>
            </w:r>
          </w:p>
        </w:tc>
        <w:tc>
          <w:tcPr>
            <w:tcW w:w="987" w:type="dxa"/>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10</w:t>
            </w:r>
          </w:p>
        </w:tc>
        <w:tc>
          <w:tcPr>
            <w:tcW w:w="1201" w:type="dxa"/>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01" w:type="dxa"/>
            <w:tcBorders>
              <w:top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01" w:type="dxa"/>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01" w:type="dxa"/>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90" w:type="dxa"/>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9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11</w:t>
            </w:r>
          </w:p>
        </w:tc>
        <w:tc>
          <w:tcPr>
            <w:tcW w:w="12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00" w:hRule="atLeast"/>
          <w:jc w:val="center"/>
        </w:trPr>
        <w:tc>
          <w:tcPr>
            <w:tcW w:w="1126" w:type="dxa"/>
            <w:vMerge w:val="restart"/>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4</w:t>
            </w:r>
          </w:p>
        </w:tc>
        <w:tc>
          <w:tcPr>
            <w:tcW w:w="9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w:t>
            </w:r>
          </w:p>
        </w:tc>
        <w:tc>
          <w:tcPr>
            <w:tcW w:w="12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0</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11</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w:t>
            </w: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0</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11</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6</w:t>
            </w: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0</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11</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7</w:t>
            </w: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12"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12"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201" w:type="dxa"/>
            <w:tcBorders>
              <w:top w:val="nil"/>
              <w:left w:val="nil"/>
              <w:bottom w:val="single" w:color="auto" w:sz="12"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12"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12"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12"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12"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bl>
    <w:p>
      <w:pPr>
        <w:pStyle w:val="18"/>
        <w:spacing w:before="156" w:beforeLines="50" w:after="156" w:afterLines="50"/>
        <w:ind w:firstLine="0" w:firstLineChars="0"/>
        <w:jc w:val="center"/>
        <w:rPr>
          <w:rFonts w:ascii="黑体" w:hAnsi="黑体" w:eastAsia="黑体"/>
          <w:szCs w:val="21"/>
        </w:rPr>
      </w:pPr>
      <w:r>
        <w:rPr>
          <w:rFonts w:hint="eastAsia" w:ascii="黑体" w:hAnsi="黑体" w:eastAsia="黑体"/>
          <w:szCs w:val="21"/>
        </w:rPr>
        <w:t>表</w:t>
      </w:r>
      <w:r>
        <w:rPr>
          <w:rFonts w:ascii="黑体" w:hAnsi="黑体" w:eastAsia="黑体"/>
          <w:szCs w:val="21"/>
        </w:rPr>
        <w:t>A</w:t>
      </w:r>
      <w:r>
        <w:rPr>
          <w:rFonts w:hint="eastAsia" w:ascii="黑体" w:hAnsi="黑体" w:eastAsia="黑体"/>
          <w:szCs w:val="21"/>
        </w:rPr>
        <w:t>.</w:t>
      </w:r>
      <w:r>
        <w:rPr>
          <w:rFonts w:ascii="黑体" w:hAnsi="黑体" w:eastAsia="黑体"/>
          <w:szCs w:val="21"/>
        </w:rPr>
        <w:t>1 精密度</w:t>
      </w:r>
      <w:r>
        <w:rPr>
          <w:rFonts w:hint="eastAsia" w:ascii="黑体" w:hAnsi="黑体" w:eastAsia="黑体"/>
          <w:szCs w:val="21"/>
        </w:rPr>
        <w:t>试验</w:t>
      </w:r>
      <w:r>
        <w:rPr>
          <w:rFonts w:ascii="黑体" w:hAnsi="黑体" w:eastAsia="黑体"/>
          <w:szCs w:val="21"/>
        </w:rPr>
        <w:t>原始数据</w:t>
      </w:r>
      <w:r>
        <w:rPr>
          <w:rFonts w:hint="eastAsia" w:asciiTheme="minorEastAsia" w:hAnsiTheme="minorEastAsia" w:eastAsiaTheme="minorEastAsia"/>
          <w:szCs w:val="21"/>
        </w:rPr>
        <w:t>（续）</w:t>
      </w:r>
    </w:p>
    <w:tbl>
      <w:tblPr>
        <w:tblStyle w:val="30"/>
        <w:tblW w:w="8207" w:type="dxa"/>
        <w:jc w:val="center"/>
        <w:tblLayout w:type="fixed"/>
        <w:tblCellMar>
          <w:top w:w="0" w:type="dxa"/>
          <w:left w:w="108" w:type="dxa"/>
          <w:bottom w:w="0" w:type="dxa"/>
          <w:right w:w="108" w:type="dxa"/>
        </w:tblCellMar>
      </w:tblPr>
      <w:tblGrid>
        <w:gridCol w:w="1126"/>
        <w:gridCol w:w="987"/>
        <w:gridCol w:w="1201"/>
        <w:gridCol w:w="1201"/>
        <w:gridCol w:w="1201"/>
        <w:gridCol w:w="1201"/>
        <w:gridCol w:w="1290"/>
      </w:tblGrid>
      <w:tr>
        <w:tblPrEx>
          <w:tblCellMar>
            <w:top w:w="0" w:type="dxa"/>
            <w:left w:w="108" w:type="dxa"/>
            <w:bottom w:w="0" w:type="dxa"/>
            <w:right w:w="108" w:type="dxa"/>
          </w:tblCellMar>
        </w:tblPrEx>
        <w:trPr>
          <w:trHeight w:val="270" w:hRule="atLeast"/>
          <w:tblHeader/>
          <w:jc w:val="center"/>
        </w:trPr>
        <w:tc>
          <w:tcPr>
            <w:tcW w:w="1126" w:type="dxa"/>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实验室</w:t>
            </w:r>
          </w:p>
        </w:tc>
        <w:tc>
          <w:tcPr>
            <w:tcW w:w="987" w:type="dxa"/>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测定数</w:t>
            </w:r>
          </w:p>
        </w:tc>
        <w:tc>
          <w:tcPr>
            <w:tcW w:w="6094" w:type="dxa"/>
            <w:gridSpan w:val="5"/>
            <w:tcBorders>
              <w:top w:val="single" w:color="auto" w:sz="12" w:space="0"/>
              <w:left w:val="nil"/>
              <w:bottom w:val="single" w:color="auto" w:sz="4" w:space="0"/>
              <w:right w:val="single" w:color="auto" w:sz="12"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asciiTheme="minorEastAsia" w:hAnsiTheme="minorEastAsia" w:eastAsiaTheme="minorEastAsia"/>
                <w:kern w:val="0"/>
                <w:sz w:val="18"/>
                <w:szCs w:val="18"/>
              </w:rPr>
              <w:t>不同水平下磷</w:t>
            </w:r>
            <w:r>
              <w:rPr>
                <w:rFonts w:asciiTheme="minorEastAsia" w:hAnsiTheme="minorEastAsia" w:eastAsiaTheme="minorEastAsia"/>
                <w:kern w:val="0"/>
                <w:sz w:val="18"/>
                <w:szCs w:val="18"/>
              </w:rPr>
              <w:t>的质量分数/%，（n=11）</w:t>
            </w:r>
          </w:p>
        </w:tc>
      </w:tr>
      <w:tr>
        <w:tblPrEx>
          <w:tblCellMar>
            <w:top w:w="0" w:type="dxa"/>
            <w:left w:w="108" w:type="dxa"/>
            <w:bottom w:w="0" w:type="dxa"/>
            <w:right w:w="108" w:type="dxa"/>
          </w:tblCellMar>
        </w:tblPrEx>
        <w:trPr>
          <w:trHeight w:val="270" w:hRule="atLeast"/>
          <w:tblHeader/>
          <w:jc w:val="center"/>
        </w:trPr>
        <w:tc>
          <w:tcPr>
            <w:tcW w:w="1126" w:type="dxa"/>
            <w:vMerge w:val="continue"/>
            <w:tcBorders>
              <w:top w:val="single" w:color="auto" w:sz="4" w:space="0"/>
              <w:left w:val="single" w:color="auto" w:sz="12" w:space="0"/>
              <w:bottom w:val="single" w:color="auto" w:sz="12"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vMerge w:val="continue"/>
            <w:tcBorders>
              <w:top w:val="single" w:color="auto" w:sz="4" w:space="0"/>
              <w:left w:val="single" w:color="auto" w:sz="4" w:space="0"/>
              <w:bottom w:val="single" w:color="auto" w:sz="12"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1201" w:type="dxa"/>
            <w:tcBorders>
              <w:top w:val="nil"/>
              <w:left w:val="nil"/>
              <w:bottom w:val="single" w:color="auto" w:sz="12"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水平1</w:t>
            </w:r>
          </w:p>
        </w:tc>
        <w:tc>
          <w:tcPr>
            <w:tcW w:w="1201" w:type="dxa"/>
            <w:tcBorders>
              <w:top w:val="nil"/>
              <w:left w:val="nil"/>
              <w:bottom w:val="single" w:color="auto" w:sz="12"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水平2</w:t>
            </w:r>
          </w:p>
        </w:tc>
        <w:tc>
          <w:tcPr>
            <w:tcW w:w="1201" w:type="dxa"/>
            <w:tcBorders>
              <w:top w:val="nil"/>
              <w:left w:val="nil"/>
              <w:bottom w:val="single" w:color="auto" w:sz="12"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水平3</w:t>
            </w:r>
          </w:p>
        </w:tc>
        <w:tc>
          <w:tcPr>
            <w:tcW w:w="1201" w:type="dxa"/>
            <w:tcBorders>
              <w:top w:val="nil"/>
              <w:left w:val="nil"/>
              <w:bottom w:val="single" w:color="auto" w:sz="12"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水平4</w:t>
            </w:r>
          </w:p>
        </w:tc>
        <w:tc>
          <w:tcPr>
            <w:tcW w:w="1290" w:type="dxa"/>
            <w:tcBorders>
              <w:top w:val="nil"/>
              <w:left w:val="nil"/>
              <w:bottom w:val="single" w:color="auto" w:sz="12"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水平5</w:t>
            </w:r>
          </w:p>
        </w:tc>
      </w:tr>
      <w:tr>
        <w:tblPrEx>
          <w:tblCellMar>
            <w:top w:w="0" w:type="dxa"/>
            <w:left w:w="108" w:type="dxa"/>
            <w:bottom w:w="0" w:type="dxa"/>
            <w:right w:w="108" w:type="dxa"/>
          </w:tblCellMar>
        </w:tblPrEx>
        <w:trPr>
          <w:trHeight w:val="300" w:hRule="atLeast"/>
          <w:jc w:val="center"/>
        </w:trPr>
        <w:tc>
          <w:tcPr>
            <w:tcW w:w="1126"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7</w:t>
            </w:r>
          </w:p>
        </w:tc>
        <w:tc>
          <w:tcPr>
            <w:tcW w:w="987" w:type="dxa"/>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7</w:t>
            </w:r>
          </w:p>
        </w:tc>
        <w:tc>
          <w:tcPr>
            <w:tcW w:w="1201" w:type="dxa"/>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01" w:type="dxa"/>
            <w:tcBorders>
              <w:top w:val="single" w:color="auto" w:sz="12"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01" w:type="dxa"/>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01" w:type="dxa"/>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90" w:type="dxa"/>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single" w:color="auto" w:sz="12" w:space="0"/>
              <w:left w:val="single" w:color="auto" w:sz="12"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p>
        </w:tc>
        <w:tc>
          <w:tcPr>
            <w:tcW w:w="9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2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0</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00" w:hRule="atLeast"/>
          <w:jc w:val="center"/>
        </w:trPr>
        <w:tc>
          <w:tcPr>
            <w:tcW w:w="1126" w:type="dxa"/>
            <w:vMerge w:val="continue"/>
            <w:tcBorders>
              <w:top w:val="nil"/>
              <w:left w:val="single" w:color="auto" w:sz="12"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11</w:t>
            </w:r>
          </w:p>
        </w:tc>
        <w:tc>
          <w:tcPr>
            <w:tcW w:w="120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p>
        </w:tc>
      </w:tr>
    </w:tbl>
    <w:p>
      <w:pPr>
        <w:spacing w:line="400" w:lineRule="exact"/>
        <w:ind w:firstLine="437"/>
      </w:pPr>
      <w:r>
        <mc:AlternateContent>
          <mc:Choice Requires="wps">
            <w:drawing>
              <wp:anchor distT="0" distB="0" distL="114300" distR="114300" simplePos="0" relativeHeight="251671552" behindDoc="0" locked="0" layoutInCell="1" allowOverlap="1">
                <wp:simplePos x="0" y="0"/>
                <wp:positionH relativeFrom="column">
                  <wp:posOffset>2055495</wp:posOffset>
                </wp:positionH>
                <wp:positionV relativeFrom="paragraph">
                  <wp:posOffset>694690</wp:posOffset>
                </wp:positionV>
                <wp:extent cx="1600200" cy="0"/>
                <wp:effectExtent l="0" t="0" r="19050" b="19050"/>
                <wp:wrapSquare wrapText="bothSides"/>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161.85pt;margin-top:54.7pt;height:0pt;width:126pt;mso-wrap-distance-bottom:0pt;mso-wrap-distance-left:9pt;mso-wrap-distance-right:9pt;mso-wrap-distance-top:0pt;z-index:251671552;mso-width-relative:page;mso-height-relative:page;" filled="f" stroked="t" coordsize="21600,21600" o:gfxdata="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95OXV1wAAAAsB&#10;AAAPAAAAAAAAAAEAIAAAACIAAABkcnMvZG93bnJldi54bWxQSwECFAAUAAAACACHTuJA4kv2DuMB&#10;AACrAwAADgAAAAAAAAABACAAAAAmAQAAZHJzL2Uyb0RvYy54bWxQSwUGAAAAAAYABgBZAQAAewUA&#10;AAAA&#10;">
                <v:fill on="f" focussize="0,0"/>
                <v:stroke weight="1.5pt" color="#000000" joinstyle="round"/>
                <v:imagedata o:title=""/>
                <o:lock v:ext="edit" aspectratio="f"/>
                <w10:wrap type="square"/>
              </v:line>
            </w:pict>
          </mc:Fallback>
        </mc:AlternateContent>
      </w:r>
    </w:p>
    <w:sectPr>
      <w:pgSz w:w="11907" w:h="16839"/>
      <w:pgMar w:top="1418" w:right="1134" w:bottom="1134" w:left="1418" w:header="1418"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33"/>
      </w:rPr>
    </w:pPr>
    <w:r>
      <w:fldChar w:fldCharType="begin"/>
    </w:r>
    <w:r>
      <w:rPr>
        <w:rStyle w:val="33"/>
      </w:rPr>
      <w:instrText xml:space="preserve">PAGE  </w:instrText>
    </w:r>
    <w:r>
      <w:fldChar w:fldCharType="separate"/>
    </w:r>
    <w:r>
      <w:rPr>
        <w:rStyle w:val="33"/>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3"/>
      </w:rPr>
    </w:pPr>
    <w:r>
      <w:fldChar w:fldCharType="begin"/>
    </w:r>
    <w:r>
      <w:rPr>
        <w:rStyle w:val="33"/>
      </w:rPr>
      <w:instrText xml:space="preserve">PAGE  </w:instrText>
    </w:r>
    <w:r>
      <w:fldChar w:fldCharType="separate"/>
    </w:r>
    <w:r>
      <w:rPr>
        <w:rStyle w:val="33"/>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33"/>
      </w:rPr>
    </w:pPr>
    <w:r>
      <w:fldChar w:fldCharType="begin"/>
    </w:r>
    <w:r>
      <w:rPr>
        <w:rStyle w:val="33"/>
      </w:rPr>
      <w:instrText xml:space="preserve">PAGE  </w:instrText>
    </w:r>
    <w:r>
      <w:fldChar w:fldCharType="separate"/>
    </w:r>
    <w:r>
      <w:rPr>
        <w:rStyle w:val="33"/>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3"/>
        <w:rFonts w:asciiTheme="minorEastAsia" w:hAnsiTheme="minorEastAsia" w:eastAsiaTheme="minor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33"/>
      </w:rPr>
    </w:pPr>
    <w:r>
      <w:fldChar w:fldCharType="begin"/>
    </w:r>
    <w:r>
      <w:rPr>
        <w:rStyle w:val="33"/>
      </w:rPr>
      <w:instrText xml:space="preserve">PAGE  </w:instrText>
    </w:r>
    <w:r>
      <w:fldChar w:fldCharType="separate"/>
    </w:r>
    <w:r>
      <w:rPr>
        <w:rStyle w:val="33"/>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spacing w:after="0"/>
      <w:rPr>
        <w:rFonts w:ascii="黑体" w:hAnsi="黑体" w:eastAsia="黑体"/>
      </w:rPr>
    </w:pPr>
    <w:r>
      <w:rPr>
        <w:rFonts w:ascii="黑体" w:hAnsi="黑体" w:eastAsia="黑体"/>
      </w:rPr>
      <w:t xml:space="preserve">GB/T </w:t>
    </w:r>
    <w:r>
      <w:rPr>
        <w:rFonts w:hint="eastAsia" w:ascii="黑体" w:hAnsi="黑体" w:eastAsia="黑体"/>
      </w:rPr>
      <w:t>26416.9</w:t>
    </w:r>
    <w:r>
      <w:rPr>
        <w:rFonts w:ascii="黑体" w:hAnsi="黑体" w:eastAsia="黑体"/>
      </w:rPr>
      <w:t>—202X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spacing w:after="0"/>
      <w:jc w:val="right"/>
      <w:rPr>
        <w:rFonts w:ascii="黑体" w:hAnsi="黑体" w:eastAsia="黑体"/>
      </w:rPr>
    </w:pPr>
    <w:r>
      <w:rPr>
        <w:rFonts w:ascii="黑体" w:hAnsi="黑体" w:eastAsia="黑体"/>
      </w:rPr>
      <w:t xml:space="preserve">GB/T </w:t>
    </w:r>
    <w:r>
      <w:rPr>
        <w:rFonts w:hint="eastAsia" w:ascii="黑体" w:hAnsi="黑体" w:eastAsia="黑体"/>
      </w:rPr>
      <w:t>26416</w:t>
    </w:r>
    <w:r>
      <w:rPr>
        <w:rFonts w:ascii="黑体" w:hAnsi="黑体" w:eastAsia="黑体"/>
      </w:rPr>
      <w:t>.</w:t>
    </w:r>
    <w:r>
      <w:rPr>
        <w:rFonts w:hint="eastAsia" w:ascii="黑体" w:hAnsi="黑体" w:eastAsia="黑体"/>
      </w:rPr>
      <w:t>9</w:t>
    </w:r>
    <w:r>
      <w:rPr>
        <w:rFonts w:ascii="黑体" w:hAnsi="黑体" w:eastAsia="黑体"/>
      </w:rPr>
      <w:t>—202X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6"/>
      <w:suff w:val="nothing"/>
      <w:lvlText w:val="%1%2.%3　"/>
      <w:lvlJc w:val="left"/>
      <w:pPr>
        <w:ind w:left="0" w:firstLine="0"/>
      </w:pPr>
      <w:rPr>
        <w:rFonts w:hint="eastAsia" w:ascii="黑体" w:hAnsi="Times New Roman" w:eastAsia="黑体"/>
        <w:b w:val="0"/>
        <w:i w:val="0"/>
        <w:sz w:val="21"/>
      </w:rPr>
    </w:lvl>
    <w:lvl w:ilvl="3" w:tentative="0">
      <w:start w:val="1"/>
      <w:numFmt w:val="decimal"/>
      <w:pStyle w:val="83"/>
      <w:suff w:val="nothing"/>
      <w:lvlText w:val="%1%2.%3.%4　"/>
      <w:lvlJc w:val="left"/>
      <w:pPr>
        <w:ind w:left="0" w:firstLine="0"/>
      </w:pPr>
      <w:rPr>
        <w:rFonts w:hint="eastAsia" w:ascii="黑体" w:hAnsi="Times New Roman" w:eastAsia="黑体"/>
        <w:b w:val="0"/>
        <w:i w:val="0"/>
        <w:sz w:val="21"/>
      </w:rPr>
    </w:lvl>
    <w:lvl w:ilvl="4" w:tentative="0">
      <w:start w:val="1"/>
      <w:numFmt w:val="decimal"/>
      <w:pStyle w:val="104"/>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8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9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65"/>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0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8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108"/>
      <w:suff w:val="nothing"/>
      <w:lvlText w:val="附　录　%1"/>
      <w:lvlJc w:val="left"/>
      <w:pPr>
        <w:ind w:left="0" w:firstLine="0"/>
      </w:pPr>
      <w:rPr>
        <w:rFonts w:hint="eastAsia" w:ascii="黑体" w:hAnsi="Times New Roman" w:eastAsia="黑体"/>
        <w:b w:val="0"/>
        <w:i w:val="0"/>
        <w:sz w:val="21"/>
      </w:rPr>
    </w:lvl>
    <w:lvl w:ilvl="1" w:tentative="0">
      <w:start w:val="1"/>
      <w:numFmt w:val="decimal"/>
      <w:pStyle w:val="5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3"/>
      <w:suff w:val="nothing"/>
      <w:lvlText w:val="%1.%2.%3.%4.%5.%6　"/>
      <w:lvlJc w:val="left"/>
      <w:pPr>
        <w:ind w:left="0" w:firstLine="0"/>
      </w:pPr>
      <w:rPr>
        <w:rFonts w:hint="eastAsia" w:ascii="黑体" w:hAnsi="Times New Roman" w:eastAsia="黑体"/>
        <w:b w:val="0"/>
        <w:i w:val="0"/>
        <w:sz w:val="21"/>
      </w:rPr>
    </w:lvl>
    <w:lvl w:ilvl="6" w:tentative="0">
      <w:start w:val="1"/>
      <w:numFmt w:val="decimal"/>
      <w:pStyle w:val="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tentative="0">
      <w:start w:val="1"/>
      <w:numFmt w:val="decimal"/>
      <w:lvlText w:val="%1"/>
      <w:lvlJc w:val="left"/>
      <w:pPr>
        <w:tabs>
          <w:tab w:val="left" w:pos="360"/>
        </w:tabs>
        <w:ind w:left="360" w:hanging="360"/>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CEA2025"/>
    <w:multiLevelType w:val="multilevel"/>
    <w:tmpl w:val="6CEA2025"/>
    <w:lvl w:ilvl="0" w:tentative="0">
      <w:start w:val="1"/>
      <w:numFmt w:val="none"/>
      <w:pStyle w:val="71"/>
      <w:suff w:val="nothing"/>
      <w:lvlText w:val="%1"/>
      <w:lvlJc w:val="left"/>
      <w:pPr>
        <w:ind w:left="0" w:firstLine="0"/>
      </w:pPr>
      <w:rPr>
        <w:rFonts w:hint="default" w:ascii="Times New Roman" w:hAnsi="Times New Roman"/>
        <w:b/>
        <w:i w:val="0"/>
        <w:sz w:val="21"/>
      </w:rPr>
    </w:lvl>
    <w:lvl w:ilvl="1" w:tentative="0">
      <w:start w:val="1"/>
      <w:numFmt w:val="decimal"/>
      <w:pStyle w:val="72"/>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6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8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9"/>
  </w:num>
  <w:num w:numId="4">
    <w:abstractNumId w:val="8"/>
  </w:num>
  <w:num w:numId="5">
    <w:abstractNumId w:val="0"/>
  </w:num>
  <w:num w:numId="6">
    <w:abstractNumId w:val="5"/>
  </w:num>
  <w:num w:numId="7">
    <w:abstractNumId w:val="10"/>
  </w:num>
  <w:num w:numId="8">
    <w:abstractNumId w:val="1"/>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42"/>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4A89"/>
    <w:rsid w:val="00005240"/>
    <w:rsid w:val="00006637"/>
    <w:rsid w:val="00006808"/>
    <w:rsid w:val="00010DD4"/>
    <w:rsid w:val="000120D5"/>
    <w:rsid w:val="000143B6"/>
    <w:rsid w:val="00014739"/>
    <w:rsid w:val="00021792"/>
    <w:rsid w:val="00023099"/>
    <w:rsid w:val="00026D24"/>
    <w:rsid w:val="00031E13"/>
    <w:rsid w:val="000325A2"/>
    <w:rsid w:val="000453C5"/>
    <w:rsid w:val="00050BC5"/>
    <w:rsid w:val="00051966"/>
    <w:rsid w:val="00052595"/>
    <w:rsid w:val="00053F77"/>
    <w:rsid w:val="00054F71"/>
    <w:rsid w:val="00054F92"/>
    <w:rsid w:val="0005546F"/>
    <w:rsid w:val="00057184"/>
    <w:rsid w:val="0006798F"/>
    <w:rsid w:val="00072C0B"/>
    <w:rsid w:val="00077F3F"/>
    <w:rsid w:val="000851A7"/>
    <w:rsid w:val="00085B2B"/>
    <w:rsid w:val="000A2398"/>
    <w:rsid w:val="000B3B88"/>
    <w:rsid w:val="000B6052"/>
    <w:rsid w:val="000B68CE"/>
    <w:rsid w:val="000C0E23"/>
    <w:rsid w:val="000C4341"/>
    <w:rsid w:val="000C4634"/>
    <w:rsid w:val="000C4DD3"/>
    <w:rsid w:val="000C700F"/>
    <w:rsid w:val="000C7A03"/>
    <w:rsid w:val="000D3A7A"/>
    <w:rsid w:val="000D6133"/>
    <w:rsid w:val="000E1842"/>
    <w:rsid w:val="000E2F46"/>
    <w:rsid w:val="000E45EE"/>
    <w:rsid w:val="000F2B8D"/>
    <w:rsid w:val="000F4BF2"/>
    <w:rsid w:val="000F4D50"/>
    <w:rsid w:val="000F7E42"/>
    <w:rsid w:val="00104E6D"/>
    <w:rsid w:val="00107891"/>
    <w:rsid w:val="00110FD7"/>
    <w:rsid w:val="00113D86"/>
    <w:rsid w:val="00124CE5"/>
    <w:rsid w:val="001266A3"/>
    <w:rsid w:val="00137C3F"/>
    <w:rsid w:val="00141917"/>
    <w:rsid w:val="00141EB1"/>
    <w:rsid w:val="00147499"/>
    <w:rsid w:val="0015158E"/>
    <w:rsid w:val="00151A21"/>
    <w:rsid w:val="00155929"/>
    <w:rsid w:val="00167C46"/>
    <w:rsid w:val="00167E30"/>
    <w:rsid w:val="00167EDE"/>
    <w:rsid w:val="001706F0"/>
    <w:rsid w:val="00170EC5"/>
    <w:rsid w:val="00172D97"/>
    <w:rsid w:val="00175F26"/>
    <w:rsid w:val="001820CD"/>
    <w:rsid w:val="00183043"/>
    <w:rsid w:val="00186889"/>
    <w:rsid w:val="0018793E"/>
    <w:rsid w:val="00190EF5"/>
    <w:rsid w:val="00193CC6"/>
    <w:rsid w:val="001A1245"/>
    <w:rsid w:val="001A2F8B"/>
    <w:rsid w:val="001A305E"/>
    <w:rsid w:val="001A501E"/>
    <w:rsid w:val="001A739B"/>
    <w:rsid w:val="001A73D0"/>
    <w:rsid w:val="001A7479"/>
    <w:rsid w:val="001B3C18"/>
    <w:rsid w:val="001D241E"/>
    <w:rsid w:val="001D2F28"/>
    <w:rsid w:val="001D720C"/>
    <w:rsid w:val="001E272B"/>
    <w:rsid w:val="001E473E"/>
    <w:rsid w:val="001E697D"/>
    <w:rsid w:val="001F63E7"/>
    <w:rsid w:val="0020151E"/>
    <w:rsid w:val="002030FF"/>
    <w:rsid w:val="00205161"/>
    <w:rsid w:val="00205424"/>
    <w:rsid w:val="00207958"/>
    <w:rsid w:val="00211DA8"/>
    <w:rsid w:val="00214B0D"/>
    <w:rsid w:val="002217F4"/>
    <w:rsid w:val="0022625E"/>
    <w:rsid w:val="00230428"/>
    <w:rsid w:val="002350C0"/>
    <w:rsid w:val="002374C4"/>
    <w:rsid w:val="002412C5"/>
    <w:rsid w:val="0024638D"/>
    <w:rsid w:val="00246E93"/>
    <w:rsid w:val="00247081"/>
    <w:rsid w:val="00247556"/>
    <w:rsid w:val="0025020D"/>
    <w:rsid w:val="002507DC"/>
    <w:rsid w:val="002519E4"/>
    <w:rsid w:val="00252249"/>
    <w:rsid w:val="00252355"/>
    <w:rsid w:val="0025275C"/>
    <w:rsid w:val="0026180E"/>
    <w:rsid w:val="00261F97"/>
    <w:rsid w:val="00264601"/>
    <w:rsid w:val="0026478B"/>
    <w:rsid w:val="002702F9"/>
    <w:rsid w:val="00271C08"/>
    <w:rsid w:val="00274085"/>
    <w:rsid w:val="0028381C"/>
    <w:rsid w:val="00284876"/>
    <w:rsid w:val="00284F26"/>
    <w:rsid w:val="00287FD1"/>
    <w:rsid w:val="00291190"/>
    <w:rsid w:val="002931DC"/>
    <w:rsid w:val="002A6472"/>
    <w:rsid w:val="002A687E"/>
    <w:rsid w:val="002C3F35"/>
    <w:rsid w:val="002D18B0"/>
    <w:rsid w:val="002D54FB"/>
    <w:rsid w:val="002F04F9"/>
    <w:rsid w:val="002F33BD"/>
    <w:rsid w:val="002F6208"/>
    <w:rsid w:val="00300FCE"/>
    <w:rsid w:val="003026AB"/>
    <w:rsid w:val="0030573C"/>
    <w:rsid w:val="003119D4"/>
    <w:rsid w:val="00315FF9"/>
    <w:rsid w:val="00316EE8"/>
    <w:rsid w:val="00320263"/>
    <w:rsid w:val="00323663"/>
    <w:rsid w:val="00344BE8"/>
    <w:rsid w:val="003467A7"/>
    <w:rsid w:val="00355187"/>
    <w:rsid w:val="00356BB4"/>
    <w:rsid w:val="00360B74"/>
    <w:rsid w:val="00361572"/>
    <w:rsid w:val="00361FAA"/>
    <w:rsid w:val="003676D6"/>
    <w:rsid w:val="003721F7"/>
    <w:rsid w:val="00373CAB"/>
    <w:rsid w:val="00377C23"/>
    <w:rsid w:val="00385B77"/>
    <w:rsid w:val="00392F61"/>
    <w:rsid w:val="00392FA8"/>
    <w:rsid w:val="00394D3D"/>
    <w:rsid w:val="0039612B"/>
    <w:rsid w:val="003A0401"/>
    <w:rsid w:val="003A1377"/>
    <w:rsid w:val="003A3A68"/>
    <w:rsid w:val="003A5A58"/>
    <w:rsid w:val="003A619D"/>
    <w:rsid w:val="003A64F1"/>
    <w:rsid w:val="003B0D6A"/>
    <w:rsid w:val="003C2AD7"/>
    <w:rsid w:val="003D0751"/>
    <w:rsid w:val="003E1FE6"/>
    <w:rsid w:val="003E24C6"/>
    <w:rsid w:val="003E374D"/>
    <w:rsid w:val="003F5B0E"/>
    <w:rsid w:val="003F7E93"/>
    <w:rsid w:val="00402364"/>
    <w:rsid w:val="004040BF"/>
    <w:rsid w:val="00407CF0"/>
    <w:rsid w:val="00415E4E"/>
    <w:rsid w:val="00421BBA"/>
    <w:rsid w:val="00422292"/>
    <w:rsid w:val="00422E92"/>
    <w:rsid w:val="00422FF6"/>
    <w:rsid w:val="0042736B"/>
    <w:rsid w:val="004276A3"/>
    <w:rsid w:val="00427B74"/>
    <w:rsid w:val="00431D08"/>
    <w:rsid w:val="0044118E"/>
    <w:rsid w:val="0045211B"/>
    <w:rsid w:val="00454066"/>
    <w:rsid w:val="00455C94"/>
    <w:rsid w:val="00456E51"/>
    <w:rsid w:val="00457265"/>
    <w:rsid w:val="00460FEF"/>
    <w:rsid w:val="0046470E"/>
    <w:rsid w:val="004676BA"/>
    <w:rsid w:val="00474055"/>
    <w:rsid w:val="00490AFF"/>
    <w:rsid w:val="00494988"/>
    <w:rsid w:val="00497141"/>
    <w:rsid w:val="00497F56"/>
    <w:rsid w:val="004A0D2E"/>
    <w:rsid w:val="004A1F38"/>
    <w:rsid w:val="004A20BC"/>
    <w:rsid w:val="004A4B00"/>
    <w:rsid w:val="004A7F30"/>
    <w:rsid w:val="004B0FBE"/>
    <w:rsid w:val="004B2434"/>
    <w:rsid w:val="004B2895"/>
    <w:rsid w:val="004B5937"/>
    <w:rsid w:val="004B5F26"/>
    <w:rsid w:val="004C55A3"/>
    <w:rsid w:val="004C77D5"/>
    <w:rsid w:val="004D127D"/>
    <w:rsid w:val="004D40FF"/>
    <w:rsid w:val="004D50E4"/>
    <w:rsid w:val="004D6B6D"/>
    <w:rsid w:val="004E0D40"/>
    <w:rsid w:val="004E1629"/>
    <w:rsid w:val="004E18E7"/>
    <w:rsid w:val="004E35CE"/>
    <w:rsid w:val="004E5327"/>
    <w:rsid w:val="004E711D"/>
    <w:rsid w:val="004F13B1"/>
    <w:rsid w:val="004F2002"/>
    <w:rsid w:val="004F2E14"/>
    <w:rsid w:val="004F378F"/>
    <w:rsid w:val="004F4143"/>
    <w:rsid w:val="00502FD7"/>
    <w:rsid w:val="00504E87"/>
    <w:rsid w:val="005055F0"/>
    <w:rsid w:val="00505F45"/>
    <w:rsid w:val="00506313"/>
    <w:rsid w:val="00521432"/>
    <w:rsid w:val="005216DF"/>
    <w:rsid w:val="00522AEE"/>
    <w:rsid w:val="005247F2"/>
    <w:rsid w:val="00524BF5"/>
    <w:rsid w:val="00526A44"/>
    <w:rsid w:val="005271E7"/>
    <w:rsid w:val="005336F1"/>
    <w:rsid w:val="00542AFE"/>
    <w:rsid w:val="0054496F"/>
    <w:rsid w:val="00544A92"/>
    <w:rsid w:val="00554E66"/>
    <w:rsid w:val="00563695"/>
    <w:rsid w:val="00565F26"/>
    <w:rsid w:val="00566228"/>
    <w:rsid w:val="005679C3"/>
    <w:rsid w:val="005748E3"/>
    <w:rsid w:val="00574C5F"/>
    <w:rsid w:val="00584005"/>
    <w:rsid w:val="00586781"/>
    <w:rsid w:val="005922A8"/>
    <w:rsid w:val="0059772F"/>
    <w:rsid w:val="00597EBA"/>
    <w:rsid w:val="005A0F20"/>
    <w:rsid w:val="005A3F42"/>
    <w:rsid w:val="005A3FC9"/>
    <w:rsid w:val="005A648C"/>
    <w:rsid w:val="005B0C36"/>
    <w:rsid w:val="005B7330"/>
    <w:rsid w:val="005C025B"/>
    <w:rsid w:val="005C02EC"/>
    <w:rsid w:val="005C546C"/>
    <w:rsid w:val="005D21AF"/>
    <w:rsid w:val="005D2BF3"/>
    <w:rsid w:val="005D46C6"/>
    <w:rsid w:val="005D4D3E"/>
    <w:rsid w:val="005D4E07"/>
    <w:rsid w:val="005D6A93"/>
    <w:rsid w:val="005E12C4"/>
    <w:rsid w:val="005E21C7"/>
    <w:rsid w:val="005E5677"/>
    <w:rsid w:val="005E660A"/>
    <w:rsid w:val="005F055D"/>
    <w:rsid w:val="00607440"/>
    <w:rsid w:val="00610070"/>
    <w:rsid w:val="0062560B"/>
    <w:rsid w:val="00626943"/>
    <w:rsid w:val="00630A97"/>
    <w:rsid w:val="00630F1C"/>
    <w:rsid w:val="00632DE1"/>
    <w:rsid w:val="00634B6B"/>
    <w:rsid w:val="006417D4"/>
    <w:rsid w:val="00644B9D"/>
    <w:rsid w:val="006475D5"/>
    <w:rsid w:val="006533B2"/>
    <w:rsid w:val="00656D13"/>
    <w:rsid w:val="00661A03"/>
    <w:rsid w:val="006665CB"/>
    <w:rsid w:val="006758AE"/>
    <w:rsid w:val="00681337"/>
    <w:rsid w:val="00683F0E"/>
    <w:rsid w:val="00684287"/>
    <w:rsid w:val="0069309D"/>
    <w:rsid w:val="00697DCC"/>
    <w:rsid w:val="006A6467"/>
    <w:rsid w:val="006A68EC"/>
    <w:rsid w:val="006B26AF"/>
    <w:rsid w:val="006B2844"/>
    <w:rsid w:val="006B3FC9"/>
    <w:rsid w:val="006C1939"/>
    <w:rsid w:val="006C559D"/>
    <w:rsid w:val="006C7067"/>
    <w:rsid w:val="006D16E8"/>
    <w:rsid w:val="006D1909"/>
    <w:rsid w:val="006D2DB7"/>
    <w:rsid w:val="006D5B27"/>
    <w:rsid w:val="006D5E7C"/>
    <w:rsid w:val="006E0896"/>
    <w:rsid w:val="006F433A"/>
    <w:rsid w:val="006F71C7"/>
    <w:rsid w:val="00701293"/>
    <w:rsid w:val="00702A97"/>
    <w:rsid w:val="00702DB6"/>
    <w:rsid w:val="007051D3"/>
    <w:rsid w:val="00705F38"/>
    <w:rsid w:val="00706CEB"/>
    <w:rsid w:val="00706E2D"/>
    <w:rsid w:val="0070742C"/>
    <w:rsid w:val="007100BC"/>
    <w:rsid w:val="00712CEE"/>
    <w:rsid w:val="00717838"/>
    <w:rsid w:val="007218ED"/>
    <w:rsid w:val="00722701"/>
    <w:rsid w:val="00723725"/>
    <w:rsid w:val="00724D91"/>
    <w:rsid w:val="00725D23"/>
    <w:rsid w:val="007262CC"/>
    <w:rsid w:val="0072799F"/>
    <w:rsid w:val="00727F75"/>
    <w:rsid w:val="007358FF"/>
    <w:rsid w:val="00735A77"/>
    <w:rsid w:val="00747AA1"/>
    <w:rsid w:val="007551AC"/>
    <w:rsid w:val="00755392"/>
    <w:rsid w:val="00757265"/>
    <w:rsid w:val="00764F1E"/>
    <w:rsid w:val="00774693"/>
    <w:rsid w:val="007747BC"/>
    <w:rsid w:val="0077603E"/>
    <w:rsid w:val="00776464"/>
    <w:rsid w:val="0077687C"/>
    <w:rsid w:val="00776E92"/>
    <w:rsid w:val="007815C6"/>
    <w:rsid w:val="00783CD6"/>
    <w:rsid w:val="00785233"/>
    <w:rsid w:val="00791040"/>
    <w:rsid w:val="00792614"/>
    <w:rsid w:val="0079432C"/>
    <w:rsid w:val="00795D48"/>
    <w:rsid w:val="007A6D2F"/>
    <w:rsid w:val="007B0AAF"/>
    <w:rsid w:val="007B1630"/>
    <w:rsid w:val="007B2330"/>
    <w:rsid w:val="007B338C"/>
    <w:rsid w:val="007B5D8C"/>
    <w:rsid w:val="007B63E2"/>
    <w:rsid w:val="007B775E"/>
    <w:rsid w:val="007C25BD"/>
    <w:rsid w:val="007D51D0"/>
    <w:rsid w:val="007D7704"/>
    <w:rsid w:val="007E0739"/>
    <w:rsid w:val="007E747F"/>
    <w:rsid w:val="007F16F9"/>
    <w:rsid w:val="007F3FA0"/>
    <w:rsid w:val="007F7BB1"/>
    <w:rsid w:val="00810700"/>
    <w:rsid w:val="00811378"/>
    <w:rsid w:val="00812A88"/>
    <w:rsid w:val="00812E90"/>
    <w:rsid w:val="00813137"/>
    <w:rsid w:val="00823BB3"/>
    <w:rsid w:val="0082461F"/>
    <w:rsid w:val="00825DF1"/>
    <w:rsid w:val="00827D76"/>
    <w:rsid w:val="008320D0"/>
    <w:rsid w:val="00832819"/>
    <w:rsid w:val="00835BE5"/>
    <w:rsid w:val="00836DA0"/>
    <w:rsid w:val="008376F8"/>
    <w:rsid w:val="00837BD3"/>
    <w:rsid w:val="00837DAD"/>
    <w:rsid w:val="008425A7"/>
    <w:rsid w:val="00842903"/>
    <w:rsid w:val="00845980"/>
    <w:rsid w:val="00845CEE"/>
    <w:rsid w:val="00846726"/>
    <w:rsid w:val="00851BA3"/>
    <w:rsid w:val="00852BB4"/>
    <w:rsid w:val="00854181"/>
    <w:rsid w:val="00856884"/>
    <w:rsid w:val="00857E6D"/>
    <w:rsid w:val="0086062B"/>
    <w:rsid w:val="00861EF9"/>
    <w:rsid w:val="00863AD9"/>
    <w:rsid w:val="00867FD1"/>
    <w:rsid w:val="00871359"/>
    <w:rsid w:val="008752D3"/>
    <w:rsid w:val="00882036"/>
    <w:rsid w:val="00882545"/>
    <w:rsid w:val="00883D55"/>
    <w:rsid w:val="00890ACD"/>
    <w:rsid w:val="008946EE"/>
    <w:rsid w:val="00895991"/>
    <w:rsid w:val="008978AF"/>
    <w:rsid w:val="008A1061"/>
    <w:rsid w:val="008A1F52"/>
    <w:rsid w:val="008A36C7"/>
    <w:rsid w:val="008A379B"/>
    <w:rsid w:val="008A4F6A"/>
    <w:rsid w:val="008A50AA"/>
    <w:rsid w:val="008A7D5B"/>
    <w:rsid w:val="008B0956"/>
    <w:rsid w:val="008B2931"/>
    <w:rsid w:val="008B386B"/>
    <w:rsid w:val="008C0B96"/>
    <w:rsid w:val="008C7C59"/>
    <w:rsid w:val="008D0E7D"/>
    <w:rsid w:val="008D123C"/>
    <w:rsid w:val="008D6579"/>
    <w:rsid w:val="008D68FF"/>
    <w:rsid w:val="008E1E11"/>
    <w:rsid w:val="008E2CE4"/>
    <w:rsid w:val="008E34FA"/>
    <w:rsid w:val="008E3A49"/>
    <w:rsid w:val="008E5523"/>
    <w:rsid w:val="008E6414"/>
    <w:rsid w:val="008F357B"/>
    <w:rsid w:val="00901DFE"/>
    <w:rsid w:val="00904D44"/>
    <w:rsid w:val="00906D73"/>
    <w:rsid w:val="0090722C"/>
    <w:rsid w:val="0091034B"/>
    <w:rsid w:val="0091236D"/>
    <w:rsid w:val="00913EE6"/>
    <w:rsid w:val="009231CE"/>
    <w:rsid w:val="009312A8"/>
    <w:rsid w:val="00932457"/>
    <w:rsid w:val="009333ED"/>
    <w:rsid w:val="00935104"/>
    <w:rsid w:val="009424FB"/>
    <w:rsid w:val="00943A83"/>
    <w:rsid w:val="00945A50"/>
    <w:rsid w:val="00954B2A"/>
    <w:rsid w:val="00961B5B"/>
    <w:rsid w:val="009677B5"/>
    <w:rsid w:val="009754BD"/>
    <w:rsid w:val="00976BEC"/>
    <w:rsid w:val="009806D1"/>
    <w:rsid w:val="00982278"/>
    <w:rsid w:val="00984F1D"/>
    <w:rsid w:val="0098540A"/>
    <w:rsid w:val="00992E7F"/>
    <w:rsid w:val="009962D3"/>
    <w:rsid w:val="00996482"/>
    <w:rsid w:val="00996EF0"/>
    <w:rsid w:val="009A39DB"/>
    <w:rsid w:val="009A452A"/>
    <w:rsid w:val="009A5ACA"/>
    <w:rsid w:val="009B728A"/>
    <w:rsid w:val="009C2E7D"/>
    <w:rsid w:val="009D2028"/>
    <w:rsid w:val="009E3C46"/>
    <w:rsid w:val="009E4552"/>
    <w:rsid w:val="00A0005A"/>
    <w:rsid w:val="00A02471"/>
    <w:rsid w:val="00A0543D"/>
    <w:rsid w:val="00A0673F"/>
    <w:rsid w:val="00A10390"/>
    <w:rsid w:val="00A10887"/>
    <w:rsid w:val="00A10E86"/>
    <w:rsid w:val="00A118E1"/>
    <w:rsid w:val="00A12F01"/>
    <w:rsid w:val="00A14DB5"/>
    <w:rsid w:val="00A160C0"/>
    <w:rsid w:val="00A172E1"/>
    <w:rsid w:val="00A21BE9"/>
    <w:rsid w:val="00A2284F"/>
    <w:rsid w:val="00A3013A"/>
    <w:rsid w:val="00A325CA"/>
    <w:rsid w:val="00A4571D"/>
    <w:rsid w:val="00A52751"/>
    <w:rsid w:val="00A530AA"/>
    <w:rsid w:val="00A603DC"/>
    <w:rsid w:val="00A638D7"/>
    <w:rsid w:val="00A65677"/>
    <w:rsid w:val="00A66CD4"/>
    <w:rsid w:val="00A71D85"/>
    <w:rsid w:val="00A73E1D"/>
    <w:rsid w:val="00A77C64"/>
    <w:rsid w:val="00A77EED"/>
    <w:rsid w:val="00A81FB6"/>
    <w:rsid w:val="00A82420"/>
    <w:rsid w:val="00A852B7"/>
    <w:rsid w:val="00A86AF7"/>
    <w:rsid w:val="00AA2166"/>
    <w:rsid w:val="00AA3A62"/>
    <w:rsid w:val="00AA48EC"/>
    <w:rsid w:val="00AA7068"/>
    <w:rsid w:val="00AB4660"/>
    <w:rsid w:val="00AC309C"/>
    <w:rsid w:val="00AC7EE8"/>
    <w:rsid w:val="00AD195C"/>
    <w:rsid w:val="00AD3362"/>
    <w:rsid w:val="00AD37B6"/>
    <w:rsid w:val="00AD45FF"/>
    <w:rsid w:val="00AD58E7"/>
    <w:rsid w:val="00AD7D0A"/>
    <w:rsid w:val="00AE29C1"/>
    <w:rsid w:val="00AF0817"/>
    <w:rsid w:val="00AF2943"/>
    <w:rsid w:val="00AF5014"/>
    <w:rsid w:val="00AF61CD"/>
    <w:rsid w:val="00B002B0"/>
    <w:rsid w:val="00B04494"/>
    <w:rsid w:val="00B06EC3"/>
    <w:rsid w:val="00B105C4"/>
    <w:rsid w:val="00B10C97"/>
    <w:rsid w:val="00B11414"/>
    <w:rsid w:val="00B142A9"/>
    <w:rsid w:val="00B217A4"/>
    <w:rsid w:val="00B223CD"/>
    <w:rsid w:val="00B227C4"/>
    <w:rsid w:val="00B25A7F"/>
    <w:rsid w:val="00B25C11"/>
    <w:rsid w:val="00B30A0D"/>
    <w:rsid w:val="00B35B0C"/>
    <w:rsid w:val="00B35B52"/>
    <w:rsid w:val="00B3661B"/>
    <w:rsid w:val="00B377FD"/>
    <w:rsid w:val="00B40199"/>
    <w:rsid w:val="00B41B11"/>
    <w:rsid w:val="00B4378D"/>
    <w:rsid w:val="00B440A5"/>
    <w:rsid w:val="00B47C8B"/>
    <w:rsid w:val="00B55D36"/>
    <w:rsid w:val="00B60EF0"/>
    <w:rsid w:val="00B70912"/>
    <w:rsid w:val="00B824D9"/>
    <w:rsid w:val="00B93985"/>
    <w:rsid w:val="00B9443C"/>
    <w:rsid w:val="00B94FA8"/>
    <w:rsid w:val="00BA126A"/>
    <w:rsid w:val="00BA2F32"/>
    <w:rsid w:val="00BA3A86"/>
    <w:rsid w:val="00BA43C3"/>
    <w:rsid w:val="00BA6847"/>
    <w:rsid w:val="00BB7D3F"/>
    <w:rsid w:val="00BC23EF"/>
    <w:rsid w:val="00BC50CE"/>
    <w:rsid w:val="00BC69EE"/>
    <w:rsid w:val="00BD28EA"/>
    <w:rsid w:val="00BD6748"/>
    <w:rsid w:val="00BD775F"/>
    <w:rsid w:val="00BD7D50"/>
    <w:rsid w:val="00BE05EA"/>
    <w:rsid w:val="00BE3BCB"/>
    <w:rsid w:val="00BE50A3"/>
    <w:rsid w:val="00BE6377"/>
    <w:rsid w:val="00BE6C61"/>
    <w:rsid w:val="00BF1053"/>
    <w:rsid w:val="00BF1151"/>
    <w:rsid w:val="00BF1AB2"/>
    <w:rsid w:val="00BF2738"/>
    <w:rsid w:val="00C028A9"/>
    <w:rsid w:val="00C03D11"/>
    <w:rsid w:val="00C06708"/>
    <w:rsid w:val="00C157FF"/>
    <w:rsid w:val="00C160D6"/>
    <w:rsid w:val="00C2235F"/>
    <w:rsid w:val="00C23078"/>
    <w:rsid w:val="00C2376B"/>
    <w:rsid w:val="00C30693"/>
    <w:rsid w:val="00C4409D"/>
    <w:rsid w:val="00C5084A"/>
    <w:rsid w:val="00C513CD"/>
    <w:rsid w:val="00C52BA0"/>
    <w:rsid w:val="00C5532A"/>
    <w:rsid w:val="00C65BED"/>
    <w:rsid w:val="00C73A4B"/>
    <w:rsid w:val="00C73ABB"/>
    <w:rsid w:val="00C74FC4"/>
    <w:rsid w:val="00C756C4"/>
    <w:rsid w:val="00C808D7"/>
    <w:rsid w:val="00C8172F"/>
    <w:rsid w:val="00C84984"/>
    <w:rsid w:val="00C84A9B"/>
    <w:rsid w:val="00C853E1"/>
    <w:rsid w:val="00C936A2"/>
    <w:rsid w:val="00CA5A15"/>
    <w:rsid w:val="00CA714B"/>
    <w:rsid w:val="00CB06B0"/>
    <w:rsid w:val="00CB09B2"/>
    <w:rsid w:val="00CB3241"/>
    <w:rsid w:val="00CB3690"/>
    <w:rsid w:val="00CB3B56"/>
    <w:rsid w:val="00CB5F61"/>
    <w:rsid w:val="00CB729D"/>
    <w:rsid w:val="00CB7DDB"/>
    <w:rsid w:val="00CC1FA2"/>
    <w:rsid w:val="00CD2C0A"/>
    <w:rsid w:val="00CD3599"/>
    <w:rsid w:val="00CD3AF6"/>
    <w:rsid w:val="00CE5529"/>
    <w:rsid w:val="00CE60E8"/>
    <w:rsid w:val="00CE712D"/>
    <w:rsid w:val="00CF0CF2"/>
    <w:rsid w:val="00CF1AC7"/>
    <w:rsid w:val="00CF22BE"/>
    <w:rsid w:val="00CF2EC3"/>
    <w:rsid w:val="00CF4C1D"/>
    <w:rsid w:val="00CF5A79"/>
    <w:rsid w:val="00CF79D5"/>
    <w:rsid w:val="00D008FD"/>
    <w:rsid w:val="00D01217"/>
    <w:rsid w:val="00D027CC"/>
    <w:rsid w:val="00D037D9"/>
    <w:rsid w:val="00D075ED"/>
    <w:rsid w:val="00D07FDD"/>
    <w:rsid w:val="00D10B9F"/>
    <w:rsid w:val="00D11129"/>
    <w:rsid w:val="00D12F8B"/>
    <w:rsid w:val="00D143DF"/>
    <w:rsid w:val="00D15E99"/>
    <w:rsid w:val="00D1764C"/>
    <w:rsid w:val="00D21260"/>
    <w:rsid w:val="00D21EB5"/>
    <w:rsid w:val="00D2683A"/>
    <w:rsid w:val="00D27B89"/>
    <w:rsid w:val="00D27F69"/>
    <w:rsid w:val="00D344E7"/>
    <w:rsid w:val="00D34C82"/>
    <w:rsid w:val="00D356A8"/>
    <w:rsid w:val="00D36FB7"/>
    <w:rsid w:val="00D4021A"/>
    <w:rsid w:val="00D40EBE"/>
    <w:rsid w:val="00D44BDD"/>
    <w:rsid w:val="00D4527A"/>
    <w:rsid w:val="00D47438"/>
    <w:rsid w:val="00D47C57"/>
    <w:rsid w:val="00D51C55"/>
    <w:rsid w:val="00D64DE4"/>
    <w:rsid w:val="00D70128"/>
    <w:rsid w:val="00D703A5"/>
    <w:rsid w:val="00D779F7"/>
    <w:rsid w:val="00D83D78"/>
    <w:rsid w:val="00D83F54"/>
    <w:rsid w:val="00D850F7"/>
    <w:rsid w:val="00D852B1"/>
    <w:rsid w:val="00D85E93"/>
    <w:rsid w:val="00D92A6F"/>
    <w:rsid w:val="00D92F3C"/>
    <w:rsid w:val="00D939B6"/>
    <w:rsid w:val="00D9561B"/>
    <w:rsid w:val="00D95D26"/>
    <w:rsid w:val="00DA2875"/>
    <w:rsid w:val="00DB0935"/>
    <w:rsid w:val="00DB4790"/>
    <w:rsid w:val="00DB59B5"/>
    <w:rsid w:val="00DC2590"/>
    <w:rsid w:val="00DD4D22"/>
    <w:rsid w:val="00DE11C3"/>
    <w:rsid w:val="00DE15F4"/>
    <w:rsid w:val="00DE4B1A"/>
    <w:rsid w:val="00DF6E0D"/>
    <w:rsid w:val="00DF70A6"/>
    <w:rsid w:val="00E0393D"/>
    <w:rsid w:val="00E03DF1"/>
    <w:rsid w:val="00E050C4"/>
    <w:rsid w:val="00E07A71"/>
    <w:rsid w:val="00E120FE"/>
    <w:rsid w:val="00E16338"/>
    <w:rsid w:val="00E227D8"/>
    <w:rsid w:val="00E24FA2"/>
    <w:rsid w:val="00E2753E"/>
    <w:rsid w:val="00E27B4B"/>
    <w:rsid w:val="00E27BBD"/>
    <w:rsid w:val="00E375FF"/>
    <w:rsid w:val="00E40345"/>
    <w:rsid w:val="00E42A57"/>
    <w:rsid w:val="00E43711"/>
    <w:rsid w:val="00E44D23"/>
    <w:rsid w:val="00E46241"/>
    <w:rsid w:val="00E472D7"/>
    <w:rsid w:val="00E47AED"/>
    <w:rsid w:val="00E51750"/>
    <w:rsid w:val="00E52AAD"/>
    <w:rsid w:val="00E535C7"/>
    <w:rsid w:val="00E552E2"/>
    <w:rsid w:val="00E56D5D"/>
    <w:rsid w:val="00E57413"/>
    <w:rsid w:val="00E577AD"/>
    <w:rsid w:val="00E62095"/>
    <w:rsid w:val="00E64E25"/>
    <w:rsid w:val="00E67C3E"/>
    <w:rsid w:val="00E75C33"/>
    <w:rsid w:val="00E8000F"/>
    <w:rsid w:val="00E8238A"/>
    <w:rsid w:val="00E873F5"/>
    <w:rsid w:val="00E90F36"/>
    <w:rsid w:val="00E94595"/>
    <w:rsid w:val="00E954F0"/>
    <w:rsid w:val="00E96103"/>
    <w:rsid w:val="00E9762D"/>
    <w:rsid w:val="00EA5FF5"/>
    <w:rsid w:val="00EB10FF"/>
    <w:rsid w:val="00EB57F1"/>
    <w:rsid w:val="00EB63C4"/>
    <w:rsid w:val="00EB6EF0"/>
    <w:rsid w:val="00EC23A2"/>
    <w:rsid w:val="00EC2952"/>
    <w:rsid w:val="00EC2B5C"/>
    <w:rsid w:val="00EC2C41"/>
    <w:rsid w:val="00EC7C05"/>
    <w:rsid w:val="00ED23DF"/>
    <w:rsid w:val="00EE1E5D"/>
    <w:rsid w:val="00EE5E19"/>
    <w:rsid w:val="00EE7C18"/>
    <w:rsid w:val="00EF3FAF"/>
    <w:rsid w:val="00EF4719"/>
    <w:rsid w:val="00EF4DCF"/>
    <w:rsid w:val="00F00045"/>
    <w:rsid w:val="00F05E42"/>
    <w:rsid w:val="00F1031A"/>
    <w:rsid w:val="00F10A0B"/>
    <w:rsid w:val="00F1467B"/>
    <w:rsid w:val="00F17B66"/>
    <w:rsid w:val="00F23515"/>
    <w:rsid w:val="00F23AAE"/>
    <w:rsid w:val="00F23F13"/>
    <w:rsid w:val="00F33DF4"/>
    <w:rsid w:val="00F34A70"/>
    <w:rsid w:val="00F355E3"/>
    <w:rsid w:val="00F36E57"/>
    <w:rsid w:val="00F373FA"/>
    <w:rsid w:val="00F40146"/>
    <w:rsid w:val="00F416F1"/>
    <w:rsid w:val="00F5129F"/>
    <w:rsid w:val="00F53C23"/>
    <w:rsid w:val="00F5409B"/>
    <w:rsid w:val="00F63534"/>
    <w:rsid w:val="00F72E84"/>
    <w:rsid w:val="00F7450C"/>
    <w:rsid w:val="00F74778"/>
    <w:rsid w:val="00F749B0"/>
    <w:rsid w:val="00F80C14"/>
    <w:rsid w:val="00F8511B"/>
    <w:rsid w:val="00F85487"/>
    <w:rsid w:val="00F94CA7"/>
    <w:rsid w:val="00F97020"/>
    <w:rsid w:val="00FA105A"/>
    <w:rsid w:val="00FA6C69"/>
    <w:rsid w:val="00FB0ED7"/>
    <w:rsid w:val="00FB5CAE"/>
    <w:rsid w:val="00FB6B90"/>
    <w:rsid w:val="00FB7993"/>
    <w:rsid w:val="00FC2F03"/>
    <w:rsid w:val="00FD0BA3"/>
    <w:rsid w:val="00FD5EF6"/>
    <w:rsid w:val="00FE25ED"/>
    <w:rsid w:val="00FE5F72"/>
    <w:rsid w:val="00FE761B"/>
    <w:rsid w:val="03130A11"/>
    <w:rsid w:val="03BC5350"/>
    <w:rsid w:val="053A63E8"/>
    <w:rsid w:val="08396D3F"/>
    <w:rsid w:val="08554FFA"/>
    <w:rsid w:val="0A0C2682"/>
    <w:rsid w:val="0AA32563"/>
    <w:rsid w:val="0DE93312"/>
    <w:rsid w:val="0FCE263A"/>
    <w:rsid w:val="104A266E"/>
    <w:rsid w:val="13705608"/>
    <w:rsid w:val="166303D7"/>
    <w:rsid w:val="16C27B20"/>
    <w:rsid w:val="17C0471D"/>
    <w:rsid w:val="18DE6D78"/>
    <w:rsid w:val="1AFD67FA"/>
    <w:rsid w:val="1B683762"/>
    <w:rsid w:val="1C276113"/>
    <w:rsid w:val="1D02412D"/>
    <w:rsid w:val="1DB07A05"/>
    <w:rsid w:val="1E9E4C6F"/>
    <w:rsid w:val="220810CD"/>
    <w:rsid w:val="236F0792"/>
    <w:rsid w:val="25680762"/>
    <w:rsid w:val="26CE786C"/>
    <w:rsid w:val="29102371"/>
    <w:rsid w:val="29BC4A1E"/>
    <w:rsid w:val="2AA022FE"/>
    <w:rsid w:val="2AFA2071"/>
    <w:rsid w:val="2BF950DA"/>
    <w:rsid w:val="2DD1097D"/>
    <w:rsid w:val="2E9B655B"/>
    <w:rsid w:val="2FBF3CD4"/>
    <w:rsid w:val="31E43356"/>
    <w:rsid w:val="32B5139A"/>
    <w:rsid w:val="379D6409"/>
    <w:rsid w:val="399A287A"/>
    <w:rsid w:val="3C44256E"/>
    <w:rsid w:val="3CEB353B"/>
    <w:rsid w:val="46037FB7"/>
    <w:rsid w:val="46074774"/>
    <w:rsid w:val="466806DE"/>
    <w:rsid w:val="496A6DF7"/>
    <w:rsid w:val="49EA57FA"/>
    <w:rsid w:val="4B285C9E"/>
    <w:rsid w:val="4CBB467F"/>
    <w:rsid w:val="4CF114C9"/>
    <w:rsid w:val="4DB35095"/>
    <w:rsid w:val="4DDF048D"/>
    <w:rsid w:val="4EAC0C8D"/>
    <w:rsid w:val="504C2295"/>
    <w:rsid w:val="50E73B84"/>
    <w:rsid w:val="548933FF"/>
    <w:rsid w:val="54E662C1"/>
    <w:rsid w:val="556A0222"/>
    <w:rsid w:val="556D73E8"/>
    <w:rsid w:val="57DA1460"/>
    <w:rsid w:val="57E23C4F"/>
    <w:rsid w:val="585E72A6"/>
    <w:rsid w:val="59A728E8"/>
    <w:rsid w:val="5A957839"/>
    <w:rsid w:val="5A977303"/>
    <w:rsid w:val="5BED4A53"/>
    <w:rsid w:val="5C966135"/>
    <w:rsid w:val="5E1F72B7"/>
    <w:rsid w:val="5E264345"/>
    <w:rsid w:val="5EF66ECF"/>
    <w:rsid w:val="625405BD"/>
    <w:rsid w:val="62ED0BB4"/>
    <w:rsid w:val="631B15ED"/>
    <w:rsid w:val="6C7368DD"/>
    <w:rsid w:val="6CED2E22"/>
    <w:rsid w:val="6DA62B86"/>
    <w:rsid w:val="6E772BBF"/>
    <w:rsid w:val="6EBF42F0"/>
    <w:rsid w:val="702C5B36"/>
    <w:rsid w:val="73C92343"/>
    <w:rsid w:val="74FC3819"/>
    <w:rsid w:val="75024E86"/>
    <w:rsid w:val="75095CAE"/>
    <w:rsid w:val="759A0127"/>
    <w:rsid w:val="75C46754"/>
    <w:rsid w:val="75EF5AA9"/>
    <w:rsid w:val="78C66FF8"/>
    <w:rsid w:val="7CBE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unhideWhenUsed/>
    <w:qFormat/>
    <w:uiPriority w:val="99"/>
    <w:pPr>
      <w:ind w:firstLine="420" w:firstLineChars="200"/>
    </w:pPr>
  </w:style>
  <w:style w:type="paragraph" w:styleId="19">
    <w:name w:val="Document Map"/>
    <w:basedOn w:val="1"/>
    <w:semiHidden/>
    <w:qFormat/>
    <w:uiPriority w:val="0"/>
    <w:pPr>
      <w:shd w:val="clear" w:color="auto" w:fill="000080"/>
    </w:pPr>
  </w:style>
  <w:style w:type="paragraph" w:styleId="20">
    <w:name w:val="HTML Address"/>
    <w:basedOn w:val="1"/>
    <w:qFormat/>
    <w:uiPriority w:val="0"/>
    <w:rPr>
      <w:i/>
      <w:iCs/>
    </w:rPr>
  </w:style>
  <w:style w:type="paragraph" w:styleId="21">
    <w:name w:val="Plain Text"/>
    <w:basedOn w:val="1"/>
    <w:qFormat/>
    <w:uiPriority w:val="0"/>
    <w:rPr>
      <w:rFonts w:ascii="宋体" w:hAnsi="Courier New"/>
      <w:szCs w:val="20"/>
    </w:rPr>
  </w:style>
  <w:style w:type="paragraph" w:styleId="22">
    <w:name w:val="toc 8"/>
    <w:basedOn w:val="11"/>
    <w:next w:val="1"/>
    <w:semiHidden/>
    <w:qFormat/>
    <w:uiPriority w:val="0"/>
  </w:style>
  <w:style w:type="paragraph" w:styleId="23">
    <w:name w:val="Date"/>
    <w:basedOn w:val="1"/>
    <w:next w:val="1"/>
    <w:qFormat/>
    <w:uiPriority w:val="0"/>
    <w:pPr>
      <w:ind w:left="100" w:leftChars="2500"/>
    </w:p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Title"/>
    <w:basedOn w:val="1"/>
    <w:qFormat/>
    <w:uiPriority w:val="0"/>
    <w:pPr>
      <w:spacing w:before="240" w:after="60"/>
      <w:jc w:val="center"/>
      <w:outlineLvl w:val="0"/>
    </w:pPr>
    <w:rPr>
      <w:rFonts w:ascii="Arial" w:hAnsi="Arial" w:cs="Arial"/>
      <w:b/>
      <w:bCs/>
      <w:sz w:val="32"/>
      <w:szCs w:val="32"/>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qFormat/>
    <w:uiPriority w:val="0"/>
    <w:rPr>
      <w:rFonts w:ascii="Times New Roman" w:hAnsi="Times New Roman" w:eastAsia="宋体"/>
      <w:sz w:val="18"/>
    </w:rPr>
  </w:style>
  <w:style w:type="character" w:styleId="34">
    <w:name w:val="HTML Definition"/>
    <w:qFormat/>
    <w:uiPriority w:val="0"/>
    <w:rPr>
      <w:i/>
      <w:iCs/>
    </w:rPr>
  </w:style>
  <w:style w:type="character" w:styleId="35">
    <w:name w:val="HTML Typewriter"/>
    <w:qFormat/>
    <w:uiPriority w:val="0"/>
    <w:rPr>
      <w:rFonts w:ascii="Courier New" w:hAnsi="Courier New"/>
      <w:sz w:val="20"/>
      <w:szCs w:val="20"/>
    </w:rPr>
  </w:style>
  <w:style w:type="character" w:styleId="36">
    <w:name w:val="HTML Acronym"/>
    <w:basedOn w:val="32"/>
    <w:qFormat/>
    <w:uiPriority w:val="0"/>
  </w:style>
  <w:style w:type="character" w:styleId="37">
    <w:name w:val="HTML Variable"/>
    <w:qFormat/>
    <w:uiPriority w:val="0"/>
    <w:rPr>
      <w:i/>
      <w:iCs/>
    </w:rPr>
  </w:style>
  <w:style w:type="character" w:styleId="38">
    <w:name w:val="Hyperlink"/>
    <w:qFormat/>
    <w:uiPriority w:val="0"/>
    <w:rPr>
      <w:rFonts w:ascii="Times New Roman" w:hAnsi="Times New Roman" w:eastAsia="宋体"/>
      <w:color w:val="auto"/>
      <w:spacing w:val="0"/>
      <w:w w:val="100"/>
      <w:position w:val="0"/>
      <w:sz w:val="21"/>
      <w:u w:val="none"/>
      <w:vertAlign w:val="baseline"/>
    </w:rPr>
  </w:style>
  <w:style w:type="character" w:styleId="39">
    <w:name w:val="footnote reference"/>
    <w:semiHidden/>
    <w:qFormat/>
    <w:uiPriority w:val="0"/>
    <w:rPr>
      <w:vertAlign w:val="superscript"/>
    </w:rPr>
  </w:style>
  <w:style w:type="character" w:styleId="40">
    <w:name w:val="HTML Keyboard"/>
    <w:qFormat/>
    <w:uiPriority w:val="0"/>
    <w:rPr>
      <w:rFonts w:ascii="Courier New" w:hAnsi="Courier New"/>
      <w:sz w:val="20"/>
      <w:szCs w:val="20"/>
    </w:rPr>
  </w:style>
  <w:style w:type="character" w:styleId="41">
    <w:name w:val="HTML Sample"/>
    <w:qFormat/>
    <w:uiPriority w:val="0"/>
    <w:rPr>
      <w:rFonts w:ascii="Courier New" w:hAnsi="Courier New"/>
    </w:rPr>
  </w:style>
  <w:style w:type="character" w:customStyle="1" w:styleId="42">
    <w:name w:val="HTML 站点"/>
    <w:qFormat/>
    <w:uiPriority w:val="0"/>
    <w:rPr>
      <w:i/>
      <w:iCs/>
    </w:rPr>
  </w:style>
  <w:style w:type="character" w:customStyle="1" w:styleId="43">
    <w:name w:val="个人答复风格"/>
    <w:qFormat/>
    <w:uiPriority w:val="0"/>
    <w:rPr>
      <w:rFonts w:ascii="Arial" w:hAnsi="Arial" w:eastAsia="宋体" w:cs="Arial"/>
      <w:color w:val="auto"/>
      <w:sz w:val="20"/>
    </w:rPr>
  </w:style>
  <w:style w:type="character" w:customStyle="1" w:styleId="44">
    <w:name w:val="段 Char"/>
    <w:link w:val="45"/>
    <w:qFormat/>
    <w:uiPriority w:val="0"/>
    <w:rPr>
      <w:rFonts w:ascii="宋体"/>
      <w:sz w:val="21"/>
      <w:lang w:val="en-US" w:eastAsia="zh-CN" w:bidi="ar-SA"/>
    </w:rPr>
  </w:style>
  <w:style w:type="paragraph" w:customStyle="1" w:styleId="45">
    <w:name w:val="段"/>
    <w:link w:val="4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6">
    <w:name w:val="个人撰写风格"/>
    <w:qFormat/>
    <w:uiPriority w:val="0"/>
    <w:rPr>
      <w:rFonts w:ascii="Arial" w:hAnsi="Arial" w:eastAsia="宋体" w:cs="Arial"/>
      <w:color w:val="auto"/>
      <w:sz w:val="20"/>
    </w:rPr>
  </w:style>
  <w:style w:type="character" w:customStyle="1" w:styleId="47">
    <w:name w:val="high-light-bg4"/>
    <w:qFormat/>
    <w:uiPriority w:val="0"/>
  </w:style>
  <w:style w:type="character" w:customStyle="1" w:styleId="48">
    <w:name w:val="HTML 编码"/>
    <w:qFormat/>
    <w:uiPriority w:val="0"/>
    <w:rPr>
      <w:rFonts w:ascii="Courier New" w:hAnsi="Courier New"/>
      <w:sz w:val="20"/>
      <w:szCs w:val="20"/>
    </w:rPr>
  </w:style>
  <w:style w:type="character" w:customStyle="1" w:styleId="49">
    <w:name w:val="发布"/>
    <w:qFormat/>
    <w:uiPriority w:val="0"/>
    <w:rPr>
      <w:rFonts w:ascii="黑体" w:eastAsia="黑体"/>
      <w:spacing w:val="22"/>
      <w:w w:val="100"/>
      <w:position w:val="3"/>
      <w:sz w:val="28"/>
    </w:rPr>
  </w:style>
  <w:style w:type="paragraph" w:customStyle="1" w:styleId="5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1">
    <w:name w:val="封面标准号2"/>
    <w:basedOn w:val="50"/>
    <w:qFormat/>
    <w:uiPriority w:val="0"/>
    <w:pPr>
      <w:framePr w:w="9138" w:h="1244" w:hRule="exact" w:wrap="around" w:vAnchor="page" w:hAnchor="margin" w:y="2908"/>
      <w:adjustRightInd w:val="0"/>
      <w:spacing w:before="357" w:line="280" w:lineRule="exact"/>
    </w:pPr>
  </w:style>
  <w:style w:type="paragraph" w:customStyle="1" w:styleId="52">
    <w:name w:val="标准书眉一"/>
    <w:qFormat/>
    <w:uiPriority w:val="0"/>
    <w:pPr>
      <w:jc w:val="both"/>
    </w:pPr>
    <w:rPr>
      <w:rFonts w:ascii="Times New Roman" w:hAnsi="Times New Roman" w:eastAsia="宋体" w:cs="Times New Roman"/>
      <w:lang w:val="en-US" w:eastAsia="zh-CN" w:bidi="ar-SA"/>
    </w:rPr>
  </w:style>
  <w:style w:type="paragraph" w:customStyle="1" w:styleId="5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5">
    <w:name w:val="附录图标题"/>
    <w:next w:val="45"/>
    <w:qFormat/>
    <w:uiPriority w:val="0"/>
    <w:pPr>
      <w:jc w:val="center"/>
    </w:pPr>
    <w:rPr>
      <w:rFonts w:ascii="黑体" w:hAnsi="Times New Roman" w:eastAsia="黑体" w:cs="Times New Roman"/>
      <w:sz w:val="21"/>
      <w:lang w:val="en-US" w:eastAsia="zh-CN" w:bidi="ar-SA"/>
    </w:rPr>
  </w:style>
  <w:style w:type="paragraph" w:customStyle="1" w:styleId="56">
    <w:name w:val="附录二级条标题"/>
    <w:basedOn w:val="57"/>
    <w:next w:val="45"/>
    <w:qFormat/>
    <w:uiPriority w:val="0"/>
    <w:pPr>
      <w:numPr>
        <w:ilvl w:val="3"/>
      </w:numPr>
      <w:outlineLvl w:val="3"/>
    </w:pPr>
  </w:style>
  <w:style w:type="paragraph" w:customStyle="1" w:styleId="57">
    <w:name w:val="附录一级条标题"/>
    <w:basedOn w:val="58"/>
    <w:next w:val="45"/>
    <w:qFormat/>
    <w:uiPriority w:val="0"/>
    <w:pPr>
      <w:numPr>
        <w:ilvl w:val="2"/>
      </w:numPr>
      <w:autoSpaceDN w:val="0"/>
      <w:spacing w:before="0" w:beforeLines="0" w:after="0" w:afterLines="0"/>
      <w:outlineLvl w:val="2"/>
    </w:pPr>
  </w:style>
  <w:style w:type="paragraph" w:customStyle="1" w:styleId="58">
    <w:name w:val="附录章标题"/>
    <w:next w:val="45"/>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9">
    <w:name w:val="实施日期"/>
    <w:basedOn w:val="60"/>
    <w:qFormat/>
    <w:uiPriority w:val="0"/>
    <w:pPr>
      <w:framePr w:hSpace="0" w:wrap="around" w:xAlign="right"/>
      <w:jc w:val="right"/>
    </w:pPr>
  </w:style>
  <w:style w:type="paragraph" w:customStyle="1" w:styleId="6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1">
    <w:name w:val="封面正文"/>
    <w:qFormat/>
    <w:uiPriority w:val="0"/>
    <w:pPr>
      <w:jc w:val="both"/>
    </w:pPr>
    <w:rPr>
      <w:rFonts w:ascii="Times New Roman" w:hAnsi="Times New Roman" w:eastAsia="宋体" w:cs="Times New Roman"/>
      <w:lang w:val="en-US" w:eastAsia="zh-CN" w:bidi="ar-SA"/>
    </w:rPr>
  </w:style>
  <w:style w:type="paragraph" w:customStyle="1" w:styleId="6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3">
    <w:name w:val="附录四级条标题"/>
    <w:basedOn w:val="64"/>
    <w:next w:val="45"/>
    <w:qFormat/>
    <w:uiPriority w:val="0"/>
    <w:pPr>
      <w:numPr>
        <w:ilvl w:val="5"/>
      </w:numPr>
      <w:outlineLvl w:val="5"/>
    </w:pPr>
  </w:style>
  <w:style w:type="paragraph" w:customStyle="1" w:styleId="64">
    <w:name w:val="附录三级条标题"/>
    <w:basedOn w:val="56"/>
    <w:next w:val="45"/>
    <w:qFormat/>
    <w:uiPriority w:val="0"/>
    <w:pPr>
      <w:numPr>
        <w:ilvl w:val="4"/>
      </w:numPr>
      <w:outlineLvl w:val="4"/>
    </w:pPr>
  </w:style>
  <w:style w:type="paragraph" w:customStyle="1" w:styleId="65">
    <w:name w:val="注×："/>
    <w:qFormat/>
    <w:uiPriority w:val="0"/>
    <w:pPr>
      <w:widowControl w:val="0"/>
      <w:numPr>
        <w:ilvl w:val="0"/>
        <w:numId w:val="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66">
    <w:name w:val="条文脚注"/>
    <w:basedOn w:val="27"/>
    <w:qFormat/>
    <w:uiPriority w:val="0"/>
    <w:pPr>
      <w:ind w:left="780" w:leftChars="200" w:hanging="360" w:hangingChars="200"/>
      <w:jc w:val="both"/>
    </w:pPr>
    <w:rPr>
      <w:rFonts w:ascii="宋体"/>
    </w:rPr>
  </w:style>
  <w:style w:type="paragraph" w:customStyle="1" w:styleId="67">
    <w:name w:val="注："/>
    <w:next w:val="45"/>
    <w:qFormat/>
    <w:uiPriority w:val="0"/>
    <w:pPr>
      <w:widowControl w:val="0"/>
      <w:numPr>
        <w:ilvl w:val="0"/>
        <w:numId w:val="3"/>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6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9">
    <w:name w:val="发布部门"/>
    <w:next w:val="4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0">
    <w:name w:val="参考文献、索引标题"/>
    <w:basedOn w:val="71"/>
    <w:next w:val="1"/>
    <w:qFormat/>
    <w:uiPriority w:val="0"/>
    <w:pPr>
      <w:numPr>
        <w:numId w:val="0"/>
      </w:numPr>
      <w:spacing w:after="200"/>
    </w:pPr>
    <w:rPr>
      <w:sz w:val="21"/>
    </w:rPr>
  </w:style>
  <w:style w:type="paragraph" w:customStyle="1" w:styleId="71">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2">
    <w:name w:val="章标题"/>
    <w:next w:val="45"/>
    <w:qFormat/>
    <w:uiPriority w:val="0"/>
    <w:pPr>
      <w:numPr>
        <w:ilvl w:val="1"/>
        <w:numId w:val="4"/>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5">
    <w:name w:val="五级条标题"/>
    <w:basedOn w:val="76"/>
    <w:next w:val="45"/>
    <w:qFormat/>
    <w:uiPriority w:val="0"/>
    <w:pPr>
      <w:numPr>
        <w:ilvl w:val="6"/>
      </w:numPr>
      <w:outlineLvl w:val="6"/>
    </w:pPr>
  </w:style>
  <w:style w:type="paragraph" w:customStyle="1" w:styleId="76">
    <w:name w:val="四级条标题"/>
    <w:basedOn w:val="77"/>
    <w:next w:val="45"/>
    <w:qFormat/>
    <w:uiPriority w:val="0"/>
    <w:pPr>
      <w:numPr>
        <w:ilvl w:val="5"/>
      </w:numPr>
      <w:outlineLvl w:val="5"/>
    </w:pPr>
  </w:style>
  <w:style w:type="paragraph" w:customStyle="1" w:styleId="77">
    <w:name w:val="三级条标题"/>
    <w:basedOn w:val="78"/>
    <w:next w:val="45"/>
    <w:qFormat/>
    <w:uiPriority w:val="0"/>
    <w:pPr>
      <w:numPr>
        <w:ilvl w:val="4"/>
      </w:numPr>
      <w:outlineLvl w:val="4"/>
    </w:pPr>
  </w:style>
  <w:style w:type="paragraph" w:customStyle="1" w:styleId="78">
    <w:name w:val="二级条标题"/>
    <w:basedOn w:val="79"/>
    <w:next w:val="45"/>
    <w:qFormat/>
    <w:uiPriority w:val="0"/>
    <w:pPr>
      <w:numPr>
        <w:ilvl w:val="3"/>
      </w:numPr>
      <w:outlineLvl w:val="3"/>
    </w:pPr>
  </w:style>
  <w:style w:type="paragraph" w:customStyle="1" w:styleId="79">
    <w:name w:val="一级条标题"/>
    <w:basedOn w:val="72"/>
    <w:next w:val="45"/>
    <w:qFormat/>
    <w:uiPriority w:val="0"/>
    <w:pPr>
      <w:numPr>
        <w:ilvl w:val="2"/>
        <w:numId w:val="0"/>
      </w:numPr>
      <w:spacing w:before="0" w:beforeLines="0" w:after="0" w:afterLines="0"/>
      <w:outlineLvl w:val="2"/>
    </w:pPr>
  </w:style>
  <w:style w:type="paragraph" w:customStyle="1" w:styleId="80">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81">
    <w:name w:val="无标题条"/>
    <w:next w:val="45"/>
    <w:qFormat/>
    <w:uiPriority w:val="0"/>
    <w:pPr>
      <w:jc w:val="both"/>
    </w:pPr>
    <w:rPr>
      <w:rFonts w:ascii="Times New Roman" w:hAnsi="Times New Roman" w:eastAsia="宋体" w:cs="Times New Roman"/>
      <w:sz w:val="21"/>
      <w:lang w:val="en-US" w:eastAsia="zh-CN" w:bidi="ar-SA"/>
    </w:rPr>
  </w:style>
  <w:style w:type="paragraph" w:customStyle="1" w:styleId="8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3">
    <w:name w:val="二级无标题条"/>
    <w:basedOn w:val="1"/>
    <w:qFormat/>
    <w:uiPriority w:val="0"/>
    <w:pPr>
      <w:numPr>
        <w:ilvl w:val="3"/>
        <w:numId w:val="5"/>
      </w:numPr>
    </w:pPr>
  </w:style>
  <w:style w:type="paragraph" w:customStyle="1" w:styleId="8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5">
    <w:name w:val="正文表标题"/>
    <w:next w:val="45"/>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6">
    <w:name w:val="一级无标题条"/>
    <w:basedOn w:val="1"/>
    <w:qFormat/>
    <w:uiPriority w:val="0"/>
    <w:pPr>
      <w:numPr>
        <w:ilvl w:val="2"/>
        <w:numId w:val="5"/>
      </w:numPr>
    </w:pPr>
  </w:style>
  <w:style w:type="paragraph" w:customStyle="1" w:styleId="87">
    <w:name w:val="列项——"/>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8">
    <w:name w:val="示例"/>
    <w:next w:val="45"/>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0">
    <w:name w:val="附录表标题"/>
    <w:next w:val="4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1">
    <w:name w:val="四级无标题条"/>
    <w:basedOn w:val="1"/>
    <w:qFormat/>
    <w:uiPriority w:val="0"/>
    <w:pPr>
      <w:numPr>
        <w:ilvl w:val="5"/>
        <w:numId w:val="5"/>
      </w:numPr>
    </w:pPr>
  </w:style>
  <w:style w:type="paragraph" w:customStyle="1" w:styleId="92">
    <w:name w:val="封面标准代替信息"/>
    <w:basedOn w:val="51"/>
    <w:qFormat/>
    <w:uiPriority w:val="0"/>
    <w:pPr>
      <w:framePr w:wrap="around"/>
      <w:spacing w:before="57"/>
    </w:pPr>
    <w:rPr>
      <w:rFonts w:ascii="宋体"/>
      <w:sz w:val="21"/>
    </w:rPr>
  </w:style>
  <w:style w:type="paragraph" w:customStyle="1" w:styleId="9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4">
    <w:name w:val="列项·"/>
    <w:qFormat/>
    <w:uiPriority w:val="0"/>
    <w:pPr>
      <w:numPr>
        <w:ilvl w:val="0"/>
        <w:numId w:val="9"/>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5">
    <w:name w:val="附录五级条标题"/>
    <w:basedOn w:val="63"/>
    <w:next w:val="45"/>
    <w:qFormat/>
    <w:uiPriority w:val="0"/>
    <w:pPr>
      <w:numPr>
        <w:ilvl w:val="6"/>
      </w:numPr>
      <w:outlineLvl w:val="6"/>
    </w:pPr>
  </w:style>
  <w:style w:type="paragraph" w:customStyle="1" w:styleId="9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7">
    <w:name w:val="HTML 预先格式化"/>
    <w:basedOn w:val="1"/>
    <w:qFormat/>
    <w:uiPriority w:val="0"/>
    <w:rPr>
      <w:rFonts w:ascii="Courier New" w:hAnsi="Courier New" w:cs="楷体_GB2312"/>
      <w:sz w:val="20"/>
      <w:szCs w:val="20"/>
    </w:rPr>
  </w:style>
  <w:style w:type="paragraph" w:customStyle="1" w:styleId="98">
    <w:name w:val="标准书眉_偶数页"/>
    <w:basedOn w:val="99"/>
    <w:next w:val="1"/>
    <w:qFormat/>
    <w:uiPriority w:val="0"/>
    <w:pPr>
      <w:tabs>
        <w:tab w:val="center" w:pos="4154"/>
        <w:tab w:val="right" w:pos="8306"/>
      </w:tabs>
      <w:jc w:val="left"/>
    </w:pPr>
  </w:style>
  <w:style w:type="paragraph" w:customStyle="1" w:styleId="9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0">
    <w:name w:val="正文图标题"/>
    <w:next w:val="45"/>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2">
    <w:name w:val="五级无标题条"/>
    <w:basedOn w:val="1"/>
    <w:qFormat/>
    <w:uiPriority w:val="0"/>
    <w:pPr>
      <w:numPr>
        <w:ilvl w:val="6"/>
        <w:numId w:val="5"/>
      </w:numPr>
    </w:pPr>
  </w:style>
  <w:style w:type="paragraph" w:customStyle="1" w:styleId="103">
    <w:name w:val="其他发布部门"/>
    <w:basedOn w:val="69"/>
    <w:qFormat/>
    <w:uiPriority w:val="0"/>
    <w:pPr>
      <w:framePr w:wrap="around"/>
      <w:spacing w:line="0" w:lineRule="atLeast"/>
    </w:pPr>
    <w:rPr>
      <w:rFonts w:ascii="黑体" w:eastAsia="黑体"/>
      <w:b w:val="0"/>
    </w:rPr>
  </w:style>
  <w:style w:type="paragraph" w:customStyle="1" w:styleId="104">
    <w:name w:val="三级无标题条"/>
    <w:basedOn w:val="1"/>
    <w:qFormat/>
    <w:uiPriority w:val="0"/>
    <w:pPr>
      <w:numPr>
        <w:ilvl w:val="4"/>
        <w:numId w:val="5"/>
      </w:numPr>
    </w:pPr>
  </w:style>
  <w:style w:type="paragraph" w:customStyle="1" w:styleId="105">
    <w:name w:val="标准"/>
    <w:basedOn w:val="1"/>
    <w:qFormat/>
    <w:uiPriority w:val="0"/>
    <w:pPr>
      <w:adjustRightInd w:val="0"/>
      <w:spacing w:line="312" w:lineRule="atLeast"/>
      <w:jc w:val="center"/>
      <w:textAlignment w:val="baseline"/>
    </w:pPr>
    <w:rPr>
      <w:kern w:val="0"/>
      <w:szCs w:val="20"/>
    </w:rPr>
  </w:style>
  <w:style w:type="paragraph" w:customStyle="1" w:styleId="106">
    <w:name w:val="目次、标准名称标题"/>
    <w:basedOn w:val="71"/>
    <w:next w:val="45"/>
    <w:qFormat/>
    <w:uiPriority w:val="0"/>
    <w:pPr>
      <w:numPr>
        <w:numId w:val="0"/>
      </w:numPr>
      <w:spacing w:line="460" w:lineRule="exact"/>
    </w:pPr>
  </w:style>
  <w:style w:type="paragraph" w:customStyle="1" w:styleId="107">
    <w:name w:val="图表脚注"/>
    <w:next w:val="4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8">
    <w:name w:val="附录标识"/>
    <w:basedOn w:val="71"/>
    <w:qFormat/>
    <w:uiPriority w:val="0"/>
    <w:pPr>
      <w:numPr>
        <w:ilvl w:val="0"/>
        <w:numId w:val="1"/>
      </w:numPr>
      <w:tabs>
        <w:tab w:val="left" w:pos="6405"/>
      </w:tabs>
      <w:spacing w:after="200"/>
    </w:pPr>
    <w:rPr>
      <w:sz w:val="21"/>
    </w:rPr>
  </w:style>
  <w:style w:type="paragraph" w:customStyle="1" w:styleId="10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table" w:customStyle="1" w:styleId="111">
    <w:name w:val="网格型1"/>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2">
    <w:name w:val="List Paragraph"/>
    <w:basedOn w:val="1"/>
    <w:qFormat/>
    <w:uiPriority w:val="34"/>
    <w:pPr>
      <w:ind w:firstLine="420" w:firstLineChars="200"/>
    </w:pPr>
  </w:style>
  <w:style w:type="character" w:styleId="113">
    <w:name w:val="Placeholder Text"/>
    <w:basedOn w:val="32"/>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54D4D3-B1A8-4BC6-984B-9603CD8AB667}">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12</Pages>
  <Words>3340</Words>
  <Characters>3973</Characters>
  <Lines>14</Lines>
  <Paragraphs>10</Paragraphs>
  <TotalTime>79</TotalTime>
  <ScaleCrop>false</ScaleCrop>
  <LinksUpToDate>false</LinksUpToDate>
  <CharactersWithSpaces>4141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2020-11-18T08:21:00Z</dcterms:created>
  <dc:creator>南方稀土高技术股份有限公司</dc:creator>
  <cp:lastModifiedBy>WPS_503730159</cp:lastModifiedBy>
  <cp:lastPrinted>2022-03-25T07:46:00Z</cp:lastPrinted>
  <dcterms:modified xsi:type="dcterms:W3CDTF">2022-03-28T03:06:53Z</dcterms:modified>
  <dc:title>前    言</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7212FAAEFF054B759751C212B365D1AB</vt:lpwstr>
  </property>
</Properties>
</file>