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稀土行业标准《绿色设计产品评价技术规范稀土硅铁合金产品》</w:t>
      </w:r>
      <w:r>
        <w:rPr>
          <w:rFonts w:hint="eastAsia" w:ascii="黑体" w:hAnsi="黑体" w:eastAsia="黑体"/>
          <w:sz w:val="32"/>
          <w:szCs w:val="32"/>
          <w:lang w:eastAsia="zh-CN"/>
        </w:rPr>
        <w:t>送</w:t>
      </w:r>
      <w:r>
        <w:rPr>
          <w:rFonts w:hint="eastAsia" w:ascii="黑体" w:hAnsi="黑体" w:eastAsia="黑体"/>
          <w:sz w:val="32"/>
          <w:szCs w:val="32"/>
        </w:rPr>
        <w:t>审稿编制说明</w:t>
      </w:r>
    </w:p>
    <w:p>
      <w:pPr>
        <w:adjustRightInd w:val="0"/>
        <w:snapToGrid w:val="0"/>
        <w:spacing w:line="360" w:lineRule="auto"/>
        <w:jc w:val="center"/>
        <w:rPr>
          <w:rFonts w:ascii="宋体" w:hAnsi="宋体"/>
          <w:sz w:val="24"/>
          <w:szCs w:val="24"/>
        </w:rPr>
      </w:pPr>
    </w:p>
    <w:p>
      <w:pPr>
        <w:adjustRightInd w:val="0"/>
        <w:snapToGrid w:val="0"/>
        <w:rPr>
          <w:rFonts w:ascii="仿宋" w:hAnsi="仿宋" w:eastAsia="仿宋"/>
          <w:b/>
          <w:sz w:val="28"/>
          <w:szCs w:val="28"/>
        </w:rPr>
      </w:pPr>
      <w:r>
        <w:rPr>
          <w:rFonts w:hint="eastAsia" w:ascii="仿宋" w:hAnsi="仿宋" w:eastAsia="仿宋"/>
          <w:b/>
          <w:sz w:val="28"/>
          <w:szCs w:val="28"/>
        </w:rPr>
        <w:t>一、工作简况</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1.1立项的目的和意义</w:t>
      </w:r>
    </w:p>
    <w:p>
      <w:pPr>
        <w:autoSpaceDE w:val="0"/>
        <w:autoSpaceDN w:val="0"/>
        <w:ind w:firstLine="560"/>
        <w:rPr>
          <w:rFonts w:ascii="仿宋" w:hAnsi="仿宋" w:eastAsia="仿宋"/>
          <w:sz w:val="28"/>
          <w:szCs w:val="28"/>
        </w:rPr>
      </w:pPr>
      <w:r>
        <w:rPr>
          <w:rFonts w:hint="eastAsia" w:ascii="仿宋" w:hAnsi="仿宋" w:eastAsia="仿宋"/>
          <w:sz w:val="28"/>
          <w:szCs w:val="28"/>
        </w:rPr>
        <w:t>稀土硅铁合金，是制备稀土球化剂，蠕化剂，孕育剂的基础材料，对推动和发展我国铸造业高质量发展具有重要作用。</w:t>
      </w:r>
      <w:r>
        <w:rPr>
          <w:rFonts w:ascii="仿宋" w:hAnsi="仿宋" w:eastAsia="仿宋"/>
          <w:sz w:val="28"/>
          <w:szCs w:val="28"/>
        </w:rPr>
        <w:t>目前我国稀土</w:t>
      </w:r>
      <w:r>
        <w:rPr>
          <w:rFonts w:hint="eastAsia" w:ascii="仿宋" w:hAnsi="仿宋" w:eastAsia="仿宋"/>
          <w:sz w:val="28"/>
          <w:szCs w:val="28"/>
        </w:rPr>
        <w:t>硅铁</w:t>
      </w:r>
      <w:r>
        <w:rPr>
          <w:rFonts w:ascii="仿宋" w:hAnsi="仿宋" w:eastAsia="仿宋"/>
          <w:sz w:val="28"/>
          <w:szCs w:val="28"/>
        </w:rPr>
        <w:t>产品品种齐全、产能充足，年供应量超过</w:t>
      </w:r>
      <w:r>
        <w:rPr>
          <w:rFonts w:hint="eastAsia" w:ascii="仿宋" w:hAnsi="仿宋" w:eastAsia="仿宋"/>
          <w:sz w:val="28"/>
          <w:szCs w:val="28"/>
        </w:rPr>
        <w:t>3</w:t>
      </w:r>
      <w:r>
        <w:rPr>
          <w:rFonts w:ascii="仿宋" w:hAnsi="仿宋" w:eastAsia="仿宋"/>
          <w:sz w:val="28"/>
          <w:szCs w:val="28"/>
        </w:rPr>
        <w:t>万吨</w:t>
      </w:r>
      <w:r>
        <w:rPr>
          <w:rFonts w:hint="eastAsia" w:ascii="仿宋" w:hAnsi="仿宋" w:eastAsia="仿宋"/>
          <w:sz w:val="28"/>
          <w:szCs w:val="28"/>
        </w:rPr>
        <w:t>以上</w:t>
      </w:r>
      <w:r>
        <w:rPr>
          <w:rFonts w:ascii="仿宋" w:hAnsi="仿宋" w:eastAsia="仿宋"/>
          <w:sz w:val="28"/>
          <w:szCs w:val="28"/>
        </w:rPr>
        <w:t>，占世界80%以上</w:t>
      </w:r>
      <w:r>
        <w:rPr>
          <w:rFonts w:hint="eastAsia" w:ascii="仿宋" w:hAnsi="仿宋" w:eastAsia="仿宋"/>
          <w:sz w:val="28"/>
          <w:szCs w:val="28"/>
        </w:rPr>
        <w:t>。</w:t>
      </w:r>
      <w:r>
        <w:rPr>
          <w:rFonts w:ascii="仿宋" w:hAnsi="仿宋" w:eastAsia="仿宋"/>
          <w:sz w:val="28"/>
          <w:szCs w:val="28"/>
        </w:rPr>
        <w:t>2011年，国务院出台《国务院关于促进稀土行业持续健康发展的若干意见（国发〔2011〕12号）》，</w:t>
      </w:r>
      <w:r>
        <w:rPr>
          <w:rFonts w:hint="eastAsia" w:ascii="仿宋" w:hAnsi="仿宋" w:eastAsia="仿宋"/>
          <w:sz w:val="28"/>
          <w:szCs w:val="28"/>
        </w:rPr>
        <w:t>随后</w:t>
      </w:r>
      <w:r>
        <w:rPr>
          <w:rFonts w:ascii="仿宋" w:hAnsi="仿宋" w:eastAsia="仿宋"/>
          <w:sz w:val="28"/>
          <w:szCs w:val="28"/>
        </w:rPr>
        <w:t>国家环保部、发改委、工信部、中国有色金属工业协会等陆续颁布了《稀土工业污染物排放标准》、《稀土金属冶炼行业产排污系数手册》、《稀土冶炼行业污染防治可行技术指南（试行）》、《稀土冶炼行业清洁生产评价指标体系》等文件，对稀土行业进行环保核查和企业准入等行业规范整顿</w:t>
      </w:r>
      <w:r>
        <w:rPr>
          <w:rFonts w:hint="eastAsia" w:ascii="仿宋" w:hAnsi="仿宋" w:eastAsia="仿宋"/>
          <w:sz w:val="28"/>
          <w:szCs w:val="28"/>
        </w:rPr>
        <w:t>。</w:t>
      </w:r>
      <w:r>
        <w:rPr>
          <w:rFonts w:ascii="仿宋" w:hAnsi="仿宋" w:eastAsia="仿宋"/>
          <w:sz w:val="28"/>
          <w:szCs w:val="28"/>
        </w:rPr>
        <w:t>2016年</w:t>
      </w:r>
      <w:r>
        <w:rPr>
          <w:rFonts w:hint="eastAsia" w:ascii="仿宋" w:hAnsi="仿宋" w:eastAsia="仿宋"/>
          <w:sz w:val="28"/>
          <w:szCs w:val="28"/>
        </w:rPr>
        <w:t>，</w:t>
      </w:r>
      <w:r>
        <w:rPr>
          <w:rFonts w:ascii="仿宋" w:hAnsi="仿宋" w:eastAsia="仿宋"/>
          <w:sz w:val="28"/>
          <w:szCs w:val="28"/>
        </w:rPr>
        <w:t>国务院办公厅发布了《国务院办公厅关于建立统一的绿色产品标准、认证、标识体系的意见》（国办发〔2016〕86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p>
    <w:p>
      <w:pPr>
        <w:autoSpaceDE w:val="0"/>
        <w:autoSpaceDN w:val="0"/>
        <w:ind w:firstLine="560"/>
        <w:rPr>
          <w:rFonts w:ascii="仿宋" w:hAnsi="仿宋" w:eastAsia="仿宋"/>
          <w:sz w:val="28"/>
          <w:szCs w:val="28"/>
        </w:rPr>
      </w:pPr>
      <w:r>
        <w:rPr>
          <w:rFonts w:ascii="仿宋" w:hAnsi="仿宋" w:eastAsia="仿宋"/>
          <w:sz w:val="28"/>
          <w:szCs w:val="28"/>
        </w:rPr>
        <w:t>现有稀土</w:t>
      </w:r>
      <w:r>
        <w:rPr>
          <w:rFonts w:hint="eastAsia" w:ascii="仿宋" w:hAnsi="仿宋" w:eastAsia="仿宋"/>
          <w:sz w:val="28"/>
          <w:szCs w:val="28"/>
        </w:rPr>
        <w:t>硅铁合金</w:t>
      </w:r>
      <w:r>
        <w:rPr>
          <w:rFonts w:ascii="仿宋" w:hAnsi="仿宋" w:eastAsia="仿宋"/>
          <w:sz w:val="28"/>
          <w:szCs w:val="28"/>
        </w:rPr>
        <w:t>产品</w:t>
      </w:r>
      <w:r>
        <w:rPr>
          <w:rFonts w:hint="eastAsia" w:ascii="仿宋" w:hAnsi="仿宋" w:eastAsia="仿宋"/>
          <w:sz w:val="28"/>
          <w:szCs w:val="28"/>
        </w:rPr>
        <w:t>相关</w:t>
      </w:r>
      <w:r>
        <w:rPr>
          <w:rFonts w:ascii="仿宋" w:hAnsi="仿宋" w:eastAsia="仿宋"/>
          <w:sz w:val="28"/>
          <w:szCs w:val="28"/>
        </w:rPr>
        <w:t>标准规定了产品要求、试验方法、检验规则和标志、包装、运输、贮存及质量证明书等，但未提及绿色产品生产的评价手段和方法。仅有GB/T 32161-2015《生态设计产品评价通则》提供了绿色产品评价的基本准则和依据，</w:t>
      </w:r>
      <w:r>
        <w:rPr>
          <w:rFonts w:hint="eastAsia" w:ascii="仿宋" w:hAnsi="仿宋" w:eastAsia="仿宋"/>
          <w:sz w:val="28"/>
          <w:szCs w:val="28"/>
        </w:rPr>
        <w:t>还</w:t>
      </w:r>
      <w:r>
        <w:rPr>
          <w:rFonts w:ascii="仿宋" w:hAnsi="仿宋" w:eastAsia="仿宋"/>
          <w:sz w:val="28"/>
          <w:szCs w:val="28"/>
        </w:rPr>
        <w:t>不能满足稀土</w:t>
      </w:r>
      <w:r>
        <w:rPr>
          <w:rFonts w:hint="eastAsia" w:ascii="仿宋" w:hAnsi="仿宋" w:eastAsia="仿宋"/>
          <w:sz w:val="28"/>
          <w:szCs w:val="28"/>
        </w:rPr>
        <w:t>硅铁合金</w:t>
      </w:r>
      <w:r>
        <w:rPr>
          <w:rFonts w:ascii="仿宋" w:hAnsi="仿宋" w:eastAsia="仿宋"/>
          <w:sz w:val="28"/>
          <w:szCs w:val="28"/>
        </w:rPr>
        <w:t>产品绿色制造体系建设需求。</w:t>
      </w:r>
    </w:p>
    <w:p>
      <w:pPr>
        <w:autoSpaceDE w:val="0"/>
        <w:autoSpaceDN w:val="0"/>
        <w:ind w:firstLine="560"/>
        <w:rPr>
          <w:rFonts w:ascii="仿宋" w:hAnsi="仿宋" w:eastAsia="仿宋"/>
          <w:sz w:val="28"/>
          <w:szCs w:val="28"/>
        </w:rPr>
      </w:pPr>
      <w:r>
        <w:rPr>
          <w:rFonts w:ascii="仿宋" w:hAnsi="仿宋" w:eastAsia="仿宋"/>
          <w:sz w:val="28"/>
          <w:szCs w:val="28"/>
        </w:rPr>
        <w:t>本项目提出绿色设计产品评价技术规范稀土</w:t>
      </w:r>
      <w:r>
        <w:rPr>
          <w:rFonts w:hint="eastAsia" w:ascii="仿宋" w:hAnsi="仿宋" w:eastAsia="仿宋"/>
          <w:sz w:val="28"/>
          <w:szCs w:val="28"/>
        </w:rPr>
        <w:t>硅铁合金</w:t>
      </w:r>
      <w:r>
        <w:rPr>
          <w:rFonts w:ascii="仿宋" w:hAnsi="仿宋" w:eastAsia="仿宋"/>
          <w:sz w:val="28"/>
          <w:szCs w:val="28"/>
        </w:rPr>
        <w:t>，建立系统科学、开放融合、指标先进、权威统一的绿色产品标准、认证、标识体系，符合绿色制造标准体系</w:t>
      </w:r>
      <w:r>
        <w:rPr>
          <w:rFonts w:hint="eastAsia" w:ascii="仿宋" w:hAnsi="仿宋" w:eastAsia="仿宋"/>
          <w:sz w:val="28"/>
          <w:szCs w:val="28"/>
        </w:rPr>
        <w:t>，</w:t>
      </w:r>
      <w:r>
        <w:rPr>
          <w:rFonts w:ascii="仿宋" w:hAnsi="仿宋" w:eastAsia="仿宋"/>
          <w:sz w:val="28"/>
          <w:szCs w:val="28"/>
        </w:rPr>
        <w:t>对推动我国稀土</w:t>
      </w:r>
      <w:r>
        <w:rPr>
          <w:rFonts w:hint="eastAsia" w:ascii="仿宋" w:hAnsi="仿宋" w:eastAsia="仿宋"/>
          <w:sz w:val="28"/>
          <w:szCs w:val="28"/>
        </w:rPr>
        <w:t>硅铁合金</w:t>
      </w:r>
      <w:r>
        <w:rPr>
          <w:rFonts w:ascii="仿宋" w:hAnsi="仿宋" w:eastAsia="仿宋"/>
          <w:sz w:val="28"/>
          <w:szCs w:val="28"/>
        </w:rPr>
        <w:t>冶</w:t>
      </w:r>
      <w:r>
        <w:rPr>
          <w:rFonts w:hint="eastAsia" w:ascii="仿宋" w:hAnsi="仿宋" w:eastAsia="仿宋"/>
          <w:sz w:val="28"/>
          <w:szCs w:val="28"/>
        </w:rPr>
        <w:t>炼</w:t>
      </w:r>
      <w:r>
        <w:rPr>
          <w:rFonts w:ascii="仿宋" w:hAnsi="仿宋" w:eastAsia="仿宋"/>
          <w:sz w:val="28"/>
          <w:szCs w:val="28"/>
        </w:rPr>
        <w:t>绿色技术</w:t>
      </w:r>
      <w:r>
        <w:rPr>
          <w:rFonts w:hint="eastAsia" w:ascii="仿宋" w:hAnsi="仿宋" w:eastAsia="仿宋"/>
          <w:sz w:val="28"/>
          <w:szCs w:val="28"/>
        </w:rPr>
        <w:t>推广应用、</w:t>
      </w:r>
      <w:r>
        <w:rPr>
          <w:rFonts w:ascii="仿宋" w:hAnsi="仿宋" w:eastAsia="仿宋"/>
          <w:sz w:val="28"/>
          <w:szCs w:val="28"/>
        </w:rPr>
        <w:t>加速我国稀土产业持续健康发展具有重要作用。</w:t>
      </w:r>
      <w:r>
        <w:rPr>
          <w:rFonts w:hint="eastAsia" w:ascii="仿宋" w:hAnsi="仿宋" w:eastAsia="仿宋"/>
          <w:sz w:val="28"/>
          <w:szCs w:val="28"/>
        </w:rPr>
        <w:t>该</w:t>
      </w:r>
      <w:r>
        <w:rPr>
          <w:rFonts w:ascii="仿宋" w:hAnsi="仿宋" w:eastAsia="仿宋"/>
          <w:sz w:val="28"/>
          <w:szCs w:val="28"/>
        </w:rPr>
        <w:t>标准实施</w:t>
      </w:r>
      <w:r>
        <w:rPr>
          <w:rFonts w:hint="eastAsia" w:ascii="仿宋" w:hAnsi="仿宋" w:eastAsia="仿宋"/>
          <w:sz w:val="28"/>
          <w:szCs w:val="28"/>
        </w:rPr>
        <w:t>后</w:t>
      </w:r>
      <w:r>
        <w:rPr>
          <w:rFonts w:ascii="仿宋" w:hAnsi="仿宋" w:eastAsia="仿宋"/>
          <w:sz w:val="28"/>
          <w:szCs w:val="28"/>
        </w:rPr>
        <w:t>，</w:t>
      </w:r>
      <w:r>
        <w:rPr>
          <w:rFonts w:hint="eastAsia" w:ascii="仿宋" w:hAnsi="仿宋" w:eastAsia="仿宋"/>
          <w:sz w:val="28"/>
          <w:szCs w:val="28"/>
        </w:rPr>
        <w:t>硅热法制备产品年度电耗总量将由5000万度降至3800万度，水耗由9万吨降至7万吨；碳热法制备产品年度电耗总量将由15000万度降至14000万度，水耗由6.5万吨降至5.2万吨；年度总节约电量2200万度，节约水量3.3万吨，按照平均工业电价0.64元/度、水价5元/吨计算，共节省1424.5万元</w:t>
      </w:r>
      <w:r>
        <w:rPr>
          <w:rFonts w:ascii="仿宋" w:hAnsi="仿宋" w:eastAsia="仿宋"/>
          <w:sz w:val="28"/>
          <w:szCs w:val="28"/>
        </w:rPr>
        <w:t>。</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1.2任务来源</w:t>
      </w:r>
    </w:p>
    <w:p>
      <w:pPr>
        <w:autoSpaceDE w:val="0"/>
        <w:autoSpaceDN w:val="0"/>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 “工业和信息化部办公厅关于印发2021年第一批行业标准制修订和外文版项目计划的通知（工信厅科函（2021）25号）”，全国稀土标准化技术委员会下发的关于召开稀土标准论证会暨2021年第一次稀土标准工作会议的通知”（稀土标委〔</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21〕7号），行业标准制修订计划正式下达，项目编号为2021-0053T-XB，完成年限为</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22年。任务承担单位：包头稀土研究院</w:t>
      </w:r>
      <w:r>
        <w:rPr>
          <w:rFonts w:hint="eastAsia"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14:textFill>
            <w14:solidFill>
              <w14:schemeClr w14:val="tx1"/>
            </w14:solidFill>
          </w14:textFill>
        </w:rPr>
        <w:t>宁夏丰华实业有限公司、包头市中鑫安泰磁业有限公司、国家钨与稀土产品质量监督检验中心、中国北方稀土(集团)高科技股份有限公司、赣州有色冶金研究所有限公司</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包头市固阳双亿化工有限责任公司。</w:t>
      </w:r>
    </w:p>
    <w:p>
      <w:pPr>
        <w:autoSpaceDE w:val="0"/>
        <w:autoSpaceDN w:val="0"/>
        <w:rPr>
          <w:rFonts w:ascii="仿宋" w:hAnsi="仿宋" w:eastAsia="仿宋"/>
          <w:b/>
          <w:sz w:val="28"/>
          <w:szCs w:val="28"/>
        </w:rPr>
      </w:pPr>
      <w:r>
        <w:rPr>
          <w:rFonts w:hint="eastAsia" w:ascii="仿宋" w:hAnsi="仿宋" w:eastAsia="仿宋"/>
          <w:b/>
          <w:sz w:val="28"/>
          <w:szCs w:val="28"/>
        </w:rPr>
        <w:t>1.3项目编制组单位简况</w:t>
      </w:r>
    </w:p>
    <w:p>
      <w:pPr>
        <w:pStyle w:val="4"/>
        <w:spacing w:before="156" w:after="156"/>
        <w:ind w:left="0"/>
        <w:rPr>
          <w:sz w:val="28"/>
          <w:szCs w:val="28"/>
        </w:rPr>
      </w:pPr>
      <w:bookmarkStart w:id="0" w:name="_Toc497309498"/>
      <w:bookmarkStart w:id="1" w:name="_Toc458287585"/>
      <w:bookmarkStart w:id="2" w:name="_Toc511234381"/>
      <w:bookmarkStart w:id="3" w:name="_Toc34117693"/>
      <w:bookmarkStart w:id="4" w:name="_Toc508985098"/>
      <w:r>
        <w:rPr>
          <w:sz w:val="28"/>
          <w:szCs w:val="28"/>
        </w:rPr>
        <w:t>1.3.1编制组成员单位</w:t>
      </w:r>
      <w:bookmarkEnd w:id="0"/>
      <w:bookmarkEnd w:id="1"/>
      <w:bookmarkEnd w:id="2"/>
      <w:bookmarkEnd w:id="3"/>
      <w:bookmarkEnd w:id="4"/>
    </w:p>
    <w:p>
      <w:pPr>
        <w:autoSpaceDE w:val="0"/>
        <w:autoSpaceDN w:val="0"/>
        <w:ind w:firstLine="560"/>
        <w:rPr>
          <w:rFonts w:ascii="仿宋" w:hAnsi="仿宋" w:eastAsia="仿宋"/>
          <w:color w:val="000000"/>
          <w:sz w:val="28"/>
          <w:szCs w:val="28"/>
        </w:rPr>
      </w:pPr>
      <w:r>
        <w:rPr>
          <w:rFonts w:hint="eastAsia" w:ascii="仿宋" w:hAnsi="仿宋" w:eastAsia="仿宋"/>
          <w:color w:val="000000"/>
          <w:sz w:val="28"/>
          <w:szCs w:val="28"/>
        </w:rPr>
        <w:t>本项目由包头稀土研究院、宁夏丰华实业有限公司、包头市中鑫安泰磁业有限公司、国家钨与稀土产品质量监督检测中心、赣州有色冶金研究所、中国北方稀土（集团）高技术股份有限公司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rPr>
        <w:t>包头市固</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阳县双亿化工有限责任公司</w:t>
      </w:r>
      <w:r>
        <w:rPr>
          <w:rFonts w:hint="eastAsia" w:ascii="仿宋" w:hAnsi="仿宋" w:eastAsia="仿宋"/>
          <w:color w:val="000000"/>
          <w:sz w:val="28"/>
          <w:szCs w:val="28"/>
        </w:rPr>
        <w:t>等单位共同起草，这些编制组成员单位均是我国《绿色设计产品评价技术规范稀土硅铁合金产品》的主要生产、科研、产品检测或使用单位。</w:t>
      </w:r>
    </w:p>
    <w:p>
      <w:pPr>
        <w:pStyle w:val="4"/>
        <w:spacing w:before="156" w:after="156"/>
        <w:ind w:left="0"/>
        <w:rPr>
          <w:sz w:val="28"/>
          <w:szCs w:val="28"/>
        </w:rPr>
      </w:pPr>
      <w:bookmarkStart w:id="5" w:name="_Toc34117694"/>
      <w:bookmarkStart w:id="6" w:name="_Toc497309499"/>
      <w:bookmarkStart w:id="7" w:name="_Toc508985099"/>
      <w:bookmarkStart w:id="8" w:name="_Toc511234382"/>
      <w:bookmarkStart w:id="9" w:name="_Toc458287586"/>
      <w:r>
        <w:rPr>
          <w:sz w:val="28"/>
          <w:szCs w:val="28"/>
        </w:rPr>
        <w:t>1.3.2 主编单位简介</w:t>
      </w:r>
      <w:bookmarkEnd w:id="5"/>
      <w:bookmarkEnd w:id="6"/>
      <w:bookmarkEnd w:id="7"/>
      <w:bookmarkEnd w:id="8"/>
      <w:bookmarkEnd w:id="9"/>
    </w:p>
    <w:p>
      <w:pPr>
        <w:autoSpaceDE w:val="0"/>
        <w:autoSpaceDN w:val="0"/>
        <w:ind w:firstLine="560" w:firstLineChars="200"/>
        <w:rPr>
          <w:rFonts w:ascii="仿宋" w:hAnsi="仿宋" w:eastAsia="仿宋"/>
          <w:color w:val="000000"/>
          <w:sz w:val="28"/>
          <w:szCs w:val="28"/>
        </w:rPr>
      </w:pPr>
      <w:r>
        <w:rPr>
          <w:rFonts w:hint="eastAsia" w:ascii="仿宋" w:hAnsi="仿宋" w:eastAsia="仿宋"/>
          <w:sz w:val="28"/>
          <w:szCs w:val="28"/>
        </w:rPr>
        <w:t>包头稀土研究院于</w:t>
      </w:r>
      <w:r>
        <w:rPr>
          <w:rFonts w:ascii="仿宋" w:hAnsi="仿宋" w:eastAsia="仿宋"/>
          <w:color w:val="000000"/>
          <w:sz w:val="28"/>
          <w:szCs w:val="28"/>
        </w:rPr>
        <w:t>1960</w:t>
      </w:r>
      <w:r>
        <w:rPr>
          <w:rFonts w:hint="eastAsia" w:ascii="仿宋" w:hAnsi="仿宋" w:eastAsia="仿宋"/>
          <w:color w:val="000000"/>
          <w:sz w:val="28"/>
          <w:szCs w:val="28"/>
        </w:rPr>
        <w:t>年按照聂荣臻副总理指示筹建，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金属材料研究所、湿法冶金研究所、稀土功能材料研究所、资源与环境研究所</w:t>
      </w:r>
      <w:r>
        <w:rPr>
          <w:rFonts w:ascii="仿宋" w:hAnsi="仿宋" w:eastAsia="仿宋"/>
          <w:color w:val="000000"/>
          <w:sz w:val="28"/>
          <w:szCs w:val="28"/>
        </w:rPr>
        <w:t>4</w:t>
      </w:r>
      <w:r>
        <w:rPr>
          <w:rFonts w:hint="eastAsia" w:ascii="仿宋" w:hAnsi="仿宋" w:eastAsia="仿宋"/>
          <w:color w:val="000000"/>
          <w:sz w:val="28"/>
          <w:szCs w:val="28"/>
        </w:rPr>
        <w:t>个专业研究所和国内最大的稀土新材料中试基地。全院形成规范的母子公司体系，拥有以科技开发和行业服务及生产经营为主的全资、控股、参股公司</w:t>
      </w:r>
      <w:r>
        <w:rPr>
          <w:rFonts w:ascii="仿宋" w:hAnsi="仿宋" w:eastAsia="仿宋"/>
          <w:color w:val="000000"/>
          <w:sz w:val="28"/>
          <w:szCs w:val="28"/>
        </w:rPr>
        <w:t>13</w:t>
      </w:r>
      <w:r>
        <w:rPr>
          <w:rFonts w:hint="eastAsia" w:ascii="仿宋" w:hAnsi="仿宋" w:eastAsia="仿宋"/>
          <w:color w:val="000000"/>
          <w:sz w:val="28"/>
          <w:szCs w:val="28"/>
        </w:rPr>
        <w:t>家。研究院建有国家级的</w:t>
      </w:r>
      <w:r>
        <w:rPr>
          <w:rFonts w:ascii="仿宋" w:hAnsi="仿宋" w:eastAsia="仿宋"/>
          <w:color w:val="000000"/>
          <w:sz w:val="28"/>
          <w:szCs w:val="28"/>
        </w:rPr>
        <w:t>“</w:t>
      </w:r>
      <w:r>
        <w:rPr>
          <w:rFonts w:hint="eastAsia" w:ascii="仿宋" w:hAnsi="仿宋" w:eastAsia="仿宋"/>
          <w:color w:val="000000"/>
          <w:sz w:val="28"/>
          <w:szCs w:val="28"/>
        </w:rPr>
        <w:t>白云鄂博稀土资源研究与综合利用国家重点实验室</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稀土冶金及功能材料国家工程研究中心</w:t>
      </w:r>
      <w:r>
        <w:rPr>
          <w:rFonts w:ascii="仿宋" w:hAnsi="仿宋" w:eastAsia="仿宋"/>
          <w:color w:val="000000"/>
          <w:sz w:val="28"/>
          <w:szCs w:val="28"/>
        </w:rPr>
        <w:t>”</w:t>
      </w:r>
      <w:r>
        <w:rPr>
          <w:rFonts w:hint="eastAsia" w:ascii="仿宋" w:hAnsi="仿宋" w:eastAsia="仿宋"/>
          <w:color w:val="000000"/>
          <w:sz w:val="28"/>
          <w:szCs w:val="28"/>
        </w:rPr>
        <w:t>和</w:t>
      </w:r>
      <w:r>
        <w:rPr>
          <w:rFonts w:ascii="仿宋" w:hAnsi="仿宋" w:eastAsia="仿宋"/>
          <w:color w:val="000000"/>
          <w:sz w:val="28"/>
          <w:szCs w:val="28"/>
        </w:rPr>
        <w:t>“</w:t>
      </w:r>
      <w:r>
        <w:rPr>
          <w:rFonts w:hint="eastAsia" w:ascii="仿宋" w:hAnsi="仿宋" w:eastAsia="仿宋"/>
          <w:color w:val="000000"/>
          <w:sz w:val="28"/>
          <w:szCs w:val="28"/>
        </w:rPr>
        <w:t>北方稀土行业生产力促进中心</w:t>
      </w:r>
      <w:r>
        <w:rPr>
          <w:rFonts w:ascii="仿宋" w:hAnsi="仿宋" w:eastAsia="仿宋"/>
          <w:color w:val="000000"/>
          <w:sz w:val="28"/>
          <w:szCs w:val="28"/>
        </w:rPr>
        <w:t>”</w:t>
      </w:r>
      <w:r>
        <w:rPr>
          <w:rFonts w:hint="eastAsia" w:ascii="仿宋" w:hAnsi="仿宋" w:eastAsia="仿宋"/>
          <w:color w:val="000000"/>
          <w:sz w:val="28"/>
          <w:szCs w:val="28"/>
        </w:rPr>
        <w:t>等多个研究平台；建有内蒙古自治区和包头市两级</w:t>
      </w:r>
      <w:r>
        <w:rPr>
          <w:rFonts w:ascii="仿宋" w:hAnsi="仿宋" w:eastAsia="仿宋"/>
          <w:color w:val="000000"/>
          <w:sz w:val="28"/>
          <w:szCs w:val="28"/>
        </w:rPr>
        <w:t>“</w:t>
      </w:r>
      <w:r>
        <w:rPr>
          <w:rFonts w:hint="eastAsia" w:ascii="仿宋" w:hAnsi="仿宋" w:eastAsia="仿宋"/>
          <w:color w:val="000000"/>
          <w:sz w:val="28"/>
          <w:szCs w:val="28"/>
        </w:rPr>
        <w:t>稀土新材料院士工作站</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w:t>
      </w:r>
      <w:r>
        <w:rPr>
          <w:rFonts w:hint="eastAsia" w:ascii="仿宋" w:hAnsi="仿宋" w:eastAsia="仿宋"/>
          <w:color w:val="000000"/>
          <w:sz w:val="28"/>
          <w:szCs w:val="28"/>
        </w:rPr>
        <w:t>稀土永磁材料院士工作站</w:t>
      </w:r>
      <w:r>
        <w:rPr>
          <w:rFonts w:ascii="仿宋" w:hAnsi="仿宋" w:eastAsia="仿宋"/>
          <w:color w:val="000000"/>
          <w:sz w:val="28"/>
          <w:szCs w:val="28"/>
        </w:rPr>
        <w:t>”</w:t>
      </w:r>
      <w:r>
        <w:rPr>
          <w:rFonts w:hint="eastAsia" w:ascii="仿宋" w:hAnsi="仿宋" w:eastAsia="仿宋"/>
          <w:color w:val="000000"/>
          <w:sz w:val="28"/>
          <w:szCs w:val="28"/>
        </w:rPr>
        <w:t>；在天津设立分院</w:t>
      </w:r>
      <w:r>
        <w:rPr>
          <w:rFonts w:ascii="仿宋" w:hAnsi="仿宋" w:eastAsia="仿宋"/>
          <w:color w:val="000000"/>
          <w:sz w:val="28"/>
          <w:szCs w:val="28"/>
        </w:rPr>
        <w:t>“</w:t>
      </w:r>
      <w:r>
        <w:rPr>
          <w:rFonts w:hint="eastAsia" w:ascii="仿宋" w:hAnsi="仿宋" w:eastAsia="仿宋"/>
          <w:color w:val="000000"/>
          <w:sz w:val="28"/>
          <w:szCs w:val="28"/>
        </w:rPr>
        <w:t>天津包钢稀土研究院有限责任公司</w:t>
      </w:r>
      <w:r>
        <w:rPr>
          <w:rFonts w:ascii="仿宋" w:hAnsi="仿宋" w:eastAsia="仿宋"/>
          <w:color w:val="000000"/>
          <w:sz w:val="28"/>
          <w:szCs w:val="28"/>
        </w:rPr>
        <w:t>”</w:t>
      </w:r>
      <w:r>
        <w:rPr>
          <w:rFonts w:hint="eastAsia" w:ascii="仿宋" w:hAnsi="仿宋" w:eastAsia="仿宋"/>
          <w:color w:val="000000"/>
          <w:sz w:val="28"/>
          <w:szCs w:val="28"/>
        </w:rPr>
        <w:t>。本院建有</w:t>
      </w:r>
      <w:r>
        <w:rPr>
          <w:rFonts w:ascii="仿宋" w:hAnsi="仿宋" w:eastAsia="仿宋"/>
          <w:color w:val="000000"/>
          <w:sz w:val="28"/>
          <w:szCs w:val="28"/>
        </w:rPr>
        <w:t>“</w:t>
      </w:r>
      <w:r>
        <w:rPr>
          <w:rFonts w:hint="eastAsia" w:ascii="仿宋" w:hAnsi="仿宋" w:eastAsia="仿宋"/>
          <w:color w:val="000000"/>
          <w:sz w:val="28"/>
          <w:szCs w:val="28"/>
        </w:rPr>
        <w:t>世界稀土专利检索系统</w:t>
      </w:r>
      <w:r>
        <w:rPr>
          <w:rFonts w:ascii="仿宋" w:hAnsi="仿宋" w:eastAsia="仿宋"/>
          <w:color w:val="000000"/>
          <w:sz w:val="28"/>
          <w:szCs w:val="28"/>
        </w:rPr>
        <w:t>”</w:t>
      </w:r>
      <w:r>
        <w:rPr>
          <w:rFonts w:hint="eastAsia" w:ascii="仿宋" w:hAnsi="仿宋" w:eastAsia="仿宋"/>
          <w:color w:val="000000"/>
          <w:sz w:val="28"/>
          <w:szCs w:val="28"/>
        </w:rPr>
        <w:t>；承办的</w:t>
      </w:r>
      <w:r>
        <w:rPr>
          <w:rFonts w:ascii="仿宋" w:hAnsi="仿宋" w:eastAsia="仿宋"/>
          <w:color w:val="000000"/>
          <w:sz w:val="28"/>
          <w:szCs w:val="28"/>
        </w:rPr>
        <w:t>“</w:t>
      </w:r>
      <w:r>
        <w:rPr>
          <w:rFonts w:hint="eastAsia" w:ascii="仿宋" w:hAnsi="仿宋" w:eastAsia="仿宋"/>
          <w:color w:val="000000"/>
          <w:sz w:val="28"/>
          <w:szCs w:val="28"/>
        </w:rPr>
        <w:t>中国稀土网</w:t>
      </w:r>
      <w:r>
        <w:rPr>
          <w:rFonts w:ascii="仿宋" w:hAnsi="仿宋" w:eastAsia="仿宋"/>
          <w:color w:val="000000"/>
          <w:sz w:val="28"/>
          <w:szCs w:val="28"/>
        </w:rPr>
        <w:t>”</w:t>
      </w:r>
      <w:r>
        <w:rPr>
          <w:rFonts w:hint="eastAsia" w:ascii="仿宋" w:hAnsi="仿宋" w:eastAsia="仿宋"/>
          <w:color w:val="000000"/>
          <w:sz w:val="28"/>
          <w:szCs w:val="28"/>
        </w:rPr>
        <w:t>是稀土行业门户网站；负责《稀土》、英文版《</w:t>
      </w:r>
      <w:r>
        <w:rPr>
          <w:rFonts w:ascii="仿宋" w:hAnsi="仿宋" w:eastAsia="仿宋"/>
          <w:color w:val="000000"/>
          <w:sz w:val="28"/>
          <w:szCs w:val="28"/>
        </w:rPr>
        <w:t xml:space="preserve"> China Rare Earth Information </w:t>
      </w:r>
      <w:r>
        <w:rPr>
          <w:rFonts w:hint="eastAsia" w:ascii="仿宋" w:hAnsi="仿宋" w:eastAsia="仿宋"/>
          <w:color w:val="000000"/>
          <w:sz w:val="28"/>
          <w:szCs w:val="28"/>
        </w:rPr>
        <w:t>》、《稀土信息》等杂志的出版发行。依托本院建有国家级的</w:t>
      </w:r>
      <w:r>
        <w:rPr>
          <w:rFonts w:ascii="仿宋" w:hAnsi="仿宋" w:eastAsia="仿宋"/>
          <w:color w:val="000000"/>
          <w:sz w:val="28"/>
          <w:szCs w:val="28"/>
        </w:rPr>
        <w:t>“</w:t>
      </w:r>
      <w:r>
        <w:rPr>
          <w:rFonts w:hint="eastAsia" w:ascii="仿宋" w:hAnsi="仿宋" w:eastAsia="仿宋"/>
          <w:color w:val="000000"/>
          <w:sz w:val="28"/>
          <w:szCs w:val="28"/>
        </w:rPr>
        <w:t>国家稀土产品质量监督检验中心</w:t>
      </w:r>
      <w:r>
        <w:rPr>
          <w:rFonts w:ascii="仿宋" w:hAnsi="仿宋" w:eastAsia="仿宋"/>
          <w:color w:val="000000"/>
          <w:sz w:val="28"/>
          <w:szCs w:val="28"/>
        </w:rPr>
        <w:t>”</w:t>
      </w:r>
      <w:r>
        <w:rPr>
          <w:rFonts w:hint="eastAsia" w:ascii="仿宋" w:hAnsi="仿宋" w:eastAsia="仿宋"/>
          <w:color w:val="000000"/>
          <w:sz w:val="28"/>
          <w:szCs w:val="28"/>
        </w:rPr>
        <w:t>，并拥有</w:t>
      </w:r>
      <w:r>
        <w:rPr>
          <w:rFonts w:ascii="仿宋" w:hAnsi="仿宋" w:eastAsia="仿宋"/>
          <w:color w:val="000000"/>
          <w:sz w:val="28"/>
          <w:szCs w:val="28"/>
        </w:rPr>
        <w:t>“</w:t>
      </w:r>
      <w:r>
        <w:rPr>
          <w:rFonts w:hint="eastAsia" w:ascii="仿宋" w:hAnsi="仿宋" w:eastAsia="仿宋"/>
          <w:color w:val="000000"/>
          <w:sz w:val="28"/>
          <w:szCs w:val="28"/>
        </w:rPr>
        <w:t>全国分析检测人员能力培训中心</w:t>
      </w:r>
      <w:r>
        <w:rPr>
          <w:rFonts w:ascii="仿宋" w:hAnsi="仿宋" w:eastAsia="仿宋"/>
          <w:color w:val="000000"/>
          <w:sz w:val="28"/>
          <w:szCs w:val="28"/>
        </w:rPr>
        <w:t>”</w:t>
      </w:r>
      <w:r>
        <w:rPr>
          <w:rFonts w:hint="eastAsia" w:ascii="仿宋" w:hAnsi="仿宋" w:eastAsia="仿宋"/>
          <w:color w:val="000000"/>
          <w:sz w:val="28"/>
          <w:szCs w:val="28"/>
        </w:rPr>
        <w:t>的资质。</w:t>
      </w:r>
      <w:r>
        <w:rPr>
          <w:rFonts w:ascii="仿宋" w:hAnsi="仿宋" w:eastAsia="仿宋"/>
          <w:color w:val="000000"/>
          <w:sz w:val="28"/>
          <w:szCs w:val="28"/>
        </w:rPr>
        <w:t xml:space="preserve"> </w:t>
      </w:r>
      <w:r>
        <w:rPr>
          <w:rFonts w:hint="eastAsia" w:ascii="仿宋" w:hAnsi="仿宋" w:eastAsia="仿宋"/>
          <w:color w:val="000000"/>
          <w:sz w:val="28"/>
          <w:szCs w:val="28"/>
        </w:rPr>
        <w:t>研究院现有在册职工</w:t>
      </w:r>
      <w:r>
        <w:rPr>
          <w:rFonts w:ascii="仿宋" w:hAnsi="仿宋" w:eastAsia="仿宋"/>
          <w:color w:val="000000"/>
          <w:sz w:val="28"/>
          <w:szCs w:val="28"/>
        </w:rPr>
        <w:t>700</w:t>
      </w:r>
      <w:r>
        <w:rPr>
          <w:rFonts w:hint="eastAsia" w:ascii="仿宋" w:hAnsi="仿宋" w:eastAsia="仿宋"/>
          <w:color w:val="000000"/>
          <w:sz w:val="28"/>
          <w:szCs w:val="28"/>
        </w:rPr>
        <w:t>余人，工程技术人员占总人数的一半以上，有多位国家级和自治区级有突出贡献的技术专家，形成了一支行业一流的高水平研发队伍。建院</w:t>
      </w:r>
      <w:r>
        <w:rPr>
          <w:rFonts w:ascii="仿宋" w:hAnsi="仿宋" w:eastAsia="仿宋"/>
          <w:color w:val="000000"/>
          <w:sz w:val="28"/>
          <w:szCs w:val="28"/>
        </w:rPr>
        <w:t>50</w:t>
      </w:r>
      <w:r>
        <w:rPr>
          <w:rFonts w:hint="eastAsia" w:ascii="仿宋" w:hAnsi="仿宋" w:eastAsia="仿宋"/>
          <w:color w:val="000000"/>
          <w:sz w:val="28"/>
          <w:szCs w:val="28"/>
        </w:rPr>
        <w:t>多年来，共承担</w:t>
      </w:r>
      <w:r>
        <w:rPr>
          <w:rFonts w:ascii="仿宋" w:hAnsi="仿宋" w:eastAsia="仿宋"/>
          <w:color w:val="000000"/>
          <w:sz w:val="28"/>
          <w:szCs w:val="28"/>
        </w:rPr>
        <w:t>“863</w:t>
      </w:r>
      <w:r>
        <w:rPr>
          <w:rFonts w:hint="eastAsia" w:ascii="仿宋" w:hAnsi="仿宋" w:eastAsia="仿宋"/>
          <w:color w:val="000000"/>
          <w:sz w:val="28"/>
          <w:szCs w:val="28"/>
        </w:rPr>
        <w:t>计划</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sz w:val="28"/>
          <w:szCs w:val="28"/>
        </w:rPr>
        <w:t>“973</w:t>
      </w:r>
      <w:r>
        <w:rPr>
          <w:rFonts w:hint="eastAsia" w:ascii="仿宋" w:hAnsi="仿宋" w:eastAsia="仿宋"/>
          <w:color w:val="000000"/>
          <w:sz w:val="28"/>
          <w:szCs w:val="28"/>
        </w:rPr>
        <w:t>计划</w:t>
      </w:r>
      <w:r>
        <w:rPr>
          <w:rFonts w:ascii="仿宋" w:hAnsi="仿宋" w:eastAsia="仿宋"/>
          <w:color w:val="000000"/>
          <w:sz w:val="28"/>
          <w:szCs w:val="28"/>
        </w:rPr>
        <w:t>”</w:t>
      </w:r>
      <w:r>
        <w:rPr>
          <w:rFonts w:hint="eastAsia" w:ascii="仿宋" w:hAnsi="仿宋" w:eastAsia="仿宋"/>
          <w:color w:val="000000"/>
          <w:sz w:val="28"/>
          <w:szCs w:val="28"/>
        </w:rPr>
        <w:t>等国家级科技项目、省部、地市级研发项目和为企业服务的各类项目</w:t>
      </w:r>
      <w:r>
        <w:rPr>
          <w:rFonts w:ascii="仿宋" w:hAnsi="仿宋" w:eastAsia="仿宋"/>
          <w:color w:val="000000"/>
          <w:sz w:val="28"/>
          <w:szCs w:val="28"/>
        </w:rPr>
        <w:t>1900</w:t>
      </w:r>
      <w:r>
        <w:rPr>
          <w:rFonts w:hint="eastAsia" w:ascii="仿宋" w:hAnsi="仿宋" w:eastAsia="仿宋"/>
          <w:color w:val="000000"/>
          <w:sz w:val="28"/>
          <w:szCs w:val="28"/>
        </w:rPr>
        <w:t>多项，取得各类科研成果</w:t>
      </w:r>
      <w:r>
        <w:rPr>
          <w:rFonts w:ascii="仿宋" w:hAnsi="仿宋" w:eastAsia="仿宋"/>
          <w:color w:val="000000"/>
          <w:sz w:val="28"/>
          <w:szCs w:val="28"/>
        </w:rPr>
        <w:t>850</w:t>
      </w:r>
      <w:r>
        <w:rPr>
          <w:rFonts w:hint="eastAsia" w:ascii="仿宋" w:hAnsi="仿宋" w:eastAsia="仿宋"/>
          <w:color w:val="000000"/>
          <w:sz w:val="28"/>
          <w:szCs w:val="28"/>
        </w:rPr>
        <w:t>多项，获得国家发明奖和省部级以上各类科技成果奖</w:t>
      </w:r>
      <w:r>
        <w:rPr>
          <w:rFonts w:ascii="仿宋" w:hAnsi="仿宋" w:eastAsia="仿宋"/>
          <w:color w:val="000000"/>
          <w:sz w:val="28"/>
          <w:szCs w:val="28"/>
        </w:rPr>
        <w:t>240</w:t>
      </w:r>
      <w:r>
        <w:rPr>
          <w:rFonts w:hint="eastAsia" w:ascii="仿宋" w:hAnsi="仿宋" w:eastAsia="仿宋"/>
          <w:color w:val="000000"/>
          <w:sz w:val="28"/>
          <w:szCs w:val="28"/>
        </w:rPr>
        <w:t>多项，获得国家授权专利</w:t>
      </w:r>
      <w:r>
        <w:rPr>
          <w:rFonts w:ascii="仿宋" w:hAnsi="仿宋" w:eastAsia="仿宋"/>
          <w:color w:val="000000"/>
          <w:sz w:val="28"/>
          <w:szCs w:val="28"/>
        </w:rPr>
        <w:t>100</w:t>
      </w:r>
      <w:r>
        <w:rPr>
          <w:rFonts w:hint="eastAsia" w:ascii="仿宋" w:hAnsi="仿宋" w:eastAsia="仿宋"/>
          <w:color w:val="000000"/>
          <w:sz w:val="28"/>
          <w:szCs w:val="28"/>
        </w:rPr>
        <w:t>多项。研究院通过了质量体系认证、环境与职业健康安全管理体系认证，为诸多国家重点工程，研制生产了大量的关键材料和器件，为我国稀土产业的发展和现代化建设做出了重大贡献。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一直以来，我院对稀土原料制备稀土硅铁合金相关技术进行了大量研究，经验丰富，多次积极参与标准的制修订工作，这些为本项目的实施提供了技术支持和人员保障。</w:t>
      </w:r>
    </w:p>
    <w:p>
      <w:pPr>
        <w:pStyle w:val="4"/>
        <w:spacing w:before="156" w:after="156"/>
        <w:ind w:left="0"/>
        <w:rPr>
          <w:sz w:val="28"/>
          <w:szCs w:val="28"/>
        </w:rPr>
      </w:pPr>
      <w:bookmarkStart w:id="10" w:name="_Toc511234383"/>
      <w:bookmarkStart w:id="11" w:name="_Toc34117695"/>
      <w:r>
        <w:rPr>
          <w:sz w:val="28"/>
          <w:szCs w:val="28"/>
        </w:rPr>
        <w:t xml:space="preserve">1.3.3 </w:t>
      </w:r>
      <w:r>
        <w:rPr>
          <w:rFonts w:hint="eastAsia"/>
          <w:sz w:val="28"/>
          <w:szCs w:val="28"/>
        </w:rPr>
        <w:t>参与单位简介</w:t>
      </w:r>
      <w:bookmarkEnd w:id="10"/>
      <w:bookmarkEnd w:id="11"/>
    </w:p>
    <w:p>
      <w:pPr>
        <w:ind w:firstLine="560" w:firstLineChars="200"/>
        <w:rPr>
          <w:rFonts w:ascii="黑体" w:hAnsi="黑体" w:eastAsia="黑体"/>
          <w:color w:val="000000"/>
          <w:sz w:val="28"/>
          <w:szCs w:val="28"/>
        </w:rPr>
      </w:pPr>
      <w:r>
        <w:rPr>
          <w:rFonts w:hint="eastAsia" w:ascii="黑体" w:hAnsi="黑体" w:eastAsia="黑体"/>
          <w:color w:val="000000"/>
          <w:sz w:val="28"/>
          <w:szCs w:val="28"/>
        </w:rPr>
        <w:t>1、宁夏丰华实业有限公司</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公司主要经营稀土合金生产及销售，稀土合金产能7000吨/年、稀土复合合金产能30000吨/年、2021年立项“技改建设1*13000KVA稀土合金矿热炉项目”，该项目建成后实现年产13000吨稀土合金。公司主要产品稀土硅铁合金全国市场占有率位居前列，是我区唯一一家生产稀土硅铁合金的企业。近几年公司积极加快企业转型升级步伐，优化资源配置、延伸产业链，发展下游产品稀土镁钙合金、稀土铋合金、稀土锑合金等细分市场的特殊合金，形成以发展稀土合金为主导的持续循环产业链。</w:t>
      </w:r>
    </w:p>
    <w:p>
      <w:pPr>
        <w:ind w:firstLine="560" w:firstLineChars="200"/>
        <w:rPr>
          <w:rFonts w:ascii="黑体" w:hAnsi="黑体" w:eastAsia="黑体"/>
          <w:color w:val="000000"/>
          <w:sz w:val="28"/>
          <w:szCs w:val="28"/>
        </w:rPr>
      </w:pPr>
      <w:r>
        <w:rPr>
          <w:rFonts w:hint="eastAsia" w:ascii="黑体" w:hAnsi="黑体" w:eastAsia="黑体"/>
          <w:color w:val="000000"/>
          <w:sz w:val="28"/>
          <w:szCs w:val="28"/>
        </w:rPr>
        <w:t>2、包头市中鑫安泰磁业有限公司</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包头市中鑫安泰磁业有限公司：公司主要生产经营各类稀土金属、稀土合金及各磁能级钕铁硼永磁材料及氢碎粉加工。目前，高性能钕铁硼永磁材料产能2000吨/年，稀土金属及合金产能5000吨/年，钕铁硼氢碎粉加工能力8000吨/年。公司下设全资子公司博钇检测有限公司，已与内蒙古自治区稀土产品质量监督检验研究院共建检化验中心，在满足自身生产检化验需求的同时，也为其它稀土企业做好检测化验服务。与稀土高新区科创投资公司（稀土高新区国有投资平台）共同发起成立了包头汇众磁谷有限公司，主营钕铁硼磁钢切割、电镀等末端加工，为本企业产业延伸及周边地区磁材企业做好配套经营。</w:t>
      </w:r>
    </w:p>
    <w:p>
      <w:pPr>
        <w:ind w:firstLine="560" w:firstLineChars="200"/>
        <w:rPr>
          <w:rFonts w:ascii="黑体" w:hAnsi="黑体" w:eastAsia="黑体"/>
          <w:color w:val="000000"/>
          <w:sz w:val="28"/>
          <w:szCs w:val="28"/>
        </w:rPr>
      </w:pPr>
      <w:r>
        <w:rPr>
          <w:rFonts w:hint="eastAsia" w:ascii="黑体" w:hAnsi="黑体" w:eastAsia="黑体"/>
          <w:color w:val="000000"/>
          <w:sz w:val="28"/>
          <w:szCs w:val="28"/>
        </w:rPr>
        <w:t>3、国家钨与稀土产品质量监督检测中心</w:t>
      </w:r>
    </w:p>
    <w:p>
      <w:pPr>
        <w:ind w:firstLine="560" w:firstLineChars="200"/>
        <w:rPr>
          <w:rFonts w:ascii="仿宋" w:hAnsi="仿宋" w:eastAsia="仿宋"/>
          <w:color w:val="000000"/>
          <w:sz w:val="28"/>
          <w:szCs w:val="28"/>
        </w:rPr>
      </w:pPr>
      <w:r>
        <w:rPr>
          <w:rFonts w:ascii="仿宋" w:hAnsi="仿宋" w:eastAsia="仿宋"/>
          <w:color w:val="000000"/>
          <w:sz w:val="28"/>
          <w:szCs w:val="28"/>
        </w:rPr>
        <w:t>全国唯一的一个国家级的钨与稀土产品质量监督检</w:t>
      </w:r>
      <w:r>
        <w:rPr>
          <w:rFonts w:hint="eastAsia" w:ascii="仿宋" w:hAnsi="仿宋" w:eastAsia="仿宋"/>
          <w:color w:val="000000"/>
          <w:sz w:val="28"/>
          <w:szCs w:val="28"/>
        </w:rPr>
        <w:t>测</w:t>
      </w:r>
      <w:r>
        <w:rPr>
          <w:rFonts w:ascii="仿宋" w:hAnsi="仿宋" w:eastAsia="仿宋"/>
          <w:color w:val="000000"/>
          <w:sz w:val="28"/>
          <w:szCs w:val="28"/>
        </w:rPr>
        <w:t>法定技术机构，配备了包括ICP-Mass等离子体质谱仪、ICP发射光谱仪、激光粒度仪等一批具有国际先进水平的大型仪器设备。截止</w:t>
      </w:r>
      <w:r>
        <w:rPr>
          <w:rFonts w:hint="eastAsia" w:ascii="仿宋" w:hAnsi="仿宋" w:eastAsia="仿宋"/>
          <w:color w:val="000000"/>
          <w:sz w:val="28"/>
          <w:szCs w:val="28"/>
        </w:rPr>
        <w:t>目前</w:t>
      </w:r>
      <w:r>
        <w:rPr>
          <w:rFonts w:ascii="仿宋" w:hAnsi="仿宋" w:eastAsia="仿宋"/>
          <w:color w:val="000000"/>
          <w:sz w:val="28"/>
          <w:szCs w:val="28"/>
        </w:rPr>
        <w:t>检测能力已覆盖了钨与稀土及其它有色金属的19类80个产品278个参数，服务范围也延伸到了英国、法国、荷兰、越南、香港、台湾及广东、湖南等20多个国家和地区。</w:t>
      </w:r>
    </w:p>
    <w:p>
      <w:pPr>
        <w:ind w:firstLine="560" w:firstLineChars="200"/>
        <w:rPr>
          <w:rFonts w:ascii="黑体" w:hAnsi="黑体" w:eastAsia="黑体"/>
          <w:color w:val="000000"/>
          <w:sz w:val="28"/>
          <w:szCs w:val="28"/>
        </w:rPr>
      </w:pPr>
      <w:r>
        <w:rPr>
          <w:rFonts w:hint="eastAsia" w:ascii="黑体" w:hAnsi="黑体" w:eastAsia="黑体"/>
          <w:color w:val="000000"/>
          <w:sz w:val="28"/>
          <w:szCs w:val="28"/>
        </w:rPr>
        <w:t>4、赣州有色冶金研究所</w:t>
      </w:r>
    </w:p>
    <w:p>
      <w:pPr>
        <w:ind w:firstLine="560" w:firstLineChars="200"/>
        <w:rPr>
          <w:rFonts w:ascii="仿宋" w:hAnsi="仿宋" w:eastAsia="仿宋"/>
          <w:color w:val="000000"/>
          <w:sz w:val="28"/>
          <w:szCs w:val="28"/>
        </w:rPr>
      </w:pPr>
      <w:r>
        <w:rPr>
          <w:rFonts w:ascii="仿宋" w:hAnsi="仿宋" w:eastAsia="仿宋"/>
          <w:color w:val="000000"/>
          <w:sz w:val="28"/>
          <w:szCs w:val="28"/>
        </w:rPr>
        <w:t>赣州有色冶金研究所（以下简称“赣研所”)，现隶属于江西钨业集团有限公司,并承担江西钨业集团有限公司技术中心的工作职责。是一个集有色金属矿业采矿、选矿、冶金工业技术研究、钽铌等矿及制品分析检验、新材料研发、三废治理、选矿设备制造，以及钨、稀土选矿、分离自动化控制等多个专业研究开发、非煤矿山采选工艺、稀土原地浸矿开采、分离、稀土金属冶炼工艺设计、安全生产、职业卫生检测检验咨询服务为一体的综合性研究所。</w:t>
      </w:r>
    </w:p>
    <w:p>
      <w:pPr>
        <w:ind w:firstLine="560" w:firstLineChars="200"/>
        <w:rPr>
          <w:rFonts w:ascii="黑体" w:hAnsi="黑体" w:eastAsia="黑体"/>
          <w:color w:val="000000"/>
          <w:sz w:val="28"/>
          <w:szCs w:val="28"/>
        </w:rPr>
      </w:pPr>
      <w:r>
        <w:rPr>
          <w:rFonts w:hint="eastAsia" w:ascii="黑体" w:hAnsi="黑体" w:eastAsia="黑体"/>
          <w:color w:val="000000"/>
          <w:sz w:val="28"/>
          <w:szCs w:val="28"/>
        </w:rPr>
        <w:t>5、中国北方稀土（集团）高技术股份有限公司</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公司主要生产经营稀土原料产品（稀土盐类、稀土氧化物及稀土金属）、稀土功能材料产品（稀土磁性材料、抛光材料、贮氢材料、发光材料、催化材料）和部分稀土应用产品。目前，公司冶炼分离产能8万吨/年、稀土金属产能1万吨/年，稀土原料产能位居全球第一；稀土功能材料中磁性材料合金3万吨/年，产能居全球第一；抛光材料产能14000吨/年、贮氢合金3000吨/年，占据国内市场份额半数以上；发光材料1000吨/年。在稀土应用产品领域，已建成年产100台稀土永磁磁共振成像仪生产基地，混合汽车用圆形镍氢动力电池100万只/年能力，LED封装60亿颗/年。</w:t>
      </w:r>
    </w:p>
    <w:p>
      <w:pPr>
        <w:ind w:firstLine="560" w:firstLineChars="200"/>
        <w:rPr>
          <w:rFonts w:hint="eastAsia" w:ascii="黑体" w:hAnsi="黑体" w:eastAsia="黑体"/>
          <w:color w:val="000000"/>
          <w:sz w:val="28"/>
          <w:szCs w:val="28"/>
        </w:rPr>
      </w:pPr>
      <w:r>
        <w:rPr>
          <w:rFonts w:hint="eastAsia" w:ascii="黑体" w:hAnsi="黑体" w:eastAsia="黑体"/>
          <w:color w:val="000000"/>
          <w:sz w:val="28"/>
          <w:szCs w:val="28"/>
          <w:lang w:val="en-US" w:eastAsia="zh-CN"/>
        </w:rPr>
        <w:t>6.</w:t>
      </w:r>
      <w:r>
        <w:rPr>
          <w:rFonts w:hint="eastAsia" w:ascii="黑体" w:hAnsi="黑体" w:eastAsia="黑体"/>
          <w:color w:val="000000"/>
          <w:sz w:val="28"/>
          <w:szCs w:val="28"/>
        </w:rPr>
        <w:t>包头市固阳县双亿化工有限责任公司</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公司</w:t>
      </w:r>
      <w:r>
        <w:rPr>
          <w:rFonts w:hint="eastAsia" w:ascii="仿宋" w:hAnsi="仿宋" w:eastAsia="仿宋"/>
          <w:color w:val="000000"/>
          <w:sz w:val="28"/>
          <w:szCs w:val="28"/>
        </w:rPr>
        <w:t>拥有适合于多元合金生产的12500KVA半封闭式矿热炉</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台，</w:t>
      </w:r>
      <w:r>
        <w:rPr>
          <w:rFonts w:hint="eastAsia" w:ascii="仿宋" w:hAnsi="仿宋" w:eastAsia="仿宋"/>
          <w:color w:val="000000"/>
          <w:sz w:val="28"/>
          <w:szCs w:val="28"/>
          <w:lang w:val="en-US" w:eastAsia="zh-CN"/>
        </w:rPr>
        <w:t>5吨中频电炉2套，及配套破碎生产线及包装生产线，</w:t>
      </w:r>
      <w:r>
        <w:rPr>
          <w:rFonts w:hint="eastAsia" w:ascii="仿宋" w:hAnsi="仿宋" w:eastAsia="仿宋"/>
          <w:color w:val="000000"/>
          <w:sz w:val="28"/>
          <w:szCs w:val="28"/>
        </w:rPr>
        <w:t>设计年产</w:t>
      </w:r>
      <w:r>
        <w:rPr>
          <w:rFonts w:hint="eastAsia" w:ascii="仿宋" w:hAnsi="仿宋" w:eastAsia="仿宋"/>
          <w:color w:val="000000"/>
          <w:sz w:val="28"/>
          <w:szCs w:val="28"/>
          <w:lang w:val="en-US" w:eastAsia="zh-CN"/>
        </w:rPr>
        <w:t>能3.6</w:t>
      </w:r>
      <w:r>
        <w:rPr>
          <w:rFonts w:hint="eastAsia" w:ascii="仿宋" w:hAnsi="仿宋" w:eastAsia="仿宋"/>
          <w:color w:val="000000"/>
          <w:sz w:val="28"/>
          <w:szCs w:val="28"/>
        </w:rPr>
        <w:t>万吨</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目前</w:t>
      </w:r>
      <w:r>
        <w:rPr>
          <w:rFonts w:hint="eastAsia" w:ascii="仿宋" w:hAnsi="仿宋" w:eastAsia="仿宋"/>
          <w:color w:val="000000"/>
          <w:sz w:val="28"/>
          <w:szCs w:val="28"/>
        </w:rPr>
        <w:t>主要产品有：</w:t>
      </w:r>
      <w:r>
        <w:rPr>
          <w:rFonts w:hint="eastAsia" w:ascii="仿宋" w:hAnsi="仿宋" w:eastAsia="仿宋"/>
          <w:color w:val="000000"/>
          <w:sz w:val="28"/>
          <w:szCs w:val="28"/>
          <w:lang w:val="en-US" w:eastAsia="zh-CN"/>
        </w:rPr>
        <w:t>稀土硅铁合金、稀土镁硅铁合金</w:t>
      </w:r>
      <w:r>
        <w:rPr>
          <w:rFonts w:hint="eastAsia" w:ascii="仿宋" w:hAnsi="仿宋" w:eastAsia="仿宋"/>
          <w:color w:val="000000"/>
          <w:sz w:val="28"/>
          <w:szCs w:val="28"/>
          <w:lang w:eastAsia="zh-CN"/>
        </w:rPr>
        <w:t>、</w:t>
      </w:r>
      <w:r>
        <w:rPr>
          <w:rFonts w:hint="eastAsia" w:ascii="仿宋" w:hAnsi="仿宋" w:eastAsia="仿宋"/>
          <w:color w:val="000000"/>
          <w:sz w:val="28"/>
          <w:szCs w:val="28"/>
        </w:rPr>
        <w:t>硅钡钙合金、硅铝钡钙合金、硅钡合金等。</w:t>
      </w:r>
      <w:r>
        <w:rPr>
          <w:rFonts w:hint="eastAsia" w:ascii="仿宋" w:hAnsi="仿宋" w:eastAsia="仿宋"/>
          <w:color w:val="000000"/>
          <w:sz w:val="28"/>
          <w:szCs w:val="28"/>
          <w:lang w:eastAsia="zh-CN"/>
        </w:rPr>
        <w:t>主要应用领域涉及军工、汽车、风力发电、船舶、工业机器人等各类冶金铸造领域。</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Cs/>
          <w:sz w:val="28"/>
          <w:szCs w:val="28"/>
        </w:rPr>
        <w:t>.</w:t>
      </w:r>
      <w:r>
        <w:rPr>
          <w:rFonts w:hint="eastAsia" w:ascii="仿宋" w:hAnsi="仿宋" w:eastAsia="仿宋"/>
          <w:b/>
          <w:sz w:val="28"/>
          <w:szCs w:val="28"/>
        </w:rPr>
        <w:t>4工作进度安排</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本标准编制计划如下：产品相关标准研制时间安排：</w:t>
      </w:r>
    </w:p>
    <w:p>
      <w:pPr>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）2021年5月-8月，起草单位提出标准征求意见稿发至各有关单位及稀标委秘书处征求意见。</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2）2021年9月-11月底之前起草单位完成意见汇总，形成预审稿和编制说明，并将标准预审稿、编制说明、意见汇总等电子版发送至稀土标委会秘书处。</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3）2021年11月-2021年12月稀土标委会负责将预审稿及编制说明挂网征求更广泛的意见，召开标准预审会。</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4）2022年1月-2022年4月，在预审会基础上，对预审稿、编制说明、意见汇总处理表进行修改、调整、标准编制小组达成一致意见后形成送审稿，并将相关材料（电子版）发送至稀土标委会秘书处。</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5）2022年4月底前，稀土标委会负责将送审稿及编制说明挂网征求更广泛的意见，召开标准审定会。</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1.5工作过程</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接到任务后，与国内包头市华商稀土合金有限公司、龙南龙钇重稀土科技股份有限公司， 宁夏丰华实业有限公司、科力源、包头中鑫安泰磁业有限公司等主要生产企业进行了交流，根据各企业所生产的稀土硅铁合金产品的实际情况，对绿色设计产品评价技术规范稀土硅铁合金产品进行标准制定前广泛调研、了解市场生产情况和用户应用情况及相应的论证；然后形成标准的征求意见稿发至各生产企业及用户单位广泛征求相关意见，意见汇总如下：</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宁夏丰华实业有限公司提出将表2（</w:t>
      </w:r>
      <w:r>
        <w:rPr>
          <w:rFonts w:ascii="仿宋" w:hAnsi="仿宋" w:eastAsia="仿宋"/>
          <w:color w:val="000000" w:themeColor="text1"/>
          <w:sz w:val="28"/>
          <w:szCs w:val="28"/>
          <w14:textFill>
            <w14:solidFill>
              <w14:schemeClr w14:val="tx1"/>
            </w14:solidFill>
          </w14:textFill>
        </w:rPr>
        <w:t>稀土</w:t>
      </w:r>
      <w:r>
        <w:rPr>
          <w:rFonts w:hint="eastAsia" w:ascii="仿宋" w:hAnsi="仿宋" w:eastAsia="仿宋"/>
          <w:color w:val="000000" w:themeColor="text1"/>
          <w:sz w:val="28"/>
          <w:szCs w:val="28"/>
          <w14:textFill>
            <w14:solidFill>
              <w14:schemeClr w14:val="tx1"/>
            </w14:solidFill>
          </w14:textFill>
        </w:rPr>
        <w:t>硅铁合金</w:t>
      </w:r>
      <w:r>
        <w:rPr>
          <w:rFonts w:ascii="仿宋" w:hAnsi="仿宋" w:eastAsia="仿宋"/>
          <w:color w:val="000000" w:themeColor="text1"/>
          <w:sz w:val="28"/>
          <w:szCs w:val="28"/>
          <w14:textFill>
            <w14:solidFill>
              <w14:schemeClr w14:val="tx1"/>
            </w14:solidFill>
          </w14:textFill>
        </w:rPr>
        <w:t>炼产品评价指标——</w:t>
      </w:r>
      <w:r>
        <w:rPr>
          <w:rFonts w:hint="eastAsia" w:ascii="仿宋" w:hAnsi="仿宋" w:eastAsia="仿宋"/>
          <w:color w:val="000000" w:themeColor="text1"/>
          <w:sz w:val="28"/>
          <w:szCs w:val="28"/>
          <w14:textFill>
            <w14:solidFill>
              <w14:schemeClr w14:val="tx1"/>
            </w14:solidFill>
          </w14:textFill>
        </w:rPr>
        <w:t>碳热热</w:t>
      </w:r>
      <w:r>
        <w:rPr>
          <w:rFonts w:ascii="仿宋" w:hAnsi="仿宋" w:eastAsia="仿宋"/>
          <w:color w:val="000000" w:themeColor="text1"/>
          <w:sz w:val="28"/>
          <w:szCs w:val="28"/>
          <w14:textFill>
            <w14:solidFill>
              <w14:schemeClr w14:val="tx1"/>
            </w14:solidFill>
          </w14:textFill>
        </w:rPr>
        <w:t>法产品）中</w:t>
      </w:r>
      <w:r>
        <w:rPr>
          <w:rFonts w:hint="eastAsia" w:ascii="仿宋" w:hAnsi="仿宋" w:eastAsia="仿宋"/>
          <w:color w:val="000000" w:themeColor="text1"/>
          <w:sz w:val="28"/>
          <w:szCs w:val="28"/>
          <w14:textFill>
            <w14:solidFill>
              <w14:schemeClr w14:val="tx1"/>
            </w14:solidFill>
          </w14:textFill>
        </w:rPr>
        <w:t xml:space="preserve">REFeSi-30Ce </w:t>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 1 \* ROMAN \* MERGEFORMAT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I</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级品中</w:t>
      </w:r>
      <w:r>
        <w:rPr>
          <w:rFonts w:ascii="仿宋" w:hAnsi="仿宋" w:eastAsia="仿宋"/>
          <w:color w:val="000000" w:themeColor="text1"/>
          <w:sz w:val="28"/>
          <w:szCs w:val="28"/>
          <w14:textFill>
            <w14:solidFill>
              <w14:schemeClr w14:val="tx1"/>
            </w14:solidFill>
          </w14:textFill>
        </w:rPr>
        <w:t>单位产品</w:t>
      </w:r>
      <w:r>
        <w:rPr>
          <w:rFonts w:hint="eastAsia" w:ascii="仿宋" w:hAnsi="仿宋" w:eastAsia="仿宋"/>
          <w:color w:val="000000" w:themeColor="text1"/>
          <w:sz w:val="28"/>
          <w:szCs w:val="28"/>
          <w14:textFill>
            <w14:solidFill>
              <w14:schemeClr w14:val="tx1"/>
            </w14:solidFill>
          </w14:textFill>
        </w:rPr>
        <w:t>碳素</w:t>
      </w:r>
      <w:r>
        <w:rPr>
          <w:rFonts w:ascii="仿宋" w:hAnsi="仿宋" w:eastAsia="仿宋"/>
          <w:color w:val="000000" w:themeColor="text1"/>
          <w:sz w:val="28"/>
          <w:szCs w:val="28"/>
          <w14:textFill>
            <w14:solidFill>
              <w14:schemeClr w14:val="tx1"/>
            </w14:solidFill>
          </w14:textFill>
        </w:rPr>
        <w:t>消耗</w:t>
      </w:r>
      <w:r>
        <w:rPr>
          <w:rFonts w:hint="eastAsia" w:ascii="仿宋" w:hAnsi="仿宋" w:eastAsia="仿宋"/>
          <w:color w:val="000000" w:themeColor="text1"/>
          <w:sz w:val="28"/>
          <w:szCs w:val="28"/>
          <w14:textFill>
            <w14:solidFill>
              <w14:schemeClr w14:val="tx1"/>
            </w14:solidFill>
          </w14:textFill>
        </w:rPr>
        <w:t>量</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.05调整为</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.06，</w:t>
      </w:r>
      <w:r>
        <w:rPr>
          <w:rFonts w:ascii="仿宋" w:hAnsi="仿宋" w:eastAsia="仿宋"/>
          <w:color w:val="000000" w:themeColor="text1"/>
          <w:sz w:val="28"/>
          <w:szCs w:val="28"/>
          <w14:textFill>
            <w14:solidFill>
              <w14:schemeClr w14:val="tx1"/>
            </w14:solidFill>
          </w14:textFill>
        </w:rPr>
        <w:t>单位产品</w:t>
      </w:r>
      <w:r>
        <w:rPr>
          <w:rFonts w:hint="eastAsia" w:ascii="仿宋" w:hAnsi="仿宋" w:eastAsia="仿宋"/>
          <w:color w:val="000000" w:themeColor="text1"/>
          <w:sz w:val="28"/>
          <w:szCs w:val="28"/>
          <w14:textFill>
            <w14:solidFill>
              <w14:schemeClr w14:val="tx1"/>
            </w14:solidFill>
          </w14:textFill>
        </w:rPr>
        <w:t>氧</w:t>
      </w:r>
      <w:r>
        <w:rPr>
          <w:rFonts w:ascii="仿宋" w:hAnsi="仿宋" w:eastAsia="仿宋"/>
          <w:color w:val="000000" w:themeColor="text1"/>
          <w:sz w:val="28"/>
          <w:szCs w:val="28"/>
          <w14:textFill>
            <w14:solidFill>
              <w14:schemeClr w14:val="tx1"/>
            </w14:solidFill>
          </w14:textFill>
        </w:rPr>
        <w:t>化稀土消耗量≤0.</w:t>
      </w:r>
      <w:r>
        <w:rPr>
          <w:rFonts w:hint="eastAsia" w:ascii="仿宋" w:hAnsi="仿宋" w:eastAsia="仿宋"/>
          <w:color w:val="000000" w:themeColor="text1"/>
          <w:sz w:val="28"/>
          <w:szCs w:val="28"/>
          <w14:textFill>
            <w14:solidFill>
              <w14:schemeClr w14:val="tx1"/>
            </w14:solidFill>
          </w14:textFill>
        </w:rPr>
        <w:t>45调整为</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单位产品</w:t>
      </w:r>
      <w:r>
        <w:rPr>
          <w:rFonts w:hint="eastAsia" w:ascii="仿宋" w:hAnsi="仿宋" w:eastAsia="仿宋"/>
          <w:color w:val="000000" w:themeColor="text1"/>
          <w:sz w:val="28"/>
          <w:szCs w:val="28"/>
          <w14:textFill>
            <w14:solidFill>
              <w14:schemeClr w14:val="tx1"/>
            </w14:solidFill>
          </w14:textFill>
        </w:rPr>
        <w:t>兰炭</w:t>
      </w:r>
      <w:r>
        <w:rPr>
          <w:rFonts w:ascii="仿宋" w:hAnsi="仿宋" w:eastAsia="仿宋"/>
          <w:color w:val="000000" w:themeColor="text1"/>
          <w:sz w:val="28"/>
          <w:szCs w:val="28"/>
          <w14:textFill>
            <w14:solidFill>
              <w14:schemeClr w14:val="tx1"/>
            </w14:solidFill>
          </w14:textFill>
        </w:rPr>
        <w:t>消耗量≤</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2调整为</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85，</w:t>
      </w:r>
      <w:r>
        <w:rPr>
          <w:rFonts w:ascii="仿宋" w:hAnsi="仿宋" w:eastAsia="仿宋"/>
          <w:color w:val="000000" w:themeColor="text1"/>
          <w:sz w:val="28"/>
          <w:szCs w:val="28"/>
          <w14:textFill>
            <w14:solidFill>
              <w14:schemeClr w14:val="tx1"/>
            </w14:solidFill>
          </w14:textFill>
        </w:rPr>
        <w:t>单位产品</w:t>
      </w:r>
      <w:r>
        <w:rPr>
          <w:rFonts w:hint="eastAsia" w:ascii="仿宋" w:hAnsi="仿宋" w:eastAsia="仿宋"/>
          <w:color w:val="000000" w:themeColor="text1"/>
          <w:sz w:val="28"/>
          <w:szCs w:val="28"/>
          <w14:textFill>
            <w14:solidFill>
              <w14:schemeClr w14:val="tx1"/>
            </w14:solidFill>
          </w14:textFill>
        </w:rPr>
        <w:t>二氧化硅</w:t>
      </w:r>
      <w:r>
        <w:rPr>
          <w:rFonts w:ascii="仿宋" w:hAnsi="仿宋" w:eastAsia="仿宋"/>
          <w:color w:val="000000" w:themeColor="text1"/>
          <w:sz w:val="28"/>
          <w:szCs w:val="28"/>
          <w14:textFill>
            <w14:solidFill>
              <w14:schemeClr w14:val="tx1"/>
            </w14:solidFill>
          </w14:textFill>
        </w:rPr>
        <w:t>消耗量≤</w:t>
      </w:r>
      <w:r>
        <w:rPr>
          <w:rFonts w:hint="eastAsia" w:ascii="仿宋" w:hAnsi="仿宋" w:eastAsia="仿宋"/>
          <w:color w:val="000000" w:themeColor="text1"/>
          <w:sz w:val="28"/>
          <w:szCs w:val="28"/>
          <w14:textFill>
            <w14:solidFill>
              <w14:schemeClr w14:val="tx1"/>
            </w14:solidFill>
          </w14:textFill>
        </w:rPr>
        <w:t>1.7调整为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1.0，单位产品钢消耗量</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0.01调整为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0.06，单位产品耐火材料消耗量</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0.05调整为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0.01均以采纳。</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赣州有色冶金研究所提出将附录A中A2.2和A3.2.2中分别以氧化物折算和金属折算，可否统一以一种物质折算？本标准单耗均以单位稀土产品质量计算，与实际数据吻合，便于数据采集，采纳均按金属折算。</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根据各生产企业所生产的稀土硅铁合金产品的实际情况、用户单位及稀标委的意见，形成了标准预审稿。</w:t>
      </w:r>
    </w:p>
    <w:p>
      <w:pPr>
        <w:ind w:firstLine="560" w:firstLineChars="200"/>
        <w:rPr>
          <w:rFonts w:ascii="仿宋" w:hAnsi="仿宋" w:eastAsia="仿宋"/>
          <w:color w:val="000000"/>
          <w:sz w:val="28"/>
          <w:szCs w:val="28"/>
        </w:rPr>
      </w:pPr>
      <w:r>
        <w:rPr>
          <w:rFonts w:ascii="仿宋" w:hAnsi="仿宋" w:eastAsia="仿宋"/>
          <w:color w:val="000000"/>
          <w:sz w:val="28"/>
          <w:szCs w:val="28"/>
        </w:rPr>
        <w:t>2021年12月10日稀土标准委员会在湖州市召开了标准预审会，</w:t>
      </w:r>
      <w:r>
        <w:rPr>
          <w:rFonts w:hint="eastAsia" w:ascii="仿宋" w:hAnsi="仿宋" w:eastAsia="仿宋"/>
          <w:color w:val="000000"/>
          <w:sz w:val="28"/>
          <w:szCs w:val="28"/>
        </w:rPr>
        <w:t>根据预审会专家意见，又调研了宁夏丰华实业有限公司、包头市华商稀土合金有限公司、</w:t>
      </w:r>
      <w:r>
        <w:rPr>
          <w:rFonts w:ascii="仿宋" w:hAnsi="仿宋" w:eastAsia="仿宋"/>
          <w:color w:val="000000"/>
          <w:sz w:val="28"/>
          <w:szCs w:val="28"/>
        </w:rPr>
        <w:t>包头中鑫安泰科技股份有限公司、</w:t>
      </w:r>
      <w:r>
        <w:rPr>
          <w:rFonts w:hint="eastAsia" w:ascii="仿宋" w:hAnsi="仿宋" w:eastAsia="仿宋"/>
          <w:color w:val="000000"/>
          <w:sz w:val="28"/>
          <w:szCs w:val="28"/>
        </w:rPr>
        <w:t>龙南龙钇重稀土科技股份有限公司、</w:t>
      </w:r>
      <w:r>
        <w:rPr>
          <w:rFonts w:ascii="仿宋" w:hAnsi="仿宋" w:eastAsia="仿宋"/>
          <w:color w:val="000000"/>
          <w:sz w:val="28"/>
          <w:szCs w:val="28"/>
        </w:rPr>
        <w:t>包头圣泉科利源有限公司，意见汇集如下：</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1）根据用户及生产厂家的实际，表一硅热法产品一级指标由原来的12个缩减为生产量较大的6个品种，详见表一。</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2）表一中一级指标产品属性采用稀土总量及合格率表述，取消了化学成分及外观。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3）表一资源属性中的稀土收率有了较大的调整，详见表一。</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4）表一中资源属性中增加了绿色原辅材料质量占比，去除了单位产品氧化稀土折合消耗量。单位产品硅含量变更为单位产品75#硅消耗量。相应的数据变化详见表一。</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5）表一能源属性采用单位产品综合电耗替代单位产品综合能耗。</w:t>
      </w:r>
    </w:p>
    <w:p>
      <w:pPr>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根据调研意见</w:t>
      </w:r>
      <w:r>
        <w:rPr>
          <w:rFonts w:hint="eastAsia" w:ascii="仿宋" w:hAnsi="仿宋" w:eastAsia="仿宋"/>
          <w:color w:val="000000"/>
          <w:sz w:val="28"/>
          <w:szCs w:val="28"/>
        </w:rPr>
        <w:t>修订了标准预审稿</w:t>
      </w:r>
      <w:r>
        <w:rPr>
          <w:rFonts w:hint="eastAsia" w:ascii="仿宋" w:hAnsi="仿宋" w:eastAsia="仿宋"/>
          <w:color w:val="000000"/>
          <w:sz w:val="28"/>
          <w:szCs w:val="28"/>
          <w:lang w:eastAsia="zh-CN"/>
        </w:rPr>
        <w:t>，</w:t>
      </w:r>
      <w:bookmarkStart w:id="58" w:name="_GoBack"/>
      <w:bookmarkEnd w:id="58"/>
      <w:r>
        <w:rPr>
          <w:rFonts w:hint="eastAsia" w:ascii="仿宋" w:hAnsi="仿宋" w:eastAsia="仿宋"/>
          <w:color w:val="000000"/>
          <w:sz w:val="28"/>
          <w:szCs w:val="28"/>
        </w:rPr>
        <w:t>并再次向生</w:t>
      </w:r>
      <w:r>
        <w:rPr>
          <w:rFonts w:hint="eastAsia" w:ascii="仿宋" w:hAnsi="仿宋" w:eastAsia="仿宋"/>
          <w:color w:val="000000"/>
          <w:sz w:val="28"/>
          <w:szCs w:val="28"/>
          <w:lang w:eastAsia="zh-CN"/>
        </w:rPr>
        <w:t>产</w:t>
      </w:r>
      <w:r>
        <w:rPr>
          <w:rFonts w:hint="eastAsia" w:ascii="仿宋" w:hAnsi="仿宋" w:eastAsia="仿宋"/>
          <w:color w:val="000000"/>
          <w:sz w:val="28"/>
          <w:szCs w:val="28"/>
        </w:rPr>
        <w:t>厂家及参与单位征求意见，同时组织企业及用户召开了视频会议，最终形成了标准送审稿。</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二、编制原则和依据及标准主要内容</w:t>
      </w:r>
    </w:p>
    <w:p>
      <w:pPr>
        <w:widowControl/>
        <w:tabs>
          <w:tab w:val="left" w:pos="5954"/>
        </w:tabs>
        <w:autoSpaceDE w:val="0"/>
        <w:autoSpaceDN w:val="0"/>
        <w:textAlignment w:val="bottom"/>
        <w:rPr>
          <w:rFonts w:ascii="仿宋" w:hAnsi="仿宋" w:eastAsia="仿宋"/>
          <w:b/>
          <w:color w:val="000000"/>
          <w:sz w:val="28"/>
          <w:szCs w:val="28"/>
        </w:rPr>
      </w:pPr>
      <w:r>
        <w:rPr>
          <w:rFonts w:hint="eastAsia" w:ascii="仿宋" w:hAnsi="仿宋" w:eastAsia="仿宋"/>
          <w:b/>
          <w:sz w:val="28"/>
          <w:szCs w:val="28"/>
        </w:rPr>
        <w:t xml:space="preserve">2.1 </w:t>
      </w:r>
      <w:r>
        <w:rPr>
          <w:rFonts w:hint="eastAsia" w:ascii="仿宋" w:hAnsi="仿宋" w:eastAsia="仿宋"/>
          <w:b/>
          <w:color w:val="000000"/>
          <w:sz w:val="28"/>
          <w:szCs w:val="28"/>
        </w:rPr>
        <w:t>产品分类及论据</w:t>
      </w:r>
    </w:p>
    <w:p>
      <w:pPr>
        <w:ind w:firstLine="560" w:firstLineChars="200"/>
        <w:jc w:val="left"/>
        <w:rPr>
          <w:rFonts w:ascii="仿宋" w:hAnsi="仿宋" w:eastAsia="仿宋"/>
          <w:sz w:val="28"/>
          <w:szCs w:val="28"/>
        </w:rPr>
      </w:pPr>
      <w:r>
        <w:rPr>
          <w:rFonts w:hint="eastAsia" w:ascii="仿宋" w:hAnsi="仿宋" w:eastAsia="仿宋"/>
          <w:color w:val="000000"/>
          <w:sz w:val="28"/>
          <w:szCs w:val="28"/>
        </w:rPr>
        <w:t>按</w:t>
      </w:r>
      <w:r>
        <w:rPr>
          <w:rFonts w:hint="eastAsia" w:ascii="仿宋" w:hAnsi="仿宋" w:eastAsia="仿宋"/>
          <w:sz w:val="28"/>
          <w:szCs w:val="28"/>
        </w:rPr>
        <w:t>照</w:t>
      </w:r>
      <w:r>
        <w:rPr>
          <w:rFonts w:ascii="仿宋" w:hAnsi="仿宋" w:eastAsia="仿宋"/>
          <w:sz w:val="28"/>
          <w:szCs w:val="28"/>
        </w:rPr>
        <w:t>GB/T 1.1</w:t>
      </w:r>
      <w:r>
        <w:rPr>
          <w:rFonts w:hint="eastAsia" w:ascii="仿宋" w:hAnsi="仿宋" w:eastAsia="仿宋" w:cs="宋体"/>
          <w:sz w:val="28"/>
          <w:szCs w:val="28"/>
        </w:rPr>
        <w:t>-2020《标准化工作导则》的规定编写</w:t>
      </w:r>
      <w:r>
        <w:rPr>
          <w:rFonts w:hint="eastAsia" w:ascii="仿宋" w:hAnsi="仿宋" w:eastAsia="仿宋"/>
          <w:sz w:val="28"/>
          <w:szCs w:val="28"/>
        </w:rPr>
        <w:t>，本标准的制定主要依据近年来生产原料质量的变化、稀土硅铁合金生产对稀土原料的要求、生产成本考虑及各生产厂家的意见，是在大量的重复性工作、生产企业数据的收集等基础上制定出来的，目前国内生产稀土硅铁合金比较成熟，应用研究情况良好；通过广泛调查研究，基于我国稀土硅铁合金行业的实际状况和绿色设计产品评价的基本要求，在标准制定过程中遵循以下基本原则：</w:t>
      </w:r>
    </w:p>
    <w:p>
      <w:pPr>
        <w:ind w:firstLine="560" w:firstLineChars="200"/>
        <w:jc w:val="left"/>
        <w:rPr>
          <w:rFonts w:ascii="仿宋" w:hAnsi="仿宋" w:eastAsia="仿宋"/>
          <w:sz w:val="28"/>
          <w:szCs w:val="28"/>
        </w:rPr>
      </w:pPr>
      <w:r>
        <w:rPr>
          <w:rFonts w:hint="eastAsia" w:ascii="仿宋" w:hAnsi="仿宋" w:eastAsia="仿宋"/>
          <w:sz w:val="28"/>
          <w:szCs w:val="28"/>
        </w:rPr>
        <w:t>科学性：科学性是本标准核心，本标准的最终目标是量化反映稀土硅铁合金产品生命周期对环境的综合影响，即消耗了多少资源、能源和向环境排放了多少废物，着眼的是整个被评价体系与环境之间的交互影响，被评价体系内部的状况、构成及相互影响不是本标准所评价的范围。因此，根据科学性原则，对于各类稀土矿生产稀土硅铁合金的不同工艺，本标准均只需考虑各种工艺生产稀土硅铁合金时所消耗的资源、能源和向环境排放的废物，而无需细分评价标准。</w:t>
      </w:r>
    </w:p>
    <w:p>
      <w:pPr>
        <w:ind w:firstLine="560" w:firstLineChars="200"/>
        <w:jc w:val="left"/>
        <w:rPr>
          <w:rFonts w:ascii="仿宋" w:hAnsi="仿宋" w:eastAsia="仿宋"/>
          <w:sz w:val="28"/>
          <w:szCs w:val="28"/>
        </w:rPr>
      </w:pPr>
      <w:r>
        <w:rPr>
          <w:rFonts w:hint="eastAsia" w:ascii="仿宋" w:hAnsi="仿宋" w:eastAsia="仿宋"/>
          <w:sz w:val="28"/>
          <w:szCs w:val="28"/>
        </w:rPr>
        <w:t>先进性：基于绿色发展的基本理念，本标准所要求达到的评价指标是稀土硅铁合金行业的先进指标，必须处于行业的领先水平，而不是稀土硅铁合金行业的平均水平，具体而言是20%以内先进产能所能达到的指标值。先进性是本标准与现行其他标准的基本区别之一，现行其他标准所要求的是最低指标要求。</w:t>
      </w:r>
    </w:p>
    <w:p>
      <w:pPr>
        <w:ind w:firstLine="560" w:firstLineChars="200"/>
        <w:jc w:val="left"/>
        <w:rPr>
          <w:rFonts w:ascii="仿宋" w:hAnsi="仿宋" w:eastAsia="仿宋"/>
          <w:sz w:val="28"/>
          <w:szCs w:val="28"/>
        </w:rPr>
      </w:pPr>
      <w:r>
        <w:rPr>
          <w:rFonts w:hint="eastAsia" w:ascii="仿宋" w:hAnsi="仿宋" w:eastAsia="仿宋"/>
          <w:sz w:val="28"/>
          <w:szCs w:val="28"/>
        </w:rPr>
        <w:t>实用性：本标准评价的产品是符合国标GB/T4137-2015的稀土硅铁合金产品，包括RESiFe-Ce序列，RESiFe-Y序列，同时也有最近市场应用的碳热法稀土硅铁合金，包含了我国稀土硅铁产品的绝大部分，符合实用性原则。</w:t>
      </w:r>
    </w:p>
    <w:p>
      <w:pPr>
        <w:ind w:firstLine="560" w:firstLineChars="200"/>
        <w:jc w:val="left"/>
        <w:rPr>
          <w:rFonts w:ascii="仿宋" w:hAnsi="仿宋" w:eastAsia="仿宋"/>
          <w:sz w:val="28"/>
          <w:szCs w:val="28"/>
        </w:rPr>
      </w:pPr>
      <w:r>
        <w:rPr>
          <w:rFonts w:hint="eastAsia" w:ascii="仿宋" w:hAnsi="仿宋" w:eastAsia="仿宋"/>
          <w:sz w:val="28"/>
          <w:szCs w:val="28"/>
        </w:rPr>
        <w:t>宽进严出：生产原料只需符合稀土硅铁合金产业的行业标准即可，同时各项指标均要求达到行业领先水平。</w:t>
      </w:r>
    </w:p>
    <w:p>
      <w:pPr>
        <w:rPr>
          <w:rFonts w:ascii="仿宋" w:hAnsi="仿宋" w:eastAsia="仿宋"/>
          <w:b/>
          <w:color w:val="000000"/>
          <w:sz w:val="28"/>
          <w:szCs w:val="28"/>
        </w:rPr>
      </w:pPr>
      <w:r>
        <w:rPr>
          <w:rFonts w:hint="eastAsia" w:ascii="仿宋" w:hAnsi="仿宋" w:eastAsia="仿宋"/>
          <w:b/>
          <w:color w:val="000000"/>
          <w:sz w:val="28"/>
          <w:szCs w:val="28"/>
        </w:rPr>
        <w:t>2.1.1指标选取原则</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pPr>
        <w:rPr>
          <w:rFonts w:ascii="仿宋" w:hAnsi="仿宋" w:eastAsia="仿宋"/>
          <w:b/>
          <w:color w:val="000000"/>
          <w:sz w:val="28"/>
          <w:szCs w:val="28"/>
        </w:rPr>
      </w:pPr>
      <w:r>
        <w:rPr>
          <w:rFonts w:hint="eastAsia" w:ascii="仿宋" w:hAnsi="仿宋" w:eastAsia="仿宋"/>
          <w:b/>
          <w:color w:val="000000"/>
          <w:sz w:val="28"/>
          <w:szCs w:val="28"/>
        </w:rPr>
        <w:t>2.1.2生命周期评价与指标评价相结合的原则</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不同类型产品应建立不同的生态设计评价指标体系，作为评估筛选生态设计产品的准入条件。在满足评价指标体系的基础上，采用生命周期评价方法，开展生命周期清单分析，进入生命周期影响评价，编制生命周期报告并作为评价生态设计产品的必要条件。</w:t>
      </w:r>
    </w:p>
    <w:p>
      <w:pPr>
        <w:rPr>
          <w:rFonts w:ascii="仿宋" w:hAnsi="仿宋" w:eastAsia="仿宋"/>
          <w:b/>
          <w:color w:val="000000"/>
          <w:sz w:val="28"/>
          <w:szCs w:val="28"/>
        </w:rPr>
      </w:pPr>
      <w:r>
        <w:rPr>
          <w:rFonts w:hint="eastAsia" w:ascii="仿宋" w:hAnsi="仿宋" w:eastAsia="仿宋"/>
          <w:b/>
          <w:color w:val="000000"/>
          <w:sz w:val="28"/>
          <w:szCs w:val="28"/>
        </w:rPr>
        <w:t>2.1.3环境影响种类最优选取原则</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为降低生命周期生命评价难度，应根据产品特点，宜选取具有影响大、社会关注度高、关键法律或政策明确要求的环境影响种类，通常在气候变化、臭氧层破坏、水体生态毒性。人体毒性-癌症影响，人体毒性-非癌症影响，可吸入颗粒物、电离辐射-人体健康影响、光化学臭氧生成潜势、水资源消耗、矿物和化石能源消耗、土地利用变化等中选取，数量不宜太多。</w:t>
      </w:r>
    </w:p>
    <w:p>
      <w:pPr>
        <w:rPr>
          <w:rFonts w:ascii="仿宋" w:hAnsi="仿宋" w:eastAsia="仿宋"/>
          <w:b/>
          <w:color w:val="000000"/>
          <w:sz w:val="28"/>
          <w:szCs w:val="28"/>
        </w:rPr>
      </w:pPr>
      <w:r>
        <w:rPr>
          <w:rFonts w:hint="eastAsia" w:ascii="仿宋" w:hAnsi="仿宋" w:eastAsia="仿宋"/>
          <w:b/>
          <w:color w:val="000000"/>
          <w:sz w:val="28"/>
          <w:szCs w:val="28"/>
        </w:rPr>
        <w:t>2.1.4持续改进原则</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指标具有一定的时效性，随着设备、工艺及技术的发展，原有的标准将难以起到促进企业加强管理和技术改造的作用。因此标准应随技术进步进行相应的调整和修订。</w:t>
      </w:r>
    </w:p>
    <w:p>
      <w:pPr>
        <w:widowControl/>
        <w:tabs>
          <w:tab w:val="left" w:pos="5954"/>
        </w:tabs>
        <w:autoSpaceDE w:val="0"/>
        <w:autoSpaceDN w:val="0"/>
        <w:textAlignment w:val="bottom"/>
        <w:rPr>
          <w:rFonts w:ascii="仿宋" w:hAnsi="仿宋" w:eastAsia="仿宋"/>
          <w:b/>
          <w:color w:val="000000"/>
          <w:sz w:val="28"/>
          <w:szCs w:val="28"/>
        </w:rPr>
      </w:pPr>
      <w:r>
        <w:rPr>
          <w:rFonts w:hint="eastAsia" w:ascii="仿宋" w:hAnsi="仿宋" w:eastAsia="仿宋"/>
          <w:b/>
          <w:sz w:val="28"/>
          <w:szCs w:val="28"/>
        </w:rPr>
        <w:t>2.2</w:t>
      </w:r>
      <w:r>
        <w:rPr>
          <w:rFonts w:hint="eastAsia" w:ascii="仿宋" w:hAnsi="仿宋" w:eastAsia="仿宋"/>
          <w:b/>
          <w:color w:val="000000"/>
          <w:sz w:val="28"/>
          <w:szCs w:val="28"/>
        </w:rPr>
        <w:t>评价方法</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可按照《绿色设计产品评价技术规范稀土硅铁合金产品》中“4.1基本要求”和“4.2评价指标要求”开展自我评价或第三方评价，绿色设计产品同时满足以下条件，按照相关程序要求进行公示无异议的可称为绿色设计产品。</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满足基本要求和评价指标要求；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按照5提供生命周期评价报告。</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按照GB/T32162要求粘贴标识的产品以各种形式进行相关信息自我声明，声明的内容包括但不限于4.1和4.2的要求，但需要提供一定的符合有关要求的验证说明材料。</w:t>
      </w:r>
    </w:p>
    <w:p>
      <w:pPr>
        <w:rPr>
          <w:rFonts w:ascii="仿宋" w:hAnsi="仿宋" w:eastAsia="仿宋"/>
          <w:b/>
          <w:color w:val="000000"/>
          <w:sz w:val="28"/>
          <w:szCs w:val="28"/>
        </w:rPr>
      </w:pPr>
      <w:r>
        <w:rPr>
          <w:rFonts w:hint="eastAsia" w:ascii="仿宋" w:hAnsi="仿宋" w:eastAsia="仿宋"/>
          <w:b/>
          <w:color w:val="000000"/>
          <w:sz w:val="28"/>
          <w:szCs w:val="28"/>
        </w:rPr>
        <w:t>2.3评价流程</w:t>
      </w:r>
    </w:p>
    <w:p>
      <w:pPr>
        <w:ind w:firstLine="560" w:firstLineChars="200"/>
        <w:rPr>
          <w:rFonts w:ascii="宋体" w:hAnsi="宋体"/>
          <w:color w:val="000000"/>
          <w:sz w:val="24"/>
          <w:szCs w:val="24"/>
        </w:rPr>
      </w:pPr>
      <w:r>
        <w:rPr>
          <w:rFonts w:hint="eastAsia" w:ascii="仿宋" w:hAnsi="仿宋" w:eastAsia="仿宋"/>
          <w:color w:val="000000"/>
          <w:sz w:val="28"/>
          <w:szCs w:val="28"/>
        </w:rPr>
        <w:t>根据稀土硅铁合金产品的特点，明确评价的范围；根据评价指标体系中的指标和生命周期评价方法，收集需要的数据，同时对数据质量进行分析；对照基本要求和评价指标体系，对产品进行评价，符合基本要求和评价指标的产品，可判定该产品符合绿色设计产品的评价要求；产品符合基本要求和评价指标体系的生产企业，还应该提供该产品的生命周期评价报告。评价流程图见图1。</w:t>
      </w:r>
      <w:bookmarkStart w:id="12" w:name="_1634836356"/>
      <w:bookmarkEnd w:id="12"/>
      <w:bookmarkStart w:id="13" w:name="_1585144401"/>
      <w:bookmarkEnd w:id="13"/>
      <w:bookmarkStart w:id="14" w:name="_1634879226"/>
      <w:bookmarkEnd w:id="14"/>
      <w:r>
        <w:rPr>
          <w:color w:val="000000"/>
          <w:szCs w:val="21"/>
        </w:rPr>
        <w:pict>
          <v:shape id="_x0000_i1025" o:spt="75" type="#_x0000_t75" style="height:357pt;width:414.75pt;" filled="f" o:preferrelative="t" stroked="f" coordsize="21600,21600">
            <v:path/>
            <v:fill on="f" focussize="0,0"/>
            <v:stroke on="f" joinstyle="miter"/>
            <v:imagedata r:id="rId5" o:title=""/>
            <o:lock v:ext="edit" aspectratio="t"/>
            <w10:wrap type="none"/>
            <w10:anchorlock/>
          </v:shape>
        </w:pict>
      </w:r>
    </w:p>
    <w:p>
      <w:pPr>
        <w:widowControl/>
        <w:spacing w:before="156" w:beforeLines="50" w:after="156" w:afterLines="50"/>
        <w:jc w:val="center"/>
        <w:rPr>
          <w:rFonts w:eastAsia="黑体"/>
          <w:color w:val="000000"/>
          <w:szCs w:val="21"/>
        </w:rPr>
      </w:pPr>
      <w:r>
        <w:rPr>
          <w:rFonts w:eastAsia="黑体"/>
          <w:color w:val="000000"/>
          <w:szCs w:val="21"/>
        </w:rPr>
        <w:t>图1  稀土</w:t>
      </w:r>
      <w:r>
        <w:rPr>
          <w:rFonts w:hint="eastAsia" w:eastAsia="黑体"/>
          <w:color w:val="000000"/>
          <w:szCs w:val="21"/>
        </w:rPr>
        <w:t>硅</w:t>
      </w:r>
      <w:r>
        <w:rPr>
          <w:rFonts w:eastAsia="黑体"/>
          <w:color w:val="000000"/>
          <w:szCs w:val="21"/>
        </w:rPr>
        <w:t>铁合金绿色设计产品评价流程</w:t>
      </w:r>
    </w:p>
    <w:p>
      <w:pPr>
        <w:adjustRightInd w:val="0"/>
        <w:snapToGrid w:val="0"/>
        <w:spacing w:line="600" w:lineRule="atLeast"/>
        <w:rPr>
          <w:rFonts w:ascii="宋体" w:hAnsi="宋体"/>
          <w:b/>
          <w:color w:val="000000"/>
          <w:sz w:val="24"/>
          <w:szCs w:val="24"/>
        </w:rPr>
      </w:pP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2.4确定标准主要内容</w:t>
      </w: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2.4.1范围</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本标准规定了稀土硅铁合金绿色设计产品评价的术语和定义、评价要求、产品生命周期评价报告编制方法，以及评价方法和流程。</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本标准适用于含稀土的物料冶炼生产的稀土硅铁合金的绿色设计产品评价，主要工艺技术属于稀土火法冶炼领域。</w:t>
      </w: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2.4.2规范性引用文件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下列文件对于本文件的应用是必不可少的。凡是注日期的引用文件，仅注日期的版本适用于本文件。凡是不注日期的引用文件，其最新版本（包括所有的修改单）适用于本文件。</w:t>
      </w:r>
    </w:p>
    <w:p>
      <w:pPr>
        <w:adjustRightInd w:val="0"/>
        <w:snapToGrid w:val="0"/>
        <w:spacing w:line="600" w:lineRule="atLeast"/>
        <w:ind w:firstLine="560" w:firstLineChars="200"/>
        <w:rPr>
          <w:rFonts w:ascii="仿宋" w:hAnsi="仿宋" w:eastAsia="仿宋"/>
          <w:color w:val="000000"/>
          <w:sz w:val="28"/>
          <w:szCs w:val="28"/>
        </w:rPr>
      </w:pPr>
      <w:bookmarkStart w:id="15" w:name="_Hlk513733739"/>
      <w:bookmarkStart w:id="16" w:name="_Hlk509409621"/>
      <w:r>
        <w:rPr>
          <w:rFonts w:hint="eastAsia" w:ascii="仿宋" w:hAnsi="仿宋" w:eastAsia="仿宋"/>
          <w:color w:val="000000"/>
          <w:sz w:val="28"/>
          <w:szCs w:val="28"/>
        </w:rPr>
        <w:t>GB/T 4137-2015稀土硅铁合金</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11806 放射性物质安全运输规定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14500 放射性废物管理规定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15676 稀土术语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18597 危险废物贮存污染控制标准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18599 一般工业固体废物贮存、处置场污染控制标准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19001 质量管理体系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23331 能源管理体系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24001 环境管理体系 要求及使用指南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24040 环境管理 生命周期评价 原则与框架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24044 环境管理 生命周期评价 要求与指南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26451-2011 稀土工业污染物排放标准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29435 稀土冶炼加工企业单位产品能耗限额</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32161-2015 生态设计产品评价通则</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45001 职业健康安全管理体系要求</w:t>
      </w:r>
    </w:p>
    <w:bookmarkEnd w:id="15"/>
    <w:bookmarkEnd w:id="16"/>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2.4.3基本要求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生产企业要满足以下要求，包括但不限于：</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1、稀土火法冶炼企业应达到工业和信息化部《稀土行业规范条件（2016年本）》要求。</w:t>
      </w:r>
    </w:p>
    <w:p>
      <w:pPr>
        <w:adjustRightInd w:val="0"/>
        <w:snapToGrid w:val="0"/>
        <w:spacing w:line="600" w:lineRule="atLeas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说明：企业需要达到的最基本的条件。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2、生产企业的污染物排放应达到《稀土工业污染物排放标准》（GB 26451-2011），污染物排放总量严格执行《排污许可证》的要求，并严格执行节能环保相关国家标准并提供标准清单，近三年无重大质量、安全和环境事故。</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说明：企业污染物排放的基本要求。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3、生产企业应按照GB/T 19001、GB/T 23331、GB/T 24001及GB/T45001分别建立、实施、保持并持续改进质量管理、能源管理、环境管理和职业健康安全管理等体系。</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4、生产企业应对产品主要原材料供应方、生产协作方、相关服务方等提出相关质量、环境、能源和职业健康安全等方面的管理要求。生产企业宜开展绿色供应链管理，并建立绿色供应链管理绩效评价机制、程序，确定评价指标和评价方法。</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5、参与绿色设计产品评价的稀土硅铁合金产品，其基本性能应符合相应国家或行业标准的规定，并满足设计和使用的要求。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6、生产企业应选用国家鼓励的低污染、低排放、低能耗、经济高效的清洁生产技术和工艺，推广使用行业清洁生产技术推行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定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7、 固体废物应分类堆存。一般固体废弃物按照GB18599的要求进行贮存、处置。危险固废按GB 18597要求进行收集、贮存、运输、处置。</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8、产品包装材料应采用可再生利用或可降解材料。</w:t>
      </w:r>
    </w:p>
    <w:p>
      <w:pPr>
        <w:adjustRightInd w:val="0"/>
        <w:snapToGrid w:val="0"/>
        <w:spacing w:line="600" w:lineRule="atLeast"/>
        <w:rPr>
          <w:rFonts w:ascii="仿宋" w:hAnsi="仿宋" w:eastAsia="仿宋"/>
          <w:color w:val="000000"/>
          <w:sz w:val="28"/>
          <w:szCs w:val="28"/>
        </w:rPr>
      </w:pPr>
      <w:r>
        <w:rPr>
          <w:rFonts w:hint="eastAsia" w:ascii="仿宋" w:hAnsi="仿宋" w:eastAsia="仿宋"/>
          <w:color w:val="000000"/>
          <w:sz w:val="28"/>
          <w:szCs w:val="28"/>
        </w:rPr>
        <w:t>以上8点是稀土硅铁合金产品生产企业必须同时满足的基本要求。</w:t>
      </w:r>
    </w:p>
    <w:p>
      <w:pPr>
        <w:adjustRightInd w:val="0"/>
        <w:snapToGrid w:val="0"/>
        <w:spacing w:line="600" w:lineRule="atLeast"/>
        <w:rPr>
          <w:rFonts w:ascii="仿宋" w:hAnsi="仿宋" w:eastAsia="仿宋"/>
          <w:b/>
          <w:bCs/>
          <w:color w:val="000000"/>
          <w:sz w:val="28"/>
          <w:szCs w:val="28"/>
        </w:rPr>
      </w:pPr>
      <w:r>
        <w:rPr>
          <w:rFonts w:hint="eastAsia" w:ascii="仿宋" w:hAnsi="仿宋" w:eastAsia="仿宋"/>
          <w:b/>
          <w:bCs/>
          <w:color w:val="000000"/>
          <w:sz w:val="28"/>
          <w:szCs w:val="28"/>
        </w:rPr>
        <w:t>2.4.4标准指标的制定分析</w:t>
      </w:r>
    </w:p>
    <w:p>
      <w:pPr>
        <w:adjustRightInd w:val="0"/>
        <w:snapToGrid w:val="0"/>
        <w:spacing w:line="600" w:lineRule="atLeas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w:t>
      </w:r>
      <w:r>
        <w:rPr>
          <w:rFonts w:hint="eastAsia" w:ascii="仿宋" w:hAnsi="仿宋" w:eastAsia="仿宋"/>
          <w:color w:val="000000"/>
          <w:sz w:val="28"/>
          <w:szCs w:val="28"/>
        </w:rPr>
        <w:t>标准指标的主要内容</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本标准的绿色指标由一级指标和二级指标组成。一级指标包括资源属性指标、能源属性指标、环境属性指标和产品属性指标。二级指标是对一级指标的具体化，明确规定所要达到的具体数值</w:t>
      </w:r>
      <w:r>
        <w:rPr>
          <w:rFonts w:ascii="仿宋" w:hAnsi="仿宋" w:eastAsia="仿宋"/>
          <w:color w:val="000000"/>
          <w:sz w:val="28"/>
          <w:szCs w:val="28"/>
        </w:rPr>
        <w:t>。</w:t>
      </w:r>
      <w:r>
        <w:rPr>
          <w:rFonts w:hint="eastAsia" w:ascii="仿宋" w:hAnsi="仿宋" w:eastAsia="仿宋"/>
          <w:color w:val="000000"/>
          <w:sz w:val="28"/>
          <w:szCs w:val="28"/>
        </w:rPr>
        <w:t>绿色特性指标依据稀土硅铁合金冶炼特点，对环境和人体健康影响程度，现有标准实施情况以及实际现状等侧重选取。</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其中，资源属性是描述稀土火法冶炼生命周期中所消耗的资源，重点选取生产阶段原辅材料消耗和再生利用方面的指标，如稀土收率、单位产品新鲜水消耗、单位产品碳素消耗等指标。</w:t>
      </w:r>
    </w:p>
    <w:p>
      <w:pPr>
        <w:adjustRightInd w:val="0"/>
        <w:snapToGrid w:val="0"/>
        <w:spacing w:line="600" w:lineRule="atLeast"/>
        <w:rPr>
          <w:rFonts w:ascii="仿宋" w:hAnsi="仿宋" w:eastAsia="仿宋"/>
          <w:color w:val="000000"/>
          <w:sz w:val="28"/>
          <w:szCs w:val="28"/>
        </w:rPr>
      </w:pPr>
      <w:r>
        <w:rPr>
          <w:rFonts w:hint="eastAsia" w:ascii="仿宋" w:hAnsi="仿宋" w:eastAsia="仿宋"/>
          <w:color w:val="000000"/>
          <w:sz w:val="28"/>
          <w:szCs w:val="28"/>
        </w:rPr>
        <w:t>能源属性重点选取产品在生产和使用过程中能源消耗方面的指标，如单位产品综合</w:t>
      </w:r>
      <w:r>
        <w:rPr>
          <w:rFonts w:hint="eastAsia" w:ascii="仿宋" w:hAnsi="仿宋" w:eastAsia="仿宋"/>
          <w:color w:val="000000" w:themeColor="text1"/>
          <w:sz w:val="28"/>
          <w:szCs w:val="28"/>
          <w14:textFill>
            <w14:solidFill>
              <w14:schemeClr w14:val="tx1"/>
            </w14:solidFill>
          </w14:textFill>
        </w:rPr>
        <w:t>电</w:t>
      </w:r>
      <w:r>
        <w:rPr>
          <w:rFonts w:hint="eastAsia" w:ascii="仿宋" w:hAnsi="仿宋" w:eastAsia="仿宋"/>
          <w:color w:val="000000"/>
          <w:sz w:val="28"/>
          <w:szCs w:val="28"/>
        </w:rPr>
        <w:t>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产品属性重点以性能和安全标准为准，如产品的种类指标。</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环境属性是描述稀土硅铁合金冶炼生命周期中向环境排放的各种污染物，是本标准的核心指标，因资源属性及能源属性指标最终在评价报告中都会转化成对环境排放的污染物的数量，来考察其对环境影响。重点选取有害物质禁用及限量要求、生产过程污染物排放，使用过程中有毒有害物质释放等方面的指标，如单位产品中固体废物产生量等指标。</w:t>
      </w:r>
    </w:p>
    <w:p>
      <w:pPr>
        <w:tabs>
          <w:tab w:val="left" w:pos="312"/>
        </w:tabs>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2、指标基准值的确定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项目开展以来，编制组对我国稀土硅铁合金冶炼企业现状进行了大量调研，调研方式包括资料调研、网上调研、发放调研表、现场调研等。在上速工作的基础上，根据产品和行业的特点，以评价筛选绿色产品为目的，以国家和行业标准及用户需求为基础，广泛征询行业专家、生产厂商意见的基础上，科学合理制定指标的基准值。在确定定量指标基准值时，以当前国内20%的该类产品达到该基准值要求为原则，体现绿色产品的优势。</w:t>
      </w:r>
    </w:p>
    <w:p>
      <w:pPr>
        <w:rPr>
          <w:rFonts w:ascii="仿宋" w:hAnsi="仿宋" w:eastAsia="仿宋"/>
          <w:b/>
          <w:sz w:val="28"/>
          <w:szCs w:val="28"/>
        </w:rPr>
      </w:pPr>
      <w:bookmarkStart w:id="17" w:name="_Toc406433318"/>
      <w:bookmarkStart w:id="18" w:name="_Toc408414435"/>
      <w:bookmarkStart w:id="19" w:name="_Toc387149848"/>
      <w:r>
        <w:rPr>
          <w:rFonts w:ascii="仿宋" w:hAnsi="仿宋" w:eastAsia="仿宋"/>
          <w:b/>
          <w:sz w:val="28"/>
          <w:szCs w:val="28"/>
        </w:rPr>
        <w:t>1</w:t>
      </w:r>
      <w:r>
        <w:rPr>
          <w:rFonts w:hint="eastAsia" w:ascii="仿宋" w:hAnsi="仿宋" w:eastAsia="仿宋"/>
          <w:b/>
          <w:sz w:val="28"/>
          <w:szCs w:val="28"/>
        </w:rPr>
        <w:t>）资源属性指标</w:t>
      </w:r>
      <w:bookmarkEnd w:id="17"/>
      <w:bookmarkEnd w:id="18"/>
      <w:bookmarkEnd w:id="19"/>
    </w:p>
    <w:p>
      <w:pPr>
        <w:ind w:firstLine="42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资源属性重点选取绿色原辅材料占比、稀土回收率、单位产品新鲜水耗量、工业用水重复率、单位产品碳素消耗、单位产品电极糊消耗、单位产品氧化钙消耗、单位产品75#硅消耗、单位产品铁加入量等。其中，</w:t>
      </w:r>
      <w:r>
        <w:rPr>
          <w:rFonts w:hint="eastAsia" w:ascii="仿宋" w:hAnsi="仿宋" w:eastAsia="仿宋"/>
          <w:b/>
          <w:color w:val="000000" w:themeColor="text1"/>
          <w:sz w:val="28"/>
          <w:szCs w:val="28"/>
          <w14:textFill>
            <w14:solidFill>
              <w14:schemeClr w14:val="tx1"/>
            </w14:solidFill>
          </w14:textFill>
        </w:rPr>
        <w:t>单位产品新鲜水消耗指标</w:t>
      </w:r>
      <w:r>
        <w:rPr>
          <w:rFonts w:hint="eastAsia" w:ascii="仿宋" w:hAnsi="仿宋" w:eastAsia="仿宋"/>
          <w:color w:val="000000" w:themeColor="text1"/>
          <w:sz w:val="28"/>
          <w:szCs w:val="28"/>
          <w14:textFill>
            <w14:solidFill>
              <w14:schemeClr w14:val="tx1"/>
            </w14:solidFill>
          </w14:textFill>
        </w:rPr>
        <w:t>是根据《稀土工业污染物排放标准》中基准排水量和对企业现场调研所确定的，应不大于《稀土冶炼行业清洁生产评价指标体系》中清洁生产评价指标的</w:t>
      </w:r>
      <w:r>
        <w:rPr>
          <w:rFonts w:ascii="仿宋" w:hAnsi="仿宋" w:eastAsia="仿宋"/>
          <w:color w:val="000000" w:themeColor="text1"/>
          <w:sz w:val="28"/>
          <w:szCs w:val="28"/>
          <w14:textFill>
            <w14:solidFill>
              <w14:schemeClr w14:val="tx1"/>
            </w14:solidFill>
          </w14:textFill>
        </w:rPr>
        <w:t>I</w:t>
      </w:r>
      <w:r>
        <w:rPr>
          <w:rFonts w:hint="eastAsia" w:ascii="仿宋" w:hAnsi="仿宋" w:eastAsia="仿宋"/>
          <w:color w:val="000000" w:themeColor="text1"/>
          <w:sz w:val="28"/>
          <w:szCs w:val="28"/>
          <w14:textFill>
            <w14:solidFill>
              <w14:schemeClr w14:val="tx1"/>
            </w14:solidFill>
          </w14:textFill>
        </w:rPr>
        <w:t>级指标；</w:t>
      </w:r>
      <w:r>
        <w:rPr>
          <w:rFonts w:hint="eastAsia" w:ascii="仿宋" w:hAnsi="仿宋" w:eastAsia="仿宋"/>
          <w:b/>
          <w:color w:val="000000" w:themeColor="text1"/>
          <w:sz w:val="28"/>
          <w:szCs w:val="28"/>
          <w14:textFill>
            <w14:solidFill>
              <w14:schemeClr w14:val="tx1"/>
            </w14:solidFill>
          </w14:textFill>
        </w:rPr>
        <w:t>工业用水重复利用率指标</w:t>
      </w:r>
      <w:r>
        <w:rPr>
          <w:rFonts w:hint="eastAsia" w:ascii="仿宋" w:hAnsi="仿宋" w:eastAsia="仿宋"/>
          <w:color w:val="000000" w:themeColor="text1"/>
          <w:sz w:val="28"/>
          <w:szCs w:val="28"/>
          <w14:textFill>
            <w14:solidFill>
              <w14:schemeClr w14:val="tx1"/>
            </w14:solidFill>
          </w14:textFill>
        </w:rPr>
        <w:t>是根据工信部的《稀土冶炼</w:t>
      </w:r>
      <w:r>
        <w:rPr>
          <w:rFonts w:hint="eastAsia" w:ascii="仿宋" w:hAnsi="仿宋" w:eastAsia="仿宋"/>
          <w:sz w:val="28"/>
          <w:szCs w:val="28"/>
        </w:rPr>
        <w:t>行业清洁生产评价指标体系》、环保部的《稀土工业污染防治技术政策》和对企业现场调研所确定的</w:t>
      </w:r>
      <w:r>
        <w:rPr>
          <w:rFonts w:hint="eastAsia" w:ascii="仿宋" w:hAnsi="仿宋" w:eastAsia="仿宋"/>
          <w:color w:val="000000"/>
          <w:sz w:val="28"/>
          <w:szCs w:val="28"/>
        </w:rPr>
        <w:t>。</w:t>
      </w:r>
    </w:p>
    <w:p>
      <w:pPr>
        <w:rPr>
          <w:rFonts w:ascii="仿宋" w:hAnsi="仿宋" w:eastAsia="仿宋"/>
          <w:b/>
          <w:sz w:val="28"/>
          <w:szCs w:val="28"/>
        </w:rPr>
      </w:pPr>
      <w:bookmarkStart w:id="20" w:name="_Toc406433319"/>
      <w:bookmarkStart w:id="21" w:name="_Toc408414436"/>
      <w:bookmarkStart w:id="22" w:name="_Toc387149849"/>
      <w:r>
        <w:rPr>
          <w:rFonts w:ascii="仿宋" w:hAnsi="仿宋" w:eastAsia="仿宋"/>
          <w:b/>
          <w:sz w:val="28"/>
          <w:szCs w:val="28"/>
        </w:rPr>
        <w:t>2</w:t>
      </w:r>
      <w:r>
        <w:rPr>
          <w:rFonts w:hint="eastAsia" w:ascii="仿宋" w:hAnsi="仿宋" w:eastAsia="仿宋"/>
          <w:b/>
          <w:sz w:val="28"/>
          <w:szCs w:val="28"/>
        </w:rPr>
        <w:t>）能源属性指标</w:t>
      </w:r>
      <w:bookmarkEnd w:id="20"/>
      <w:bookmarkEnd w:id="21"/>
      <w:bookmarkEnd w:id="22"/>
    </w:p>
    <w:p>
      <w:pPr>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能源属性选取了单</w:t>
      </w:r>
      <w:r>
        <w:rPr>
          <w:rFonts w:hint="eastAsia" w:ascii="仿宋" w:hAnsi="仿宋" w:eastAsia="仿宋"/>
          <w:color w:val="000000" w:themeColor="text1"/>
          <w:sz w:val="28"/>
          <w:szCs w:val="28"/>
          <w14:textFill>
            <w14:solidFill>
              <w14:schemeClr w14:val="tx1"/>
            </w14:solidFill>
          </w14:textFill>
        </w:rPr>
        <w:t>位产品综合电耗指标，指标基准值是由企业现场调研并结合《稀土冶炼加工企业单位产品能源消耗限额》确定的，绿色稀土硅铁合金产品的单位产品综合电耗应不大于GB29435-2012中“稀土冶炼加工企业单位产品能耗先进值”。</w:t>
      </w:r>
    </w:p>
    <w:p>
      <w:pPr>
        <w:rPr>
          <w:rFonts w:ascii="仿宋" w:hAnsi="仿宋" w:eastAsia="仿宋"/>
          <w:b/>
          <w:color w:val="000000" w:themeColor="text1"/>
          <w:sz w:val="28"/>
          <w:szCs w:val="28"/>
          <w14:textFill>
            <w14:solidFill>
              <w14:schemeClr w14:val="tx1"/>
            </w14:solidFill>
          </w14:textFill>
        </w:rPr>
      </w:pPr>
      <w:bookmarkStart w:id="23" w:name="_Toc408414438"/>
      <w:bookmarkStart w:id="24" w:name="_Toc406433321"/>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）产品属性指标</w:t>
      </w:r>
      <w:bookmarkEnd w:id="23"/>
      <w:bookmarkEnd w:id="24"/>
    </w:p>
    <w:p>
      <w:pPr>
        <w:ind w:firstLine="42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产品属性重点选取稀土总量和合格率两项指标。稀土总量</w:t>
      </w:r>
      <w:r>
        <w:rPr>
          <w:rFonts w:hint="eastAsia" w:ascii="仿宋" w:hAnsi="仿宋" w:eastAsia="仿宋"/>
          <w:sz w:val="28"/>
          <w:szCs w:val="28"/>
        </w:rPr>
        <w:t>符合现行标准和用户需求即可。</w:t>
      </w:r>
    </w:p>
    <w:p>
      <w:pPr>
        <w:rPr>
          <w:rFonts w:ascii="仿宋" w:hAnsi="仿宋" w:eastAsia="仿宋"/>
          <w:b/>
          <w:sz w:val="28"/>
          <w:szCs w:val="28"/>
        </w:rPr>
      </w:pPr>
      <w:bookmarkStart w:id="25" w:name="_Toc408414437"/>
      <w:bookmarkStart w:id="26" w:name="_Toc387149850"/>
      <w:bookmarkStart w:id="27" w:name="_Toc406433320"/>
      <w:r>
        <w:rPr>
          <w:rFonts w:hint="eastAsia" w:ascii="仿宋" w:hAnsi="仿宋" w:eastAsia="仿宋"/>
          <w:b/>
          <w:sz w:val="28"/>
          <w:szCs w:val="28"/>
        </w:rPr>
        <w:t>4）环境属性指标</w:t>
      </w:r>
      <w:bookmarkEnd w:id="25"/>
      <w:bookmarkEnd w:id="26"/>
      <w:bookmarkEnd w:id="27"/>
    </w:p>
    <w:p>
      <w:pPr>
        <w:ind w:firstLine="420"/>
        <w:rPr>
          <w:rFonts w:ascii="仿宋" w:hAnsi="仿宋" w:eastAsia="仿宋"/>
          <w:sz w:val="28"/>
          <w:szCs w:val="28"/>
        </w:rPr>
      </w:pPr>
      <w:r>
        <w:rPr>
          <w:rFonts w:hint="eastAsia" w:ascii="仿宋" w:hAnsi="仿宋" w:eastAsia="仿宋"/>
          <w:sz w:val="28"/>
          <w:szCs w:val="28"/>
        </w:rPr>
        <w:t>环境属性中所有污染物的产生均应不大于《稀土冶炼行业清洁生产评价指标体系》中清洁生产评价指标。</w:t>
      </w:r>
    </w:p>
    <w:p>
      <w:pPr>
        <w:tabs>
          <w:tab w:val="left" w:pos="522"/>
        </w:tabs>
        <w:adjustRightInd w:val="0"/>
        <w:snapToGrid w:val="0"/>
        <w:jc w:val="left"/>
        <w:rPr>
          <w:rFonts w:ascii="仿宋" w:hAnsi="仿宋" w:eastAsia="仿宋"/>
          <w:b/>
          <w:sz w:val="28"/>
          <w:szCs w:val="28"/>
        </w:rPr>
      </w:pPr>
      <w:bookmarkStart w:id="28" w:name="_Toc34117711"/>
      <w:bookmarkStart w:id="29" w:name="_Toc511234398"/>
      <w:bookmarkStart w:id="30" w:name="_Toc497309549"/>
      <w:r>
        <w:rPr>
          <w:rFonts w:hint="eastAsia" w:ascii="仿宋" w:hAnsi="仿宋" w:eastAsia="仿宋"/>
          <w:b/>
          <w:sz w:val="28"/>
          <w:szCs w:val="28"/>
        </w:rPr>
        <w:t>三、标准水平分析</w:t>
      </w:r>
      <w:bookmarkEnd w:id="28"/>
      <w:bookmarkEnd w:id="29"/>
      <w:bookmarkEnd w:id="30"/>
    </w:p>
    <w:p>
      <w:pPr>
        <w:ind w:firstLine="420"/>
        <w:rPr>
          <w:rFonts w:ascii="仿宋" w:hAnsi="仿宋" w:eastAsia="仿宋"/>
          <w:color w:val="000000"/>
          <w:sz w:val="28"/>
          <w:szCs w:val="28"/>
        </w:rPr>
      </w:pPr>
      <w:r>
        <w:rPr>
          <w:rFonts w:hint="eastAsia" w:ascii="仿宋" w:hAnsi="仿宋" w:eastAsia="仿宋"/>
          <w:color w:val="000000"/>
          <w:sz w:val="28"/>
          <w:szCs w:val="28"/>
        </w:rPr>
        <w:t>本标准属首次制定，填补了我国无稀土硅铁合金绿色设计产品评价标准的空白。标准指标严于现有的国家标准和行业标准的要求，完全满足稀土火法冶炼生产需求，标准总体水平达到了国际领先水平。</w:t>
      </w:r>
    </w:p>
    <w:p>
      <w:pPr>
        <w:tabs>
          <w:tab w:val="left" w:pos="522"/>
        </w:tabs>
        <w:adjustRightInd w:val="0"/>
        <w:snapToGrid w:val="0"/>
        <w:jc w:val="left"/>
        <w:rPr>
          <w:rFonts w:ascii="仿宋" w:hAnsi="仿宋" w:eastAsia="仿宋"/>
          <w:b/>
          <w:sz w:val="28"/>
          <w:szCs w:val="28"/>
        </w:rPr>
      </w:pPr>
      <w:bookmarkStart w:id="31" w:name="_Toc497309557"/>
      <w:bookmarkStart w:id="32" w:name="_Toc511234399"/>
      <w:bookmarkStart w:id="33" w:name="_Toc34117712"/>
      <w:r>
        <w:rPr>
          <w:rFonts w:hint="eastAsia" w:ascii="仿宋" w:hAnsi="仿宋" w:eastAsia="仿宋"/>
          <w:b/>
          <w:sz w:val="28"/>
          <w:szCs w:val="28"/>
        </w:rPr>
        <w:t>四、与现行相关法律、法规、规章及相关标准，特别是强制性标准的协调性</w:t>
      </w:r>
      <w:bookmarkEnd w:id="31"/>
      <w:bookmarkEnd w:id="32"/>
      <w:bookmarkEnd w:id="33"/>
    </w:p>
    <w:p>
      <w:pPr>
        <w:ind w:firstLine="420"/>
        <w:rPr>
          <w:rFonts w:ascii="仿宋" w:hAnsi="仿宋" w:eastAsia="仿宋"/>
          <w:color w:val="000000"/>
          <w:sz w:val="28"/>
          <w:szCs w:val="28"/>
        </w:rPr>
      </w:pPr>
      <w:r>
        <w:rPr>
          <w:rFonts w:hint="eastAsia" w:ascii="仿宋" w:hAnsi="仿宋" w:eastAsia="仿宋"/>
          <w:color w:val="000000"/>
          <w:sz w:val="28"/>
          <w:szCs w:val="28"/>
        </w:rPr>
        <w:t>目前我国无稀土硅铁合金冶炼绿色产品设计评价的国家标准或行</w:t>
      </w:r>
      <w:r>
        <w:rPr>
          <w:rFonts w:hint="eastAsia" w:ascii="仿宋" w:hAnsi="仿宋" w:eastAsia="仿宋"/>
          <w:b/>
          <w:sz w:val="28"/>
          <w:szCs w:val="28"/>
        </w:rPr>
        <w:t>业标准，本标准是新制定的行业标准。本标准的制定是我国稀土行业</w:t>
      </w:r>
      <w:r>
        <w:rPr>
          <w:rFonts w:hint="eastAsia" w:ascii="仿宋" w:hAnsi="仿宋" w:eastAsia="仿宋"/>
          <w:color w:val="000000"/>
          <w:sz w:val="28"/>
          <w:szCs w:val="28"/>
        </w:rPr>
        <w:t>标准体系的完善和补充。本标准的制定与现行的相关法律、法规、规章及相关标准的关系不矛盾、不冲突，其相互关系非常协调。</w:t>
      </w:r>
    </w:p>
    <w:p>
      <w:pPr>
        <w:tabs>
          <w:tab w:val="left" w:pos="522"/>
        </w:tabs>
        <w:adjustRightInd w:val="0"/>
        <w:snapToGrid w:val="0"/>
        <w:jc w:val="left"/>
        <w:rPr>
          <w:rFonts w:ascii="仿宋" w:hAnsi="仿宋" w:eastAsia="仿宋"/>
          <w:b/>
          <w:sz w:val="28"/>
          <w:szCs w:val="28"/>
        </w:rPr>
      </w:pPr>
      <w:bookmarkStart w:id="34" w:name="_Toc511234400"/>
      <w:bookmarkStart w:id="35" w:name="_Toc34117713"/>
      <w:bookmarkStart w:id="36" w:name="_Toc497309558"/>
      <w:r>
        <w:rPr>
          <w:rFonts w:hint="eastAsia" w:ascii="仿宋" w:hAnsi="仿宋" w:eastAsia="仿宋"/>
          <w:b/>
          <w:sz w:val="28"/>
          <w:szCs w:val="28"/>
        </w:rPr>
        <w:t>五、标准中涉及的专利或知识产权说明</w:t>
      </w:r>
      <w:bookmarkEnd w:id="34"/>
      <w:bookmarkEnd w:id="35"/>
      <w:bookmarkEnd w:id="36"/>
    </w:p>
    <w:p>
      <w:pPr>
        <w:ind w:firstLine="420"/>
        <w:rPr>
          <w:rFonts w:ascii="仿宋" w:hAnsi="仿宋" w:eastAsia="仿宋"/>
          <w:color w:val="000000"/>
          <w:sz w:val="28"/>
          <w:szCs w:val="28"/>
        </w:rPr>
      </w:pPr>
      <w:r>
        <w:rPr>
          <w:rFonts w:hint="eastAsia" w:ascii="仿宋" w:hAnsi="仿宋" w:eastAsia="仿宋"/>
          <w:color w:val="000000"/>
          <w:sz w:val="28"/>
          <w:szCs w:val="28"/>
        </w:rPr>
        <w:t>本标准不涉及任何专利或知识产权。</w:t>
      </w:r>
    </w:p>
    <w:p>
      <w:pPr>
        <w:tabs>
          <w:tab w:val="left" w:pos="522"/>
        </w:tabs>
        <w:adjustRightInd w:val="0"/>
        <w:snapToGrid w:val="0"/>
        <w:jc w:val="left"/>
        <w:rPr>
          <w:rFonts w:ascii="仿宋" w:hAnsi="仿宋" w:eastAsia="仿宋"/>
          <w:b/>
          <w:sz w:val="28"/>
          <w:szCs w:val="28"/>
        </w:rPr>
      </w:pPr>
      <w:bookmarkStart w:id="37" w:name="_Toc497309559"/>
      <w:bookmarkStart w:id="38" w:name="_Toc34117714"/>
      <w:bookmarkStart w:id="39" w:name="_Toc511234401"/>
      <w:r>
        <w:rPr>
          <w:rFonts w:hint="eastAsia" w:ascii="仿宋" w:hAnsi="仿宋" w:eastAsia="仿宋"/>
          <w:b/>
          <w:sz w:val="28"/>
          <w:szCs w:val="28"/>
        </w:rPr>
        <w:t>六、重大分歧意见的处理经过和依据</w:t>
      </w:r>
      <w:bookmarkEnd w:id="37"/>
      <w:bookmarkEnd w:id="38"/>
      <w:bookmarkEnd w:id="39"/>
    </w:p>
    <w:p>
      <w:pPr>
        <w:ind w:firstLine="420"/>
        <w:rPr>
          <w:rFonts w:ascii="仿宋" w:hAnsi="仿宋" w:eastAsia="仿宋"/>
          <w:color w:val="000000"/>
          <w:sz w:val="28"/>
          <w:szCs w:val="28"/>
        </w:rPr>
      </w:pPr>
      <w:r>
        <w:rPr>
          <w:rFonts w:hint="eastAsia" w:ascii="仿宋" w:hAnsi="仿宋" w:eastAsia="仿宋"/>
          <w:color w:val="000000"/>
          <w:sz w:val="28"/>
          <w:szCs w:val="28"/>
        </w:rPr>
        <w:t>（无）</w:t>
      </w:r>
    </w:p>
    <w:p>
      <w:pPr>
        <w:tabs>
          <w:tab w:val="left" w:pos="522"/>
        </w:tabs>
        <w:adjustRightInd w:val="0"/>
        <w:snapToGrid w:val="0"/>
        <w:jc w:val="left"/>
        <w:rPr>
          <w:rFonts w:ascii="仿宋" w:hAnsi="仿宋" w:eastAsia="仿宋"/>
          <w:b/>
          <w:sz w:val="28"/>
          <w:szCs w:val="28"/>
        </w:rPr>
      </w:pPr>
      <w:bookmarkStart w:id="40" w:name="_Toc497309560"/>
      <w:bookmarkStart w:id="41" w:name="_Toc34117715"/>
      <w:bookmarkStart w:id="42" w:name="_Toc511234402"/>
      <w:r>
        <w:rPr>
          <w:rFonts w:hint="eastAsia" w:ascii="仿宋" w:hAnsi="仿宋" w:eastAsia="仿宋"/>
          <w:b/>
          <w:sz w:val="28"/>
          <w:szCs w:val="28"/>
        </w:rPr>
        <w:t>七、标准作为强制性或推荐性行业标准的建议</w:t>
      </w:r>
      <w:bookmarkEnd w:id="40"/>
      <w:bookmarkEnd w:id="41"/>
      <w:bookmarkEnd w:id="42"/>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本标准建议不作为强制性标准，而建议作为推荐性标准。</w:t>
      </w:r>
    </w:p>
    <w:p>
      <w:pPr>
        <w:tabs>
          <w:tab w:val="left" w:pos="522"/>
        </w:tabs>
        <w:adjustRightInd w:val="0"/>
        <w:snapToGrid w:val="0"/>
        <w:jc w:val="left"/>
        <w:rPr>
          <w:rFonts w:ascii="仿宋" w:hAnsi="仿宋" w:eastAsia="仿宋"/>
          <w:b/>
          <w:sz w:val="28"/>
          <w:szCs w:val="28"/>
        </w:rPr>
      </w:pPr>
      <w:bookmarkStart w:id="43" w:name="_Toc497309561"/>
      <w:bookmarkStart w:id="44" w:name="_Toc34117716"/>
      <w:bookmarkStart w:id="45" w:name="_Toc511234403"/>
      <w:r>
        <w:rPr>
          <w:rFonts w:hint="eastAsia" w:ascii="仿宋" w:hAnsi="仿宋" w:eastAsia="仿宋"/>
          <w:b/>
          <w:sz w:val="28"/>
          <w:szCs w:val="28"/>
        </w:rPr>
        <w:t>八、贯彻标准的要求和措施建议</w:t>
      </w:r>
      <w:bookmarkEnd w:id="43"/>
      <w:bookmarkEnd w:id="44"/>
      <w:bookmarkEnd w:id="45"/>
    </w:p>
    <w:p>
      <w:pPr>
        <w:tabs>
          <w:tab w:val="left" w:pos="522"/>
        </w:tabs>
        <w:adjustRightInd w:val="0"/>
        <w:snapToGrid w:val="0"/>
        <w:jc w:val="left"/>
        <w:rPr>
          <w:rFonts w:ascii="仿宋" w:hAnsi="仿宋" w:eastAsia="仿宋"/>
          <w:b/>
          <w:sz w:val="28"/>
          <w:szCs w:val="28"/>
        </w:rPr>
      </w:pPr>
      <w:bookmarkStart w:id="46" w:name="_Toc511234404"/>
      <w:bookmarkStart w:id="47" w:name="_Toc508985119"/>
      <w:bookmarkStart w:id="48" w:name="_Toc34117717"/>
      <w:r>
        <w:rPr>
          <w:rFonts w:hint="eastAsia" w:ascii="仿宋" w:hAnsi="仿宋" w:eastAsia="仿宋"/>
          <w:b/>
          <w:sz w:val="28"/>
          <w:szCs w:val="28"/>
        </w:rPr>
        <w:t>8.1 组织措施</w:t>
      </w:r>
      <w:bookmarkEnd w:id="46"/>
      <w:bookmarkEnd w:id="47"/>
      <w:bookmarkEnd w:id="48"/>
    </w:p>
    <w:p>
      <w:pPr>
        <w:widowControl/>
        <w:ind w:firstLine="560" w:firstLineChars="200"/>
        <w:rPr>
          <w:rFonts w:ascii="仿宋" w:hAnsi="仿宋" w:eastAsia="仿宋"/>
          <w:color w:val="000000"/>
          <w:sz w:val="28"/>
          <w:szCs w:val="28"/>
        </w:rPr>
      </w:pPr>
      <w:r>
        <w:rPr>
          <w:rFonts w:hint="eastAsia" w:ascii="仿宋" w:hAnsi="仿宋" w:eastAsia="仿宋"/>
          <w:color w:val="000000"/>
          <w:sz w:val="28"/>
          <w:szCs w:val="28"/>
        </w:rPr>
        <w:t>本标准发布后，全国稀土标准化技术委员会应加强对本标准的宣传力度，介绍本标准的核心技术内容及实施的关键技术要素，促进更多地企业和科研单位了解、掌握科学的稀土硅铁合金产品的绿色设计产品评价规范，促进标准的顺利实施。</w:t>
      </w:r>
    </w:p>
    <w:p>
      <w:pPr>
        <w:tabs>
          <w:tab w:val="left" w:pos="522"/>
        </w:tabs>
        <w:adjustRightInd w:val="0"/>
        <w:snapToGrid w:val="0"/>
        <w:jc w:val="left"/>
        <w:rPr>
          <w:rFonts w:ascii="仿宋" w:hAnsi="仿宋" w:eastAsia="仿宋"/>
          <w:b/>
          <w:sz w:val="28"/>
          <w:szCs w:val="28"/>
        </w:rPr>
      </w:pPr>
      <w:bookmarkStart w:id="49" w:name="_Toc34117718"/>
      <w:bookmarkStart w:id="50" w:name="_Toc508985120"/>
      <w:bookmarkStart w:id="51" w:name="_Toc511234405"/>
      <w:r>
        <w:rPr>
          <w:rFonts w:hint="eastAsia" w:ascii="仿宋" w:hAnsi="仿宋" w:eastAsia="仿宋"/>
          <w:b/>
          <w:sz w:val="28"/>
          <w:szCs w:val="28"/>
        </w:rPr>
        <w:t>8.2技术措施</w:t>
      </w:r>
      <w:bookmarkEnd w:id="49"/>
      <w:bookmarkEnd w:id="50"/>
      <w:bookmarkEnd w:id="51"/>
    </w:p>
    <w:p>
      <w:pPr>
        <w:widowControl/>
        <w:ind w:firstLine="420"/>
        <w:rPr>
          <w:rFonts w:ascii="仿宋" w:hAnsi="仿宋" w:eastAsia="仿宋"/>
          <w:color w:val="000000"/>
          <w:sz w:val="28"/>
          <w:szCs w:val="28"/>
        </w:rPr>
      </w:pPr>
      <w:r>
        <w:rPr>
          <w:rFonts w:hint="eastAsia" w:ascii="仿宋" w:hAnsi="仿宋" w:eastAsia="仿宋"/>
          <w:color w:val="000000"/>
          <w:sz w:val="28"/>
          <w:szCs w:val="28"/>
        </w:rPr>
        <w:t>该标准给出的术语和定义、计算方法和评价方法，企业应按照本标准，结合本企业实际生产情况，统筹考虑资源、能源、环境、质量等属性，科学确定企业产品评价的关键阶段和关键指标，确定正确的评价结果。</w:t>
      </w:r>
    </w:p>
    <w:p>
      <w:pPr>
        <w:tabs>
          <w:tab w:val="left" w:pos="522"/>
        </w:tabs>
        <w:adjustRightInd w:val="0"/>
        <w:snapToGrid w:val="0"/>
        <w:jc w:val="left"/>
        <w:rPr>
          <w:rFonts w:ascii="仿宋" w:hAnsi="仿宋" w:eastAsia="仿宋"/>
          <w:b/>
          <w:sz w:val="28"/>
          <w:szCs w:val="28"/>
        </w:rPr>
      </w:pPr>
      <w:bookmarkStart w:id="52" w:name="_Toc497309562"/>
      <w:bookmarkStart w:id="53" w:name="_Toc511234406"/>
      <w:bookmarkStart w:id="54" w:name="_Toc34117719"/>
      <w:r>
        <w:rPr>
          <w:rFonts w:hint="eastAsia" w:ascii="仿宋" w:hAnsi="仿宋" w:eastAsia="仿宋"/>
          <w:b/>
          <w:sz w:val="28"/>
          <w:szCs w:val="28"/>
        </w:rPr>
        <w:t>九、废止现行有关标准的建议</w:t>
      </w:r>
      <w:bookmarkEnd w:id="52"/>
      <w:bookmarkEnd w:id="53"/>
      <w:bookmarkEnd w:id="54"/>
    </w:p>
    <w:p>
      <w:pPr>
        <w:ind w:firstLine="420"/>
        <w:rPr>
          <w:rFonts w:ascii="仿宋" w:hAnsi="仿宋" w:eastAsia="仿宋"/>
          <w:color w:val="000000"/>
          <w:sz w:val="28"/>
          <w:szCs w:val="28"/>
        </w:rPr>
      </w:pPr>
      <w:r>
        <w:rPr>
          <w:rFonts w:hint="eastAsia" w:ascii="仿宋" w:hAnsi="仿宋" w:eastAsia="仿宋"/>
          <w:color w:val="000000"/>
          <w:sz w:val="28"/>
          <w:szCs w:val="28"/>
        </w:rPr>
        <w:t>（无）。</w:t>
      </w:r>
    </w:p>
    <w:p>
      <w:pPr>
        <w:tabs>
          <w:tab w:val="left" w:pos="522"/>
        </w:tabs>
        <w:adjustRightInd w:val="0"/>
        <w:snapToGrid w:val="0"/>
        <w:jc w:val="left"/>
        <w:rPr>
          <w:rFonts w:ascii="仿宋" w:hAnsi="仿宋" w:eastAsia="仿宋"/>
          <w:b/>
          <w:sz w:val="28"/>
          <w:szCs w:val="28"/>
        </w:rPr>
      </w:pPr>
      <w:bookmarkStart w:id="55" w:name="_Toc511234407"/>
      <w:bookmarkStart w:id="56" w:name="_Toc497309563"/>
      <w:bookmarkStart w:id="57" w:name="_Toc34117720"/>
      <w:r>
        <w:rPr>
          <w:rFonts w:hint="eastAsia" w:ascii="仿宋" w:hAnsi="仿宋" w:eastAsia="仿宋"/>
          <w:b/>
          <w:sz w:val="28"/>
          <w:szCs w:val="28"/>
        </w:rPr>
        <w:t>十、产业化情况、推广应用论证和预期达到的经济效果</w:t>
      </w:r>
      <w:bookmarkEnd w:id="55"/>
      <w:bookmarkEnd w:id="56"/>
      <w:bookmarkEnd w:id="57"/>
    </w:p>
    <w:p>
      <w:pPr>
        <w:widowControl/>
        <w:ind w:firstLine="560" w:firstLineChars="200"/>
        <w:rPr>
          <w:rFonts w:ascii="仿宋" w:hAnsi="仿宋" w:eastAsia="仿宋"/>
          <w:color w:val="000000"/>
          <w:sz w:val="28"/>
          <w:szCs w:val="28"/>
        </w:rPr>
      </w:pPr>
      <w:r>
        <w:rPr>
          <w:rFonts w:hint="eastAsia" w:ascii="仿宋" w:hAnsi="仿宋" w:eastAsia="仿宋"/>
          <w:color w:val="000000"/>
          <w:sz w:val="28"/>
          <w:szCs w:val="28"/>
        </w:rPr>
        <w:t>绿色产品标准是基于全生命周期理念所形成，不但针对产品质量、生态环境、健康安全等多方面提出了综合性指标要求，也为企业的生产过程与生产技术设定了标杆。本标准提出的《绿色设计产品评价技术规范 稀土硅铁合金产品》，通过建立系统科学、开放融合、指标先进、权威统一的绿色产品标准、认证、标识体系，有利于纠正目前传统稀土冶炼产业中生态环境与资源的扭曲配置，改变粗放式的生产模式，提高资本、劳动等要素的配置效率，化解过剩产能，淘汰落后产能，推进供给侧结构性改革，促进传统产业的转型升级。标准的实施将有力的推动我国稀土绿色冶炼技术的快速推广应用，对促进我国稀土冶炼产业的健康可持续发展具有重要作用。与此同时，借助绿色设计和绿色制造等先进理念和技术，可以有效促进我国产品质量的提升，塑造绿色品牌，推动高端稀土绿色产品的供给，适应和满足日渐兴起的绿色消费趋势，形成“产品质量好—消费口碑好—中高端消费需求上升—质量提升动力上升—产品供给质量提升—绿色产品质量好”的良性循环，提升经济效益。</w:t>
      </w:r>
    </w:p>
    <w:p>
      <w:pPr>
        <w:widowControl/>
        <w:ind w:firstLine="560" w:firstLineChars="200"/>
        <w:rPr>
          <w:rFonts w:ascii="仿宋" w:hAnsi="仿宋" w:eastAsia="仿宋"/>
          <w:color w:val="000000"/>
          <w:sz w:val="28"/>
          <w:szCs w:val="28"/>
        </w:rPr>
      </w:pPr>
      <w:r>
        <w:rPr>
          <w:rFonts w:hint="eastAsia" w:ascii="仿宋" w:hAnsi="仿宋" w:eastAsia="仿宋"/>
          <w:color w:val="000000"/>
          <w:sz w:val="28"/>
          <w:szCs w:val="28"/>
        </w:rPr>
        <w:t>本标准的实施可规避国际绿色壁垒，提升我国稀土的国际话语权，促进我国由稀土生产大国向强国转变。2013年4月9日，欧盟委员会发布关于建立绿色产品单一市场的公告，未来欧盟地区将使用统一的生命周期评价方法，即从产品原材料选择、制造过程、使用环节以及产品废弃后处理等产品生命周期阶段综合各项指标考虑评估绿色产品。而提供和披露基于生命周期的产品生态报告，也正日益成为进入国际市场的常见要求。因此，建立我国稀土冶炼绿色产品标准体系，主动迎合全球市场发展变化趋势，争取我国在国际绿色产品标准化方面的话语权，推动国内与国际绿色标准的接轨与互认，可以有效规避国外绿色贸易壁垒，提升我国稀土产品的国际市场竞争力，推动我国绿色产品、技术、服务和标准走出去。</w:t>
      </w:r>
    </w:p>
    <w:p>
      <w:pPr>
        <w:tabs>
          <w:tab w:val="left" w:pos="522"/>
        </w:tabs>
        <w:adjustRightInd w:val="0"/>
        <w:snapToGrid w:val="0"/>
        <w:spacing w:line="520" w:lineRule="exact"/>
        <w:ind w:firstLine="7000" w:firstLineChars="2500"/>
        <w:rPr>
          <w:rFonts w:ascii="仿宋" w:hAnsi="仿宋" w:eastAsia="仿宋"/>
          <w:color w:val="000000"/>
          <w:sz w:val="28"/>
          <w:szCs w:val="28"/>
        </w:rPr>
      </w:pPr>
    </w:p>
    <w:p>
      <w:pPr>
        <w:tabs>
          <w:tab w:val="left" w:pos="522"/>
        </w:tabs>
        <w:adjustRightInd w:val="0"/>
        <w:snapToGrid w:val="0"/>
        <w:spacing w:line="520" w:lineRule="exact"/>
        <w:ind w:firstLine="7000" w:firstLineChars="2500"/>
        <w:rPr>
          <w:rFonts w:ascii="仿宋" w:hAnsi="仿宋" w:eastAsia="仿宋"/>
          <w:color w:val="000000"/>
          <w:sz w:val="28"/>
          <w:szCs w:val="28"/>
        </w:rPr>
      </w:pPr>
    </w:p>
    <w:p>
      <w:pPr>
        <w:tabs>
          <w:tab w:val="left" w:pos="522"/>
        </w:tabs>
        <w:adjustRightInd w:val="0"/>
        <w:snapToGrid w:val="0"/>
        <w:spacing w:line="520" w:lineRule="exact"/>
        <w:ind w:firstLine="5880" w:firstLineChars="2100"/>
        <w:rPr>
          <w:rFonts w:ascii="仿宋" w:hAnsi="仿宋" w:eastAsia="仿宋"/>
          <w:color w:val="000000"/>
          <w:sz w:val="28"/>
          <w:szCs w:val="28"/>
        </w:rPr>
      </w:pPr>
      <w:r>
        <w:rPr>
          <w:rFonts w:hint="eastAsia" w:ascii="仿宋" w:hAnsi="仿宋" w:eastAsia="仿宋"/>
          <w:color w:val="000000"/>
          <w:sz w:val="28"/>
          <w:szCs w:val="28"/>
        </w:rPr>
        <w:t>包头稀土研究院</w:t>
      </w:r>
    </w:p>
    <w:p>
      <w:pPr>
        <w:tabs>
          <w:tab w:val="left" w:pos="522"/>
        </w:tabs>
        <w:adjustRightInd w:val="0"/>
        <w:snapToGrid w:val="0"/>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 xml:space="preserve">                                   二〇二二年三月十一日</w:t>
      </w:r>
    </w:p>
    <w:p>
      <w:pPr>
        <w:spacing w:line="540" w:lineRule="exact"/>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74160"/>
    </w:sdtPr>
    <w:sdtContent>
      <w:p>
        <w:pPr>
          <w:pStyle w:val="9"/>
          <w:jc w:val="right"/>
        </w:pPr>
        <w:r>
          <w:fldChar w:fldCharType="begin"/>
        </w:r>
        <w:r>
          <w:instrText xml:space="preserve">PAGE   \* MERGEFORMAT</w:instrText>
        </w:r>
        <w:r>
          <w:fldChar w:fldCharType="separate"/>
        </w:r>
        <w:r>
          <w:rPr>
            <w:lang w:val="zh-CN"/>
          </w:rPr>
          <w:t>19</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16190"/>
    <w:rsid w:val="00032C0F"/>
    <w:rsid w:val="00057EEF"/>
    <w:rsid w:val="000B21ED"/>
    <w:rsid w:val="000C41A9"/>
    <w:rsid w:val="00154A68"/>
    <w:rsid w:val="00156F90"/>
    <w:rsid w:val="0026250E"/>
    <w:rsid w:val="002E7454"/>
    <w:rsid w:val="002F5855"/>
    <w:rsid w:val="003179D9"/>
    <w:rsid w:val="00373C14"/>
    <w:rsid w:val="003B1A67"/>
    <w:rsid w:val="003D4BAF"/>
    <w:rsid w:val="0041058F"/>
    <w:rsid w:val="0042385E"/>
    <w:rsid w:val="00430765"/>
    <w:rsid w:val="00507D25"/>
    <w:rsid w:val="005161B2"/>
    <w:rsid w:val="005655EC"/>
    <w:rsid w:val="006166F2"/>
    <w:rsid w:val="00634B38"/>
    <w:rsid w:val="00676395"/>
    <w:rsid w:val="006C72B0"/>
    <w:rsid w:val="006E281D"/>
    <w:rsid w:val="007272A1"/>
    <w:rsid w:val="007C40C8"/>
    <w:rsid w:val="00813F03"/>
    <w:rsid w:val="009A150C"/>
    <w:rsid w:val="009B2304"/>
    <w:rsid w:val="00A94C35"/>
    <w:rsid w:val="00AE5F83"/>
    <w:rsid w:val="00B4562E"/>
    <w:rsid w:val="00B72ADE"/>
    <w:rsid w:val="00B952D3"/>
    <w:rsid w:val="00BB088A"/>
    <w:rsid w:val="00C56D95"/>
    <w:rsid w:val="00C866FC"/>
    <w:rsid w:val="00D079BB"/>
    <w:rsid w:val="00D15304"/>
    <w:rsid w:val="00D67FD0"/>
    <w:rsid w:val="00E52077"/>
    <w:rsid w:val="00E567B7"/>
    <w:rsid w:val="00E76396"/>
    <w:rsid w:val="00EC51CF"/>
    <w:rsid w:val="00ED6378"/>
    <w:rsid w:val="00F34D35"/>
    <w:rsid w:val="00F535DE"/>
    <w:rsid w:val="02335146"/>
    <w:rsid w:val="04A1108C"/>
    <w:rsid w:val="068E28E1"/>
    <w:rsid w:val="082D405A"/>
    <w:rsid w:val="088A42E9"/>
    <w:rsid w:val="09666C2D"/>
    <w:rsid w:val="098C4001"/>
    <w:rsid w:val="0A854988"/>
    <w:rsid w:val="0AE6152A"/>
    <w:rsid w:val="0CA15F4E"/>
    <w:rsid w:val="0D5E0541"/>
    <w:rsid w:val="0FF755A2"/>
    <w:rsid w:val="10C27248"/>
    <w:rsid w:val="120624DA"/>
    <w:rsid w:val="13112701"/>
    <w:rsid w:val="148A5CCE"/>
    <w:rsid w:val="16837DD0"/>
    <w:rsid w:val="16B23C20"/>
    <w:rsid w:val="17C97901"/>
    <w:rsid w:val="18047D2E"/>
    <w:rsid w:val="19DB3155"/>
    <w:rsid w:val="1AD10825"/>
    <w:rsid w:val="1B431B48"/>
    <w:rsid w:val="1C0E71A6"/>
    <w:rsid w:val="21F777BF"/>
    <w:rsid w:val="27F97926"/>
    <w:rsid w:val="28462A03"/>
    <w:rsid w:val="28892979"/>
    <w:rsid w:val="296419B8"/>
    <w:rsid w:val="2EDC72F4"/>
    <w:rsid w:val="2F46737E"/>
    <w:rsid w:val="2FF35A0C"/>
    <w:rsid w:val="32ED2B65"/>
    <w:rsid w:val="32F152C8"/>
    <w:rsid w:val="33C73082"/>
    <w:rsid w:val="374049B2"/>
    <w:rsid w:val="3746199D"/>
    <w:rsid w:val="384F502C"/>
    <w:rsid w:val="393C3DE2"/>
    <w:rsid w:val="3D445B22"/>
    <w:rsid w:val="3E3452CA"/>
    <w:rsid w:val="402940CF"/>
    <w:rsid w:val="403268B6"/>
    <w:rsid w:val="40D61D7B"/>
    <w:rsid w:val="41CC29DD"/>
    <w:rsid w:val="41EC1981"/>
    <w:rsid w:val="455E5E1C"/>
    <w:rsid w:val="458624A4"/>
    <w:rsid w:val="461A26D1"/>
    <w:rsid w:val="49D0514E"/>
    <w:rsid w:val="4C9B1DFE"/>
    <w:rsid w:val="4E7D061B"/>
    <w:rsid w:val="512A0372"/>
    <w:rsid w:val="53BA7617"/>
    <w:rsid w:val="59720085"/>
    <w:rsid w:val="59E0502E"/>
    <w:rsid w:val="5EE307CA"/>
    <w:rsid w:val="5F5D041F"/>
    <w:rsid w:val="604C36C0"/>
    <w:rsid w:val="60E05B3D"/>
    <w:rsid w:val="621F5685"/>
    <w:rsid w:val="62BC44B2"/>
    <w:rsid w:val="643D2FED"/>
    <w:rsid w:val="6B2564A3"/>
    <w:rsid w:val="6D49583F"/>
    <w:rsid w:val="6ECF06E9"/>
    <w:rsid w:val="72F85D57"/>
    <w:rsid w:val="753318E2"/>
    <w:rsid w:val="7AB71A94"/>
    <w:rsid w:val="7BA16190"/>
    <w:rsid w:val="7D4E3844"/>
    <w:rsid w:val="7DB4470E"/>
    <w:rsid w:val="7F74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Lines="100" w:afterLines="100"/>
      <w:outlineLvl w:val="0"/>
    </w:pPr>
    <w:rPr>
      <w:rFonts w:ascii="黑体" w:eastAsia="黑体"/>
      <w:bCs/>
      <w:kern w:val="44"/>
      <w:sz w:val="20"/>
      <w:szCs w:val="44"/>
    </w:rPr>
  </w:style>
  <w:style w:type="paragraph" w:styleId="3">
    <w:name w:val="heading 2"/>
    <w:basedOn w:val="1"/>
    <w:next w:val="1"/>
    <w:unhideWhenUsed/>
    <w:qFormat/>
    <w:uiPriority w:val="9"/>
    <w:pPr>
      <w:keepNext/>
      <w:keepLines/>
      <w:spacing w:line="360" w:lineRule="auto"/>
      <w:jc w:val="left"/>
      <w:outlineLvl w:val="1"/>
    </w:pPr>
    <w:rPr>
      <w:rFonts w:ascii="Cambria" w:hAnsi="Cambria" w:eastAsia="黑体"/>
      <w:bCs/>
      <w:szCs w:val="32"/>
    </w:rPr>
  </w:style>
  <w:style w:type="paragraph" w:styleId="4">
    <w:name w:val="heading 3"/>
    <w:basedOn w:val="5"/>
    <w:next w:val="1"/>
    <w:qFormat/>
    <w:uiPriority w:val="0"/>
    <w:pPr>
      <w:numPr>
        <w:ilvl w:val="0"/>
        <w:numId w:val="0"/>
      </w:numPr>
      <w:spacing w:beforeLines="50" w:afterLines="50" w:line="240" w:lineRule="auto"/>
      <w:ind w:left="142"/>
      <w:jc w:val="left"/>
    </w:pPr>
    <w:rPr>
      <w:rFonts w:ascii="Times New Roman"/>
      <w:color w:val="000000"/>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styleId="8">
    <w:name w:val="Balloon Text"/>
    <w:basedOn w:val="1"/>
    <w:link w:val="17"/>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16">
    <w:name w:val="页脚 Char"/>
    <w:basedOn w:val="13"/>
    <w:link w:val="9"/>
    <w:qFormat/>
    <w:uiPriority w:val="99"/>
    <w:rPr>
      <w:kern w:val="2"/>
      <w:sz w:val="18"/>
      <w:szCs w:val="18"/>
    </w:rPr>
  </w:style>
  <w:style w:type="character" w:customStyle="1" w:styleId="17">
    <w:name w:val="批注框文本 Char"/>
    <w:basedOn w:val="13"/>
    <w:link w:val="8"/>
    <w:qFormat/>
    <w:uiPriority w:val="0"/>
    <w:rPr>
      <w:kern w:val="2"/>
      <w:sz w:val="18"/>
      <w:szCs w:val="18"/>
    </w:rPr>
  </w:style>
  <w:style w:type="character" w:customStyle="1" w:styleId="18">
    <w:name w:val="fontstyle21"/>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8091F-35F0-4C16-810E-9D97F2734A6D}">
  <ds:schemaRefs/>
</ds:datastoreItem>
</file>

<file path=docProps/app.xml><?xml version="1.0" encoding="utf-8"?>
<Properties xmlns="http://schemas.openxmlformats.org/officeDocument/2006/extended-properties" xmlns:vt="http://schemas.openxmlformats.org/officeDocument/2006/docPropsVTypes">
  <Template>Normal</Template>
  <Pages>19</Pages>
  <Words>1548</Words>
  <Characters>8825</Characters>
  <Lines>73</Lines>
  <Paragraphs>20</Paragraphs>
  <TotalTime>2</TotalTime>
  <ScaleCrop>false</ScaleCrop>
  <LinksUpToDate>false</LinksUpToDate>
  <CharactersWithSpaces>10353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2021-10-25T01:59:00Z</dcterms:created>
  <dc:creator>Administrator</dc:creator>
  <cp:lastModifiedBy>Administrator</cp:lastModifiedBy>
  <cp:lastPrinted>2021-12-06T06:51:00Z</cp:lastPrinted>
  <dcterms:modified xsi:type="dcterms:W3CDTF">2022-03-24T03:51:26Z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4C0AF6E4DBBC4D3E8C43771560095887</vt:lpwstr>
  </property>
</Properties>
</file>