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pPr>
      <w:bookmarkStart w:id="0" w:name="SectionMark0"/>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8" name="Line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w:pict>
              <v:line id="Line 11" o:spid="_x0000_s1026" o:spt="20" style="position:absolute;left:0pt;margin-left:0pt;margin-top:699.95pt;height:0pt;width:482pt;z-index:251658240;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b8eP&#10;1QAAAAoBAAAPAAAAAAAAAAEAIAAAACIAAABkcnMvZG93bnJldi54bWxQSwECFAAUAAAACACHTuJA&#10;2sGcVLIBAABhAwAADgAAAAAAAAABACAAAAAkAQAAZHJzL2Uyb0RvYy54bWxQSwUGAAAAAAYABgBZ&#10;AQAASAUAAAAA&#10;">
                <v:fill on="f" focussize="0,0"/>
                <v:stroke weight="1pt" color="#FFFFFF" joinstyle="round"/>
                <v:imagedata o:title=""/>
                <o:lock v:ext="edit" aspectratio="f"/>
              </v:line>
            </w:pict>
          </mc:Fallback>
        </mc:AlternateContent>
      </w:r>
      <w:r>
        <mc:AlternateContent>
          <mc:Choice Requires="wps">
            <w:drawing>
              <wp:anchor distT="0" distB="0" distL="114300" distR="114300" simplePos="0" relativeHeight="251658240"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6"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7"/>
                            </w:pPr>
                            <w:r>
                              <w:rPr>
                                <w:rFonts w:hint="eastAsia"/>
                              </w:rPr>
                              <w:t>20</w:t>
                            </w:r>
                            <w:r>
                              <w:t>1</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arX2gAAAA0BAAAPAAAAAAAAAAEAIAAAACIAAABkcnMvZG93bnJldi54&#10;bWxQSwECFAAUAAAACACHTuJAgZGYjPgBAADrAwAADgAAAAAAAAABACAAAAApAQAAZHJzL2Uyb0Rv&#10;Yy54bWxQSwUGAAAAAAYABgBZAQAAkwUAAAAA&#10;">
                <v:fill on="t" focussize="0,0"/>
                <v:stroke on="f"/>
                <v:imagedata o:title=""/>
                <o:lock v:ext="edit" aspectratio="f"/>
                <v:textbox inset="0mm,0mm,0mm,0mm">
                  <w:txbxContent>
                    <w:p>
                      <w:pPr>
                        <w:pStyle w:val="37"/>
                      </w:pPr>
                      <w:r>
                        <w:rPr>
                          <w:rFonts w:hint="eastAsia"/>
                        </w:rPr>
                        <w:t>20</w:t>
                      </w:r>
                      <w:r>
                        <w:t>1</w:t>
                      </w:r>
                      <w:r>
                        <w:rPr>
                          <w:rFonts w:hint="eastAsia"/>
                        </w:rPr>
                        <w:t>×-××-××实施</w:t>
                      </w:r>
                    </w:p>
                  </w:txbxContent>
                </v:textbox>
                <w10:anchorlock/>
              </v:shape>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5"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8"/>
                            </w:pPr>
                            <w:r>
                              <w:rPr>
                                <w:rFonts w:hint="eastAsia"/>
                              </w:rPr>
                              <w:t>20</w:t>
                            </w:r>
                            <w:r>
                              <w:t>1</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5721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82yojYAAAACgEAAA8AAAAAAAAAAQAgAAAAIgAAAGRycy9kb3ducmV2Lnht&#10;bFBLAQIUABQAAAAIAIdO4kDK44RG+QEAAOsDAAAOAAAAAAAAAAEAIAAAACcBAABkcnMvZTJvRG9j&#10;LnhtbFBLBQYAAAAABgAGAFkBAACSBQAAAAA=&#10;">
                <v:fill on="t" focussize="0,0"/>
                <v:stroke on="f"/>
                <v:imagedata o:title=""/>
                <o:lock v:ext="edit" aspectratio="f"/>
                <v:textbox inset="0mm,0mm,0mm,0mm">
                  <w:txbxContent>
                    <w:p>
                      <w:pPr>
                        <w:pStyle w:val="38"/>
                      </w:pPr>
                      <w:r>
                        <w:rPr>
                          <w:rFonts w:hint="eastAsia"/>
                        </w:rPr>
                        <w:t>20</w:t>
                      </w:r>
                      <w:r>
                        <w:t>1</w:t>
                      </w:r>
                      <w:r>
                        <w:rPr>
                          <w:rFonts w:hint="eastAsia"/>
                        </w:rPr>
                        <w:t>×-××-××发布</w:t>
                      </w:r>
                    </w:p>
                  </w:txbxContent>
                </v:textbox>
                <w10:anchorlock/>
              </v:shape>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-66675</wp:posOffset>
                </wp:positionH>
                <wp:positionV relativeFrom="margin">
                  <wp:posOffset>3070860</wp:posOffset>
                </wp:positionV>
                <wp:extent cx="5969000" cy="5245735"/>
                <wp:effectExtent l="0" t="0" r="0" b="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a:effectLst/>
                      </wps:spPr>
                      <wps:txbx>
                        <w:txbxContent>
                          <w:p>
                            <w:pPr>
                              <w:jc w:val="center"/>
                              <w:rPr>
                                <w:rFonts w:eastAsia="黑体"/>
                                <w:kern w:val="0"/>
                                <w:sz w:val="52"/>
                                <w:szCs w:val="52"/>
                              </w:rPr>
                            </w:pPr>
                            <w:r>
                              <w:rPr>
                                <w:rFonts w:hint="eastAsia" w:eastAsia="黑体"/>
                                <w:kern w:val="0"/>
                                <w:sz w:val="52"/>
                                <w:szCs w:val="52"/>
                              </w:rPr>
                              <w:t>稀土复合钇锆陶瓷材料化学分析方法 </w:t>
                            </w:r>
                          </w:p>
                          <w:p>
                            <w:pPr>
                              <w:jc w:val="center"/>
                              <w:rPr>
                                <w:rFonts w:eastAsia="黑体"/>
                                <w:b/>
                                <w:bCs/>
                                <w:sz w:val="48"/>
                              </w:rPr>
                            </w:pPr>
                            <w:r>
                              <w:rPr>
                                <w:rFonts w:hint="eastAsia" w:eastAsia="黑体"/>
                                <w:kern w:val="0"/>
                                <w:sz w:val="52"/>
                                <w:szCs w:val="52"/>
                              </w:rPr>
                              <w:t>氧化锆、氧化钇和氧化铪含量的测定</w:t>
                            </w:r>
                          </w:p>
                          <w:p>
                            <w:pPr>
                              <w:pStyle w:val="40"/>
                              <w:spacing w:before="0" w:line="0" w:lineRule="atLeast"/>
                              <w:rPr>
                                <w:rFonts w:eastAsia="黑体"/>
                                <w:b/>
                                <w:bCs/>
                                <w:sz w:val="48"/>
                              </w:rPr>
                            </w:pPr>
                          </w:p>
                          <w:p>
                            <w:pPr>
                              <w:pStyle w:val="40"/>
                              <w:ind w:left="980" w:leftChars="200" w:right="210" w:hanging="560" w:hangingChars="200"/>
                              <w:textAlignment w:val="center"/>
                              <w:rPr>
                                <w:rFonts w:eastAsia="黑体"/>
                                <w:szCs w:val="28"/>
                              </w:rPr>
                            </w:pPr>
                            <w:r>
                              <w:rPr>
                                <w:rFonts w:hint="eastAsia" w:eastAsia="黑体"/>
                                <w:szCs w:val="28"/>
                              </w:rPr>
                              <w:t>C</w:t>
                            </w:r>
                            <w:r>
                              <w:rPr>
                                <w:rFonts w:eastAsia="黑体"/>
                                <w:szCs w:val="28"/>
                              </w:rPr>
                              <w:t xml:space="preserve">hemical analysis </w:t>
                            </w:r>
                            <w:r>
                              <w:rPr>
                                <w:rFonts w:hint="eastAsia" w:eastAsia="黑体"/>
                                <w:szCs w:val="28"/>
                              </w:rPr>
                              <w:t>m</w:t>
                            </w:r>
                            <w:r>
                              <w:rPr>
                                <w:rFonts w:eastAsia="黑体"/>
                                <w:szCs w:val="28"/>
                              </w:rPr>
                              <w:t>ethods</w:t>
                            </w:r>
                            <w:r>
                              <w:rPr>
                                <w:rFonts w:hint="eastAsia" w:eastAsia="黑体"/>
                                <w:szCs w:val="28"/>
                              </w:rPr>
                              <w:t xml:space="preserve"> for </w:t>
                            </w:r>
                            <w:r>
                              <w:rPr>
                                <w:rFonts w:eastAsia="黑体"/>
                                <w:szCs w:val="28"/>
                              </w:rPr>
                              <w:t>r</w:t>
                            </w:r>
                            <w:r>
                              <w:rPr>
                                <w:rFonts w:hint="eastAsia" w:eastAsia="黑体"/>
                                <w:szCs w:val="28"/>
                              </w:rPr>
                              <w:t>are</w:t>
                            </w:r>
                            <w:r>
                              <w:rPr>
                                <w:rFonts w:eastAsia="黑体"/>
                                <w:szCs w:val="28"/>
                              </w:rPr>
                              <w:t xml:space="preserve"> earth composite yttrium zirconium </w:t>
                            </w:r>
                            <w:r>
                              <w:rPr>
                                <w:rFonts w:hint="eastAsia" w:eastAsia="黑体"/>
                                <w:szCs w:val="28"/>
                              </w:rPr>
                              <w:t xml:space="preserve">oxide </w:t>
                            </w:r>
                            <w:r>
                              <w:rPr>
                                <w:rFonts w:eastAsia="黑体"/>
                                <w:szCs w:val="28"/>
                              </w:rPr>
                              <w:t>ceramics—</w:t>
                            </w:r>
                          </w:p>
                          <w:p>
                            <w:pPr>
                              <w:pStyle w:val="40"/>
                              <w:ind w:left="980" w:leftChars="200" w:right="210" w:hanging="560" w:hangingChars="200"/>
                              <w:textAlignment w:val="center"/>
                              <w:rPr>
                                <w:rFonts w:eastAsia="黑体"/>
                                <w:szCs w:val="28"/>
                              </w:rPr>
                            </w:pPr>
                            <w:r>
                              <w:rPr>
                                <w:rFonts w:eastAsia="黑体"/>
                                <w:szCs w:val="28"/>
                              </w:rPr>
                              <w:t xml:space="preserve">Determination of </w:t>
                            </w:r>
                            <w:r>
                              <w:rPr>
                                <w:rFonts w:hint="eastAsia" w:eastAsia="黑体"/>
                                <w:szCs w:val="28"/>
                              </w:rPr>
                              <w:t xml:space="preserve">zirconia, yttrium oxide and hafnium oxide </w:t>
                            </w:r>
                            <w:r>
                              <w:rPr>
                                <w:rFonts w:eastAsia="黑体"/>
                                <w:szCs w:val="28"/>
                              </w:rPr>
                              <w:t>contents</w:t>
                            </w:r>
                          </w:p>
                          <w:p>
                            <w:pPr>
                              <w:pStyle w:val="40"/>
                              <w:ind w:left="980" w:leftChars="200" w:right="210" w:hanging="560" w:hangingChars="200"/>
                              <w:textAlignment w:val="center"/>
                              <w:rPr>
                                <w:rFonts w:eastAsia="黑体"/>
                                <w:szCs w:val="28"/>
                              </w:rPr>
                            </w:pPr>
                          </w:p>
                          <w:p/>
                          <w:p>
                            <w:pPr>
                              <w:jc w:val="center"/>
                              <w:rPr>
                                <w:sz w:val="28"/>
                                <w:szCs w:val="28"/>
                              </w:rPr>
                            </w:pPr>
                            <w:r>
                              <w:rPr>
                                <w:rFonts w:hint="eastAsia"/>
                                <w:sz w:val="28"/>
                                <w:szCs w:val="28"/>
                              </w:rPr>
                              <w:t>（预审稿）</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5.25pt;margin-top:241.8pt;height:413.05pt;width:470pt;mso-position-horizontal-relative:margin;mso-position-vertical-relative:margin;z-index:251656192;mso-width-relative:page;mso-height-relative:page;" fillcolor="#FFFFFF" filled="t" stroked="f" coordsize="21600,21600" o:gfxdata="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xLZzdsAAAAMAQAADwAAAAAAAAABACAAAAAiAAAAZHJzL2Rvd25y&#10;ZXYueG1sUEsBAhQAFAAAAAgAh07iQGM4/ib7AQAA7AMAAA4AAAAAAAAAAQAgAAAAKgEAAGRycy9l&#10;Mm9Eb2MueG1sUEsFBgAAAAAGAAYAWQEAAJcFAAAAAA==&#10;">
                <v:fill on="t" focussize="0,0"/>
                <v:stroke on="f"/>
                <v:imagedata o:title=""/>
                <o:lock v:ext="edit" aspectratio="f"/>
                <v:textbox inset="0mm,0mm,0mm,0mm">
                  <w:txbxContent>
                    <w:p>
                      <w:pPr>
                        <w:jc w:val="center"/>
                        <w:rPr>
                          <w:rFonts w:eastAsia="黑体"/>
                          <w:kern w:val="0"/>
                          <w:sz w:val="52"/>
                          <w:szCs w:val="52"/>
                        </w:rPr>
                      </w:pPr>
                      <w:r>
                        <w:rPr>
                          <w:rFonts w:hint="eastAsia" w:eastAsia="黑体"/>
                          <w:kern w:val="0"/>
                          <w:sz w:val="52"/>
                          <w:szCs w:val="52"/>
                        </w:rPr>
                        <w:t>稀土复合钇锆陶瓷材料化学分析方法 </w:t>
                      </w:r>
                    </w:p>
                    <w:p>
                      <w:pPr>
                        <w:jc w:val="center"/>
                        <w:rPr>
                          <w:rFonts w:eastAsia="黑体"/>
                          <w:b/>
                          <w:bCs/>
                          <w:sz w:val="48"/>
                        </w:rPr>
                      </w:pPr>
                      <w:r>
                        <w:rPr>
                          <w:rFonts w:hint="eastAsia" w:eastAsia="黑体"/>
                          <w:kern w:val="0"/>
                          <w:sz w:val="52"/>
                          <w:szCs w:val="52"/>
                        </w:rPr>
                        <w:t>氧化锆、氧化钇和氧化铪含量的测定</w:t>
                      </w:r>
                    </w:p>
                    <w:p>
                      <w:pPr>
                        <w:pStyle w:val="40"/>
                        <w:spacing w:before="0" w:line="0" w:lineRule="atLeast"/>
                        <w:rPr>
                          <w:rFonts w:eastAsia="黑体"/>
                          <w:b/>
                          <w:bCs/>
                          <w:sz w:val="48"/>
                        </w:rPr>
                      </w:pPr>
                    </w:p>
                    <w:p>
                      <w:pPr>
                        <w:pStyle w:val="40"/>
                        <w:ind w:left="980" w:leftChars="200" w:right="210" w:hanging="560" w:hangingChars="200"/>
                        <w:textAlignment w:val="center"/>
                        <w:rPr>
                          <w:rFonts w:eastAsia="黑体"/>
                          <w:szCs w:val="28"/>
                        </w:rPr>
                      </w:pPr>
                      <w:r>
                        <w:rPr>
                          <w:rFonts w:hint="eastAsia" w:eastAsia="黑体"/>
                          <w:szCs w:val="28"/>
                        </w:rPr>
                        <w:t>C</w:t>
                      </w:r>
                      <w:r>
                        <w:rPr>
                          <w:rFonts w:eastAsia="黑体"/>
                          <w:szCs w:val="28"/>
                        </w:rPr>
                        <w:t xml:space="preserve">hemical analysis </w:t>
                      </w:r>
                      <w:r>
                        <w:rPr>
                          <w:rFonts w:hint="eastAsia" w:eastAsia="黑体"/>
                          <w:szCs w:val="28"/>
                        </w:rPr>
                        <w:t>m</w:t>
                      </w:r>
                      <w:r>
                        <w:rPr>
                          <w:rFonts w:eastAsia="黑体"/>
                          <w:szCs w:val="28"/>
                        </w:rPr>
                        <w:t>ethods</w:t>
                      </w:r>
                      <w:r>
                        <w:rPr>
                          <w:rFonts w:hint="eastAsia" w:eastAsia="黑体"/>
                          <w:szCs w:val="28"/>
                        </w:rPr>
                        <w:t xml:space="preserve"> for </w:t>
                      </w:r>
                      <w:r>
                        <w:rPr>
                          <w:rFonts w:eastAsia="黑体"/>
                          <w:szCs w:val="28"/>
                        </w:rPr>
                        <w:t>r</w:t>
                      </w:r>
                      <w:r>
                        <w:rPr>
                          <w:rFonts w:hint="eastAsia" w:eastAsia="黑体"/>
                          <w:szCs w:val="28"/>
                        </w:rPr>
                        <w:t>are</w:t>
                      </w:r>
                      <w:r>
                        <w:rPr>
                          <w:rFonts w:eastAsia="黑体"/>
                          <w:szCs w:val="28"/>
                        </w:rPr>
                        <w:t xml:space="preserve"> earth composite yttrium zirconium </w:t>
                      </w:r>
                      <w:r>
                        <w:rPr>
                          <w:rFonts w:hint="eastAsia" w:eastAsia="黑体"/>
                          <w:szCs w:val="28"/>
                        </w:rPr>
                        <w:t xml:space="preserve">oxide </w:t>
                      </w:r>
                      <w:r>
                        <w:rPr>
                          <w:rFonts w:eastAsia="黑体"/>
                          <w:szCs w:val="28"/>
                        </w:rPr>
                        <w:t>ceramics—</w:t>
                      </w:r>
                    </w:p>
                    <w:p>
                      <w:pPr>
                        <w:pStyle w:val="40"/>
                        <w:ind w:left="980" w:leftChars="200" w:right="210" w:hanging="560" w:hangingChars="200"/>
                        <w:textAlignment w:val="center"/>
                        <w:rPr>
                          <w:rFonts w:eastAsia="黑体"/>
                          <w:szCs w:val="28"/>
                        </w:rPr>
                      </w:pPr>
                      <w:r>
                        <w:rPr>
                          <w:rFonts w:eastAsia="黑体"/>
                          <w:szCs w:val="28"/>
                        </w:rPr>
                        <w:t xml:space="preserve">Determination of </w:t>
                      </w:r>
                      <w:r>
                        <w:rPr>
                          <w:rFonts w:hint="eastAsia" w:eastAsia="黑体"/>
                          <w:szCs w:val="28"/>
                        </w:rPr>
                        <w:t xml:space="preserve">zirconia, yttrium oxide and hafnium oxide </w:t>
                      </w:r>
                      <w:r>
                        <w:rPr>
                          <w:rFonts w:eastAsia="黑体"/>
                          <w:szCs w:val="28"/>
                        </w:rPr>
                        <w:t>contents</w:t>
                      </w:r>
                    </w:p>
                    <w:p>
                      <w:pPr>
                        <w:pStyle w:val="40"/>
                        <w:ind w:left="980" w:leftChars="200" w:right="210" w:hanging="560" w:hangingChars="200"/>
                        <w:textAlignment w:val="center"/>
                        <w:rPr>
                          <w:rFonts w:eastAsia="黑体"/>
                          <w:szCs w:val="28"/>
                        </w:rPr>
                      </w:pPr>
                    </w:p>
                    <w:p/>
                    <w:p>
                      <w:pPr>
                        <w:jc w:val="center"/>
                        <w:rPr>
                          <w:sz w:val="28"/>
                          <w:szCs w:val="28"/>
                        </w:rPr>
                      </w:pPr>
                      <w:r>
                        <w:rPr>
                          <w:rFonts w:hint="eastAsia"/>
                          <w:sz w:val="28"/>
                          <w:szCs w:val="28"/>
                        </w:rPr>
                        <w:t>（预审稿）</w:t>
                      </w:r>
                    </w:p>
                  </w:txbxContent>
                </v:textbox>
                <w10:anchorlock/>
              </v:shape>
            </w:pict>
          </mc:Fallback>
        </mc:AlternateContent>
      </w:r>
      <w: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3"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41"/>
                            </w:pPr>
                            <w:r>
                              <w:rPr>
                                <w:rFonts w:hint="eastAsia"/>
                                <w:sz w:val="44"/>
                                <w:szCs w:val="44"/>
                              </w:rPr>
                              <w:t>中华人民共和国稀土行业标准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516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DkcF1wAAAAgBAAAPAAAAAAAAAAEAIAAAACIAAABkcnMvZG93bnJldi54bWxQ&#10;SwECFAAUAAAACACHTuJA6E7Ql/gBAADrAwAADgAAAAAAAAABACAAAAAmAQAAZHJzL2Uyb0RvYy54&#10;bWxQSwUGAAAAAAYABgBZAQAAkAUAAAAA&#10;">
                <v:fill on="t" focussize="0,0"/>
                <v:stroke on="f"/>
                <v:imagedata o:title=""/>
                <o:lock v:ext="edit" aspectratio="f"/>
                <v:textbox inset="0mm,0mm,0mm,0mm">
                  <w:txbxContent>
                    <w:p>
                      <w:pPr>
                        <w:pStyle w:val="41"/>
                      </w:pPr>
                      <w:r>
                        <w:rPr>
                          <w:rFonts w:hint="eastAsia"/>
                          <w:sz w:val="44"/>
                          <w:szCs w:val="44"/>
                        </w:rPr>
                        <w:t>中华人民共和国稀土行业标准</w:t>
                      </w:r>
                    </w:p>
                  </w:txbxContent>
                </v:textbox>
                <w10:anchorlock/>
              </v:shape>
            </w:pict>
          </mc:Fallback>
        </mc:AlternateContent>
      </w:r>
      <w: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0</wp:posOffset>
                </wp:positionV>
                <wp:extent cx="2540000" cy="657860"/>
                <wp:effectExtent l="0" t="0" r="0" b="0"/>
                <wp:wrapNone/>
                <wp:docPr id="2"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27"/>
                              <w:spacing w:line="0" w:lineRule="atLeast"/>
                            </w:pPr>
                            <w:r>
                              <w:t xml:space="preserve">ICS </w:t>
                            </w:r>
                            <w:r>
                              <w:rPr>
                                <w:rFonts w:hint="eastAsia"/>
                                <w:color w:val="000000"/>
                              </w:rPr>
                              <w:t>77.120.99</w:t>
                            </w:r>
                          </w:p>
                          <w:p>
                            <w:pPr>
                              <w:pStyle w:val="27"/>
                              <w:spacing w:line="0" w:lineRule="atLeast"/>
                            </w:pPr>
                            <w:r>
                              <w:t>H14</w:t>
                            </w:r>
                          </w:p>
                          <w:p>
                            <w:pPr>
                              <w:pStyle w:val="27"/>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414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ezL4NMAAAAFAQAADwAAAAAAAAABACAAAAAiAAAAZHJzL2Rvd25yZXYueG1sUEsB&#10;AhQAFAAAAAgAh07iQNSG5FL6AQAA6wMAAA4AAAAAAAAAAQAgAAAAIgEAAGRycy9lMm9Eb2MueG1s&#10;UEsFBgAAAAAGAAYAWQEAAI4FAAAAAA==&#10;">
                <v:fill on="t" focussize="0,0"/>
                <v:stroke on="f"/>
                <v:imagedata o:title=""/>
                <o:lock v:ext="edit" aspectratio="f"/>
                <v:textbox inset="0mm,0mm,0mm,0mm">
                  <w:txbxContent>
                    <w:p>
                      <w:pPr>
                        <w:pStyle w:val="27"/>
                        <w:spacing w:line="0" w:lineRule="atLeast"/>
                      </w:pPr>
                      <w:r>
                        <w:t xml:space="preserve">ICS </w:t>
                      </w:r>
                      <w:r>
                        <w:rPr>
                          <w:rFonts w:hint="eastAsia"/>
                          <w:color w:val="000000"/>
                        </w:rPr>
                        <w:t>77.120.99</w:t>
                      </w:r>
                    </w:p>
                    <w:p>
                      <w:pPr>
                        <w:pStyle w:val="27"/>
                        <w:spacing w:line="0" w:lineRule="atLeast"/>
                      </w:pPr>
                      <w:r>
                        <w:t>H14</w:t>
                      </w:r>
                    </w:p>
                    <w:p>
                      <w:pPr>
                        <w:pStyle w:val="27"/>
                      </w:pPr>
                    </w:p>
                  </w:txbxContent>
                </v:textbox>
                <w10:anchorlock/>
              </v:shape>
            </w:pict>
          </mc:Fallback>
        </mc:AlternateContent>
      </w:r>
      <w:r>
        <w:rPr>
          <w:rFonts w:hint="eastAsia"/>
        </w:rPr>
        <w:t xml:space="preserve"> </w:t>
      </w:r>
    </w:p>
    <w:p>
      <w:pPr>
        <w:pStyle w:val="26"/>
        <w:framePr w:w="2266" w:h="1306" w:hRule="exact" w:wrap="notBeside" w:vAnchor="page" w:hAnchor="page" w:x="8506" w:y="991"/>
        <w:jc w:val="center"/>
      </w:pPr>
      <w:r>
        <w:rPr>
          <w:rFonts w:hint="eastAsia"/>
        </w:rPr>
        <w:t>X</w:t>
      </w:r>
      <w:r>
        <w:t>B</w:t>
      </w:r>
    </w:p>
    <w:p/>
    <w:p>
      <w:pPr>
        <w:rPr>
          <w:b/>
          <w:bCs/>
          <w:sz w:val="28"/>
        </w:rPr>
      </w:pPr>
    </w:p>
    <w:p/>
    <w:p>
      <w:pPr>
        <w:framePr w:w="5268" w:h="864" w:hRule="exact" w:hSpace="181" w:wrap="around" w:vAnchor="page" w:hAnchor="page" w:x="6164" w:y="3409" w:anchorLock="1"/>
        <w:ind w:firstLine="2520" w:firstLineChars="900"/>
        <w:rPr>
          <w:rFonts w:ascii="黑体" w:eastAsia="黑体"/>
          <w:sz w:val="28"/>
        </w:rPr>
      </w:pPr>
      <w:r>
        <w:rPr>
          <w:rFonts w:hint="eastAsia" w:ascii="黑体" w:eastAsia="黑体"/>
          <w:sz w:val="28"/>
        </w:rPr>
        <w:t xml:space="preserve">XB/T </w:t>
      </w:r>
      <w:r>
        <w:rPr>
          <w:rFonts w:ascii="黑体" w:eastAsia="黑体"/>
          <w:sz w:val="28"/>
        </w:rPr>
        <w:t>X</w:t>
      </w:r>
      <w:r>
        <w:rPr>
          <w:rFonts w:hint="eastAsia" w:ascii="黑体" w:eastAsia="黑体"/>
          <w:sz w:val="28"/>
        </w:rPr>
        <w:t>XXX—202X</w:t>
      </w:r>
      <w:r>
        <w:rPr>
          <w:rFonts w:hint="eastAsia" w:hAnsi="宋体"/>
          <w:szCs w:val="21"/>
        </w:rPr>
        <w:t xml:space="preserve">                 </w:t>
      </w:r>
    </w:p>
    <w:p>
      <w:pPr>
        <w:shd w:val="clear" w:color="auto" w:fill="FFFFFF"/>
        <w:rPr>
          <w:rFonts w:ascii="宋体" w:hAnsi="宋体"/>
        </w:rPr>
      </w:pPr>
      <w:r>
        <w:rPr>
          <w:sz w:val="20"/>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106045</wp:posOffset>
                </wp:positionV>
                <wp:extent cx="6000750" cy="0"/>
                <wp:effectExtent l="0" t="0" r="0" b="0"/>
                <wp:wrapNone/>
                <wp:docPr id="1" name="Line 13"/>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a:effectLst/>
                      </wps:spPr>
                      <wps:bodyPr/>
                    </wps:wsp>
                  </a:graphicData>
                </a:graphic>
              </wp:anchor>
            </w:drawing>
          </mc:Choice>
          <mc:Fallback>
            <w:pict>
              <v:line id="Line 13" o:spid="_x0000_s1026" o:spt="20" style="position:absolute;left:0pt;flip:x;margin-left:9.75pt;margin-top:8.35pt;height:0pt;width:472.5pt;z-index:251659264;mso-width-relative:page;mso-height-relative:page;" filled="f" stroked="t" coordsize="21600,21600"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E6K20wAAAAgBAAAPAAAAAAAAAAEAIAAAACIAAABkcnMvZG93bnJldi54bWxQSwECFAAUAAAA&#10;CACHTuJAiBEQH7oBAABqAwAADgAAAAAAAAABACAAAAAiAQAAZHJzL2Uyb0RvYy54bWxQSwUGAAAA&#10;AAYABgBZAQAATgUAAAAA&#10;">
                <v:fill on="f" focussize="0,0"/>
                <v:stroke color="#000000" joinstyle="round"/>
                <v:imagedata o:title=""/>
                <o:lock v:ext="edit" aspectratio="f"/>
              </v:line>
            </w:pict>
          </mc:Fallback>
        </mc:AlternateContent>
      </w:r>
    </w:p>
    <w:p>
      <w:pPr>
        <w:shd w:val="clear" w:color="auto" w:fill="FFFFFF"/>
        <w:ind w:left="2814" w:leftChars="1340" w:firstLine="5903" w:firstLineChars="2100"/>
        <w:rPr>
          <w:b/>
          <w:bCs/>
          <w:sz w:val="28"/>
        </w:rPr>
      </w:pPr>
    </w:p>
    <w:p>
      <w:pPr>
        <w:ind w:firstLine="540"/>
        <w:jc w:val="center"/>
        <w:sectPr>
          <w:headerReference r:id="rId5" w:type="first"/>
          <w:headerReference r:id="rId3" w:type="default"/>
          <w:footerReference r:id="rId6" w:type="default"/>
          <w:headerReference r:id="rId4" w:type="even"/>
          <w:footerReference r:id="rId7" w:type="even"/>
          <w:pgSz w:w="11907" w:h="16839"/>
          <w:pgMar w:top="1134" w:right="851" w:bottom="851" w:left="1418" w:header="0" w:footer="0" w:gutter="0"/>
          <w:pgNumType w:start="1"/>
          <w:cols w:space="720" w:num="1"/>
          <w:titlePg/>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-125095</wp:posOffset>
                </wp:positionH>
                <wp:positionV relativeFrom="paragraph">
                  <wp:posOffset>6567170</wp:posOffset>
                </wp:positionV>
                <wp:extent cx="6257925" cy="9525"/>
                <wp:effectExtent l="0" t="0" r="9525" b="9525"/>
                <wp:wrapNone/>
                <wp:docPr id="9" name="直线 19"/>
                <wp:cNvGraphicFramePr/>
                <a:graphic xmlns:a="http://schemas.openxmlformats.org/drawingml/2006/main">
                  <a:graphicData uri="http://schemas.microsoft.com/office/word/2010/wordprocessingShape">
                    <wps:wsp>
                      <wps:cNvCnPr/>
                      <wps:spPr>
                        <a:xfrm flipV="1">
                          <a:off x="0" y="0"/>
                          <a:ext cx="625792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flip:y;margin-left:-9.85pt;margin-top:517.1pt;height:0.75pt;width:492.75pt;z-index:251661312;mso-width-relative:page;mso-height-relative:page;" filled="f" stroked="t" coordsize="21600,21600"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RXzjaAAAADQEAAA8AAAAAAAAAAQAgAAAAIgAAAGRy&#10;cy9kb3ducmV2LnhtbFBLAQIUABQAAAAIAIdO4kC7m3l1ygEAAI8DAAAOAAAAAAAAAAEAIAAAACk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-142875</wp:posOffset>
                </wp:positionH>
                <wp:positionV relativeFrom="margin">
                  <wp:posOffset>9000490</wp:posOffset>
                </wp:positionV>
                <wp:extent cx="6120130" cy="363220"/>
                <wp:effectExtent l="0" t="0" r="0" b="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45"/>
                            </w:pPr>
                            <w:r>
                              <w:rPr>
                                <w:rFonts w:hint="eastAsia" w:hAnsi="宋体"/>
                                <w:b/>
                                <w:sz w:val="32"/>
                                <w:szCs w:val="32"/>
                              </w:rPr>
                              <w:t xml:space="preserve">中华人民共和国工业和信息化部 </w:t>
                            </w:r>
                            <w:r>
                              <w:rPr>
                                <w:rStyle w:val="23"/>
                                <w:rFonts w:hint="eastAsia"/>
                              </w:rPr>
                              <w:t>发布</w:t>
                            </w:r>
                          </w:p>
                        </w:txbxContent>
                      </wps:txbx>
                      <wps:bodyPr lIns="0" tIns="0" rIns="0" bIns="0" upright="1"/>
                    </wps:wsp>
                  </a:graphicData>
                </a:graphic>
              </wp:anchor>
            </w:drawing>
          </mc:Choice>
          <mc:Fallback>
            <w:pict>
              <v:shape id="fmFrame7" o:spid="_x0000_s1026" o:spt="202" type="#_x0000_t202" style="position:absolute;left:0pt;margin-left:-11.25pt;margin-top:708.7pt;height:28.6pt;width:481.9pt;mso-position-horizontal-relative:margin;mso-position-vertical-relative:margin;z-index:251660288;mso-width-relative:page;mso-height-relative:page;" fillcolor="#FFFFFF" filled="t" stroked="f" coordsize="21600,21600" o:gfxdata="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q3Va9sAAAANAQAA&#10;DwAAAAAAAAABACAAAAAiAAAAZHJzL2Rvd25yZXYueG1sUEsBAhQAFAAAAAgAh07iQO1g54WkAQAA&#10;SgMAAA4AAAAAAAAAAQAgAAAAKgEAAGRycy9lMm9Eb2MueG1sUEsFBgAAAAAGAAYAWQEAAEAFAAAA&#10;AA==&#10;">
                <v:fill on="t" focussize="0,0"/>
                <v:stroke on="f"/>
                <v:imagedata o:title=""/>
                <o:lock v:ext="edit" aspectratio="f"/>
                <v:textbox inset="0mm,0mm,0mm,0mm">
                  <w:txbxContent>
                    <w:p>
                      <w:pPr>
                        <w:pStyle w:val="45"/>
                      </w:pPr>
                      <w:r>
                        <w:rPr>
                          <w:rFonts w:hint="eastAsia" w:hAnsi="宋体"/>
                          <w:b/>
                          <w:sz w:val="32"/>
                          <w:szCs w:val="32"/>
                        </w:rPr>
                        <w:t xml:space="preserve">中华人民共和国工业和信息化部 </w:t>
                      </w:r>
                      <w:r>
                        <w:rPr>
                          <w:rStyle w:val="23"/>
                          <w:rFonts w:hint="eastAsia"/>
                        </w:rPr>
                        <w:t>发布</w:t>
                      </w:r>
                    </w:p>
                  </w:txbxContent>
                </v:textbox>
                <w10:anchorlock/>
              </v:shape>
            </w:pict>
          </mc:Fallback>
        </mc:AlternateContent>
      </w:r>
    </w:p>
    <w:bookmarkEnd w:id="0"/>
    <w:p>
      <w:pPr>
        <w:pStyle w:val="44"/>
        <w:numPr>
          <w:ilvl w:val="0"/>
          <w:numId w:val="0"/>
        </w:numPr>
        <w:tabs>
          <w:tab w:val="left" w:pos="0"/>
        </w:tabs>
        <w:spacing w:before="100" w:beforeAutospacing="1" w:after="100" w:afterAutospacing="1" w:line="300" w:lineRule="auto"/>
        <w:rPr>
          <w:sz w:val="28"/>
          <w:szCs w:val="28"/>
        </w:rPr>
      </w:pPr>
      <w:bookmarkStart w:id="1" w:name="SectionMark2"/>
      <w:r>
        <w:rPr>
          <w:rFonts w:hint="eastAsia" w:hAnsi="宋体"/>
          <w:sz w:val="28"/>
          <w:szCs w:val="28"/>
        </w:rPr>
        <w:t>前言</w:t>
      </w:r>
      <w:bookmarkEnd w:id="1"/>
      <w:bookmarkStart w:id="2" w:name="SectionMark4"/>
    </w:p>
    <w:bookmarkEnd w:id="2"/>
    <w:p>
      <w:pPr>
        <w:widowControl/>
        <w:autoSpaceDE w:val="0"/>
        <w:autoSpaceDN w:val="0"/>
        <w:ind w:firstLine="420" w:firstLineChars="200"/>
        <w:jc w:val="left"/>
        <w:rPr>
          <w:kern w:val="0"/>
          <w:szCs w:val="21"/>
        </w:rPr>
      </w:pPr>
      <w:bookmarkStart w:id="3" w:name="OLE_LINK21"/>
      <w:bookmarkStart w:id="4" w:name="OLE_LINK22"/>
      <w:r>
        <w:rPr>
          <w:kern w:val="0"/>
          <w:szCs w:val="21"/>
        </w:rPr>
        <w:t>本文件按照GB/T 1.1—2020《标准化工作导则  第1部分：标准化文件的结构和起草规则》的规定起草。</w:t>
      </w:r>
    </w:p>
    <w:bookmarkEnd w:id="3"/>
    <w:bookmarkEnd w:id="4"/>
    <w:p>
      <w:pPr>
        <w:spacing w:line="300" w:lineRule="auto"/>
        <w:ind w:firstLine="420" w:firstLineChars="200"/>
        <w:rPr>
          <w:szCs w:val="21"/>
        </w:rPr>
      </w:pPr>
      <w:r>
        <w:rPr>
          <w:rFonts w:hAnsi="宋体"/>
          <w:szCs w:val="21"/>
        </w:rPr>
        <w:t>本</w:t>
      </w:r>
      <w:r>
        <w:rPr>
          <w:rFonts w:hint="eastAsia" w:hAnsi="宋体"/>
          <w:szCs w:val="21"/>
        </w:rPr>
        <w:t>文件</w:t>
      </w:r>
      <w:r>
        <w:rPr>
          <w:rFonts w:hAnsi="宋体"/>
          <w:szCs w:val="21"/>
        </w:rPr>
        <w:t>由</w:t>
      </w:r>
      <w:r>
        <w:rPr>
          <w:rFonts w:hAnsi="宋体"/>
          <w:color w:val="000000"/>
          <w:szCs w:val="21"/>
        </w:rPr>
        <w:t>全国稀土标准化技术委员会</w:t>
      </w:r>
      <w:r>
        <w:rPr>
          <w:rFonts w:hint="eastAsia" w:hAnsi="宋体"/>
          <w:color w:val="000000"/>
          <w:szCs w:val="21"/>
        </w:rPr>
        <w:t>（SAC/TC 229）提出并</w:t>
      </w:r>
      <w:r>
        <w:rPr>
          <w:rFonts w:hAnsi="宋体"/>
          <w:szCs w:val="21"/>
        </w:rPr>
        <w:t>归口。</w:t>
      </w:r>
    </w:p>
    <w:p>
      <w:pPr>
        <w:ind w:firstLine="420" w:firstLineChars="200"/>
        <w:rPr>
          <w:szCs w:val="21"/>
        </w:rPr>
      </w:pPr>
      <w:r>
        <w:t>本</w:t>
      </w:r>
      <w:r>
        <w:rPr>
          <w:szCs w:val="21"/>
        </w:rPr>
        <w:t>文件</w:t>
      </w:r>
      <w:r>
        <w:t>起草单位：</w:t>
      </w:r>
      <w:r>
        <w:rPr>
          <w:bCs/>
        </w:rPr>
        <w:t>国合通用测试评价认证股份公司</w:t>
      </w:r>
      <w:r>
        <w:rPr>
          <w:rFonts w:hint="eastAsia"/>
          <w:bCs/>
        </w:rPr>
        <w:t>、虔东稀土集团股份有限公司</w:t>
      </w:r>
    </w:p>
    <w:p>
      <w:pPr>
        <w:ind w:firstLine="420" w:firstLineChars="200"/>
      </w:pPr>
      <w:r>
        <w:t>本</w:t>
      </w:r>
      <w:r>
        <w:rPr>
          <w:szCs w:val="21"/>
        </w:rPr>
        <w:t>文件</w:t>
      </w:r>
      <w:r>
        <w:t>主要起草人：。</w:t>
      </w:r>
    </w:p>
    <w:p>
      <w:pPr>
        <w:pStyle w:val="21"/>
        <w:ind w:firstLine="420"/>
        <w:rPr>
          <w:rFonts w:hAnsi="宋体" w:cs="宋体"/>
          <w:szCs w:val="21"/>
        </w:rPr>
      </w:pPr>
      <w:r>
        <w:rPr>
          <w:rFonts w:hint="eastAsia" w:hAnsi="宋体" w:cs="宋体"/>
          <w:szCs w:val="21"/>
        </w:rPr>
        <w:t>本文件及其所代替文件的历次版本发布情况为：</w:t>
      </w:r>
    </w:p>
    <w:p>
      <w:pPr>
        <w:pStyle w:val="21"/>
        <w:ind w:firstLine="420"/>
        <w:rPr>
          <w:rFonts w:hAnsi="宋体" w:cs="宋体"/>
          <w:szCs w:val="21"/>
          <w:highlight w:val="yellow"/>
        </w:rPr>
      </w:pPr>
      <w:r>
        <w:rPr>
          <w:rFonts w:ascii="Times New Roman"/>
          <w:szCs w:val="21"/>
        </w:rPr>
        <w:t>——</w:t>
      </w:r>
      <w:r>
        <w:rPr>
          <w:rFonts w:hint="eastAsia" w:hAnsi="宋体" w:cs="宋体"/>
          <w:szCs w:val="21"/>
        </w:rPr>
        <w:t>本文件属首次发布。</w:t>
      </w:r>
    </w:p>
    <w:p>
      <w:pPr>
        <w:ind w:firstLine="420" w:firstLineChars="200"/>
        <w:rPr>
          <w:rFonts w:ascii="宋体" w:hAnsi="宋体"/>
        </w:rPr>
      </w:pPr>
    </w:p>
    <w:p>
      <w:pPr>
        <w:pStyle w:val="21"/>
        <w:spacing w:line="300" w:lineRule="auto"/>
        <w:ind w:firstLine="420"/>
        <w:rPr>
          <w:rFonts w:ascii="Times New Roman"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pStyle w:val="44"/>
        <w:spacing w:before="0" w:after="680"/>
        <w:ind w:firstLine="4320" w:firstLineChars="1350"/>
        <w:jc w:val="both"/>
        <w:rPr>
          <w:rFonts w:ascii="Times New Roman"/>
          <w:szCs w:val="22"/>
        </w:rPr>
      </w:pPr>
      <w:r>
        <w:rPr>
          <w:rFonts w:hint="eastAsia" w:ascii="Times New Roman"/>
          <w:szCs w:val="22"/>
        </w:rPr>
        <w:t>引　　言</w:t>
      </w:r>
    </w:p>
    <w:p>
      <w:pPr>
        <w:widowControl/>
        <w:autoSpaceDE w:val="0"/>
        <w:autoSpaceDN w:val="0"/>
        <w:ind w:firstLine="420" w:firstLineChars="200"/>
        <w:jc w:val="left"/>
        <w:rPr>
          <w:kern w:val="0"/>
          <w:szCs w:val="21"/>
        </w:rPr>
      </w:pPr>
      <w:r>
        <w:rPr>
          <w:kern w:val="0"/>
          <w:szCs w:val="21"/>
        </w:rPr>
        <w:t>稀土复合钇锆陶瓷材料是已经技术成熟且进行批量成产的一类稀土陶瓷材料，</w:t>
      </w:r>
      <w:r>
        <w:rPr>
          <w:szCs w:val="21"/>
          <w:lang w:bidi="ar"/>
        </w:rPr>
        <w:t>广泛地应用于电子信息、能源、国防军工、生物医学等领域，是高新技术的重要材料基础。</w:t>
      </w:r>
      <w:r>
        <w:rPr>
          <w:rFonts w:hint="eastAsia"/>
          <w:szCs w:val="21"/>
          <w:lang w:bidi="ar"/>
        </w:rPr>
        <w:t>研究表明，</w:t>
      </w:r>
      <w:r>
        <w:rPr>
          <w:kern w:val="0"/>
          <w:szCs w:val="21"/>
        </w:rPr>
        <w:t>稀土复合钇锆陶瓷材料</w:t>
      </w:r>
      <w:r>
        <w:rPr>
          <w:rFonts w:hint="eastAsia"/>
          <w:kern w:val="0"/>
          <w:szCs w:val="21"/>
        </w:rPr>
        <w:t>性能与其化学成分之间有着密切的关系。因此建立氧化锆、氧化钇、氧化铪含量测定的</w:t>
      </w:r>
      <w:r>
        <w:rPr>
          <w:kern w:val="0"/>
          <w:szCs w:val="21"/>
        </w:rPr>
        <w:t>相关标准，</w:t>
      </w:r>
      <w:r>
        <w:rPr>
          <w:rFonts w:hint="eastAsia"/>
          <w:kern w:val="0"/>
          <w:szCs w:val="21"/>
        </w:rPr>
        <w:t>是十分必要的</w:t>
      </w:r>
    </w:p>
    <w:p>
      <w:pPr>
        <w:pStyle w:val="21"/>
        <w:ind w:firstLine="420"/>
        <w:rPr>
          <w:rFonts w:hAnsi="宋体" w:cs="宋体"/>
          <w:szCs w:val="21"/>
        </w:rPr>
      </w:pPr>
      <w:r>
        <w:rPr>
          <w:rFonts w:hint="eastAsia" w:hAnsi="宋体" w:cs="宋体"/>
          <w:szCs w:val="21"/>
        </w:rPr>
        <w:t>本文件根据最新的标准化文件的结构和起草规则编写，所有标准方法均通过多家实验室试验、验证，在标准中给出了至少覆盖高、中、低的重复性、再现性限值，使方法的精密度要求更趋于完善。</w:t>
      </w:r>
    </w:p>
    <w:p>
      <w:pPr>
        <w:widowControl/>
        <w:autoSpaceDE w:val="0"/>
        <w:autoSpaceDN w:val="0"/>
        <w:ind w:firstLine="420" w:firstLineChars="200"/>
        <w:jc w:val="left"/>
        <w:rPr>
          <w:kern w:val="0"/>
          <w:szCs w:val="21"/>
        </w:rPr>
      </w:pPr>
      <w:r>
        <w:rPr>
          <w:rFonts w:hint="eastAsia"/>
          <w:szCs w:val="22"/>
        </w:rPr>
        <w:t>本文件的制定为行业内形成稀土复合钇锆陶瓷材料中氧化锆、氧化钇和氧化铪含量的测定提供了科学、规范的分析测试方法，为提高检测结果的可靠性和可比性以及产品质量控制提供重要依据，</w:t>
      </w:r>
      <w:r>
        <w:rPr>
          <w:rFonts w:hint="eastAsia"/>
          <w:kern w:val="0"/>
          <w:szCs w:val="21"/>
        </w:rPr>
        <w:t>对</w:t>
      </w:r>
      <w:r>
        <w:rPr>
          <w:kern w:val="0"/>
          <w:szCs w:val="21"/>
        </w:rPr>
        <w:t>于</w:t>
      </w:r>
      <w:r>
        <w:rPr>
          <w:rFonts w:hint="eastAsia"/>
          <w:szCs w:val="22"/>
        </w:rPr>
        <w:t>推动</w:t>
      </w:r>
      <w:r>
        <w:rPr>
          <w:kern w:val="0"/>
          <w:szCs w:val="21"/>
        </w:rPr>
        <w:t>稀土复合钇锆陶瓷材料</w:t>
      </w:r>
      <w:r>
        <w:rPr>
          <w:rFonts w:hint="eastAsia"/>
          <w:kern w:val="0"/>
          <w:szCs w:val="21"/>
        </w:rPr>
        <w:t>产业发展</w:t>
      </w:r>
      <w:r>
        <w:rPr>
          <w:szCs w:val="21"/>
        </w:rPr>
        <w:t>具有十分重要的作用</w:t>
      </w:r>
      <w:r>
        <w:rPr>
          <w:kern w:val="0"/>
          <w:szCs w:val="21"/>
        </w:rPr>
        <w:t>。</w:t>
      </w:r>
    </w:p>
    <w:p>
      <w:pPr>
        <w:ind w:firstLine="420"/>
        <w:rPr>
          <w:szCs w:val="22"/>
        </w:rPr>
      </w:pPr>
    </w:p>
    <w:p>
      <w:pPr>
        <w:jc w:val="center"/>
        <w:rPr>
          <w:rFonts w:eastAsia="黑体"/>
          <w:bCs/>
          <w:spacing w:val="6"/>
          <w:kern w:val="0"/>
          <w:sz w:val="28"/>
          <w:szCs w:val="28"/>
        </w:rPr>
      </w:pPr>
      <w:r>
        <w:rPr>
          <w:rFonts w:hAnsi="宋体"/>
          <w:szCs w:val="21"/>
        </w:rPr>
        <w:br w:type="page"/>
      </w:r>
      <w:r>
        <w:rPr>
          <w:rFonts w:hint="eastAsia" w:eastAsia="黑体"/>
          <w:bCs/>
          <w:spacing w:val="6"/>
          <w:kern w:val="0"/>
          <w:sz w:val="28"/>
          <w:szCs w:val="28"/>
        </w:rPr>
        <w:t>稀土复合钇锆陶瓷材料化学分析方法 </w:t>
      </w:r>
    </w:p>
    <w:p>
      <w:pPr>
        <w:jc w:val="center"/>
        <w:rPr>
          <w:rFonts w:eastAsia="黑体"/>
          <w:bCs/>
          <w:spacing w:val="6"/>
          <w:kern w:val="0"/>
          <w:sz w:val="28"/>
          <w:szCs w:val="28"/>
        </w:rPr>
      </w:pPr>
      <w:r>
        <w:rPr>
          <w:rFonts w:hint="eastAsia" w:eastAsia="黑体"/>
          <w:bCs/>
          <w:spacing w:val="6"/>
          <w:kern w:val="0"/>
          <w:sz w:val="28"/>
          <w:szCs w:val="28"/>
        </w:rPr>
        <w:t>氧化锆、氧化钇和氧化铪含量的测定</w:t>
      </w:r>
    </w:p>
    <w:p>
      <w:pPr>
        <w:numPr>
          <w:ilvl w:val="0"/>
          <w:numId w:val="3"/>
        </w:numPr>
        <w:spacing w:before="310" w:beforeLines="100" w:after="310" w:afterLines="100" w:line="300" w:lineRule="auto"/>
        <w:ind w:left="363" w:hanging="363"/>
        <w:rPr>
          <w:rFonts w:ascii="黑体" w:hAnsi="黑体" w:eastAsia="黑体" w:cs="黑体"/>
          <w:szCs w:val="21"/>
        </w:rPr>
      </w:pPr>
      <w:r>
        <w:rPr>
          <w:rFonts w:hint="eastAsia" w:ascii="黑体" w:hAnsi="黑体" w:eastAsia="黑体" w:cs="黑体"/>
          <w:szCs w:val="21"/>
        </w:rPr>
        <w:t>范围</w:t>
      </w:r>
    </w:p>
    <w:p>
      <w:pPr>
        <w:widowControl/>
        <w:tabs>
          <w:tab w:val="center" w:pos="4201"/>
          <w:tab w:val="right" w:leader="dot" w:pos="9298"/>
        </w:tabs>
        <w:autoSpaceDE w:val="0"/>
        <w:autoSpaceDN w:val="0"/>
        <w:ind w:firstLine="420" w:firstLineChars="200"/>
      </w:pPr>
      <w:r>
        <w:t>本</w:t>
      </w:r>
      <w:r>
        <w:rPr>
          <w:rFonts w:hint="eastAsia"/>
        </w:rPr>
        <w:t>文件</w:t>
      </w:r>
      <w:r>
        <w:t>规定了稀土复合钇锆陶瓷材料中氧化锆、氧化钇</w:t>
      </w:r>
      <w:r>
        <w:rPr>
          <w:rFonts w:hint="eastAsia"/>
        </w:rPr>
        <w:t>和</w:t>
      </w:r>
      <w:r>
        <w:t>氧化铪含量的测定方法。</w:t>
      </w:r>
    </w:p>
    <w:p>
      <w:pPr>
        <w:widowControl/>
        <w:tabs>
          <w:tab w:val="center" w:pos="4201"/>
          <w:tab w:val="right" w:leader="dot" w:pos="9298"/>
        </w:tabs>
        <w:autoSpaceDE w:val="0"/>
        <w:autoSpaceDN w:val="0"/>
        <w:ind w:firstLine="420" w:firstLineChars="200"/>
      </w:pPr>
      <w:r>
        <w:t>本</w:t>
      </w:r>
      <w:r>
        <w:rPr>
          <w:rFonts w:hint="eastAsia"/>
        </w:rPr>
        <w:t>文件</w:t>
      </w:r>
      <w:r>
        <w:t>适用于稀土复合钇锆陶瓷材料中氧化锆、氧化钇</w:t>
      </w:r>
      <w:r>
        <w:rPr>
          <w:rFonts w:hint="eastAsia"/>
        </w:rPr>
        <w:t>和</w:t>
      </w:r>
      <w:r>
        <w:t>氧化铪含量的测定。</w:t>
      </w:r>
    </w:p>
    <w:p>
      <w:pPr>
        <w:ind w:firstLine="420" w:firstLineChars="200"/>
      </w:pPr>
      <w:r>
        <w:rPr>
          <w:szCs w:val="21"/>
        </w:rPr>
        <w:t>本文件共包含2个方法：方法1电感耦合等离子发射光谱法，方法2</w:t>
      </w:r>
      <w:r>
        <w:rPr>
          <w:rFonts w:hint="eastAsia"/>
          <w:szCs w:val="21"/>
        </w:rPr>
        <w:t xml:space="preserve">  </w:t>
      </w:r>
      <w:r>
        <w:rPr>
          <w:szCs w:val="21"/>
        </w:rPr>
        <w:t>X射线荧光光谱法。方法1</w:t>
      </w:r>
      <w:r>
        <w:t>测定范围见表1，方法2 测定范围见表2。</w:t>
      </w:r>
    </w:p>
    <w:p>
      <w:pPr>
        <w:ind w:firstLine="420"/>
        <w:jc w:val="center"/>
        <w:rPr>
          <w:rFonts w:ascii="黑体" w:hAnsi="宋体" w:eastAsia="黑体"/>
          <w:szCs w:val="21"/>
        </w:rPr>
      </w:pPr>
      <w:r>
        <w:rPr>
          <w:rFonts w:hint="eastAsia" w:ascii="黑体" w:hAnsi="宋体" w:eastAsia="黑体"/>
          <w:szCs w:val="21"/>
          <w:lang w:val="de-DE"/>
        </w:rPr>
        <w:t>表</w:t>
      </w:r>
      <w:r>
        <w:rPr>
          <w:rFonts w:hint="eastAsia" w:ascii="黑体" w:hAnsi="宋体" w:eastAsia="黑体"/>
          <w:szCs w:val="21"/>
          <w:lang w:val="de-DE"/>
        </w:rPr>
        <w:fldChar w:fldCharType="begin"/>
      </w:r>
      <w:r>
        <w:rPr>
          <w:rFonts w:hint="eastAsia" w:ascii="黑体" w:hAnsi="宋体" w:eastAsia="黑体"/>
          <w:szCs w:val="21"/>
          <w:lang w:val="de-DE"/>
        </w:rPr>
        <w:instrText xml:space="preserve"> SEQ 表 \* ARABIC </w:instrText>
      </w:r>
      <w:r>
        <w:rPr>
          <w:rFonts w:hint="eastAsia" w:ascii="黑体" w:hAnsi="宋体" w:eastAsia="黑体"/>
          <w:szCs w:val="21"/>
          <w:lang w:val="de-DE"/>
        </w:rPr>
        <w:fldChar w:fldCharType="separate"/>
      </w:r>
      <w:r>
        <w:rPr>
          <w:rFonts w:hint="eastAsia" w:ascii="黑体" w:hAnsi="宋体" w:eastAsia="黑体"/>
          <w:szCs w:val="21"/>
          <w:lang w:val="de-DE"/>
        </w:rPr>
        <w:t>1</w:t>
      </w:r>
      <w:r>
        <w:rPr>
          <w:rFonts w:hint="eastAsia" w:ascii="黑体" w:hAnsi="宋体" w:eastAsia="黑体"/>
          <w:szCs w:val="21"/>
          <w:lang w:val="de-DE"/>
        </w:rPr>
        <w:fldChar w:fldCharType="end"/>
      </w:r>
      <w:r>
        <w:rPr>
          <w:rFonts w:hint="eastAsia" w:ascii="黑体" w:hAnsi="宋体" w:eastAsia="黑体"/>
          <w:szCs w:val="21"/>
        </w:rPr>
        <w:t xml:space="preserve"> 方法1测定范围</w:t>
      </w:r>
    </w:p>
    <w:tbl>
      <w:tblPr>
        <w:tblStyle w:val="12"/>
        <w:tblpPr w:leftFromText="180" w:rightFromText="180" w:vertAnchor="text" w:horzAnchor="margin" w:tblpX="1" w:tblpY="14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3834"/>
        <w:gridCol w:w="56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3" w:hRule="atLeast"/>
        </w:trPr>
        <w:tc>
          <w:tcPr>
            <w:tcW w:w="3834" w:type="dxa"/>
            <w:vAlign w:val="center"/>
          </w:tcPr>
          <w:p>
            <w:pPr>
              <w:adjustRightInd w:val="0"/>
              <w:snapToGrid w:val="0"/>
              <w:jc w:val="center"/>
              <w:rPr>
                <w:sz w:val="18"/>
                <w:szCs w:val="18"/>
              </w:rPr>
            </w:pPr>
            <w:r>
              <w:rPr>
                <w:rFonts w:hint="eastAsia"/>
                <w:sz w:val="18"/>
                <w:szCs w:val="18"/>
              </w:rPr>
              <w:t>氧化物</w:t>
            </w:r>
          </w:p>
        </w:tc>
        <w:tc>
          <w:tcPr>
            <w:tcW w:w="5632" w:type="dxa"/>
            <w:vAlign w:val="center"/>
          </w:tcPr>
          <w:p>
            <w:pPr>
              <w:adjustRightInd w:val="0"/>
              <w:snapToGrid w:val="0"/>
              <w:jc w:val="center"/>
              <w:rPr>
                <w:sz w:val="18"/>
                <w:szCs w:val="18"/>
              </w:rPr>
            </w:pPr>
            <w:r>
              <w:rPr>
                <w:sz w:val="18"/>
                <w:szCs w:val="18"/>
              </w:rPr>
              <w:t>质量分数/%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3" w:hRule="atLeast"/>
        </w:trPr>
        <w:tc>
          <w:tcPr>
            <w:tcW w:w="3834" w:type="dxa"/>
            <w:vAlign w:val="center"/>
          </w:tcPr>
          <w:p>
            <w:pPr>
              <w:jc w:val="center"/>
              <w:rPr>
                <w:sz w:val="18"/>
              </w:rPr>
            </w:pPr>
            <w:r>
              <w:rPr>
                <w:rFonts w:hint="eastAsia"/>
                <w:sz w:val="18"/>
              </w:rPr>
              <w:t>氧化锆</w:t>
            </w:r>
          </w:p>
          <w:p>
            <w:pPr>
              <w:jc w:val="center"/>
              <w:rPr>
                <w:sz w:val="18"/>
              </w:rPr>
            </w:pPr>
            <w:r>
              <w:rPr>
                <w:rFonts w:hint="eastAsia"/>
                <w:sz w:val="18"/>
              </w:rPr>
              <w:t>氧化钇</w:t>
            </w:r>
          </w:p>
          <w:p>
            <w:pPr>
              <w:jc w:val="center"/>
              <w:rPr>
                <w:sz w:val="18"/>
              </w:rPr>
            </w:pPr>
            <w:r>
              <w:rPr>
                <w:rFonts w:hint="eastAsia"/>
                <w:sz w:val="18"/>
              </w:rPr>
              <w:t>氧化铪</w:t>
            </w:r>
          </w:p>
        </w:tc>
        <w:tc>
          <w:tcPr>
            <w:tcW w:w="5632" w:type="dxa"/>
            <w:vAlign w:val="center"/>
          </w:tcPr>
          <w:p>
            <w:pPr>
              <w:tabs>
                <w:tab w:val="left" w:pos="5460"/>
              </w:tabs>
              <w:ind w:right="19" w:rightChars="9"/>
              <w:jc w:val="center"/>
              <w:rPr>
                <w:sz w:val="18"/>
              </w:rPr>
            </w:pPr>
            <w:r>
              <w:rPr>
                <w:rFonts w:hint="eastAsia"/>
                <w:sz w:val="18"/>
              </w:rPr>
              <w:t>7</w:t>
            </w:r>
            <w:r>
              <w:rPr>
                <w:sz w:val="18"/>
              </w:rPr>
              <w:t>4</w:t>
            </w:r>
            <w:r>
              <w:rPr>
                <w:rFonts w:hint="eastAsia"/>
                <w:sz w:val="18"/>
              </w:rPr>
              <w:t>.00</w:t>
            </w:r>
            <w:r>
              <w:rPr>
                <w:sz w:val="18"/>
              </w:rPr>
              <w:t>~</w:t>
            </w:r>
            <w:r>
              <w:rPr>
                <w:rFonts w:hint="eastAsia"/>
                <w:sz w:val="18"/>
              </w:rPr>
              <w:t>94.50</w:t>
            </w:r>
          </w:p>
          <w:p>
            <w:pPr>
              <w:jc w:val="center"/>
              <w:rPr>
                <w:sz w:val="18"/>
              </w:rPr>
            </w:pPr>
            <w:r>
              <w:rPr>
                <w:rFonts w:hint="eastAsia"/>
                <w:sz w:val="18"/>
              </w:rPr>
              <w:t>4.50</w:t>
            </w:r>
            <w:r>
              <w:rPr>
                <w:sz w:val="18"/>
              </w:rPr>
              <w:t>~</w:t>
            </w:r>
            <w:r>
              <w:rPr>
                <w:rFonts w:hint="eastAsia"/>
                <w:sz w:val="18"/>
              </w:rPr>
              <w:t>23.00</w:t>
            </w:r>
          </w:p>
          <w:p>
            <w:pPr>
              <w:jc w:val="center"/>
              <w:rPr>
                <w:sz w:val="18"/>
                <w:szCs w:val="18"/>
              </w:rPr>
            </w:pPr>
            <w:r>
              <w:rPr>
                <w:rFonts w:hint="eastAsia"/>
                <w:sz w:val="18"/>
              </w:rPr>
              <w:t>1.00</w:t>
            </w:r>
            <w:r>
              <w:rPr>
                <w:sz w:val="18"/>
              </w:rPr>
              <w:t>~</w:t>
            </w:r>
            <w:r>
              <w:rPr>
                <w:rFonts w:hint="eastAsia"/>
                <w:sz w:val="18"/>
              </w:rPr>
              <w:t>3.00</w:t>
            </w:r>
          </w:p>
        </w:tc>
      </w:tr>
    </w:tbl>
    <w:p>
      <w:pPr>
        <w:widowControl/>
        <w:tabs>
          <w:tab w:val="center" w:pos="4201"/>
          <w:tab w:val="right" w:leader="dot" w:pos="9298"/>
        </w:tabs>
        <w:autoSpaceDE w:val="0"/>
        <w:autoSpaceDN w:val="0"/>
        <w:ind w:firstLine="420" w:firstLineChars="200"/>
      </w:pPr>
    </w:p>
    <w:p>
      <w:pPr>
        <w:ind w:firstLine="420"/>
        <w:jc w:val="center"/>
        <w:rPr>
          <w:rFonts w:ascii="黑体" w:hAnsi="宋体" w:eastAsia="黑体"/>
          <w:szCs w:val="21"/>
        </w:rPr>
      </w:pPr>
      <w:r>
        <w:rPr>
          <w:rFonts w:hint="eastAsia" w:ascii="黑体" w:hAnsi="宋体" w:eastAsia="黑体"/>
          <w:szCs w:val="21"/>
          <w:lang w:val="de-DE"/>
        </w:rPr>
        <w:t>表</w:t>
      </w:r>
      <w:r>
        <w:rPr>
          <w:rFonts w:hint="eastAsia" w:ascii="黑体" w:hAnsi="宋体" w:eastAsia="黑体"/>
          <w:szCs w:val="21"/>
        </w:rPr>
        <w:t>2 方法2测定范围</w:t>
      </w:r>
    </w:p>
    <w:tbl>
      <w:tblPr>
        <w:tblStyle w:val="12"/>
        <w:tblpPr w:leftFromText="180" w:rightFromText="180" w:vertAnchor="text" w:horzAnchor="margin" w:tblpX="1" w:tblpY="14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3834"/>
        <w:gridCol w:w="56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3" w:hRule="atLeast"/>
        </w:trPr>
        <w:tc>
          <w:tcPr>
            <w:tcW w:w="3834" w:type="dxa"/>
            <w:vAlign w:val="center"/>
          </w:tcPr>
          <w:p>
            <w:pPr>
              <w:adjustRightInd w:val="0"/>
              <w:snapToGrid w:val="0"/>
              <w:jc w:val="center"/>
              <w:rPr>
                <w:sz w:val="18"/>
                <w:szCs w:val="18"/>
              </w:rPr>
            </w:pPr>
            <w:r>
              <w:rPr>
                <w:rFonts w:hint="eastAsia"/>
                <w:sz w:val="18"/>
                <w:szCs w:val="18"/>
              </w:rPr>
              <w:t>氧化物</w:t>
            </w:r>
          </w:p>
        </w:tc>
        <w:tc>
          <w:tcPr>
            <w:tcW w:w="5632" w:type="dxa"/>
            <w:vAlign w:val="center"/>
          </w:tcPr>
          <w:p>
            <w:pPr>
              <w:adjustRightInd w:val="0"/>
              <w:snapToGrid w:val="0"/>
              <w:jc w:val="center"/>
              <w:rPr>
                <w:sz w:val="18"/>
                <w:szCs w:val="18"/>
              </w:rPr>
            </w:pPr>
            <w:r>
              <w:rPr>
                <w:sz w:val="18"/>
                <w:szCs w:val="18"/>
              </w:rPr>
              <w:t>质量分数/%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CellMar>
            <w:top w:w="0" w:type="dxa"/>
            <w:left w:w="108" w:type="dxa"/>
            <w:bottom w:w="0" w:type="dxa"/>
            <w:right w:w="108" w:type="dxa"/>
          </w:tblCellMar>
        </w:tblPrEx>
        <w:trPr>
          <w:trHeight w:val="23" w:hRule="atLeast"/>
        </w:trPr>
        <w:tc>
          <w:tcPr>
            <w:tcW w:w="3834" w:type="dxa"/>
            <w:vAlign w:val="center"/>
          </w:tcPr>
          <w:p>
            <w:pPr>
              <w:jc w:val="center"/>
              <w:rPr>
                <w:sz w:val="18"/>
              </w:rPr>
            </w:pPr>
            <w:r>
              <w:rPr>
                <w:rFonts w:hint="eastAsia"/>
                <w:sz w:val="18"/>
              </w:rPr>
              <w:t>氧化锆</w:t>
            </w:r>
          </w:p>
          <w:p>
            <w:pPr>
              <w:jc w:val="center"/>
              <w:rPr>
                <w:sz w:val="18"/>
              </w:rPr>
            </w:pPr>
            <w:r>
              <w:rPr>
                <w:rFonts w:hint="eastAsia"/>
                <w:sz w:val="18"/>
              </w:rPr>
              <w:t>氧化钇</w:t>
            </w:r>
          </w:p>
          <w:p>
            <w:pPr>
              <w:jc w:val="center"/>
              <w:rPr>
                <w:sz w:val="18"/>
              </w:rPr>
            </w:pPr>
            <w:r>
              <w:rPr>
                <w:rFonts w:hint="eastAsia"/>
                <w:sz w:val="18"/>
              </w:rPr>
              <w:t>氧化铪</w:t>
            </w:r>
          </w:p>
        </w:tc>
        <w:tc>
          <w:tcPr>
            <w:tcW w:w="5632" w:type="dxa"/>
            <w:vAlign w:val="center"/>
          </w:tcPr>
          <w:p>
            <w:pPr>
              <w:tabs>
                <w:tab w:val="left" w:pos="5460"/>
              </w:tabs>
              <w:ind w:right="19" w:rightChars="9"/>
              <w:jc w:val="center"/>
              <w:rPr>
                <w:sz w:val="18"/>
              </w:rPr>
            </w:pPr>
            <w:r>
              <w:rPr>
                <w:rFonts w:hint="eastAsia"/>
                <w:sz w:val="18"/>
              </w:rPr>
              <w:t>78.00</w:t>
            </w:r>
            <w:r>
              <w:rPr>
                <w:sz w:val="18"/>
              </w:rPr>
              <w:t>~</w:t>
            </w:r>
            <w:r>
              <w:rPr>
                <w:rFonts w:hint="eastAsia"/>
                <w:sz w:val="18"/>
              </w:rPr>
              <w:t>98.00</w:t>
            </w:r>
          </w:p>
          <w:p>
            <w:pPr>
              <w:jc w:val="center"/>
              <w:rPr>
                <w:sz w:val="18"/>
              </w:rPr>
            </w:pPr>
            <w:r>
              <w:rPr>
                <w:rFonts w:hint="eastAsia"/>
                <w:sz w:val="18"/>
              </w:rPr>
              <w:t>0.10</w:t>
            </w:r>
            <w:r>
              <w:rPr>
                <w:sz w:val="18"/>
              </w:rPr>
              <w:t>~</w:t>
            </w:r>
            <w:r>
              <w:rPr>
                <w:rFonts w:hint="eastAsia"/>
                <w:sz w:val="18"/>
              </w:rPr>
              <w:t>20.00</w:t>
            </w:r>
          </w:p>
          <w:p>
            <w:pPr>
              <w:jc w:val="center"/>
              <w:rPr>
                <w:sz w:val="18"/>
                <w:szCs w:val="18"/>
              </w:rPr>
            </w:pPr>
            <w:r>
              <w:rPr>
                <w:rFonts w:hint="eastAsia"/>
                <w:sz w:val="18"/>
              </w:rPr>
              <w:t>1.60</w:t>
            </w:r>
            <w:r>
              <w:rPr>
                <w:sz w:val="18"/>
              </w:rPr>
              <w:t>~</w:t>
            </w:r>
            <w:r>
              <w:rPr>
                <w:rFonts w:hint="eastAsia"/>
                <w:sz w:val="18"/>
              </w:rPr>
              <w:t>2.00</w:t>
            </w:r>
          </w:p>
        </w:tc>
      </w:tr>
    </w:tbl>
    <w:p>
      <w:pPr>
        <w:numPr>
          <w:ilvl w:val="0"/>
          <w:numId w:val="3"/>
        </w:numPr>
        <w:spacing w:before="310" w:beforeLines="100" w:after="310" w:afterLines="100" w:line="300" w:lineRule="auto"/>
        <w:ind w:left="363" w:hanging="363"/>
        <w:rPr>
          <w:rFonts w:ascii="黑体" w:hAnsi="黑体" w:eastAsia="黑体" w:cs="黑体"/>
          <w:szCs w:val="21"/>
        </w:rPr>
      </w:pPr>
      <w:r>
        <w:rPr>
          <w:rFonts w:hint="eastAsia" w:ascii="黑体" w:hAnsi="黑体" w:eastAsia="黑体" w:cs="黑体"/>
          <w:szCs w:val="21"/>
        </w:rPr>
        <w:t>规范性引用文件</w:t>
      </w:r>
    </w:p>
    <w:p>
      <w:pPr>
        <w:snapToGrid w:val="0"/>
        <w:ind w:firstLine="420"/>
        <w:rPr>
          <w:bCs/>
          <w:szCs w:val="21"/>
          <w:highlight w:val="yellow"/>
        </w:rPr>
      </w:pPr>
      <w:r>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napToGrid w:val="0"/>
        <w:ind w:firstLine="420"/>
        <w:rPr>
          <w:bCs/>
          <w:szCs w:val="21"/>
        </w:rPr>
      </w:pPr>
      <w:r>
        <w:rPr>
          <w:bCs/>
          <w:szCs w:val="21"/>
        </w:rPr>
        <w:t>GB/T</w:t>
      </w:r>
      <w:r>
        <w:rPr>
          <w:color w:val="000000"/>
        </w:rPr>
        <w:t> </w:t>
      </w:r>
      <w:r>
        <w:rPr>
          <w:bCs/>
          <w:szCs w:val="21"/>
        </w:rPr>
        <w:t>8170</w:t>
      </w:r>
      <w:r>
        <w:rPr>
          <w:color w:val="000000"/>
        </w:rPr>
        <w:t>　</w:t>
      </w:r>
      <w:r>
        <w:rPr>
          <w:bCs/>
          <w:szCs w:val="21"/>
        </w:rPr>
        <w:t>数值修约规则与极限数值的表示和判定</w:t>
      </w:r>
    </w:p>
    <w:p>
      <w:pPr>
        <w:snapToGrid w:val="0"/>
        <w:ind w:firstLine="420"/>
        <w:rPr>
          <w:bCs/>
          <w:szCs w:val="21"/>
        </w:rPr>
      </w:pPr>
      <w:r>
        <w:rPr>
          <w:bCs/>
          <w:szCs w:val="21"/>
        </w:rPr>
        <w:t>XB/T625 稀土复合钇锆陶瓷材料化学分析方法 氧化钛、氧化铝、 氧化钠和氧化铁含量的测定</w:t>
      </w:r>
    </w:p>
    <w:p>
      <w:pPr>
        <w:snapToGrid w:val="0"/>
        <w:ind w:firstLine="420" w:firstLineChars="200"/>
        <w:rPr>
          <w:bCs/>
          <w:szCs w:val="21"/>
        </w:rPr>
      </w:pPr>
      <w:r>
        <w:rPr>
          <w:bCs/>
          <w:szCs w:val="21"/>
        </w:rPr>
        <w:t xml:space="preserve">YS/T 568.3 氧化锆、氧化铪化学分析方法 </w:t>
      </w:r>
      <w:r>
        <w:rPr>
          <w:rFonts w:hint="eastAsia"/>
          <w:bCs/>
          <w:szCs w:val="21"/>
        </w:rPr>
        <w:t xml:space="preserve">第3部分 </w:t>
      </w:r>
      <w:r>
        <w:rPr>
          <w:bCs/>
          <w:szCs w:val="21"/>
        </w:rPr>
        <w:t>硅量的测定 钼蓝分光光度法</w:t>
      </w:r>
    </w:p>
    <w:p>
      <w:pPr>
        <w:numPr>
          <w:ilvl w:val="0"/>
          <w:numId w:val="3"/>
        </w:numPr>
        <w:spacing w:before="310" w:beforeLines="100" w:after="310" w:afterLines="100" w:line="300" w:lineRule="auto"/>
        <w:ind w:left="363" w:hanging="363"/>
        <w:rPr>
          <w:rFonts w:ascii="黑体" w:hAnsi="黑体" w:eastAsia="黑体" w:cs="黑体"/>
          <w:szCs w:val="21"/>
        </w:rPr>
      </w:pPr>
      <w:r>
        <w:rPr>
          <w:rFonts w:hint="eastAsia" w:ascii="黑体" w:hAnsi="黑体" w:eastAsia="黑体" w:cs="黑体"/>
          <w:szCs w:val="21"/>
        </w:rPr>
        <w:t>术语和定义</w:t>
      </w:r>
    </w:p>
    <w:p>
      <w:pPr>
        <w:adjustRightInd w:val="0"/>
        <w:snapToGrid w:val="0"/>
        <w:ind w:firstLine="420"/>
      </w:pPr>
      <w:r>
        <w:rPr>
          <w:bCs/>
          <w:szCs w:val="21"/>
        </w:rPr>
        <w:t>本文件</w:t>
      </w:r>
      <w:r>
        <w:rPr>
          <w:rFonts w:hint="eastAsia"/>
          <w:bCs/>
          <w:szCs w:val="21"/>
        </w:rPr>
        <w:t>没有需要界定的术语和定义</w:t>
      </w:r>
      <w:r>
        <w:t>。</w:t>
      </w:r>
    </w:p>
    <w:p>
      <w:pPr>
        <w:numPr>
          <w:ilvl w:val="0"/>
          <w:numId w:val="3"/>
        </w:numPr>
        <w:spacing w:before="310" w:beforeLines="100" w:after="310" w:afterLines="100" w:line="300" w:lineRule="auto"/>
        <w:ind w:left="363" w:hanging="363"/>
        <w:rPr>
          <w:rFonts w:ascii="黑体" w:hAnsi="黑体" w:eastAsia="黑体" w:cs="黑体"/>
          <w:szCs w:val="21"/>
        </w:rPr>
      </w:pPr>
      <w:r>
        <w:rPr>
          <w:rFonts w:hint="eastAsia" w:ascii="黑体" w:hAnsi="黑体" w:eastAsia="黑体" w:cs="黑体"/>
          <w:szCs w:val="21"/>
        </w:rPr>
        <w:t>方法1：电感耦合等离子体发射光谱法</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4.1方法原理</w:t>
      </w:r>
    </w:p>
    <w:p>
      <w:pPr>
        <w:adjustRightInd w:val="0"/>
        <w:snapToGrid w:val="0"/>
        <w:spacing w:line="300" w:lineRule="auto"/>
        <w:ind w:firstLine="420" w:firstLineChars="200"/>
        <w:rPr>
          <w:rFonts w:hAnsi="宋体"/>
          <w:szCs w:val="21"/>
        </w:rPr>
      </w:pPr>
      <w:r>
        <w:rPr>
          <w:rFonts w:hint="eastAsia" w:hAnsi="宋体"/>
          <w:szCs w:val="21"/>
        </w:rPr>
        <w:t>试样以硫酸-硫酸铵溶解，在酸性介质中，</w:t>
      </w:r>
      <w:r>
        <w:t>使用电感耦合等离子体发射光谱仪，于</w:t>
      </w:r>
      <w:r>
        <w:rPr>
          <w:rFonts w:hint="eastAsia"/>
        </w:rPr>
        <w:t>推荐的</w:t>
      </w:r>
      <w:r>
        <w:t>各元素波长处进行</w:t>
      </w:r>
      <w:r>
        <w:rPr>
          <w:rFonts w:hint="eastAsia"/>
        </w:rPr>
        <w:t>光谱</w:t>
      </w:r>
      <w:r>
        <w:t>测定</w:t>
      </w:r>
      <w:r>
        <w:rPr>
          <w:rFonts w:hint="eastAsia" w:hAnsi="宋体"/>
          <w:szCs w:val="21"/>
        </w:rPr>
        <w:t>。</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4.2试剂</w:t>
      </w:r>
    </w:p>
    <w:p>
      <w:pPr>
        <w:jc w:val="left"/>
        <w:rPr>
          <w:szCs w:val="21"/>
        </w:rPr>
      </w:pPr>
      <w:r>
        <w:rPr>
          <w:rFonts w:hint="eastAsia" w:ascii="黑体" w:hAnsi="黑体" w:eastAsia="黑体" w:cs="黑体"/>
          <w:szCs w:val="21"/>
        </w:rPr>
        <w:t xml:space="preserve">4.2.1 </w:t>
      </w:r>
      <w:r>
        <w:rPr>
          <w:szCs w:val="21"/>
        </w:rPr>
        <w:t>硫酸铵</w:t>
      </w:r>
      <w:r>
        <w:rPr>
          <w:rFonts w:hint="eastAsia"/>
        </w:rPr>
        <w:t>。</w:t>
      </w:r>
    </w:p>
    <w:p>
      <w:pPr>
        <w:jc w:val="left"/>
        <w:rPr>
          <w:szCs w:val="21"/>
        </w:rPr>
      </w:pPr>
      <w:r>
        <w:rPr>
          <w:rFonts w:hint="eastAsia" w:ascii="黑体" w:hAnsi="黑体" w:eastAsia="黑体" w:cs="黑体"/>
          <w:szCs w:val="21"/>
        </w:rPr>
        <w:t xml:space="preserve">4.2.2 </w:t>
      </w:r>
      <w:r>
        <w:rPr>
          <w:szCs w:val="21"/>
        </w:rPr>
        <w:t>硫酸(</w:t>
      </w:r>
      <w:r>
        <w:rPr>
          <w:i/>
          <w:szCs w:val="21"/>
        </w:rPr>
        <w:t>ρ</w:t>
      </w:r>
      <w:r>
        <w:rPr>
          <w:rFonts w:hint="eastAsia"/>
          <w:i/>
          <w:szCs w:val="21"/>
        </w:rPr>
        <w:t xml:space="preserve"> </w:t>
      </w:r>
      <w:r>
        <w:rPr>
          <w:szCs w:val="21"/>
        </w:rPr>
        <w:t>1.84</w:t>
      </w:r>
      <w:r>
        <w:rPr>
          <w:rFonts w:hint="eastAsia"/>
          <w:szCs w:val="21"/>
        </w:rPr>
        <w:t xml:space="preserve"> </w:t>
      </w:r>
      <w:r>
        <w:rPr>
          <w:szCs w:val="21"/>
        </w:rPr>
        <w:t>g/mL，优级纯)</w:t>
      </w:r>
      <w:r>
        <w:rPr>
          <w:rFonts w:hint="eastAsia"/>
          <w:szCs w:val="21"/>
        </w:rPr>
        <w:t>。</w:t>
      </w:r>
    </w:p>
    <w:p>
      <w:pPr>
        <w:jc w:val="left"/>
        <w:rPr>
          <w:szCs w:val="21"/>
        </w:rPr>
      </w:pPr>
      <w:r>
        <w:rPr>
          <w:rFonts w:hint="eastAsia" w:ascii="黑体" w:hAnsi="黑体" w:eastAsia="黑体" w:cs="黑体"/>
          <w:szCs w:val="21"/>
        </w:rPr>
        <w:t>4.2.3</w:t>
      </w:r>
      <w:r>
        <w:rPr>
          <w:rFonts w:hint="eastAsia"/>
          <w:szCs w:val="21"/>
        </w:rPr>
        <w:t xml:space="preserve"> 硝酸(</w:t>
      </w:r>
      <w:r>
        <w:rPr>
          <w:i/>
          <w:szCs w:val="21"/>
        </w:rPr>
        <w:t>ρ</w:t>
      </w:r>
      <w:r>
        <w:rPr>
          <w:rFonts w:hint="eastAsia"/>
          <w:i/>
          <w:szCs w:val="21"/>
        </w:rPr>
        <w:t xml:space="preserve"> </w:t>
      </w:r>
      <w:r>
        <w:rPr>
          <w:rFonts w:hint="eastAsia"/>
          <w:szCs w:val="21"/>
        </w:rPr>
        <w:t>1.42 g/mL，优级纯)。</w:t>
      </w:r>
    </w:p>
    <w:p>
      <w:pPr>
        <w:adjustRightInd w:val="0"/>
        <w:snapToGrid w:val="0"/>
        <w:spacing w:line="300" w:lineRule="auto"/>
        <w:rPr>
          <w:szCs w:val="21"/>
        </w:rPr>
      </w:pPr>
      <w:r>
        <w:rPr>
          <w:rFonts w:hint="eastAsia" w:ascii="黑体" w:hAnsi="黑体" w:eastAsia="黑体" w:cs="黑体"/>
          <w:szCs w:val="21"/>
        </w:rPr>
        <w:t xml:space="preserve">4.2.4 </w:t>
      </w:r>
      <w:r>
        <w:rPr>
          <w:rFonts w:hint="eastAsia"/>
          <w:szCs w:val="21"/>
        </w:rPr>
        <w:t>盐酸(</w:t>
      </w:r>
      <w:r>
        <w:rPr>
          <w:i/>
          <w:szCs w:val="21"/>
        </w:rPr>
        <w:t>ρ</w:t>
      </w:r>
      <w:r>
        <w:rPr>
          <w:rFonts w:hint="eastAsia"/>
          <w:i/>
          <w:szCs w:val="21"/>
        </w:rPr>
        <w:t xml:space="preserve"> </w:t>
      </w:r>
      <w:r>
        <w:rPr>
          <w:rFonts w:hint="eastAsia"/>
          <w:szCs w:val="21"/>
        </w:rPr>
        <w:t>1.19 g/mL，优级纯)。</w:t>
      </w:r>
    </w:p>
    <w:p>
      <w:pPr>
        <w:adjustRightInd w:val="0"/>
        <w:snapToGrid w:val="0"/>
        <w:spacing w:line="300" w:lineRule="auto"/>
      </w:pPr>
      <w:r>
        <w:rPr>
          <w:rFonts w:hint="eastAsia" w:ascii="黑体" w:hAnsi="黑体" w:eastAsia="黑体" w:cs="黑体"/>
          <w:szCs w:val="21"/>
        </w:rPr>
        <w:t>4.2.5</w:t>
      </w:r>
      <w:r>
        <w:rPr>
          <w:rFonts w:hint="eastAsia"/>
        </w:rPr>
        <w:t xml:space="preserve"> </w:t>
      </w:r>
      <w:r>
        <w:rPr>
          <w:rFonts w:hint="eastAsia"/>
          <w:szCs w:val="21"/>
        </w:rPr>
        <w:t>氢氟酸(</w:t>
      </w:r>
      <w:r>
        <w:rPr>
          <w:i/>
          <w:szCs w:val="21"/>
        </w:rPr>
        <w:t>ρ</w:t>
      </w:r>
      <w:r>
        <w:rPr>
          <w:rFonts w:hint="eastAsia"/>
          <w:i/>
          <w:szCs w:val="21"/>
        </w:rPr>
        <w:t xml:space="preserve"> </w:t>
      </w:r>
      <w:r>
        <w:rPr>
          <w:rFonts w:hint="eastAsia"/>
          <w:szCs w:val="21"/>
        </w:rPr>
        <w:t>1.15 g/mL，</w:t>
      </w:r>
      <w:r>
        <w:rPr>
          <w:rFonts w:hint="eastAsia"/>
        </w:rPr>
        <w:t>优级纯)。</w:t>
      </w:r>
    </w:p>
    <w:p>
      <w:pPr>
        <w:adjustRightInd w:val="0"/>
        <w:snapToGrid w:val="0"/>
        <w:spacing w:line="300" w:lineRule="auto"/>
        <w:rPr>
          <w:rFonts w:ascii="黑体" w:hAnsi="黑体" w:cs="黑体"/>
          <w:szCs w:val="21"/>
        </w:rPr>
      </w:pPr>
      <w:r>
        <w:rPr>
          <w:rFonts w:hint="eastAsia" w:ascii="黑体" w:hAnsi="黑体" w:eastAsia="黑体" w:cs="黑体"/>
          <w:szCs w:val="21"/>
        </w:rPr>
        <w:t>4.2.6</w:t>
      </w:r>
      <w:r>
        <w:rPr>
          <w:szCs w:val="21"/>
        </w:rPr>
        <w:t>硫酸</w:t>
      </w:r>
      <w:r>
        <w:rPr>
          <w:rFonts w:hint="eastAsia"/>
          <w:szCs w:val="21"/>
        </w:rPr>
        <w:t>（1+1）。</w:t>
      </w:r>
    </w:p>
    <w:p>
      <w:pPr>
        <w:pStyle w:val="21"/>
        <w:spacing w:line="276" w:lineRule="auto"/>
        <w:ind w:firstLine="0" w:firstLineChars="0"/>
        <w:rPr>
          <w:rFonts w:ascii="Times New Roman"/>
          <w:szCs w:val="21"/>
        </w:rPr>
      </w:pPr>
      <w:r>
        <w:rPr>
          <w:rFonts w:hint="eastAsia" w:ascii="黑体" w:hAnsi="黑体" w:eastAsia="黑体" w:cs="黑体"/>
          <w:szCs w:val="21"/>
        </w:rPr>
        <w:t>4.2.7</w:t>
      </w:r>
      <w:r>
        <w:t xml:space="preserve"> </w:t>
      </w:r>
      <w:r>
        <w:rPr>
          <w:rFonts w:ascii="Times New Roman"/>
        </w:rPr>
        <w:t>氧化锆标准贮存溶液：称取0.7377</w:t>
      </w:r>
      <w:r>
        <w:rPr>
          <w:rFonts w:hint="eastAsia" w:ascii="Times New Roman"/>
        </w:rPr>
        <w:t xml:space="preserve"> </w:t>
      </w:r>
      <w:r>
        <w:rPr>
          <w:rFonts w:ascii="Times New Roman"/>
        </w:rPr>
        <w:t>g金属锆（</w:t>
      </w:r>
      <w:r>
        <w:rPr>
          <w:rFonts w:ascii="Times New Roman"/>
          <w:i/>
        </w:rPr>
        <w:t>w</w:t>
      </w:r>
      <w:r>
        <w:rPr>
          <w:rFonts w:hint="eastAsia" w:hAnsi="宋体" w:cs="宋体"/>
        </w:rPr>
        <w:t>≥</w:t>
      </w:r>
      <w:r>
        <w:rPr>
          <w:rFonts w:ascii="Times New Roman"/>
        </w:rPr>
        <w:t>99.99%），置于200</w:t>
      </w:r>
      <w:r>
        <w:rPr>
          <w:rFonts w:hint="eastAsia" w:ascii="Times New Roman"/>
        </w:rPr>
        <w:t xml:space="preserve"> </w:t>
      </w:r>
      <w:r>
        <w:rPr>
          <w:rFonts w:ascii="Times New Roman"/>
        </w:rPr>
        <w:t>mL聚四氟烧杯中，</w:t>
      </w:r>
      <w:r>
        <w:rPr>
          <w:rFonts w:hint="eastAsia" w:ascii="Times New Roman"/>
        </w:rPr>
        <w:t>以少量水吹洗杯壁</w:t>
      </w:r>
      <w:r>
        <w:rPr>
          <w:rFonts w:ascii="Times New Roman"/>
        </w:rPr>
        <w:t>，加入10</w:t>
      </w:r>
      <w:r>
        <w:rPr>
          <w:rFonts w:hint="eastAsia" w:ascii="Times New Roman"/>
        </w:rPr>
        <w:t xml:space="preserve"> </w:t>
      </w:r>
      <w:r>
        <w:rPr>
          <w:rFonts w:ascii="Times New Roman"/>
        </w:rPr>
        <w:t>mL硝酸（</w:t>
      </w:r>
      <w:r>
        <w:rPr>
          <w:rFonts w:hint="eastAsia" w:ascii="Times New Roman"/>
        </w:rPr>
        <w:t>4.2</w:t>
      </w:r>
      <w:r>
        <w:rPr>
          <w:rFonts w:ascii="Times New Roman"/>
        </w:rPr>
        <w:t>.</w:t>
      </w:r>
      <w:r>
        <w:rPr>
          <w:rFonts w:hint="eastAsia" w:ascii="Times New Roman"/>
        </w:rPr>
        <w:t>3</w:t>
      </w:r>
      <w:r>
        <w:rPr>
          <w:rFonts w:ascii="Times New Roman"/>
        </w:rPr>
        <w:t>），5</w:t>
      </w:r>
      <w:r>
        <w:rPr>
          <w:rFonts w:hint="eastAsia" w:ascii="Times New Roman"/>
        </w:rPr>
        <w:t xml:space="preserve"> </w:t>
      </w:r>
      <w:r>
        <w:rPr>
          <w:rFonts w:ascii="Times New Roman"/>
        </w:rPr>
        <w:t>mL氢氟酸（</w:t>
      </w:r>
      <w:r>
        <w:rPr>
          <w:rFonts w:hint="eastAsia" w:ascii="Times New Roman"/>
        </w:rPr>
        <w:t>4.2</w:t>
      </w:r>
      <w:r>
        <w:rPr>
          <w:rFonts w:ascii="Times New Roman"/>
        </w:rPr>
        <w:t>.</w:t>
      </w:r>
      <w:r>
        <w:rPr>
          <w:rFonts w:hint="eastAsia" w:ascii="Times New Roman"/>
        </w:rPr>
        <w:t>5</w:t>
      </w:r>
      <w:r>
        <w:rPr>
          <w:rFonts w:ascii="Times New Roman"/>
        </w:rPr>
        <w:t>），低温溶解，驱除氮的氧化物，取下，冷却，移入100</w:t>
      </w:r>
      <w:r>
        <w:rPr>
          <w:rFonts w:hint="eastAsia" w:ascii="Times New Roman"/>
        </w:rPr>
        <w:t xml:space="preserve">0 </w:t>
      </w:r>
      <w:r>
        <w:rPr>
          <w:rFonts w:ascii="Times New Roman"/>
        </w:rPr>
        <w:t>mL</w:t>
      </w:r>
      <w:r>
        <w:rPr>
          <w:rFonts w:hint="eastAsia" w:ascii="Times New Roman"/>
        </w:rPr>
        <w:t>塑料</w:t>
      </w:r>
      <w:r>
        <w:rPr>
          <w:rFonts w:ascii="Times New Roman"/>
        </w:rPr>
        <w:t>容量瓶中，用水稀释至刻度，混匀。此溶液1</w:t>
      </w:r>
      <w:r>
        <w:rPr>
          <w:rFonts w:hint="eastAsia" w:ascii="Times New Roman"/>
        </w:rPr>
        <w:t xml:space="preserve"> </w:t>
      </w:r>
      <w:r>
        <w:rPr>
          <w:rFonts w:ascii="Times New Roman"/>
        </w:rPr>
        <w:t>mL含1.00</w:t>
      </w:r>
      <w:r>
        <w:rPr>
          <w:rFonts w:hint="eastAsia" w:ascii="Times New Roman"/>
        </w:rPr>
        <w:t xml:space="preserve"> </w:t>
      </w:r>
      <w:r>
        <w:rPr>
          <w:rFonts w:ascii="Times New Roman"/>
        </w:rPr>
        <w:t>mg氧化锆。</w:t>
      </w:r>
    </w:p>
    <w:p>
      <w:pPr>
        <w:pStyle w:val="21"/>
        <w:spacing w:line="276" w:lineRule="auto"/>
        <w:ind w:firstLine="0" w:firstLineChars="0"/>
        <w:rPr>
          <w:rFonts w:ascii="Times New Roman"/>
          <w:szCs w:val="21"/>
        </w:rPr>
      </w:pPr>
      <w:r>
        <w:rPr>
          <w:rFonts w:hint="eastAsia" w:ascii="黑体" w:hAnsi="黑体" w:eastAsia="黑体" w:cs="黑体"/>
          <w:szCs w:val="21"/>
        </w:rPr>
        <w:t xml:space="preserve">4.2.8 </w:t>
      </w:r>
      <w:r>
        <w:rPr>
          <w:rFonts w:ascii="Times New Roman"/>
        </w:rPr>
        <w:t>氧化钇标准贮存溶液：称取1.0000</w:t>
      </w:r>
      <w:r>
        <w:rPr>
          <w:rFonts w:hint="eastAsia" w:ascii="Times New Roman"/>
        </w:rPr>
        <w:t xml:space="preserve"> </w:t>
      </w:r>
      <w:r>
        <w:rPr>
          <w:rFonts w:ascii="Times New Roman"/>
        </w:rPr>
        <w:t>g氧化钇（</w:t>
      </w:r>
      <w:r>
        <w:rPr>
          <w:rFonts w:ascii="Times New Roman"/>
          <w:i/>
        </w:rPr>
        <w:t>w</w:t>
      </w:r>
      <w:r>
        <w:rPr>
          <w:rFonts w:hint="eastAsia" w:hAnsi="宋体" w:cs="宋体"/>
        </w:rPr>
        <w:t>≥</w:t>
      </w:r>
      <w:r>
        <w:rPr>
          <w:rFonts w:ascii="Times New Roman"/>
        </w:rPr>
        <w:t>99.99%），置于200</w:t>
      </w:r>
      <w:r>
        <w:rPr>
          <w:rFonts w:hint="eastAsia" w:ascii="Times New Roman"/>
        </w:rPr>
        <w:t xml:space="preserve"> </w:t>
      </w:r>
      <w:r>
        <w:rPr>
          <w:rFonts w:ascii="Times New Roman"/>
        </w:rPr>
        <w:t>mL烧杯中</w:t>
      </w:r>
      <w:r>
        <w:rPr>
          <w:rFonts w:hint="eastAsia" w:ascii="Times New Roman"/>
        </w:rPr>
        <w:t>，以少量水吹洗杯壁</w:t>
      </w:r>
      <w:r>
        <w:rPr>
          <w:rFonts w:ascii="Times New Roman"/>
        </w:rPr>
        <w:t>，加入</w:t>
      </w:r>
      <w:r>
        <w:rPr>
          <w:rFonts w:hint="eastAsia" w:ascii="Times New Roman"/>
        </w:rPr>
        <w:t>2</w:t>
      </w:r>
      <w:r>
        <w:rPr>
          <w:rFonts w:ascii="Times New Roman"/>
        </w:rPr>
        <w:t>0</w:t>
      </w:r>
      <w:r>
        <w:rPr>
          <w:rFonts w:hint="eastAsia" w:ascii="Times New Roman"/>
        </w:rPr>
        <w:t xml:space="preserve"> </w:t>
      </w:r>
      <w:r>
        <w:rPr>
          <w:rFonts w:ascii="Times New Roman"/>
        </w:rPr>
        <w:t>mL盐酸（</w:t>
      </w:r>
      <w:r>
        <w:rPr>
          <w:rFonts w:hint="eastAsia" w:ascii="Times New Roman"/>
        </w:rPr>
        <w:t>4.2</w:t>
      </w:r>
      <w:r>
        <w:rPr>
          <w:rFonts w:ascii="Times New Roman"/>
        </w:rPr>
        <w:t>.</w:t>
      </w:r>
      <w:r>
        <w:rPr>
          <w:rFonts w:hint="eastAsia" w:ascii="Times New Roman"/>
        </w:rPr>
        <w:t>4</w:t>
      </w:r>
      <w:r>
        <w:rPr>
          <w:rFonts w:ascii="Times New Roman"/>
        </w:rPr>
        <w:t>），盖上表面皿，低温加热溶解完全，冷却，移入1000</w:t>
      </w:r>
      <w:r>
        <w:rPr>
          <w:rFonts w:hint="eastAsia" w:ascii="Times New Roman"/>
        </w:rPr>
        <w:t xml:space="preserve"> </w:t>
      </w:r>
      <w:r>
        <w:rPr>
          <w:rFonts w:ascii="Times New Roman"/>
        </w:rPr>
        <w:t>mL容量瓶中，用水稀释至刻度</w:t>
      </w:r>
      <w:r>
        <w:rPr>
          <w:rFonts w:hint="eastAsia" w:ascii="Times New Roman"/>
        </w:rPr>
        <w:t>，</w:t>
      </w:r>
      <w:r>
        <w:rPr>
          <w:rFonts w:ascii="Times New Roman"/>
        </w:rPr>
        <w:t>混匀。此溶液1</w:t>
      </w:r>
      <w:r>
        <w:rPr>
          <w:rFonts w:hint="eastAsia" w:ascii="Times New Roman"/>
        </w:rPr>
        <w:t xml:space="preserve"> </w:t>
      </w:r>
      <w:r>
        <w:rPr>
          <w:rFonts w:ascii="Times New Roman"/>
        </w:rPr>
        <w:t>mL含1.00</w:t>
      </w:r>
      <w:r>
        <w:rPr>
          <w:rFonts w:hint="eastAsia" w:ascii="Times New Roman"/>
        </w:rPr>
        <w:t xml:space="preserve"> </w:t>
      </w:r>
      <w:r>
        <w:rPr>
          <w:rFonts w:ascii="Times New Roman"/>
        </w:rPr>
        <w:t>mg氧化钇。</w:t>
      </w:r>
    </w:p>
    <w:p>
      <w:pPr>
        <w:adjustRightInd w:val="0"/>
        <w:snapToGrid w:val="0"/>
        <w:spacing w:line="300" w:lineRule="auto"/>
      </w:pPr>
      <w:r>
        <w:rPr>
          <w:rFonts w:hint="eastAsia" w:ascii="黑体" w:hAnsi="黑体" w:eastAsia="黑体" w:cs="黑体"/>
          <w:szCs w:val="21"/>
        </w:rPr>
        <w:t xml:space="preserve">4.2.9 </w:t>
      </w:r>
      <w:r>
        <w:t>氧化铪标准贮存溶液：称取0.8480</w:t>
      </w:r>
      <w:r>
        <w:rPr>
          <w:rFonts w:hint="eastAsia"/>
        </w:rPr>
        <w:t xml:space="preserve"> </w:t>
      </w:r>
      <w:r>
        <w:t>g金属铪（</w:t>
      </w:r>
      <w:r>
        <w:rPr>
          <w:i/>
        </w:rPr>
        <w:t>w</w:t>
      </w:r>
      <w:r>
        <w:rPr>
          <w:rFonts w:hint="eastAsia" w:ascii="宋体" w:hAnsi="宋体" w:cs="宋体"/>
        </w:rPr>
        <w:t>≥</w:t>
      </w:r>
      <w:r>
        <w:t>99.99%），置于200</w:t>
      </w:r>
      <w:r>
        <w:rPr>
          <w:rFonts w:hint="eastAsia"/>
        </w:rPr>
        <w:t xml:space="preserve"> </w:t>
      </w:r>
      <w:r>
        <w:t>mL聚四氟烧杯中，</w:t>
      </w:r>
      <w:r>
        <w:rPr>
          <w:rFonts w:hint="eastAsia"/>
        </w:rPr>
        <w:t>以少量水吹洗杯壁</w:t>
      </w:r>
      <w:r>
        <w:t>，加入10</w:t>
      </w:r>
      <w:r>
        <w:rPr>
          <w:rFonts w:hint="eastAsia"/>
        </w:rPr>
        <w:t xml:space="preserve"> </w:t>
      </w:r>
      <w:r>
        <w:t>mL硝酸（</w:t>
      </w:r>
      <w:r>
        <w:rPr>
          <w:rFonts w:hint="eastAsia"/>
        </w:rPr>
        <w:t>4.2</w:t>
      </w:r>
      <w:r>
        <w:t>.</w:t>
      </w:r>
      <w:r>
        <w:rPr>
          <w:rFonts w:hint="eastAsia"/>
        </w:rPr>
        <w:t>3</w:t>
      </w:r>
      <w:r>
        <w:t>），5</w:t>
      </w:r>
      <w:r>
        <w:rPr>
          <w:rFonts w:hint="eastAsia"/>
        </w:rPr>
        <w:t xml:space="preserve"> </w:t>
      </w:r>
      <w:r>
        <w:t>mL氢氟酸（</w:t>
      </w:r>
      <w:r>
        <w:rPr>
          <w:rFonts w:hint="eastAsia"/>
        </w:rPr>
        <w:t>4.2</w:t>
      </w:r>
      <w:r>
        <w:t>.</w:t>
      </w:r>
      <w:r>
        <w:rPr>
          <w:rFonts w:hint="eastAsia"/>
        </w:rPr>
        <w:t>5</w:t>
      </w:r>
      <w:r>
        <w:t>），低温溶解，驱除氮的氧化物，取下，冷却，移入1000</w:t>
      </w:r>
      <w:r>
        <w:rPr>
          <w:rFonts w:hint="eastAsia"/>
        </w:rPr>
        <w:t xml:space="preserve"> </w:t>
      </w:r>
      <w:r>
        <w:t>mL塑料容量瓶中，用水稀释至刻度，混匀。此溶液1</w:t>
      </w:r>
      <w:r>
        <w:rPr>
          <w:rFonts w:hint="eastAsia"/>
        </w:rPr>
        <w:t xml:space="preserve"> </w:t>
      </w:r>
      <w:r>
        <w:t>mL含1.00</w:t>
      </w:r>
      <w:r>
        <w:rPr>
          <w:rFonts w:hint="eastAsia"/>
        </w:rPr>
        <w:t xml:space="preserve"> </w:t>
      </w:r>
      <w:r>
        <w:t>mg氧化铪。</w:t>
      </w:r>
    </w:p>
    <w:p>
      <w:pPr>
        <w:adjustRightInd w:val="0"/>
        <w:snapToGrid w:val="0"/>
        <w:spacing w:line="300" w:lineRule="auto"/>
        <w:rPr>
          <w:rFonts w:ascii="黑体" w:hAnsi="黑体" w:cs="黑体"/>
          <w:szCs w:val="21"/>
        </w:rPr>
      </w:pPr>
      <w:r>
        <w:rPr>
          <w:rFonts w:hint="eastAsia" w:ascii="黑体" w:hAnsi="黑体" w:eastAsia="黑体" w:cs="黑体"/>
          <w:szCs w:val="21"/>
        </w:rPr>
        <w:t xml:space="preserve">4.2.10 </w:t>
      </w:r>
      <w:r>
        <w:rPr>
          <w:rFonts w:hint="eastAsia"/>
        </w:rPr>
        <w:t>氧</w:t>
      </w:r>
      <w:r>
        <w:t>化铪标准溶液：</w:t>
      </w:r>
      <w:r>
        <w:rPr>
          <w:rFonts w:hint="eastAsia"/>
        </w:rPr>
        <w:t>移取10.00 mL</w:t>
      </w:r>
      <w:bookmarkStart w:id="6" w:name="_GoBack"/>
      <w:bookmarkEnd w:id="6"/>
      <w:r>
        <w:rPr>
          <w:rFonts w:hint="eastAsia"/>
        </w:rPr>
        <w:t>氧化铪标准贮存溶液（4.2.9）于100 mL塑料容量瓶中，</w:t>
      </w:r>
      <w:r>
        <w:t>加入</w:t>
      </w:r>
      <w:r>
        <w:rPr>
          <w:rFonts w:hint="eastAsia"/>
        </w:rPr>
        <w:t xml:space="preserve">5 </w:t>
      </w:r>
      <w:r>
        <w:t>mL盐酸（</w:t>
      </w:r>
      <w:r>
        <w:rPr>
          <w:rFonts w:hint="eastAsia"/>
        </w:rPr>
        <w:t>4.2</w:t>
      </w:r>
      <w:r>
        <w:t>.</w:t>
      </w:r>
      <w:r>
        <w:rPr>
          <w:rFonts w:hint="eastAsia"/>
        </w:rPr>
        <w:t>4</w:t>
      </w:r>
      <w:r>
        <w:t>）</w:t>
      </w:r>
      <w:r>
        <w:rPr>
          <w:rFonts w:hint="eastAsia"/>
        </w:rPr>
        <w:t>，</w:t>
      </w:r>
      <w:r>
        <w:t>用水稀释至刻度，混匀。</w:t>
      </w:r>
    </w:p>
    <w:p>
      <w:pPr>
        <w:adjustRightInd w:val="0"/>
        <w:snapToGrid w:val="0"/>
        <w:spacing w:line="300" w:lineRule="auto"/>
      </w:pPr>
      <w:r>
        <w:rPr>
          <w:rFonts w:hint="eastAsia" w:ascii="黑体" w:hAnsi="黑体" w:eastAsia="黑体" w:cs="黑体"/>
          <w:szCs w:val="21"/>
        </w:rPr>
        <w:t xml:space="preserve">4.2.11 </w:t>
      </w:r>
      <w:r>
        <w:rPr>
          <w:rFonts w:hint="eastAsia"/>
        </w:rPr>
        <w:t>氩气</w:t>
      </w:r>
      <w:r>
        <w:rPr>
          <w:rFonts w:hint="eastAsia"/>
          <w:szCs w:val="21"/>
        </w:rPr>
        <w:t>（</w:t>
      </w:r>
      <w:r>
        <w:rPr>
          <w:rFonts w:hint="eastAsia" w:hAnsi="宋体" w:cs="宋体"/>
          <w:szCs w:val="21"/>
        </w:rPr>
        <w:t>体积分数</w:t>
      </w:r>
      <w:r>
        <w:rPr>
          <w:rFonts w:hint="eastAsia"/>
          <w:szCs w:val="21"/>
        </w:rPr>
        <w:t>≥99.99%）</w:t>
      </w:r>
      <w:r>
        <w:rPr>
          <w:rFonts w:hint="eastAsia"/>
        </w:rPr>
        <w:t>。</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4.3仪器设备</w:t>
      </w:r>
    </w:p>
    <w:p>
      <w:pPr>
        <w:spacing w:line="400" w:lineRule="exact"/>
        <w:rPr>
          <w:color w:val="000000"/>
          <w:szCs w:val="21"/>
        </w:rPr>
      </w:pPr>
      <w:r>
        <w:rPr>
          <w:rFonts w:hint="eastAsia" w:ascii="黑体" w:hAnsi="黑体" w:eastAsia="黑体" w:cs="黑体"/>
          <w:szCs w:val="21"/>
        </w:rPr>
        <w:t>4.3.1</w:t>
      </w:r>
      <w:r>
        <w:rPr>
          <w:szCs w:val="21"/>
        </w:rPr>
        <w:t xml:space="preserve"> </w:t>
      </w:r>
      <w:r>
        <w:rPr>
          <w:rFonts w:hint="eastAsia"/>
          <w:szCs w:val="21"/>
        </w:rPr>
        <w:t>电感耦合等离子体原子发射光谱仪，分辨率&lt;0.006 n</w:t>
      </w:r>
      <w:r>
        <w:rPr>
          <w:szCs w:val="21"/>
        </w:rPr>
        <w:t>m</w:t>
      </w:r>
      <w:r>
        <w:rPr>
          <w:rFonts w:hint="eastAsia"/>
          <w:szCs w:val="21"/>
        </w:rPr>
        <w:t xml:space="preserve">(200 </w:t>
      </w:r>
      <w:r>
        <w:rPr>
          <w:szCs w:val="21"/>
        </w:rPr>
        <w:t>nm</w:t>
      </w:r>
      <w:r>
        <w:rPr>
          <w:rFonts w:hint="eastAsia"/>
          <w:szCs w:val="21"/>
        </w:rPr>
        <w:t>处)</w:t>
      </w:r>
      <w:r>
        <w:rPr>
          <w:szCs w:val="21"/>
        </w:rPr>
        <w:t>。</w:t>
      </w:r>
    </w:p>
    <w:p>
      <w:pPr>
        <w:rPr>
          <w:color w:val="000000"/>
          <w:szCs w:val="21"/>
        </w:rPr>
      </w:pPr>
      <w:r>
        <w:rPr>
          <w:rFonts w:hint="eastAsia" w:ascii="黑体" w:hAnsi="黑体" w:eastAsia="黑体" w:cs="黑体"/>
          <w:szCs w:val="21"/>
        </w:rPr>
        <w:t xml:space="preserve">4.3.2 </w:t>
      </w:r>
      <w:r>
        <w:rPr>
          <w:szCs w:val="21"/>
        </w:rPr>
        <w:t>光源：氩等离子体光源。</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4.4 试样</w:t>
      </w:r>
    </w:p>
    <w:p>
      <w:pPr>
        <w:spacing w:line="400" w:lineRule="exact"/>
        <w:rPr>
          <w:szCs w:val="21"/>
        </w:rPr>
      </w:pPr>
      <w:r>
        <w:rPr>
          <w:rFonts w:hint="eastAsia" w:ascii="黑体" w:hAnsi="黑体" w:eastAsia="黑体"/>
        </w:rPr>
        <w:t>4.4.1</w:t>
      </w:r>
      <w:r>
        <w:rPr>
          <w:rFonts w:hint="eastAsia" w:ascii="宋体" w:hAnsi="宋体"/>
        </w:rPr>
        <w:t>试样应制备成粉末状。</w:t>
      </w:r>
    </w:p>
    <w:p>
      <w:pPr>
        <w:spacing w:before="155" w:beforeLines="50" w:after="155" w:afterLines="50" w:line="300" w:lineRule="auto"/>
        <w:outlineLvl w:val="2"/>
        <w:rPr>
          <w:rFonts w:hint="eastAsia" w:ascii="黑体" w:hAnsi="黑体" w:eastAsia="黑体"/>
        </w:rPr>
      </w:pPr>
      <w:r>
        <w:rPr>
          <w:rFonts w:hint="eastAsia" w:ascii="黑体" w:hAnsi="黑体" w:eastAsia="黑体"/>
        </w:rPr>
        <w:t>4.4.2</w:t>
      </w:r>
      <w:r>
        <w:rPr>
          <w:rFonts w:hint="eastAsia" w:ascii="宋体" w:hAnsi="宋体"/>
        </w:rPr>
        <w:t>试样于</w:t>
      </w:r>
      <w:r>
        <w:rPr>
          <w:rFonts w:hint="eastAsia"/>
        </w:rPr>
        <w:t>950</w:t>
      </w:r>
      <w:r>
        <w:rPr>
          <w:rFonts w:hint="eastAsia" w:ascii="宋体" w:hAnsi="宋体"/>
        </w:rPr>
        <w:t>℃灼烧</w:t>
      </w:r>
      <w:r>
        <w:rPr>
          <w:rFonts w:hint="eastAsia"/>
        </w:rPr>
        <w:t>1 h</w:t>
      </w:r>
      <w:r>
        <w:rPr>
          <w:rFonts w:hint="eastAsia" w:ascii="宋体" w:hAnsi="宋体"/>
        </w:rPr>
        <w:t>，置于干燥器中，冷却至室温，立即称量。</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4.5 分析步骤</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4.5.1 试料</w:t>
      </w:r>
    </w:p>
    <w:p>
      <w:pPr>
        <w:ind w:firstLine="420" w:firstLineChars="200"/>
        <w:rPr>
          <w:bCs/>
        </w:rPr>
      </w:pPr>
      <w:r>
        <w:rPr>
          <w:rFonts w:hint="eastAsia"/>
          <w:bCs/>
        </w:rPr>
        <w:t>称取0.10 g试样（4.4），精确至0.0001 g。</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4.5.2 平行试验</w:t>
      </w:r>
    </w:p>
    <w:p>
      <w:pPr>
        <w:ind w:firstLine="420" w:firstLineChars="200"/>
        <w:rPr>
          <w:bCs/>
        </w:rPr>
      </w:pPr>
      <w:r>
        <w:rPr>
          <w:rFonts w:hint="eastAsia"/>
          <w:bCs/>
        </w:rPr>
        <w:t>独立进行两次平行测定，取其平均值。</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4.5.3 空白试验</w:t>
      </w:r>
    </w:p>
    <w:p>
      <w:pPr>
        <w:ind w:firstLine="420" w:firstLineChars="200"/>
        <w:rPr>
          <w:bCs/>
        </w:rPr>
      </w:pPr>
      <w:r>
        <w:rPr>
          <w:rFonts w:hint="eastAsia"/>
          <w:bCs/>
        </w:rPr>
        <w:t>随同试料做空白试验。</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4.5.4 分析试液的制备</w:t>
      </w:r>
    </w:p>
    <w:p>
      <w:pPr>
        <w:pStyle w:val="21"/>
        <w:spacing w:line="360" w:lineRule="auto"/>
        <w:ind w:right="-512" w:rightChars="-244" w:firstLine="420"/>
        <w:rPr>
          <w:rFonts w:ascii="Times New Roman"/>
          <w:bCs/>
          <w:kern w:val="2"/>
          <w:szCs w:val="24"/>
        </w:rPr>
      </w:pPr>
      <w:r>
        <w:rPr>
          <w:rFonts w:hint="eastAsia" w:ascii="Times New Roman"/>
          <w:bCs/>
          <w:kern w:val="2"/>
          <w:szCs w:val="24"/>
        </w:rPr>
        <w:t>将试料（4.5.1）置于已预先加入3 g硫酸铵（4.2.1）的300 mL烧杯中，用少量水吹洗杯壁，加入10 mL硫酸（4.2.6），盖上表面皿，高温加热至冒浓白烟，并保持在烧杯内回流1 h，取下，冷却至室温，</w:t>
      </w:r>
      <w:r>
        <w:rPr>
          <w:rFonts w:ascii="Times New Roman"/>
        </w:rPr>
        <w:t>沿杯壁缓慢吹水至50 mL</w:t>
      </w:r>
      <w:r>
        <w:rPr>
          <w:rFonts w:hint="eastAsia"/>
        </w:rPr>
        <w:t>，</w:t>
      </w:r>
      <w:r>
        <w:rPr>
          <w:rFonts w:hint="eastAsia" w:ascii="Times New Roman"/>
          <w:bCs/>
          <w:kern w:val="2"/>
          <w:szCs w:val="24"/>
        </w:rPr>
        <w:t>低温加热至盐类溶解，取下，冷却，移入200 mL容量瓶中，用水稀释至刻度，混匀。移取10.00 mL试液于100 mL容量瓶中，用水稀释至刻度，混匀。</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4.5.5系列标准溶液的配制</w:t>
      </w:r>
    </w:p>
    <w:p>
      <w:pPr>
        <w:numPr>
          <w:ilvl w:val="1"/>
          <w:numId w:val="0"/>
        </w:numPr>
        <w:adjustRightInd w:val="0"/>
        <w:snapToGrid w:val="0"/>
        <w:spacing w:before="155" w:beforeLines="50" w:after="155" w:afterLines="50"/>
        <w:ind w:firstLine="420" w:firstLineChars="200"/>
        <w:rPr>
          <w:bCs/>
        </w:rPr>
      </w:pPr>
      <w:r>
        <w:rPr>
          <w:rFonts w:hint="eastAsia"/>
          <w:bCs/>
        </w:rPr>
        <w:t>分别移取5.00 mL空白溶液（4.5.3）于一组100mL容量瓶中，并按表3配制系列标准溶液。</w:t>
      </w:r>
    </w:p>
    <w:p>
      <w:pPr>
        <w:spacing w:line="360" w:lineRule="auto"/>
        <w:ind w:firstLine="420" w:firstLineChars="200"/>
        <w:jc w:val="center"/>
        <w:rPr>
          <w:rFonts w:ascii="黑体" w:hAnsi="黑体" w:eastAsia="黑体" w:cs="黑体"/>
          <w:color w:val="000000"/>
          <w:szCs w:val="21"/>
          <w:lang w:val="de-DE"/>
        </w:rPr>
      </w:pPr>
      <w:r>
        <w:rPr>
          <w:rFonts w:hint="eastAsia" w:ascii="黑体" w:hAnsi="黑体" w:eastAsia="黑体" w:cs="黑体"/>
          <w:color w:val="000000"/>
          <w:szCs w:val="21"/>
          <w:lang w:val="de-DE"/>
        </w:rPr>
        <w:t>表3 系列标准溶液</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3"/>
        <w:gridCol w:w="1063"/>
        <w:gridCol w:w="1063"/>
        <w:gridCol w:w="1063"/>
        <w:gridCol w:w="1063"/>
        <w:gridCol w:w="106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dxa"/>
            <w:vMerge w:val="restart"/>
            <w:vAlign w:val="center"/>
          </w:tcPr>
          <w:p>
            <w:pPr>
              <w:jc w:val="center"/>
              <w:rPr>
                <w:sz w:val="18"/>
                <w:szCs w:val="21"/>
              </w:rPr>
            </w:pPr>
            <w:r>
              <w:rPr>
                <w:sz w:val="18"/>
                <w:szCs w:val="21"/>
              </w:rPr>
              <w:t>元素</w:t>
            </w:r>
          </w:p>
        </w:tc>
        <w:tc>
          <w:tcPr>
            <w:tcW w:w="7443" w:type="dxa"/>
            <w:gridSpan w:val="7"/>
            <w:vAlign w:val="center"/>
          </w:tcPr>
          <w:p>
            <w:pPr>
              <w:jc w:val="center"/>
              <w:rPr>
                <w:sz w:val="18"/>
                <w:szCs w:val="21"/>
              </w:rPr>
            </w:pPr>
            <w:r>
              <w:rPr>
                <w:sz w:val="18"/>
                <w:szCs w:val="21"/>
              </w:rPr>
              <w:t>系列标准溶液/(mg/L)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dxa"/>
            <w:vMerge w:val="continue"/>
            <w:vAlign w:val="center"/>
          </w:tcPr>
          <w:p>
            <w:pPr>
              <w:jc w:val="center"/>
              <w:rPr>
                <w:sz w:val="18"/>
                <w:szCs w:val="21"/>
              </w:rPr>
            </w:pPr>
          </w:p>
        </w:tc>
        <w:tc>
          <w:tcPr>
            <w:tcW w:w="1063" w:type="dxa"/>
            <w:vAlign w:val="center"/>
          </w:tcPr>
          <w:p>
            <w:pPr>
              <w:jc w:val="center"/>
              <w:rPr>
                <w:sz w:val="18"/>
                <w:szCs w:val="21"/>
              </w:rPr>
            </w:pPr>
            <w:r>
              <w:rPr>
                <w:sz w:val="18"/>
                <w:szCs w:val="21"/>
              </w:rPr>
              <w:t>标准1</w:t>
            </w:r>
          </w:p>
        </w:tc>
        <w:tc>
          <w:tcPr>
            <w:tcW w:w="1063" w:type="dxa"/>
            <w:vAlign w:val="center"/>
          </w:tcPr>
          <w:p>
            <w:pPr>
              <w:jc w:val="center"/>
              <w:rPr>
                <w:sz w:val="18"/>
                <w:szCs w:val="21"/>
              </w:rPr>
            </w:pPr>
            <w:r>
              <w:rPr>
                <w:sz w:val="18"/>
                <w:szCs w:val="21"/>
              </w:rPr>
              <w:t>标准2</w:t>
            </w:r>
          </w:p>
        </w:tc>
        <w:tc>
          <w:tcPr>
            <w:tcW w:w="1063" w:type="dxa"/>
            <w:vAlign w:val="center"/>
          </w:tcPr>
          <w:p>
            <w:pPr>
              <w:jc w:val="center"/>
              <w:rPr>
                <w:sz w:val="18"/>
                <w:szCs w:val="21"/>
              </w:rPr>
            </w:pPr>
            <w:r>
              <w:rPr>
                <w:sz w:val="18"/>
                <w:szCs w:val="21"/>
              </w:rPr>
              <w:t>标准3</w:t>
            </w:r>
          </w:p>
        </w:tc>
        <w:tc>
          <w:tcPr>
            <w:tcW w:w="1063" w:type="dxa"/>
            <w:vAlign w:val="center"/>
          </w:tcPr>
          <w:p>
            <w:pPr>
              <w:jc w:val="center"/>
              <w:rPr>
                <w:sz w:val="18"/>
                <w:szCs w:val="21"/>
              </w:rPr>
            </w:pPr>
            <w:r>
              <w:rPr>
                <w:sz w:val="18"/>
                <w:szCs w:val="21"/>
              </w:rPr>
              <w:t>标准4</w:t>
            </w:r>
          </w:p>
        </w:tc>
        <w:tc>
          <w:tcPr>
            <w:tcW w:w="1063" w:type="dxa"/>
            <w:vAlign w:val="center"/>
          </w:tcPr>
          <w:p>
            <w:pPr>
              <w:jc w:val="center"/>
              <w:rPr>
                <w:sz w:val="18"/>
                <w:szCs w:val="21"/>
              </w:rPr>
            </w:pPr>
            <w:r>
              <w:rPr>
                <w:sz w:val="18"/>
                <w:szCs w:val="21"/>
              </w:rPr>
              <w:t>标准5</w:t>
            </w:r>
          </w:p>
        </w:tc>
        <w:tc>
          <w:tcPr>
            <w:tcW w:w="1064" w:type="dxa"/>
            <w:vAlign w:val="center"/>
          </w:tcPr>
          <w:p>
            <w:pPr>
              <w:jc w:val="center"/>
              <w:rPr>
                <w:sz w:val="18"/>
                <w:szCs w:val="21"/>
              </w:rPr>
            </w:pPr>
            <w:r>
              <w:rPr>
                <w:sz w:val="18"/>
                <w:szCs w:val="21"/>
              </w:rPr>
              <w:t>标准6</w:t>
            </w:r>
          </w:p>
        </w:tc>
        <w:tc>
          <w:tcPr>
            <w:tcW w:w="1064" w:type="dxa"/>
            <w:vAlign w:val="center"/>
          </w:tcPr>
          <w:p>
            <w:pPr>
              <w:jc w:val="center"/>
              <w:rPr>
                <w:sz w:val="18"/>
                <w:szCs w:val="21"/>
              </w:rPr>
            </w:pPr>
            <w:r>
              <w:rPr>
                <w:sz w:val="18"/>
                <w:szCs w:val="21"/>
              </w:rPr>
              <w:t>标准7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dxa"/>
            <w:vAlign w:val="center"/>
          </w:tcPr>
          <w:p>
            <w:pPr>
              <w:jc w:val="center"/>
              <w:rPr>
                <w:sz w:val="18"/>
                <w:szCs w:val="21"/>
              </w:rPr>
            </w:pPr>
            <w:r>
              <w:rPr>
                <w:sz w:val="18"/>
                <w:szCs w:val="21"/>
              </w:rPr>
              <w:t>ZrO2</w:t>
            </w:r>
          </w:p>
        </w:tc>
        <w:tc>
          <w:tcPr>
            <w:tcW w:w="1063" w:type="dxa"/>
            <w:vAlign w:val="center"/>
          </w:tcPr>
          <w:p>
            <w:pPr>
              <w:jc w:val="center"/>
              <w:rPr>
                <w:sz w:val="18"/>
                <w:szCs w:val="21"/>
              </w:rPr>
            </w:pPr>
            <w:r>
              <w:rPr>
                <w:sz w:val="18"/>
                <w:szCs w:val="21"/>
              </w:rPr>
              <w:t>0.00</w:t>
            </w:r>
          </w:p>
        </w:tc>
        <w:tc>
          <w:tcPr>
            <w:tcW w:w="1063" w:type="dxa"/>
            <w:vAlign w:val="center"/>
          </w:tcPr>
          <w:p>
            <w:pPr>
              <w:jc w:val="center"/>
              <w:rPr>
                <w:sz w:val="18"/>
                <w:szCs w:val="21"/>
              </w:rPr>
            </w:pPr>
            <w:r>
              <w:rPr>
                <w:rFonts w:hint="eastAsia"/>
                <w:sz w:val="18"/>
                <w:szCs w:val="21"/>
              </w:rPr>
              <w:t>10</w:t>
            </w:r>
            <w:r>
              <w:rPr>
                <w:sz w:val="18"/>
                <w:szCs w:val="21"/>
              </w:rPr>
              <w:t>.00</w:t>
            </w:r>
          </w:p>
        </w:tc>
        <w:tc>
          <w:tcPr>
            <w:tcW w:w="1063" w:type="dxa"/>
            <w:vAlign w:val="center"/>
          </w:tcPr>
          <w:p>
            <w:pPr>
              <w:jc w:val="center"/>
              <w:rPr>
                <w:sz w:val="18"/>
                <w:szCs w:val="21"/>
              </w:rPr>
            </w:pPr>
            <w:r>
              <w:rPr>
                <w:rFonts w:hint="eastAsia"/>
                <w:sz w:val="18"/>
                <w:szCs w:val="21"/>
              </w:rPr>
              <w:t>2</w:t>
            </w:r>
            <w:r>
              <w:rPr>
                <w:sz w:val="18"/>
                <w:szCs w:val="21"/>
              </w:rPr>
              <w:t>0.00</w:t>
            </w:r>
          </w:p>
        </w:tc>
        <w:tc>
          <w:tcPr>
            <w:tcW w:w="1063" w:type="dxa"/>
            <w:vAlign w:val="center"/>
          </w:tcPr>
          <w:p>
            <w:pPr>
              <w:jc w:val="center"/>
              <w:rPr>
                <w:sz w:val="18"/>
                <w:szCs w:val="21"/>
              </w:rPr>
            </w:pPr>
            <w:r>
              <w:rPr>
                <w:rFonts w:hint="eastAsia"/>
                <w:sz w:val="18"/>
                <w:szCs w:val="21"/>
              </w:rPr>
              <w:t>3</w:t>
            </w:r>
            <w:r>
              <w:rPr>
                <w:sz w:val="18"/>
                <w:szCs w:val="21"/>
              </w:rPr>
              <w:t>0.00</w:t>
            </w:r>
          </w:p>
        </w:tc>
        <w:tc>
          <w:tcPr>
            <w:tcW w:w="1063" w:type="dxa"/>
            <w:vAlign w:val="center"/>
          </w:tcPr>
          <w:p>
            <w:pPr>
              <w:jc w:val="center"/>
              <w:rPr>
                <w:sz w:val="18"/>
                <w:szCs w:val="21"/>
              </w:rPr>
            </w:pPr>
            <w:r>
              <w:rPr>
                <w:rFonts w:hint="eastAsia"/>
                <w:sz w:val="18"/>
                <w:szCs w:val="21"/>
              </w:rPr>
              <w:t>4</w:t>
            </w:r>
            <w:r>
              <w:rPr>
                <w:sz w:val="18"/>
                <w:szCs w:val="21"/>
              </w:rPr>
              <w:t>0.00</w:t>
            </w:r>
          </w:p>
        </w:tc>
        <w:tc>
          <w:tcPr>
            <w:tcW w:w="1064" w:type="dxa"/>
            <w:vAlign w:val="center"/>
          </w:tcPr>
          <w:p>
            <w:pPr>
              <w:jc w:val="center"/>
              <w:rPr>
                <w:sz w:val="18"/>
                <w:szCs w:val="21"/>
              </w:rPr>
            </w:pPr>
            <w:r>
              <w:rPr>
                <w:rFonts w:hint="eastAsia"/>
                <w:sz w:val="18"/>
                <w:szCs w:val="21"/>
              </w:rPr>
              <w:t>5</w:t>
            </w:r>
            <w:r>
              <w:rPr>
                <w:sz w:val="18"/>
                <w:szCs w:val="21"/>
              </w:rPr>
              <w:t>0.00</w:t>
            </w:r>
          </w:p>
        </w:tc>
        <w:tc>
          <w:tcPr>
            <w:tcW w:w="1064" w:type="dxa"/>
            <w:vAlign w:val="center"/>
          </w:tcPr>
          <w:p>
            <w:pPr>
              <w:jc w:val="center"/>
              <w:rPr>
                <w:sz w:val="18"/>
                <w:szCs w:val="21"/>
              </w:rPr>
            </w:pPr>
            <w:r>
              <w:rPr>
                <w:rFonts w:hint="eastAsia"/>
                <w:sz w:val="18"/>
                <w:szCs w:val="21"/>
              </w:rPr>
              <w:t>6</w:t>
            </w:r>
            <w:r>
              <w:rPr>
                <w:sz w:val="18"/>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dxa"/>
            <w:vAlign w:val="center"/>
          </w:tcPr>
          <w:p>
            <w:pPr>
              <w:jc w:val="center"/>
              <w:rPr>
                <w:sz w:val="18"/>
                <w:szCs w:val="21"/>
              </w:rPr>
            </w:pPr>
            <w:r>
              <w:rPr>
                <w:sz w:val="18"/>
                <w:szCs w:val="21"/>
              </w:rPr>
              <w:t>Y2O3</w:t>
            </w:r>
          </w:p>
        </w:tc>
        <w:tc>
          <w:tcPr>
            <w:tcW w:w="1063" w:type="dxa"/>
            <w:vAlign w:val="center"/>
          </w:tcPr>
          <w:p>
            <w:pPr>
              <w:jc w:val="center"/>
              <w:rPr>
                <w:sz w:val="18"/>
                <w:szCs w:val="21"/>
              </w:rPr>
            </w:pPr>
            <w:r>
              <w:rPr>
                <w:sz w:val="18"/>
                <w:szCs w:val="21"/>
              </w:rPr>
              <w:t>0.00</w:t>
            </w:r>
          </w:p>
        </w:tc>
        <w:tc>
          <w:tcPr>
            <w:tcW w:w="1063" w:type="dxa"/>
            <w:vAlign w:val="center"/>
          </w:tcPr>
          <w:p>
            <w:pPr>
              <w:jc w:val="center"/>
              <w:rPr>
                <w:sz w:val="18"/>
                <w:szCs w:val="21"/>
              </w:rPr>
            </w:pPr>
            <w:r>
              <w:rPr>
                <w:sz w:val="18"/>
                <w:szCs w:val="21"/>
              </w:rPr>
              <w:t>1.00</w:t>
            </w:r>
          </w:p>
        </w:tc>
        <w:tc>
          <w:tcPr>
            <w:tcW w:w="1063" w:type="dxa"/>
            <w:vAlign w:val="center"/>
          </w:tcPr>
          <w:p>
            <w:pPr>
              <w:jc w:val="center"/>
              <w:rPr>
                <w:sz w:val="18"/>
                <w:szCs w:val="21"/>
              </w:rPr>
            </w:pPr>
            <w:r>
              <w:rPr>
                <w:sz w:val="18"/>
                <w:szCs w:val="21"/>
              </w:rPr>
              <w:t>2.00</w:t>
            </w:r>
          </w:p>
        </w:tc>
        <w:tc>
          <w:tcPr>
            <w:tcW w:w="1063" w:type="dxa"/>
            <w:vAlign w:val="center"/>
          </w:tcPr>
          <w:p>
            <w:pPr>
              <w:jc w:val="center"/>
              <w:rPr>
                <w:sz w:val="18"/>
                <w:szCs w:val="21"/>
              </w:rPr>
            </w:pPr>
            <w:r>
              <w:rPr>
                <w:sz w:val="18"/>
                <w:szCs w:val="21"/>
              </w:rPr>
              <w:t>4.00</w:t>
            </w:r>
          </w:p>
        </w:tc>
        <w:tc>
          <w:tcPr>
            <w:tcW w:w="1063" w:type="dxa"/>
            <w:vAlign w:val="center"/>
          </w:tcPr>
          <w:p>
            <w:pPr>
              <w:jc w:val="center"/>
              <w:rPr>
                <w:sz w:val="18"/>
                <w:szCs w:val="21"/>
              </w:rPr>
            </w:pPr>
            <w:r>
              <w:rPr>
                <w:sz w:val="18"/>
                <w:szCs w:val="21"/>
              </w:rPr>
              <w:t>6.00</w:t>
            </w:r>
          </w:p>
        </w:tc>
        <w:tc>
          <w:tcPr>
            <w:tcW w:w="1064" w:type="dxa"/>
            <w:vAlign w:val="center"/>
          </w:tcPr>
          <w:p>
            <w:pPr>
              <w:jc w:val="center"/>
              <w:rPr>
                <w:sz w:val="18"/>
                <w:szCs w:val="21"/>
              </w:rPr>
            </w:pPr>
            <w:r>
              <w:rPr>
                <w:sz w:val="18"/>
                <w:szCs w:val="21"/>
              </w:rPr>
              <w:t>8.00</w:t>
            </w:r>
          </w:p>
        </w:tc>
        <w:tc>
          <w:tcPr>
            <w:tcW w:w="1064" w:type="dxa"/>
            <w:vAlign w:val="center"/>
          </w:tcPr>
          <w:p>
            <w:pPr>
              <w:jc w:val="center"/>
              <w:rPr>
                <w:sz w:val="18"/>
                <w:szCs w:val="21"/>
              </w:rPr>
            </w:pPr>
            <w:r>
              <w:rPr>
                <w:sz w:val="18"/>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63" w:type="dxa"/>
            <w:vAlign w:val="center"/>
          </w:tcPr>
          <w:p>
            <w:pPr>
              <w:jc w:val="center"/>
              <w:rPr>
                <w:sz w:val="18"/>
                <w:szCs w:val="21"/>
              </w:rPr>
            </w:pPr>
            <w:r>
              <w:rPr>
                <w:sz w:val="18"/>
                <w:szCs w:val="21"/>
              </w:rPr>
              <w:t>HfO2</w:t>
            </w:r>
          </w:p>
        </w:tc>
        <w:tc>
          <w:tcPr>
            <w:tcW w:w="1063" w:type="dxa"/>
            <w:vAlign w:val="center"/>
          </w:tcPr>
          <w:p>
            <w:pPr>
              <w:jc w:val="center"/>
              <w:rPr>
                <w:sz w:val="18"/>
                <w:szCs w:val="21"/>
              </w:rPr>
            </w:pPr>
            <w:r>
              <w:rPr>
                <w:sz w:val="18"/>
                <w:szCs w:val="21"/>
              </w:rPr>
              <w:t>0.00</w:t>
            </w:r>
          </w:p>
        </w:tc>
        <w:tc>
          <w:tcPr>
            <w:tcW w:w="1063" w:type="dxa"/>
            <w:vAlign w:val="center"/>
          </w:tcPr>
          <w:p>
            <w:pPr>
              <w:jc w:val="center"/>
              <w:rPr>
                <w:sz w:val="18"/>
                <w:szCs w:val="21"/>
              </w:rPr>
            </w:pPr>
            <w:r>
              <w:rPr>
                <w:sz w:val="18"/>
                <w:szCs w:val="21"/>
              </w:rPr>
              <w:t>0.10</w:t>
            </w:r>
          </w:p>
        </w:tc>
        <w:tc>
          <w:tcPr>
            <w:tcW w:w="1063" w:type="dxa"/>
            <w:vAlign w:val="center"/>
          </w:tcPr>
          <w:p>
            <w:pPr>
              <w:jc w:val="center"/>
              <w:rPr>
                <w:sz w:val="18"/>
                <w:szCs w:val="21"/>
              </w:rPr>
            </w:pPr>
            <w:r>
              <w:rPr>
                <w:sz w:val="18"/>
                <w:szCs w:val="21"/>
              </w:rPr>
              <w:t>0.20</w:t>
            </w:r>
          </w:p>
        </w:tc>
        <w:tc>
          <w:tcPr>
            <w:tcW w:w="1063" w:type="dxa"/>
            <w:vAlign w:val="center"/>
          </w:tcPr>
          <w:p>
            <w:pPr>
              <w:jc w:val="center"/>
              <w:rPr>
                <w:sz w:val="18"/>
                <w:szCs w:val="21"/>
              </w:rPr>
            </w:pPr>
            <w:r>
              <w:rPr>
                <w:sz w:val="18"/>
                <w:szCs w:val="21"/>
              </w:rPr>
              <w:t>0.50</w:t>
            </w:r>
          </w:p>
        </w:tc>
        <w:tc>
          <w:tcPr>
            <w:tcW w:w="1063" w:type="dxa"/>
            <w:vAlign w:val="center"/>
          </w:tcPr>
          <w:p>
            <w:pPr>
              <w:jc w:val="center"/>
              <w:rPr>
                <w:sz w:val="18"/>
                <w:szCs w:val="21"/>
              </w:rPr>
            </w:pPr>
            <w:r>
              <w:rPr>
                <w:sz w:val="18"/>
                <w:szCs w:val="21"/>
              </w:rPr>
              <w:t>1.00</w:t>
            </w:r>
          </w:p>
        </w:tc>
        <w:tc>
          <w:tcPr>
            <w:tcW w:w="1064" w:type="dxa"/>
            <w:vAlign w:val="center"/>
          </w:tcPr>
          <w:p>
            <w:pPr>
              <w:jc w:val="center"/>
              <w:rPr>
                <w:sz w:val="18"/>
                <w:szCs w:val="21"/>
              </w:rPr>
            </w:pPr>
            <w:r>
              <w:rPr>
                <w:sz w:val="18"/>
                <w:szCs w:val="21"/>
              </w:rPr>
              <w:t>2.00</w:t>
            </w:r>
          </w:p>
        </w:tc>
        <w:tc>
          <w:tcPr>
            <w:tcW w:w="1064" w:type="dxa"/>
            <w:vAlign w:val="center"/>
          </w:tcPr>
          <w:p>
            <w:pPr>
              <w:jc w:val="center"/>
              <w:rPr>
                <w:sz w:val="18"/>
                <w:szCs w:val="21"/>
              </w:rPr>
            </w:pPr>
            <w:r>
              <w:rPr>
                <w:sz w:val="18"/>
                <w:szCs w:val="21"/>
              </w:rPr>
              <w:t>3.00</w:t>
            </w:r>
          </w:p>
        </w:tc>
      </w:tr>
    </w:tbl>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4.5.6 分析测定</w:t>
      </w:r>
    </w:p>
    <w:p>
      <w:pPr>
        <w:pStyle w:val="6"/>
        <w:adjustRightInd w:val="0"/>
        <w:snapToGrid w:val="0"/>
        <w:spacing w:line="400" w:lineRule="exact"/>
        <w:ind w:firstLine="400" w:firstLineChars="200"/>
        <w:rPr>
          <w:rFonts w:ascii="Times New Roman" w:hAnsi="Times New Roman"/>
        </w:rPr>
      </w:pPr>
      <w:r>
        <w:rPr>
          <w:rFonts w:ascii="Times New Roman" w:hAnsi="Times New Roman"/>
        </w:rPr>
        <w:t>将分析试液(</w:t>
      </w:r>
      <w:r>
        <w:rPr>
          <w:rFonts w:hint="eastAsia" w:ascii="Times New Roman" w:hAnsi="Times New Roman"/>
        </w:rPr>
        <w:t>4.5.4</w:t>
      </w:r>
      <w:r>
        <w:rPr>
          <w:rFonts w:ascii="Times New Roman" w:hAnsi="Times New Roman"/>
        </w:rPr>
        <w:t>)与标准系列溶液</w:t>
      </w:r>
      <w:r>
        <w:rPr>
          <w:rFonts w:hint="eastAsia" w:ascii="Times New Roman" w:hAnsi="Times New Roman"/>
        </w:rPr>
        <w:t>（24.5.5）</w:t>
      </w:r>
      <w:r>
        <w:rPr>
          <w:rFonts w:ascii="Times New Roman" w:hAnsi="Times New Roman"/>
        </w:rPr>
        <w:t>同时进行氩等离子体光谱测定。</w:t>
      </w:r>
      <w:r>
        <w:rPr>
          <w:rFonts w:hint="eastAsia" w:ascii="Times New Roman" w:hAnsi="Times New Roman"/>
        </w:rPr>
        <w:t>推荐分析线见表4。</w:t>
      </w:r>
    </w:p>
    <w:p>
      <w:pPr>
        <w:spacing w:line="360" w:lineRule="auto"/>
        <w:ind w:firstLine="420" w:firstLineChars="200"/>
        <w:jc w:val="center"/>
        <w:rPr>
          <w:rFonts w:ascii="黑体" w:hAnsi="黑体" w:eastAsia="黑体" w:cs="黑体"/>
          <w:color w:val="000000"/>
          <w:szCs w:val="21"/>
          <w:lang w:val="de-DE"/>
        </w:rPr>
      </w:pPr>
      <w:r>
        <w:rPr>
          <w:rFonts w:hint="eastAsia" w:ascii="黑体" w:hAnsi="黑体" w:eastAsia="黑体" w:cs="黑体"/>
          <w:color w:val="000000"/>
          <w:szCs w:val="21"/>
          <w:lang w:val="de-DE"/>
        </w:rPr>
        <w:t>表4 推荐的分析谱线</w:t>
      </w:r>
    </w:p>
    <w:tbl>
      <w:tblPr>
        <w:tblStyle w:val="12"/>
        <w:tblW w:w="4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4"/>
        <w:gridCol w:w="25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414" w:type="dxa"/>
            <w:vAlign w:val="center"/>
          </w:tcPr>
          <w:p>
            <w:pPr>
              <w:jc w:val="center"/>
              <w:rPr>
                <w:sz w:val="18"/>
                <w:szCs w:val="21"/>
              </w:rPr>
            </w:pPr>
            <w:r>
              <w:rPr>
                <w:sz w:val="18"/>
                <w:szCs w:val="21"/>
              </w:rPr>
              <w:t>元素</w:t>
            </w:r>
          </w:p>
        </w:tc>
        <w:tc>
          <w:tcPr>
            <w:tcW w:w="2516" w:type="dxa"/>
            <w:vAlign w:val="center"/>
          </w:tcPr>
          <w:p>
            <w:pPr>
              <w:jc w:val="center"/>
              <w:rPr>
                <w:sz w:val="18"/>
                <w:szCs w:val="21"/>
              </w:rPr>
            </w:pPr>
            <w:r>
              <w:rPr>
                <w:sz w:val="18"/>
                <w:szCs w:val="21"/>
              </w:rPr>
              <w:t>谱线/nm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414" w:type="dxa"/>
            <w:vAlign w:val="center"/>
          </w:tcPr>
          <w:p>
            <w:pPr>
              <w:jc w:val="center"/>
              <w:rPr>
                <w:sz w:val="18"/>
                <w:szCs w:val="21"/>
              </w:rPr>
            </w:pPr>
            <w:r>
              <w:rPr>
                <w:sz w:val="18"/>
                <w:szCs w:val="21"/>
              </w:rPr>
              <w:t>Zr</w:t>
            </w:r>
          </w:p>
        </w:tc>
        <w:tc>
          <w:tcPr>
            <w:tcW w:w="2516" w:type="dxa"/>
            <w:vAlign w:val="center"/>
          </w:tcPr>
          <w:p>
            <w:pPr>
              <w:jc w:val="center"/>
              <w:rPr>
                <w:sz w:val="18"/>
                <w:szCs w:val="21"/>
              </w:rPr>
            </w:pPr>
            <w:r>
              <w:rPr>
                <w:sz w:val="18"/>
                <w:szCs w:val="21"/>
              </w:rPr>
              <w:t>339.1、343.8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414" w:type="dxa"/>
            <w:vAlign w:val="center"/>
          </w:tcPr>
          <w:p>
            <w:pPr>
              <w:jc w:val="center"/>
              <w:rPr>
                <w:sz w:val="18"/>
                <w:szCs w:val="21"/>
              </w:rPr>
            </w:pPr>
            <w:r>
              <w:rPr>
                <w:sz w:val="18"/>
                <w:szCs w:val="21"/>
              </w:rPr>
              <w:t>Y</w:t>
            </w:r>
          </w:p>
        </w:tc>
        <w:tc>
          <w:tcPr>
            <w:tcW w:w="2516" w:type="dxa"/>
            <w:vAlign w:val="center"/>
          </w:tcPr>
          <w:p>
            <w:pPr>
              <w:jc w:val="center"/>
              <w:rPr>
                <w:sz w:val="18"/>
                <w:szCs w:val="21"/>
              </w:rPr>
            </w:pPr>
            <w:r>
              <w:rPr>
                <w:sz w:val="18"/>
                <w:szCs w:val="21"/>
              </w:rPr>
              <w:t>377.4、360.0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414" w:type="dxa"/>
            <w:vAlign w:val="center"/>
          </w:tcPr>
          <w:p>
            <w:pPr>
              <w:jc w:val="center"/>
              <w:rPr>
                <w:sz w:val="18"/>
                <w:szCs w:val="21"/>
              </w:rPr>
            </w:pPr>
            <w:r>
              <w:rPr>
                <w:sz w:val="18"/>
                <w:szCs w:val="21"/>
              </w:rPr>
              <w:t>Hf</w:t>
            </w:r>
          </w:p>
        </w:tc>
        <w:tc>
          <w:tcPr>
            <w:tcW w:w="2516" w:type="dxa"/>
            <w:vAlign w:val="center"/>
          </w:tcPr>
          <w:p>
            <w:pPr>
              <w:jc w:val="center"/>
              <w:rPr>
                <w:sz w:val="18"/>
                <w:szCs w:val="21"/>
              </w:rPr>
            </w:pPr>
            <w:r>
              <w:rPr>
                <w:sz w:val="18"/>
                <w:szCs w:val="21"/>
              </w:rPr>
              <w:t>264.1、282.0</w:t>
            </w:r>
          </w:p>
        </w:tc>
      </w:tr>
    </w:tbl>
    <w:p>
      <w:pPr>
        <w:spacing w:line="400" w:lineRule="exact"/>
        <w:rPr>
          <w:rFonts w:ascii="黑体" w:hAnsi="黑体" w:eastAsia="黑体" w:cs="黑体"/>
          <w:szCs w:val="21"/>
        </w:rPr>
      </w:pP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4.6 分析结果的计算</w:t>
      </w:r>
    </w:p>
    <w:p>
      <w:pPr>
        <w:adjustRightInd w:val="0"/>
        <w:snapToGrid w:val="0"/>
        <w:spacing w:before="50" w:after="50" w:line="300" w:lineRule="exact"/>
        <w:ind w:firstLine="420" w:firstLineChars="200"/>
        <w:rPr>
          <w:szCs w:val="21"/>
        </w:rPr>
      </w:pPr>
      <w:r>
        <w:rPr>
          <w:rFonts w:hint="eastAsia" w:ascii="Calibri" w:hAnsi="Calibri"/>
          <w:bCs/>
        </w:rPr>
        <w:t>待测元素含量以其氧化物的质量分数</w:t>
      </w:r>
      <w:r>
        <w:rPr>
          <w:rFonts w:ascii="Times" w:hAnsi="Times" w:cs="Times"/>
          <w:bCs/>
          <w:i/>
          <w:iCs/>
        </w:rPr>
        <w:t>w</w:t>
      </w:r>
      <w:r>
        <w:rPr>
          <w:rFonts w:hint="eastAsia" w:ascii="Calibri" w:hAnsi="Calibri"/>
          <w:bCs/>
          <w:vertAlign w:val="subscript"/>
        </w:rPr>
        <w:t>x</w:t>
      </w:r>
      <w:r>
        <w:rPr>
          <w:rFonts w:hint="eastAsia" w:ascii="Calibri" w:hAnsi="Calibri"/>
          <w:bCs/>
        </w:rPr>
        <w:t>计，按公式</w:t>
      </w:r>
      <w:r>
        <w:rPr>
          <w:rFonts w:ascii="Calibri" w:hAnsi="Calibri"/>
          <w:bCs/>
        </w:rPr>
        <w:t>(1)</w:t>
      </w:r>
      <w:r>
        <w:rPr>
          <w:rFonts w:hint="eastAsia" w:ascii="Calibri" w:hAnsi="Calibri"/>
          <w:bCs/>
        </w:rPr>
        <w:t>计算：</w:t>
      </w:r>
      <w:r>
        <w:rPr>
          <w:rFonts w:hint="eastAsia"/>
          <w:szCs w:val="21"/>
        </w:rPr>
        <w:t xml:space="preserve">  </w:t>
      </w:r>
      <w:r>
        <w:rPr>
          <w:rFonts w:ascii="Cambria Math" w:hAnsi="Cambria Math"/>
          <w:sz w:val="24"/>
        </w:rPr>
        <w:br w:type="textWrapping"/>
      </w:r>
      <w:r>
        <w:rPr>
          <w:szCs w:val="21"/>
        </w:rPr>
        <w:t xml:space="preserve">                                             </w:t>
      </w:r>
    </w:p>
    <w:p>
      <w:pPr>
        <w:jc w:val="center"/>
        <w:rPr>
          <w:szCs w:val="21"/>
        </w:rPr>
      </w:pPr>
      <w:r>
        <w:rPr>
          <w:rFonts w:hint="eastAsia" w:hAnsi="Cambria Math"/>
          <w:sz w:val="28"/>
          <w:szCs w:val="36"/>
        </w:rPr>
        <w:t xml:space="preserve">             </w:t>
      </w:r>
      <m:oMath>
        <m:sSub>
          <m:sSubPr>
            <m:ctrlPr>
              <w:rPr>
                <w:rFonts w:ascii="Cambria Math" w:hAnsi="Cambria Math"/>
                <w:i/>
                <w:szCs w:val="36"/>
              </w:rPr>
            </m:ctrlPr>
          </m:sSubPr>
          <m:e>
            <m:r>
              <w:rPr>
                <w:rFonts w:ascii="Cambria Math" w:hAnsi="Cambria Math"/>
                <w:szCs w:val="36"/>
              </w:rPr>
              <m:t>w</m:t>
            </m:r>
            <m:ctrlPr>
              <w:rPr>
                <w:rFonts w:ascii="Cambria Math" w:hAnsi="Cambria Math"/>
                <w:i/>
                <w:szCs w:val="36"/>
              </w:rPr>
            </m:ctrlPr>
          </m:e>
          <m:sub>
            <m:r>
              <w:rPr>
                <w:rFonts w:ascii="Cambria Math" w:hAnsi="Cambria Math"/>
                <w:szCs w:val="36"/>
              </w:rPr>
              <m:t>x</m:t>
            </m:r>
            <m:ctrlPr>
              <w:rPr>
                <w:rFonts w:ascii="Cambria Math" w:hAnsi="Cambria Math"/>
                <w:i/>
                <w:szCs w:val="36"/>
              </w:rPr>
            </m:ctrlPr>
          </m:sub>
        </m:sSub>
        <m:r>
          <w:rPr>
            <w:rFonts w:ascii="Cambria Math" w:hAnsi="Cambria Math"/>
            <w:szCs w:val="36"/>
          </w:rPr>
          <m:t>=</m:t>
        </m:r>
        <m:f>
          <m:fPr>
            <m:ctrlPr>
              <w:rPr>
                <w:rFonts w:ascii="Cambria Math" w:hAnsi="Cambria Math"/>
                <w:i/>
                <w:szCs w:val="36"/>
              </w:rPr>
            </m:ctrlPr>
          </m:fPr>
          <m:num>
            <m:sSub>
              <m:sSubPr>
                <m:ctrlPr>
                  <w:rPr>
                    <w:rFonts w:ascii="Cambria Math" w:hAnsi="Cambria Math"/>
                    <w:i/>
                    <w:szCs w:val="36"/>
                  </w:rPr>
                </m:ctrlPr>
              </m:sSubPr>
              <m:e>
                <m:r>
                  <w:rPr>
                    <w:rFonts w:ascii="Cambria Math" w:hAnsi="Cambria Math"/>
                    <w:szCs w:val="36"/>
                  </w:rPr>
                  <m:t>ρ</m:t>
                </m:r>
                <m:ctrlPr>
                  <w:rPr>
                    <w:rFonts w:ascii="Cambria Math" w:hAnsi="Cambria Math"/>
                    <w:i/>
                    <w:szCs w:val="36"/>
                  </w:rPr>
                </m:ctrlPr>
              </m:e>
              <m:sub>
                <m:r>
                  <w:rPr>
                    <w:rFonts w:ascii="Cambria Math" w:hAnsi="Cambria Math"/>
                    <w:szCs w:val="36"/>
                  </w:rPr>
                  <m:t>x</m:t>
                </m:r>
                <m:ctrlPr>
                  <w:rPr>
                    <w:rFonts w:ascii="Cambria Math" w:hAnsi="Cambria Math"/>
                    <w:i/>
                    <w:szCs w:val="36"/>
                  </w:rPr>
                </m:ctrlPr>
              </m:sub>
            </m:sSub>
            <m:r>
              <w:rPr>
                <w:rFonts w:ascii="Cambria Math" w:hAnsi="Cambria Math"/>
                <w:szCs w:val="36"/>
              </w:rPr>
              <m:t>-</m:t>
            </m:r>
            <m:sSub>
              <m:sSubPr>
                <m:ctrlPr>
                  <w:rPr>
                    <w:rFonts w:ascii="Cambria Math" w:hAnsi="Cambria Math"/>
                    <w:i/>
                    <w:szCs w:val="36"/>
                  </w:rPr>
                </m:ctrlPr>
              </m:sSubPr>
              <m:e>
                <m:r>
                  <w:rPr>
                    <w:rFonts w:ascii="Cambria Math" w:hAnsi="Cambria Math"/>
                    <w:szCs w:val="36"/>
                  </w:rPr>
                  <m:t>ρ</m:t>
                </m:r>
                <m:ctrlPr>
                  <w:rPr>
                    <w:rFonts w:ascii="Cambria Math" w:hAnsi="Cambria Math"/>
                    <w:i/>
                    <w:szCs w:val="36"/>
                  </w:rPr>
                </m:ctrlPr>
              </m:e>
              <m:sub>
                <m:r>
                  <w:rPr>
                    <w:rFonts w:ascii="Cambria Math" w:hAnsi="Cambria Math"/>
                    <w:szCs w:val="36"/>
                  </w:rPr>
                  <m:t>0</m:t>
                </m:r>
                <m:ctrlPr>
                  <w:rPr>
                    <w:rFonts w:ascii="Cambria Math" w:hAnsi="Cambria Math"/>
                    <w:i/>
                    <w:szCs w:val="36"/>
                  </w:rPr>
                </m:ctrlPr>
              </m:sub>
            </m:sSub>
            <m:ctrlPr>
              <w:rPr>
                <w:rFonts w:ascii="Cambria Math" w:hAnsi="Cambria Math"/>
                <w:i/>
                <w:szCs w:val="36"/>
              </w:rPr>
            </m:ctrlPr>
          </m:num>
          <m:den>
            <m:nary>
              <m:naryPr>
                <m:chr m:val="∑"/>
                <m:limLoc m:val="undOvr"/>
                <m:subHide m:val="1"/>
                <m:supHide m:val="1"/>
                <m:ctrlPr>
                  <w:rPr>
                    <w:rFonts w:ascii="Cambria Math" w:hAnsi="Cambria Math"/>
                    <w:i/>
                    <w:szCs w:val="36"/>
                  </w:rPr>
                </m:ctrlPr>
              </m:naryPr>
              <m:sub>
                <m:ctrlPr>
                  <w:rPr>
                    <w:rFonts w:ascii="Cambria Math" w:hAnsi="Cambria Math"/>
                    <w:i/>
                    <w:szCs w:val="36"/>
                  </w:rPr>
                </m:ctrlPr>
              </m:sub>
              <m:sup>
                <m:ctrlPr>
                  <w:rPr>
                    <w:rFonts w:ascii="Cambria Math" w:hAnsi="Cambria Math"/>
                    <w:i/>
                    <w:szCs w:val="36"/>
                  </w:rPr>
                </m:ctrlPr>
              </m:sup>
              <m:e>
                <m:r>
                  <w:rPr>
                    <w:rFonts w:ascii="Cambria Math" w:hAnsi="Cambria Math"/>
                    <w:szCs w:val="36"/>
                  </w:rPr>
                  <m:t>(</m:t>
                </m:r>
                <m:sSub>
                  <m:sSubPr>
                    <m:ctrlPr>
                      <w:rPr>
                        <w:rFonts w:ascii="Cambria Math" w:hAnsi="Cambria Math"/>
                        <w:i/>
                        <w:szCs w:val="36"/>
                      </w:rPr>
                    </m:ctrlPr>
                  </m:sSubPr>
                  <m:e>
                    <m:r>
                      <w:rPr>
                        <w:rFonts w:ascii="Cambria Math" w:hAnsi="Cambria Math"/>
                        <w:szCs w:val="36"/>
                      </w:rPr>
                      <m:t>ρ</m:t>
                    </m:r>
                    <m:ctrlPr>
                      <w:rPr>
                        <w:rFonts w:ascii="Cambria Math" w:hAnsi="Cambria Math"/>
                        <w:i/>
                        <w:szCs w:val="36"/>
                      </w:rPr>
                    </m:ctrlPr>
                  </m:e>
                  <m:sub>
                    <m:r>
                      <w:rPr>
                        <w:rFonts w:ascii="Cambria Math" w:hAnsi="Cambria Math"/>
                        <w:szCs w:val="36"/>
                      </w:rPr>
                      <m:t>x</m:t>
                    </m:r>
                    <m:ctrlPr>
                      <w:rPr>
                        <w:rFonts w:ascii="Cambria Math" w:hAnsi="Cambria Math"/>
                        <w:i/>
                        <w:szCs w:val="36"/>
                      </w:rPr>
                    </m:ctrlPr>
                  </m:sub>
                </m:sSub>
                <m:r>
                  <w:rPr>
                    <w:rFonts w:ascii="Cambria Math" w:hAnsi="Cambria Math"/>
                    <w:szCs w:val="36"/>
                  </w:rPr>
                  <m:t>-</m:t>
                </m:r>
                <m:sSub>
                  <m:sSubPr>
                    <m:ctrlPr>
                      <w:rPr>
                        <w:rFonts w:ascii="Cambria Math" w:hAnsi="Cambria Math"/>
                        <w:i/>
                        <w:szCs w:val="36"/>
                      </w:rPr>
                    </m:ctrlPr>
                  </m:sSubPr>
                  <m:e>
                    <m:r>
                      <w:rPr>
                        <w:rFonts w:ascii="Cambria Math" w:hAnsi="Cambria Math"/>
                        <w:szCs w:val="36"/>
                      </w:rPr>
                      <m:t>ρ</m:t>
                    </m:r>
                    <m:ctrlPr>
                      <w:rPr>
                        <w:rFonts w:ascii="Cambria Math" w:hAnsi="Cambria Math"/>
                        <w:i/>
                        <w:szCs w:val="36"/>
                      </w:rPr>
                    </m:ctrlPr>
                  </m:e>
                  <m:sub>
                    <m:r>
                      <w:rPr>
                        <w:rFonts w:ascii="Cambria Math" w:hAnsi="Cambria Math"/>
                        <w:szCs w:val="36"/>
                      </w:rPr>
                      <m:t>0</m:t>
                    </m:r>
                    <m:ctrlPr>
                      <w:rPr>
                        <w:rFonts w:ascii="Cambria Math" w:hAnsi="Cambria Math"/>
                        <w:i/>
                        <w:szCs w:val="36"/>
                      </w:rPr>
                    </m:ctrlPr>
                  </m:sub>
                </m:sSub>
                <m:r>
                  <w:rPr>
                    <w:rFonts w:ascii="Cambria Math" w:hAnsi="Cambria Math"/>
                    <w:szCs w:val="36"/>
                  </w:rPr>
                  <m:t>)</m:t>
                </m:r>
                <m:ctrlPr>
                  <w:rPr>
                    <w:rFonts w:ascii="Cambria Math" w:hAnsi="Cambria Math"/>
                    <w:i/>
                    <w:szCs w:val="36"/>
                  </w:rPr>
                </m:ctrlPr>
              </m:e>
            </m:nary>
            <m:ctrlPr>
              <w:rPr>
                <w:rFonts w:ascii="Cambria Math" w:hAnsi="Cambria Math"/>
                <w:i/>
                <w:szCs w:val="36"/>
              </w:rPr>
            </m:ctrlPr>
          </m:den>
        </m:f>
        <m:r>
          <w:rPr>
            <w:rFonts w:ascii="Cambria Math" w:hAnsi="Cambria Math"/>
            <w:szCs w:val="36"/>
          </w:rPr>
          <m:t>×</m:t>
        </m:r>
        <m:r>
          <m:rPr>
            <m:sty m:val="p"/>
          </m:rPr>
          <w:rPr>
            <w:rFonts w:hint="eastAsia" w:ascii="Cambria Math" w:hAnsi="Cambria Math"/>
            <w:szCs w:val="21"/>
          </w:rPr>
          <m:t>（</m:t>
        </m:r>
        <m:r>
          <w:rPr>
            <w:rFonts w:ascii="Cambria Math" w:hAnsi="Cambria Math"/>
            <w:szCs w:val="21"/>
          </w:rPr>
          <m:t>100-</m:t>
        </m:r>
        <m:nary>
          <m:naryPr>
            <m:chr m:val="∑"/>
            <m:limLoc m:val="undOvr"/>
            <m:subHide m:val="1"/>
            <m:supHide m:val="1"/>
            <m:ctrlPr>
              <w:rPr>
                <w:rFonts w:ascii="Cambria Math" w:hAnsi="Cambria Math"/>
                <w:i/>
                <w:szCs w:val="21"/>
              </w:rPr>
            </m:ctrlPr>
          </m:naryPr>
          <m:sub>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w:rPr>
                    <w:rFonts w:ascii="Cambria Math" w:hAnsi="Cambria Math"/>
                    <w:szCs w:val="21"/>
                  </w:rPr>
                  <m:t>w</m:t>
                </m:r>
                <m:ctrlPr>
                  <w:rPr>
                    <w:rFonts w:ascii="Cambria Math" w:hAnsi="Cambria Math"/>
                    <w:i/>
                    <w:szCs w:val="21"/>
                  </w:rPr>
                </m:ctrlPr>
              </m:e>
              <m:sub>
                <m:r>
                  <m:rPr>
                    <m:sty m:val="p"/>
                  </m:rPr>
                  <w:rPr>
                    <w:rFonts w:ascii="Cambria Math" w:hAnsi="Cambria Math"/>
                    <w:szCs w:val="21"/>
                  </w:rPr>
                  <m:t>A</m:t>
                </m:r>
                <m:ctrlPr>
                  <w:rPr>
                    <w:rFonts w:ascii="Cambria Math" w:hAnsi="Cambria Math"/>
                    <w:i/>
                    <w:szCs w:val="21"/>
                  </w:rPr>
                </m:ctrlPr>
              </m:sub>
            </m:sSub>
            <m:ctrlPr>
              <w:rPr>
                <w:rFonts w:ascii="Cambria Math" w:hAnsi="Cambria Math"/>
                <w:i/>
                <w:szCs w:val="21"/>
              </w:rPr>
            </m:ctrlPr>
          </m:e>
        </m:nary>
        <m:r>
          <m:rPr>
            <m:sty m:val="p"/>
          </m:rPr>
          <w:rPr>
            <w:rFonts w:hint="eastAsia" w:ascii="Cambria Math" w:hAnsi="Cambria Math"/>
            <w:szCs w:val="21"/>
          </w:rPr>
          <m:t>）</m:t>
        </m:r>
        <m:r>
          <w:rPr>
            <w:rFonts w:ascii="Cambria Math" w:hAnsi="Cambria Math"/>
            <w:szCs w:val="36"/>
          </w:rPr>
          <m:t>%</m:t>
        </m:r>
      </m:oMath>
      <w:r>
        <w:rPr>
          <w:szCs w:val="21"/>
        </w:rPr>
        <w:t>…..………………………</w:t>
      </w:r>
      <w:r>
        <w:rPr>
          <w:rFonts w:hint="eastAsia"/>
          <w:szCs w:val="21"/>
        </w:rPr>
        <w:t>（</w:t>
      </w:r>
      <w:r>
        <w:rPr>
          <w:szCs w:val="21"/>
        </w:rPr>
        <w:t>1</w:t>
      </w:r>
      <w:r>
        <w:rPr>
          <w:rFonts w:hint="eastAsia"/>
          <w:szCs w:val="21"/>
        </w:rPr>
        <w:t>）</w:t>
      </w:r>
    </w:p>
    <w:p>
      <w:pPr>
        <w:spacing w:line="360" w:lineRule="auto"/>
        <w:ind w:firstLine="420" w:firstLineChars="200"/>
        <w:rPr>
          <w:szCs w:val="21"/>
        </w:rPr>
      </w:pPr>
      <w:r>
        <w:rPr>
          <w:szCs w:val="21"/>
        </w:rPr>
        <w:t>式中：</w:t>
      </w:r>
    </w:p>
    <w:p>
      <w:pPr>
        <w:spacing w:line="360" w:lineRule="auto"/>
        <w:ind w:firstLine="420" w:firstLineChars="200"/>
        <w:rPr>
          <w:szCs w:val="21"/>
        </w:rPr>
      </w:pPr>
      <w:r>
        <w:rPr>
          <w:i/>
          <w:iCs/>
          <w:szCs w:val="21"/>
        </w:rPr>
        <w:t>ρ</w:t>
      </w:r>
      <w:r>
        <w:rPr>
          <w:szCs w:val="21"/>
          <w:vertAlign w:val="subscript"/>
        </w:rPr>
        <w:t>x</w:t>
      </w:r>
      <w:r>
        <w:rPr>
          <w:szCs w:val="21"/>
        </w:rPr>
        <w:t>—样品中待测元素的质量浓度，单位为微克每毫升（μg/mL）；</w:t>
      </w:r>
    </w:p>
    <w:p>
      <w:pPr>
        <w:spacing w:line="360" w:lineRule="auto"/>
        <w:ind w:firstLine="420" w:firstLineChars="200"/>
        <w:rPr>
          <w:szCs w:val="21"/>
        </w:rPr>
      </w:pPr>
      <w:r>
        <w:rPr>
          <w:i/>
          <w:iCs/>
          <w:szCs w:val="21"/>
        </w:rPr>
        <w:t>ρ</w:t>
      </w:r>
      <w:r>
        <w:rPr>
          <w:szCs w:val="21"/>
          <w:vertAlign w:val="subscript"/>
        </w:rPr>
        <w:t>0</w:t>
      </w:r>
      <w:r>
        <w:rPr>
          <w:szCs w:val="21"/>
        </w:rPr>
        <w:t xml:space="preserve"> —空白试液中待测元素的质量浓度，单位为微克每毫升（μg/mL）；</w:t>
      </w:r>
    </w:p>
    <w:p>
      <w:pPr>
        <w:spacing w:line="360" w:lineRule="auto"/>
        <w:ind w:firstLine="420" w:firstLineChars="200"/>
        <w:rPr>
          <w:szCs w:val="21"/>
        </w:rPr>
      </w:pPr>
      <w:bookmarkStart w:id="5" w:name="OLE_LINK1"/>
      <w:r>
        <w:rPr>
          <w:i/>
          <w:iCs/>
          <w:szCs w:val="21"/>
        </w:rPr>
        <w:t>w</w:t>
      </w:r>
      <w:r>
        <w:rPr>
          <w:szCs w:val="21"/>
          <w:vertAlign w:val="subscript"/>
        </w:rPr>
        <w:t>A</w:t>
      </w:r>
      <w:r>
        <w:rPr>
          <w:szCs w:val="21"/>
        </w:rPr>
        <w:t>—样品中氧化铝、氧化铁、氧化纳、氧化硅和氧化钛等杂质元素含量，单位为百分含量（%）；</w:t>
      </w:r>
      <w:bookmarkEnd w:id="5"/>
    </w:p>
    <w:p>
      <w:pPr>
        <w:spacing w:line="360" w:lineRule="auto"/>
        <w:ind w:firstLine="420" w:firstLineChars="200"/>
      </w:pPr>
      <w:r>
        <w:rPr>
          <w:szCs w:val="21"/>
        </w:rPr>
        <w:t>所得结果保留至小数点后两位，</w:t>
      </w:r>
      <w:r>
        <w:t>数值修约按GB/T 8170的规定执行。</w:t>
      </w:r>
    </w:p>
    <w:p>
      <w:pPr>
        <w:snapToGrid w:val="0"/>
        <w:spacing w:line="360" w:lineRule="auto"/>
        <w:ind w:firstLine="420"/>
        <w:rPr>
          <w:bCs/>
          <w:szCs w:val="21"/>
        </w:rPr>
      </w:pPr>
      <w:r>
        <w:t>备注：</w:t>
      </w:r>
      <w:r>
        <w:rPr>
          <w:szCs w:val="21"/>
        </w:rPr>
        <w:t>氧化铝、氧化铁、氧化纳和氧化钛等杂质元素含量按照</w:t>
      </w:r>
      <w:r>
        <w:rPr>
          <w:bCs/>
          <w:szCs w:val="21"/>
        </w:rPr>
        <w:t>XB/T 625进行测定；</w:t>
      </w:r>
      <w:r>
        <w:rPr>
          <w:szCs w:val="21"/>
        </w:rPr>
        <w:t>氧化硅含量按照</w:t>
      </w:r>
      <w:r>
        <w:rPr>
          <w:bCs/>
          <w:szCs w:val="21"/>
        </w:rPr>
        <w:t>YS/T 568.3进行测定</w:t>
      </w:r>
      <w:r>
        <w:rPr>
          <w:rFonts w:hint="eastAsia"/>
          <w:bCs/>
          <w:szCs w:val="21"/>
        </w:rPr>
        <w:t>。</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4.7 精密度</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4.7.1 重复性</w:t>
      </w:r>
    </w:p>
    <w:p>
      <w:pPr>
        <w:ind w:firstLine="420"/>
      </w:pPr>
      <w:r>
        <w:rPr>
          <w:szCs w:val="21"/>
        </w:rPr>
        <w:t>在重复性条件下获得的两次独立测试结果的测定值，在以下给出的平均值范围内，这两个测试结果的绝对差值不超过重复性限(</w:t>
      </w:r>
      <w:r>
        <w:rPr>
          <w:i/>
          <w:szCs w:val="21"/>
        </w:rPr>
        <w:t>r</w:t>
      </w:r>
      <w:r>
        <w:rPr>
          <w:szCs w:val="21"/>
        </w:rPr>
        <w:t>)，</w:t>
      </w:r>
      <w:r>
        <w:rPr>
          <w:rFonts w:hAnsi="宋体"/>
        </w:rPr>
        <w:t>超过重复性限</w:t>
      </w:r>
      <w:r>
        <w:t>(</w:t>
      </w:r>
      <w:r>
        <w:rPr>
          <w:i/>
        </w:rPr>
        <w:t>r</w:t>
      </w:r>
      <w:r>
        <w:t>)</w:t>
      </w:r>
      <w:r>
        <w:rPr>
          <w:rFonts w:hAnsi="宋体"/>
        </w:rPr>
        <w:t>的情况不超过</w:t>
      </w:r>
      <w:r>
        <w:t>5%</w:t>
      </w:r>
      <w:r>
        <w:rPr>
          <w:rFonts w:hAnsi="宋体"/>
        </w:rPr>
        <w:t>。重复性限</w:t>
      </w:r>
      <w:r>
        <w:t>(</w:t>
      </w:r>
      <w:r>
        <w:rPr>
          <w:i/>
        </w:rPr>
        <w:t>r</w:t>
      </w:r>
      <w:r>
        <w:t>)</w:t>
      </w:r>
      <w:r>
        <w:rPr>
          <w:rFonts w:hAnsi="宋体"/>
        </w:rPr>
        <w:t>按表</w:t>
      </w:r>
      <w:r>
        <w:rPr>
          <w:rFonts w:hint="eastAsia"/>
        </w:rPr>
        <w:t>5</w:t>
      </w:r>
      <w:r>
        <w:rPr>
          <w:rFonts w:hAnsi="宋体"/>
        </w:rPr>
        <w:t>数据采用线性内插法求得。</w:t>
      </w:r>
    </w:p>
    <w:p>
      <w:pPr>
        <w:spacing w:line="360" w:lineRule="auto"/>
        <w:ind w:firstLine="420" w:firstLineChars="200"/>
        <w:jc w:val="center"/>
        <w:rPr>
          <w:rFonts w:ascii="黑体" w:hAnsi="黑体" w:eastAsia="黑体" w:cs="黑体"/>
          <w:color w:val="000000"/>
          <w:szCs w:val="21"/>
        </w:rPr>
      </w:pPr>
      <w:r>
        <w:rPr>
          <w:rFonts w:hint="eastAsia" w:ascii="黑体" w:hAnsi="黑体" w:eastAsia="黑体" w:cs="黑体"/>
          <w:color w:val="000000"/>
          <w:szCs w:val="21"/>
        </w:rPr>
        <w:t>表5 重复性限</w:t>
      </w:r>
    </w:p>
    <w:tbl>
      <w:tblPr>
        <w:tblStyle w:val="12"/>
        <w:tblW w:w="5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923"/>
        <w:gridCol w:w="1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23" w:type="dxa"/>
            <w:tcBorders>
              <w:top w:val="single" w:color="auto" w:sz="4" w:space="0"/>
              <w:left w:val="single" w:color="auto" w:sz="4" w:space="0"/>
              <w:bottom w:val="single" w:color="auto" w:sz="4" w:space="0"/>
              <w:right w:val="single" w:color="auto" w:sz="4" w:space="0"/>
            </w:tcBorders>
          </w:tcPr>
          <w:p>
            <w:pPr>
              <w:jc w:val="center"/>
              <w:rPr>
                <w:iCs/>
                <w:sz w:val="18"/>
                <w:szCs w:val="18"/>
              </w:rPr>
            </w:pPr>
            <w:r>
              <w:rPr>
                <w:rFonts w:hint="eastAsia"/>
                <w:iCs/>
                <w:kern w:val="0"/>
                <w:sz w:val="18"/>
                <w:szCs w:val="18"/>
              </w:rPr>
              <w:t>元素</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质量分数/</w:t>
            </w:r>
            <w:r>
              <w:rPr>
                <w:sz w:val="18"/>
                <w:szCs w:val="18"/>
              </w:rPr>
              <w:t>%</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重复性限/</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ZrO</w:t>
            </w:r>
            <w:r>
              <w:rPr>
                <w:sz w:val="18"/>
                <w:szCs w:val="18"/>
                <w:vertAlign w:val="subscript"/>
              </w:rPr>
              <w:t>2</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i/>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i/>
                <w:sz w:val="18"/>
                <w:szCs w:val="18"/>
              </w:rPr>
            </w:pPr>
            <w:r>
              <w:rPr>
                <w:sz w:val="18"/>
                <w:szCs w:val="18"/>
              </w:rPr>
              <w:t>HfO</w:t>
            </w:r>
            <w:r>
              <w:rPr>
                <w:sz w:val="18"/>
                <w:szCs w:val="18"/>
                <w:vertAlign w:val="subscript"/>
              </w:rPr>
              <w:t>2</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bl>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4.7.2 再现性</w:t>
      </w:r>
    </w:p>
    <w:p>
      <w:pPr>
        <w:widowControl/>
        <w:tabs>
          <w:tab w:val="center" w:pos="4201"/>
          <w:tab w:val="right" w:leader="dot" w:pos="9298"/>
        </w:tabs>
        <w:autoSpaceDE w:val="0"/>
        <w:autoSpaceDN w:val="0"/>
        <w:ind w:firstLine="420" w:firstLineChars="200"/>
        <w:rPr>
          <w:kern w:val="0"/>
          <w:szCs w:val="20"/>
        </w:rPr>
      </w:pPr>
      <w:r>
        <w:rPr>
          <w:kern w:val="0"/>
          <w:szCs w:val="20"/>
        </w:rPr>
        <w:t>在</w:t>
      </w:r>
      <w:r>
        <w:rPr>
          <w:rFonts w:hint="eastAsia"/>
          <w:kern w:val="0"/>
          <w:szCs w:val="20"/>
        </w:rPr>
        <w:t>再现</w:t>
      </w:r>
      <w:r>
        <w:rPr>
          <w:kern w:val="0"/>
          <w:szCs w:val="20"/>
        </w:rPr>
        <w:t>性条件下获得的两次独立测试结果的测定值，在以下给出的平均值范围内，两个测试结果的绝对差值不超过</w:t>
      </w:r>
      <w:r>
        <w:rPr>
          <w:rFonts w:hint="eastAsia"/>
          <w:kern w:val="0"/>
          <w:szCs w:val="20"/>
        </w:rPr>
        <w:t>再现</w:t>
      </w:r>
      <w:r>
        <w:rPr>
          <w:kern w:val="0"/>
          <w:szCs w:val="20"/>
        </w:rPr>
        <w:t>性限（</w:t>
      </w:r>
      <w:r>
        <w:rPr>
          <w:i/>
          <w:kern w:val="0"/>
          <w:szCs w:val="20"/>
        </w:rPr>
        <w:t>R</w:t>
      </w:r>
      <w:r>
        <w:rPr>
          <w:kern w:val="0"/>
          <w:szCs w:val="20"/>
        </w:rPr>
        <w:t>），超过</w:t>
      </w:r>
      <w:r>
        <w:rPr>
          <w:rFonts w:hint="eastAsia"/>
          <w:kern w:val="0"/>
          <w:szCs w:val="20"/>
        </w:rPr>
        <w:t>再现</w:t>
      </w:r>
      <w:r>
        <w:rPr>
          <w:kern w:val="0"/>
          <w:szCs w:val="20"/>
        </w:rPr>
        <w:t>性限（</w:t>
      </w:r>
      <w:r>
        <w:rPr>
          <w:i/>
          <w:kern w:val="0"/>
          <w:szCs w:val="20"/>
        </w:rPr>
        <w:t>R</w:t>
      </w:r>
      <w:r>
        <w:rPr>
          <w:kern w:val="0"/>
          <w:szCs w:val="20"/>
        </w:rPr>
        <w:t>）的情况不超过5%</w:t>
      </w:r>
      <w:r>
        <w:rPr>
          <w:rFonts w:hint="eastAsia"/>
          <w:kern w:val="0"/>
          <w:szCs w:val="20"/>
        </w:rPr>
        <w:t>，再现</w:t>
      </w:r>
      <w:r>
        <w:rPr>
          <w:kern w:val="0"/>
          <w:szCs w:val="20"/>
        </w:rPr>
        <w:t>性限（</w:t>
      </w:r>
      <w:r>
        <w:rPr>
          <w:i/>
          <w:kern w:val="0"/>
          <w:szCs w:val="20"/>
        </w:rPr>
        <w:t>R</w:t>
      </w:r>
      <w:r>
        <w:rPr>
          <w:kern w:val="0"/>
          <w:szCs w:val="20"/>
        </w:rPr>
        <w:t>）</w:t>
      </w:r>
      <w:r>
        <w:rPr>
          <w:rFonts w:hint="eastAsia"/>
          <w:kern w:val="0"/>
          <w:szCs w:val="20"/>
        </w:rPr>
        <w:t>按</w:t>
      </w:r>
      <w:r>
        <w:rPr>
          <w:kern w:val="0"/>
          <w:szCs w:val="20"/>
        </w:rPr>
        <w:t>表</w:t>
      </w:r>
      <w:r>
        <w:rPr>
          <w:rFonts w:hint="eastAsia"/>
          <w:kern w:val="0"/>
          <w:szCs w:val="20"/>
        </w:rPr>
        <w:t>6数据</w:t>
      </w:r>
      <w:r>
        <w:rPr>
          <w:kern w:val="0"/>
          <w:szCs w:val="20"/>
        </w:rPr>
        <w:t>采用线性内插法</w:t>
      </w:r>
      <w:r>
        <w:rPr>
          <w:rFonts w:hint="eastAsia"/>
          <w:kern w:val="0"/>
          <w:szCs w:val="20"/>
        </w:rPr>
        <w:t>或</w:t>
      </w:r>
      <w:r>
        <w:rPr>
          <w:kern w:val="0"/>
          <w:szCs w:val="20"/>
        </w:rPr>
        <w:t>外延法求得</w:t>
      </w:r>
      <w:r>
        <w:rPr>
          <w:rFonts w:hint="eastAsia"/>
          <w:kern w:val="0"/>
          <w:szCs w:val="20"/>
        </w:rPr>
        <w:t>：</w:t>
      </w:r>
    </w:p>
    <w:p>
      <w:pPr>
        <w:spacing w:line="360" w:lineRule="auto"/>
        <w:ind w:firstLine="420" w:firstLineChars="200"/>
        <w:jc w:val="center"/>
        <w:rPr>
          <w:rFonts w:ascii="黑体" w:hAnsi="黑体" w:eastAsia="黑体" w:cs="黑体"/>
          <w:color w:val="000000"/>
          <w:szCs w:val="21"/>
        </w:rPr>
      </w:pPr>
      <w:r>
        <w:rPr>
          <w:rFonts w:hint="eastAsia" w:ascii="黑体" w:hAnsi="黑体" w:eastAsia="黑体" w:cs="黑体"/>
          <w:color w:val="000000"/>
          <w:szCs w:val="21"/>
        </w:rPr>
        <w:t>表6 再现性限</w:t>
      </w:r>
    </w:p>
    <w:tbl>
      <w:tblPr>
        <w:tblStyle w:val="12"/>
        <w:tblW w:w="5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923"/>
        <w:gridCol w:w="1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1923" w:type="dxa"/>
            <w:tcBorders>
              <w:top w:val="single" w:color="auto" w:sz="4" w:space="0"/>
              <w:left w:val="single" w:color="auto" w:sz="4" w:space="0"/>
              <w:bottom w:val="single" w:color="auto" w:sz="4" w:space="0"/>
              <w:right w:val="single" w:color="auto" w:sz="4" w:space="0"/>
            </w:tcBorders>
          </w:tcPr>
          <w:p>
            <w:pPr>
              <w:jc w:val="center"/>
              <w:rPr>
                <w:iCs/>
                <w:sz w:val="18"/>
                <w:szCs w:val="18"/>
              </w:rPr>
            </w:pPr>
            <w:r>
              <w:rPr>
                <w:rFonts w:hint="eastAsia"/>
                <w:iCs/>
                <w:kern w:val="0"/>
                <w:sz w:val="18"/>
                <w:szCs w:val="18"/>
              </w:rPr>
              <w:t>元素</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质量分数/</w:t>
            </w:r>
            <w:r>
              <w:rPr>
                <w:sz w:val="18"/>
                <w:szCs w:val="18"/>
              </w:rPr>
              <w:t>%</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重复性限/</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ZrO</w:t>
            </w:r>
            <w:r>
              <w:rPr>
                <w:sz w:val="18"/>
                <w:szCs w:val="18"/>
                <w:vertAlign w:val="subscript"/>
              </w:rPr>
              <w:t>2</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i/>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i/>
                <w:sz w:val="18"/>
                <w:szCs w:val="18"/>
              </w:rPr>
            </w:pPr>
            <w:r>
              <w:rPr>
                <w:sz w:val="18"/>
                <w:szCs w:val="18"/>
              </w:rPr>
              <w:t>HfO</w:t>
            </w:r>
            <w:r>
              <w:rPr>
                <w:sz w:val="18"/>
                <w:szCs w:val="18"/>
                <w:vertAlign w:val="subscript"/>
              </w:rPr>
              <w:t>2</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bl>
    <w:p>
      <w:pPr>
        <w:ind w:firstLine="420"/>
        <w:jc w:val="center"/>
        <w:rPr>
          <w:rFonts w:ascii="黑体" w:hAnsi="宋体" w:eastAsia="黑体"/>
          <w:szCs w:val="21"/>
          <w:highlight w:val="yellow"/>
        </w:rPr>
      </w:pPr>
    </w:p>
    <w:p>
      <w:pPr>
        <w:numPr>
          <w:ilvl w:val="0"/>
          <w:numId w:val="3"/>
        </w:numPr>
        <w:spacing w:before="310" w:beforeLines="100" w:after="310" w:afterLines="100" w:line="300" w:lineRule="auto"/>
        <w:ind w:left="363" w:hanging="363"/>
        <w:rPr>
          <w:rFonts w:ascii="黑体" w:hAnsi="黑体" w:eastAsia="黑体" w:cs="黑体"/>
          <w:szCs w:val="21"/>
        </w:rPr>
      </w:pPr>
      <w:r>
        <w:rPr>
          <w:rFonts w:hint="eastAsia" w:ascii="黑体" w:hAnsi="黑体" w:eastAsia="黑体" w:cs="黑体"/>
          <w:szCs w:val="21"/>
        </w:rPr>
        <w:t>方法2：X射线荧光光谱法</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5.1方法原理</w:t>
      </w:r>
    </w:p>
    <w:p>
      <w:pPr>
        <w:ind w:firstLine="420"/>
        <w:rPr>
          <w:szCs w:val="21"/>
        </w:rPr>
      </w:pPr>
      <w:r>
        <w:rPr>
          <w:szCs w:val="21"/>
        </w:rPr>
        <w:t>试样经</w:t>
      </w:r>
      <w:r>
        <w:rPr>
          <w:rFonts w:hint="eastAsia"/>
          <w:szCs w:val="21"/>
        </w:rPr>
        <w:t>粉末压片，制成样片，按分析条件测量待测元素分析特征线的X射线荧光强度比值。根据该比值与待测元素含量之间的线性关系，选择相应的数学模型，计算出待测元素的相对含量。</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5.2试剂</w:t>
      </w:r>
    </w:p>
    <w:p>
      <w:pPr>
        <w:numPr>
          <w:ilvl w:val="2"/>
          <w:numId w:val="4"/>
        </w:numPr>
        <w:tabs>
          <w:tab w:val="left" w:pos="0"/>
          <w:tab w:val="left" w:pos="900"/>
          <w:tab w:val="left" w:pos="1080"/>
          <w:tab w:val="clear" w:pos="360"/>
        </w:tabs>
        <w:rPr>
          <w:szCs w:val="21"/>
        </w:rPr>
      </w:pPr>
      <w:r>
        <w:rPr>
          <w:rFonts w:hint="eastAsia" w:eastAsia="黑体"/>
          <w:szCs w:val="21"/>
        </w:rPr>
        <w:t>5.2</w:t>
      </w:r>
      <w:r>
        <w:rPr>
          <w:rFonts w:eastAsia="黑体"/>
          <w:szCs w:val="21"/>
        </w:rPr>
        <w:t>.1</w:t>
      </w:r>
      <w:r>
        <w:rPr>
          <w:rFonts w:hint="eastAsia" w:eastAsia="黑体"/>
          <w:szCs w:val="21"/>
        </w:rPr>
        <w:t xml:space="preserve"> </w:t>
      </w:r>
      <w:r>
        <w:rPr>
          <w:rFonts w:hint="eastAsia" w:ascii="宋体" w:hAnsi="宋体" w:cs="黑体"/>
          <w:szCs w:val="22"/>
        </w:rPr>
        <w:t>氧化钇（</w:t>
      </w:r>
      <w:r>
        <w:rPr>
          <w:rFonts w:hint="eastAsia"/>
          <w:szCs w:val="21"/>
        </w:rPr>
        <w:t>≥99.99%）</w:t>
      </w:r>
      <w:r>
        <w:rPr>
          <w:rFonts w:ascii="宋体" w:hAnsi="宋体" w:cs="黑体"/>
          <w:szCs w:val="22"/>
        </w:rPr>
        <w:t>。</w:t>
      </w:r>
    </w:p>
    <w:p>
      <w:pPr>
        <w:numPr>
          <w:ilvl w:val="2"/>
          <w:numId w:val="4"/>
        </w:numPr>
        <w:tabs>
          <w:tab w:val="left" w:pos="0"/>
          <w:tab w:val="left" w:pos="900"/>
          <w:tab w:val="left" w:pos="1080"/>
          <w:tab w:val="clear" w:pos="360"/>
        </w:tabs>
        <w:rPr>
          <w:szCs w:val="21"/>
        </w:rPr>
      </w:pPr>
      <w:r>
        <w:rPr>
          <w:rFonts w:hint="eastAsia" w:eastAsia="黑体"/>
          <w:szCs w:val="21"/>
        </w:rPr>
        <w:t>5.2</w:t>
      </w:r>
      <w:r>
        <w:rPr>
          <w:rFonts w:eastAsia="黑体"/>
          <w:szCs w:val="21"/>
        </w:rPr>
        <w:t xml:space="preserve">.2 </w:t>
      </w:r>
      <w:r>
        <w:rPr>
          <w:rFonts w:hint="eastAsia" w:ascii="宋体" w:hAnsi="宋体" w:cs="黑体"/>
          <w:szCs w:val="22"/>
        </w:rPr>
        <w:t>氧化锆（</w:t>
      </w:r>
      <w:r>
        <w:rPr>
          <w:rFonts w:hint="eastAsia"/>
          <w:szCs w:val="21"/>
        </w:rPr>
        <w:t>≥99.99%）</w:t>
      </w:r>
      <w:r>
        <w:rPr>
          <w:rFonts w:ascii="宋体" w:hAnsi="宋体" w:cs="黑体"/>
          <w:szCs w:val="22"/>
        </w:rPr>
        <w:t>。</w:t>
      </w:r>
    </w:p>
    <w:p>
      <w:pPr>
        <w:numPr>
          <w:ilvl w:val="2"/>
          <w:numId w:val="4"/>
        </w:numPr>
        <w:tabs>
          <w:tab w:val="left" w:pos="0"/>
          <w:tab w:val="left" w:pos="900"/>
          <w:tab w:val="left" w:pos="1080"/>
          <w:tab w:val="clear" w:pos="360"/>
        </w:tabs>
        <w:rPr>
          <w:szCs w:val="21"/>
        </w:rPr>
      </w:pPr>
      <w:r>
        <w:rPr>
          <w:rFonts w:hint="eastAsia" w:eastAsia="黑体"/>
          <w:szCs w:val="21"/>
        </w:rPr>
        <w:t>5.2</w:t>
      </w:r>
      <w:r>
        <w:rPr>
          <w:rFonts w:eastAsia="黑体"/>
          <w:szCs w:val="21"/>
        </w:rPr>
        <w:t xml:space="preserve">.3 </w:t>
      </w:r>
      <w:r>
        <w:rPr>
          <w:rFonts w:hint="eastAsia" w:ascii="宋体" w:hAnsi="宋体" w:cs="黑体"/>
          <w:szCs w:val="22"/>
        </w:rPr>
        <w:t>氧化铪（</w:t>
      </w:r>
      <w:r>
        <w:rPr>
          <w:rFonts w:hint="eastAsia"/>
          <w:szCs w:val="21"/>
        </w:rPr>
        <w:t>≥99.99%）</w:t>
      </w:r>
      <w:r>
        <w:rPr>
          <w:rFonts w:ascii="宋体" w:hAnsi="宋体" w:cs="黑体"/>
          <w:szCs w:val="22"/>
        </w:rPr>
        <w:t>。</w:t>
      </w:r>
    </w:p>
    <w:p>
      <w:pPr>
        <w:numPr>
          <w:ilvl w:val="2"/>
          <w:numId w:val="4"/>
        </w:numPr>
        <w:tabs>
          <w:tab w:val="left" w:pos="0"/>
          <w:tab w:val="left" w:pos="900"/>
          <w:tab w:val="left" w:pos="1080"/>
          <w:tab w:val="clear" w:pos="360"/>
        </w:tabs>
        <w:rPr>
          <w:szCs w:val="21"/>
        </w:rPr>
      </w:pPr>
      <w:r>
        <w:rPr>
          <w:rFonts w:hint="eastAsia" w:eastAsia="黑体"/>
          <w:szCs w:val="21"/>
        </w:rPr>
        <w:t>5.2.4</w:t>
      </w:r>
      <w:r>
        <w:rPr>
          <w:rFonts w:eastAsia="黑体"/>
          <w:szCs w:val="21"/>
        </w:rPr>
        <w:t xml:space="preserve"> </w:t>
      </w:r>
      <w:r>
        <w:rPr>
          <w:rFonts w:hint="eastAsia"/>
          <w:szCs w:val="21"/>
        </w:rPr>
        <w:t>硼酸（优级纯）。</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5.3仪器设备</w:t>
      </w:r>
    </w:p>
    <w:p>
      <w:pPr>
        <w:spacing w:line="400" w:lineRule="exact"/>
        <w:rPr>
          <w:color w:val="000000"/>
          <w:szCs w:val="21"/>
        </w:rPr>
      </w:pPr>
      <w:r>
        <w:rPr>
          <w:rFonts w:hint="eastAsia" w:ascii="黑体" w:hAnsi="黑体" w:eastAsia="黑体" w:cs="黑体"/>
          <w:szCs w:val="21"/>
        </w:rPr>
        <w:t>5.3.1</w:t>
      </w:r>
      <w:r>
        <w:rPr>
          <w:szCs w:val="21"/>
        </w:rPr>
        <w:t xml:space="preserve"> </w:t>
      </w:r>
      <w:r>
        <w:rPr>
          <w:rFonts w:hint="eastAsia"/>
          <w:szCs w:val="21"/>
        </w:rPr>
        <w:t>X射线荧光光谱仪：Rh靶端窗X光管（最大功率不小于3kW）。</w:t>
      </w:r>
    </w:p>
    <w:p>
      <w:pPr>
        <w:rPr>
          <w:rFonts w:hAnsi="宋体"/>
          <w:szCs w:val="22"/>
        </w:rPr>
      </w:pPr>
      <w:r>
        <w:rPr>
          <w:rFonts w:hint="eastAsia" w:ascii="黑体" w:hAnsi="黑体" w:eastAsia="黑体" w:cs="黑体"/>
          <w:szCs w:val="21"/>
        </w:rPr>
        <w:t xml:space="preserve">5.3.2 </w:t>
      </w:r>
      <w:r>
        <w:rPr>
          <w:rFonts w:hint="eastAsia"/>
          <w:szCs w:val="21"/>
        </w:rPr>
        <w:t>压样机。</w:t>
      </w:r>
    </w:p>
    <w:p>
      <w:pPr>
        <w:rPr>
          <w:szCs w:val="21"/>
        </w:rPr>
      </w:pPr>
      <w:r>
        <w:rPr>
          <w:rFonts w:hint="eastAsia" w:ascii="黑体" w:hAnsi="黑体" w:eastAsia="黑体" w:cs="黑体"/>
          <w:szCs w:val="21"/>
        </w:rPr>
        <w:t>5.3.</w:t>
      </w:r>
      <w:r>
        <w:rPr>
          <w:rFonts w:ascii="黑体" w:hAnsi="黑体" w:eastAsia="黑体" w:cs="黑体"/>
          <w:szCs w:val="21"/>
        </w:rPr>
        <w:t>3</w:t>
      </w:r>
      <w:r>
        <w:rPr>
          <w:rFonts w:hint="eastAsia" w:ascii="黑体" w:hAnsi="黑体" w:eastAsia="黑体" w:cs="黑体"/>
          <w:szCs w:val="21"/>
        </w:rPr>
        <w:t xml:space="preserve"> </w:t>
      </w:r>
      <w:r>
        <w:rPr>
          <w:rFonts w:hint="eastAsia"/>
          <w:szCs w:val="21"/>
        </w:rPr>
        <w:t>电子天平：分度值0.1 mg。</w:t>
      </w:r>
    </w:p>
    <w:p>
      <w:pPr>
        <w:rPr>
          <w:rFonts w:ascii="黑体" w:hAnsi="黑体" w:eastAsia="黑体" w:cs="黑体"/>
          <w:szCs w:val="21"/>
        </w:rPr>
      </w:pPr>
      <w:r>
        <w:rPr>
          <w:rFonts w:hint="eastAsia" w:ascii="黑体" w:hAnsi="黑体" w:eastAsia="黑体" w:cs="黑体"/>
          <w:szCs w:val="21"/>
        </w:rPr>
        <w:t>5</w:t>
      </w:r>
      <w:r>
        <w:rPr>
          <w:rFonts w:ascii="黑体" w:hAnsi="黑体" w:eastAsia="黑体" w:cs="黑体"/>
          <w:szCs w:val="21"/>
        </w:rPr>
        <w:t xml:space="preserve">.3.4 </w:t>
      </w:r>
      <w:r>
        <w:rPr>
          <w:rFonts w:hint="eastAsia"/>
          <w:szCs w:val="21"/>
        </w:rPr>
        <w:t>10氩-甲烷气体（90%氩气+10%甲烷）。</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5.4 试样</w:t>
      </w:r>
    </w:p>
    <w:p>
      <w:pPr>
        <w:ind w:firstLine="420"/>
        <w:rPr>
          <w:szCs w:val="21"/>
        </w:rPr>
      </w:pPr>
      <w:r>
        <w:rPr>
          <w:rFonts w:hint="eastAsia"/>
          <w:szCs w:val="21"/>
        </w:rPr>
        <w:t xml:space="preserve"> 试样为粉末样品，粒径80目。</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5.5 分析步骤</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5.5.1 试料</w:t>
      </w:r>
    </w:p>
    <w:p>
      <w:pPr>
        <w:ind w:firstLine="420"/>
        <w:rPr>
          <w:szCs w:val="21"/>
        </w:rPr>
      </w:pPr>
      <w:r>
        <w:rPr>
          <w:rFonts w:hint="eastAsia"/>
          <w:szCs w:val="21"/>
        </w:rPr>
        <w:t>称取5.0 g试样（5.4），精确至0.0001 g。</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5.5.2 平行试验</w:t>
      </w:r>
    </w:p>
    <w:p>
      <w:pPr>
        <w:ind w:firstLine="420" w:firstLineChars="200"/>
        <w:rPr>
          <w:bCs/>
        </w:rPr>
      </w:pPr>
      <w:r>
        <w:rPr>
          <w:rFonts w:hint="eastAsia"/>
          <w:bCs/>
        </w:rPr>
        <w:t>独立进行两次平行测定，取其平均值。</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5.5.3 空白试验</w:t>
      </w:r>
    </w:p>
    <w:p>
      <w:pPr>
        <w:ind w:firstLine="420" w:firstLineChars="200"/>
        <w:rPr>
          <w:bCs/>
        </w:rPr>
      </w:pPr>
      <w:r>
        <w:rPr>
          <w:rFonts w:hint="eastAsia"/>
          <w:bCs/>
        </w:rPr>
        <w:t>随同试料做空白试验。</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5.5.4 仪器工作条件</w:t>
      </w:r>
    </w:p>
    <w:p>
      <w:pPr>
        <w:ind w:firstLine="420"/>
        <w:rPr>
          <w:szCs w:val="21"/>
        </w:rPr>
      </w:pPr>
      <w:r>
        <w:rPr>
          <w:rFonts w:hint="eastAsia"/>
          <w:szCs w:val="21"/>
        </w:rPr>
        <w:t>样品杯自旋，真空光路，无滤光片，细准直器，分光晶体LiF200，峰位测量时间20 s，背景测量时间10 s。其他条件见表7。</w:t>
      </w:r>
    </w:p>
    <w:p>
      <w:pPr>
        <w:spacing w:line="360" w:lineRule="auto"/>
        <w:ind w:firstLine="420" w:firstLineChars="200"/>
        <w:jc w:val="center"/>
        <w:rPr>
          <w:rFonts w:ascii="黑体" w:hAnsi="黑体" w:eastAsia="黑体" w:cs="黑体"/>
          <w:color w:val="000000"/>
          <w:szCs w:val="21"/>
          <w:lang w:val="de-DE"/>
        </w:rPr>
      </w:pPr>
      <w:r>
        <w:rPr>
          <w:rFonts w:hint="eastAsia" w:ascii="黑体" w:hAnsi="黑体" w:eastAsia="黑体" w:cs="黑体"/>
          <w:color w:val="000000"/>
          <w:szCs w:val="21"/>
          <w:lang w:val="de-DE"/>
        </w:rPr>
        <w:t>表</w:t>
      </w:r>
      <w:r>
        <w:rPr>
          <w:rFonts w:hint="eastAsia" w:ascii="黑体" w:hAnsi="黑体" w:eastAsia="黑体" w:cs="黑体"/>
          <w:color w:val="000000"/>
          <w:szCs w:val="21"/>
        </w:rPr>
        <w:t>7</w:t>
      </w:r>
      <w:r>
        <w:rPr>
          <w:rFonts w:hint="eastAsia" w:ascii="黑体" w:hAnsi="黑体" w:eastAsia="黑体" w:cs="黑体"/>
          <w:color w:val="000000"/>
          <w:szCs w:val="21"/>
          <w:lang w:val="de-DE"/>
        </w:rPr>
        <w:t xml:space="preserve"> 元素测量条件</w:t>
      </w:r>
    </w:p>
    <w:tbl>
      <w:tblPr>
        <w:tblStyle w:val="12"/>
        <w:tblW w:w="0" w:type="auto"/>
        <w:jc w:val="center"/>
        <w:tblLayout w:type="autofit"/>
        <w:tblCellMar>
          <w:top w:w="0" w:type="dxa"/>
          <w:left w:w="108" w:type="dxa"/>
          <w:bottom w:w="0" w:type="dxa"/>
          <w:right w:w="108" w:type="dxa"/>
        </w:tblCellMar>
      </w:tblPr>
      <w:tblGrid>
        <w:gridCol w:w="675"/>
        <w:gridCol w:w="709"/>
        <w:gridCol w:w="851"/>
        <w:gridCol w:w="992"/>
        <w:gridCol w:w="992"/>
        <w:gridCol w:w="1134"/>
        <w:gridCol w:w="1418"/>
        <w:gridCol w:w="804"/>
        <w:gridCol w:w="947"/>
      </w:tblGrid>
      <w:tr>
        <w:tblPrEx>
          <w:tblCellMar>
            <w:top w:w="0" w:type="dxa"/>
            <w:left w:w="108" w:type="dxa"/>
            <w:bottom w:w="0" w:type="dxa"/>
            <w:right w:w="108" w:type="dxa"/>
          </w:tblCellMar>
        </w:tblPrEx>
        <w:trPr>
          <w:jc w:val="center"/>
        </w:trPr>
        <w:tc>
          <w:tcPr>
            <w:tcW w:w="675" w:type="dxa"/>
            <w:tcBorders>
              <w:top w:val="single" w:color="auto" w:sz="12" w:space="0"/>
              <w:bottom w:val="single" w:color="auto" w:sz="12" w:space="0"/>
            </w:tcBorders>
          </w:tcPr>
          <w:p>
            <w:pPr>
              <w:jc w:val="center"/>
              <w:rPr>
                <w:sz w:val="18"/>
                <w:szCs w:val="18"/>
              </w:rPr>
            </w:pPr>
            <w:r>
              <w:rPr>
                <w:sz w:val="18"/>
                <w:szCs w:val="18"/>
              </w:rPr>
              <w:t>元素</w:t>
            </w:r>
          </w:p>
        </w:tc>
        <w:tc>
          <w:tcPr>
            <w:tcW w:w="709" w:type="dxa"/>
            <w:tcBorders>
              <w:top w:val="single" w:color="auto" w:sz="12" w:space="0"/>
              <w:bottom w:val="single" w:color="auto" w:sz="12" w:space="0"/>
            </w:tcBorders>
          </w:tcPr>
          <w:p>
            <w:pPr>
              <w:jc w:val="center"/>
              <w:rPr>
                <w:sz w:val="18"/>
                <w:szCs w:val="18"/>
              </w:rPr>
            </w:pPr>
            <w:r>
              <w:rPr>
                <w:sz w:val="18"/>
                <w:szCs w:val="18"/>
              </w:rPr>
              <w:t>谱线</w:t>
            </w:r>
          </w:p>
        </w:tc>
        <w:tc>
          <w:tcPr>
            <w:tcW w:w="851" w:type="dxa"/>
            <w:tcBorders>
              <w:top w:val="single" w:color="auto" w:sz="12" w:space="0"/>
              <w:bottom w:val="single" w:color="auto" w:sz="12" w:space="0"/>
            </w:tcBorders>
          </w:tcPr>
          <w:p>
            <w:pPr>
              <w:jc w:val="center"/>
              <w:rPr>
                <w:sz w:val="18"/>
                <w:szCs w:val="18"/>
              </w:rPr>
            </w:pPr>
            <w:r>
              <w:rPr>
                <w:sz w:val="18"/>
                <w:szCs w:val="18"/>
              </w:rPr>
              <w:t>探测器</w:t>
            </w:r>
          </w:p>
        </w:tc>
        <w:tc>
          <w:tcPr>
            <w:tcW w:w="992" w:type="dxa"/>
            <w:tcBorders>
              <w:top w:val="single" w:color="auto" w:sz="12" w:space="0"/>
              <w:bottom w:val="single" w:color="auto" w:sz="12" w:space="0"/>
            </w:tcBorders>
          </w:tcPr>
          <w:p>
            <w:pPr>
              <w:jc w:val="center"/>
              <w:rPr>
                <w:sz w:val="18"/>
                <w:szCs w:val="18"/>
              </w:rPr>
            </w:pPr>
            <w:r>
              <w:rPr>
                <w:sz w:val="18"/>
                <w:szCs w:val="18"/>
              </w:rPr>
              <w:t>峰位/</w:t>
            </w:r>
            <w:r>
              <w:rPr>
                <w:color w:val="000000"/>
                <w:kern w:val="0"/>
                <w:sz w:val="18"/>
                <w:szCs w:val="18"/>
              </w:rPr>
              <w:t xml:space="preserve"> º</w:t>
            </w:r>
          </w:p>
        </w:tc>
        <w:tc>
          <w:tcPr>
            <w:tcW w:w="992" w:type="dxa"/>
            <w:tcBorders>
              <w:top w:val="single" w:color="auto" w:sz="12" w:space="0"/>
              <w:bottom w:val="single" w:color="auto" w:sz="12" w:space="0"/>
            </w:tcBorders>
          </w:tcPr>
          <w:p>
            <w:pPr>
              <w:jc w:val="center"/>
              <w:rPr>
                <w:sz w:val="18"/>
                <w:szCs w:val="18"/>
              </w:rPr>
            </w:pPr>
            <w:r>
              <w:rPr>
                <w:sz w:val="18"/>
                <w:szCs w:val="18"/>
              </w:rPr>
              <w:t>管压/kV</w:t>
            </w:r>
          </w:p>
        </w:tc>
        <w:tc>
          <w:tcPr>
            <w:tcW w:w="1134" w:type="dxa"/>
            <w:tcBorders>
              <w:top w:val="single" w:color="auto" w:sz="12" w:space="0"/>
              <w:bottom w:val="single" w:color="auto" w:sz="12" w:space="0"/>
            </w:tcBorders>
          </w:tcPr>
          <w:p>
            <w:pPr>
              <w:jc w:val="center"/>
              <w:rPr>
                <w:sz w:val="18"/>
                <w:szCs w:val="18"/>
              </w:rPr>
            </w:pPr>
            <w:r>
              <w:rPr>
                <w:sz w:val="18"/>
                <w:szCs w:val="18"/>
              </w:rPr>
              <w:t>管流/mA</w:t>
            </w:r>
          </w:p>
        </w:tc>
        <w:tc>
          <w:tcPr>
            <w:tcW w:w="1418" w:type="dxa"/>
            <w:tcBorders>
              <w:top w:val="single" w:color="auto" w:sz="12" w:space="0"/>
              <w:bottom w:val="single" w:color="auto" w:sz="12" w:space="0"/>
            </w:tcBorders>
          </w:tcPr>
          <w:p>
            <w:pPr>
              <w:jc w:val="center"/>
              <w:rPr>
                <w:sz w:val="18"/>
                <w:szCs w:val="18"/>
              </w:rPr>
            </w:pPr>
            <w:r>
              <w:rPr>
                <w:sz w:val="18"/>
                <w:szCs w:val="18"/>
              </w:rPr>
              <w:t>背景偏角/</w:t>
            </w:r>
            <w:r>
              <w:rPr>
                <w:color w:val="000000"/>
                <w:kern w:val="0"/>
                <w:sz w:val="18"/>
                <w:szCs w:val="18"/>
              </w:rPr>
              <w:t xml:space="preserve"> º</w:t>
            </w:r>
          </w:p>
        </w:tc>
        <w:tc>
          <w:tcPr>
            <w:tcW w:w="804" w:type="dxa"/>
            <w:tcBorders>
              <w:top w:val="single" w:color="auto" w:sz="12" w:space="0"/>
              <w:bottom w:val="single" w:color="auto" w:sz="12" w:space="0"/>
            </w:tcBorders>
          </w:tcPr>
          <w:p>
            <w:pPr>
              <w:jc w:val="center"/>
              <w:rPr>
                <w:sz w:val="18"/>
                <w:szCs w:val="18"/>
              </w:rPr>
            </w:pPr>
            <w:r>
              <w:rPr>
                <w:sz w:val="18"/>
                <w:szCs w:val="18"/>
              </w:rPr>
              <w:t>LL</w:t>
            </w:r>
          </w:p>
        </w:tc>
        <w:tc>
          <w:tcPr>
            <w:tcW w:w="947" w:type="dxa"/>
            <w:tcBorders>
              <w:top w:val="single" w:color="auto" w:sz="12" w:space="0"/>
              <w:bottom w:val="single" w:color="auto" w:sz="12" w:space="0"/>
            </w:tcBorders>
          </w:tcPr>
          <w:p>
            <w:pPr>
              <w:jc w:val="center"/>
              <w:rPr>
                <w:sz w:val="18"/>
                <w:szCs w:val="18"/>
              </w:rPr>
            </w:pPr>
            <w:r>
              <w:rPr>
                <w:sz w:val="18"/>
                <w:szCs w:val="18"/>
              </w:rPr>
              <w:t>UL</w:t>
            </w:r>
          </w:p>
        </w:tc>
      </w:tr>
      <w:tr>
        <w:tblPrEx>
          <w:tblCellMar>
            <w:top w:w="0" w:type="dxa"/>
            <w:left w:w="108" w:type="dxa"/>
            <w:bottom w:w="0" w:type="dxa"/>
            <w:right w:w="108" w:type="dxa"/>
          </w:tblCellMar>
        </w:tblPrEx>
        <w:trPr>
          <w:jc w:val="center"/>
        </w:trPr>
        <w:tc>
          <w:tcPr>
            <w:tcW w:w="675" w:type="dxa"/>
            <w:tcBorders>
              <w:top w:val="single" w:color="auto" w:sz="12" w:space="0"/>
            </w:tcBorders>
          </w:tcPr>
          <w:p>
            <w:pPr>
              <w:jc w:val="center"/>
              <w:rPr>
                <w:sz w:val="18"/>
                <w:szCs w:val="18"/>
              </w:rPr>
            </w:pPr>
            <w:r>
              <w:rPr>
                <w:sz w:val="18"/>
                <w:szCs w:val="18"/>
              </w:rPr>
              <w:t>Y</w:t>
            </w:r>
          </w:p>
        </w:tc>
        <w:tc>
          <w:tcPr>
            <w:tcW w:w="709" w:type="dxa"/>
            <w:tcBorders>
              <w:top w:val="single" w:color="auto" w:sz="12" w:space="0"/>
            </w:tcBorders>
          </w:tcPr>
          <w:p>
            <w:pPr>
              <w:jc w:val="center"/>
              <w:rPr>
                <w:sz w:val="18"/>
                <w:szCs w:val="18"/>
              </w:rPr>
            </w:pPr>
            <w:r>
              <w:rPr>
                <w:sz w:val="18"/>
                <w:szCs w:val="18"/>
              </w:rPr>
              <w:t>K</w:t>
            </w:r>
            <w:r>
              <w:rPr>
                <w:kern w:val="0"/>
                <w:sz w:val="18"/>
                <w:szCs w:val="18"/>
                <w:vertAlign w:val="subscript"/>
              </w:rPr>
              <w:t>α</w:t>
            </w:r>
          </w:p>
        </w:tc>
        <w:tc>
          <w:tcPr>
            <w:tcW w:w="851" w:type="dxa"/>
            <w:tcBorders>
              <w:top w:val="single" w:color="auto" w:sz="12" w:space="0"/>
            </w:tcBorders>
          </w:tcPr>
          <w:p>
            <w:pPr>
              <w:jc w:val="center"/>
              <w:rPr>
                <w:sz w:val="18"/>
                <w:szCs w:val="18"/>
              </w:rPr>
            </w:pPr>
            <w:r>
              <w:rPr>
                <w:sz w:val="18"/>
                <w:szCs w:val="18"/>
              </w:rPr>
              <w:t>Flow</w:t>
            </w:r>
          </w:p>
        </w:tc>
        <w:tc>
          <w:tcPr>
            <w:tcW w:w="992" w:type="dxa"/>
            <w:tcBorders>
              <w:top w:val="single" w:color="auto" w:sz="12" w:space="0"/>
            </w:tcBorders>
          </w:tcPr>
          <w:p>
            <w:pPr>
              <w:jc w:val="center"/>
              <w:rPr>
                <w:sz w:val="18"/>
                <w:szCs w:val="18"/>
              </w:rPr>
            </w:pPr>
            <w:r>
              <w:rPr>
                <w:sz w:val="18"/>
                <w:szCs w:val="18"/>
              </w:rPr>
              <w:t>23.764</w:t>
            </w:r>
          </w:p>
        </w:tc>
        <w:tc>
          <w:tcPr>
            <w:tcW w:w="992" w:type="dxa"/>
            <w:tcBorders>
              <w:top w:val="single" w:color="auto" w:sz="12" w:space="0"/>
            </w:tcBorders>
          </w:tcPr>
          <w:p>
            <w:pPr>
              <w:jc w:val="center"/>
              <w:rPr>
                <w:sz w:val="18"/>
                <w:szCs w:val="18"/>
              </w:rPr>
            </w:pPr>
            <w:r>
              <w:rPr>
                <w:sz w:val="18"/>
                <w:szCs w:val="18"/>
              </w:rPr>
              <w:t>50</w:t>
            </w:r>
          </w:p>
        </w:tc>
        <w:tc>
          <w:tcPr>
            <w:tcW w:w="1134" w:type="dxa"/>
            <w:tcBorders>
              <w:top w:val="single" w:color="auto" w:sz="12" w:space="0"/>
            </w:tcBorders>
          </w:tcPr>
          <w:p>
            <w:pPr>
              <w:jc w:val="center"/>
              <w:rPr>
                <w:sz w:val="18"/>
                <w:szCs w:val="18"/>
              </w:rPr>
            </w:pPr>
            <w:r>
              <w:rPr>
                <w:sz w:val="18"/>
                <w:szCs w:val="18"/>
              </w:rPr>
              <w:t>50</w:t>
            </w:r>
          </w:p>
        </w:tc>
        <w:tc>
          <w:tcPr>
            <w:tcW w:w="1418" w:type="dxa"/>
            <w:tcBorders>
              <w:top w:val="single" w:color="auto" w:sz="12" w:space="0"/>
            </w:tcBorders>
          </w:tcPr>
          <w:p>
            <w:pPr>
              <w:jc w:val="center"/>
              <w:rPr>
                <w:sz w:val="18"/>
                <w:szCs w:val="18"/>
              </w:rPr>
            </w:pPr>
            <w:r>
              <w:rPr>
                <w:sz w:val="18"/>
                <w:szCs w:val="18"/>
              </w:rPr>
              <w:t>1.998</w:t>
            </w:r>
          </w:p>
        </w:tc>
        <w:tc>
          <w:tcPr>
            <w:tcW w:w="804" w:type="dxa"/>
            <w:tcBorders>
              <w:top w:val="single" w:color="auto" w:sz="12" w:space="0"/>
            </w:tcBorders>
          </w:tcPr>
          <w:p>
            <w:pPr>
              <w:jc w:val="center"/>
              <w:rPr>
                <w:sz w:val="18"/>
                <w:szCs w:val="18"/>
              </w:rPr>
            </w:pPr>
            <w:r>
              <w:rPr>
                <w:sz w:val="18"/>
                <w:szCs w:val="18"/>
              </w:rPr>
              <w:t>32</w:t>
            </w:r>
          </w:p>
        </w:tc>
        <w:tc>
          <w:tcPr>
            <w:tcW w:w="947" w:type="dxa"/>
            <w:tcBorders>
              <w:top w:val="single" w:color="auto" w:sz="12" w:space="0"/>
            </w:tcBorders>
          </w:tcPr>
          <w:p>
            <w:pPr>
              <w:jc w:val="center"/>
              <w:rPr>
                <w:sz w:val="18"/>
                <w:szCs w:val="18"/>
              </w:rPr>
            </w:pPr>
            <w:r>
              <w:rPr>
                <w:sz w:val="18"/>
                <w:szCs w:val="18"/>
              </w:rPr>
              <w:t>64</w:t>
            </w:r>
          </w:p>
        </w:tc>
      </w:tr>
      <w:tr>
        <w:tblPrEx>
          <w:tblCellMar>
            <w:top w:w="0" w:type="dxa"/>
            <w:left w:w="108" w:type="dxa"/>
            <w:bottom w:w="0" w:type="dxa"/>
            <w:right w:w="108" w:type="dxa"/>
          </w:tblCellMar>
        </w:tblPrEx>
        <w:trPr>
          <w:jc w:val="center"/>
        </w:trPr>
        <w:tc>
          <w:tcPr>
            <w:tcW w:w="675" w:type="dxa"/>
          </w:tcPr>
          <w:p>
            <w:pPr>
              <w:jc w:val="center"/>
              <w:rPr>
                <w:sz w:val="18"/>
                <w:szCs w:val="18"/>
              </w:rPr>
            </w:pPr>
            <w:r>
              <w:rPr>
                <w:sz w:val="18"/>
                <w:szCs w:val="18"/>
              </w:rPr>
              <w:t>Zr</w:t>
            </w:r>
          </w:p>
        </w:tc>
        <w:tc>
          <w:tcPr>
            <w:tcW w:w="709" w:type="dxa"/>
          </w:tcPr>
          <w:p>
            <w:pPr>
              <w:jc w:val="center"/>
              <w:rPr>
                <w:sz w:val="18"/>
                <w:szCs w:val="18"/>
              </w:rPr>
            </w:pPr>
            <w:r>
              <w:rPr>
                <w:sz w:val="18"/>
                <w:szCs w:val="18"/>
              </w:rPr>
              <w:t>K</w:t>
            </w:r>
            <w:r>
              <w:rPr>
                <w:kern w:val="0"/>
                <w:sz w:val="18"/>
                <w:szCs w:val="18"/>
                <w:vertAlign w:val="subscript"/>
              </w:rPr>
              <w:t>α</w:t>
            </w:r>
          </w:p>
        </w:tc>
        <w:tc>
          <w:tcPr>
            <w:tcW w:w="851" w:type="dxa"/>
          </w:tcPr>
          <w:p>
            <w:pPr>
              <w:jc w:val="center"/>
              <w:rPr>
                <w:sz w:val="18"/>
                <w:szCs w:val="18"/>
              </w:rPr>
            </w:pPr>
            <w:r>
              <w:rPr>
                <w:sz w:val="18"/>
                <w:szCs w:val="18"/>
              </w:rPr>
              <w:t>Flow</w:t>
            </w:r>
          </w:p>
        </w:tc>
        <w:tc>
          <w:tcPr>
            <w:tcW w:w="992" w:type="dxa"/>
          </w:tcPr>
          <w:p>
            <w:pPr>
              <w:jc w:val="center"/>
              <w:rPr>
                <w:sz w:val="18"/>
                <w:szCs w:val="18"/>
              </w:rPr>
            </w:pPr>
            <w:r>
              <w:rPr>
                <w:sz w:val="18"/>
                <w:szCs w:val="18"/>
              </w:rPr>
              <w:t>22.525</w:t>
            </w:r>
          </w:p>
        </w:tc>
        <w:tc>
          <w:tcPr>
            <w:tcW w:w="992" w:type="dxa"/>
          </w:tcPr>
          <w:p>
            <w:pPr>
              <w:jc w:val="center"/>
              <w:rPr>
                <w:sz w:val="18"/>
                <w:szCs w:val="18"/>
              </w:rPr>
            </w:pPr>
            <w:r>
              <w:rPr>
                <w:sz w:val="18"/>
                <w:szCs w:val="18"/>
              </w:rPr>
              <w:t>40</w:t>
            </w:r>
          </w:p>
        </w:tc>
        <w:tc>
          <w:tcPr>
            <w:tcW w:w="1134" w:type="dxa"/>
          </w:tcPr>
          <w:p>
            <w:pPr>
              <w:jc w:val="center"/>
              <w:rPr>
                <w:sz w:val="18"/>
                <w:szCs w:val="18"/>
              </w:rPr>
            </w:pPr>
            <w:r>
              <w:rPr>
                <w:sz w:val="18"/>
                <w:szCs w:val="18"/>
              </w:rPr>
              <w:t>50</w:t>
            </w:r>
          </w:p>
        </w:tc>
        <w:tc>
          <w:tcPr>
            <w:tcW w:w="1418" w:type="dxa"/>
          </w:tcPr>
          <w:p>
            <w:pPr>
              <w:jc w:val="center"/>
              <w:rPr>
                <w:sz w:val="18"/>
                <w:szCs w:val="18"/>
              </w:rPr>
            </w:pPr>
            <w:r>
              <w:rPr>
                <w:sz w:val="18"/>
                <w:szCs w:val="18"/>
              </w:rPr>
              <w:t>2.784</w:t>
            </w:r>
          </w:p>
        </w:tc>
        <w:tc>
          <w:tcPr>
            <w:tcW w:w="804" w:type="dxa"/>
          </w:tcPr>
          <w:p>
            <w:pPr>
              <w:jc w:val="center"/>
              <w:rPr>
                <w:sz w:val="18"/>
                <w:szCs w:val="18"/>
              </w:rPr>
            </w:pPr>
            <w:r>
              <w:rPr>
                <w:sz w:val="18"/>
                <w:szCs w:val="18"/>
              </w:rPr>
              <w:t>31</w:t>
            </w:r>
          </w:p>
        </w:tc>
        <w:tc>
          <w:tcPr>
            <w:tcW w:w="947" w:type="dxa"/>
          </w:tcPr>
          <w:p>
            <w:pPr>
              <w:jc w:val="center"/>
              <w:rPr>
                <w:sz w:val="18"/>
                <w:szCs w:val="18"/>
              </w:rPr>
            </w:pPr>
            <w:r>
              <w:rPr>
                <w:sz w:val="18"/>
                <w:szCs w:val="18"/>
              </w:rPr>
              <w:t>66</w:t>
            </w:r>
          </w:p>
        </w:tc>
      </w:tr>
      <w:tr>
        <w:tblPrEx>
          <w:tblCellMar>
            <w:top w:w="0" w:type="dxa"/>
            <w:left w:w="108" w:type="dxa"/>
            <w:bottom w:w="0" w:type="dxa"/>
            <w:right w:w="108" w:type="dxa"/>
          </w:tblCellMar>
        </w:tblPrEx>
        <w:trPr>
          <w:jc w:val="center"/>
        </w:trPr>
        <w:tc>
          <w:tcPr>
            <w:tcW w:w="675" w:type="dxa"/>
            <w:tcBorders>
              <w:bottom w:val="single" w:color="auto" w:sz="12" w:space="0"/>
            </w:tcBorders>
          </w:tcPr>
          <w:p>
            <w:pPr>
              <w:jc w:val="center"/>
              <w:rPr>
                <w:sz w:val="18"/>
                <w:szCs w:val="18"/>
              </w:rPr>
            </w:pPr>
            <w:r>
              <w:rPr>
                <w:sz w:val="18"/>
                <w:szCs w:val="18"/>
              </w:rPr>
              <w:t>Hf</w:t>
            </w:r>
          </w:p>
        </w:tc>
        <w:tc>
          <w:tcPr>
            <w:tcW w:w="709" w:type="dxa"/>
            <w:tcBorders>
              <w:bottom w:val="single" w:color="auto" w:sz="12" w:space="0"/>
            </w:tcBorders>
          </w:tcPr>
          <w:p>
            <w:pPr>
              <w:jc w:val="center"/>
              <w:rPr>
                <w:sz w:val="18"/>
                <w:szCs w:val="18"/>
              </w:rPr>
            </w:pPr>
            <w:r>
              <w:rPr>
                <w:sz w:val="18"/>
                <w:szCs w:val="18"/>
              </w:rPr>
              <w:t>L</w:t>
            </w:r>
            <w:r>
              <w:rPr>
                <w:sz w:val="18"/>
                <w:szCs w:val="18"/>
                <w:vertAlign w:val="subscript"/>
              </w:rPr>
              <w:t>β2</w:t>
            </w:r>
          </w:p>
        </w:tc>
        <w:tc>
          <w:tcPr>
            <w:tcW w:w="851" w:type="dxa"/>
            <w:tcBorders>
              <w:bottom w:val="single" w:color="auto" w:sz="12" w:space="0"/>
            </w:tcBorders>
          </w:tcPr>
          <w:p>
            <w:pPr>
              <w:jc w:val="center"/>
              <w:rPr>
                <w:sz w:val="18"/>
                <w:szCs w:val="18"/>
              </w:rPr>
            </w:pPr>
            <w:r>
              <w:rPr>
                <w:sz w:val="18"/>
                <w:szCs w:val="18"/>
              </w:rPr>
              <w:t>Flow</w:t>
            </w:r>
          </w:p>
        </w:tc>
        <w:tc>
          <w:tcPr>
            <w:tcW w:w="992" w:type="dxa"/>
            <w:tcBorders>
              <w:bottom w:val="single" w:color="auto" w:sz="12" w:space="0"/>
            </w:tcBorders>
          </w:tcPr>
          <w:p>
            <w:pPr>
              <w:jc w:val="center"/>
              <w:rPr>
                <w:sz w:val="18"/>
                <w:szCs w:val="18"/>
              </w:rPr>
            </w:pPr>
            <w:r>
              <w:rPr>
                <w:sz w:val="18"/>
                <w:szCs w:val="18"/>
              </w:rPr>
              <w:t>38.455</w:t>
            </w:r>
          </w:p>
        </w:tc>
        <w:tc>
          <w:tcPr>
            <w:tcW w:w="992" w:type="dxa"/>
            <w:tcBorders>
              <w:bottom w:val="single" w:color="auto" w:sz="12" w:space="0"/>
            </w:tcBorders>
          </w:tcPr>
          <w:p>
            <w:pPr>
              <w:jc w:val="center"/>
              <w:rPr>
                <w:sz w:val="18"/>
                <w:szCs w:val="18"/>
              </w:rPr>
            </w:pPr>
            <w:r>
              <w:rPr>
                <w:sz w:val="18"/>
                <w:szCs w:val="18"/>
              </w:rPr>
              <w:t>50</w:t>
            </w:r>
          </w:p>
        </w:tc>
        <w:tc>
          <w:tcPr>
            <w:tcW w:w="1134" w:type="dxa"/>
            <w:tcBorders>
              <w:bottom w:val="single" w:color="auto" w:sz="12" w:space="0"/>
            </w:tcBorders>
          </w:tcPr>
          <w:p>
            <w:pPr>
              <w:jc w:val="center"/>
              <w:rPr>
                <w:sz w:val="18"/>
                <w:szCs w:val="18"/>
              </w:rPr>
            </w:pPr>
            <w:r>
              <w:rPr>
                <w:sz w:val="18"/>
                <w:szCs w:val="18"/>
              </w:rPr>
              <w:t>50</w:t>
            </w:r>
          </w:p>
        </w:tc>
        <w:tc>
          <w:tcPr>
            <w:tcW w:w="1418" w:type="dxa"/>
            <w:tcBorders>
              <w:bottom w:val="single" w:color="auto" w:sz="12" w:space="0"/>
            </w:tcBorders>
          </w:tcPr>
          <w:p>
            <w:pPr>
              <w:jc w:val="center"/>
              <w:rPr>
                <w:sz w:val="18"/>
                <w:szCs w:val="18"/>
              </w:rPr>
            </w:pPr>
            <w:r>
              <w:rPr>
                <w:sz w:val="18"/>
                <w:szCs w:val="18"/>
              </w:rPr>
              <w:t>-1.170</w:t>
            </w:r>
          </w:p>
        </w:tc>
        <w:tc>
          <w:tcPr>
            <w:tcW w:w="804" w:type="dxa"/>
            <w:tcBorders>
              <w:bottom w:val="single" w:color="auto" w:sz="12" w:space="0"/>
            </w:tcBorders>
          </w:tcPr>
          <w:p>
            <w:pPr>
              <w:jc w:val="center"/>
              <w:rPr>
                <w:sz w:val="18"/>
                <w:szCs w:val="18"/>
              </w:rPr>
            </w:pPr>
            <w:r>
              <w:rPr>
                <w:sz w:val="18"/>
                <w:szCs w:val="18"/>
              </w:rPr>
              <w:t>25</w:t>
            </w:r>
          </w:p>
        </w:tc>
        <w:tc>
          <w:tcPr>
            <w:tcW w:w="947" w:type="dxa"/>
            <w:tcBorders>
              <w:bottom w:val="single" w:color="auto" w:sz="12" w:space="0"/>
            </w:tcBorders>
          </w:tcPr>
          <w:p>
            <w:pPr>
              <w:jc w:val="center"/>
              <w:rPr>
                <w:sz w:val="18"/>
                <w:szCs w:val="18"/>
              </w:rPr>
            </w:pPr>
            <w:r>
              <w:rPr>
                <w:sz w:val="18"/>
                <w:szCs w:val="18"/>
              </w:rPr>
              <w:t>62</w:t>
            </w:r>
          </w:p>
        </w:tc>
      </w:tr>
    </w:tbl>
    <w:p>
      <w:pPr>
        <w:ind w:firstLine="105" w:firstLineChars="50"/>
        <w:jc w:val="center"/>
        <w:rPr>
          <w:rFonts w:hAnsi="宋体"/>
          <w:szCs w:val="22"/>
        </w:rPr>
      </w:pPr>
    </w:p>
    <w:p>
      <w:pPr>
        <w:pStyle w:val="21"/>
        <w:spacing w:line="360" w:lineRule="auto"/>
        <w:ind w:right="-512" w:rightChars="-244" w:firstLine="420"/>
        <w:rPr>
          <w:rFonts w:hAnsi="宋体"/>
          <w:szCs w:val="22"/>
        </w:rPr>
      </w:pP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5.5.5试样样片的制备</w:t>
      </w:r>
    </w:p>
    <w:p>
      <w:pPr>
        <w:ind w:firstLine="420"/>
        <w:rPr>
          <w:szCs w:val="21"/>
        </w:rPr>
      </w:pPr>
      <w:r>
        <w:rPr>
          <w:rFonts w:hint="eastAsia"/>
          <w:szCs w:val="21"/>
        </w:rPr>
        <w:t>将试料置于压样机（5.3.2）的不锈钢环模具中铺平，再称取10 g硼酸（5.2.4）均匀覆盖样品表面及四周，设置压力为35 MPa，保压时间为20 s，压制成型。</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5.5.6标准样片的制备</w:t>
      </w:r>
    </w:p>
    <w:p>
      <w:pPr>
        <w:ind w:firstLine="420"/>
        <w:rPr>
          <w:szCs w:val="21"/>
        </w:rPr>
      </w:pPr>
      <w:r>
        <w:rPr>
          <w:rFonts w:hint="eastAsia"/>
          <w:szCs w:val="21"/>
        </w:rPr>
        <w:t>根据复合钇锆陶瓷粉中各元素的范围，拟定系列标准见表8。</w:t>
      </w:r>
    </w:p>
    <w:p>
      <w:pPr>
        <w:spacing w:line="360" w:lineRule="auto"/>
        <w:ind w:firstLine="420" w:firstLineChars="200"/>
        <w:jc w:val="center"/>
        <w:rPr>
          <w:rFonts w:ascii="黑体" w:hAnsi="黑体" w:eastAsia="黑体" w:cs="黑体"/>
          <w:color w:val="000000"/>
          <w:szCs w:val="21"/>
          <w:lang w:val="de-DE"/>
        </w:rPr>
      </w:pPr>
      <w:r>
        <w:rPr>
          <w:rFonts w:hint="eastAsia" w:ascii="黑体" w:hAnsi="黑体" w:eastAsia="黑体" w:cs="黑体"/>
          <w:color w:val="000000"/>
          <w:szCs w:val="21"/>
          <w:lang w:val="de-DE"/>
        </w:rPr>
        <w:t>表</w:t>
      </w:r>
      <w:r>
        <w:rPr>
          <w:rFonts w:hint="eastAsia" w:ascii="黑体" w:hAnsi="黑体" w:eastAsia="黑体" w:cs="黑体"/>
          <w:color w:val="000000"/>
          <w:szCs w:val="21"/>
        </w:rPr>
        <w:t>8</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Ansi="宋体"/>
                <w:sz w:val="18"/>
                <w:szCs w:val="18"/>
              </w:rPr>
            </w:pPr>
            <w:r>
              <w:rPr>
                <w:rFonts w:hint="eastAsia" w:hAnsi="宋体"/>
                <w:sz w:val="18"/>
                <w:szCs w:val="18"/>
              </w:rPr>
              <w:t>标准系列</w:t>
            </w:r>
          </w:p>
        </w:tc>
        <w:tc>
          <w:tcPr>
            <w:tcW w:w="2130" w:type="dxa"/>
          </w:tcPr>
          <w:p>
            <w:pPr>
              <w:jc w:val="center"/>
              <w:rPr>
                <w:rFonts w:hAnsi="宋体"/>
                <w:sz w:val="18"/>
                <w:szCs w:val="18"/>
              </w:rPr>
            </w:pPr>
            <w:r>
              <w:rPr>
                <w:rFonts w:hint="eastAsia" w:hAnsi="宋体"/>
                <w:sz w:val="18"/>
                <w:szCs w:val="18"/>
              </w:rPr>
              <w:t>Y</w:t>
            </w:r>
            <w:r>
              <w:rPr>
                <w:rFonts w:hint="eastAsia" w:hAnsi="宋体"/>
                <w:sz w:val="18"/>
                <w:szCs w:val="18"/>
                <w:vertAlign w:val="subscript"/>
              </w:rPr>
              <w:t>2</w:t>
            </w:r>
            <w:r>
              <w:rPr>
                <w:rFonts w:hint="eastAsia" w:hAnsi="宋体"/>
                <w:sz w:val="18"/>
                <w:szCs w:val="18"/>
              </w:rPr>
              <w:t>O</w:t>
            </w:r>
            <w:r>
              <w:rPr>
                <w:rFonts w:hint="eastAsia" w:hAnsi="宋体"/>
                <w:sz w:val="18"/>
                <w:szCs w:val="18"/>
                <w:vertAlign w:val="subscript"/>
              </w:rPr>
              <w:t>3</w:t>
            </w:r>
            <w:r>
              <w:rPr>
                <w:rFonts w:hint="eastAsia" w:hAnsi="宋体"/>
                <w:sz w:val="18"/>
                <w:szCs w:val="18"/>
              </w:rPr>
              <w:t>/%</w:t>
            </w:r>
          </w:p>
        </w:tc>
        <w:tc>
          <w:tcPr>
            <w:tcW w:w="2131" w:type="dxa"/>
          </w:tcPr>
          <w:p>
            <w:pPr>
              <w:jc w:val="center"/>
              <w:rPr>
                <w:rFonts w:hAnsi="宋体"/>
                <w:sz w:val="18"/>
                <w:szCs w:val="18"/>
              </w:rPr>
            </w:pPr>
            <w:r>
              <w:rPr>
                <w:rFonts w:hint="eastAsia" w:hAnsi="宋体"/>
                <w:sz w:val="18"/>
                <w:szCs w:val="18"/>
              </w:rPr>
              <w:t>ZrO</w:t>
            </w:r>
            <w:r>
              <w:rPr>
                <w:rFonts w:hint="eastAsia" w:hAnsi="宋体"/>
                <w:sz w:val="18"/>
                <w:szCs w:val="18"/>
                <w:vertAlign w:val="subscript"/>
              </w:rPr>
              <w:t>2</w:t>
            </w:r>
            <w:r>
              <w:rPr>
                <w:rFonts w:hint="eastAsia" w:hAnsi="宋体"/>
                <w:sz w:val="18"/>
                <w:szCs w:val="18"/>
              </w:rPr>
              <w:t>/%</w:t>
            </w:r>
          </w:p>
        </w:tc>
        <w:tc>
          <w:tcPr>
            <w:tcW w:w="2131" w:type="dxa"/>
          </w:tcPr>
          <w:p>
            <w:pPr>
              <w:jc w:val="center"/>
              <w:rPr>
                <w:rFonts w:hAnsi="宋体"/>
                <w:sz w:val="18"/>
                <w:szCs w:val="18"/>
              </w:rPr>
            </w:pPr>
            <w:r>
              <w:rPr>
                <w:rFonts w:hint="eastAsia" w:hAnsi="宋体"/>
                <w:sz w:val="18"/>
                <w:szCs w:val="18"/>
              </w:rPr>
              <w:t>HfO</w:t>
            </w:r>
            <w:r>
              <w:rPr>
                <w:rFonts w:hint="eastAsia" w:hAnsi="宋体"/>
                <w:sz w:val="18"/>
                <w:szCs w:val="18"/>
                <w:vertAlign w:val="subscript"/>
              </w:rPr>
              <w:t>2</w:t>
            </w:r>
            <w:r>
              <w:rPr>
                <w:rFonts w:hint="eastAsia"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Ansi="宋体"/>
                <w:sz w:val="18"/>
                <w:szCs w:val="18"/>
              </w:rPr>
            </w:pPr>
            <w:r>
              <w:rPr>
                <w:rFonts w:hint="eastAsia" w:hAnsi="宋体"/>
                <w:sz w:val="18"/>
                <w:szCs w:val="18"/>
              </w:rPr>
              <w:t>YZrHf-1</w:t>
            </w:r>
          </w:p>
        </w:tc>
        <w:tc>
          <w:tcPr>
            <w:tcW w:w="2130" w:type="dxa"/>
          </w:tcPr>
          <w:p>
            <w:pPr>
              <w:jc w:val="center"/>
              <w:rPr>
                <w:rFonts w:hAnsi="宋体"/>
                <w:sz w:val="18"/>
                <w:szCs w:val="18"/>
              </w:rPr>
            </w:pPr>
            <w:r>
              <w:rPr>
                <w:rFonts w:hint="eastAsia" w:hAnsi="宋体"/>
                <w:sz w:val="18"/>
                <w:szCs w:val="18"/>
              </w:rPr>
              <w:t>0.00</w:t>
            </w:r>
          </w:p>
        </w:tc>
        <w:tc>
          <w:tcPr>
            <w:tcW w:w="2131" w:type="dxa"/>
          </w:tcPr>
          <w:p>
            <w:pPr>
              <w:jc w:val="center"/>
              <w:rPr>
                <w:rFonts w:hAnsi="宋体"/>
                <w:sz w:val="18"/>
                <w:szCs w:val="18"/>
              </w:rPr>
            </w:pPr>
            <w:r>
              <w:rPr>
                <w:rFonts w:hint="eastAsia" w:hAnsi="宋体"/>
                <w:sz w:val="18"/>
                <w:szCs w:val="18"/>
              </w:rPr>
              <w:t>98.00</w:t>
            </w:r>
          </w:p>
        </w:tc>
        <w:tc>
          <w:tcPr>
            <w:tcW w:w="2131" w:type="dxa"/>
          </w:tcPr>
          <w:p>
            <w:pPr>
              <w:jc w:val="center"/>
              <w:rPr>
                <w:rFonts w:hAnsi="宋体"/>
                <w:sz w:val="18"/>
                <w:szCs w:val="18"/>
              </w:rPr>
            </w:pPr>
            <w:r>
              <w:rPr>
                <w:rFonts w:hint="eastAsia" w:hAnsi="宋体"/>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Ansi="宋体"/>
                <w:sz w:val="18"/>
                <w:szCs w:val="18"/>
              </w:rPr>
            </w:pPr>
            <w:r>
              <w:rPr>
                <w:rFonts w:hint="eastAsia" w:hAnsi="宋体"/>
                <w:sz w:val="18"/>
                <w:szCs w:val="18"/>
              </w:rPr>
              <w:t>YZrHf-2</w:t>
            </w:r>
          </w:p>
        </w:tc>
        <w:tc>
          <w:tcPr>
            <w:tcW w:w="2130" w:type="dxa"/>
          </w:tcPr>
          <w:p>
            <w:pPr>
              <w:jc w:val="center"/>
              <w:rPr>
                <w:rFonts w:hAnsi="宋体"/>
                <w:sz w:val="18"/>
                <w:szCs w:val="18"/>
              </w:rPr>
            </w:pPr>
            <w:r>
              <w:rPr>
                <w:rFonts w:hint="eastAsia" w:hAnsi="宋体"/>
                <w:sz w:val="18"/>
                <w:szCs w:val="18"/>
              </w:rPr>
              <w:t>3.00</w:t>
            </w:r>
          </w:p>
        </w:tc>
        <w:tc>
          <w:tcPr>
            <w:tcW w:w="2131" w:type="dxa"/>
          </w:tcPr>
          <w:p>
            <w:pPr>
              <w:jc w:val="center"/>
              <w:rPr>
                <w:rFonts w:hAnsi="宋体"/>
                <w:sz w:val="18"/>
                <w:szCs w:val="18"/>
              </w:rPr>
            </w:pPr>
            <w:r>
              <w:rPr>
                <w:rFonts w:hint="eastAsia" w:hAnsi="宋体"/>
                <w:sz w:val="18"/>
                <w:szCs w:val="18"/>
              </w:rPr>
              <w:t>95.06</w:t>
            </w:r>
          </w:p>
        </w:tc>
        <w:tc>
          <w:tcPr>
            <w:tcW w:w="2131" w:type="dxa"/>
          </w:tcPr>
          <w:p>
            <w:pPr>
              <w:jc w:val="center"/>
              <w:rPr>
                <w:rFonts w:hAnsi="宋体"/>
                <w:sz w:val="18"/>
                <w:szCs w:val="18"/>
              </w:rPr>
            </w:pPr>
            <w:r>
              <w:rPr>
                <w:rFonts w:hint="eastAsia" w:hAnsi="宋体"/>
                <w:sz w:val="18"/>
                <w:szCs w:val="1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Ansi="宋体"/>
                <w:sz w:val="18"/>
                <w:szCs w:val="18"/>
              </w:rPr>
            </w:pPr>
            <w:r>
              <w:rPr>
                <w:rFonts w:hint="eastAsia" w:hAnsi="宋体"/>
                <w:sz w:val="18"/>
                <w:szCs w:val="18"/>
              </w:rPr>
              <w:t>YZrHf-3</w:t>
            </w:r>
          </w:p>
        </w:tc>
        <w:tc>
          <w:tcPr>
            <w:tcW w:w="2130" w:type="dxa"/>
          </w:tcPr>
          <w:p>
            <w:pPr>
              <w:jc w:val="center"/>
              <w:rPr>
                <w:rFonts w:hAnsi="宋体"/>
                <w:sz w:val="18"/>
                <w:szCs w:val="18"/>
              </w:rPr>
            </w:pPr>
            <w:r>
              <w:rPr>
                <w:rFonts w:hint="eastAsia" w:hAnsi="宋体"/>
                <w:sz w:val="18"/>
                <w:szCs w:val="18"/>
              </w:rPr>
              <w:t>5.00</w:t>
            </w:r>
          </w:p>
        </w:tc>
        <w:tc>
          <w:tcPr>
            <w:tcW w:w="2131" w:type="dxa"/>
          </w:tcPr>
          <w:p>
            <w:pPr>
              <w:jc w:val="center"/>
              <w:rPr>
                <w:rFonts w:hAnsi="宋体"/>
                <w:sz w:val="18"/>
                <w:szCs w:val="18"/>
              </w:rPr>
            </w:pPr>
            <w:r>
              <w:rPr>
                <w:rFonts w:hint="eastAsia" w:hAnsi="宋体"/>
                <w:sz w:val="18"/>
                <w:szCs w:val="18"/>
              </w:rPr>
              <w:t>93.10</w:t>
            </w:r>
          </w:p>
        </w:tc>
        <w:tc>
          <w:tcPr>
            <w:tcW w:w="2131" w:type="dxa"/>
          </w:tcPr>
          <w:p>
            <w:pPr>
              <w:jc w:val="center"/>
              <w:rPr>
                <w:rFonts w:hAnsi="宋体"/>
                <w:sz w:val="18"/>
                <w:szCs w:val="18"/>
              </w:rPr>
            </w:pPr>
            <w:r>
              <w:rPr>
                <w:rFonts w:hint="eastAsia" w:hAnsi="宋体"/>
                <w:sz w:val="18"/>
                <w:szCs w:val="1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Ansi="宋体"/>
                <w:sz w:val="18"/>
                <w:szCs w:val="18"/>
              </w:rPr>
            </w:pPr>
            <w:r>
              <w:rPr>
                <w:rFonts w:hint="eastAsia" w:hAnsi="宋体"/>
                <w:sz w:val="18"/>
                <w:szCs w:val="18"/>
              </w:rPr>
              <w:t>YZrHf-4</w:t>
            </w:r>
          </w:p>
        </w:tc>
        <w:tc>
          <w:tcPr>
            <w:tcW w:w="2130" w:type="dxa"/>
          </w:tcPr>
          <w:p>
            <w:pPr>
              <w:jc w:val="center"/>
              <w:rPr>
                <w:rFonts w:hAnsi="宋体"/>
                <w:sz w:val="18"/>
                <w:szCs w:val="18"/>
              </w:rPr>
            </w:pPr>
            <w:r>
              <w:rPr>
                <w:rFonts w:hint="eastAsia" w:hAnsi="宋体"/>
                <w:sz w:val="18"/>
                <w:szCs w:val="18"/>
              </w:rPr>
              <w:t>7.00</w:t>
            </w:r>
          </w:p>
        </w:tc>
        <w:tc>
          <w:tcPr>
            <w:tcW w:w="2131" w:type="dxa"/>
          </w:tcPr>
          <w:p>
            <w:pPr>
              <w:jc w:val="center"/>
              <w:rPr>
                <w:rFonts w:hAnsi="宋体"/>
                <w:sz w:val="18"/>
                <w:szCs w:val="18"/>
              </w:rPr>
            </w:pPr>
            <w:r>
              <w:rPr>
                <w:rFonts w:hint="eastAsia" w:hAnsi="宋体"/>
                <w:sz w:val="18"/>
                <w:szCs w:val="18"/>
              </w:rPr>
              <w:t>91.14</w:t>
            </w:r>
          </w:p>
        </w:tc>
        <w:tc>
          <w:tcPr>
            <w:tcW w:w="2131" w:type="dxa"/>
          </w:tcPr>
          <w:p>
            <w:pPr>
              <w:jc w:val="center"/>
              <w:rPr>
                <w:rFonts w:hAnsi="宋体"/>
                <w:sz w:val="18"/>
                <w:szCs w:val="18"/>
              </w:rPr>
            </w:pPr>
            <w:r>
              <w:rPr>
                <w:rFonts w:hint="eastAsia" w:hAnsi="宋体"/>
                <w:sz w:val="18"/>
                <w:szCs w:val="18"/>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Ansi="宋体"/>
                <w:sz w:val="18"/>
                <w:szCs w:val="18"/>
              </w:rPr>
            </w:pPr>
            <w:r>
              <w:rPr>
                <w:rFonts w:hint="eastAsia" w:hAnsi="宋体"/>
                <w:sz w:val="18"/>
                <w:szCs w:val="18"/>
              </w:rPr>
              <w:t>YZrHf-5</w:t>
            </w:r>
          </w:p>
        </w:tc>
        <w:tc>
          <w:tcPr>
            <w:tcW w:w="2130" w:type="dxa"/>
          </w:tcPr>
          <w:p>
            <w:pPr>
              <w:jc w:val="center"/>
              <w:rPr>
                <w:rFonts w:hAnsi="宋体"/>
                <w:sz w:val="18"/>
                <w:szCs w:val="18"/>
              </w:rPr>
            </w:pPr>
            <w:r>
              <w:rPr>
                <w:rFonts w:hint="eastAsia" w:hAnsi="宋体"/>
                <w:sz w:val="18"/>
                <w:szCs w:val="18"/>
              </w:rPr>
              <w:t>12.00</w:t>
            </w:r>
          </w:p>
        </w:tc>
        <w:tc>
          <w:tcPr>
            <w:tcW w:w="2131" w:type="dxa"/>
          </w:tcPr>
          <w:p>
            <w:pPr>
              <w:jc w:val="center"/>
              <w:rPr>
                <w:rFonts w:hAnsi="宋体"/>
                <w:sz w:val="18"/>
                <w:szCs w:val="18"/>
              </w:rPr>
            </w:pPr>
            <w:r>
              <w:rPr>
                <w:rFonts w:hint="eastAsia" w:hAnsi="宋体"/>
                <w:sz w:val="18"/>
                <w:szCs w:val="18"/>
              </w:rPr>
              <w:t>86.24</w:t>
            </w:r>
          </w:p>
        </w:tc>
        <w:tc>
          <w:tcPr>
            <w:tcW w:w="2131" w:type="dxa"/>
          </w:tcPr>
          <w:p>
            <w:pPr>
              <w:jc w:val="center"/>
              <w:rPr>
                <w:rFonts w:hAnsi="宋体"/>
                <w:sz w:val="18"/>
                <w:szCs w:val="18"/>
              </w:rPr>
            </w:pPr>
            <w:r>
              <w:rPr>
                <w:rFonts w:hint="eastAsia" w:hAnsi="宋体"/>
                <w:sz w:val="18"/>
                <w:szCs w:val="18"/>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Ansi="宋体"/>
                <w:sz w:val="18"/>
                <w:szCs w:val="18"/>
              </w:rPr>
            </w:pPr>
            <w:r>
              <w:rPr>
                <w:rFonts w:hint="eastAsia" w:hAnsi="宋体"/>
                <w:sz w:val="18"/>
                <w:szCs w:val="18"/>
              </w:rPr>
              <w:t>YZrHf-6</w:t>
            </w:r>
          </w:p>
        </w:tc>
        <w:tc>
          <w:tcPr>
            <w:tcW w:w="2130" w:type="dxa"/>
          </w:tcPr>
          <w:p>
            <w:pPr>
              <w:jc w:val="center"/>
              <w:rPr>
                <w:rFonts w:hAnsi="宋体"/>
                <w:sz w:val="18"/>
                <w:szCs w:val="18"/>
              </w:rPr>
            </w:pPr>
            <w:r>
              <w:rPr>
                <w:rFonts w:hint="eastAsia" w:hAnsi="宋体"/>
                <w:sz w:val="18"/>
                <w:szCs w:val="18"/>
              </w:rPr>
              <w:t>15.00</w:t>
            </w:r>
          </w:p>
        </w:tc>
        <w:tc>
          <w:tcPr>
            <w:tcW w:w="2131" w:type="dxa"/>
          </w:tcPr>
          <w:p>
            <w:pPr>
              <w:jc w:val="center"/>
              <w:rPr>
                <w:rFonts w:hAnsi="宋体"/>
                <w:sz w:val="18"/>
                <w:szCs w:val="18"/>
              </w:rPr>
            </w:pPr>
            <w:r>
              <w:rPr>
                <w:rFonts w:hint="eastAsia" w:hAnsi="宋体"/>
                <w:sz w:val="18"/>
                <w:szCs w:val="18"/>
              </w:rPr>
              <w:t>83.30</w:t>
            </w:r>
          </w:p>
        </w:tc>
        <w:tc>
          <w:tcPr>
            <w:tcW w:w="2131" w:type="dxa"/>
          </w:tcPr>
          <w:p>
            <w:pPr>
              <w:jc w:val="center"/>
              <w:rPr>
                <w:rFonts w:hAnsi="宋体"/>
                <w:sz w:val="18"/>
                <w:szCs w:val="18"/>
              </w:rPr>
            </w:pPr>
            <w:r>
              <w:rPr>
                <w:rFonts w:hint="eastAsia" w:hAnsi="宋体"/>
                <w:sz w:val="18"/>
                <w:szCs w:val="1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jc w:val="center"/>
              <w:rPr>
                <w:rFonts w:hAnsi="宋体"/>
                <w:sz w:val="18"/>
                <w:szCs w:val="18"/>
              </w:rPr>
            </w:pPr>
            <w:r>
              <w:rPr>
                <w:rFonts w:hint="eastAsia" w:hAnsi="宋体"/>
                <w:sz w:val="18"/>
                <w:szCs w:val="18"/>
              </w:rPr>
              <w:t>YZrHf-7</w:t>
            </w:r>
          </w:p>
        </w:tc>
        <w:tc>
          <w:tcPr>
            <w:tcW w:w="2130" w:type="dxa"/>
          </w:tcPr>
          <w:p>
            <w:pPr>
              <w:jc w:val="center"/>
              <w:rPr>
                <w:rFonts w:hAnsi="宋体"/>
                <w:sz w:val="18"/>
                <w:szCs w:val="18"/>
              </w:rPr>
            </w:pPr>
            <w:r>
              <w:rPr>
                <w:rFonts w:hint="eastAsia" w:hAnsi="宋体"/>
                <w:sz w:val="18"/>
                <w:szCs w:val="18"/>
              </w:rPr>
              <w:t>20.00</w:t>
            </w:r>
          </w:p>
        </w:tc>
        <w:tc>
          <w:tcPr>
            <w:tcW w:w="2131" w:type="dxa"/>
          </w:tcPr>
          <w:p>
            <w:pPr>
              <w:jc w:val="center"/>
              <w:rPr>
                <w:rFonts w:hAnsi="宋体"/>
                <w:sz w:val="18"/>
                <w:szCs w:val="18"/>
              </w:rPr>
            </w:pPr>
            <w:r>
              <w:rPr>
                <w:rFonts w:hint="eastAsia" w:hAnsi="宋体"/>
                <w:sz w:val="18"/>
                <w:szCs w:val="18"/>
              </w:rPr>
              <w:t>78.40</w:t>
            </w:r>
          </w:p>
        </w:tc>
        <w:tc>
          <w:tcPr>
            <w:tcW w:w="2131" w:type="dxa"/>
          </w:tcPr>
          <w:p>
            <w:pPr>
              <w:jc w:val="center"/>
              <w:rPr>
                <w:rFonts w:hAnsi="宋体"/>
                <w:sz w:val="18"/>
                <w:szCs w:val="18"/>
              </w:rPr>
            </w:pPr>
            <w:r>
              <w:rPr>
                <w:rFonts w:hint="eastAsia" w:hAnsi="宋体"/>
                <w:sz w:val="18"/>
                <w:szCs w:val="18"/>
              </w:rPr>
              <w:t>1.60</w:t>
            </w:r>
          </w:p>
        </w:tc>
      </w:tr>
    </w:tbl>
    <w:p>
      <w:pPr>
        <w:spacing w:before="120"/>
        <w:ind w:firstLine="420"/>
        <w:rPr>
          <w:szCs w:val="21"/>
        </w:rPr>
      </w:pPr>
      <w:r>
        <w:rPr>
          <w:rFonts w:hint="eastAsia"/>
          <w:szCs w:val="21"/>
        </w:rPr>
        <w:t>制备方法：按表8分别称取相应的氧化钇（5.2.1）、氧化锆（5.2.2）、氧化铪（5.2.3）量置于玛瑙罐中，充分混合均匀后，按5.5.5步骤压制成型。</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5.5.7 分析测定</w:t>
      </w:r>
    </w:p>
    <w:p>
      <w:pPr>
        <w:ind w:firstLine="420"/>
        <w:rPr>
          <w:szCs w:val="21"/>
        </w:rPr>
      </w:pPr>
      <w:r>
        <w:rPr>
          <w:rFonts w:hint="eastAsia"/>
          <w:szCs w:val="21"/>
        </w:rPr>
        <w:t>将5.5.6制备的标准样片放入样杯中，按仪器工作条件5.5.4测量，选定数学模型进行回归分析，确定标准曲线。</w:t>
      </w:r>
    </w:p>
    <w:p>
      <w:pPr>
        <w:ind w:firstLine="420"/>
        <w:rPr>
          <w:szCs w:val="21"/>
        </w:rPr>
      </w:pPr>
      <w:r>
        <w:rPr>
          <w:rFonts w:hint="eastAsia"/>
          <w:szCs w:val="21"/>
        </w:rPr>
        <w:t>将5.5.5制备的试样片放入样品杯中，按仪器工作条件5.5.4测量，取其平均值。</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5.6 分析结果的计算</w:t>
      </w:r>
    </w:p>
    <w:p>
      <w:pPr>
        <w:ind w:firstLine="420"/>
        <w:rPr>
          <w:szCs w:val="21"/>
        </w:rPr>
      </w:pPr>
      <w:r>
        <w:rPr>
          <w:rFonts w:hint="eastAsia"/>
          <w:szCs w:val="21"/>
        </w:rPr>
        <w:t>将测定结果5.5.7归一化处理，按公式（2）计算各元素的质量分数。</w:t>
      </w:r>
    </w:p>
    <w:p>
      <w:pPr>
        <w:tabs>
          <w:tab w:val="left" w:pos="2416"/>
          <w:tab w:val="center" w:pos="4737"/>
        </w:tabs>
        <w:jc w:val="left"/>
        <w:rPr>
          <w:szCs w:val="21"/>
        </w:rPr>
      </w:pPr>
      <w:r>
        <w:rPr>
          <w:rFonts w:hint="eastAsia" w:ascii="Cambria Math" w:hAnsi="Cambria Math"/>
          <w:szCs w:val="21"/>
        </w:rPr>
        <w:tab/>
      </w:r>
      <w:r>
        <w:rPr>
          <w:rFonts w:hint="eastAsia" w:ascii="Cambria Math" w:hAnsi="Cambria Math"/>
          <w:szCs w:val="21"/>
        </w:rPr>
        <w:t xml:space="preserve">              </w:t>
      </w:r>
      <w:r>
        <w:rPr>
          <w:rFonts w:hint="eastAsia" w:ascii="Cambria Math" w:hAnsi="Cambria Math"/>
          <w:szCs w:val="21"/>
        </w:rPr>
        <w:tab/>
      </w:r>
      <m:oMath>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ω</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num>
          <m:den>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ω</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den>
        </m:f>
      </m:oMath>
      <w:r>
        <w:rPr>
          <w:szCs w:val="21"/>
        </w:rPr>
        <w:t>…..…………………………………</w:t>
      </w:r>
      <w:r>
        <w:rPr>
          <w:rFonts w:hint="eastAsia"/>
          <w:szCs w:val="21"/>
        </w:rPr>
        <w:t>（2）</w:t>
      </w:r>
    </w:p>
    <w:p>
      <w:pPr>
        <w:ind w:firstLine="420"/>
        <w:jc w:val="center"/>
        <w:rPr>
          <w:szCs w:val="21"/>
        </w:rPr>
      </w:pPr>
    </w:p>
    <w:p>
      <w:pPr>
        <w:ind w:firstLine="420"/>
        <w:rPr>
          <w:szCs w:val="21"/>
        </w:rPr>
      </w:pPr>
      <w:r>
        <w:rPr>
          <w:rFonts w:hint="eastAsia"/>
          <w:szCs w:val="21"/>
        </w:rPr>
        <w:t>式中：</w:t>
      </w:r>
      <w:r>
        <w:rPr>
          <w:rFonts w:hint="eastAsia"/>
          <w:i/>
          <w:iCs/>
          <w:szCs w:val="21"/>
        </w:rPr>
        <w:t>N</w:t>
      </w:r>
      <w:r>
        <w:rPr>
          <w:rFonts w:hint="eastAsia"/>
          <w:szCs w:val="21"/>
          <w:vertAlign w:val="subscript"/>
        </w:rPr>
        <w:t>i</w:t>
      </w:r>
      <w:r>
        <w:rPr>
          <w:rFonts w:hint="eastAsia"/>
          <w:szCs w:val="21"/>
        </w:rPr>
        <w:t>—归一化后元素i的质量分数，</w:t>
      </w:r>
      <w:r>
        <w:rPr>
          <w:szCs w:val="21"/>
        </w:rPr>
        <w:t>单位为百分含量（%）</w:t>
      </w:r>
      <w:r>
        <w:rPr>
          <w:rFonts w:hint="eastAsia"/>
          <w:szCs w:val="21"/>
        </w:rPr>
        <w:t>；</w:t>
      </w:r>
    </w:p>
    <w:p>
      <w:pPr>
        <w:ind w:firstLine="420"/>
        <w:rPr>
          <w:szCs w:val="21"/>
        </w:rPr>
      </w:pPr>
      <w:r>
        <w:rPr>
          <w:rFonts w:hint="eastAsia"/>
          <w:szCs w:val="21"/>
        </w:rPr>
        <w:t xml:space="preserve">      </w:t>
      </w:r>
      <w:r>
        <w:rPr>
          <w:i/>
          <w:iCs/>
          <w:szCs w:val="21"/>
        </w:rPr>
        <w:t>ω</w:t>
      </w:r>
      <w:r>
        <w:rPr>
          <w:rFonts w:hint="eastAsia"/>
          <w:szCs w:val="21"/>
          <w:vertAlign w:val="subscript"/>
        </w:rPr>
        <w:t>i</w:t>
      </w:r>
      <w:r>
        <w:rPr>
          <w:rFonts w:hint="eastAsia"/>
          <w:szCs w:val="21"/>
        </w:rPr>
        <w:t>—测定的元素i的质量分数，</w:t>
      </w:r>
      <w:r>
        <w:rPr>
          <w:szCs w:val="21"/>
        </w:rPr>
        <w:t>单位为百分含量（%）</w:t>
      </w:r>
      <w:r>
        <w:rPr>
          <w:rFonts w:hint="eastAsia"/>
          <w:szCs w:val="21"/>
        </w:rPr>
        <w:t>；</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5.7 精密度</w:t>
      </w:r>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5.7.1 重复性</w:t>
      </w:r>
    </w:p>
    <w:p>
      <w:pPr>
        <w:ind w:firstLine="420"/>
      </w:pPr>
      <w:r>
        <w:rPr>
          <w:szCs w:val="21"/>
        </w:rPr>
        <w:t>在重复性条件下获得的两次独立测试结果的测定值，在以下给出的平均值范围内，这两个测试结果的绝对差值不超过重复性限(</w:t>
      </w:r>
      <w:r>
        <w:rPr>
          <w:i/>
          <w:szCs w:val="21"/>
        </w:rPr>
        <w:t>r</w:t>
      </w:r>
      <w:r>
        <w:rPr>
          <w:szCs w:val="21"/>
        </w:rPr>
        <w:t>)，</w:t>
      </w:r>
      <w:r>
        <w:rPr>
          <w:rFonts w:hAnsi="宋体"/>
        </w:rPr>
        <w:t>超过重复性限</w:t>
      </w:r>
      <w:r>
        <w:t>(</w:t>
      </w:r>
      <w:r>
        <w:rPr>
          <w:i/>
        </w:rPr>
        <w:t>r</w:t>
      </w:r>
      <w:r>
        <w:t>)</w:t>
      </w:r>
      <w:r>
        <w:rPr>
          <w:rFonts w:hAnsi="宋体"/>
        </w:rPr>
        <w:t>的情况不超过</w:t>
      </w:r>
      <w:r>
        <w:t>5%</w:t>
      </w:r>
      <w:r>
        <w:rPr>
          <w:rFonts w:hAnsi="宋体"/>
        </w:rPr>
        <w:t>。重复性限</w:t>
      </w:r>
      <w:r>
        <w:t>(</w:t>
      </w:r>
      <w:r>
        <w:rPr>
          <w:i/>
        </w:rPr>
        <w:t>r</w:t>
      </w:r>
      <w:r>
        <w:t>)</w:t>
      </w:r>
      <w:r>
        <w:rPr>
          <w:rFonts w:hAnsi="宋体"/>
        </w:rPr>
        <w:t>按表</w:t>
      </w:r>
      <w:r>
        <w:rPr>
          <w:rFonts w:hint="eastAsia"/>
        </w:rPr>
        <w:t>9</w:t>
      </w:r>
      <w:r>
        <w:rPr>
          <w:rFonts w:hAnsi="宋体"/>
        </w:rPr>
        <w:t>数据采用线性内插法求得。</w:t>
      </w:r>
    </w:p>
    <w:p>
      <w:pPr>
        <w:spacing w:line="360" w:lineRule="auto"/>
        <w:ind w:firstLine="420" w:firstLineChars="200"/>
        <w:jc w:val="center"/>
        <w:rPr>
          <w:rFonts w:ascii="黑体" w:hAnsi="黑体" w:eastAsia="黑体" w:cs="黑体"/>
          <w:color w:val="000000"/>
          <w:szCs w:val="21"/>
        </w:rPr>
      </w:pPr>
      <w:r>
        <w:rPr>
          <w:rFonts w:hint="eastAsia" w:ascii="黑体" w:hAnsi="黑体" w:eastAsia="黑体" w:cs="黑体"/>
          <w:color w:val="000000"/>
          <w:szCs w:val="21"/>
        </w:rPr>
        <w:t>表9 重复性限</w:t>
      </w:r>
    </w:p>
    <w:tbl>
      <w:tblPr>
        <w:tblStyle w:val="12"/>
        <w:tblW w:w="5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923"/>
        <w:gridCol w:w="1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23" w:type="dxa"/>
            <w:tcBorders>
              <w:top w:val="single" w:color="auto" w:sz="4" w:space="0"/>
              <w:left w:val="single" w:color="auto" w:sz="4" w:space="0"/>
              <w:bottom w:val="single" w:color="auto" w:sz="4" w:space="0"/>
              <w:right w:val="single" w:color="auto" w:sz="4" w:space="0"/>
            </w:tcBorders>
          </w:tcPr>
          <w:p>
            <w:pPr>
              <w:jc w:val="center"/>
              <w:rPr>
                <w:iCs/>
                <w:sz w:val="18"/>
                <w:szCs w:val="18"/>
              </w:rPr>
            </w:pPr>
            <w:r>
              <w:rPr>
                <w:rFonts w:hint="eastAsia"/>
                <w:iCs/>
                <w:kern w:val="0"/>
                <w:sz w:val="18"/>
                <w:szCs w:val="18"/>
              </w:rPr>
              <w:t>元素</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质量分数/</w:t>
            </w:r>
            <w:r>
              <w:rPr>
                <w:sz w:val="18"/>
                <w:szCs w:val="18"/>
              </w:rPr>
              <w:t>%</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重复性限/</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ZrO</w:t>
            </w:r>
            <w:r>
              <w:rPr>
                <w:sz w:val="18"/>
                <w:szCs w:val="18"/>
                <w:vertAlign w:val="subscript"/>
              </w:rPr>
              <w:t>2</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i/>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i/>
                <w:sz w:val="18"/>
                <w:szCs w:val="18"/>
              </w:rPr>
            </w:pPr>
            <w:r>
              <w:rPr>
                <w:sz w:val="18"/>
                <w:szCs w:val="18"/>
              </w:rPr>
              <w:t>HfO</w:t>
            </w:r>
            <w:r>
              <w:rPr>
                <w:sz w:val="18"/>
                <w:szCs w:val="18"/>
                <w:vertAlign w:val="subscript"/>
              </w:rPr>
              <w:t>2</w:t>
            </w: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r>
    </w:tbl>
    <w:p/>
    <w:p>
      <w:pPr>
        <w:spacing w:before="155" w:beforeLines="50" w:after="155" w:afterLines="50" w:line="300" w:lineRule="auto"/>
        <w:outlineLvl w:val="2"/>
        <w:rPr>
          <w:rFonts w:ascii="黑体" w:hAnsi="黑体" w:eastAsia="黑体" w:cs="黑体"/>
          <w:szCs w:val="21"/>
        </w:rPr>
      </w:pPr>
      <w:r>
        <w:rPr>
          <w:rFonts w:hint="eastAsia" w:ascii="黑体" w:hAnsi="黑体" w:eastAsia="黑体" w:cs="黑体"/>
          <w:szCs w:val="21"/>
        </w:rPr>
        <w:t>5.7.2 再现性</w:t>
      </w:r>
    </w:p>
    <w:p>
      <w:pPr>
        <w:widowControl/>
        <w:tabs>
          <w:tab w:val="center" w:pos="4201"/>
          <w:tab w:val="right" w:leader="dot" w:pos="9298"/>
        </w:tabs>
        <w:autoSpaceDE w:val="0"/>
        <w:autoSpaceDN w:val="0"/>
        <w:ind w:firstLine="420" w:firstLineChars="200"/>
        <w:rPr>
          <w:kern w:val="0"/>
          <w:szCs w:val="20"/>
        </w:rPr>
      </w:pPr>
      <w:r>
        <w:rPr>
          <w:kern w:val="0"/>
          <w:szCs w:val="20"/>
        </w:rPr>
        <w:t>在</w:t>
      </w:r>
      <w:r>
        <w:rPr>
          <w:rFonts w:hint="eastAsia"/>
          <w:kern w:val="0"/>
          <w:szCs w:val="20"/>
        </w:rPr>
        <w:t>再现</w:t>
      </w:r>
      <w:r>
        <w:rPr>
          <w:kern w:val="0"/>
          <w:szCs w:val="20"/>
        </w:rPr>
        <w:t>性条件下获得的两次独立测试结果的测定值，在以下给出的平均值范围内，两个测试结果的绝对差值不超过</w:t>
      </w:r>
      <w:r>
        <w:rPr>
          <w:rFonts w:hint="eastAsia"/>
          <w:kern w:val="0"/>
          <w:szCs w:val="20"/>
        </w:rPr>
        <w:t>再现</w:t>
      </w:r>
      <w:r>
        <w:rPr>
          <w:kern w:val="0"/>
          <w:szCs w:val="20"/>
        </w:rPr>
        <w:t>性限（</w:t>
      </w:r>
      <w:r>
        <w:rPr>
          <w:i/>
          <w:kern w:val="0"/>
          <w:szCs w:val="20"/>
        </w:rPr>
        <w:t>R</w:t>
      </w:r>
      <w:r>
        <w:rPr>
          <w:kern w:val="0"/>
          <w:szCs w:val="20"/>
        </w:rPr>
        <w:t>），超过</w:t>
      </w:r>
      <w:r>
        <w:rPr>
          <w:rFonts w:hint="eastAsia"/>
          <w:kern w:val="0"/>
          <w:szCs w:val="20"/>
        </w:rPr>
        <w:t>再现</w:t>
      </w:r>
      <w:r>
        <w:rPr>
          <w:kern w:val="0"/>
          <w:szCs w:val="20"/>
        </w:rPr>
        <w:t>性限（</w:t>
      </w:r>
      <w:r>
        <w:rPr>
          <w:i/>
          <w:kern w:val="0"/>
          <w:szCs w:val="20"/>
        </w:rPr>
        <w:t>R</w:t>
      </w:r>
      <w:r>
        <w:rPr>
          <w:kern w:val="0"/>
          <w:szCs w:val="20"/>
        </w:rPr>
        <w:t>）的情况不超过5%</w:t>
      </w:r>
      <w:r>
        <w:rPr>
          <w:rFonts w:hint="eastAsia"/>
          <w:kern w:val="0"/>
          <w:szCs w:val="20"/>
        </w:rPr>
        <w:t>，再现</w:t>
      </w:r>
      <w:r>
        <w:rPr>
          <w:kern w:val="0"/>
          <w:szCs w:val="20"/>
        </w:rPr>
        <w:t>性限（</w:t>
      </w:r>
      <w:r>
        <w:rPr>
          <w:i/>
          <w:kern w:val="0"/>
          <w:szCs w:val="20"/>
        </w:rPr>
        <w:t>R</w:t>
      </w:r>
      <w:r>
        <w:rPr>
          <w:kern w:val="0"/>
          <w:szCs w:val="20"/>
        </w:rPr>
        <w:t>）</w:t>
      </w:r>
      <w:r>
        <w:rPr>
          <w:rFonts w:hint="eastAsia"/>
          <w:kern w:val="0"/>
          <w:szCs w:val="20"/>
        </w:rPr>
        <w:t>按</w:t>
      </w:r>
      <w:r>
        <w:rPr>
          <w:kern w:val="0"/>
          <w:szCs w:val="20"/>
        </w:rPr>
        <w:t>表</w:t>
      </w:r>
      <w:r>
        <w:rPr>
          <w:rFonts w:hint="eastAsia"/>
          <w:kern w:val="0"/>
          <w:szCs w:val="20"/>
        </w:rPr>
        <w:t>10数据</w:t>
      </w:r>
      <w:r>
        <w:rPr>
          <w:kern w:val="0"/>
          <w:szCs w:val="20"/>
        </w:rPr>
        <w:t>采用线性内插法</w:t>
      </w:r>
      <w:r>
        <w:rPr>
          <w:rFonts w:hint="eastAsia"/>
          <w:kern w:val="0"/>
          <w:szCs w:val="20"/>
        </w:rPr>
        <w:t>或</w:t>
      </w:r>
      <w:r>
        <w:rPr>
          <w:kern w:val="0"/>
          <w:szCs w:val="20"/>
        </w:rPr>
        <w:t>外延法求得</w:t>
      </w:r>
      <w:r>
        <w:rPr>
          <w:rFonts w:hint="eastAsia"/>
          <w:kern w:val="0"/>
          <w:szCs w:val="20"/>
        </w:rPr>
        <w:t>：</w:t>
      </w:r>
    </w:p>
    <w:p>
      <w:pPr>
        <w:spacing w:line="360" w:lineRule="auto"/>
        <w:ind w:firstLine="420" w:firstLineChars="200"/>
        <w:jc w:val="center"/>
        <w:rPr>
          <w:rFonts w:ascii="黑体" w:hAnsi="黑体" w:eastAsia="黑体" w:cs="黑体"/>
          <w:color w:val="000000"/>
          <w:szCs w:val="21"/>
        </w:rPr>
      </w:pPr>
      <w:r>
        <w:rPr>
          <w:rFonts w:hint="eastAsia" w:ascii="黑体" w:hAnsi="黑体" w:eastAsia="黑体" w:cs="黑体"/>
          <w:color w:val="000000"/>
          <w:szCs w:val="21"/>
        </w:rPr>
        <w:t>表10 再现性限</w:t>
      </w:r>
    </w:p>
    <w:tbl>
      <w:tblPr>
        <w:tblStyle w:val="12"/>
        <w:tblW w:w="5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923"/>
        <w:gridCol w:w="1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23" w:type="dxa"/>
            <w:tcBorders>
              <w:top w:val="single" w:color="auto" w:sz="4" w:space="0"/>
              <w:left w:val="single" w:color="auto" w:sz="4" w:space="0"/>
              <w:bottom w:val="single" w:color="auto" w:sz="4" w:space="0"/>
              <w:right w:val="single" w:color="auto" w:sz="4" w:space="0"/>
            </w:tcBorders>
          </w:tcPr>
          <w:p>
            <w:pPr>
              <w:jc w:val="center"/>
              <w:rPr>
                <w:iCs/>
                <w:sz w:val="18"/>
                <w:szCs w:val="18"/>
              </w:rPr>
            </w:pPr>
            <w:r>
              <w:rPr>
                <w:rFonts w:hint="eastAsia"/>
                <w:iCs/>
                <w:kern w:val="0"/>
                <w:sz w:val="18"/>
                <w:szCs w:val="18"/>
              </w:rPr>
              <w:t>元素</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质量分数/</w:t>
            </w:r>
            <w:r>
              <w:rPr>
                <w:sz w:val="18"/>
                <w:szCs w:val="18"/>
              </w:rPr>
              <w:t>%</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r>
              <w:rPr>
                <w:rFonts w:hint="eastAsia"/>
                <w:sz w:val="18"/>
                <w:szCs w:val="18"/>
              </w:rPr>
              <w:t>重复性限/</w:t>
            </w:r>
            <w:r>
              <w:rPr>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ZrO</w:t>
            </w:r>
            <w:r>
              <w:rPr>
                <w:sz w:val="18"/>
                <w:szCs w:val="18"/>
                <w:vertAlign w:val="subscript"/>
              </w:rPr>
              <w:t>2</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i/>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vAlign w:val="center"/>
          </w:tcPr>
          <w:p>
            <w:pPr>
              <w:jc w:val="center"/>
              <w:rPr>
                <w:rFonts w:ascii="黑体" w:eastAsia="黑体"/>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restart"/>
            <w:tcBorders>
              <w:top w:val="single" w:color="auto" w:sz="4" w:space="0"/>
              <w:left w:val="single" w:color="auto" w:sz="4" w:space="0"/>
              <w:right w:val="single" w:color="auto" w:sz="4" w:space="0"/>
            </w:tcBorders>
            <w:vAlign w:val="center"/>
          </w:tcPr>
          <w:p>
            <w:pPr>
              <w:jc w:val="center"/>
              <w:rPr>
                <w:i/>
                <w:sz w:val="18"/>
                <w:szCs w:val="18"/>
              </w:rPr>
            </w:pPr>
            <w:r>
              <w:rPr>
                <w:sz w:val="18"/>
                <w:szCs w:val="18"/>
              </w:rPr>
              <w:t>HfO</w:t>
            </w:r>
            <w:r>
              <w:rPr>
                <w:sz w:val="18"/>
                <w:szCs w:val="18"/>
                <w:vertAlign w:val="subscript"/>
              </w:rPr>
              <w:t>2</w:t>
            </w: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right w:val="single" w:color="auto" w:sz="4" w:space="0"/>
            </w:tcBorders>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923" w:type="dxa"/>
            <w:vMerge w:val="continue"/>
            <w:tcBorders>
              <w:left w:val="single" w:color="auto" w:sz="4" w:space="0"/>
              <w:bottom w:val="single" w:color="auto" w:sz="4" w:space="0"/>
              <w:right w:val="single" w:color="auto" w:sz="4" w:space="0"/>
            </w:tcBorders>
          </w:tcPr>
          <w:p>
            <w:pPr>
              <w:jc w:val="center"/>
              <w:rPr>
                <w:i/>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c>
          <w:tcPr>
            <w:tcW w:w="1923" w:type="dxa"/>
            <w:tcBorders>
              <w:top w:val="single" w:color="auto" w:sz="4" w:space="0"/>
              <w:left w:val="single" w:color="auto" w:sz="4" w:space="0"/>
              <w:bottom w:val="single" w:color="auto" w:sz="4" w:space="0"/>
              <w:right w:val="single" w:color="auto" w:sz="4" w:space="0"/>
            </w:tcBorders>
          </w:tcPr>
          <w:p>
            <w:pPr>
              <w:jc w:val="center"/>
              <w:rPr>
                <w:sz w:val="18"/>
                <w:szCs w:val="18"/>
              </w:rPr>
            </w:pPr>
          </w:p>
        </w:tc>
      </w:tr>
    </w:tbl>
    <w:p>
      <w:pPr>
        <w:spacing w:before="310" w:beforeLines="100" w:after="310" w:afterLines="100" w:line="300" w:lineRule="auto"/>
        <w:rPr>
          <w:rFonts w:ascii="黑体" w:hAnsi="黑体" w:eastAsia="黑体" w:cs="黑体"/>
          <w:szCs w:val="21"/>
        </w:rPr>
      </w:pPr>
    </w:p>
    <w:p>
      <w:pPr>
        <w:numPr>
          <w:ilvl w:val="0"/>
          <w:numId w:val="3"/>
        </w:numPr>
        <w:spacing w:before="310" w:beforeLines="100" w:after="310" w:afterLines="100" w:line="300" w:lineRule="auto"/>
        <w:ind w:left="363" w:hanging="363"/>
        <w:rPr>
          <w:rFonts w:ascii="黑体" w:hAnsi="黑体" w:eastAsia="黑体" w:cs="黑体"/>
          <w:szCs w:val="21"/>
        </w:rPr>
      </w:pPr>
      <w:r>
        <w:rPr>
          <w:rFonts w:hint="eastAsia" w:ascii="黑体" w:hAnsi="黑体" w:eastAsia="黑体" w:cs="黑体"/>
          <w:szCs w:val="21"/>
        </w:rPr>
        <w:t>实验报告</w:t>
      </w:r>
    </w:p>
    <w:p>
      <w:pPr>
        <w:widowControl/>
        <w:autoSpaceDE w:val="0"/>
        <w:autoSpaceDN w:val="0"/>
        <w:ind w:firstLine="420" w:firstLineChars="200"/>
        <w:rPr>
          <w:color w:val="000000"/>
          <w:kern w:val="0"/>
          <w:szCs w:val="20"/>
        </w:rPr>
      </w:pPr>
      <w:r>
        <w:rPr>
          <w:rFonts w:hint="eastAsia" w:ascii="黑体" w:eastAsia="黑体"/>
          <w:kern w:val="0"/>
          <w:szCs w:val="20"/>
        </w:rPr>
        <w:t xml:space="preserve">    </w:t>
      </w:r>
      <w:r>
        <w:rPr>
          <w:rFonts w:hint="eastAsia"/>
          <w:color w:val="000000"/>
          <w:kern w:val="0"/>
          <w:szCs w:val="20"/>
        </w:rPr>
        <w:t>试验报告应包括下列内容：</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试样；</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使用的标准（包括发布或出版年号）；</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分析结果及其表示；</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与基本分析步骤的差异；</w:t>
      </w:r>
    </w:p>
    <w:p>
      <w:pPr>
        <w:widowControl/>
        <w:autoSpaceDE w:val="0"/>
        <w:autoSpaceDN w:val="0"/>
        <w:ind w:firstLine="420" w:firstLineChars="200"/>
        <w:rPr>
          <w:color w:val="000000"/>
          <w:kern w:val="0"/>
          <w:szCs w:val="20"/>
        </w:rPr>
      </w:pPr>
      <w:r>
        <w:rPr>
          <w:color w:val="000000"/>
          <w:kern w:val="0"/>
          <w:szCs w:val="20"/>
        </w:rPr>
        <w:t>——</w:t>
      </w:r>
      <w:r>
        <w:rPr>
          <w:rFonts w:hint="eastAsia"/>
          <w:color w:val="000000"/>
          <w:kern w:val="0"/>
          <w:szCs w:val="20"/>
        </w:rPr>
        <w:t>测定中观察到的异常现象；</w:t>
      </w:r>
    </w:p>
    <w:p>
      <w:pPr>
        <w:widowControl/>
        <w:autoSpaceDE w:val="0"/>
        <w:autoSpaceDN w:val="0"/>
        <w:ind w:firstLine="420" w:firstLineChars="200"/>
        <w:rPr>
          <w:rFonts w:ascii="黑体" w:hAnsi="黑体" w:eastAsia="黑体" w:cs="黑体"/>
          <w:szCs w:val="21"/>
        </w:rPr>
      </w:pPr>
      <w:r>
        <w:rPr>
          <w:color w:val="000000"/>
          <w:kern w:val="0"/>
          <w:szCs w:val="20"/>
        </w:rPr>
        <w:t>——</w:t>
      </w:r>
      <w:r>
        <w:rPr>
          <w:rFonts w:hint="eastAsia"/>
          <w:color w:val="000000"/>
        </w:rPr>
        <w:t>试验日期</w:t>
      </w:r>
      <w:r>
        <w:t>。</w:t>
      </w:r>
    </w:p>
    <w:p>
      <w:pPr>
        <w:numPr>
          <w:ilvl w:val="0"/>
          <w:numId w:val="3"/>
        </w:numPr>
        <w:spacing w:before="310" w:beforeLines="100" w:after="310" w:afterLines="100" w:line="300" w:lineRule="auto"/>
        <w:ind w:left="363" w:hanging="363"/>
        <w:rPr>
          <w:rFonts w:ascii="黑体" w:hAnsi="黑体" w:eastAsia="黑体" w:cs="黑体"/>
          <w:szCs w:val="21"/>
        </w:rPr>
      </w:pPr>
      <w:r>
        <w:rPr>
          <w:rFonts w:hint="eastAsia" w:ascii="黑体" w:hAnsi="黑体" w:eastAsia="黑体" w:cs="黑体"/>
          <w:szCs w:val="21"/>
        </w:rPr>
        <w:t>质量保证与控制</w:t>
      </w:r>
    </w:p>
    <w:p>
      <w:pPr>
        <w:tabs>
          <w:tab w:val="left" w:pos="8820"/>
        </w:tabs>
        <w:ind w:firstLine="420" w:firstLineChars="200"/>
        <w:rPr>
          <w:rFonts w:hAnsi="宋体"/>
          <w:szCs w:val="21"/>
        </w:rPr>
      </w:pPr>
      <w:r>
        <w:rPr>
          <w:rFonts w:hAnsi="宋体"/>
          <w:szCs w:val="21"/>
        </w:rPr>
        <w:t>定期用自制的控制标样</w:t>
      </w:r>
      <w:r>
        <w:rPr>
          <w:szCs w:val="21"/>
        </w:rPr>
        <w:t>(</w:t>
      </w:r>
      <w:r>
        <w:rPr>
          <w:rFonts w:hAnsi="宋体"/>
          <w:szCs w:val="21"/>
        </w:rPr>
        <w:t>如有国家级或行业级标样时，应首先使用</w:t>
      </w:r>
      <w:r>
        <w:rPr>
          <w:szCs w:val="21"/>
        </w:rPr>
        <w:t>)</w:t>
      </w:r>
      <w:r>
        <w:rPr>
          <w:rFonts w:hAnsi="宋体"/>
          <w:szCs w:val="21"/>
        </w:rPr>
        <w:t>校核一次本标准分析方法的有效性。当过程失控时，应找出原因，纠正错误，重新进行校核。</w:t>
      </w:r>
    </w:p>
    <w:p>
      <w:pPr>
        <w:tabs>
          <w:tab w:val="left" w:pos="8820"/>
        </w:tabs>
        <w:ind w:firstLine="420" w:firstLineChars="200"/>
        <w:rPr>
          <w:rFonts w:hAnsi="宋体"/>
          <w:szCs w:val="21"/>
        </w:rPr>
      </w:pPr>
    </w:p>
    <w:p>
      <w:pPr>
        <w:tabs>
          <w:tab w:val="left" w:pos="8820"/>
        </w:tabs>
        <w:spacing w:before="155" w:beforeLines="50" w:after="155" w:afterLines="50"/>
        <w:jc w:val="center"/>
        <w:rPr>
          <w:szCs w:val="21"/>
        </w:rPr>
      </w:pPr>
      <w:r>
        <w:rPr>
          <w:szCs w:val="21"/>
        </w:rPr>
        <w:t>———————————————</w:t>
      </w:r>
    </w:p>
    <w:p>
      <w:pPr>
        <w:tabs>
          <w:tab w:val="left" w:pos="360"/>
        </w:tabs>
        <w:spacing w:before="310" w:beforeLines="100" w:after="310" w:afterLines="100" w:line="300" w:lineRule="auto"/>
        <w:rPr>
          <w:szCs w:val="21"/>
          <w:highlight w:val="yellow"/>
        </w:rPr>
      </w:pPr>
    </w:p>
    <w:sectPr>
      <w:headerReference r:id="rId8" w:type="default"/>
      <w:footerReference r:id="rId9" w:type="default"/>
      <w:footerReference r:id="rId10" w:type="even"/>
      <w:pgSz w:w="11907" w:h="16839"/>
      <w:pgMar w:top="1418" w:right="1134" w:bottom="1134" w:left="1418" w:header="1418" w:footer="851" w:gutter="0"/>
      <w:pgNumType w:start="1"/>
      <w:cols w:space="720" w:num="1"/>
      <w:docGrid w:type="lines" w:linePitch="3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Style w:val="15"/>
      </w:rPr>
    </w:pPr>
    <w:r>
      <w:fldChar w:fldCharType="begin"/>
    </w:r>
    <w:r>
      <w:rPr>
        <w:rStyle w:val="15"/>
      </w:rPr>
      <w:instrText xml:space="preserve">PAGE  </w:instrText>
    </w:r>
    <w:r>
      <w:fldChar w:fldCharType="separate"/>
    </w:r>
    <w:r>
      <w:rPr>
        <w:rStyle w:val="15"/>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Style w:val="15"/>
      </w:rPr>
    </w:pPr>
    <w:r>
      <w:fldChar w:fldCharType="begin"/>
    </w:r>
    <w:r>
      <w:rPr>
        <w:rStyle w:val="15"/>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Style w:val="15"/>
      </w:rPr>
    </w:pPr>
    <w:r>
      <w:fldChar w:fldCharType="begin"/>
    </w:r>
    <w:r>
      <w:rPr>
        <w:rStyle w:val="15"/>
      </w:rPr>
      <w:instrText xml:space="preserve">PAGE  </w:instrText>
    </w:r>
    <w:r>
      <w:fldChar w:fldCharType="separate"/>
    </w:r>
    <w:r>
      <w:rPr>
        <w:rStyle w:val="15"/>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Style w:val="15"/>
      </w:rPr>
    </w:pPr>
    <w:r>
      <w:fldChar w:fldCharType="begin"/>
    </w:r>
    <w:r>
      <w:rPr>
        <w:rStyle w:val="15"/>
      </w:rPr>
      <w:instrText xml:space="preserve">PAGE  </w:instrText>
    </w:r>
    <w:r>
      <w:fldChar w:fldCharType="separate"/>
    </w:r>
    <w:r>
      <w:rPr>
        <w:rStyle w:val="15"/>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GB/T 12690.—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GB/T 12690.—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3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ascii="黑体" w:eastAsia="黑体"/>
      </w:rPr>
    </w:pPr>
    <w:r>
      <w:rPr>
        <w:rFonts w:hint="eastAsia" w:ascii="黑体" w:eastAsia="黑体"/>
      </w:rPr>
      <w:t>XB/T XXX.1-202X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E698A"/>
    <w:multiLevelType w:val="multilevel"/>
    <w:tmpl w:val="416E698A"/>
    <w:lvl w:ilvl="0" w:tentative="0">
      <w:start w:val="1"/>
      <w:numFmt w:val="decimal"/>
      <w:lvlText w:val="%1"/>
      <w:lvlJc w:val="left"/>
      <w:pPr>
        <w:ind w:left="0" w:firstLine="0"/>
      </w:pPr>
      <w:rPr>
        <w:rFonts w:hint="eastAsia" w:ascii="黑体" w:hAnsi="黑体"/>
      </w:rPr>
    </w:lvl>
    <w:lvl w:ilvl="1" w:tentative="0">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2"/>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3"/>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6B173256"/>
    <w:multiLevelType w:val="multilevel"/>
    <w:tmpl w:val="6B173256"/>
    <w:lvl w:ilvl="0" w:tentative="0">
      <w:start w:val="1"/>
      <w:numFmt w:val="decimal"/>
      <w:lvlText w:val="%1"/>
      <w:lvlJc w:val="left"/>
      <w:pPr>
        <w:tabs>
          <w:tab w:val="left" w:pos="360"/>
        </w:tabs>
        <w:ind w:left="360" w:hanging="360"/>
      </w:pPr>
      <w:rPr>
        <w:rFonts w:hint="default" w:eastAsia="宋体"/>
      </w:rPr>
    </w:lvl>
    <w:lvl w:ilvl="1" w:tentative="0">
      <w:start w:val="4"/>
      <w:numFmt w:val="decimal"/>
      <w:isLgl/>
      <w:lvlText w:val="%1.%2"/>
      <w:lvlJc w:val="left"/>
      <w:pPr>
        <w:ind w:left="360" w:hanging="360"/>
      </w:pPr>
      <w:rPr>
        <w:rFonts w:hint="default" w:hAnsi="Times New Roman"/>
      </w:rPr>
    </w:lvl>
    <w:lvl w:ilvl="2" w:tentative="0">
      <w:start w:val="1"/>
      <w:numFmt w:val="decimal"/>
      <w:isLgl/>
      <w:lvlText w:val="%1.%2.%3"/>
      <w:lvlJc w:val="left"/>
      <w:pPr>
        <w:ind w:left="720" w:hanging="720"/>
      </w:pPr>
      <w:rPr>
        <w:rFonts w:hint="default" w:hAnsi="Times New Roman"/>
      </w:rPr>
    </w:lvl>
    <w:lvl w:ilvl="3" w:tentative="0">
      <w:start w:val="1"/>
      <w:numFmt w:val="decimal"/>
      <w:isLgl/>
      <w:lvlText w:val="%1.%2.%3.%4"/>
      <w:lvlJc w:val="left"/>
      <w:pPr>
        <w:ind w:left="720" w:hanging="720"/>
      </w:pPr>
      <w:rPr>
        <w:rFonts w:hint="default" w:hAnsi="Times New Roman"/>
      </w:rPr>
    </w:lvl>
    <w:lvl w:ilvl="4" w:tentative="0">
      <w:start w:val="1"/>
      <w:numFmt w:val="decimal"/>
      <w:isLgl/>
      <w:lvlText w:val="%1.%2.%3.%4.%5"/>
      <w:lvlJc w:val="left"/>
      <w:pPr>
        <w:ind w:left="1080" w:hanging="1080"/>
      </w:pPr>
      <w:rPr>
        <w:rFonts w:hint="default" w:hAnsi="Times New Roman"/>
      </w:rPr>
    </w:lvl>
    <w:lvl w:ilvl="5" w:tentative="0">
      <w:start w:val="1"/>
      <w:numFmt w:val="decimal"/>
      <w:isLgl/>
      <w:lvlText w:val="%1.%2.%3.%4.%5.%6"/>
      <w:lvlJc w:val="left"/>
      <w:pPr>
        <w:ind w:left="1080" w:hanging="1080"/>
      </w:pPr>
      <w:rPr>
        <w:rFonts w:hint="default" w:hAnsi="Times New Roman"/>
      </w:rPr>
    </w:lvl>
    <w:lvl w:ilvl="6" w:tentative="0">
      <w:start w:val="1"/>
      <w:numFmt w:val="decimal"/>
      <w:isLgl/>
      <w:lvlText w:val="%1.%2.%3.%4.%5.%6.%7"/>
      <w:lvlJc w:val="left"/>
      <w:pPr>
        <w:ind w:left="1080" w:hanging="1080"/>
      </w:pPr>
      <w:rPr>
        <w:rFonts w:hint="default" w:hAnsi="Times New Roman"/>
      </w:rPr>
    </w:lvl>
    <w:lvl w:ilvl="7" w:tentative="0">
      <w:start w:val="1"/>
      <w:numFmt w:val="decimal"/>
      <w:isLgl/>
      <w:lvlText w:val="%1.%2.%3.%4.%5.%6.%7.%8"/>
      <w:lvlJc w:val="left"/>
      <w:pPr>
        <w:ind w:left="1440" w:hanging="1440"/>
      </w:pPr>
      <w:rPr>
        <w:rFonts w:hint="default" w:hAnsi="Times New Roman"/>
      </w:rPr>
    </w:lvl>
    <w:lvl w:ilvl="8" w:tentative="0">
      <w:start w:val="1"/>
      <w:numFmt w:val="decimal"/>
      <w:isLgl/>
      <w:lvlText w:val="%1.%2.%3.%4.%5.%6.%7.%8.%9"/>
      <w:lvlJc w:val="left"/>
      <w:pPr>
        <w:ind w:left="1440" w:hanging="1440"/>
      </w:pPr>
      <w:rPr>
        <w:rFonts w:hint="default" w:hAnsi="Times New Roman"/>
      </w:rPr>
    </w:lvl>
  </w:abstractNum>
  <w:abstractNum w:abstractNumId="2">
    <w:nsid w:val="6CEA2025"/>
    <w:multiLevelType w:val="multilevel"/>
    <w:tmpl w:val="6CEA2025"/>
    <w:lvl w:ilvl="0" w:tentative="0">
      <w:start w:val="1"/>
      <w:numFmt w:val="none"/>
      <w:pStyle w:val="44"/>
      <w:suff w:val="nothing"/>
      <w:lvlText w:val="%1"/>
      <w:lvlJc w:val="left"/>
      <w:pPr>
        <w:ind w:left="0" w:firstLine="0"/>
      </w:pPr>
      <w:rPr>
        <w:rFonts w:hint="default" w:ascii="Times New Roman" w:hAnsi="Times New Roman"/>
        <w:b/>
        <w:i w:val="0"/>
        <w:sz w:val="21"/>
      </w:rPr>
    </w:lvl>
    <w:lvl w:ilvl="1" w:tentative="0">
      <w:start w:val="1"/>
      <w:numFmt w:val="decimal"/>
      <w:pStyle w:val="32"/>
      <w:suff w:val="nothing"/>
      <w:lvlText w:val="%1%2　"/>
      <w:lvlJc w:val="left"/>
      <w:pPr>
        <w:ind w:left="0" w:firstLine="0"/>
      </w:pPr>
      <w:rPr>
        <w:rFonts w:hint="eastAsia" w:ascii="黑体" w:hAnsi="Times New Roman" w:eastAsia="黑体"/>
        <w:b w:val="0"/>
        <w:i w:val="0"/>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A304AB0"/>
    <w:multiLevelType w:val="multilevel"/>
    <w:tmpl w:val="7A304AB0"/>
    <w:lvl w:ilvl="0" w:tentative="0">
      <w:start w:val="0"/>
      <w:numFmt w:val="decimal"/>
      <w:lvlText w:val="%1"/>
      <w:lvlJc w:val="left"/>
      <w:pPr>
        <w:tabs>
          <w:tab w:val="left" w:pos="435"/>
        </w:tabs>
        <w:ind w:left="435" w:hanging="435"/>
      </w:pPr>
      <w:rPr>
        <w:rFonts w:hint="default" w:ascii="Times New Roman" w:hAnsi="Times New Roman" w:cs="Times New Roman"/>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5F"/>
    <w:rsid w:val="00001528"/>
    <w:rsid w:val="00016BCE"/>
    <w:rsid w:val="000C6094"/>
    <w:rsid w:val="000D6797"/>
    <w:rsid w:val="000E4979"/>
    <w:rsid w:val="001079BC"/>
    <w:rsid w:val="00110842"/>
    <w:rsid w:val="0013297C"/>
    <w:rsid w:val="001601FD"/>
    <w:rsid w:val="00160B90"/>
    <w:rsid w:val="00187372"/>
    <w:rsid w:val="001A1FA4"/>
    <w:rsid w:val="001A5897"/>
    <w:rsid w:val="001E0A7E"/>
    <w:rsid w:val="002042D2"/>
    <w:rsid w:val="00222099"/>
    <w:rsid w:val="00230916"/>
    <w:rsid w:val="0023379A"/>
    <w:rsid w:val="00250D29"/>
    <w:rsid w:val="00254F73"/>
    <w:rsid w:val="002750F4"/>
    <w:rsid w:val="002849EE"/>
    <w:rsid w:val="00287ACB"/>
    <w:rsid w:val="002912FC"/>
    <w:rsid w:val="002967F7"/>
    <w:rsid w:val="002A1844"/>
    <w:rsid w:val="002B7D30"/>
    <w:rsid w:val="002C16E2"/>
    <w:rsid w:val="002C602E"/>
    <w:rsid w:val="002E0C0E"/>
    <w:rsid w:val="002F04E8"/>
    <w:rsid w:val="002F76F3"/>
    <w:rsid w:val="003066AF"/>
    <w:rsid w:val="00345B46"/>
    <w:rsid w:val="00350DDC"/>
    <w:rsid w:val="00382DD9"/>
    <w:rsid w:val="00390C15"/>
    <w:rsid w:val="00394EA9"/>
    <w:rsid w:val="00395639"/>
    <w:rsid w:val="003D10EA"/>
    <w:rsid w:val="00404B12"/>
    <w:rsid w:val="004332D6"/>
    <w:rsid w:val="00453B23"/>
    <w:rsid w:val="004734DD"/>
    <w:rsid w:val="004A5D5E"/>
    <w:rsid w:val="004C4456"/>
    <w:rsid w:val="004D08DA"/>
    <w:rsid w:val="004F0D3F"/>
    <w:rsid w:val="005023F5"/>
    <w:rsid w:val="0052556F"/>
    <w:rsid w:val="005356DD"/>
    <w:rsid w:val="00543F4E"/>
    <w:rsid w:val="0054572F"/>
    <w:rsid w:val="00550FA8"/>
    <w:rsid w:val="00552DAC"/>
    <w:rsid w:val="0059212E"/>
    <w:rsid w:val="005A4002"/>
    <w:rsid w:val="00604EC6"/>
    <w:rsid w:val="006146B4"/>
    <w:rsid w:val="00621903"/>
    <w:rsid w:val="00637372"/>
    <w:rsid w:val="00652016"/>
    <w:rsid w:val="00667BE2"/>
    <w:rsid w:val="00696849"/>
    <w:rsid w:val="006B6EB5"/>
    <w:rsid w:val="006C0777"/>
    <w:rsid w:val="006C2A82"/>
    <w:rsid w:val="0070074E"/>
    <w:rsid w:val="00705972"/>
    <w:rsid w:val="00721523"/>
    <w:rsid w:val="007A1523"/>
    <w:rsid w:val="007A454D"/>
    <w:rsid w:val="007B3735"/>
    <w:rsid w:val="007D3BBF"/>
    <w:rsid w:val="007D6010"/>
    <w:rsid w:val="008170F6"/>
    <w:rsid w:val="00822AC2"/>
    <w:rsid w:val="00826633"/>
    <w:rsid w:val="008300EE"/>
    <w:rsid w:val="008412B8"/>
    <w:rsid w:val="00856641"/>
    <w:rsid w:val="008713E8"/>
    <w:rsid w:val="008769CC"/>
    <w:rsid w:val="008B284F"/>
    <w:rsid w:val="009062B8"/>
    <w:rsid w:val="009171AE"/>
    <w:rsid w:val="009456CB"/>
    <w:rsid w:val="009555C6"/>
    <w:rsid w:val="00955943"/>
    <w:rsid w:val="009852A8"/>
    <w:rsid w:val="009A10B5"/>
    <w:rsid w:val="009D4767"/>
    <w:rsid w:val="009E3E1A"/>
    <w:rsid w:val="00A07DB3"/>
    <w:rsid w:val="00A22C17"/>
    <w:rsid w:val="00A242AE"/>
    <w:rsid w:val="00A2762F"/>
    <w:rsid w:val="00A437E0"/>
    <w:rsid w:val="00A51AC8"/>
    <w:rsid w:val="00A76034"/>
    <w:rsid w:val="00A83DA2"/>
    <w:rsid w:val="00A85A72"/>
    <w:rsid w:val="00AB5E9F"/>
    <w:rsid w:val="00AD324D"/>
    <w:rsid w:val="00AE067E"/>
    <w:rsid w:val="00AF3510"/>
    <w:rsid w:val="00B00BDA"/>
    <w:rsid w:val="00B137F6"/>
    <w:rsid w:val="00B470D1"/>
    <w:rsid w:val="00B47BD9"/>
    <w:rsid w:val="00B7075F"/>
    <w:rsid w:val="00B926B1"/>
    <w:rsid w:val="00BB6ABB"/>
    <w:rsid w:val="00BD05B4"/>
    <w:rsid w:val="00C07B9A"/>
    <w:rsid w:val="00C1422C"/>
    <w:rsid w:val="00C3049E"/>
    <w:rsid w:val="00C3199F"/>
    <w:rsid w:val="00C532F1"/>
    <w:rsid w:val="00C61844"/>
    <w:rsid w:val="00D07923"/>
    <w:rsid w:val="00D1286F"/>
    <w:rsid w:val="00D232EB"/>
    <w:rsid w:val="00D27371"/>
    <w:rsid w:val="00D65FB2"/>
    <w:rsid w:val="00D66EAA"/>
    <w:rsid w:val="00D954C0"/>
    <w:rsid w:val="00DA1E9B"/>
    <w:rsid w:val="00DA3597"/>
    <w:rsid w:val="00DC0AE4"/>
    <w:rsid w:val="00DD3965"/>
    <w:rsid w:val="00DE5A05"/>
    <w:rsid w:val="00E001F6"/>
    <w:rsid w:val="00E07A6C"/>
    <w:rsid w:val="00E223C6"/>
    <w:rsid w:val="00E2649D"/>
    <w:rsid w:val="00E470B6"/>
    <w:rsid w:val="00E47886"/>
    <w:rsid w:val="00E55D95"/>
    <w:rsid w:val="00E612AB"/>
    <w:rsid w:val="00E6433C"/>
    <w:rsid w:val="00E77910"/>
    <w:rsid w:val="00EA0C0C"/>
    <w:rsid w:val="00EA21E2"/>
    <w:rsid w:val="00EE034F"/>
    <w:rsid w:val="00F01C36"/>
    <w:rsid w:val="00F136E4"/>
    <w:rsid w:val="00F13A33"/>
    <w:rsid w:val="00F2283C"/>
    <w:rsid w:val="00F33BC1"/>
    <w:rsid w:val="00F900F1"/>
    <w:rsid w:val="00FA4204"/>
    <w:rsid w:val="00FB6469"/>
    <w:rsid w:val="00FB7520"/>
    <w:rsid w:val="00FC4057"/>
    <w:rsid w:val="00FD797F"/>
    <w:rsid w:val="010B056A"/>
    <w:rsid w:val="01146139"/>
    <w:rsid w:val="01D942DC"/>
    <w:rsid w:val="037571BC"/>
    <w:rsid w:val="0379219F"/>
    <w:rsid w:val="03E93177"/>
    <w:rsid w:val="0423095B"/>
    <w:rsid w:val="04274201"/>
    <w:rsid w:val="046C588D"/>
    <w:rsid w:val="04FF526A"/>
    <w:rsid w:val="051D0462"/>
    <w:rsid w:val="06252206"/>
    <w:rsid w:val="06717DC0"/>
    <w:rsid w:val="069B6BAB"/>
    <w:rsid w:val="06C77FAB"/>
    <w:rsid w:val="093E6584"/>
    <w:rsid w:val="09D32FBF"/>
    <w:rsid w:val="0B3319A5"/>
    <w:rsid w:val="0BE63E05"/>
    <w:rsid w:val="0D3B70F7"/>
    <w:rsid w:val="0D414C40"/>
    <w:rsid w:val="0DC8027A"/>
    <w:rsid w:val="0DEB064D"/>
    <w:rsid w:val="0EB546C3"/>
    <w:rsid w:val="0F515E9A"/>
    <w:rsid w:val="113E456E"/>
    <w:rsid w:val="116601DC"/>
    <w:rsid w:val="12134A63"/>
    <w:rsid w:val="1295124C"/>
    <w:rsid w:val="12EA44C5"/>
    <w:rsid w:val="1326401E"/>
    <w:rsid w:val="132F4099"/>
    <w:rsid w:val="134862B7"/>
    <w:rsid w:val="13973179"/>
    <w:rsid w:val="13E4112E"/>
    <w:rsid w:val="16874E82"/>
    <w:rsid w:val="16F615E1"/>
    <w:rsid w:val="1998260F"/>
    <w:rsid w:val="19A57396"/>
    <w:rsid w:val="1AD62861"/>
    <w:rsid w:val="1B0A77C5"/>
    <w:rsid w:val="1C1854D0"/>
    <w:rsid w:val="1C417999"/>
    <w:rsid w:val="1CE802AC"/>
    <w:rsid w:val="1E530A79"/>
    <w:rsid w:val="1FFE3385"/>
    <w:rsid w:val="200A72F6"/>
    <w:rsid w:val="2017741C"/>
    <w:rsid w:val="21E84B6C"/>
    <w:rsid w:val="22460EEC"/>
    <w:rsid w:val="22484A14"/>
    <w:rsid w:val="22EE4CFE"/>
    <w:rsid w:val="23E31574"/>
    <w:rsid w:val="2432275C"/>
    <w:rsid w:val="247736E3"/>
    <w:rsid w:val="25C95FEC"/>
    <w:rsid w:val="26170BDD"/>
    <w:rsid w:val="26591623"/>
    <w:rsid w:val="26854440"/>
    <w:rsid w:val="26C1466A"/>
    <w:rsid w:val="274C3274"/>
    <w:rsid w:val="27944790"/>
    <w:rsid w:val="28637CF6"/>
    <w:rsid w:val="28A7467E"/>
    <w:rsid w:val="2A7203BC"/>
    <w:rsid w:val="2CA46281"/>
    <w:rsid w:val="2D947254"/>
    <w:rsid w:val="2E1A2D16"/>
    <w:rsid w:val="2E943826"/>
    <w:rsid w:val="2F571488"/>
    <w:rsid w:val="2FF714D3"/>
    <w:rsid w:val="310F0586"/>
    <w:rsid w:val="320E4538"/>
    <w:rsid w:val="32507C1E"/>
    <w:rsid w:val="327C56A6"/>
    <w:rsid w:val="32EC3E03"/>
    <w:rsid w:val="342E7DD4"/>
    <w:rsid w:val="35246D6B"/>
    <w:rsid w:val="36851769"/>
    <w:rsid w:val="378F4717"/>
    <w:rsid w:val="37BD2A7B"/>
    <w:rsid w:val="38990251"/>
    <w:rsid w:val="38C777AD"/>
    <w:rsid w:val="39783505"/>
    <w:rsid w:val="398324A9"/>
    <w:rsid w:val="3AE8529E"/>
    <w:rsid w:val="3B1D3C26"/>
    <w:rsid w:val="3C8A6642"/>
    <w:rsid w:val="3CC74A44"/>
    <w:rsid w:val="3D973E21"/>
    <w:rsid w:val="3EE0081B"/>
    <w:rsid w:val="3FF42087"/>
    <w:rsid w:val="411D1AAD"/>
    <w:rsid w:val="41B710F3"/>
    <w:rsid w:val="43AE1047"/>
    <w:rsid w:val="43ED75EB"/>
    <w:rsid w:val="46F61C13"/>
    <w:rsid w:val="479E0217"/>
    <w:rsid w:val="47AD0E47"/>
    <w:rsid w:val="49100395"/>
    <w:rsid w:val="499B21A0"/>
    <w:rsid w:val="49EE04B1"/>
    <w:rsid w:val="4A182696"/>
    <w:rsid w:val="4A3B7910"/>
    <w:rsid w:val="4A7071C8"/>
    <w:rsid w:val="4AA04E18"/>
    <w:rsid w:val="4AC84738"/>
    <w:rsid w:val="4B8B2036"/>
    <w:rsid w:val="4CF02F76"/>
    <w:rsid w:val="4D0E11BD"/>
    <w:rsid w:val="4D2C6793"/>
    <w:rsid w:val="4D904889"/>
    <w:rsid w:val="4DEE30BD"/>
    <w:rsid w:val="4E3607DC"/>
    <w:rsid w:val="4EC3438D"/>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83405"/>
    <w:rsid w:val="563904C3"/>
    <w:rsid w:val="569C1C91"/>
    <w:rsid w:val="578770A2"/>
    <w:rsid w:val="57A3002C"/>
    <w:rsid w:val="57F47B39"/>
    <w:rsid w:val="587E54AD"/>
    <w:rsid w:val="59063FB1"/>
    <w:rsid w:val="5911756C"/>
    <w:rsid w:val="59D9751D"/>
    <w:rsid w:val="5A2E30F8"/>
    <w:rsid w:val="5A476799"/>
    <w:rsid w:val="5AE77483"/>
    <w:rsid w:val="5BC34305"/>
    <w:rsid w:val="5C6F2179"/>
    <w:rsid w:val="5CD26CCC"/>
    <w:rsid w:val="5D546F70"/>
    <w:rsid w:val="5F002EE7"/>
    <w:rsid w:val="5FF250DB"/>
    <w:rsid w:val="60A464B8"/>
    <w:rsid w:val="60A7797C"/>
    <w:rsid w:val="62E9421A"/>
    <w:rsid w:val="637A7B03"/>
    <w:rsid w:val="63941202"/>
    <w:rsid w:val="63C277B6"/>
    <w:rsid w:val="64C51F48"/>
    <w:rsid w:val="64DC7B2F"/>
    <w:rsid w:val="65060C83"/>
    <w:rsid w:val="6522197B"/>
    <w:rsid w:val="664A2EF4"/>
    <w:rsid w:val="677479B9"/>
    <w:rsid w:val="67E8427B"/>
    <w:rsid w:val="683008AE"/>
    <w:rsid w:val="688678CB"/>
    <w:rsid w:val="68E51510"/>
    <w:rsid w:val="69997067"/>
    <w:rsid w:val="69CF5804"/>
    <w:rsid w:val="69E64B71"/>
    <w:rsid w:val="6A1017CD"/>
    <w:rsid w:val="6A1350DE"/>
    <w:rsid w:val="6CB01444"/>
    <w:rsid w:val="6CE4557D"/>
    <w:rsid w:val="6DD51DB6"/>
    <w:rsid w:val="6E41330B"/>
    <w:rsid w:val="6E8A764C"/>
    <w:rsid w:val="6FF81313"/>
    <w:rsid w:val="71452A32"/>
    <w:rsid w:val="72165CCE"/>
    <w:rsid w:val="73910519"/>
    <w:rsid w:val="73B00C46"/>
    <w:rsid w:val="743264D1"/>
    <w:rsid w:val="756228BE"/>
    <w:rsid w:val="75F36768"/>
    <w:rsid w:val="77003DAF"/>
    <w:rsid w:val="77FE213D"/>
    <w:rsid w:val="7838337C"/>
    <w:rsid w:val="78C07275"/>
    <w:rsid w:val="794D586A"/>
    <w:rsid w:val="7ADC1850"/>
    <w:rsid w:val="7C3A29E6"/>
    <w:rsid w:val="7C48608F"/>
    <w:rsid w:val="7DD04607"/>
    <w:rsid w:val="7DDC09B9"/>
    <w:rsid w:val="7F083E1A"/>
    <w:rsid w:val="7FE27D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numPr>
        <w:ilvl w:val="2"/>
        <w:numId w:val="1"/>
      </w:numPr>
      <w:spacing w:line="415" w:lineRule="auto"/>
      <w:ind w:right="210" w:rightChars="100"/>
      <w:outlineLvl w:val="2"/>
    </w:pPr>
    <w:rPr>
      <w:rFonts w:ascii="黑体" w:hAnsi="黑体" w:eastAsia="黑体"/>
      <w:bCs/>
      <w:szCs w:val="32"/>
    </w:rPr>
  </w:style>
  <w:style w:type="paragraph" w:styleId="3">
    <w:name w:val="heading 4"/>
    <w:basedOn w:val="1"/>
    <w:next w:val="1"/>
    <w:qFormat/>
    <w:uiPriority w:val="9"/>
    <w:pPr>
      <w:keepNext/>
      <w:keepLines/>
      <w:numPr>
        <w:ilvl w:val="3"/>
        <w:numId w:val="1"/>
      </w:numPr>
      <w:spacing w:line="360" w:lineRule="auto"/>
      <w:outlineLvl w:val="3"/>
    </w:pPr>
    <w:rPr>
      <w:rFonts w:ascii="黑体" w:hAnsi="黑体" w:eastAsia="黑体"/>
      <w:bCs/>
      <w:szCs w:val="21"/>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35"/>
    <w:rPr>
      <w:rFonts w:ascii="等线 Light" w:hAnsi="等线 Light" w:eastAsia="黑体"/>
      <w:sz w:val="20"/>
      <w:szCs w:val="20"/>
    </w:rPr>
  </w:style>
  <w:style w:type="paragraph" w:styleId="5">
    <w:name w:val="annotation text"/>
    <w:basedOn w:val="1"/>
    <w:link w:val="49"/>
    <w:semiHidden/>
    <w:unhideWhenUsed/>
    <w:qFormat/>
    <w:uiPriority w:val="99"/>
    <w:pPr>
      <w:jc w:val="left"/>
    </w:pPr>
  </w:style>
  <w:style w:type="paragraph" w:styleId="6">
    <w:name w:val="Plain Text"/>
    <w:basedOn w:val="1"/>
    <w:link w:val="22"/>
    <w:qFormat/>
    <w:uiPriority w:val="0"/>
    <w:rPr>
      <w:rFonts w:ascii="宋体" w:hAnsi="Courier New"/>
      <w:kern w:val="0"/>
      <w:sz w:val="20"/>
      <w:szCs w:val="20"/>
    </w:rPr>
  </w:style>
  <w:style w:type="paragraph" w:styleId="7">
    <w:name w:val="Date"/>
    <w:basedOn w:val="1"/>
    <w:next w:val="1"/>
    <w:link w:val="18"/>
    <w:unhideWhenUsed/>
    <w:qFormat/>
    <w:uiPriority w:val="99"/>
    <w:pPr>
      <w:ind w:left="100" w:leftChars="2500"/>
    </w:pPr>
  </w:style>
  <w:style w:type="paragraph" w:styleId="8">
    <w:name w:val="Balloon Text"/>
    <w:basedOn w:val="1"/>
    <w:link w:val="17"/>
    <w:unhideWhenUsed/>
    <w:qFormat/>
    <w:uiPriority w:val="99"/>
    <w:rPr>
      <w:kern w:val="0"/>
      <w:sz w:val="18"/>
      <w:szCs w:val="18"/>
    </w:rPr>
  </w:style>
  <w:style w:type="paragraph" w:styleId="9">
    <w:name w:val="footer"/>
    <w:basedOn w:val="1"/>
    <w:link w:val="19"/>
    <w:unhideWhenUsed/>
    <w:qFormat/>
    <w:uiPriority w:val="99"/>
    <w:pPr>
      <w:tabs>
        <w:tab w:val="center" w:pos="4153"/>
        <w:tab w:val="right" w:pos="8306"/>
      </w:tabs>
      <w:snapToGrid w:val="0"/>
      <w:jc w:val="left"/>
    </w:pPr>
    <w:rPr>
      <w:kern w:val="0"/>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annotation subject"/>
    <w:basedOn w:val="5"/>
    <w:next w:val="5"/>
    <w:link w:val="50"/>
    <w:semiHidden/>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ascii="Times New Roman" w:hAnsi="Times New Roman" w:eastAsia="宋体"/>
      <w:sz w:val="18"/>
    </w:rPr>
  </w:style>
  <w:style w:type="character" w:styleId="16">
    <w:name w:val="annotation reference"/>
    <w:basedOn w:val="14"/>
    <w:semiHidden/>
    <w:unhideWhenUsed/>
    <w:qFormat/>
    <w:uiPriority w:val="99"/>
    <w:rPr>
      <w:sz w:val="21"/>
      <w:szCs w:val="21"/>
    </w:rPr>
  </w:style>
  <w:style w:type="character" w:customStyle="1" w:styleId="17">
    <w:name w:val="批注框文本 字符"/>
    <w:link w:val="8"/>
    <w:semiHidden/>
    <w:qFormat/>
    <w:uiPriority w:val="99"/>
    <w:rPr>
      <w:rFonts w:ascii="Times New Roman" w:hAnsi="Times New Roman" w:eastAsia="宋体" w:cs="Times New Roman"/>
      <w:sz w:val="18"/>
      <w:szCs w:val="18"/>
    </w:rPr>
  </w:style>
  <w:style w:type="character" w:customStyle="1" w:styleId="18">
    <w:name w:val="日期 字符"/>
    <w:basedOn w:val="14"/>
    <w:link w:val="7"/>
    <w:semiHidden/>
    <w:qFormat/>
    <w:uiPriority w:val="99"/>
    <w:rPr>
      <w:kern w:val="2"/>
      <w:sz w:val="21"/>
      <w:szCs w:val="24"/>
    </w:rPr>
  </w:style>
  <w:style w:type="character" w:customStyle="1" w:styleId="19">
    <w:name w:val="页脚 字符"/>
    <w:link w:val="9"/>
    <w:semiHidden/>
    <w:qFormat/>
    <w:uiPriority w:val="99"/>
    <w:rPr>
      <w:sz w:val="18"/>
      <w:szCs w:val="18"/>
    </w:rPr>
  </w:style>
  <w:style w:type="character" w:customStyle="1" w:styleId="20">
    <w:name w:val="段 Char"/>
    <w:link w:val="21"/>
    <w:qFormat/>
    <w:uiPriority w:val="0"/>
    <w:rPr>
      <w:rFonts w:ascii="宋体"/>
      <w:sz w:val="21"/>
      <w:lang w:val="en-US" w:eastAsia="zh-CN" w:bidi="ar-SA"/>
    </w:rPr>
  </w:style>
  <w:style w:type="paragraph" w:customStyle="1" w:styleId="21">
    <w:name w:val="段"/>
    <w:link w:val="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
    <w:name w:val="纯文本 字符"/>
    <w:link w:val="6"/>
    <w:qFormat/>
    <w:uiPriority w:val="0"/>
    <w:rPr>
      <w:rFonts w:ascii="宋体" w:hAnsi="Courier New" w:eastAsia="宋体" w:cs="Times New Roman"/>
      <w:szCs w:val="20"/>
    </w:rPr>
  </w:style>
  <w:style w:type="character" w:customStyle="1" w:styleId="23">
    <w:name w:val="发布"/>
    <w:qFormat/>
    <w:uiPriority w:val="0"/>
    <w:rPr>
      <w:rFonts w:ascii="黑体" w:eastAsia="黑体"/>
      <w:spacing w:val="22"/>
      <w:w w:val="100"/>
      <w:position w:val="3"/>
      <w:sz w:val="28"/>
    </w:rPr>
  </w:style>
  <w:style w:type="character" w:styleId="24">
    <w:name w:val="Placeholder Text"/>
    <w:semiHidden/>
    <w:qFormat/>
    <w:uiPriority w:val="99"/>
    <w:rPr>
      <w:color w:val="808080"/>
    </w:rPr>
  </w:style>
  <w:style w:type="character" w:customStyle="1" w:styleId="25">
    <w:name w:val="页眉 字符"/>
    <w:link w:val="10"/>
    <w:semiHidden/>
    <w:qFormat/>
    <w:uiPriority w:val="99"/>
    <w:rPr>
      <w:sz w:val="18"/>
      <w:szCs w:val="18"/>
    </w:rPr>
  </w:style>
  <w:style w:type="paragraph" w:customStyle="1" w:styleId="2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8">
    <w:name w:val="四级条标题"/>
    <w:basedOn w:val="29"/>
    <w:next w:val="21"/>
    <w:qFormat/>
    <w:uiPriority w:val="0"/>
    <w:pPr>
      <w:numPr>
        <w:ilvl w:val="5"/>
      </w:numPr>
      <w:outlineLvl w:val="5"/>
    </w:pPr>
  </w:style>
  <w:style w:type="paragraph" w:customStyle="1" w:styleId="29">
    <w:name w:val="三级条标题"/>
    <w:basedOn w:val="30"/>
    <w:next w:val="21"/>
    <w:qFormat/>
    <w:uiPriority w:val="0"/>
    <w:pPr>
      <w:numPr>
        <w:ilvl w:val="4"/>
      </w:numPr>
      <w:outlineLvl w:val="4"/>
    </w:pPr>
  </w:style>
  <w:style w:type="paragraph" w:customStyle="1" w:styleId="30">
    <w:name w:val="二级条标题"/>
    <w:basedOn w:val="31"/>
    <w:next w:val="21"/>
    <w:qFormat/>
    <w:uiPriority w:val="0"/>
    <w:pPr>
      <w:numPr>
        <w:ilvl w:val="3"/>
      </w:numPr>
      <w:outlineLvl w:val="3"/>
    </w:pPr>
  </w:style>
  <w:style w:type="paragraph" w:customStyle="1" w:styleId="31">
    <w:name w:val="一级条标题"/>
    <w:basedOn w:val="32"/>
    <w:next w:val="21"/>
    <w:qFormat/>
    <w:uiPriority w:val="0"/>
    <w:pPr>
      <w:numPr>
        <w:ilvl w:val="2"/>
      </w:numPr>
      <w:spacing w:beforeLines="0" w:afterLines="0"/>
      <w:outlineLvl w:val="2"/>
    </w:pPr>
  </w:style>
  <w:style w:type="paragraph" w:customStyle="1" w:styleId="32">
    <w:name w:val="章标题"/>
    <w:next w:val="2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33">
    <w:name w:val="封面正文"/>
    <w:qFormat/>
    <w:uiPriority w:val="0"/>
    <w:pPr>
      <w:jc w:val="both"/>
    </w:pPr>
    <w:rPr>
      <w:rFonts w:ascii="Times New Roman" w:hAnsi="Times New Roman" w:eastAsia="宋体" w:cs="Times New Roman"/>
      <w:lang w:val="en-US" w:eastAsia="zh-CN" w:bidi="ar-SA"/>
    </w:rPr>
  </w:style>
  <w:style w:type="paragraph" w:styleId="34">
    <w:name w:val="List Paragraph"/>
    <w:basedOn w:val="1"/>
    <w:qFormat/>
    <w:uiPriority w:val="99"/>
    <w:pPr>
      <w:ind w:firstLine="420" w:firstLineChars="200"/>
    </w:pPr>
  </w:style>
  <w:style w:type="paragraph" w:customStyle="1" w:styleId="35">
    <w:name w:val="标准书眉_偶数页"/>
    <w:basedOn w:val="36"/>
    <w:next w:val="1"/>
    <w:qFormat/>
    <w:uiPriority w:val="0"/>
    <w:pPr>
      <w:tabs>
        <w:tab w:val="center" w:pos="4154"/>
        <w:tab w:val="right" w:pos="8306"/>
      </w:tabs>
      <w:jc w:val="left"/>
    </w:pPr>
  </w:style>
  <w:style w:type="paragraph" w:customStyle="1" w:styleId="3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7">
    <w:name w:val="实施日期"/>
    <w:basedOn w:val="38"/>
    <w:qFormat/>
    <w:uiPriority w:val="0"/>
    <w:pPr>
      <w:framePr w:hSpace="0" w:xAlign="right"/>
      <w:jc w:val="right"/>
    </w:pPr>
  </w:style>
  <w:style w:type="paragraph" w:customStyle="1" w:styleId="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9">
    <w:name w:val="标准"/>
    <w:basedOn w:val="1"/>
    <w:qFormat/>
    <w:uiPriority w:val="0"/>
    <w:pPr>
      <w:adjustRightInd w:val="0"/>
      <w:spacing w:line="312" w:lineRule="atLeast"/>
      <w:jc w:val="center"/>
      <w:textAlignment w:val="baseline"/>
    </w:pPr>
    <w:rPr>
      <w:kern w:val="0"/>
      <w:szCs w:val="20"/>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4">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5">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46">
    <w:name w:val="发布部门"/>
    <w:next w:val="2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4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
    <w:name w:val="五级条标题"/>
    <w:basedOn w:val="28"/>
    <w:next w:val="21"/>
    <w:qFormat/>
    <w:uiPriority w:val="0"/>
    <w:pPr>
      <w:numPr>
        <w:ilvl w:val="6"/>
      </w:numPr>
      <w:outlineLvl w:val="6"/>
    </w:pPr>
  </w:style>
  <w:style w:type="character" w:customStyle="1" w:styleId="49">
    <w:name w:val="批注文字 字符"/>
    <w:basedOn w:val="14"/>
    <w:link w:val="5"/>
    <w:semiHidden/>
    <w:qFormat/>
    <w:uiPriority w:val="99"/>
    <w:rPr>
      <w:kern w:val="2"/>
      <w:sz w:val="21"/>
      <w:szCs w:val="24"/>
    </w:rPr>
  </w:style>
  <w:style w:type="character" w:customStyle="1" w:styleId="50">
    <w:name w:val="批注主题 字符"/>
    <w:basedOn w:val="49"/>
    <w:link w:val="11"/>
    <w:semiHidden/>
    <w:qFormat/>
    <w:uiPriority w:val="99"/>
    <w:rPr>
      <w:b/>
      <w:bCs/>
      <w:kern w:val="2"/>
      <w:sz w:val="21"/>
      <w:szCs w:val="24"/>
    </w:rPr>
  </w:style>
  <w:style w:type="paragraph" w:customStyle="1" w:styleId="51">
    <w:name w:val="标准书眉一"/>
    <w:qFormat/>
    <w:uiPriority w:val="0"/>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828</Words>
  <Characters>4726</Characters>
  <Lines>39</Lines>
  <Paragraphs>11</Paragraphs>
  <TotalTime>4</TotalTime>
  <ScaleCrop>false</ScaleCrop>
  <LinksUpToDate>false</LinksUpToDate>
  <CharactersWithSpaces>5543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2022-03-21T02:16:00Z</dcterms:created>
  <dc:creator>lenovo</dc:creator>
  <cp:lastModifiedBy>zxiao</cp:lastModifiedBy>
  <dcterms:modified xsi:type="dcterms:W3CDTF">2022-03-24T00:48:53Z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C1BE3790C313471994EAD6791157410D</vt:lpwstr>
  </property>
</Properties>
</file>