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framePr w:w="0" w:hRule="auto" w:wrap="auto" w:vAnchor="margin" w:hAnchor="text" w:xAlign="left" w:yAlign="inline"/>
        <w:ind w:right="628"/>
        <w:rPr>
          <w:rFonts w:eastAsia="黑体"/>
          <w:color w:val="000000"/>
          <w:w w:val="120"/>
          <w:sz w:val="144"/>
          <w:szCs w:val="144"/>
          <w:highlight w:val="none"/>
        </w:rPr>
      </w:pPr>
      <w:bookmarkStart w:id="0" w:name="SectionMark0"/>
      <w:r>
        <w:rPr>
          <w:rFonts w:hint="eastAsia" w:ascii="黑体" w:hAnsi="黑体" w:eastAsia="黑体" w:cs="黑体"/>
          <w:sz w:val="144"/>
          <w:highlight w:val="none"/>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118110</wp:posOffset>
                </wp:positionV>
                <wp:extent cx="1109980" cy="643255"/>
                <wp:effectExtent l="0" t="0" r="7620" b="4445"/>
                <wp:wrapNone/>
                <wp:docPr id="9" name="矩形 96"/>
                <wp:cNvGraphicFramePr/>
                <a:graphic xmlns:a="http://schemas.openxmlformats.org/drawingml/2006/main">
                  <a:graphicData uri="http://schemas.microsoft.com/office/word/2010/wordprocessingShape">
                    <wps:wsp>
                      <wps:cNvSpPr/>
                      <wps:spPr>
                        <a:xfrm>
                          <a:off x="0" y="0"/>
                          <a:ext cx="1109980" cy="643255"/>
                        </a:xfrm>
                        <a:prstGeom prst="rect">
                          <a:avLst/>
                        </a:prstGeom>
                        <a:solidFill>
                          <a:srgbClr val="FFFFFF"/>
                        </a:solidFill>
                        <a:ln>
                          <a:noFill/>
                        </a:ln>
                        <a:effectLst/>
                      </wps:spPr>
                      <wps:txbx>
                        <w:txbxContent>
                          <w:p>
                            <w:pPr>
                              <w:pStyle w:val="85"/>
                              <w:rPr>
                                <w:rFonts w:hint="eastAsia" w:ascii="黑体" w:hAnsi="黑体" w:eastAsia="黑体" w:cs="黑体"/>
                                <w:sz w:val="21"/>
                                <w:szCs w:val="21"/>
                              </w:rPr>
                            </w:pPr>
                            <w:r>
                              <w:rPr>
                                <w:rFonts w:hint="eastAsia" w:ascii="黑体" w:hAnsi="黑体" w:eastAsia="黑体" w:cs="黑体"/>
                                <w:sz w:val="21"/>
                                <w:szCs w:val="21"/>
                              </w:rPr>
                              <w:t>ICS 77.120.99</w:t>
                            </w:r>
                          </w:p>
                          <w:p>
                            <w:pPr>
                              <w:pStyle w:val="85"/>
                              <w:rPr>
                                <w:rFonts w:hint="eastAsia" w:ascii="黑体" w:hAnsi="黑体" w:eastAsia="黑体" w:cs="黑体"/>
                                <w:sz w:val="21"/>
                                <w:szCs w:val="21"/>
                              </w:rPr>
                            </w:pPr>
                            <w:r>
                              <w:rPr>
                                <w:rFonts w:hint="eastAsia" w:ascii="黑体" w:hAnsi="黑体" w:eastAsia="黑体" w:cs="黑体"/>
                                <w:sz w:val="21"/>
                                <w:szCs w:val="21"/>
                              </w:rPr>
                              <w:t>H 01</w:t>
                            </w:r>
                          </w:p>
                        </w:txbxContent>
                      </wps:txbx>
                      <wps:bodyPr vert="horz" wrap="square" anchor="t" anchorCtr="0" upright="1"/>
                    </wps:wsp>
                  </a:graphicData>
                </a:graphic>
              </wp:anchor>
            </w:drawing>
          </mc:Choice>
          <mc:Fallback>
            <w:pict>
              <v:rect id="矩形 96" o:spid="_x0000_s1026" o:spt="1" style="position:absolute;left:0pt;margin-left:5.25pt;margin-top:9.3pt;height:50.65pt;width:87.4pt;z-index:251667456;mso-width-relative:page;mso-height-relative:page;" fillcolor="#FFFFFF" filled="t" stroked="f" coordsize="21600,21600" o:gfxdata="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DxBfNYAAAAJAQAADwAAAAAAAAAB&#10;ACAAAAAiAAAAZHJzL2Rvd25yZXYueG1sUEsBAhQAFAAAAAgAh07iQDo1rinZAQAArAMAAA4AAAAA&#10;AAAAAQAgAAAAJQEAAGRycy9lMm9Eb2MueG1sUEsFBgAAAAAGAAYAWQEAAHAFAAAAAA==&#10;">
                <v:fill on="t" focussize="0,0"/>
                <v:stroke on="f"/>
                <v:imagedata o:title=""/>
                <o:lock v:ext="edit" aspectratio="f"/>
                <v:textbox>
                  <w:txbxContent>
                    <w:p>
                      <w:pPr>
                        <w:pStyle w:val="85"/>
                        <w:rPr>
                          <w:rFonts w:hint="eastAsia" w:ascii="黑体" w:hAnsi="黑体" w:eastAsia="黑体" w:cs="黑体"/>
                          <w:sz w:val="21"/>
                          <w:szCs w:val="21"/>
                        </w:rPr>
                      </w:pPr>
                      <w:r>
                        <w:rPr>
                          <w:rFonts w:hint="eastAsia" w:ascii="黑体" w:hAnsi="黑体" w:eastAsia="黑体" w:cs="黑体"/>
                          <w:sz w:val="21"/>
                          <w:szCs w:val="21"/>
                        </w:rPr>
                        <w:t>ICS 77.120.99</w:t>
                      </w:r>
                    </w:p>
                    <w:p>
                      <w:pPr>
                        <w:pStyle w:val="85"/>
                        <w:rPr>
                          <w:rFonts w:hint="eastAsia" w:ascii="黑体" w:hAnsi="黑体" w:eastAsia="黑体" w:cs="黑体"/>
                          <w:sz w:val="21"/>
                          <w:szCs w:val="21"/>
                        </w:rPr>
                      </w:pPr>
                      <w:r>
                        <w:rPr>
                          <w:rFonts w:hint="eastAsia" w:ascii="黑体" w:hAnsi="黑体" w:eastAsia="黑体" w:cs="黑体"/>
                          <w:sz w:val="21"/>
                          <w:szCs w:val="21"/>
                        </w:rPr>
                        <w:t>H 01</w:t>
                      </w:r>
                    </w:p>
                  </w:txbxContent>
                </v:textbox>
              </v:rect>
            </w:pict>
          </mc:Fallback>
        </mc:AlternateContent>
      </w:r>
      <w:r>
        <w:rPr>
          <w:rFonts w:eastAsia="黑体"/>
          <w:color w:val="000000"/>
          <w:w w:val="120"/>
          <w:sz w:val="144"/>
          <w:szCs w:val="144"/>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w37+&#10;1QAAAAoBAAAPAAAAAAAAAAEAIAAAACIAAABkcnMvZG93bnJldi54bWxQSwECFAAUAAAACACHTuJA&#10;5NgOausBAADrAwAADgAAAAAAAAABACAAAAAkAQAAZHJzL2Uyb0RvYy54bWxQSwUGAAAAAAYABgBZ&#10;AQAAgQUAAAAA&#10;">
                <v:fill on="f" focussize="0,0"/>
                <v:stroke weight="1pt" color="#000000" joinstyle="round"/>
                <v:imagedata o:title=""/>
                <o:lock v:ext="edit" aspectratio="f"/>
              </v:line>
            </w:pict>
          </mc:Fallback>
        </mc:AlternateContent>
      </w:r>
      <w:r>
        <w:rPr>
          <w:rFonts w:eastAsia="黑体"/>
          <w:color w:val="000000"/>
          <w:w w:val="120"/>
          <w:sz w:val="144"/>
          <w:szCs w:val="144"/>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6mo&#10;VtYAAAAIAQAADwAAAAAAAAABACAAAAAiAAAAZHJzL2Rvd25yZXYueG1sUEsBAhQAFAAAAAgAh07i&#10;QFqUuvDrAQAA6wMAAA4AAAAAAAAAAQAgAAAAJQEAAGRycy9lMm9Eb2MueG1sUEsFBgAAAAAGAAYA&#10;WQEAAIIFAAAAAA==&#10;">
                <v:fill on="f" focussize="0,0"/>
                <v:stroke weight="1pt" color="#000000" joinstyle="round"/>
                <v:imagedata o:title=""/>
                <o:lock v:ext="edit" aspectratio="f"/>
              </v:line>
            </w:pict>
          </mc:Fallback>
        </mc:AlternateContent>
      </w:r>
      <w:r>
        <w:rPr>
          <w:rFonts w:eastAsia="黑体"/>
          <w:color w:val="000000"/>
          <w:w w:val="120"/>
          <w:sz w:val="144"/>
          <w:szCs w:val="144"/>
          <w:highlight w:val="none"/>
        </w:rPr>
        <mc:AlternateContent>
          <mc:Choice Requires="wps">
            <w:drawing>
              <wp:anchor distT="0" distB="0" distL="114300" distR="114300" simplePos="0" relativeHeight="251664384" behindDoc="0" locked="1" layoutInCell="1" allowOverlap="1">
                <wp:simplePos x="0" y="0"/>
                <wp:positionH relativeFrom="margin">
                  <wp:align>center</wp:align>
                </wp:positionH>
                <wp:positionV relativeFrom="margin">
                  <wp:posOffset>8946515</wp:posOffset>
                </wp:positionV>
                <wp:extent cx="6120130" cy="661670"/>
                <wp:effectExtent l="0" t="0" r="1270" b="11430"/>
                <wp:wrapNone/>
                <wp:docPr id="6" name="fmFrame7"/>
                <wp:cNvGraphicFramePr/>
                <a:graphic xmlns:a="http://schemas.openxmlformats.org/drawingml/2006/main">
                  <a:graphicData uri="http://schemas.microsoft.com/office/word/2010/wordprocessingShape">
                    <wps:wsp>
                      <wps:cNvSpPr txBox="1"/>
                      <wps:spPr>
                        <a:xfrm>
                          <a:off x="0" y="0"/>
                          <a:ext cx="6120130" cy="661670"/>
                        </a:xfrm>
                        <a:prstGeom prst="rect">
                          <a:avLst/>
                        </a:prstGeom>
                        <a:solidFill>
                          <a:srgbClr val="FFFFFF"/>
                        </a:solidFill>
                        <a:ln>
                          <a:noFill/>
                        </a:ln>
                        <a:effectLst/>
                      </wps:spPr>
                      <wps:txbx>
                        <w:txbxContent>
                          <w:p>
                            <w:pPr>
                              <w:pStyle w:val="69"/>
                              <w:spacing w:line="240" w:lineRule="atLeast"/>
                              <w:rPr>
                                <w:rFonts w:hint="eastAsia" w:ascii="黑体" w:hAnsi="黑体" w:eastAsia="黑体"/>
                                <w:b w:val="0"/>
                                <w:spacing w:val="22"/>
                                <w:w w:val="100"/>
                                <w:position w:val="3"/>
                                <w:sz w:val="32"/>
                                <w:szCs w:val="24"/>
                              </w:rPr>
                            </w:pPr>
                            <w:r>
                              <w:rPr>
                                <w:rFonts w:hint="eastAsia" w:ascii="黑体" w:hAnsi="黑体" w:eastAsia="黑体"/>
                                <w:b w:val="0"/>
                                <w:spacing w:val="0"/>
                                <w:w w:val="100"/>
                              </w:rPr>
                              <w:t xml:space="preserve">中华人民共和国工业和信息化部  </w:t>
                            </w:r>
                            <w:r>
                              <w:rPr>
                                <w:rFonts w:hint="eastAsia" w:ascii="黑体" w:hAnsi="黑体" w:eastAsia="黑体"/>
                                <w:b w:val="0"/>
                                <w:spacing w:val="0"/>
                                <w:w w:val="100"/>
                                <w:sz w:val="24"/>
                                <w:szCs w:val="21"/>
                              </w:rPr>
                              <w:t>发  布</w:t>
                            </w:r>
                          </w:p>
                          <w:p>
                            <w:pPr>
                              <w:rPr>
                                <w:rFonts w:hint="eastAsia"/>
                              </w:rPr>
                            </w:pPr>
                          </w:p>
                        </w:txbxContent>
                      </wps:txbx>
                      <wps:bodyPr vert="horz" wrap="square" lIns="0" tIns="0" rIns="0" bIns="0" anchor="t" anchorCtr="0" upright="1"/>
                    </wps:wsp>
                  </a:graphicData>
                </a:graphic>
              </wp:anchor>
            </w:drawing>
          </mc:Choice>
          <mc:Fallback>
            <w:pict>
              <v:shape id="fmFrame7" o:spid="_x0000_s1026" o:spt="202" type="#_x0000_t202" style="position:absolute;left:0pt;margin-top:704.45pt;height:52.1pt;width:481.9pt;mso-position-horizontal:center;mso-position-horizontal-relative:margin;mso-position-vertical-relative:margin;z-index:251664384;mso-width-relative:page;mso-height-relative:page;" fillcolor="#FFFFFF" filled="t" stroked="f" coordsize="21600,21600" o:gfxdata="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80fq2QAAAAoB&#10;AAAPAAAAAAAAAAEAIAAAACIAAABkcnMvZG93bnJldi54bWxQSwECFAAUAAAACACHTuJAfjV6weEB&#10;AADZAwAADgAAAAAAAAABACAAAAAoAQAAZHJzL2Uyb0RvYy54bWxQSwUGAAAAAAYABgBZAQAAewUA&#10;AAAA&#10;">
                <v:fill on="t" focussize="0,0"/>
                <v:stroke on="f"/>
                <v:imagedata o:title=""/>
                <o:lock v:ext="edit" aspectratio="f"/>
                <v:textbox inset="0mm,0mm,0mm,0mm">
                  <w:txbxContent>
                    <w:p>
                      <w:pPr>
                        <w:pStyle w:val="69"/>
                        <w:spacing w:line="240" w:lineRule="atLeast"/>
                        <w:rPr>
                          <w:rFonts w:hint="eastAsia" w:ascii="黑体" w:hAnsi="黑体" w:eastAsia="黑体"/>
                          <w:b w:val="0"/>
                          <w:spacing w:val="22"/>
                          <w:w w:val="100"/>
                          <w:position w:val="3"/>
                          <w:sz w:val="32"/>
                          <w:szCs w:val="24"/>
                        </w:rPr>
                      </w:pPr>
                      <w:r>
                        <w:rPr>
                          <w:rFonts w:hint="eastAsia" w:ascii="黑体" w:hAnsi="黑体" w:eastAsia="黑体"/>
                          <w:b w:val="0"/>
                          <w:spacing w:val="0"/>
                          <w:w w:val="100"/>
                        </w:rPr>
                        <w:t xml:space="preserve">中华人民共和国工业和信息化部  </w:t>
                      </w:r>
                      <w:r>
                        <w:rPr>
                          <w:rFonts w:hint="eastAsia" w:ascii="黑体" w:hAnsi="黑体" w:eastAsia="黑体"/>
                          <w:b w:val="0"/>
                          <w:spacing w:val="0"/>
                          <w:w w:val="100"/>
                          <w:sz w:val="24"/>
                          <w:szCs w:val="21"/>
                        </w:rPr>
                        <w:t>发  布</w:t>
                      </w:r>
                    </w:p>
                    <w:p>
                      <w:pPr>
                        <w:rPr>
                          <w:rFonts w:hint="eastAsia"/>
                        </w:rPr>
                      </w:pP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508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83"/>
                            </w:pPr>
                            <w:r>
                              <w:rPr>
                                <w:rFonts w:hint="eastAsia" w:ascii="黑体" w:hAnsi="黑体"/>
                                <w:lang w:val="en-US" w:eastAsia="zh-CN"/>
                              </w:rPr>
                              <w:t>202</w:t>
                            </w:r>
                            <w:r>
                              <w:rPr>
                                <w:rFonts w:hint="eastAsia" w:ascii="黑体" w:hAnsi="黑体"/>
                              </w:rPr>
                              <w:t>X-XX-XX</w:t>
                            </w:r>
                            <w:r>
                              <w:rPr>
                                <w:rFonts w:hint="eastAsia"/>
                              </w:rPr>
                              <w:t>实施</w:t>
                            </w:r>
                          </w:p>
                        </w:txbxContent>
                      </wps:txbx>
                      <wps:bodyPr vert="horz" wrap="square" lIns="0" tIns="0" rIns="0" bIns="0" anchor="t" anchorCtr="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L9qtfaAAAA&#10;DQEAAA8AAAAAAAAAAQAgAAAAIgAAAGRycy9kb3ducmV2LnhtbFBLAQIUABQAAAAIAIdO4kB3TsZr&#10;4gEAANkDAAAOAAAAAAAAAAEAIAAAACkBAABkcnMvZTJvRG9jLnhtbFBLBQYAAAAABgAGAFkBAAB9&#10;BQAAAAA=&#10;">
                <v:fill on="t" focussize="0,0"/>
                <v:stroke on="f"/>
                <v:imagedata o:title=""/>
                <o:lock v:ext="edit" aspectratio="f"/>
                <v:textbox inset="0mm,0mm,0mm,0mm">
                  <w:txbxContent>
                    <w:p>
                      <w:pPr>
                        <w:pStyle w:val="83"/>
                      </w:pPr>
                      <w:r>
                        <w:rPr>
                          <w:rFonts w:hint="eastAsia" w:ascii="黑体" w:hAnsi="黑体"/>
                          <w:lang w:val="en-US" w:eastAsia="zh-CN"/>
                        </w:rPr>
                        <w:t>202</w:t>
                      </w:r>
                      <w:r>
                        <w:rPr>
                          <w:rFonts w:hint="eastAsia" w:ascii="黑体" w:hAnsi="黑体"/>
                        </w:rPr>
                        <w:t>X-XX-XX</w:t>
                      </w:r>
                      <w:r>
                        <w:rPr>
                          <w:rFonts w:hint="eastAsia"/>
                        </w:rPr>
                        <w:t>实施</w:t>
                      </w: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66"/>
                            </w:pPr>
                            <w:r>
                              <w:rPr>
                                <w:rFonts w:hint="eastAsia" w:ascii="黑体" w:hAnsi="黑体"/>
                                <w:lang w:val="en-US" w:eastAsia="zh-CN"/>
                              </w:rPr>
                              <w:t>202</w:t>
                            </w:r>
                            <w:r>
                              <w:rPr>
                                <w:rFonts w:hint="eastAsia" w:ascii="黑体" w:hAnsi="黑体"/>
                              </w:rPr>
                              <w:t>X-XX-XX</w:t>
                            </w:r>
                            <w:r>
                              <w:rPr>
                                <w:rFonts w:hint="eastAsia"/>
                              </w:rPr>
                              <w:t>发布</w:t>
                            </w:r>
                          </w:p>
                        </w:txbxContent>
                      </wps:txbx>
                      <wps:bodyPr vert="horz" wrap="square" lIns="0" tIns="0" rIns="0" bIns="0" anchor="t" anchorCtr="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NsqI2AAAAAoB&#10;AAAPAAAAAAAAAAEAIAAAACIAAABkcnMvZG93bnJldi54bWxQSwECFAAUAAAACACHTuJAI1mkLeIB&#10;AADZAwAADgAAAAAAAAABACAAAAAnAQAAZHJzL2Uyb0RvYy54bWxQSwUGAAAAAAYABgBZAQAAewUA&#10;AAAA&#10;">
                <v:fill on="t" focussize="0,0"/>
                <v:stroke on="f"/>
                <v:imagedata o:title=""/>
                <o:lock v:ext="edit" aspectratio="f"/>
                <v:textbox inset="0mm,0mm,0mm,0mm">
                  <w:txbxContent>
                    <w:p>
                      <w:pPr>
                        <w:pStyle w:val="66"/>
                      </w:pPr>
                      <w:r>
                        <w:rPr>
                          <w:rFonts w:hint="eastAsia" w:ascii="黑体" w:hAnsi="黑体"/>
                          <w:lang w:val="en-US" w:eastAsia="zh-CN"/>
                        </w:rPr>
                        <w:t>202</w:t>
                      </w:r>
                      <w:r>
                        <w:rPr>
                          <w:rFonts w:hint="eastAsia" w:ascii="黑体" w:hAnsi="黑体"/>
                        </w:rPr>
                        <w:t>X-XX-XX</w:t>
                      </w:r>
                      <w:r>
                        <w:rPr>
                          <w:rFonts w:hint="eastAsia"/>
                        </w:rPr>
                        <w:t>发布</w:t>
                      </w: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a:effectLst/>
                      </wps:spPr>
                      <wps:txbx>
                        <w:txbxContent>
                          <w:p>
                            <w:pPr>
                              <w:pStyle w:val="107"/>
                              <w:rPr>
                                <w:color w:val="000000"/>
                              </w:rPr>
                            </w:pPr>
                            <w:r>
                              <w:rPr>
                                <w:rFonts w:hint="eastAsia"/>
                                <w:color w:val="000000"/>
                              </w:rPr>
                              <w:t>稀土</w:t>
                            </w:r>
                            <w:r>
                              <w:rPr>
                                <w:color w:val="000000"/>
                              </w:rPr>
                              <w:t>抛光粉</w:t>
                            </w:r>
                            <w:r>
                              <w:rPr>
                                <w:rFonts w:hint="eastAsia"/>
                                <w:color w:val="000000"/>
                              </w:rPr>
                              <w:t>绿色工厂</w:t>
                            </w:r>
                            <w:r>
                              <w:rPr>
                                <w:color w:val="000000"/>
                              </w:rPr>
                              <w:t>评价</w:t>
                            </w:r>
                            <w:r>
                              <w:rPr>
                                <w:rFonts w:hint="eastAsia"/>
                                <w:color w:val="000000"/>
                              </w:rPr>
                              <w:t>要求</w:t>
                            </w:r>
                          </w:p>
                          <w:p>
                            <w:pPr>
                              <w:pStyle w:val="110"/>
                              <w:rPr>
                                <w:bCs/>
                                <w:color w:val="000000"/>
                              </w:rPr>
                            </w:pPr>
                            <w:r>
                              <w:rPr>
                                <w:rFonts w:hAnsi="宋体"/>
                                <w:bCs/>
                                <w:color w:val="000000"/>
                              </w:rPr>
                              <w:t>Green Factory E</w:t>
                            </w:r>
                            <w:r>
                              <w:rPr>
                                <w:bCs/>
                                <w:color w:val="000000"/>
                              </w:rPr>
                              <w:t xml:space="preserve">valuation </w:t>
                            </w:r>
                            <w:r>
                              <w:rPr>
                                <w:rFonts w:hint="eastAsia"/>
                                <w:bCs/>
                                <w:color w:val="000000"/>
                                <w:lang w:val="en-US" w:eastAsia="zh-CN"/>
                              </w:rPr>
                              <w:t>Requirements</w:t>
                            </w:r>
                            <w:r>
                              <w:rPr>
                                <w:bCs/>
                                <w:color w:val="000000"/>
                              </w:rPr>
                              <w:t xml:space="preserve"> </w:t>
                            </w:r>
                            <w:r>
                              <w:rPr>
                                <w:rFonts w:hint="eastAsia"/>
                                <w:bCs/>
                                <w:color w:val="000000"/>
                                <w:lang w:val="en-US" w:eastAsia="zh-CN"/>
                              </w:rPr>
                              <w:t>For Rare Earth</w:t>
                            </w:r>
                            <w:r>
                              <w:rPr>
                                <w:bCs/>
                                <w:color w:val="000000"/>
                              </w:rPr>
                              <w:t xml:space="preserve"> </w:t>
                            </w:r>
                            <w:r>
                              <w:rPr>
                                <w:rFonts w:hint="eastAsia" w:ascii="Times New Roman"/>
                                <w:lang w:val="en-US" w:eastAsia="zh-CN"/>
                              </w:rPr>
                              <w:t>P</w:t>
                            </w:r>
                            <w:r>
                              <w:rPr>
                                <w:rFonts w:ascii="Times New Roman"/>
                              </w:rPr>
                              <w:t xml:space="preserve">olishing </w:t>
                            </w:r>
                            <w:r>
                              <w:rPr>
                                <w:rFonts w:hint="eastAsia" w:ascii="Times New Roman"/>
                                <w:lang w:val="en-US" w:eastAsia="zh-CN"/>
                              </w:rPr>
                              <w:t>P</w:t>
                            </w:r>
                            <w:r>
                              <w:rPr>
                                <w:rFonts w:ascii="Times New Roman"/>
                              </w:rPr>
                              <w:t>owder</w:t>
                            </w:r>
                            <w:r>
                              <w:rPr>
                                <w:rFonts w:hint="eastAsia" w:ascii="Times New Roman"/>
                                <w:lang w:val="en-US" w:eastAsia="zh-CN"/>
                              </w:rPr>
                              <w:t xml:space="preserve"> </w:t>
                            </w:r>
                            <w:r>
                              <w:rPr>
                                <w:bCs/>
                                <w:color w:val="000000"/>
                              </w:rPr>
                              <w:t>Factory</w:t>
                            </w:r>
                          </w:p>
                          <w:p>
                            <w:pPr>
                              <w:pStyle w:val="127"/>
                              <w:rPr>
                                <w:rFonts w:hint="eastAsia"/>
                                <w:color w:val="000000"/>
                              </w:rPr>
                            </w:pPr>
                            <w:r>
                              <w:rPr>
                                <w:rFonts w:hint="eastAsia"/>
                                <w:color w:val="000000"/>
                              </w:rPr>
                              <w:t>（</w:t>
                            </w:r>
                            <w:r>
                              <w:rPr>
                                <w:rFonts w:hint="eastAsia"/>
                                <w:color w:val="000000"/>
                                <w:lang w:val="en-US" w:eastAsia="zh-CN"/>
                              </w:rPr>
                              <w:t>预审</w:t>
                            </w:r>
                            <w:r>
                              <w:rPr>
                                <w:rFonts w:hint="eastAsia"/>
                                <w:color w:val="000000"/>
                              </w:rPr>
                              <w:t>稿）</w:t>
                            </w:r>
                          </w:p>
                          <w:p>
                            <w:pPr>
                              <w:pStyle w:val="109"/>
                            </w:pPr>
                          </w:p>
                        </w:txbxContent>
                      </wps:txbx>
                      <wps:bodyPr vert="horz" wrap="square" lIns="0" tIns="0" rIns="0" bIns="0" anchor="t" anchorCtr="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RXn3HYAAAA&#10;CQEAAA8AAAAAAAAAAQAgAAAAIgAAAGRycy9kb3ducmV2LnhtbFBLAQIUABQAAAAIAIdO4kB5ToYA&#10;5AEAANoDAAAOAAAAAAAAAAEAIAAAACcBAABkcnMvZTJvRG9jLnhtbFBLBQYAAAAABgAGAFkBAAB9&#10;BQAAAAA=&#10;">
                <v:fill on="t" focussize="0,0"/>
                <v:stroke on="f"/>
                <v:imagedata o:title=""/>
                <o:lock v:ext="edit" aspectratio="f"/>
                <v:textbox inset="0mm,0mm,0mm,0mm">
                  <w:txbxContent>
                    <w:p>
                      <w:pPr>
                        <w:pStyle w:val="107"/>
                        <w:rPr>
                          <w:color w:val="000000"/>
                        </w:rPr>
                      </w:pPr>
                      <w:r>
                        <w:rPr>
                          <w:rFonts w:hint="eastAsia"/>
                          <w:color w:val="000000"/>
                        </w:rPr>
                        <w:t>稀土</w:t>
                      </w:r>
                      <w:r>
                        <w:rPr>
                          <w:color w:val="000000"/>
                        </w:rPr>
                        <w:t>抛光粉</w:t>
                      </w:r>
                      <w:r>
                        <w:rPr>
                          <w:rFonts w:hint="eastAsia"/>
                          <w:color w:val="000000"/>
                        </w:rPr>
                        <w:t>绿色工厂</w:t>
                      </w:r>
                      <w:r>
                        <w:rPr>
                          <w:color w:val="000000"/>
                        </w:rPr>
                        <w:t>评价</w:t>
                      </w:r>
                      <w:r>
                        <w:rPr>
                          <w:rFonts w:hint="eastAsia"/>
                          <w:color w:val="000000"/>
                        </w:rPr>
                        <w:t>要求</w:t>
                      </w:r>
                    </w:p>
                    <w:p>
                      <w:pPr>
                        <w:pStyle w:val="110"/>
                        <w:rPr>
                          <w:bCs/>
                          <w:color w:val="000000"/>
                        </w:rPr>
                      </w:pPr>
                      <w:r>
                        <w:rPr>
                          <w:rFonts w:hAnsi="宋体"/>
                          <w:bCs/>
                          <w:color w:val="000000"/>
                        </w:rPr>
                        <w:t>Green Factory E</w:t>
                      </w:r>
                      <w:r>
                        <w:rPr>
                          <w:bCs/>
                          <w:color w:val="000000"/>
                        </w:rPr>
                        <w:t xml:space="preserve">valuation </w:t>
                      </w:r>
                      <w:r>
                        <w:rPr>
                          <w:rFonts w:hint="eastAsia"/>
                          <w:bCs/>
                          <w:color w:val="000000"/>
                          <w:lang w:val="en-US" w:eastAsia="zh-CN"/>
                        </w:rPr>
                        <w:t>Requirements</w:t>
                      </w:r>
                      <w:r>
                        <w:rPr>
                          <w:bCs/>
                          <w:color w:val="000000"/>
                        </w:rPr>
                        <w:t xml:space="preserve"> </w:t>
                      </w:r>
                      <w:r>
                        <w:rPr>
                          <w:rFonts w:hint="eastAsia"/>
                          <w:bCs/>
                          <w:color w:val="000000"/>
                          <w:lang w:val="en-US" w:eastAsia="zh-CN"/>
                        </w:rPr>
                        <w:t>For Rare Earth</w:t>
                      </w:r>
                      <w:r>
                        <w:rPr>
                          <w:bCs/>
                          <w:color w:val="000000"/>
                        </w:rPr>
                        <w:t xml:space="preserve"> </w:t>
                      </w:r>
                      <w:r>
                        <w:rPr>
                          <w:rFonts w:hint="eastAsia" w:ascii="Times New Roman"/>
                          <w:lang w:val="en-US" w:eastAsia="zh-CN"/>
                        </w:rPr>
                        <w:t>P</w:t>
                      </w:r>
                      <w:r>
                        <w:rPr>
                          <w:rFonts w:ascii="Times New Roman"/>
                        </w:rPr>
                        <w:t xml:space="preserve">olishing </w:t>
                      </w:r>
                      <w:r>
                        <w:rPr>
                          <w:rFonts w:hint="eastAsia" w:ascii="Times New Roman"/>
                          <w:lang w:val="en-US" w:eastAsia="zh-CN"/>
                        </w:rPr>
                        <w:t>P</w:t>
                      </w:r>
                      <w:r>
                        <w:rPr>
                          <w:rFonts w:ascii="Times New Roman"/>
                        </w:rPr>
                        <w:t>owder</w:t>
                      </w:r>
                      <w:r>
                        <w:rPr>
                          <w:rFonts w:hint="eastAsia" w:ascii="Times New Roman"/>
                          <w:lang w:val="en-US" w:eastAsia="zh-CN"/>
                        </w:rPr>
                        <w:t xml:space="preserve"> </w:t>
                      </w:r>
                      <w:r>
                        <w:rPr>
                          <w:bCs/>
                          <w:color w:val="000000"/>
                        </w:rPr>
                        <w:t>Factory</w:t>
                      </w:r>
                    </w:p>
                    <w:p>
                      <w:pPr>
                        <w:pStyle w:val="127"/>
                        <w:rPr>
                          <w:rFonts w:hint="eastAsia"/>
                          <w:color w:val="000000"/>
                        </w:rPr>
                      </w:pPr>
                      <w:r>
                        <w:rPr>
                          <w:rFonts w:hint="eastAsia"/>
                          <w:color w:val="000000"/>
                        </w:rPr>
                        <w:t>（</w:t>
                      </w:r>
                      <w:r>
                        <w:rPr>
                          <w:rFonts w:hint="eastAsia"/>
                          <w:color w:val="000000"/>
                          <w:lang w:val="en-US" w:eastAsia="zh-CN"/>
                        </w:rPr>
                        <w:t>预审</w:t>
                      </w:r>
                      <w:r>
                        <w:rPr>
                          <w:rFonts w:hint="eastAsia"/>
                          <w:color w:val="000000"/>
                        </w:rPr>
                        <w:t>稿）</w:t>
                      </w:r>
                    </w:p>
                    <w:p>
                      <w:pPr>
                        <w:pStyle w:val="109"/>
                      </w:pP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1270" b="3175"/>
                <wp:wrapNone/>
                <wp:docPr id="2"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a:effectLst/>
                      </wps:spPr>
                      <wps:txbx>
                        <w:txbxContent>
                          <w:p>
                            <w:pPr>
                              <w:pStyle w:val="87"/>
                              <w:rPr>
                                <w:rFonts w:hint="eastAsia"/>
                              </w:rPr>
                            </w:pPr>
                          </w:p>
                          <w:p>
                            <w:pPr>
                              <w:pStyle w:val="87"/>
                              <w:wordWrap w:val="0"/>
                              <w:rPr>
                                <w:rFonts w:hint="eastAsia"/>
                              </w:rPr>
                            </w:pPr>
                            <w:r>
                              <w:rPr>
                                <w:rFonts w:hint="eastAsia"/>
                              </w:rPr>
                              <w:t xml:space="preserve">   X</w:t>
                            </w:r>
                            <w:r>
                              <w:t>B/T</w:t>
                            </w:r>
                            <w:r>
                              <w:rPr>
                                <w:rFonts w:hint="eastAsia"/>
                              </w:rPr>
                              <w:t xml:space="preserve"> </w:t>
                            </w:r>
                            <w:r>
                              <w:rPr>
                                <w:rFonts w:ascii="黑体" w:hAnsi="黑体" w:eastAsia="黑体"/>
                              </w:rPr>
                              <w:t>XXX</w:t>
                            </w:r>
                            <w:r>
                              <w:rPr>
                                <w:rFonts w:hint="eastAsia" w:ascii="黑体" w:hAnsi="黑体" w:eastAsia="黑体"/>
                                <w:lang w:val="en-US" w:eastAsia="zh-CN"/>
                              </w:rPr>
                              <w:t>X</w:t>
                            </w:r>
                            <w:r>
                              <w:rPr>
                                <w:rFonts w:eastAsia="黑体"/>
                              </w:rPr>
                              <w:t>-20</w:t>
                            </w:r>
                            <w:r>
                              <w:rPr>
                                <w:rFonts w:hint="eastAsia" w:ascii="黑体" w:hAnsi="黑体" w:eastAsia="黑体"/>
                                <w:lang w:val="en-US" w:eastAsia="zh-CN"/>
                              </w:rPr>
                              <w:t>2</w:t>
                            </w:r>
                            <w:r>
                              <w:rPr>
                                <w:rFonts w:ascii="黑体" w:hAnsi="黑体" w:eastAsia="黑体"/>
                              </w:rPr>
                              <w:t>X</w:t>
                            </w:r>
                          </w:p>
                          <w:p>
                            <w:pPr>
                              <w:pStyle w:val="86"/>
                            </w:pPr>
                          </w:p>
                        </w:txbxContent>
                      </wps:txbx>
                      <wps:bodyPr vert="horz" wrap="square" lIns="0" tIns="0" rIns="0" bIns="0" anchor="t" anchorCtr="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QGk+9gAAAAIAQAA&#10;DwAAAAAAAAABACAAAAAiAAAAZHJzL2Rvd25yZXYueG1sUEsBAhQAFAAAAAgAh07iQFbqMzHgAQAA&#10;2QMAAA4AAAAAAAAAAQAgAAAAJwEAAGRycy9lMm9Eb2MueG1sUEsFBgAAAAAGAAYAWQEAAHkFAAAA&#10;AA==&#10;">
                <v:fill on="t" focussize="0,0"/>
                <v:stroke on="f"/>
                <v:imagedata o:title=""/>
                <o:lock v:ext="edit" aspectratio="f"/>
                <v:textbox inset="0mm,0mm,0mm,0mm">
                  <w:txbxContent>
                    <w:p>
                      <w:pPr>
                        <w:pStyle w:val="87"/>
                        <w:rPr>
                          <w:rFonts w:hint="eastAsia"/>
                        </w:rPr>
                      </w:pPr>
                    </w:p>
                    <w:p>
                      <w:pPr>
                        <w:pStyle w:val="87"/>
                        <w:wordWrap w:val="0"/>
                        <w:rPr>
                          <w:rFonts w:hint="eastAsia"/>
                        </w:rPr>
                      </w:pPr>
                      <w:r>
                        <w:rPr>
                          <w:rFonts w:hint="eastAsia"/>
                        </w:rPr>
                        <w:t xml:space="preserve">   X</w:t>
                      </w:r>
                      <w:r>
                        <w:t>B/T</w:t>
                      </w:r>
                      <w:r>
                        <w:rPr>
                          <w:rFonts w:hint="eastAsia"/>
                        </w:rPr>
                        <w:t xml:space="preserve"> </w:t>
                      </w:r>
                      <w:r>
                        <w:rPr>
                          <w:rFonts w:ascii="黑体" w:hAnsi="黑体" w:eastAsia="黑体"/>
                        </w:rPr>
                        <w:t>XXX</w:t>
                      </w:r>
                      <w:r>
                        <w:rPr>
                          <w:rFonts w:hint="eastAsia" w:ascii="黑体" w:hAnsi="黑体" w:eastAsia="黑体"/>
                          <w:lang w:val="en-US" w:eastAsia="zh-CN"/>
                        </w:rPr>
                        <w:t>X</w:t>
                      </w:r>
                      <w:r>
                        <w:rPr>
                          <w:rFonts w:eastAsia="黑体"/>
                        </w:rPr>
                        <w:t>-20</w:t>
                      </w:r>
                      <w:r>
                        <w:rPr>
                          <w:rFonts w:hint="eastAsia" w:ascii="黑体" w:hAnsi="黑体" w:eastAsia="黑体"/>
                          <w:lang w:val="en-US" w:eastAsia="zh-CN"/>
                        </w:rPr>
                        <w:t>2</w:t>
                      </w:r>
                      <w:r>
                        <w:rPr>
                          <w:rFonts w:ascii="黑体" w:hAnsi="黑体" w:eastAsia="黑体"/>
                        </w:rPr>
                        <w:t>X</w:t>
                      </w:r>
                    </w:p>
                    <w:p>
                      <w:pPr>
                        <w:pStyle w:val="86"/>
                      </w:pPr>
                    </w:p>
                  </w:txbxContent>
                </v:textbox>
                <w10:anchorlock/>
              </v:shape>
            </w:pict>
          </mc:Fallback>
        </mc:AlternateContent>
      </w:r>
      <w:r>
        <w:rPr>
          <w:rFonts w:eastAsia="黑体"/>
          <w:color w:val="000000"/>
          <w:w w:val="120"/>
          <w:sz w:val="144"/>
          <w:szCs w:val="144"/>
          <w:highlight w:val="none"/>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a:effectLst/>
                      </wps:spPr>
                      <wps:txbx>
                        <w:txbxContent>
                          <w:p>
                            <w:pPr>
                              <w:pStyle w:val="70"/>
                              <w:rPr>
                                <w:w w:val="135"/>
                              </w:rPr>
                            </w:pPr>
                            <w:r>
                              <w:rPr>
                                <w:rFonts w:hint="eastAsia"/>
                                <w:w w:val="135"/>
                              </w:rPr>
                              <w:t>中华人民共和国稀土行业标准</w:t>
                            </w:r>
                          </w:p>
                          <w:p>
                            <w:pPr>
                              <w:pStyle w:val="120"/>
                            </w:pPr>
                            <w:r>
                              <w:rPr>
                                <w:rFonts w:hint="eastAsia"/>
                              </w:rPr>
                              <w:t>标准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DkcF1wAAAAgBAAAP&#10;AAAAAAAAAAEAIAAAACIAAABkcnMvZG93bnJldi54bWxQSwECFAAUAAAACACHTuJAUkIY8OABAADZ&#10;AwAADgAAAAAAAAABACAAAAAmAQAAZHJzL2Uyb0RvYy54bWxQSwUGAAAAAAYABgBZAQAAeAUAAAAA&#10;">
                <v:fill on="t" focussize="0,0"/>
                <v:stroke on="f"/>
                <v:imagedata o:title=""/>
                <o:lock v:ext="edit" aspectratio="f"/>
                <v:textbox inset="0mm,0mm,0mm,0mm">
                  <w:txbxContent>
                    <w:p>
                      <w:pPr>
                        <w:pStyle w:val="70"/>
                        <w:rPr>
                          <w:w w:val="135"/>
                        </w:rPr>
                      </w:pPr>
                      <w:r>
                        <w:rPr>
                          <w:rFonts w:hint="eastAsia"/>
                          <w:w w:val="135"/>
                        </w:rPr>
                        <w:t>中华人民共和国稀土行业标准</w:t>
                      </w:r>
                    </w:p>
                    <w:p>
                      <w:pPr>
                        <w:pStyle w:val="120"/>
                      </w:pPr>
                      <w:r>
                        <w:rPr>
                          <w:rFonts w:hint="eastAsia"/>
                        </w:rPr>
                        <w:t>标准</w:t>
                      </w:r>
                    </w:p>
                  </w:txbxContent>
                </v:textbox>
                <w10:anchorlock/>
              </v:shape>
            </w:pict>
          </mc:Fallback>
        </mc:AlternateContent>
      </w:r>
      <w:r>
        <w:rPr>
          <w:rFonts w:eastAsia="黑体"/>
          <w:color w:val="000000"/>
          <w:w w:val="120"/>
          <w:sz w:val="144"/>
          <w:szCs w:val="144"/>
          <w:highlight w:val="none"/>
        </w:rPr>
        <w:t>XB</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7485"/>
        </w:tabs>
        <w:rPr>
          <w:highlight w:val="none"/>
        </w:rPr>
      </w:pPr>
      <w:r>
        <w:rPr>
          <w:highlight w:val="none"/>
        </w:rPr>
        <w:tab/>
      </w:r>
    </w:p>
    <w:p>
      <w:pPr>
        <w:rPr>
          <w:highlight w:val="none"/>
        </w:rPr>
      </w:pPr>
    </w:p>
    <w:p>
      <w:pPr>
        <w:rPr>
          <w:highlight w:val="none"/>
        </w:rPr>
        <w:sectPr>
          <w:headerReference r:id="rId7" w:type="first"/>
          <w:headerReference r:id="rId5" w:type="default"/>
          <w:headerReference r:id="rId6" w:type="even"/>
          <w:pgSz w:w="11907" w:h="16839"/>
          <w:pgMar w:top="567" w:right="851" w:bottom="1361" w:left="1418" w:header="0" w:footer="0" w:gutter="0"/>
          <w:pgNumType w:start="1"/>
          <w:cols w:space="720" w:num="1"/>
          <w:titlePg/>
          <w:docGrid w:type="lines" w:linePitch="312" w:charSpace="0"/>
        </w:sectPr>
      </w:pPr>
      <w:bookmarkStart w:id="65" w:name="_GoBack"/>
      <w:bookmarkEnd w:id="65"/>
    </w:p>
    <w:bookmarkEnd w:id="0"/>
    <w:p>
      <w:pPr>
        <w:spacing w:before="0" w:beforeLines="0" w:after="0" w:afterLines="0" w:line="240" w:lineRule="auto"/>
        <w:ind w:left="0" w:leftChars="0" w:right="0" w:rightChars="0" w:firstLine="0" w:firstLineChars="0"/>
        <w:jc w:val="center"/>
        <w:rPr>
          <w:rFonts w:hint="eastAsia" w:ascii="黑体" w:hAnsi="黑体" w:eastAsia="黑体" w:cs="黑体"/>
          <w:sz w:val="28"/>
          <w:szCs w:val="36"/>
        </w:rPr>
      </w:pPr>
      <w:r>
        <w:rPr>
          <w:rFonts w:hint="eastAsia" w:ascii="黑体" w:hAnsi="黑体" w:eastAsia="黑体" w:cs="黑体"/>
          <w:sz w:val="28"/>
          <w:szCs w:val="36"/>
        </w:rPr>
        <w:t>目</w:t>
      </w: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录</w:t>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_Toc19724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前言</w:t>
      </w:r>
      <w:r>
        <w:rPr>
          <w:rFonts w:hint="eastAsia" w:ascii="黑体" w:hAnsi="黑体" w:eastAsia="黑体" w:cs="黑体"/>
          <w:sz w:val="21"/>
          <w:szCs w:val="21"/>
        </w:rPr>
        <w:tab/>
      </w:r>
      <w:r>
        <w:rPr>
          <w:rFonts w:hint="eastAsia" w:ascii="黑体" w:hAnsi="黑体" w:eastAsia="黑体" w:cs="黑体"/>
          <w:sz w:val="21"/>
          <w:szCs w:val="21"/>
          <w:highlight w:val="none"/>
          <w:lang w:val="en-US" w:eastAsia="zh-CN"/>
        </w:rPr>
        <w:t>Ⅰ</w:t>
      </w:r>
      <w:r>
        <w:rPr>
          <w:rFonts w:hint="eastAsia" w:ascii="黑体" w:hAnsi="黑体" w:eastAsia="黑体" w:cs="黑体"/>
          <w:sz w:val="21"/>
          <w:szCs w:val="21"/>
          <w:highlight w:val="none"/>
        </w:rPr>
        <w:fldChar w:fldCharType="end"/>
      </w: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TOC \o "1-1" \h \u </w:instrText>
      </w:r>
      <w:r>
        <w:rPr>
          <w:rFonts w:hint="eastAsia" w:ascii="黑体" w:hAnsi="黑体" w:eastAsia="黑体" w:cs="黑体"/>
          <w:sz w:val="21"/>
          <w:szCs w:val="21"/>
          <w:highlight w:val="none"/>
        </w:rPr>
        <w:fldChar w:fldCharType="separate"/>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_Toc23756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1 范围</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_Toc23756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_Toc8213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2 规范性引用文件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_Toc8213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_Toc22840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3 术语和定义</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_Toc22840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_Toc6026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4 总则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_Toc6026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_Toc1879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5 评价要求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_Toc1879 \h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_Toc16339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rPr>
        <w:t>6 评价程序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_Toc16339 \h </w:instrText>
      </w:r>
      <w:r>
        <w:rPr>
          <w:rFonts w:hint="eastAsia" w:ascii="黑体" w:hAnsi="黑体" w:eastAsia="黑体" w:cs="黑体"/>
          <w:sz w:val="21"/>
          <w:szCs w:val="21"/>
        </w:rPr>
        <w:fldChar w:fldCharType="separate"/>
      </w:r>
      <w:r>
        <w:rPr>
          <w:rFonts w:hint="eastAsia"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_Toc9766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rPr>
        <w:t>7 评价报告</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_Toc9766 \h </w:instrText>
      </w:r>
      <w:r>
        <w:rPr>
          <w:rFonts w:hint="eastAsia" w:ascii="黑体" w:hAnsi="黑体" w:eastAsia="黑体" w:cs="黑体"/>
          <w:sz w:val="21"/>
          <w:szCs w:val="21"/>
        </w:rPr>
        <w:fldChar w:fldCharType="separate"/>
      </w:r>
      <w:r>
        <w:rPr>
          <w:rFonts w:hint="eastAsia"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_Toc11720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附录 A</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_Toc11720 \h </w:instrText>
      </w:r>
      <w:r>
        <w:rPr>
          <w:rFonts w:hint="eastAsia" w:ascii="黑体" w:hAnsi="黑体" w:eastAsia="黑体" w:cs="黑体"/>
          <w:sz w:val="21"/>
          <w:szCs w:val="21"/>
        </w:rPr>
        <w:fldChar w:fldCharType="separate"/>
      </w:r>
      <w:r>
        <w:rPr>
          <w:rFonts w:hint="eastAsia" w:ascii="黑体" w:hAnsi="黑体" w:eastAsia="黑体" w:cs="黑体"/>
          <w:sz w:val="21"/>
          <w:szCs w:val="21"/>
        </w:rPr>
        <w:t>9</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_Toc19896 </w:instrText>
      </w:r>
      <w:r>
        <w:rPr>
          <w:rFonts w:hint="eastAsia" w:ascii="黑体" w:hAnsi="黑体" w:eastAsia="黑体" w:cs="黑体"/>
          <w:sz w:val="21"/>
          <w:szCs w:val="21"/>
          <w:highlight w:val="none"/>
        </w:rPr>
        <w:fldChar w:fldCharType="separate"/>
      </w:r>
      <w:r>
        <w:rPr>
          <w:rFonts w:hint="eastAsia" w:ascii="黑体" w:hAnsi="黑体" w:eastAsia="黑体" w:cs="黑体"/>
          <w:bCs w:val="0"/>
          <w:sz w:val="21"/>
          <w:szCs w:val="21"/>
        </w:rPr>
        <w:t>附录 B</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_Toc19896 \h </w:instrText>
      </w:r>
      <w:r>
        <w:rPr>
          <w:rFonts w:hint="eastAsia" w:ascii="黑体" w:hAnsi="黑体" w:eastAsia="黑体" w:cs="黑体"/>
          <w:sz w:val="21"/>
          <w:szCs w:val="21"/>
        </w:rPr>
        <w:fldChar w:fldCharType="separate"/>
      </w:r>
      <w:r>
        <w:rPr>
          <w:rFonts w:hint="eastAsia" w:ascii="黑体" w:hAnsi="黑体" w:eastAsia="黑体" w:cs="黑体"/>
          <w:sz w:val="21"/>
          <w:szCs w:val="21"/>
        </w:rPr>
        <w:t>16</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pStyle w:val="134"/>
        <w:keepNext w:val="0"/>
        <w:keepLines w:val="0"/>
        <w:pageBreakBefore w:val="0"/>
        <w:tabs>
          <w:tab w:val="right" w:leader="dot" w:pos="9354"/>
        </w:tabs>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HYPERLINK \l _Toc961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参考文献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_Toc961 \h </w:instrText>
      </w:r>
      <w:r>
        <w:rPr>
          <w:rFonts w:hint="eastAsia" w:ascii="黑体" w:hAnsi="黑体" w:eastAsia="黑体" w:cs="黑体"/>
          <w:sz w:val="21"/>
          <w:szCs w:val="21"/>
        </w:rPr>
        <w:fldChar w:fldCharType="separate"/>
      </w:r>
      <w:r>
        <w:rPr>
          <w:rFonts w:hint="eastAsia" w:ascii="黑体" w:hAnsi="黑体" w:eastAsia="黑体" w:cs="黑体"/>
          <w:sz w:val="21"/>
          <w:szCs w:val="21"/>
        </w:rPr>
        <w:t>19</w:t>
      </w:r>
      <w:r>
        <w:rPr>
          <w:rFonts w:hint="eastAsia" w:ascii="黑体" w:hAnsi="黑体" w:eastAsia="黑体" w:cs="黑体"/>
          <w:sz w:val="21"/>
          <w:szCs w:val="21"/>
        </w:rPr>
        <w:fldChar w:fldCharType="end"/>
      </w:r>
      <w:r>
        <w:rPr>
          <w:rFonts w:hint="eastAsia" w:ascii="黑体" w:hAnsi="黑体" w:eastAsia="黑体" w:cs="黑体"/>
          <w:sz w:val="21"/>
          <w:szCs w:val="21"/>
          <w:highlight w:val="none"/>
        </w:rPr>
        <w:fldChar w:fldCharType="end"/>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sz w:val="30"/>
          <w:szCs w:val="30"/>
          <w:highlight w:val="none"/>
        </w:rPr>
      </w:pPr>
      <w:r>
        <w:rPr>
          <w:rFonts w:hint="eastAsia" w:ascii="黑体" w:hAnsi="黑体" w:eastAsia="黑体" w:cs="黑体"/>
          <w:sz w:val="21"/>
          <w:szCs w:val="21"/>
          <w:highlight w:val="none"/>
        </w:rPr>
        <w:fldChar w:fldCharType="end"/>
      </w: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sectPr>
          <w:headerReference r:id="rId8" w:type="default"/>
          <w:footerReference r:id="rId9" w:type="default"/>
          <w:footerReference r:id="rId10" w:type="even"/>
          <w:type w:val="continuous"/>
          <w:pgSz w:w="11906" w:h="16838"/>
          <w:pgMar w:top="1134" w:right="1418" w:bottom="1418" w:left="1134" w:header="851" w:footer="992" w:gutter="0"/>
          <w:pgNumType w:fmt="upperRoman" w:start="1"/>
          <w:cols w:space="720" w:num="1"/>
          <w:docGrid w:type="lines" w:linePitch="317" w:charSpace="0"/>
        </w:sectPr>
      </w:pPr>
    </w:p>
    <w:p>
      <w:pPr>
        <w:pStyle w:val="31"/>
        <w:rPr>
          <w:highlight w:val="none"/>
        </w:rPr>
      </w:pPr>
      <w:bookmarkStart w:id="1" w:name="_Toc11596"/>
      <w:bookmarkStart w:id="2" w:name="_Toc19724"/>
      <w:r>
        <w:rPr>
          <w:rFonts w:hint="eastAsia"/>
          <w:highlight w:val="none"/>
        </w:rPr>
        <w:t>前</w:t>
      </w:r>
      <w:bookmarkEnd w:id="1"/>
      <w:bookmarkStart w:id="3" w:name="_Toc26412"/>
      <w:r>
        <w:rPr>
          <w:rFonts w:hint="eastAsia"/>
          <w:highlight w:val="none"/>
        </w:rPr>
        <w:t>言</w:t>
      </w:r>
      <w:bookmarkEnd w:id="2"/>
      <w:bookmarkEnd w:id="3"/>
    </w:p>
    <w:p>
      <w:pPr>
        <w:rPr>
          <w:highlight w:val="none"/>
        </w:rPr>
      </w:pPr>
    </w:p>
    <w:p>
      <w:pPr>
        <w:adjustRightInd w:val="0"/>
        <w:snapToGrid w:val="0"/>
        <w:ind w:firstLine="420" w:firstLineChars="200"/>
        <w:rPr>
          <w:rFonts w:hint="eastAsia"/>
          <w:highlight w:val="none"/>
        </w:rPr>
      </w:pPr>
      <w:bookmarkStart w:id="4" w:name="_Hlk57730768"/>
      <w:r>
        <w:rPr>
          <w:rFonts w:hint="eastAsia"/>
          <w:highlight w:val="none"/>
        </w:rPr>
        <w:t>本文件按照GB/T 1.1-2020《标准化工作导则 第1部分：标准化文件的结构和起草规则》的规定起草。</w:t>
      </w:r>
    </w:p>
    <w:bookmarkEnd w:id="4"/>
    <w:p>
      <w:pPr>
        <w:adjustRightInd w:val="0"/>
        <w:snapToGrid w:val="0"/>
        <w:ind w:firstLine="420" w:firstLineChars="200"/>
        <w:rPr>
          <w:highlight w:val="none"/>
        </w:rPr>
      </w:pPr>
      <w:r>
        <w:rPr>
          <w:rFonts w:hint="eastAsia"/>
          <w:highlight w:val="none"/>
        </w:rPr>
        <w:t>本文件</w:t>
      </w:r>
      <w:r>
        <w:rPr>
          <w:highlight w:val="none"/>
        </w:rPr>
        <w:t>由全国稀土标准化技术委员会（SAC/TC 229）提出并归口。</w:t>
      </w:r>
    </w:p>
    <w:p>
      <w:pPr>
        <w:adjustRightInd w:val="0"/>
        <w:snapToGrid w:val="0"/>
        <w:ind w:firstLine="420" w:firstLineChars="200"/>
        <w:rPr>
          <w:highlight w:val="none"/>
        </w:rPr>
      </w:pPr>
      <w:r>
        <w:rPr>
          <w:rFonts w:hint="eastAsia"/>
          <w:highlight w:val="none"/>
        </w:rPr>
        <w:t>本文件</w:t>
      </w:r>
      <w:r>
        <w:rPr>
          <w:highlight w:val="none"/>
        </w:rPr>
        <w:t>起草单位：</w:t>
      </w:r>
      <w:r>
        <w:rPr>
          <w:rFonts w:hint="eastAsia"/>
          <w:highlight w:val="none"/>
        </w:rPr>
        <w:t>包头天骄</w:t>
      </w:r>
      <w:r>
        <w:rPr>
          <w:highlight w:val="none"/>
        </w:rPr>
        <w:t>清美稀土抛光</w:t>
      </w:r>
      <w:r>
        <w:rPr>
          <w:rFonts w:hint="eastAsia"/>
          <w:highlight w:val="none"/>
        </w:rPr>
        <w:t>粉</w:t>
      </w:r>
      <w:r>
        <w:rPr>
          <w:highlight w:val="none"/>
        </w:rPr>
        <w:t>有限公司</w:t>
      </w:r>
      <w:r>
        <w:rPr>
          <w:rFonts w:hint="eastAsia"/>
          <w:highlight w:val="none"/>
        </w:rPr>
        <w:t>等</w:t>
      </w:r>
    </w:p>
    <w:p>
      <w:pPr>
        <w:adjustRightInd w:val="0"/>
        <w:snapToGrid w:val="0"/>
        <w:ind w:firstLine="420" w:firstLineChars="200"/>
        <w:rPr>
          <w:highlight w:val="none"/>
        </w:rPr>
      </w:pPr>
      <w:r>
        <w:rPr>
          <w:rFonts w:hint="eastAsia"/>
          <w:highlight w:val="none"/>
        </w:rPr>
        <w:t>本文件</w:t>
      </w:r>
      <w:r>
        <w:rPr>
          <w:highlight w:val="none"/>
        </w:rPr>
        <w:t>主要起草人：</w:t>
      </w:r>
    </w:p>
    <w:p>
      <w:pPr>
        <w:jc w:val="center"/>
        <w:rPr>
          <w:rFonts w:ascii="黑体" w:hAnsi="黑体" w:eastAsia="黑体"/>
          <w:sz w:val="30"/>
          <w:szCs w:val="30"/>
          <w:highlight w:val="none"/>
        </w:rPr>
      </w:pPr>
    </w:p>
    <w:p>
      <w:pPr>
        <w:rPr>
          <w:highlight w:val="none"/>
        </w:rPr>
      </w:pPr>
      <w:bookmarkStart w:id="5" w:name="_Toc1613_WPSOffice_Level1"/>
      <w:bookmarkStart w:id="6" w:name="_Toc955_WPSOffice_Level1"/>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6255"/>
        </w:tabs>
        <w:rPr>
          <w:highlight w:val="none"/>
        </w:rPr>
      </w:pPr>
      <w:r>
        <w:rPr>
          <w:highlight w:val="none"/>
        </w:rPr>
        <w:tab/>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sectPr>
          <w:headerReference r:id="rId11" w:type="default"/>
          <w:footerReference r:id="rId12" w:type="default"/>
          <w:footerReference r:id="rId13" w:type="even"/>
          <w:pgSz w:w="11906" w:h="16838"/>
          <w:pgMar w:top="1134" w:right="1418" w:bottom="1418" w:left="1134" w:header="851" w:footer="992" w:gutter="0"/>
          <w:pgNumType w:fmt="upperRoman" w:start="1"/>
          <w:cols w:space="720" w:num="1"/>
          <w:docGrid w:type="lines" w:linePitch="317" w:charSpace="0"/>
        </w:sectPr>
      </w:pPr>
    </w:p>
    <w:p>
      <w:pPr>
        <w:pStyle w:val="31"/>
        <w:rPr>
          <w:highlight w:val="none"/>
        </w:rPr>
      </w:pPr>
      <w:bookmarkStart w:id="7" w:name="_Toc30871"/>
      <w:bookmarkStart w:id="8" w:name="_Toc9432"/>
      <w:r>
        <w:rPr>
          <w:highlight w:val="none"/>
        </w:rPr>
        <w:t>稀土抛光粉</w:t>
      </w:r>
      <w:r>
        <w:rPr>
          <w:rFonts w:hint="eastAsia"/>
          <w:highlight w:val="none"/>
        </w:rPr>
        <w:t>绿色工厂评价要求</w:t>
      </w:r>
      <w:bookmarkEnd w:id="5"/>
      <w:bookmarkEnd w:id="6"/>
      <w:bookmarkEnd w:id="7"/>
      <w:bookmarkEnd w:id="8"/>
    </w:p>
    <w:p>
      <w:pPr>
        <w:pStyle w:val="3"/>
        <w:outlineLvl w:val="0"/>
        <w:rPr>
          <w:highlight w:val="none"/>
        </w:rPr>
      </w:pPr>
      <w:bookmarkStart w:id="9" w:name="_Toc14040_WPSOffice_Level1"/>
      <w:bookmarkStart w:id="10" w:name="_Toc381480737"/>
      <w:bookmarkStart w:id="11" w:name="_Toc40971599"/>
      <w:bookmarkStart w:id="12" w:name="_Toc14631"/>
      <w:bookmarkStart w:id="13" w:name="_Toc531265187"/>
      <w:bookmarkStart w:id="14" w:name="_Toc23756"/>
      <w:bookmarkStart w:id="15" w:name="_Toc29401_WPSOffice_Level1"/>
      <w:bookmarkStart w:id="16" w:name="_Toc96"/>
      <w:bookmarkStart w:id="17" w:name="_Toc14354"/>
      <w:bookmarkStart w:id="18" w:name="_Toc9882"/>
      <w:r>
        <w:rPr>
          <w:rFonts w:hint="eastAsia"/>
          <w:highlight w:val="none"/>
        </w:rPr>
        <w:t>1 范围</w:t>
      </w:r>
      <w:bookmarkEnd w:id="9"/>
      <w:bookmarkEnd w:id="10"/>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bookmarkStart w:id="19" w:name="_Hlk52635897"/>
      <w:r>
        <w:rPr>
          <w:rFonts w:hint="eastAsia"/>
          <w:highlight w:val="none"/>
        </w:rPr>
        <w:t>本文件规定了稀土抛光粉绿色工厂评价的</w:t>
      </w:r>
      <w:r>
        <w:rPr>
          <w:rFonts w:hint="eastAsia"/>
          <w:highlight w:val="none"/>
          <w:lang w:val="en-US" w:eastAsia="zh-CN"/>
        </w:rPr>
        <w:t>术语与定义、总则</w:t>
      </w:r>
      <w:r>
        <w:rPr>
          <w:rFonts w:hint="eastAsia"/>
          <w:highlight w:val="none"/>
        </w:rPr>
        <w:t>、</w:t>
      </w:r>
      <w:r>
        <w:rPr>
          <w:rFonts w:hint="eastAsia"/>
          <w:highlight w:val="none"/>
          <w:lang w:val="en-US" w:eastAsia="zh-CN"/>
        </w:rPr>
        <w:t>评价要求、评价程序和评价报告</w:t>
      </w:r>
      <w:r>
        <w:rPr>
          <w:rFonts w:hint="eastAsia"/>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bookmarkStart w:id="20" w:name="_Toc381480738"/>
      <w:r>
        <w:rPr>
          <w:rFonts w:hint="eastAsia"/>
          <w:highlight w:val="none"/>
        </w:rPr>
        <w:t>本文件适用于</w:t>
      </w:r>
      <w:r>
        <w:rPr>
          <w:rFonts w:hint="eastAsia"/>
          <w:highlight w:val="none"/>
          <w:lang w:val="en-US" w:eastAsia="zh-CN"/>
        </w:rPr>
        <w:t>稀土企业中</w:t>
      </w:r>
      <w:r>
        <w:rPr>
          <w:highlight w:val="none"/>
        </w:rPr>
        <w:t>从事稀土</w:t>
      </w:r>
      <w:r>
        <w:rPr>
          <w:rFonts w:hint="eastAsia"/>
          <w:highlight w:val="none"/>
        </w:rPr>
        <w:t>抛光</w:t>
      </w:r>
      <w:r>
        <w:rPr>
          <w:rFonts w:hint="eastAsia"/>
          <w:highlight w:val="none"/>
          <w:lang w:val="en-US" w:eastAsia="zh-CN"/>
        </w:rPr>
        <w:t>粉</w:t>
      </w:r>
      <w:r>
        <w:rPr>
          <w:rFonts w:hint="eastAsia"/>
          <w:highlight w:val="none"/>
        </w:rPr>
        <w:t>生产的企业</w:t>
      </w:r>
      <w:r>
        <w:rPr>
          <w:rFonts w:hint="eastAsia"/>
          <w:highlight w:val="none"/>
          <w:lang w:val="en-US" w:eastAsia="zh-CN"/>
        </w:rPr>
        <w:t>或企业</w:t>
      </w:r>
      <w:r>
        <w:rPr>
          <w:rFonts w:hint="eastAsia"/>
          <w:highlight w:val="none"/>
        </w:rPr>
        <w:t>生产单元的绿色工厂评价。</w:t>
      </w:r>
      <w:bookmarkEnd w:id="19"/>
    </w:p>
    <w:p>
      <w:pPr>
        <w:pStyle w:val="3"/>
        <w:outlineLvl w:val="0"/>
        <w:rPr>
          <w:highlight w:val="none"/>
        </w:rPr>
      </w:pPr>
      <w:bookmarkStart w:id="21" w:name="_Toc20169_WPSOffice_Level1"/>
      <w:bookmarkStart w:id="22" w:name="_Toc12888_WPSOffice_Level1"/>
      <w:bookmarkStart w:id="23" w:name="_Toc20399"/>
      <w:bookmarkStart w:id="24" w:name="_Toc20985"/>
      <w:bookmarkStart w:id="25" w:name="_Toc8213"/>
      <w:bookmarkStart w:id="26" w:name="_Toc40971600"/>
      <w:bookmarkStart w:id="27" w:name="_Toc2392"/>
      <w:bookmarkStart w:id="28" w:name="_Toc2981"/>
      <w:bookmarkStart w:id="29" w:name="_Toc531265188"/>
      <w:r>
        <w:rPr>
          <w:rFonts w:hint="eastAsia"/>
          <w:highlight w:val="none"/>
        </w:rPr>
        <w:t>2 规范性引用文件</w:t>
      </w:r>
      <w:bookmarkEnd w:id="20"/>
      <w:bookmarkEnd w:id="21"/>
      <w:bookmarkEnd w:id="22"/>
      <w:bookmarkEnd w:id="23"/>
      <w:bookmarkEnd w:id="24"/>
      <w:bookmarkEnd w:id="25"/>
      <w:bookmarkEnd w:id="26"/>
      <w:bookmarkEnd w:id="27"/>
      <w:bookmarkEnd w:id="28"/>
      <w:bookmarkEnd w:id="29"/>
    </w:p>
    <w:p>
      <w:pPr>
        <w:adjustRightInd w:val="0"/>
        <w:snapToGrid w:val="0"/>
        <w:ind w:firstLine="420" w:firstLineChars="200"/>
        <w:rPr>
          <w:rFonts w:ascii="Times New Roman" w:hAnsi="Times New Roman"/>
          <w:highlight w:val="none"/>
        </w:rPr>
      </w:pPr>
      <w:r>
        <w:rPr>
          <w:rFonts w:ascii="Times New Roman" w:hAnsi="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7119 节水型企业评价导则</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8170 数值修约规则与极限数值的表示和判定</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17167 用能单位能源计量器具配备和管理通则</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18580 室内装饰装修材料 人造板及其制品中甲醛释放限量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18581 室内装饰装修材料 溶剂型木器涂料中有害物质限量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18582室内装饰装修材料 内墙涂料有害物质限量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18583 室内装饰装修材料 胶粘剂中有害物质限量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18584 室内装饰装修材料 木家具中有害物质限量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18585 室内装饰装修材料 壁纸中有害物质限量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18586 室内装饰装修材料 聚氯乙烯卷材地板中有害物质限量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18587 室内装饰装修材料 地毯、地毯衬垫及地毯胶粘剂有害物质释放限量</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18599 一般工业固体废弃物贮存、处置场污染控制标准</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18613 中小型三相异步电动机能效限定值及能效等级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19001 质量管理体系 要求</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19153 容积式空气压缩机能效限定值及能效等级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19576 单元式空气调节机能效限定值及能效等级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19577 冷水机组能效限定值及能效等级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19761 通风机能效限定值及能效等级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19762 清水离心泵能效限定值及节能评价值</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20052 三相配电变压器能效限定值及能效等级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20902 有色金属冶炼企业能源计量器具配备和管理要求</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21454 多联式空调(热泵)机组能效限定值及能源效率等级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23331 能源管理体系 要求及使用指南</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24001 环境管理体系 要求及使用指南</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24256 产品生态设计通则</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24500 工业锅炉能效限定值及能效等级</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24789 用水单位水计量器具配备和管理通则</w:t>
      </w:r>
    </w:p>
    <w:p>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26451 稀土工业污染物排放标准</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24790 电力变压器能效限定值及能效等级</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29115 工业企业节约原材料评价导则</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29435 稀土冶炼加工企业单位产品能源消耗限额</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32150 工业企业温室气体排放核算和报告通则</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32161 生态设计产品评价通则</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33000 企业安全生产标准化基本规范</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36000 社会责任指南</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36132 绿色工厂评价通则</w:t>
      </w:r>
    </w:p>
    <w:p>
      <w:pPr>
        <w:rPr>
          <w:rFonts w:hint="default"/>
        </w:rPr>
      </w:pPr>
      <w:r>
        <w:rPr>
          <w:rFonts w:hint="default"/>
        </w:rPr>
        <w:t>GB391761稀土产品的包装、标志、运输和贮存</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 45001职业健康安全管理体系 要求及使用指南</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 50034 建筑照明设计标准</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HJ</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1125 排污许可证申请与核发技术规范 稀有稀土金属冶炼</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RB/T 117能源管理体系 有色金属企业认证要求</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XB/T 803 稀土采选冶行业绿色工厂评价导则</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ISO 14021 环境管理 环境标志和声明 自我环境声明 (Ⅱ型环境标志)</w:t>
      </w:r>
    </w:p>
    <w:p>
      <w:pPr>
        <w:pStyle w:val="3"/>
        <w:outlineLvl w:val="0"/>
        <w:rPr>
          <w:highlight w:val="none"/>
        </w:rPr>
      </w:pPr>
      <w:bookmarkStart w:id="30" w:name="_Toc20524"/>
      <w:bookmarkStart w:id="31" w:name="_Toc22840"/>
      <w:r>
        <w:rPr>
          <w:rFonts w:hint="eastAsia"/>
          <w:highlight w:val="none"/>
        </w:rPr>
        <w:t>3 术语和定义</w:t>
      </w:r>
      <w:bookmarkEnd w:id="30"/>
      <w:bookmarkEnd w:id="31"/>
    </w:p>
    <w:p>
      <w:pPr>
        <w:rPr>
          <w:highlight w:val="none"/>
        </w:rPr>
      </w:pPr>
      <w:r>
        <w:rPr>
          <w:rFonts w:ascii="Times New Roman" w:hAnsi="Times New Roman"/>
        </w:rPr>
        <w:t>GB/T 36132界定的及下列术语和定义适用于本文件</w:t>
      </w:r>
      <w:r>
        <w:rPr>
          <w:rFonts w:hint="eastAsia" w:ascii="Times New Roman" w:hAnsi="Times New Roman"/>
        </w:rPr>
        <w:t>。为便于使用，以下重复列出了GB/T 36132中的某些术语和定义。</w:t>
      </w:r>
    </w:p>
    <w:p>
      <w:pPr>
        <w:ind w:left="0" w:leftChars="0" w:firstLine="0" w:firstLineChars="0"/>
        <w:rPr>
          <w:rFonts w:hint="eastAsia" w:ascii="黑体" w:hAnsi="黑体" w:eastAsia="黑体" w:cs="黑体"/>
          <w:highlight w:val="none"/>
        </w:rPr>
      </w:pPr>
      <w:r>
        <w:rPr>
          <w:rFonts w:hint="eastAsia" w:ascii="黑体" w:hAnsi="黑体" w:eastAsia="黑体" w:cs="黑体"/>
          <w:highlight w:val="none"/>
        </w:rPr>
        <w:t>3.1</w:t>
      </w:r>
    </w:p>
    <w:p>
      <w:pPr>
        <w:rPr>
          <w:rFonts w:hint="eastAsia" w:ascii="黑体" w:hAnsi="黑体" w:eastAsia="黑体" w:cs="黑体"/>
          <w:highlight w:val="none"/>
        </w:rPr>
      </w:pPr>
      <w:r>
        <w:rPr>
          <w:rFonts w:hint="eastAsia"/>
          <w:highlight w:val="none"/>
        </w:rPr>
        <w:t xml:space="preserve">绿色工厂 </w:t>
      </w:r>
      <w:r>
        <w:rPr>
          <w:rFonts w:hint="eastAsia" w:ascii="黑体" w:hAnsi="黑体" w:eastAsia="黑体" w:cs="黑体"/>
          <w:highlight w:val="none"/>
        </w:rPr>
        <w:t>green factory</w:t>
      </w:r>
    </w:p>
    <w:p>
      <w:pPr>
        <w:rPr>
          <w:highlight w:val="none"/>
        </w:rPr>
      </w:pPr>
      <w:r>
        <w:rPr>
          <w:rFonts w:hint="eastAsia"/>
          <w:highlight w:val="none"/>
        </w:rPr>
        <w:t>实</w:t>
      </w:r>
      <w:r>
        <w:rPr>
          <w:highlight w:val="none"/>
        </w:rPr>
        <w:t>现了用地集约化、原料无害化、生产洁净化、废物资源化、能源低碳化的工厂。</w:t>
      </w:r>
    </w:p>
    <w:p>
      <w:pPr>
        <w:rPr>
          <w:highlight w:val="none"/>
        </w:rPr>
      </w:pPr>
      <w:r>
        <w:rPr>
          <w:highlight w:val="none"/>
        </w:rPr>
        <w:t>[GB/T 36132-2018，定义3.1]</w:t>
      </w:r>
    </w:p>
    <w:p>
      <w:pPr>
        <w:ind w:left="0" w:leftChars="0" w:firstLine="0" w:firstLineChars="0"/>
        <w:rPr>
          <w:rFonts w:hint="eastAsia" w:ascii="黑体" w:hAnsi="黑体" w:eastAsia="黑体" w:cs="黑体"/>
          <w:highlight w:val="none"/>
        </w:rPr>
      </w:pPr>
      <w:r>
        <w:rPr>
          <w:rFonts w:hint="eastAsia" w:ascii="黑体" w:hAnsi="黑体" w:eastAsia="黑体" w:cs="黑体"/>
          <w:highlight w:val="none"/>
        </w:rPr>
        <w:t>3.2</w:t>
      </w:r>
    </w:p>
    <w:p>
      <w:pPr>
        <w:rPr>
          <w:highlight w:val="none"/>
        </w:rPr>
      </w:pPr>
      <w:r>
        <w:rPr>
          <w:rFonts w:hint="eastAsia"/>
          <w:highlight w:val="none"/>
        </w:rPr>
        <w:t>相关方 i</w:t>
      </w:r>
      <w:r>
        <w:rPr>
          <w:rFonts w:hint="eastAsia" w:ascii="黑体" w:hAnsi="黑体" w:eastAsia="黑体" w:cs="黑体"/>
          <w:highlight w:val="none"/>
        </w:rPr>
        <w:t>nterested party; stakeholder</w:t>
      </w:r>
    </w:p>
    <w:p>
      <w:pPr>
        <w:rPr>
          <w:highlight w:val="none"/>
        </w:rPr>
      </w:pPr>
      <w:r>
        <w:rPr>
          <w:highlight w:val="none"/>
        </w:rPr>
        <w:t>可影响绿色工厂创建的决策或活动、受绿色工厂创建的决策或活动所影响、或自认为受绿色工厂创建的决策或活动影响的个人或组织。</w:t>
      </w:r>
    </w:p>
    <w:p>
      <w:pPr>
        <w:rPr>
          <w:highlight w:val="none"/>
        </w:rPr>
      </w:pPr>
      <w:r>
        <w:rPr>
          <w:highlight w:val="none"/>
        </w:rPr>
        <w:t>[GB/T36132-2018，定义3.3]</w:t>
      </w:r>
    </w:p>
    <w:p>
      <w:pPr>
        <w:ind w:left="0" w:leftChars="0" w:firstLine="0" w:firstLineChars="0"/>
        <w:rPr>
          <w:rFonts w:hint="eastAsia" w:ascii="黑体" w:hAnsi="黑体" w:eastAsia="黑体" w:cs="黑体"/>
          <w:highlight w:val="none"/>
        </w:rPr>
      </w:pPr>
      <w:r>
        <w:rPr>
          <w:rFonts w:hint="eastAsia" w:ascii="黑体" w:hAnsi="黑体" w:eastAsia="黑体" w:cs="黑体"/>
          <w:highlight w:val="none"/>
        </w:rPr>
        <w:t>3.3</w:t>
      </w:r>
    </w:p>
    <w:p>
      <w:pPr>
        <w:rPr>
          <w:highlight w:val="none"/>
        </w:rPr>
      </w:pPr>
      <w:r>
        <w:rPr>
          <w:rFonts w:hint="eastAsia"/>
          <w:highlight w:val="none"/>
        </w:rPr>
        <w:t>稀土抛光粉</w:t>
      </w:r>
      <w:r>
        <w:rPr>
          <w:rFonts w:hint="eastAsia" w:ascii="黑体" w:hAnsi="黑体" w:eastAsia="黑体" w:cs="黑体"/>
          <w:highlight w:val="none"/>
        </w:rPr>
        <w:t>rare earth polishing powder</w:t>
      </w:r>
    </w:p>
    <w:p>
      <w:pPr>
        <w:ind w:firstLine="420"/>
        <w:rPr>
          <w:rFonts w:hint="eastAsia" w:ascii="Times New Roman"/>
          <w:color w:val="FF0000"/>
          <w:highlight w:val="none"/>
        </w:rPr>
      </w:pPr>
      <w:r>
        <w:t>以铈</w:t>
      </w:r>
      <w:r>
        <w:rPr>
          <w:rFonts w:hint="eastAsia"/>
          <w:lang w:val="en-US" w:eastAsia="zh-CN"/>
        </w:rPr>
        <w:t>基</w:t>
      </w:r>
      <w:r>
        <w:t>稀土化合物为主</w:t>
      </w:r>
      <w:r>
        <w:rPr>
          <w:rFonts w:hint="eastAsia"/>
          <w:lang w:val="en-US" w:eastAsia="zh-CN"/>
        </w:rPr>
        <w:t>要</w:t>
      </w:r>
      <w:r>
        <w:t>原料,经化学加工制得的具有一定抛削力的粉末状化合物。</w:t>
      </w:r>
    </w:p>
    <w:p>
      <w:pPr>
        <w:pStyle w:val="3"/>
        <w:outlineLvl w:val="0"/>
        <w:rPr>
          <w:highlight w:val="none"/>
        </w:rPr>
      </w:pPr>
      <w:bookmarkStart w:id="32" w:name="_Toc20073"/>
      <w:bookmarkStart w:id="33" w:name="_Toc6026"/>
      <w:r>
        <w:rPr>
          <w:rFonts w:hint="eastAsia"/>
          <w:highlight w:val="none"/>
        </w:rPr>
        <w:t>4 总则</w:t>
      </w:r>
      <w:bookmarkEnd w:id="32"/>
      <w:bookmarkEnd w:id="33"/>
    </w:p>
    <w:p>
      <w:pPr>
        <w:pStyle w:val="3"/>
        <w:bidi w:val="0"/>
      </w:pPr>
      <w:r>
        <w:rPr>
          <w:rFonts w:hint="eastAsia"/>
        </w:rPr>
        <w:t>4.1 评价原则</w:t>
      </w:r>
    </w:p>
    <w:p>
      <w:pPr>
        <w:pStyle w:val="4"/>
        <w:bidi w:val="0"/>
      </w:pPr>
      <w:r>
        <w:rPr>
          <w:rFonts w:hint="eastAsia"/>
        </w:rPr>
        <w:t>4.1.1 一致性原则</w:t>
      </w:r>
    </w:p>
    <w:p>
      <w:pPr>
        <w:rPr>
          <w:highlight w:val="none"/>
        </w:rPr>
      </w:pPr>
      <w:r>
        <w:rPr>
          <w:highlight w:val="none"/>
        </w:rPr>
        <w:t>评价总体结构与GB/T 36132</w:t>
      </w:r>
      <w:r>
        <w:rPr>
          <w:rFonts w:hint="eastAsia"/>
          <w:highlight w:val="none"/>
        </w:rPr>
        <w:t>、</w:t>
      </w:r>
      <w:r>
        <w:rPr>
          <w:rFonts w:hint="eastAsia"/>
          <w:highlight w:val="none"/>
          <w:lang w:val="en-US" w:eastAsia="zh-CN"/>
        </w:rPr>
        <w:t>XB/T 803-2021</w:t>
      </w:r>
      <w:r>
        <w:rPr>
          <w:rFonts w:hint="eastAsia"/>
          <w:highlight w:val="none"/>
        </w:rPr>
        <w:t>《稀土采选冶行业绿色工厂评价导则》</w:t>
      </w:r>
      <w:r>
        <w:rPr>
          <w:highlight w:val="none"/>
        </w:rPr>
        <w:t>提出的相关评价指标体系和要求保持一致，包括基本要求、基础设施、管理体系、能源与资源投入、产品、环境排放、绩效共7个一级指标。</w:t>
      </w:r>
    </w:p>
    <w:p>
      <w:pPr>
        <w:rPr>
          <w:rFonts w:hint="eastAsia"/>
          <w:highlight w:val="none"/>
        </w:rPr>
      </w:pPr>
      <w:r>
        <w:rPr>
          <w:rFonts w:hint="eastAsia"/>
          <w:highlight w:val="none"/>
        </w:rPr>
        <w:t>稀土抛光粉绿色工厂评价体系框架如图1所示。</w:t>
      </w:r>
    </w:p>
    <w:p>
      <w:pPr>
        <w:rPr>
          <w:rFonts w:hint="eastAsia"/>
          <w:highlight w:val="none"/>
        </w:rPr>
      </w:pPr>
      <w:r>
        <w:rPr>
          <w:rFonts w:ascii="Times New Roman" w:hAnsi="Times New Roman"/>
        </w:rPr>
        <mc:AlternateContent>
          <mc:Choice Requires="wpg">
            <w:drawing>
              <wp:anchor distT="0" distB="0" distL="114300" distR="114300" simplePos="0" relativeHeight="251668480" behindDoc="0" locked="0" layoutInCell="1" allowOverlap="1">
                <wp:simplePos x="0" y="0"/>
                <wp:positionH relativeFrom="column">
                  <wp:posOffset>1103630</wp:posOffset>
                </wp:positionH>
                <wp:positionV relativeFrom="paragraph">
                  <wp:posOffset>106045</wp:posOffset>
                </wp:positionV>
                <wp:extent cx="3741420" cy="2148205"/>
                <wp:effectExtent l="12700" t="12700" r="17780" b="23495"/>
                <wp:wrapNone/>
                <wp:docPr id="17" name="组合 11"/>
                <wp:cNvGraphicFramePr/>
                <a:graphic xmlns:a="http://schemas.openxmlformats.org/drawingml/2006/main">
                  <a:graphicData uri="http://schemas.microsoft.com/office/word/2010/wordprocessingGroup">
                    <wpg:wgp>
                      <wpg:cNvGrpSpPr/>
                      <wpg:grpSpPr>
                        <a:xfrm>
                          <a:off x="0" y="0"/>
                          <a:ext cx="3741420" cy="2148205"/>
                          <a:chOff x="0" y="0"/>
                          <a:chExt cx="69956" cy="40164"/>
                        </a:xfrm>
                      </wpg:grpSpPr>
                      <wps:wsp>
                        <wps:cNvPr id="10" name="矩形: 圆角 2"/>
                        <wps:cNvSpPr/>
                        <wps:spPr>
                          <a:xfrm>
                            <a:off x="0" y="0"/>
                            <a:ext cx="57666" cy="7964"/>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jc w:val="center"/>
                                <w:rPr>
                                  <w:kern w:val="0"/>
                                  <w:sz w:val="24"/>
                                </w:rPr>
                              </w:pPr>
                              <w:r>
                                <w:rPr>
                                  <w:rFonts w:hint="eastAsia" w:ascii="Calibri" w:eastAsia="宋体" w:cs="Times New Roman"/>
                                  <w:color w:val="000000"/>
                                  <w:kern w:val="24"/>
                                </w:rPr>
                                <w:t xml:space="preserve">管理体系 </w:t>
                              </w:r>
                              <w:r>
                                <w:rPr>
                                  <w:rFonts w:ascii="Calibri" w:eastAsia="宋体" w:cs="Times New Roman"/>
                                  <w:color w:val="000000"/>
                                  <w:kern w:val="24"/>
                                </w:rPr>
                                <w:t>5.3</w:t>
                              </w:r>
                            </w:p>
                          </w:txbxContent>
                        </wps:txbx>
                        <wps:bodyPr vert="horz" wrap="square" anchor="ctr" anchorCtr="0" upright="1"/>
                      </wps:wsp>
                      <wps:wsp>
                        <wps:cNvPr id="11" name="矩形: 圆角 3"/>
                        <wps:cNvSpPr/>
                        <wps:spPr>
                          <a:xfrm>
                            <a:off x="0" y="32200"/>
                            <a:ext cx="57666" cy="7964"/>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jc w:val="center"/>
                                <w:rPr>
                                  <w:kern w:val="0"/>
                                  <w:sz w:val="24"/>
                                </w:rPr>
                              </w:pPr>
                              <w:r>
                                <w:rPr>
                                  <w:rFonts w:hint="eastAsia" w:ascii="Calibri" w:eastAsia="宋体" w:cs="Times New Roman"/>
                                  <w:color w:val="000000"/>
                                  <w:kern w:val="24"/>
                                </w:rPr>
                                <w:t xml:space="preserve">基础设施 </w:t>
                              </w:r>
                              <w:r>
                                <w:rPr>
                                  <w:rFonts w:ascii="Calibri" w:eastAsia="宋体" w:cs="Times New Roman"/>
                                  <w:color w:val="000000"/>
                                  <w:kern w:val="24"/>
                                </w:rPr>
                                <w:t>5.2</w:t>
                              </w:r>
                            </w:p>
                          </w:txbxContent>
                        </wps:txbx>
                        <wps:bodyPr vert="horz" wrap="square" anchor="ctr" anchorCtr="0" upright="1"/>
                      </wps:wsp>
                      <wps:wsp>
                        <wps:cNvPr id="12" name="矩形: 圆角 4"/>
                        <wps:cNvSpPr/>
                        <wps:spPr>
                          <a:xfrm>
                            <a:off x="0" y="9168"/>
                            <a:ext cx="15190" cy="21828"/>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ind w:left="0" w:leftChars="0" w:firstLine="0" w:firstLineChars="0"/>
                                <w:jc w:val="center"/>
                                <w:rPr>
                                  <w:kern w:val="0"/>
                                  <w:sz w:val="24"/>
                                </w:rPr>
                              </w:pPr>
                              <w:r>
                                <w:rPr>
                                  <w:rFonts w:hint="eastAsia" w:ascii="Calibri" w:eastAsia="宋体" w:cs="Times New Roman"/>
                                  <w:color w:val="000000"/>
                                  <w:kern w:val="24"/>
                                </w:rPr>
                                <w:t xml:space="preserve">能源与资源投入 </w:t>
                              </w:r>
                              <w:r>
                                <w:rPr>
                                  <w:rFonts w:ascii="Calibri" w:eastAsia="宋体" w:cs="Times New Roman"/>
                                  <w:color w:val="000000"/>
                                  <w:kern w:val="24"/>
                                </w:rPr>
                                <w:t>5.4</w:t>
                              </w:r>
                            </w:p>
                          </w:txbxContent>
                        </wps:txbx>
                        <wps:bodyPr vert="horz" wrap="square" lIns="72000" tIns="45720" rIns="72000" bIns="45720" anchor="ctr" anchorCtr="0" upright="1"/>
                      </wps:wsp>
                      <wps:wsp>
                        <wps:cNvPr id="13" name="矩形: 圆角 5"/>
                        <wps:cNvSpPr/>
                        <wps:spPr>
                          <a:xfrm>
                            <a:off x="42475" y="9168"/>
                            <a:ext cx="15191" cy="10152"/>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kern w:val="0"/>
                                  <w:sz w:val="24"/>
                                </w:rPr>
                              </w:pPr>
                              <w:r>
                                <w:rPr>
                                  <w:rFonts w:hint="eastAsia" w:ascii="Calibri" w:eastAsia="宋体" w:cs="Times New Roman"/>
                                  <w:color w:val="000000"/>
                                  <w:kern w:val="24"/>
                                </w:rPr>
                                <w:t xml:space="preserve">产品 </w:t>
                              </w:r>
                              <w:r>
                                <w:rPr>
                                  <w:rFonts w:ascii="Calibri" w:eastAsia="宋体" w:cs="Times New Roman"/>
                                  <w:color w:val="000000"/>
                                  <w:kern w:val="24"/>
                                </w:rPr>
                                <w:t>5.5</w:t>
                              </w:r>
                            </w:p>
                          </w:txbxContent>
                        </wps:txbx>
                        <wps:bodyPr vert="horz" wrap="square" lIns="72000" tIns="45720" rIns="72000" bIns="45720" anchor="ctr" anchorCtr="0" upright="1"/>
                      </wps:wsp>
                      <wps:wsp>
                        <wps:cNvPr id="14" name="矩形: 圆角 6"/>
                        <wps:cNvSpPr/>
                        <wps:spPr>
                          <a:xfrm>
                            <a:off x="42475" y="20684"/>
                            <a:ext cx="15191" cy="10152"/>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spacing w:line="240" w:lineRule="auto"/>
                                <w:ind w:left="0" w:leftChars="0" w:firstLine="0" w:firstLineChars="0"/>
                                <w:jc w:val="center"/>
                                <w:rPr>
                                  <w:kern w:val="0"/>
                                  <w:sz w:val="24"/>
                                </w:rPr>
                              </w:pPr>
                              <w:r>
                                <w:rPr>
                                  <w:rFonts w:hint="eastAsia" w:ascii="Calibri" w:eastAsia="宋体" w:cs="Times New Roman"/>
                                  <w:color w:val="000000"/>
                                  <w:kern w:val="24"/>
                                </w:rPr>
                                <w:t xml:space="preserve">环境排放 </w:t>
                              </w:r>
                              <w:r>
                                <w:rPr>
                                  <w:rFonts w:ascii="Calibri" w:eastAsia="宋体" w:cs="Times New Roman"/>
                                  <w:color w:val="000000"/>
                                  <w:kern w:val="24"/>
                                </w:rPr>
                                <w:t>5.6</w:t>
                              </w:r>
                            </w:p>
                          </w:txbxContent>
                        </wps:txbx>
                        <wps:bodyPr vert="horz" wrap="square" lIns="72000" tIns="45720" rIns="72000" bIns="45720" anchor="ctr" anchorCtr="0" upright="1"/>
                      </wps:wsp>
                      <wps:wsp>
                        <wps:cNvPr id="15" name="矩形: 圆角 7"/>
                        <wps:cNvSpPr/>
                        <wps:spPr>
                          <a:xfrm>
                            <a:off x="59190" y="0"/>
                            <a:ext cx="10766" cy="40164"/>
                          </a:xfrm>
                          <a:prstGeom prst="roundRect">
                            <a:avLst>
                              <a:gd name="adj" fmla="val 16667"/>
                            </a:avLst>
                          </a:prstGeom>
                          <a:noFill/>
                          <a:ln w="25400" cap="flat" cmpd="sng">
                            <a:solidFill>
                              <a:srgbClr val="1F4D78"/>
                            </a:solidFill>
                            <a:prstDash val="solid"/>
                            <a:miter/>
                            <a:headEnd type="none" w="med" len="med"/>
                            <a:tailEnd type="none" w="med" len="med"/>
                          </a:ln>
                        </wps:spPr>
                        <wps:txbx>
                          <w:txbxContent>
                            <w:p>
                              <w:pPr>
                                <w:ind w:left="0" w:leftChars="0" w:firstLine="0" w:firstLineChars="0"/>
                                <w:jc w:val="center"/>
                                <w:rPr>
                                  <w:rFonts w:hint="eastAsia" w:ascii="Calibri" w:eastAsia="宋体" w:cs="Times New Roman"/>
                                  <w:color w:val="000000"/>
                                  <w:kern w:val="24"/>
                                </w:rPr>
                              </w:pPr>
                            </w:p>
                            <w:p>
                              <w:pPr>
                                <w:ind w:left="0" w:leftChars="0" w:firstLine="0" w:firstLineChars="0"/>
                                <w:jc w:val="center"/>
                                <w:rPr>
                                  <w:rFonts w:hint="eastAsia" w:ascii="Calibri" w:eastAsia="宋体" w:cs="Times New Roman"/>
                                  <w:color w:val="000000"/>
                                  <w:kern w:val="24"/>
                                </w:rPr>
                              </w:pPr>
                            </w:p>
                            <w:p>
                              <w:pPr>
                                <w:ind w:left="0" w:leftChars="0" w:firstLine="0" w:firstLineChars="0"/>
                                <w:jc w:val="center"/>
                                <w:rPr>
                                  <w:rFonts w:hint="eastAsia" w:ascii="Calibri" w:eastAsia="宋体" w:cs="Times New Roman"/>
                                  <w:color w:val="000000"/>
                                  <w:kern w:val="24"/>
                                </w:rPr>
                              </w:pPr>
                            </w:p>
                            <w:p>
                              <w:pPr>
                                <w:ind w:left="0" w:leftChars="0" w:firstLine="0" w:firstLineChars="0"/>
                                <w:jc w:val="center"/>
                                <w:rPr>
                                  <w:kern w:val="0"/>
                                  <w:sz w:val="24"/>
                                </w:rPr>
                              </w:pPr>
                              <w:r>
                                <w:rPr>
                                  <w:rFonts w:hint="eastAsia" w:ascii="Calibri" w:eastAsia="宋体" w:cs="Times New Roman"/>
                                  <w:color w:val="000000"/>
                                  <w:kern w:val="24"/>
                                </w:rPr>
                                <w:t xml:space="preserve">绩效 </w:t>
                              </w:r>
                              <w:r>
                                <w:rPr>
                                  <w:rFonts w:ascii="Calibri" w:eastAsia="宋体" w:cs="Times New Roman"/>
                                  <w:color w:val="000000"/>
                                  <w:kern w:val="24"/>
                                </w:rPr>
                                <w:t>5.7</w:t>
                              </w:r>
                            </w:p>
                          </w:txbxContent>
                        </wps:txbx>
                        <wps:bodyPr vert="horz" wrap="square" anchor="ctr" anchorCtr="0" upright="1"/>
                      </wps:wsp>
                      <wps:wsp>
                        <wps:cNvPr id="16" name="箭头: 右 8"/>
                        <wps:cNvSpPr/>
                        <wps:spPr>
                          <a:xfrm>
                            <a:off x="17427" y="12628"/>
                            <a:ext cx="22811" cy="14908"/>
                          </a:xfrm>
                          <a:prstGeom prst="rightArrow">
                            <a:avLst>
                              <a:gd name="adj1" fmla="val 50000"/>
                              <a:gd name="adj2" fmla="val 49990"/>
                            </a:avLst>
                          </a:prstGeom>
                          <a:noFill/>
                          <a:ln w="25400" cap="flat" cmpd="sng">
                            <a:solidFill>
                              <a:srgbClr val="1F4D78"/>
                            </a:solidFill>
                            <a:prstDash val="dash"/>
                            <a:miter/>
                            <a:headEnd type="none" w="med" len="med"/>
                            <a:tailEnd type="none" w="med" len="med"/>
                          </a:ln>
                        </wps:spPr>
                        <wps:txbx>
                          <w:txbxContent>
                            <w:p>
                              <w:pPr>
                                <w:ind w:left="0" w:leftChars="0" w:firstLine="210" w:firstLineChars="100"/>
                                <w:jc w:val="both"/>
                                <w:rPr>
                                  <w:kern w:val="0"/>
                                  <w:sz w:val="24"/>
                                </w:rPr>
                              </w:pPr>
                              <w:r>
                                <w:rPr>
                                  <w:rFonts w:hint="eastAsia" w:ascii="Calibri" w:eastAsia="宋体" w:cs="Times New Roman"/>
                                  <w:color w:val="000000"/>
                                  <w:kern w:val="24"/>
                                </w:rPr>
                                <w:t>生产过程</w:t>
                              </w:r>
                            </w:p>
                          </w:txbxContent>
                        </wps:txbx>
                        <wps:bodyPr vert="horz" wrap="square" anchor="ctr" anchorCtr="0" upright="1"/>
                      </wps:wsp>
                    </wpg:wgp>
                  </a:graphicData>
                </a:graphic>
              </wp:anchor>
            </w:drawing>
          </mc:Choice>
          <mc:Fallback>
            <w:pict>
              <v:group id="组合 11" o:spid="_x0000_s1026" o:spt="203" style="position:absolute;left:0pt;margin-left:86.9pt;margin-top:8.35pt;height:169.15pt;width:294.6pt;z-index:251668480;mso-width-relative:page;mso-height-relative:page;" coordsize="69956,40164" o:gfxdata="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">
                <o:lock v:ext="edit" aspectratio="f"/>
                <v:roundrect id="矩形: 圆角 2" o:spid="_x0000_s1026" o:spt="2" style="position:absolute;left:0;top:0;height:7964;width:57666;v-text-anchor:middle;" filled="f" stroked="t" coordsize="21600,21600" arcsize="0.166666666666667" o:gfxdata="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qGKLsAAADb&#10;AAAADwAAAAAAAAABACAAAAAiAAAAZHJzL2Rvd25yZXYueG1sUEsBAhQAFAAAAAgAh07iQDMvBZ47&#10;AAAAOQAAABAAAAAAAAAAAQAgAAAACgEAAGRycy9zaGFwZXhtbC54bWxQSwUGAAAAAAYABgBbAQAA&#10;tAMAAAAA&#10;">
                  <v:fill on="f" focussize="0,0"/>
                  <v:stroke weight="2pt" color="#1F4D78" joinstyle="miter"/>
                  <v:imagedata o:title=""/>
                  <o:lock v:ext="edit" aspectratio="f"/>
                  <v:textbox>
                    <w:txbxContent>
                      <w:p>
                        <w:pPr>
                          <w:jc w:val="center"/>
                          <w:rPr>
                            <w:kern w:val="0"/>
                            <w:sz w:val="24"/>
                          </w:rPr>
                        </w:pPr>
                        <w:r>
                          <w:rPr>
                            <w:rFonts w:hint="eastAsia" w:ascii="Calibri" w:eastAsia="宋体" w:cs="Times New Roman"/>
                            <w:color w:val="000000"/>
                            <w:kern w:val="24"/>
                          </w:rPr>
                          <w:t xml:space="preserve">管理体系 </w:t>
                        </w:r>
                        <w:r>
                          <w:rPr>
                            <w:rFonts w:ascii="Calibri" w:eastAsia="宋体" w:cs="Times New Roman"/>
                            <w:color w:val="000000"/>
                            <w:kern w:val="24"/>
                          </w:rPr>
                          <w:t>5.3</w:t>
                        </w:r>
                      </w:p>
                    </w:txbxContent>
                  </v:textbox>
                </v:roundrect>
                <v:roundrect id="矩形: 圆角 3" o:spid="_x0000_s1026" o:spt="2" style="position:absolute;left:0;top:32200;height:7964;width:57666;v-text-anchor:middle;" filled="f" stroked="t" coordsize="21600,21600" arcsize="0.166666666666667" o:gfxdata="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fmI7O5AAAA2wAA&#10;AA8AAAAAAAAAAQAgAAAAIgAAAGRycy9kb3ducmV2LnhtbFBLAQIUABQAAAAIAIdO4kAzLwWeOwAA&#10;ADkAAAAQAAAAAAAAAAEAIAAAAAgBAABkcnMvc2hhcGV4bWwueG1sUEsFBgAAAAAGAAYAWwEAALID&#10;AAAAAA==&#10;">
                  <v:fill on="f" focussize="0,0"/>
                  <v:stroke weight="2pt" color="#1F4D78" joinstyle="miter"/>
                  <v:imagedata o:title=""/>
                  <o:lock v:ext="edit" aspectratio="f"/>
                  <v:textbox>
                    <w:txbxContent>
                      <w:p>
                        <w:pPr>
                          <w:jc w:val="center"/>
                          <w:rPr>
                            <w:kern w:val="0"/>
                            <w:sz w:val="24"/>
                          </w:rPr>
                        </w:pPr>
                        <w:r>
                          <w:rPr>
                            <w:rFonts w:hint="eastAsia" w:ascii="Calibri" w:eastAsia="宋体" w:cs="Times New Roman"/>
                            <w:color w:val="000000"/>
                            <w:kern w:val="24"/>
                          </w:rPr>
                          <w:t xml:space="preserve">基础设施 </w:t>
                        </w:r>
                        <w:r>
                          <w:rPr>
                            <w:rFonts w:ascii="Calibri" w:eastAsia="宋体" w:cs="Times New Roman"/>
                            <w:color w:val="000000"/>
                            <w:kern w:val="24"/>
                          </w:rPr>
                          <w:t>5.2</w:t>
                        </w:r>
                      </w:p>
                    </w:txbxContent>
                  </v:textbox>
                </v:roundrect>
                <v:roundrect id="矩形: 圆角 4" o:spid="_x0000_s1026" o:spt="2" style="position:absolute;left:0;top:9168;height:21828;width:15190;v-text-anchor:middle;" filled="f" stroked="t" coordsize="21600,21600" arcsize="0.166666666666667" o:gfxdata="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D5bsAAADb&#10;AAAADwAAAAAAAAABACAAAAAiAAAAZHJzL2Rvd25yZXYueG1sUEsBAhQAFAAAAAgAh07iQDMvBZ47&#10;AAAAOQAAABAAAAAAAAAAAQAgAAAACgEAAGRycy9zaGFwZXhtbC54bWxQSwUGAAAAAAYABgBbAQAA&#10;tAMAAAAA&#10;">
                  <v:fill on="f" focussize="0,0"/>
                  <v:stroke weight="2pt" color="#1F4D78" joinstyle="miter"/>
                  <v:imagedata o:title=""/>
                  <o:lock v:ext="edit" aspectratio="f"/>
                  <v:textbox inset="2mm,1.27mm,2mm,1.27mm">
                    <w:txbxContent>
                      <w:p>
                        <w:pPr>
                          <w:ind w:left="0" w:leftChars="0" w:firstLine="0" w:firstLineChars="0"/>
                          <w:jc w:val="center"/>
                          <w:rPr>
                            <w:kern w:val="0"/>
                            <w:sz w:val="24"/>
                          </w:rPr>
                        </w:pPr>
                        <w:r>
                          <w:rPr>
                            <w:rFonts w:hint="eastAsia" w:ascii="Calibri" w:eastAsia="宋体" w:cs="Times New Roman"/>
                            <w:color w:val="000000"/>
                            <w:kern w:val="24"/>
                          </w:rPr>
                          <w:t xml:space="preserve">能源与资源投入 </w:t>
                        </w:r>
                        <w:r>
                          <w:rPr>
                            <w:rFonts w:ascii="Calibri" w:eastAsia="宋体" w:cs="Times New Roman"/>
                            <w:color w:val="000000"/>
                            <w:kern w:val="24"/>
                          </w:rPr>
                          <w:t>5.4</w:t>
                        </w:r>
                      </w:p>
                    </w:txbxContent>
                  </v:textbox>
                </v:roundrect>
                <v:roundrect id="矩形: 圆角 5" o:spid="_x0000_s1026" o:spt="2" style="position:absolute;left:42475;top:9168;height:10152;width:15191;v-text-anchor:middle;" filled="f" stroked="t" coordsize="21600,21600" arcsize="0.166666666666667" o:gfxdata="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sCZ+ugAAANsA&#10;AAAPAAAAAAAAAAEAIAAAACIAAABkcnMvZG93bnJldi54bWxQSwECFAAUAAAACACHTuJAMy8FnjsA&#10;AAA5AAAAEAAAAAAAAAABACAAAAAJAQAAZHJzL3NoYXBleG1sLnhtbFBLBQYAAAAABgAGAFsBAACz&#10;AwAAAAA=&#10;">
                  <v:fill on="f" focussize="0,0"/>
                  <v:stroke weight="2pt" color="#1F4D78" joinstyle="miter"/>
                  <v:imagedata o:title=""/>
                  <o:lock v:ext="edit" aspectratio="f"/>
                  <v:textbox inset="2mm,1.27mm,2mm,1.27mm">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kern w:val="0"/>
                            <w:sz w:val="24"/>
                          </w:rPr>
                        </w:pPr>
                        <w:r>
                          <w:rPr>
                            <w:rFonts w:hint="eastAsia" w:ascii="Calibri" w:eastAsia="宋体" w:cs="Times New Roman"/>
                            <w:color w:val="000000"/>
                            <w:kern w:val="24"/>
                          </w:rPr>
                          <w:t xml:space="preserve">产品 </w:t>
                        </w:r>
                        <w:r>
                          <w:rPr>
                            <w:rFonts w:ascii="Calibri" w:eastAsia="宋体" w:cs="Times New Roman"/>
                            <w:color w:val="000000"/>
                            <w:kern w:val="24"/>
                          </w:rPr>
                          <w:t>5.5</w:t>
                        </w:r>
                      </w:p>
                    </w:txbxContent>
                  </v:textbox>
                </v:roundrect>
                <v:roundrect id="矩形: 圆角 6" o:spid="_x0000_s1026" o:spt="2" style="position:absolute;left:42475;top:20684;height:10152;width:15191;v-text-anchor:middle;" filled="f" stroked="t" coordsize="21600,21600" arcsize="0.166666666666667" o:gfxdata="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Wb4KugAAANsA&#10;AAAPAAAAAAAAAAEAIAAAACIAAABkcnMvZG93bnJldi54bWxQSwECFAAUAAAACACHTuJAMy8FnjsA&#10;AAA5AAAAEAAAAAAAAAABACAAAAAJAQAAZHJzL3NoYXBleG1sLnhtbFBLBQYAAAAABgAGAFsBAACz&#10;AwAAAAA=&#10;">
                  <v:fill on="f" focussize="0,0"/>
                  <v:stroke weight="2pt" color="#1F4D78" joinstyle="miter"/>
                  <v:imagedata o:title=""/>
                  <o:lock v:ext="edit" aspectratio="f"/>
                  <v:textbox inset="2mm,1.27mm,2mm,1.27mm">
                    <w:txbxContent>
                      <w:p>
                        <w:pPr>
                          <w:spacing w:line="240" w:lineRule="auto"/>
                          <w:ind w:left="0" w:leftChars="0" w:firstLine="0" w:firstLineChars="0"/>
                          <w:jc w:val="center"/>
                          <w:rPr>
                            <w:kern w:val="0"/>
                            <w:sz w:val="24"/>
                          </w:rPr>
                        </w:pPr>
                        <w:r>
                          <w:rPr>
                            <w:rFonts w:hint="eastAsia" w:ascii="Calibri" w:eastAsia="宋体" w:cs="Times New Roman"/>
                            <w:color w:val="000000"/>
                            <w:kern w:val="24"/>
                          </w:rPr>
                          <w:t xml:space="preserve">环境排放 </w:t>
                        </w:r>
                        <w:r>
                          <w:rPr>
                            <w:rFonts w:ascii="Calibri" w:eastAsia="宋体" w:cs="Times New Roman"/>
                            <w:color w:val="000000"/>
                            <w:kern w:val="24"/>
                          </w:rPr>
                          <w:t>5.6</w:t>
                        </w:r>
                      </w:p>
                    </w:txbxContent>
                  </v:textbox>
                </v:roundrect>
                <v:roundrect id="矩形: 圆角 7" o:spid="_x0000_s1026" o:spt="2" style="position:absolute;left:59190;top:0;height:40164;width:10766;v-text-anchor:middle;" filled="f" stroked="t" coordsize="21600,21600" arcsize="0.166666666666667" o:gfxdata="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3SWwtwAAANsAAAAP&#10;AAAAAAAAAAEAIAAAACIAAABkcnMvZG93bnJldi54bWxQSwECFAAUAAAACACHTuJAMy8FnjsAAAA5&#10;AAAAEAAAAAAAAAABACAAAAAGAQAAZHJzL3NoYXBleG1sLnhtbFBLBQYAAAAABgAGAFsBAACwAwAA&#10;AAA=&#10;">
                  <v:fill on="f" focussize="0,0"/>
                  <v:stroke weight="2pt" color="#1F4D78" joinstyle="miter"/>
                  <v:imagedata o:title=""/>
                  <o:lock v:ext="edit" aspectratio="f"/>
                  <v:textbox>
                    <w:txbxContent>
                      <w:p>
                        <w:pPr>
                          <w:ind w:left="0" w:leftChars="0" w:firstLine="0" w:firstLineChars="0"/>
                          <w:jc w:val="center"/>
                          <w:rPr>
                            <w:rFonts w:hint="eastAsia" w:ascii="Calibri" w:eastAsia="宋体" w:cs="Times New Roman"/>
                            <w:color w:val="000000"/>
                            <w:kern w:val="24"/>
                          </w:rPr>
                        </w:pPr>
                      </w:p>
                      <w:p>
                        <w:pPr>
                          <w:ind w:left="0" w:leftChars="0" w:firstLine="0" w:firstLineChars="0"/>
                          <w:jc w:val="center"/>
                          <w:rPr>
                            <w:rFonts w:hint="eastAsia" w:ascii="Calibri" w:eastAsia="宋体" w:cs="Times New Roman"/>
                            <w:color w:val="000000"/>
                            <w:kern w:val="24"/>
                          </w:rPr>
                        </w:pPr>
                      </w:p>
                      <w:p>
                        <w:pPr>
                          <w:ind w:left="0" w:leftChars="0" w:firstLine="0" w:firstLineChars="0"/>
                          <w:jc w:val="center"/>
                          <w:rPr>
                            <w:rFonts w:hint="eastAsia" w:ascii="Calibri" w:eastAsia="宋体" w:cs="Times New Roman"/>
                            <w:color w:val="000000"/>
                            <w:kern w:val="24"/>
                          </w:rPr>
                        </w:pPr>
                      </w:p>
                      <w:p>
                        <w:pPr>
                          <w:ind w:left="0" w:leftChars="0" w:firstLine="0" w:firstLineChars="0"/>
                          <w:jc w:val="center"/>
                          <w:rPr>
                            <w:kern w:val="0"/>
                            <w:sz w:val="24"/>
                          </w:rPr>
                        </w:pPr>
                        <w:r>
                          <w:rPr>
                            <w:rFonts w:hint="eastAsia" w:ascii="Calibri" w:eastAsia="宋体" w:cs="Times New Roman"/>
                            <w:color w:val="000000"/>
                            <w:kern w:val="24"/>
                          </w:rPr>
                          <w:t xml:space="preserve">绩效 </w:t>
                        </w:r>
                        <w:r>
                          <w:rPr>
                            <w:rFonts w:ascii="Calibri" w:eastAsia="宋体" w:cs="Times New Roman"/>
                            <w:color w:val="000000"/>
                            <w:kern w:val="24"/>
                          </w:rPr>
                          <w:t>5.7</w:t>
                        </w:r>
                      </w:p>
                    </w:txbxContent>
                  </v:textbox>
                </v:roundrect>
                <v:shape id="箭头: 右 8" o:spid="_x0000_s1026" o:spt="13" type="#_x0000_t13" style="position:absolute;left:17427;top:12628;height:14908;width:22811;v-text-anchor:middle;" filled="f" stroked="t" coordsize="21600,21600" o:gfxdata="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kWgprsAAADb&#10;AAAADwAAAAAAAAABACAAAAAiAAAAZHJzL2Rvd25yZXYueG1sUEsBAhQAFAAAAAgAh07iQDMvBZ47&#10;AAAAOQAAABAAAAAAAAAAAQAgAAAACgEAAGRycy9zaGFwZXhtbC54bWxQSwUGAAAAAAYABgBbAQAA&#10;tAMAAAAA&#10;" adj="14544,5400">
                  <v:fill on="f" focussize="0,0"/>
                  <v:stroke weight="2pt" color="#1F4D78" joinstyle="miter" dashstyle="dash"/>
                  <v:imagedata o:title=""/>
                  <o:lock v:ext="edit" aspectratio="f"/>
                  <v:textbox>
                    <w:txbxContent>
                      <w:p>
                        <w:pPr>
                          <w:ind w:left="0" w:leftChars="0" w:firstLine="210" w:firstLineChars="100"/>
                          <w:jc w:val="both"/>
                          <w:rPr>
                            <w:kern w:val="0"/>
                            <w:sz w:val="24"/>
                          </w:rPr>
                        </w:pPr>
                        <w:r>
                          <w:rPr>
                            <w:rFonts w:hint="eastAsia" w:ascii="Calibri" w:eastAsia="宋体" w:cs="Times New Roman"/>
                            <w:color w:val="000000"/>
                            <w:kern w:val="24"/>
                          </w:rPr>
                          <w:t>生产过程</w:t>
                        </w:r>
                      </w:p>
                    </w:txbxContent>
                  </v:textbox>
                </v:shape>
              </v:group>
            </w:pict>
          </mc:Fallback>
        </mc:AlternateConten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jc w:val="center"/>
        <w:rPr>
          <w:highlight w:val="none"/>
        </w:rPr>
      </w:pPr>
      <w:r>
        <w:rPr>
          <w:rFonts w:hint="eastAsia"/>
          <w:highlight w:val="none"/>
        </w:rPr>
        <w:t>图1</w:t>
      </w:r>
      <w:r>
        <w:rPr>
          <w:highlight w:val="none"/>
        </w:rPr>
        <w:t xml:space="preserve"> </w:t>
      </w:r>
      <w:r>
        <w:rPr>
          <w:rFonts w:hint="eastAsia"/>
          <w:highlight w:val="none"/>
        </w:rPr>
        <w:t>稀土抛光粉绿色工厂评价体系框图</w:t>
      </w:r>
    </w:p>
    <w:p>
      <w:pPr>
        <w:pStyle w:val="4"/>
        <w:bidi w:val="0"/>
      </w:pPr>
      <w:r>
        <w:rPr>
          <w:rFonts w:hint="eastAsia"/>
        </w:rPr>
        <w:t>4.1.2 系统性原则</w:t>
      </w:r>
    </w:p>
    <w:p>
      <w:pPr>
        <w:rPr>
          <w:highlight w:val="none"/>
        </w:rPr>
      </w:pPr>
      <w:r>
        <w:rPr>
          <w:rFonts w:hint="eastAsia"/>
          <w:highlight w:val="none"/>
        </w:rPr>
        <w:t>评价指标采取定性与定量相结合、过程与绩效相结合的方式，形成完整的综合性评价指标体系。</w:t>
      </w:r>
    </w:p>
    <w:p>
      <w:pPr>
        <w:pStyle w:val="3"/>
        <w:bidi w:val="0"/>
      </w:pPr>
      <w:r>
        <w:rPr>
          <w:rFonts w:hint="eastAsia"/>
        </w:rPr>
        <w:t>4.2 评价指标</w:t>
      </w:r>
    </w:p>
    <w:p>
      <w:pPr>
        <w:pStyle w:val="4"/>
        <w:bidi w:val="0"/>
      </w:pPr>
      <w:r>
        <w:rPr>
          <w:rFonts w:hint="eastAsia"/>
        </w:rPr>
        <w:t>4.2.1 评价指标体系</w:t>
      </w:r>
    </w:p>
    <w:p>
      <w:pPr>
        <w:rPr>
          <w:highlight w:val="none"/>
        </w:rPr>
      </w:pPr>
      <w:r>
        <w:rPr>
          <w:rFonts w:hint="eastAsia"/>
          <w:highlight w:val="none"/>
        </w:rPr>
        <w:t>评价指标体系包括三个层次，即一级指标、二级指标和具体评价要求</w:t>
      </w:r>
      <w:r>
        <w:rPr>
          <w:highlight w:val="none"/>
        </w:rPr>
        <w:t>。一级指标包括基本要求、基础设施、管理体系、能源与资源投入、产品、环境排放、绩效共7个方面；在</w:t>
      </w:r>
      <w:r>
        <w:rPr>
          <w:rFonts w:hint="eastAsia"/>
          <w:highlight w:val="none"/>
        </w:rPr>
        <w:t>每个</w:t>
      </w:r>
      <w:r>
        <w:rPr>
          <w:highlight w:val="none"/>
        </w:rPr>
        <w:t>一级指标下设二级指标，在</w:t>
      </w:r>
      <w:r>
        <w:rPr>
          <w:rFonts w:hint="eastAsia"/>
          <w:highlight w:val="none"/>
        </w:rPr>
        <w:t>每个</w:t>
      </w:r>
      <w:r>
        <w:rPr>
          <w:highlight w:val="none"/>
        </w:rPr>
        <w:t>二级指标下设具体评价要求。</w:t>
      </w:r>
      <w:r>
        <w:rPr>
          <w:rFonts w:hint="eastAsia"/>
          <w:highlight w:val="none"/>
        </w:rPr>
        <w:t>一级指标中的</w:t>
      </w:r>
      <w:r>
        <w:rPr>
          <w:highlight w:val="none"/>
        </w:rPr>
        <w:t>基本要求为工厂参与评价的基本条件，不参与评分，其他6个方面</w:t>
      </w:r>
      <w:r>
        <w:rPr>
          <w:rFonts w:hint="eastAsia"/>
          <w:highlight w:val="none"/>
        </w:rPr>
        <w:t>均参与评分</w:t>
      </w:r>
      <w:r>
        <w:rPr>
          <w:highlight w:val="none"/>
        </w:rPr>
        <w:t>，通过评分来判断</w:t>
      </w:r>
      <w:r>
        <w:rPr>
          <w:rFonts w:hint="eastAsia"/>
          <w:highlight w:val="none"/>
          <w:lang w:val="en-US" w:eastAsia="zh-CN"/>
        </w:rPr>
        <w:t>绿色</w:t>
      </w:r>
      <w:r>
        <w:rPr>
          <w:highlight w:val="none"/>
        </w:rPr>
        <w:t>工厂满足要求的程度。</w:t>
      </w:r>
    </w:p>
    <w:p>
      <w:pPr>
        <w:pStyle w:val="4"/>
        <w:bidi w:val="0"/>
      </w:pPr>
      <w:r>
        <w:rPr>
          <w:rFonts w:hint="eastAsia"/>
        </w:rPr>
        <w:t>4.2.2 权重系数和指标分数</w:t>
      </w:r>
    </w:p>
    <w:p>
      <w:pPr>
        <w:rPr>
          <w:highlight w:val="none"/>
        </w:rPr>
      </w:pPr>
      <w:r>
        <w:rPr>
          <w:highlight w:val="none"/>
        </w:rPr>
        <w:t>稀土抛光粉</w:t>
      </w:r>
      <w:r>
        <w:rPr>
          <w:rFonts w:hint="eastAsia"/>
          <w:highlight w:val="none"/>
        </w:rPr>
        <w:t>绿色工厂评价一级指标权重系数</w:t>
      </w:r>
      <w:r>
        <w:rPr>
          <w:rFonts w:hint="eastAsia"/>
          <w:highlight w:val="none"/>
          <w:lang w:val="en-US" w:eastAsia="zh-CN"/>
        </w:rPr>
        <w:t>XB/T 803-2021</w:t>
      </w:r>
      <w:r>
        <w:rPr>
          <w:rFonts w:hint="eastAsia"/>
          <w:highlight w:val="none"/>
        </w:rPr>
        <w:t>《稀土采选冶行业绿色工厂评价导则》</w:t>
      </w:r>
      <w:r>
        <w:rPr>
          <w:rFonts w:hint="eastAsia"/>
          <w:highlight w:val="none"/>
          <w:lang w:val="en-US" w:eastAsia="zh-CN"/>
        </w:rPr>
        <w:t>的规定</w:t>
      </w:r>
      <w:r>
        <w:rPr>
          <w:rFonts w:hint="eastAsia"/>
          <w:highlight w:val="none"/>
        </w:rPr>
        <w:t>为：</w:t>
      </w:r>
    </w:p>
    <w:p>
      <w:pPr>
        <w:rPr>
          <w:highlight w:val="none"/>
        </w:rPr>
      </w:pPr>
      <w:r>
        <w:rPr>
          <w:highlight w:val="none"/>
        </w:rPr>
        <w:t>——基本要求（5.1）采取一票否决制，应全部满足；</w:t>
      </w:r>
    </w:p>
    <w:p>
      <w:pPr>
        <w:rPr>
          <w:highlight w:val="none"/>
        </w:rPr>
      </w:pPr>
      <w:r>
        <w:rPr>
          <w:highlight w:val="none"/>
        </w:rPr>
        <w:t>——基础设施（5.2）</w:t>
      </w:r>
      <w:r>
        <w:rPr>
          <w:rFonts w:hint="eastAsia"/>
          <w:highlight w:val="none"/>
          <w:lang w:val="en-US" w:eastAsia="zh-CN"/>
        </w:rPr>
        <w:t>20</w:t>
      </w:r>
      <w:r>
        <w:rPr>
          <w:highlight w:val="none"/>
        </w:rPr>
        <w:t>%；</w:t>
      </w:r>
    </w:p>
    <w:p>
      <w:pPr>
        <w:rPr>
          <w:highlight w:val="none"/>
        </w:rPr>
      </w:pPr>
      <w:r>
        <w:rPr>
          <w:highlight w:val="none"/>
        </w:rPr>
        <w:t>——管理体系（5.3）15%；</w:t>
      </w:r>
    </w:p>
    <w:p>
      <w:pPr>
        <w:rPr>
          <w:highlight w:val="none"/>
        </w:rPr>
      </w:pPr>
      <w:r>
        <w:rPr>
          <w:highlight w:val="none"/>
        </w:rPr>
        <w:t>——能源与资源投入（5.4）15%；</w:t>
      </w:r>
    </w:p>
    <w:p>
      <w:pPr>
        <w:rPr>
          <w:highlight w:val="none"/>
        </w:rPr>
      </w:pPr>
      <w:r>
        <w:rPr>
          <w:highlight w:val="none"/>
        </w:rPr>
        <w:t>——产品（5.5）</w:t>
      </w:r>
      <w:r>
        <w:rPr>
          <w:rFonts w:hint="eastAsia"/>
          <w:highlight w:val="none"/>
          <w:lang w:val="en-US" w:eastAsia="zh-CN"/>
        </w:rPr>
        <w:t>5</w:t>
      </w:r>
      <w:r>
        <w:rPr>
          <w:highlight w:val="none"/>
        </w:rPr>
        <w:t>%；</w:t>
      </w:r>
    </w:p>
    <w:p>
      <w:pPr>
        <w:rPr>
          <w:highlight w:val="none"/>
        </w:rPr>
      </w:pPr>
      <w:r>
        <w:rPr>
          <w:highlight w:val="none"/>
        </w:rPr>
        <w:t>——环境排放（5.6）</w:t>
      </w:r>
      <w:r>
        <w:rPr>
          <w:rFonts w:hint="eastAsia"/>
          <w:highlight w:val="none"/>
          <w:lang w:val="en-US" w:eastAsia="zh-CN"/>
        </w:rPr>
        <w:t>15</w:t>
      </w:r>
      <w:r>
        <w:rPr>
          <w:highlight w:val="none"/>
        </w:rPr>
        <w:t>%；</w:t>
      </w:r>
    </w:p>
    <w:p>
      <w:pPr>
        <w:rPr>
          <w:highlight w:val="none"/>
        </w:rPr>
      </w:pPr>
      <w:r>
        <w:rPr>
          <w:highlight w:val="none"/>
        </w:rPr>
        <w:t>——绩效（5.7）</w:t>
      </w:r>
      <w:r>
        <w:rPr>
          <w:rFonts w:hint="eastAsia"/>
          <w:highlight w:val="none"/>
          <w:lang w:val="en-US" w:eastAsia="zh-CN"/>
        </w:rPr>
        <w:t>30</w:t>
      </w:r>
      <w:r>
        <w:rPr>
          <w:highlight w:val="none"/>
        </w:rPr>
        <w:t>%。</w:t>
      </w:r>
    </w:p>
    <w:p>
      <w:pPr>
        <w:rPr>
          <w:highlight w:val="none"/>
        </w:rPr>
      </w:pPr>
      <w:r>
        <w:rPr>
          <w:highlight w:val="none"/>
        </w:rPr>
        <w:t>最终权重系数总和为100%，二级指标和具体评价要求见附录A。</w:t>
      </w:r>
    </w:p>
    <w:p>
      <w:pPr>
        <w:pStyle w:val="3"/>
      </w:pPr>
      <w:r>
        <w:rPr>
          <w:rFonts w:hint="eastAsia"/>
        </w:rPr>
        <w:t>4.3 评价方法</w:t>
      </w:r>
    </w:p>
    <w:p>
      <w:pPr>
        <w:ind w:firstLine="0" w:firstLineChars="0"/>
        <w:jc w:val="left"/>
        <w:rPr>
          <w:highlight w:val="none"/>
        </w:rPr>
      </w:pPr>
      <w:r>
        <w:rPr>
          <w:rStyle w:val="52"/>
        </w:rPr>
        <w:t>4.3.1</w:t>
      </w:r>
      <w:r>
        <w:rPr>
          <w:rFonts w:hint="eastAsia"/>
          <w:highlight w:val="none"/>
        </w:rPr>
        <w:t xml:space="preserve"> 评价可由第一方、第二方或第三方组织实施。当评价结果用于对外宣告时，则评价方至少应包括独立于工厂、具备相应能力的第三方组织。</w:t>
      </w:r>
    </w:p>
    <w:p>
      <w:pPr>
        <w:ind w:firstLine="0" w:firstLineChars="0"/>
        <w:rPr>
          <w:highlight w:val="none"/>
        </w:rPr>
      </w:pPr>
      <w:r>
        <w:rPr>
          <w:rStyle w:val="52"/>
        </w:rPr>
        <w:t xml:space="preserve">4.3.2 </w:t>
      </w:r>
      <w:r>
        <w:rPr>
          <w:rFonts w:hint="eastAsia"/>
          <w:highlight w:val="none"/>
        </w:rPr>
        <w:t>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ind w:firstLine="0" w:firstLineChars="0"/>
        <w:rPr>
          <w:highlight w:val="none"/>
        </w:rPr>
      </w:pPr>
      <w:r>
        <w:rPr>
          <w:rStyle w:val="52"/>
        </w:rPr>
        <w:t>4.3.3</w:t>
      </w:r>
      <w:r>
        <w:rPr>
          <w:rFonts w:hint="eastAsia"/>
          <w:highlight w:val="none"/>
        </w:rPr>
        <w:t xml:space="preserve"> 评价采用指标</w:t>
      </w:r>
      <w:r>
        <w:rPr>
          <w:highlight w:val="none"/>
        </w:rPr>
        <w:t>加权综合评分的方式，各指标加权综合评分的总分为100分。稀土抛光粉绿色工厂评价指标表见附录A。对照附录A表A.1中具体条款，</w:t>
      </w:r>
      <w:r>
        <w:rPr>
          <w:rFonts w:hint="eastAsia"/>
          <w:highlight w:val="none"/>
        </w:rPr>
        <w:t>分值类型分为一票否决型、零整型和取值型：一票否决型为基本要求，无分值，任意一项不符合即可判定不符合绿色工厂要求；零整型</w:t>
      </w:r>
      <w:r>
        <w:rPr>
          <w:highlight w:val="none"/>
        </w:rPr>
        <w:t>得分根据符合与否取0分或满分</w:t>
      </w:r>
      <w:r>
        <w:rPr>
          <w:rFonts w:hint="eastAsia"/>
          <w:highlight w:val="none"/>
          <w:lang w:eastAsia="zh-CN"/>
        </w:rPr>
        <w:t>；</w:t>
      </w:r>
      <w:r>
        <w:rPr>
          <w:rFonts w:hint="eastAsia"/>
          <w:highlight w:val="none"/>
        </w:rPr>
        <w:t>取值型</w:t>
      </w:r>
      <w:r>
        <w:rPr>
          <w:highlight w:val="none"/>
        </w:rPr>
        <w:t>指标根据符合程度</w:t>
      </w:r>
      <w:r>
        <w:rPr>
          <w:rFonts w:hint="eastAsia"/>
          <w:highlight w:val="none"/>
        </w:rPr>
        <w:t>按照附录B的要求</w:t>
      </w:r>
      <w:r>
        <w:rPr>
          <w:highlight w:val="none"/>
        </w:rPr>
        <w:t>在0分和满分之间取</w:t>
      </w:r>
      <w:r>
        <w:rPr>
          <w:rFonts w:hint="eastAsia"/>
          <w:highlight w:val="none"/>
        </w:rPr>
        <w:t>整数</w:t>
      </w:r>
      <w:r>
        <w:rPr>
          <w:highlight w:val="none"/>
        </w:rPr>
        <w:t>值</w:t>
      </w:r>
      <w:bookmarkStart w:id="34" w:name="_Hlk54430613"/>
      <w:r>
        <w:rPr>
          <w:highlight w:val="none"/>
        </w:rPr>
        <w:t>。</w:t>
      </w:r>
      <w:bookmarkEnd w:id="34"/>
    </w:p>
    <w:p>
      <w:pPr>
        <w:ind w:firstLine="0" w:firstLineChars="0"/>
        <w:rPr>
          <w:rFonts w:hint="eastAsia" w:eastAsia="宋体"/>
          <w:highlight w:val="none"/>
          <w:lang w:eastAsia="zh-CN"/>
        </w:rPr>
      </w:pPr>
      <w:r>
        <w:rPr>
          <w:rStyle w:val="52"/>
        </w:rPr>
        <w:t xml:space="preserve">4.3.4 </w:t>
      </w:r>
      <w:r>
        <w:rPr>
          <w:rFonts w:hint="eastAsia"/>
          <w:highlight w:val="none"/>
        </w:rPr>
        <w:t>评价应依据国家主管部门规定</w:t>
      </w:r>
      <w:r>
        <w:rPr>
          <w:rFonts w:hint="eastAsia"/>
          <w:highlight w:val="none"/>
          <w:lang w:val="en-US" w:eastAsia="zh-CN"/>
        </w:rPr>
        <w:t>和相关方要求</w:t>
      </w:r>
      <w:r>
        <w:rPr>
          <w:rFonts w:hint="eastAsia"/>
          <w:highlight w:val="none"/>
        </w:rPr>
        <w:t>、</w:t>
      </w:r>
      <w:r>
        <w:rPr>
          <w:rFonts w:hint="eastAsia"/>
          <w:highlight w:val="none"/>
          <w:lang w:val="en-US" w:eastAsia="zh-CN"/>
        </w:rPr>
        <w:t>当工厂完全符合5.1基本要求的同时，指标加权综合评分在85分及以上时才具有评定绿色工厂的资格</w:t>
      </w:r>
      <w:r>
        <w:rPr>
          <w:rFonts w:hint="eastAsia"/>
          <w:highlight w:val="none"/>
          <w:lang w:eastAsia="zh-CN"/>
        </w:rPr>
        <w:t>。</w:t>
      </w:r>
      <w:r>
        <w:rPr>
          <w:rFonts w:hint="eastAsia"/>
          <w:color w:val="auto"/>
          <w:highlight w:val="none"/>
          <w:lang w:val="en-US" w:eastAsia="zh-CN"/>
        </w:rPr>
        <w:t>当分数达到90分以上时，可纳入绿色工厂名单。</w:t>
      </w:r>
    </w:p>
    <w:p>
      <w:pPr>
        <w:pStyle w:val="3"/>
        <w:outlineLvl w:val="0"/>
        <w:rPr>
          <w:highlight w:val="none"/>
        </w:rPr>
      </w:pPr>
      <w:bookmarkStart w:id="35" w:name="_Toc13241"/>
      <w:bookmarkStart w:id="36" w:name="_Toc1879"/>
      <w:r>
        <w:rPr>
          <w:rFonts w:hint="eastAsia"/>
          <w:highlight w:val="none"/>
        </w:rPr>
        <w:t>5 评价要求</w:t>
      </w:r>
      <w:bookmarkEnd w:id="35"/>
      <w:bookmarkEnd w:id="36"/>
    </w:p>
    <w:p>
      <w:pPr>
        <w:pStyle w:val="3"/>
      </w:pPr>
      <w:r>
        <w:rPr>
          <w:rFonts w:hint="eastAsia"/>
        </w:rPr>
        <w:t>5.1 基本要求</w:t>
      </w:r>
    </w:p>
    <w:p>
      <w:pPr>
        <w:pStyle w:val="4"/>
      </w:pPr>
      <w:r>
        <w:rPr>
          <w:rFonts w:hint="eastAsia"/>
        </w:rPr>
        <w:t>5.1.1合规性与相关方要求</w:t>
      </w:r>
    </w:p>
    <w:p>
      <w:pPr>
        <w:ind w:firstLine="0" w:firstLineChars="0"/>
        <w:rPr>
          <w:highlight w:val="none"/>
        </w:rPr>
      </w:pPr>
      <w:r>
        <w:rPr>
          <w:rStyle w:val="53"/>
          <w:b w:val="0"/>
          <w:bCs w:val="0"/>
        </w:rPr>
        <w:t>5.1.1.1</w:t>
      </w:r>
      <w:r>
        <w:rPr>
          <w:rFonts w:hint="eastAsia"/>
          <w:highlight w:val="none"/>
        </w:rPr>
        <w:t xml:space="preserve"> 稀土抛光粉工厂应依法设立，实施生产至少一年以上，在建设和生产过程中应遵守有关法律、法规、政策和标准。</w:t>
      </w:r>
    </w:p>
    <w:p>
      <w:pPr>
        <w:ind w:firstLine="0" w:firstLineChars="0"/>
        <w:rPr>
          <w:highlight w:val="none"/>
        </w:rPr>
      </w:pPr>
      <w:r>
        <w:rPr>
          <w:rStyle w:val="53"/>
        </w:rPr>
        <w:t>5.1.1.2</w:t>
      </w:r>
      <w:r>
        <w:rPr>
          <w:rFonts w:hint="eastAsia"/>
          <w:highlight w:val="none"/>
        </w:rPr>
        <w:t xml:space="preserve"> 应具有良好信用，近三年（含成立不足三年）无严重违法失信、经营异常和行政处罚记录。</w:t>
      </w:r>
    </w:p>
    <w:p>
      <w:pPr>
        <w:ind w:firstLine="0" w:firstLineChars="0"/>
        <w:rPr>
          <w:rFonts w:hint="eastAsia" w:eastAsia="宋体"/>
          <w:highlight w:val="none"/>
          <w:lang w:val="en-US" w:eastAsia="zh-CN"/>
        </w:rPr>
      </w:pPr>
      <w:r>
        <w:rPr>
          <w:rStyle w:val="53"/>
          <w:highlight w:val="none"/>
        </w:rPr>
        <w:t xml:space="preserve">5.1.1.3 </w:t>
      </w:r>
      <w:r>
        <w:rPr>
          <w:rFonts w:hint="eastAsia"/>
          <w:highlight w:val="none"/>
        </w:rPr>
        <w:t>近三年（含成立不足三年）未发生</w:t>
      </w:r>
      <w:r>
        <w:rPr>
          <w:rFonts w:hint="eastAsia"/>
          <w:color w:val="auto"/>
          <w:highlight w:val="none"/>
        </w:rPr>
        <w:t>工亡</w:t>
      </w:r>
      <w:r>
        <w:rPr>
          <w:rFonts w:hint="eastAsia"/>
          <w:highlight w:val="none"/>
        </w:rPr>
        <w:t>以上的生产安全事故、未受环保行政处罚、无较大质量事故</w:t>
      </w:r>
      <w:r>
        <w:rPr>
          <w:rFonts w:hint="eastAsia"/>
          <w:highlight w:val="none"/>
          <w:lang w:eastAsia="zh-CN"/>
        </w:rPr>
        <w:t>、</w:t>
      </w:r>
      <w:r>
        <w:rPr>
          <w:rFonts w:hint="eastAsia"/>
          <w:highlight w:val="none"/>
        </w:rPr>
        <w:t>未造成1000万元以上经济损失</w:t>
      </w:r>
      <w:r>
        <w:rPr>
          <w:rFonts w:hint="eastAsia"/>
          <w:highlight w:val="none"/>
          <w:lang w:eastAsia="zh-CN"/>
        </w:rPr>
        <w:t>。</w:t>
      </w:r>
    </w:p>
    <w:p>
      <w:pPr>
        <w:ind w:firstLine="0" w:firstLineChars="0"/>
        <w:rPr>
          <w:highlight w:val="none"/>
        </w:rPr>
      </w:pPr>
      <w:r>
        <w:rPr>
          <w:rStyle w:val="53"/>
        </w:rPr>
        <w:t>5.1.1.4</w:t>
      </w:r>
      <w:r>
        <w:rPr>
          <w:rFonts w:hint="eastAsia"/>
          <w:highlight w:val="none"/>
        </w:rPr>
        <w:t xml:space="preserve"> 对利益相关方的环境要求做出承诺的，应同时满足有关承诺的要求。</w:t>
      </w:r>
    </w:p>
    <w:p>
      <w:pPr>
        <w:ind w:firstLine="0" w:firstLineChars="0"/>
        <w:rPr>
          <w:highlight w:val="none"/>
        </w:rPr>
      </w:pPr>
      <w:r>
        <w:rPr>
          <w:rStyle w:val="53"/>
        </w:rPr>
        <w:t>5.1.1.5</w:t>
      </w:r>
      <w:r>
        <w:rPr>
          <w:rFonts w:hint="eastAsia"/>
          <w:highlight w:val="none"/>
        </w:rPr>
        <w:t xml:space="preserve"> </w:t>
      </w:r>
      <w:r>
        <w:rPr>
          <w:highlight w:val="none"/>
        </w:rPr>
        <w:t>能源消耗指标应</w:t>
      </w:r>
      <w:r>
        <w:rPr>
          <w:rFonts w:hint="eastAsia"/>
          <w:highlight w:val="none"/>
          <w:lang w:val="en-US" w:eastAsia="zh-CN"/>
        </w:rPr>
        <w:t>符合GB 29435及地方能耗限额</w:t>
      </w:r>
      <w:r>
        <w:rPr>
          <w:highlight w:val="none"/>
        </w:rPr>
        <w:t>标准限定值的要求。</w:t>
      </w:r>
    </w:p>
    <w:p>
      <w:pPr>
        <w:ind w:firstLine="0" w:firstLineChars="0"/>
        <w:rPr>
          <w:highlight w:val="none"/>
        </w:rPr>
      </w:pPr>
      <w:r>
        <w:rPr>
          <w:rStyle w:val="53"/>
        </w:rPr>
        <w:t>5.1.1.6</w:t>
      </w:r>
      <w:r>
        <w:rPr>
          <w:rFonts w:hint="eastAsia"/>
          <w:highlight w:val="none"/>
        </w:rPr>
        <w:t xml:space="preserve"> </w:t>
      </w:r>
      <w:r>
        <w:rPr>
          <w:rFonts w:hint="default"/>
          <w:highlight w:val="none"/>
        </w:rPr>
        <w:t>工厂各种污染物排放指标应符合GB 26451等国家、行业和地方现行有关标准的要求，并应按照HJ 1125的要求申领获得排污许可证</w:t>
      </w:r>
      <w:r>
        <w:rPr>
          <w:rFonts w:hint="default"/>
          <w:highlight w:val="none"/>
          <w:lang w:eastAsia="zh-CN"/>
        </w:rPr>
        <w:t>。</w:t>
      </w:r>
    </w:p>
    <w:p>
      <w:pPr>
        <w:pStyle w:val="4"/>
      </w:pPr>
      <w:r>
        <w:rPr>
          <w:rFonts w:hint="eastAsia"/>
        </w:rPr>
        <w:t>5.1.2 基础管理职责</w:t>
      </w:r>
    </w:p>
    <w:p>
      <w:pPr>
        <w:rPr>
          <w:highlight w:val="none"/>
        </w:rPr>
      </w:pPr>
      <w:r>
        <w:rPr>
          <w:rFonts w:hint="eastAsia"/>
          <w:highlight w:val="none"/>
        </w:rPr>
        <w:t>基础管理职责（包括最高管理者要求</w:t>
      </w:r>
      <w:r>
        <w:rPr>
          <w:highlight w:val="none"/>
        </w:rPr>
        <w:t>和工厂要求）应满足GB/T 36132中4.3的要求。</w:t>
      </w:r>
    </w:p>
    <w:p>
      <w:pPr>
        <w:pStyle w:val="3"/>
      </w:pPr>
      <w:r>
        <w:rPr>
          <w:rFonts w:hint="eastAsia"/>
        </w:rPr>
        <w:t>5.2 基础设施要求</w:t>
      </w:r>
    </w:p>
    <w:p>
      <w:pPr>
        <w:pStyle w:val="4"/>
      </w:pPr>
      <w:r>
        <w:rPr>
          <w:rFonts w:hint="eastAsia"/>
        </w:rPr>
        <w:t>5.2.1 建筑</w:t>
      </w:r>
    </w:p>
    <w:p>
      <w:pPr>
        <w:rPr>
          <w:highlight w:val="none"/>
        </w:rPr>
      </w:pPr>
      <w:r>
        <w:rPr>
          <w:rFonts w:hint="eastAsia"/>
          <w:highlight w:val="none"/>
        </w:rPr>
        <w:t>工厂的建筑应满足国家和地方相关法律法规及标准的要求，并从建筑材料、建筑结构、采光照明、绿化及场地、再生资源及能源利用等方面进行建筑的节材、节能、节水、节地、无害化及可再生能源利用。适用时，工厂的厂房宜采用多层建筑。</w:t>
      </w:r>
    </w:p>
    <w:p>
      <w:pPr>
        <w:pStyle w:val="4"/>
      </w:pPr>
      <w:r>
        <w:rPr>
          <w:rFonts w:hint="eastAsia"/>
        </w:rPr>
        <w:t>5.2.2 照明</w:t>
      </w:r>
    </w:p>
    <w:p>
      <w:pPr>
        <w:ind w:firstLine="0" w:firstLineChars="0"/>
        <w:rPr>
          <w:highlight w:val="none"/>
        </w:rPr>
      </w:pPr>
      <w:r>
        <w:rPr>
          <w:rStyle w:val="53"/>
        </w:rPr>
        <w:t xml:space="preserve">5.2.2.1 </w:t>
      </w:r>
      <w:r>
        <w:rPr>
          <w:rFonts w:hint="eastAsia"/>
          <w:highlight w:val="none"/>
        </w:rPr>
        <w:t>厂区及各房间的照明应尽量利用自然光或节能灯，人工照明应符</w:t>
      </w:r>
      <w:r>
        <w:rPr>
          <w:highlight w:val="none"/>
        </w:rPr>
        <w:t>合GB 50034的规定。</w:t>
      </w:r>
    </w:p>
    <w:p>
      <w:pPr>
        <w:ind w:firstLine="0" w:firstLineChars="0"/>
        <w:rPr>
          <w:highlight w:val="none"/>
        </w:rPr>
      </w:pPr>
      <w:r>
        <w:rPr>
          <w:rStyle w:val="53"/>
        </w:rPr>
        <w:t xml:space="preserve">5.2.2.2 </w:t>
      </w:r>
      <w:r>
        <w:rPr>
          <w:rFonts w:hint="eastAsia"/>
          <w:highlight w:val="none"/>
        </w:rPr>
        <w:t>不同场所的照明应进行分级设计。</w:t>
      </w:r>
    </w:p>
    <w:p>
      <w:pPr>
        <w:ind w:firstLine="0" w:firstLineChars="0"/>
        <w:rPr>
          <w:highlight w:val="none"/>
        </w:rPr>
      </w:pPr>
      <w:r>
        <w:rPr>
          <w:rStyle w:val="53"/>
        </w:rPr>
        <w:t xml:space="preserve">5.2.2.3 </w:t>
      </w:r>
      <w:r>
        <w:rPr>
          <w:rStyle w:val="53"/>
          <w:rFonts w:hint="default" w:ascii="Times New Roman" w:hAnsi="Times New Roman" w:eastAsia="宋体" w:cs="Times New Roman"/>
          <w:lang w:val="en-US" w:eastAsia="zh-CN"/>
        </w:rPr>
        <w:t>3000㎡及以上</w:t>
      </w:r>
      <w:r>
        <w:rPr>
          <w:rFonts w:hint="eastAsia"/>
          <w:highlight w:val="none"/>
        </w:rPr>
        <w:t>大型厂房的照明系统宜采用分区控制方式，辅助生产和生活福利设施的照明系统宜适当增设照明控制开关，短时有人的场所宜采取节能自熄措施。</w:t>
      </w:r>
    </w:p>
    <w:p>
      <w:pPr>
        <w:pStyle w:val="4"/>
      </w:pPr>
      <w:r>
        <w:rPr>
          <w:rFonts w:hint="eastAsia"/>
        </w:rPr>
        <w:t>5.2.3 设备设施</w:t>
      </w:r>
    </w:p>
    <w:p>
      <w:pPr>
        <w:pStyle w:val="5"/>
      </w:pPr>
      <w:r>
        <w:rPr>
          <w:rFonts w:hint="eastAsia"/>
        </w:rPr>
        <w:t>5.2.3.1 专用设备</w:t>
      </w:r>
    </w:p>
    <w:p>
      <w:pPr>
        <w:rPr>
          <w:highlight w:val="none"/>
        </w:rPr>
      </w:pPr>
      <w:r>
        <w:rPr>
          <w:rFonts w:hint="eastAsia"/>
          <w:highlight w:val="none"/>
        </w:rPr>
        <w:t>专用设备应符合产业准入要求，降低能源与资源消耗，减少污染物排放。</w:t>
      </w:r>
    </w:p>
    <w:p>
      <w:pPr>
        <w:pStyle w:val="5"/>
      </w:pPr>
      <w:r>
        <w:rPr>
          <w:rFonts w:hint="eastAsia"/>
        </w:rPr>
        <w:t>5.2.3.2 通用设备</w:t>
      </w:r>
    </w:p>
    <w:p>
      <w:pPr>
        <w:rPr>
          <w:highlight w:val="none"/>
        </w:rPr>
      </w:pPr>
      <w:r>
        <w:rPr>
          <w:highlight w:val="none"/>
        </w:rPr>
        <w:t>通用设备应符合以下要求：</w:t>
      </w:r>
    </w:p>
    <w:p>
      <w:pPr>
        <w:rPr>
          <w:highlight w:val="none"/>
        </w:rPr>
      </w:pPr>
      <w:r>
        <w:rPr>
          <w:rFonts w:hint="eastAsia"/>
          <w:highlight w:val="none"/>
        </w:rPr>
        <w:t>a)</w:t>
      </w:r>
      <w:r>
        <w:rPr>
          <w:highlight w:val="none"/>
        </w:rPr>
        <w:t xml:space="preserve"> 适用时，通用设备</w:t>
      </w:r>
      <w:r>
        <w:rPr>
          <w:rFonts w:hint="eastAsia"/>
          <w:highlight w:val="none"/>
          <w:lang w:val="en-US" w:eastAsia="zh-CN"/>
        </w:rPr>
        <w:t>宜采用效率高、能耗低、</w:t>
      </w:r>
      <w:r>
        <w:rPr>
          <w:highlight w:val="none"/>
        </w:rPr>
        <w:t>水耗低、物耗低</w:t>
      </w:r>
      <w:r>
        <w:rPr>
          <w:rFonts w:hint="eastAsia"/>
          <w:highlight w:val="none"/>
          <w:lang w:val="en-US" w:eastAsia="zh-CN"/>
        </w:rPr>
        <w:t>的产品，</w:t>
      </w:r>
      <w:r>
        <w:rPr>
          <w:highlight w:val="none"/>
        </w:rPr>
        <w:t>如压缩机、电动机、变压器、工业锅炉、离心泵、通风机、空调机、冷水机组等应达到GB 18613、GB 19153、GB 19576、GB 19577、GB 19761、GB 19762、GB 20052、GB 21454、GB 24500、GB 24790等标准中能效限定值的强制性要求。</w:t>
      </w:r>
    </w:p>
    <w:p>
      <w:pPr>
        <w:rPr>
          <w:highlight w:val="none"/>
        </w:rPr>
      </w:pPr>
      <w:r>
        <w:rPr>
          <w:rFonts w:hint="eastAsia"/>
          <w:highlight w:val="none"/>
        </w:rPr>
        <w:t xml:space="preserve">b) </w:t>
      </w:r>
      <w:r>
        <w:rPr>
          <w:highlight w:val="none"/>
        </w:rPr>
        <w:t>通用设备或其系统的实际运行效率或主要运行参数应符合该设备经济运行的要求。</w:t>
      </w:r>
    </w:p>
    <w:p>
      <w:pPr>
        <w:rPr>
          <w:highlight w:val="none"/>
        </w:rPr>
      </w:pPr>
      <w:r>
        <w:rPr>
          <w:rFonts w:hint="eastAsia"/>
          <w:highlight w:val="none"/>
        </w:rPr>
        <w:t xml:space="preserve">c) </w:t>
      </w:r>
      <w:r>
        <w:rPr>
          <w:highlight w:val="none"/>
        </w:rPr>
        <w:t>已明令禁止生产、使用的设备或能耗高、效率低的设备应限期淘汰更新。</w:t>
      </w:r>
    </w:p>
    <w:p>
      <w:pPr>
        <w:pStyle w:val="5"/>
      </w:pPr>
      <w:r>
        <w:rPr>
          <w:rFonts w:hint="eastAsia"/>
        </w:rPr>
        <w:t>5.2.3.3 计量设备</w:t>
      </w:r>
    </w:p>
    <w:p>
      <w:pPr>
        <w:rPr>
          <w:rFonts w:hint="default" w:eastAsia="宋体"/>
          <w:highlight w:val="none"/>
          <w:lang w:val="en-US" w:eastAsia="zh-CN"/>
        </w:rPr>
      </w:pPr>
      <w:r>
        <w:rPr>
          <w:rFonts w:hint="eastAsia"/>
          <w:highlight w:val="none"/>
          <w:lang w:val="en-US" w:eastAsia="zh-CN"/>
        </w:rPr>
        <w:t>计量设备应符合以下要求：</w:t>
      </w:r>
    </w:p>
    <w:p>
      <w:pPr>
        <w:rPr>
          <w:highlight w:val="none"/>
        </w:rPr>
      </w:pPr>
      <w:r>
        <w:rPr>
          <w:highlight w:val="none"/>
        </w:rPr>
        <w:t>a</w:t>
      </w:r>
      <w:r>
        <w:rPr>
          <w:rFonts w:hint="eastAsia"/>
          <w:highlight w:val="none"/>
        </w:rPr>
        <w:t xml:space="preserve">) </w:t>
      </w:r>
      <w:r>
        <w:rPr>
          <w:highlight w:val="none"/>
        </w:rPr>
        <w:t>工厂应依据GB 17167、GB 24789等要求配备、使用和管理能源、水以及其他资源的计量器具和装置。进出用能单位、进出主要次级用能单位、主要用能设备计量器具配备率应满足GB/T 20902要求。</w:t>
      </w:r>
    </w:p>
    <w:p>
      <w:pPr>
        <w:rPr>
          <w:highlight w:val="none"/>
        </w:rPr>
      </w:pPr>
      <w:r>
        <w:rPr>
          <w:rFonts w:hint="eastAsia"/>
          <w:highlight w:val="none"/>
        </w:rPr>
        <w:t>b) 能源及资源使用的类型不同时，应进行分类计量。工厂若具有以下设备，需满足分类计量的要求：</w:t>
      </w:r>
    </w:p>
    <w:p>
      <w:pPr>
        <w:rPr>
          <w:highlight w:val="none"/>
        </w:rPr>
      </w:pPr>
      <w:r>
        <w:rPr>
          <w:rFonts w:hint="eastAsia"/>
          <w:highlight w:val="none"/>
        </w:rPr>
        <w:t>1）照明系统；</w:t>
      </w:r>
    </w:p>
    <w:p>
      <w:pPr>
        <w:rPr>
          <w:highlight w:val="none"/>
        </w:rPr>
      </w:pPr>
      <w:r>
        <w:rPr>
          <w:rFonts w:hint="eastAsia"/>
          <w:highlight w:val="none"/>
        </w:rPr>
        <w:t>2）冷水机组、相关用能设备的能耗计量和控制；</w:t>
      </w:r>
    </w:p>
    <w:p>
      <w:pPr>
        <w:rPr>
          <w:highlight w:val="none"/>
        </w:rPr>
      </w:pPr>
      <w:r>
        <w:rPr>
          <w:rFonts w:hint="eastAsia"/>
          <w:highlight w:val="none"/>
        </w:rPr>
        <w:t>3）生产用水、生活用水、消防用水；</w:t>
      </w:r>
    </w:p>
    <w:p>
      <w:pPr>
        <w:rPr>
          <w:highlight w:val="none"/>
        </w:rPr>
      </w:pPr>
      <w:r>
        <w:rPr>
          <w:rFonts w:hint="eastAsia"/>
          <w:highlight w:val="none"/>
        </w:rPr>
        <w:t>4）空气处理设备的流量和压力计量；</w:t>
      </w:r>
    </w:p>
    <w:p>
      <w:pPr>
        <w:rPr>
          <w:highlight w:val="none"/>
        </w:rPr>
      </w:pPr>
      <w:r>
        <w:rPr>
          <w:rFonts w:hint="eastAsia"/>
          <w:highlight w:val="none"/>
        </w:rPr>
        <w:t>5）锅炉；</w:t>
      </w:r>
    </w:p>
    <w:p>
      <w:pPr>
        <w:rPr>
          <w:highlight w:val="none"/>
        </w:rPr>
      </w:pPr>
      <w:r>
        <w:rPr>
          <w:rFonts w:hint="eastAsia"/>
          <w:highlight w:val="none"/>
        </w:rPr>
        <w:t>6）冷却塔。</w:t>
      </w:r>
    </w:p>
    <w:p>
      <w:pPr>
        <w:pStyle w:val="5"/>
      </w:pPr>
      <w:r>
        <w:rPr>
          <w:rFonts w:hint="eastAsia"/>
        </w:rPr>
        <w:t>5.2.3.4 污染物处理设施</w:t>
      </w:r>
    </w:p>
    <w:p>
      <w:pPr>
        <w:rPr>
          <w:highlight w:val="none"/>
        </w:rPr>
      </w:pPr>
      <w:r>
        <w:rPr>
          <w:rFonts w:hint="eastAsia"/>
          <w:highlight w:val="none"/>
        </w:rPr>
        <w:t>工厂应投入适宜的污染物处理设施，以确保其污染物排放达到相关法律法规及标准要求。污染物处理设施的处理能力应与工厂生产排放相适应，并应正常运行。</w:t>
      </w:r>
    </w:p>
    <w:p>
      <w:pPr>
        <w:pStyle w:val="3"/>
      </w:pPr>
      <w:r>
        <w:rPr>
          <w:rFonts w:hint="eastAsia"/>
        </w:rPr>
        <w:t>5.3 管理体系要求</w:t>
      </w:r>
    </w:p>
    <w:p>
      <w:pPr>
        <w:pStyle w:val="4"/>
      </w:pPr>
      <w:r>
        <w:rPr>
          <w:rFonts w:hint="eastAsia"/>
        </w:rPr>
        <w:t>5.3.1 质量管理体系</w:t>
      </w:r>
    </w:p>
    <w:p>
      <w:pPr>
        <w:rPr>
          <w:highlight w:val="none"/>
        </w:rPr>
      </w:pPr>
      <w:r>
        <w:rPr>
          <w:highlight w:val="none"/>
        </w:rPr>
        <w:t>a）工厂应建立、实施并保持质量管理体系。</w:t>
      </w:r>
    </w:p>
    <w:p>
      <w:pPr>
        <w:rPr>
          <w:highlight w:val="none"/>
        </w:rPr>
      </w:pPr>
      <w:r>
        <w:rPr>
          <w:highlight w:val="none"/>
        </w:rPr>
        <w:t>b）工厂的质量管理体系</w:t>
      </w:r>
      <w:r>
        <w:rPr>
          <w:rFonts w:hint="eastAsia"/>
          <w:highlight w:val="none"/>
        </w:rPr>
        <w:t>应满足</w:t>
      </w:r>
      <w:r>
        <w:rPr>
          <w:highlight w:val="none"/>
        </w:rPr>
        <w:t>GB/T 19001</w:t>
      </w:r>
      <w:r>
        <w:rPr>
          <w:rFonts w:hint="eastAsia"/>
          <w:highlight w:val="none"/>
        </w:rPr>
        <w:t>的要求</w:t>
      </w:r>
      <w:r>
        <w:rPr>
          <w:highlight w:val="none"/>
        </w:rPr>
        <w:t>。</w:t>
      </w:r>
    </w:p>
    <w:p>
      <w:pPr>
        <w:rPr>
          <w:highlight w:val="none"/>
        </w:rPr>
      </w:pPr>
      <w:r>
        <w:rPr>
          <w:highlight w:val="none"/>
        </w:rPr>
        <w:t>c</w:t>
      </w:r>
      <w:r>
        <w:rPr>
          <w:rFonts w:hint="eastAsia"/>
          <w:highlight w:val="none"/>
        </w:rPr>
        <w:t>）工厂宜获得质量管理体系的第三方认证。</w:t>
      </w:r>
    </w:p>
    <w:p>
      <w:pPr>
        <w:pStyle w:val="4"/>
      </w:pPr>
      <w:r>
        <w:rPr>
          <w:rFonts w:hint="eastAsia"/>
        </w:rPr>
        <w:t>5.3.2职业健康安全管理体系</w:t>
      </w:r>
    </w:p>
    <w:p>
      <w:pPr>
        <w:rPr>
          <w:highlight w:val="none"/>
        </w:rPr>
      </w:pPr>
      <w:r>
        <w:rPr>
          <w:highlight w:val="none"/>
        </w:rPr>
        <w:t>a）工厂应建立、实施并保持职业健康安全管理体系。</w:t>
      </w:r>
    </w:p>
    <w:p>
      <w:pPr>
        <w:rPr>
          <w:highlight w:val="none"/>
        </w:rPr>
      </w:pPr>
      <w:r>
        <w:rPr>
          <w:highlight w:val="none"/>
        </w:rPr>
        <w:t>b）工厂的职业健康安全管理体系</w:t>
      </w:r>
      <w:r>
        <w:rPr>
          <w:rFonts w:hint="eastAsia"/>
          <w:highlight w:val="none"/>
        </w:rPr>
        <w:t>应满足</w:t>
      </w:r>
      <w:r>
        <w:rPr>
          <w:highlight w:val="none"/>
        </w:rPr>
        <w:t>GB/T</w:t>
      </w:r>
      <w:r>
        <w:rPr>
          <w:rFonts w:hint="eastAsia"/>
          <w:highlight w:val="none"/>
          <w:lang w:val="en-US" w:eastAsia="zh-CN"/>
        </w:rPr>
        <w:t xml:space="preserve"> </w:t>
      </w:r>
      <w:r>
        <w:rPr>
          <w:highlight w:val="none"/>
        </w:rPr>
        <w:t>45001</w:t>
      </w:r>
      <w:r>
        <w:rPr>
          <w:rFonts w:hint="eastAsia"/>
          <w:highlight w:val="none"/>
        </w:rPr>
        <w:t>的要求</w:t>
      </w:r>
      <w:r>
        <w:rPr>
          <w:highlight w:val="none"/>
        </w:rPr>
        <w:t>。</w:t>
      </w:r>
    </w:p>
    <w:p>
      <w:pPr>
        <w:rPr>
          <w:highlight w:val="none"/>
        </w:rPr>
      </w:pPr>
      <w:r>
        <w:rPr>
          <w:highlight w:val="none"/>
        </w:rPr>
        <w:t>c</w:t>
      </w:r>
      <w:r>
        <w:rPr>
          <w:rFonts w:hint="eastAsia"/>
          <w:highlight w:val="none"/>
        </w:rPr>
        <w:t>）工厂宜获得职业健康管理体系第三方认证。</w:t>
      </w:r>
    </w:p>
    <w:p>
      <w:pPr>
        <w:pStyle w:val="4"/>
      </w:pPr>
      <w:r>
        <w:rPr>
          <w:rFonts w:hint="eastAsia"/>
        </w:rPr>
        <w:t>5.3.3 环境管理体系</w:t>
      </w:r>
    </w:p>
    <w:p>
      <w:pPr>
        <w:rPr>
          <w:highlight w:val="none"/>
        </w:rPr>
      </w:pPr>
      <w:r>
        <w:rPr>
          <w:highlight w:val="none"/>
        </w:rPr>
        <w:t>a）工厂应建立、实施并保持环境管理体系。</w:t>
      </w:r>
    </w:p>
    <w:p>
      <w:pPr>
        <w:rPr>
          <w:highlight w:val="none"/>
        </w:rPr>
      </w:pPr>
      <w:r>
        <w:rPr>
          <w:highlight w:val="none"/>
        </w:rPr>
        <w:t>b）工厂的环境管理体系</w:t>
      </w:r>
      <w:r>
        <w:rPr>
          <w:rFonts w:hint="eastAsia"/>
          <w:highlight w:val="none"/>
        </w:rPr>
        <w:t>应满足</w:t>
      </w:r>
      <w:r>
        <w:rPr>
          <w:highlight w:val="none"/>
        </w:rPr>
        <w:t>GB/T 24001</w:t>
      </w:r>
      <w:r>
        <w:rPr>
          <w:rFonts w:hint="eastAsia"/>
          <w:highlight w:val="none"/>
        </w:rPr>
        <w:t>的要求</w:t>
      </w:r>
      <w:r>
        <w:rPr>
          <w:highlight w:val="none"/>
        </w:rPr>
        <w:t>。</w:t>
      </w:r>
    </w:p>
    <w:p>
      <w:pPr>
        <w:rPr>
          <w:highlight w:val="none"/>
        </w:rPr>
      </w:pPr>
      <w:r>
        <w:rPr>
          <w:highlight w:val="none"/>
        </w:rPr>
        <w:t>c</w:t>
      </w:r>
      <w:r>
        <w:rPr>
          <w:rFonts w:hint="eastAsia"/>
          <w:highlight w:val="none"/>
        </w:rPr>
        <w:t>）工厂宜获得环境管理体系第三方认证。</w:t>
      </w:r>
    </w:p>
    <w:p>
      <w:pPr>
        <w:pStyle w:val="4"/>
      </w:pPr>
      <w:r>
        <w:rPr>
          <w:rFonts w:hint="eastAsia"/>
        </w:rPr>
        <w:t>5.3.4 能源管理体系</w:t>
      </w:r>
    </w:p>
    <w:p>
      <w:pPr>
        <w:rPr>
          <w:highlight w:val="none"/>
        </w:rPr>
      </w:pPr>
      <w:r>
        <w:rPr>
          <w:highlight w:val="none"/>
        </w:rPr>
        <w:t>a）工厂应建立、实施并保持能源管理体系。</w:t>
      </w:r>
    </w:p>
    <w:p>
      <w:pPr>
        <w:rPr>
          <w:highlight w:val="none"/>
        </w:rPr>
      </w:pPr>
      <w:r>
        <w:rPr>
          <w:highlight w:val="none"/>
        </w:rPr>
        <w:t>b）工厂的能源管理体系应满足GB/T 23331的要求。</w:t>
      </w:r>
    </w:p>
    <w:p>
      <w:pPr>
        <w:rPr>
          <w:highlight w:val="none"/>
        </w:rPr>
      </w:pPr>
      <w:r>
        <w:rPr>
          <w:highlight w:val="none"/>
        </w:rPr>
        <w:t>c）工厂宜</w:t>
      </w:r>
      <w:r>
        <w:rPr>
          <w:rFonts w:hint="eastAsia"/>
          <w:highlight w:val="none"/>
        </w:rPr>
        <w:t>按照</w:t>
      </w:r>
      <w:r>
        <w:rPr>
          <w:highlight w:val="none"/>
        </w:rPr>
        <w:t>RB/T 117</w:t>
      </w:r>
      <w:r>
        <w:rPr>
          <w:rFonts w:hint="eastAsia"/>
          <w:highlight w:val="none"/>
        </w:rPr>
        <w:t>的要求获得</w:t>
      </w:r>
      <w:r>
        <w:rPr>
          <w:highlight w:val="none"/>
        </w:rPr>
        <w:t>能源管理体系第三方认证。</w:t>
      </w:r>
    </w:p>
    <w:p>
      <w:pPr>
        <w:pStyle w:val="4"/>
      </w:pPr>
      <w:r>
        <w:rPr>
          <w:rFonts w:hint="eastAsia"/>
        </w:rPr>
        <w:t>5.3.</w:t>
      </w:r>
      <w:r>
        <w:t>5</w:t>
      </w:r>
      <w:r>
        <w:rPr>
          <w:rFonts w:hint="eastAsia"/>
        </w:rPr>
        <w:t xml:space="preserve"> 安全生产标准化管理体系</w:t>
      </w:r>
    </w:p>
    <w:p>
      <w:pPr>
        <w:rPr>
          <w:highlight w:val="none"/>
        </w:rPr>
      </w:pPr>
      <w:r>
        <w:rPr>
          <w:highlight w:val="none"/>
        </w:rPr>
        <w:t>a）工厂宜建立、实施并保持安全生产标准化管理体系。</w:t>
      </w:r>
    </w:p>
    <w:p>
      <w:pPr>
        <w:rPr>
          <w:highlight w:val="none"/>
        </w:rPr>
      </w:pPr>
      <w:r>
        <w:rPr>
          <w:highlight w:val="none"/>
        </w:rPr>
        <w:t>b）工厂的安全生产标准化管理体系宜满足GB/T 33000的要求。</w:t>
      </w:r>
    </w:p>
    <w:p>
      <w:pPr>
        <w:rPr>
          <w:highlight w:val="none"/>
        </w:rPr>
      </w:pPr>
      <w:r>
        <w:rPr>
          <w:highlight w:val="none"/>
        </w:rPr>
        <w:t>c）工厂宜通过安全生产标准化管理体系</w:t>
      </w:r>
      <w:r>
        <w:rPr>
          <w:rFonts w:hint="eastAsia"/>
          <w:highlight w:val="none"/>
        </w:rPr>
        <w:t>外部评审，并获得应急管理部门颁发相应级别证书。</w:t>
      </w:r>
    </w:p>
    <w:p>
      <w:pPr>
        <w:pStyle w:val="4"/>
      </w:pPr>
      <w:r>
        <w:rPr>
          <w:rFonts w:hint="eastAsia"/>
        </w:rPr>
        <w:t>5.3.</w:t>
      </w:r>
      <w:r>
        <w:t>6</w:t>
      </w:r>
      <w:r>
        <w:rPr>
          <w:rFonts w:hint="eastAsia"/>
        </w:rPr>
        <w:t xml:space="preserve"> 社会责任</w:t>
      </w:r>
    </w:p>
    <w:p>
      <w:pPr>
        <w:rPr>
          <w:highlight w:val="none"/>
        </w:rPr>
      </w:pPr>
      <w:r>
        <w:rPr>
          <w:rFonts w:hint="eastAsia"/>
          <w:highlight w:val="none"/>
        </w:rPr>
        <w:t>工厂宜按照GB/T 36000的要求，每年发布社会责任报告，说明履行利益相关方责任的情况，特别是环境社会责任的履行情况，报告公开可获得。</w:t>
      </w:r>
    </w:p>
    <w:p>
      <w:pPr>
        <w:pStyle w:val="3"/>
      </w:pPr>
      <w:r>
        <w:rPr>
          <w:rFonts w:hint="eastAsia"/>
        </w:rPr>
        <w:t>5.4 能源与资源投入要求</w:t>
      </w:r>
    </w:p>
    <w:p>
      <w:pPr>
        <w:pStyle w:val="4"/>
      </w:pPr>
      <w:r>
        <w:rPr>
          <w:rFonts w:hint="eastAsia"/>
        </w:rPr>
        <w:t>5.4.1 能源投入</w:t>
      </w:r>
    </w:p>
    <w:p>
      <w:pPr>
        <w:ind w:firstLine="0" w:firstLineChars="0"/>
        <w:rPr>
          <w:highlight w:val="none"/>
        </w:rPr>
      </w:pPr>
      <w:r>
        <w:rPr>
          <w:rStyle w:val="53"/>
        </w:rPr>
        <w:t xml:space="preserve">5.4.1.1 </w:t>
      </w:r>
      <w:r>
        <w:rPr>
          <w:rFonts w:hint="eastAsia"/>
          <w:highlight w:val="none"/>
        </w:rPr>
        <w:t>工厂应优化用能结构，在保证安全、质量的前提下减少不可再生能源投入。</w:t>
      </w:r>
    </w:p>
    <w:p>
      <w:pPr>
        <w:ind w:firstLine="0" w:firstLineChars="0"/>
        <w:rPr>
          <w:highlight w:val="none"/>
        </w:rPr>
      </w:pPr>
      <w:r>
        <w:rPr>
          <w:rStyle w:val="53"/>
        </w:rPr>
        <w:t xml:space="preserve">5.4.1.2 </w:t>
      </w:r>
      <w:r>
        <w:rPr>
          <w:rFonts w:hint="eastAsia"/>
          <w:highlight w:val="none"/>
        </w:rPr>
        <w:t>稀土抛光粉工厂</w:t>
      </w:r>
      <w:r>
        <w:rPr>
          <w:highlight w:val="none"/>
        </w:rPr>
        <w:t>各工序工艺综合能耗应满足</w:t>
      </w:r>
      <w:r>
        <w:rPr>
          <w:rFonts w:hint="eastAsia"/>
          <w:highlight w:val="none"/>
        </w:rPr>
        <w:t>行业节能相关法律法规以及</w:t>
      </w:r>
      <w:r>
        <w:rPr>
          <w:rFonts w:hint="eastAsia"/>
          <w:highlight w:val="none"/>
          <w:lang w:val="en-US" w:eastAsia="zh-CN"/>
        </w:rPr>
        <w:t>GB 29435等</w:t>
      </w:r>
      <w:r>
        <w:rPr>
          <w:rFonts w:hint="eastAsia"/>
          <w:highlight w:val="none"/>
        </w:rPr>
        <w:t>标准、绿色产品设计规范的要求。</w:t>
      </w:r>
    </w:p>
    <w:p>
      <w:pPr>
        <w:ind w:firstLine="0" w:firstLineChars="0"/>
        <w:rPr>
          <w:highlight w:val="none"/>
        </w:rPr>
      </w:pPr>
      <w:r>
        <w:rPr>
          <w:rStyle w:val="53"/>
        </w:rPr>
        <w:t xml:space="preserve">5.4.1.3 </w:t>
      </w:r>
      <w:r>
        <w:rPr>
          <w:rFonts w:hint="eastAsia"/>
          <w:highlight w:val="none"/>
        </w:rPr>
        <w:t>工厂宜使用可再生能源或低碳清洁的新能源。</w:t>
      </w:r>
    </w:p>
    <w:p>
      <w:pPr>
        <w:ind w:firstLine="0" w:firstLineChars="0"/>
        <w:rPr>
          <w:highlight w:val="none"/>
        </w:rPr>
      </w:pPr>
      <w:r>
        <w:rPr>
          <w:rStyle w:val="53"/>
        </w:rPr>
        <w:t>5.4.1.4</w:t>
      </w:r>
      <w:r>
        <w:rPr>
          <w:rFonts w:hint="eastAsia"/>
          <w:highlight w:val="none"/>
        </w:rPr>
        <w:t xml:space="preserve"> 工厂宜充分利用余热余压，</w:t>
      </w:r>
      <w:r>
        <w:rPr>
          <w:highlight w:val="none"/>
        </w:rPr>
        <w:t>产生的</w:t>
      </w:r>
      <w:r>
        <w:rPr>
          <w:rFonts w:hint="eastAsia"/>
          <w:highlight w:val="none"/>
        </w:rPr>
        <w:t>二次能源宜回收利用。</w:t>
      </w:r>
    </w:p>
    <w:p>
      <w:pPr>
        <w:ind w:firstLine="0" w:firstLineChars="0"/>
        <w:rPr>
          <w:highlight w:val="none"/>
        </w:rPr>
      </w:pPr>
      <w:r>
        <w:rPr>
          <w:rStyle w:val="53"/>
        </w:rPr>
        <w:t xml:space="preserve">5.4.1.5 </w:t>
      </w:r>
      <w:r>
        <w:rPr>
          <w:rFonts w:hint="eastAsia"/>
          <w:highlight w:val="none"/>
        </w:rPr>
        <w:t>工厂宜建能源管理中心</w:t>
      </w:r>
      <w:r>
        <w:rPr>
          <w:rFonts w:hint="eastAsia"/>
          <w:highlight w:val="none"/>
          <w:lang w:eastAsia="zh-CN"/>
        </w:rPr>
        <w:t>（</w:t>
      </w:r>
      <w:r>
        <w:rPr>
          <w:rFonts w:hint="eastAsia"/>
          <w:highlight w:val="none"/>
          <w:lang w:val="en-US" w:eastAsia="zh-CN"/>
        </w:rPr>
        <w:t>或部门</w:t>
      </w:r>
      <w:r>
        <w:rPr>
          <w:rFonts w:hint="eastAsia"/>
          <w:highlight w:val="none"/>
          <w:lang w:eastAsia="zh-CN"/>
        </w:rPr>
        <w:t>）</w:t>
      </w:r>
      <w:r>
        <w:rPr>
          <w:rFonts w:hint="eastAsia"/>
          <w:highlight w:val="none"/>
        </w:rPr>
        <w:t>。</w:t>
      </w:r>
    </w:p>
    <w:p>
      <w:pPr>
        <w:pStyle w:val="4"/>
      </w:pPr>
      <w:r>
        <w:rPr>
          <w:rFonts w:hint="eastAsia"/>
        </w:rPr>
        <w:t>5.4.2 资源投入</w:t>
      </w:r>
    </w:p>
    <w:p>
      <w:pPr>
        <w:ind w:firstLine="0" w:firstLineChars="0"/>
        <w:rPr>
          <w:highlight w:val="none"/>
        </w:rPr>
      </w:pPr>
      <w:r>
        <w:rPr>
          <w:rStyle w:val="53"/>
        </w:rPr>
        <w:t>5.4.2.1</w:t>
      </w:r>
      <w:r>
        <w:rPr>
          <w:highlight w:val="none"/>
        </w:rPr>
        <w:t>工厂应按照GB/T 7119的要求对其开展节水评价工作</w:t>
      </w:r>
      <w:r>
        <w:rPr>
          <w:rFonts w:hint="eastAsia"/>
          <w:highlight w:val="none"/>
        </w:rPr>
        <w:t>。</w:t>
      </w:r>
    </w:p>
    <w:p>
      <w:pPr>
        <w:ind w:firstLine="0" w:firstLineChars="0"/>
        <w:rPr>
          <w:highlight w:val="none"/>
        </w:rPr>
      </w:pPr>
      <w:r>
        <w:rPr>
          <w:rStyle w:val="53"/>
        </w:rPr>
        <w:t xml:space="preserve">5.4.2.2 </w:t>
      </w:r>
      <w:r>
        <w:rPr>
          <w:highlight w:val="none"/>
        </w:rPr>
        <w:t>工厂应减少</w:t>
      </w:r>
      <w:r>
        <w:rPr>
          <w:rFonts w:hint="eastAsia"/>
          <w:highlight w:val="none"/>
        </w:rPr>
        <w:t>原辅料及材料</w:t>
      </w:r>
      <w:r>
        <w:rPr>
          <w:highlight w:val="none"/>
        </w:rPr>
        <w:t>尤其是有毒有害物质的使用，评估有毒有害物质及化学品减量使用或替代的可行性。</w:t>
      </w:r>
      <w:r>
        <w:rPr>
          <w:rFonts w:hint="eastAsia"/>
          <w:highlight w:val="none"/>
          <w:lang w:val="en-US" w:eastAsia="zh-CN"/>
        </w:rPr>
        <w:t>并</w:t>
      </w:r>
      <w:r>
        <w:rPr>
          <w:highlight w:val="none"/>
        </w:rPr>
        <w:t>按照 GB/T 29115的要求对其</w:t>
      </w:r>
      <w:r>
        <w:rPr>
          <w:rFonts w:hint="eastAsia"/>
          <w:highlight w:val="none"/>
        </w:rPr>
        <w:t>原辅料及材料</w:t>
      </w:r>
      <w:r>
        <w:rPr>
          <w:highlight w:val="none"/>
        </w:rPr>
        <w:t>使用量的减少进行评价。</w:t>
      </w:r>
    </w:p>
    <w:p>
      <w:pPr>
        <w:ind w:firstLine="0" w:firstLineChars="0"/>
        <w:rPr>
          <w:highlight w:val="none"/>
        </w:rPr>
      </w:pPr>
      <w:r>
        <w:rPr>
          <w:rStyle w:val="53"/>
        </w:rPr>
        <w:t>5.4.2.</w:t>
      </w:r>
      <w:r>
        <w:rPr>
          <w:rStyle w:val="53"/>
          <w:rFonts w:hint="eastAsia" w:eastAsia="黑体"/>
          <w:lang w:val="en-US" w:eastAsia="zh-CN"/>
        </w:rPr>
        <w:t>3</w:t>
      </w:r>
      <w:r>
        <w:rPr>
          <w:rStyle w:val="53"/>
        </w:rPr>
        <w:t xml:space="preserve"> </w:t>
      </w:r>
      <w:r>
        <w:rPr>
          <w:highlight w:val="none"/>
        </w:rPr>
        <w:t>工厂宜使用</w:t>
      </w:r>
      <w:r>
        <w:rPr>
          <w:rFonts w:hint="eastAsia"/>
          <w:highlight w:val="none"/>
        </w:rPr>
        <w:t>宜使用回收料</w:t>
      </w:r>
      <w:r>
        <w:rPr>
          <w:rFonts w:hint="eastAsia"/>
          <w:highlight w:val="none"/>
          <w:lang w:eastAsia="zh-CN"/>
        </w:rPr>
        <w:t>、</w:t>
      </w:r>
      <w:r>
        <w:rPr>
          <w:rFonts w:hint="eastAsia"/>
          <w:highlight w:val="none"/>
          <w:lang w:val="en-US" w:eastAsia="zh-CN"/>
        </w:rPr>
        <w:t>可回收材料替代原生材料、不可回收料</w:t>
      </w:r>
      <w:r>
        <w:rPr>
          <w:highlight w:val="none"/>
        </w:rPr>
        <w:t>，宜替代或减少全球增温潜势</w:t>
      </w:r>
      <w:r>
        <w:rPr>
          <w:rFonts w:hint="eastAsia"/>
          <w:highlight w:val="none"/>
        </w:rPr>
        <w:t>较</w:t>
      </w:r>
      <w:r>
        <w:rPr>
          <w:highlight w:val="none"/>
        </w:rPr>
        <w:t>高温室气体的使用。</w:t>
      </w:r>
    </w:p>
    <w:p>
      <w:pPr>
        <w:pStyle w:val="4"/>
      </w:pPr>
      <w:r>
        <w:rPr>
          <w:rFonts w:hint="eastAsia"/>
        </w:rPr>
        <w:t>5.4.3 采购</w:t>
      </w:r>
    </w:p>
    <w:p>
      <w:pPr>
        <w:ind w:firstLine="0" w:firstLineChars="0"/>
        <w:rPr>
          <w:highlight w:val="none"/>
        </w:rPr>
      </w:pPr>
      <w:r>
        <w:rPr>
          <w:rStyle w:val="53"/>
        </w:rPr>
        <w:t xml:space="preserve">5.4.3.1 </w:t>
      </w:r>
      <w:r>
        <w:rPr>
          <w:rFonts w:hint="eastAsia"/>
          <w:highlight w:val="none"/>
        </w:rPr>
        <w:t>工厂应制定并实施包括节能环保要求的选择、评价和重新评价供方的准则。必要时，工厂向供方提供的采购信息应包括含有毒有害物质使用、可回收材料使用、能效等环保要求。</w:t>
      </w:r>
    </w:p>
    <w:p>
      <w:pPr>
        <w:ind w:firstLine="0" w:firstLineChars="0"/>
        <w:rPr>
          <w:highlight w:val="none"/>
        </w:rPr>
      </w:pPr>
      <w:r>
        <w:rPr>
          <w:rStyle w:val="53"/>
        </w:rPr>
        <w:t xml:space="preserve">5.4.3.2 </w:t>
      </w:r>
      <w:r>
        <w:rPr>
          <w:rFonts w:hint="eastAsia"/>
          <w:highlight w:val="none"/>
        </w:rPr>
        <w:t>工厂应确定并实施检验或其他必要的活动，确保采购的产品满足规定的采购要求。</w:t>
      </w:r>
    </w:p>
    <w:p>
      <w:pPr>
        <w:pStyle w:val="3"/>
      </w:pPr>
      <w:r>
        <w:rPr>
          <w:rFonts w:hint="eastAsia"/>
        </w:rPr>
        <w:t>5.5 产品要求</w:t>
      </w:r>
    </w:p>
    <w:p>
      <w:pPr>
        <w:pStyle w:val="4"/>
      </w:pPr>
      <w:r>
        <w:rPr>
          <w:rFonts w:hint="eastAsia"/>
        </w:rPr>
        <w:t xml:space="preserve">5.5.1一般要求 </w:t>
      </w:r>
    </w:p>
    <w:p>
      <w:pPr>
        <w:rPr>
          <w:highlight w:val="none"/>
        </w:rPr>
      </w:pPr>
      <w:r>
        <w:rPr>
          <w:rFonts w:hint="eastAsia"/>
          <w:highlight w:val="none"/>
        </w:rPr>
        <w:t>工厂宜生产符合绿色产品要求的产品。</w:t>
      </w:r>
    </w:p>
    <w:p>
      <w:pPr>
        <w:pStyle w:val="4"/>
      </w:pPr>
      <w:r>
        <w:rPr>
          <w:rFonts w:hint="eastAsia"/>
        </w:rPr>
        <w:t>5.5.2生态(绿色)设计</w:t>
      </w:r>
    </w:p>
    <w:p>
      <w:pPr>
        <w:ind w:firstLine="0" w:firstLineChars="0"/>
        <w:rPr>
          <w:sz w:val="21"/>
          <w:szCs w:val="21"/>
        </w:rPr>
      </w:pPr>
      <w:r>
        <w:rPr>
          <w:rStyle w:val="53"/>
          <w:szCs w:val="21"/>
        </w:rPr>
        <w:t xml:space="preserve">5.5.2.1 </w:t>
      </w:r>
      <w:r>
        <w:rPr>
          <w:rFonts w:hint="eastAsia"/>
          <w:sz w:val="21"/>
          <w:szCs w:val="21"/>
          <w:highlight w:val="none"/>
        </w:rPr>
        <w:t>工厂应在产品设计中引入生态设计的理念。</w:t>
      </w:r>
      <w:r>
        <w:rPr>
          <w:rFonts w:hint="eastAsia"/>
          <w:sz w:val="21"/>
          <w:szCs w:val="21"/>
        </w:rPr>
        <w:t>应按照《绿色设计产品评价技术规范</w:t>
      </w:r>
      <w:r>
        <w:rPr>
          <w:sz w:val="21"/>
          <w:szCs w:val="21"/>
        </w:rPr>
        <w:t xml:space="preserve"> 稀土</w:t>
      </w:r>
      <w:r>
        <w:rPr>
          <w:rFonts w:hint="eastAsia"/>
          <w:sz w:val="21"/>
          <w:szCs w:val="21"/>
          <w:lang w:val="en-US" w:eastAsia="zh-CN"/>
        </w:rPr>
        <w:t>抛光粉</w:t>
      </w:r>
      <w:r>
        <w:rPr>
          <w:rFonts w:hint="eastAsia"/>
          <w:sz w:val="21"/>
          <w:szCs w:val="21"/>
        </w:rPr>
        <w:t>》的要求进行绿色产品评价。</w:t>
      </w:r>
    </w:p>
    <w:p>
      <w:pPr>
        <w:ind w:firstLine="0" w:firstLineChars="0"/>
        <w:rPr>
          <w:highlight w:val="none"/>
        </w:rPr>
      </w:pPr>
      <w:r>
        <w:rPr>
          <w:rStyle w:val="53"/>
        </w:rPr>
        <w:t xml:space="preserve">5.5.2.2 </w:t>
      </w:r>
      <w:r>
        <w:rPr>
          <w:rFonts w:hint="eastAsia"/>
          <w:highlight w:val="none"/>
        </w:rPr>
        <w:t>未有对应</w:t>
      </w:r>
      <w:r>
        <w:rPr>
          <w:rFonts w:hint="eastAsia"/>
          <w:highlight w:val="none"/>
          <w:lang w:val="en-US" w:eastAsia="zh-CN"/>
        </w:rPr>
        <w:t>绿色设计产品评价</w:t>
      </w:r>
      <w:r>
        <w:rPr>
          <w:rFonts w:hint="eastAsia"/>
          <w:highlight w:val="none"/>
        </w:rPr>
        <w:t>标准的产品品种，工厂</w:t>
      </w:r>
      <w:r>
        <w:rPr>
          <w:highlight w:val="none"/>
        </w:rPr>
        <w:t>宜按照GB/T 24256对生产</w:t>
      </w:r>
      <w:r>
        <w:rPr>
          <w:rFonts w:hint="eastAsia"/>
          <w:highlight w:val="none"/>
        </w:rPr>
        <w:t>的产品进行生态设计，并宜按照</w:t>
      </w:r>
      <w:r>
        <w:rPr>
          <w:highlight w:val="none"/>
        </w:rPr>
        <w:t>GB/T 32161对生产的产</w:t>
      </w:r>
      <w:r>
        <w:rPr>
          <w:rFonts w:hint="eastAsia"/>
          <w:highlight w:val="none"/>
        </w:rPr>
        <w:t>品进行</w:t>
      </w:r>
      <w:r>
        <w:rPr>
          <w:rFonts w:hint="eastAsia"/>
          <w:highlight w:val="none"/>
          <w:lang w:val="en-US" w:eastAsia="zh-CN"/>
        </w:rPr>
        <w:t>绿色</w:t>
      </w:r>
      <w:r>
        <w:rPr>
          <w:rFonts w:hint="eastAsia"/>
          <w:highlight w:val="none"/>
        </w:rPr>
        <w:t>设计产品评价。</w:t>
      </w:r>
    </w:p>
    <w:p>
      <w:pPr>
        <w:pStyle w:val="4"/>
      </w:pPr>
      <w:r>
        <w:rPr>
          <w:rFonts w:hint="eastAsia"/>
        </w:rPr>
        <w:t>5.5.3</w:t>
      </w:r>
      <w:r>
        <w:rPr>
          <w:rFonts w:hint="eastAsia"/>
          <w:lang w:val="en-US" w:eastAsia="zh-CN"/>
        </w:rPr>
        <w:t>危险化学品的</w:t>
      </w:r>
      <w:r>
        <w:rPr>
          <w:rFonts w:hint="eastAsia"/>
        </w:rPr>
        <w:t>使用</w:t>
      </w:r>
    </w:p>
    <w:p>
      <w:pPr>
        <w:ind w:firstLine="0" w:firstLineChars="0"/>
        <w:rPr>
          <w:highlight w:val="none"/>
        </w:rPr>
      </w:pPr>
      <w:r>
        <w:rPr>
          <w:rStyle w:val="53"/>
        </w:rPr>
        <w:t>5.5.3.1</w:t>
      </w:r>
      <w:r>
        <w:rPr>
          <w:rFonts w:hint="eastAsia"/>
          <w:highlight w:val="none"/>
          <w:lang w:val="en-US" w:eastAsia="zh-CN"/>
        </w:rPr>
        <w:t>危险化学品</w:t>
      </w:r>
      <w:r>
        <w:rPr>
          <w:rFonts w:hint="eastAsia"/>
          <w:highlight w:val="none"/>
        </w:rPr>
        <w:t>的贮存、输送、生产和使用场所，应设置环境风险防范和应急处置设施，并配置相应的应急物资。</w:t>
      </w:r>
    </w:p>
    <w:p>
      <w:pPr>
        <w:ind w:firstLine="0" w:firstLineChars="0"/>
        <w:rPr>
          <w:highlight w:val="none"/>
        </w:rPr>
      </w:pPr>
      <w:r>
        <w:rPr>
          <w:rStyle w:val="53"/>
        </w:rPr>
        <w:t>5.5.3.2</w:t>
      </w:r>
      <w:r>
        <w:rPr>
          <w:rFonts w:hint="eastAsia"/>
          <w:highlight w:val="none"/>
          <w:lang w:val="en-US" w:eastAsia="zh-CN"/>
        </w:rPr>
        <w:t>宜</w:t>
      </w:r>
      <w:r>
        <w:rPr>
          <w:rFonts w:hint="eastAsia"/>
          <w:highlight w:val="none"/>
        </w:rPr>
        <w:t>减少</w:t>
      </w:r>
      <w:r>
        <w:rPr>
          <w:rFonts w:hint="eastAsia"/>
          <w:highlight w:val="none"/>
          <w:lang w:val="en-US" w:eastAsia="zh-CN"/>
        </w:rPr>
        <w:t>危险化学品</w:t>
      </w:r>
      <w:r>
        <w:rPr>
          <w:rFonts w:hint="eastAsia"/>
          <w:highlight w:val="none"/>
        </w:rPr>
        <w:t>的使用，</w:t>
      </w:r>
      <w:r>
        <w:rPr>
          <w:rFonts w:hint="eastAsia"/>
          <w:highlight w:val="none"/>
          <w:lang w:val="en-US" w:eastAsia="zh-CN"/>
        </w:rPr>
        <w:t>避免泄露；</w:t>
      </w:r>
      <w:r>
        <w:rPr>
          <w:rFonts w:hint="eastAsia"/>
          <w:highlight w:val="none"/>
        </w:rPr>
        <w:t>宜实现</w:t>
      </w:r>
      <w:r>
        <w:rPr>
          <w:rFonts w:hint="eastAsia"/>
          <w:highlight w:val="none"/>
          <w:lang w:val="en-US" w:eastAsia="zh-CN"/>
        </w:rPr>
        <w:t>危险化学品的</w:t>
      </w:r>
      <w:r>
        <w:rPr>
          <w:rFonts w:hint="eastAsia"/>
          <w:highlight w:val="none"/>
        </w:rPr>
        <w:t>替代。</w:t>
      </w:r>
    </w:p>
    <w:p>
      <w:pPr>
        <w:pStyle w:val="4"/>
      </w:pPr>
      <w:r>
        <w:rPr>
          <w:rFonts w:hint="eastAsia"/>
        </w:rPr>
        <w:t>5.5.</w:t>
      </w:r>
      <w:r>
        <w:t>4</w:t>
      </w:r>
      <w:r>
        <w:rPr>
          <w:rFonts w:hint="eastAsia"/>
        </w:rPr>
        <w:t xml:space="preserve"> 减碳</w:t>
      </w:r>
    </w:p>
    <w:p>
      <w:pPr>
        <w:rPr>
          <w:highlight w:val="none"/>
        </w:rPr>
      </w:pPr>
      <w:r>
        <w:rPr>
          <w:rFonts w:hint="eastAsia"/>
          <w:highlight w:val="none"/>
        </w:rPr>
        <w:t>工厂宜采用适用的标准或规范对生产的产品进行碳足迹核算或核查，核算或核查的结果宜对外公布，并利用核算结果对其产品的碳足迹进行改善。</w:t>
      </w:r>
    </w:p>
    <w:p>
      <w:pPr>
        <w:pStyle w:val="4"/>
        <w:rPr>
          <w:color w:val="auto"/>
        </w:rPr>
      </w:pPr>
      <w:r>
        <w:rPr>
          <w:rFonts w:hint="eastAsia"/>
          <w:color w:val="auto"/>
        </w:rPr>
        <w:t>5.5.</w:t>
      </w:r>
      <w:r>
        <w:rPr>
          <w:color w:val="auto"/>
        </w:rPr>
        <w:t>5</w:t>
      </w:r>
      <w:r>
        <w:rPr>
          <w:rFonts w:hint="eastAsia"/>
          <w:color w:val="auto"/>
        </w:rPr>
        <w:t>回收利用</w:t>
      </w:r>
    </w:p>
    <w:p>
      <w:pPr>
        <w:rPr>
          <w:color w:val="auto"/>
          <w:highlight w:val="none"/>
        </w:rPr>
      </w:pPr>
      <w:r>
        <w:rPr>
          <w:color w:val="auto"/>
          <w:highlight w:val="none"/>
        </w:rPr>
        <w:t>a）工厂应加强</w:t>
      </w:r>
      <w:r>
        <w:rPr>
          <w:rFonts w:hint="eastAsia"/>
          <w:color w:val="auto"/>
          <w:highlight w:val="none"/>
        </w:rPr>
        <w:t>废渣</w:t>
      </w:r>
      <w:r>
        <w:rPr>
          <w:color w:val="auto"/>
          <w:highlight w:val="none"/>
        </w:rPr>
        <w:t>、废水、废气等资源综合利用，提高二次资源回收利用率。</w:t>
      </w:r>
    </w:p>
    <w:p>
      <w:pPr>
        <w:rPr>
          <w:color w:val="auto"/>
          <w:highlight w:val="none"/>
        </w:rPr>
      </w:pPr>
      <w:r>
        <w:rPr>
          <w:color w:val="auto"/>
          <w:highlight w:val="none"/>
        </w:rPr>
        <w:t>b）工厂宜加强水资源管理，并加强城市中水、海水、雨水等非常规水资源利用，减少淡水资源消耗。</w:t>
      </w:r>
    </w:p>
    <w:p>
      <w:pPr>
        <w:rPr>
          <w:color w:val="auto"/>
          <w:highlight w:val="none"/>
        </w:rPr>
      </w:pPr>
      <w:r>
        <w:rPr>
          <w:rFonts w:hint="eastAsia"/>
          <w:color w:val="auto"/>
          <w:highlight w:val="none"/>
        </w:rPr>
        <w:t>c</w:t>
      </w:r>
      <w:r>
        <w:rPr>
          <w:color w:val="auto"/>
          <w:highlight w:val="none"/>
        </w:rPr>
        <w:t>）适用时，工厂宜按照GB/T 20862的要求计算其产品的可回收利用率，并宜利用计算结果对产品的可回收利用率进行改善。</w:t>
      </w:r>
    </w:p>
    <w:p>
      <w:pPr>
        <w:pStyle w:val="4"/>
        <w:rPr>
          <w:rFonts w:hint="eastAsia" w:cs="Times New Roman"/>
          <w:bCs/>
          <w:color w:val="auto"/>
          <w:lang w:val="en-US" w:eastAsia="zh-CN"/>
        </w:rPr>
      </w:pPr>
      <w:r>
        <w:rPr>
          <w:rFonts w:hint="eastAsia" w:cs="Times New Roman"/>
          <w:bCs/>
          <w:color w:val="auto"/>
          <w:lang w:val="en-US" w:eastAsia="zh-CN"/>
        </w:rPr>
        <w:t>5.5.6包装</w:t>
      </w:r>
    </w:p>
    <w:p>
      <w:pPr>
        <w:ind w:left="0" w:leftChars="0" w:firstLine="420" w:firstLineChars="200"/>
        <w:rPr>
          <w:rFonts w:hint="default"/>
          <w:color w:val="auto"/>
          <w:highlight w:val="none"/>
          <w:lang w:val="en-US" w:eastAsia="zh-CN"/>
        </w:rPr>
      </w:pPr>
      <w:r>
        <w:rPr>
          <w:rFonts w:hint="eastAsia"/>
          <w:color w:val="auto"/>
          <w:highlight w:val="none"/>
        </w:rPr>
        <w:t>工厂宜采用适用的标准或规范对生产的产品进行包装、标志、运输和储存，并宜按照GB</w:t>
      </w:r>
      <w:r>
        <w:rPr>
          <w:rFonts w:hint="eastAsia"/>
          <w:color w:val="auto"/>
          <w:highlight w:val="none"/>
          <w:lang w:val="en-US" w:eastAsia="zh-CN"/>
        </w:rPr>
        <w:t xml:space="preserve"> </w:t>
      </w:r>
      <w:r>
        <w:rPr>
          <w:rFonts w:hint="eastAsia"/>
          <w:color w:val="auto"/>
          <w:highlight w:val="none"/>
        </w:rPr>
        <w:t>39176对生产的产品 包装、标志、运输和储存进行评价。</w:t>
      </w:r>
    </w:p>
    <w:p>
      <w:pPr>
        <w:pStyle w:val="3"/>
      </w:pPr>
      <w:r>
        <w:rPr>
          <w:rFonts w:hint="eastAsia"/>
        </w:rPr>
        <w:t>5.6 环境排放要求</w:t>
      </w:r>
    </w:p>
    <w:p>
      <w:pPr>
        <w:pStyle w:val="4"/>
      </w:pPr>
      <w:r>
        <w:rPr>
          <w:rFonts w:hint="eastAsia"/>
        </w:rPr>
        <w:t>5.6.1 大气、水体污染物</w:t>
      </w:r>
    </w:p>
    <w:p>
      <w:pPr>
        <w:rPr>
          <w:highlight w:val="none"/>
        </w:rPr>
      </w:pPr>
      <w:r>
        <w:rPr>
          <w:rFonts w:hint="eastAsia"/>
          <w:highlight w:val="none"/>
        </w:rPr>
        <w:t>工厂的大气、水体污染物排放应符</w:t>
      </w:r>
      <w:r>
        <w:rPr>
          <w:highlight w:val="none"/>
        </w:rPr>
        <w:t>合GB 26451等</w:t>
      </w:r>
      <w:r>
        <w:rPr>
          <w:rFonts w:hint="eastAsia"/>
          <w:highlight w:val="none"/>
        </w:rPr>
        <w:t>相关国家标准、行业标准及地方标准的要求，并满足区域内排放总量控制要求。</w:t>
      </w:r>
    </w:p>
    <w:p>
      <w:pPr>
        <w:pStyle w:val="4"/>
      </w:pPr>
      <w:r>
        <w:rPr>
          <w:rFonts w:hint="eastAsia"/>
        </w:rPr>
        <w:t>5.6.2 固体废物</w:t>
      </w:r>
    </w:p>
    <w:p>
      <w:pPr>
        <w:rPr>
          <w:color w:val="0000FF"/>
          <w:highlight w:val="none"/>
        </w:rPr>
      </w:pPr>
      <w:r>
        <w:rPr>
          <w:rFonts w:hint="eastAsia"/>
          <w:highlight w:val="none"/>
        </w:rPr>
        <w:t>工厂一般固体废弃</w:t>
      </w:r>
      <w:r>
        <w:rPr>
          <w:highlight w:val="none"/>
        </w:rPr>
        <w:t>物的处置应符合GB 18599及相关</w:t>
      </w:r>
      <w:r>
        <w:rPr>
          <w:rFonts w:hint="eastAsia"/>
          <w:highlight w:val="none"/>
        </w:rPr>
        <w:t>国家标准、行业标准及地方</w:t>
      </w:r>
      <w:r>
        <w:rPr>
          <w:highlight w:val="none"/>
        </w:rPr>
        <w:t>标准的要求。工厂无法自行处理的，应将固体废弃物转交给具备相应能力和资质的处理单位进行处理。</w:t>
      </w:r>
    </w:p>
    <w:p>
      <w:pPr>
        <w:pStyle w:val="4"/>
      </w:pPr>
      <w:r>
        <w:rPr>
          <w:rFonts w:hint="eastAsia"/>
        </w:rPr>
        <w:t>5.6.3 噪声</w:t>
      </w:r>
    </w:p>
    <w:p>
      <w:pPr>
        <w:rPr>
          <w:highlight w:val="none"/>
        </w:rPr>
      </w:pPr>
      <w:r>
        <w:rPr>
          <w:rFonts w:hint="eastAsia"/>
          <w:highlight w:val="none"/>
        </w:rPr>
        <w:t>工厂厂界环境噪声排放应符</w:t>
      </w:r>
      <w:r>
        <w:rPr>
          <w:highlight w:val="none"/>
        </w:rPr>
        <w:t>合GB 12348等相关</w:t>
      </w:r>
      <w:r>
        <w:rPr>
          <w:rFonts w:hint="eastAsia"/>
          <w:highlight w:val="none"/>
        </w:rPr>
        <w:t>国家标准、行业标准及地方标准的要求。</w:t>
      </w:r>
    </w:p>
    <w:p>
      <w:pPr>
        <w:pStyle w:val="4"/>
      </w:pPr>
      <w:r>
        <w:rPr>
          <w:rFonts w:hint="eastAsia"/>
        </w:rPr>
        <w:t>5.6.4 温室气体</w:t>
      </w:r>
    </w:p>
    <w:p>
      <w:pPr>
        <w:rPr>
          <w:highlight w:val="none"/>
        </w:rPr>
      </w:pPr>
      <w:r>
        <w:rPr>
          <w:rFonts w:hint="eastAsia"/>
          <w:highlight w:val="none"/>
        </w:rPr>
        <w:t>工厂应采用</w:t>
      </w:r>
      <w:r>
        <w:rPr>
          <w:highlight w:val="none"/>
        </w:rPr>
        <w:t>GB/T 32150或适用的标准对其厂界范围内的温室气体排放进行核算和报告，宜进行核查，核查结果宜对外公布。可行时，工厂宜利</w:t>
      </w:r>
      <w:r>
        <w:rPr>
          <w:rFonts w:hint="eastAsia"/>
          <w:highlight w:val="none"/>
        </w:rPr>
        <w:t>用核算或核查结果对其温室气体的排放进行改善。</w:t>
      </w:r>
    </w:p>
    <w:p>
      <w:pPr>
        <w:pStyle w:val="3"/>
      </w:pPr>
      <w:r>
        <w:rPr>
          <w:rFonts w:hint="eastAsia"/>
        </w:rPr>
        <w:t>5.7 绩效</w:t>
      </w:r>
    </w:p>
    <w:p>
      <w:pPr>
        <w:pStyle w:val="4"/>
      </w:pPr>
      <w:r>
        <w:rPr>
          <w:rFonts w:hint="eastAsia"/>
        </w:rPr>
        <w:t>5.7.1 一般要求</w:t>
      </w:r>
    </w:p>
    <w:p>
      <w:pPr>
        <w:ind w:firstLine="0" w:firstLineChars="0"/>
        <w:rPr>
          <w:highlight w:val="none"/>
        </w:rPr>
      </w:pPr>
      <w:r>
        <w:rPr>
          <w:rStyle w:val="53"/>
        </w:rPr>
        <w:t>5.7.1.1</w:t>
      </w:r>
      <w:r>
        <w:rPr>
          <w:rFonts w:hint="eastAsia"/>
          <w:highlight w:val="none"/>
        </w:rPr>
        <w:t>应依据</w:t>
      </w:r>
      <w:r>
        <w:rPr>
          <w:rFonts w:hint="eastAsia"/>
          <w:highlight w:val="none"/>
          <w:lang w:val="en-US" w:eastAsia="zh-CN"/>
        </w:rPr>
        <w:t>GB/T 36132-2018附录A提供的方法计算或者评估绩效，</w:t>
      </w:r>
      <w:r>
        <w:rPr>
          <w:rFonts w:hint="eastAsia"/>
          <w:highlight w:val="none"/>
        </w:rPr>
        <w:t>并利用结果进行绩效改善。绩效指标应至少满足稀土抛光粉工厂相应规范要求。</w:t>
      </w:r>
    </w:p>
    <w:p>
      <w:pPr>
        <w:ind w:firstLine="0" w:firstLineChars="0"/>
        <w:rPr>
          <w:highlight w:val="none"/>
        </w:rPr>
      </w:pPr>
      <w:r>
        <w:rPr>
          <w:rStyle w:val="53"/>
        </w:rPr>
        <w:t>5.7.1.2</w:t>
      </w:r>
      <w:r>
        <w:rPr>
          <w:rFonts w:hint="eastAsia"/>
          <w:highlight w:val="none"/>
        </w:rPr>
        <w:t>绩效统计</w:t>
      </w:r>
      <w:r>
        <w:rPr>
          <w:highlight w:val="none"/>
        </w:rPr>
        <w:t>和计算应选取和覆盖能够反映工厂绩效水平的完整周期，至少包括不超过评价前一自然年度的连续的12个月。</w:t>
      </w:r>
    </w:p>
    <w:p>
      <w:pPr>
        <w:pStyle w:val="4"/>
      </w:pPr>
      <w:r>
        <w:rPr>
          <w:rFonts w:hint="eastAsia"/>
        </w:rPr>
        <w:t>5.7.2 用地集约化</w:t>
      </w:r>
    </w:p>
    <w:p>
      <w:pPr>
        <w:ind w:firstLine="0" w:firstLineChars="0"/>
        <w:rPr>
          <w:highlight w:val="none"/>
        </w:rPr>
      </w:pPr>
      <w:r>
        <w:rPr>
          <w:rStyle w:val="53"/>
        </w:rPr>
        <w:t xml:space="preserve">5.7.2.1 </w:t>
      </w:r>
      <w:r>
        <w:rPr>
          <w:highlight w:val="none"/>
        </w:rPr>
        <w:t>建设项目用地应符合国家现行有关建设项目用地的规定，</w:t>
      </w:r>
      <w:r>
        <w:rPr>
          <w:rFonts w:hint="eastAsia"/>
          <w:highlight w:val="none"/>
        </w:rPr>
        <w:t>容积率应符合项目属地工业项目控制指标中的要求</w:t>
      </w:r>
      <w:r>
        <w:rPr>
          <w:highlight w:val="none"/>
        </w:rPr>
        <w:t>。</w:t>
      </w:r>
    </w:p>
    <w:p>
      <w:pPr>
        <w:ind w:firstLine="0" w:firstLineChars="0"/>
        <w:rPr>
          <w:highlight w:val="none"/>
        </w:rPr>
      </w:pPr>
      <w:r>
        <w:rPr>
          <w:rStyle w:val="53"/>
        </w:rPr>
        <w:t xml:space="preserve">5.7.2.2 </w:t>
      </w:r>
      <w:r>
        <w:rPr>
          <w:highlight w:val="none"/>
        </w:rPr>
        <w:t>建筑密度应不低于</w:t>
      </w:r>
      <w:r>
        <w:rPr>
          <w:rFonts w:hint="eastAsia"/>
          <w:highlight w:val="none"/>
          <w:lang w:val="en-US" w:eastAsia="zh-CN"/>
        </w:rPr>
        <w:t>国家和地方发布的建筑密度要求</w:t>
      </w:r>
      <w:r>
        <w:rPr>
          <w:highlight w:val="none"/>
        </w:rPr>
        <w:t>。</w:t>
      </w:r>
    </w:p>
    <w:p>
      <w:pPr>
        <w:ind w:firstLine="0" w:firstLineChars="0"/>
        <w:rPr>
          <w:highlight w:val="none"/>
        </w:rPr>
      </w:pPr>
      <w:r>
        <w:rPr>
          <w:rStyle w:val="53"/>
        </w:rPr>
        <w:t xml:space="preserve">5.7.2.3 </w:t>
      </w:r>
      <w:r>
        <w:rPr>
          <w:highlight w:val="none"/>
        </w:rPr>
        <w:t>单位用地面积产值不应低于地方发布的单位用地面积产值的要求。未发布单位用地面积产值的地区，单位用地面积产值应超过本年度所在省市的单位用地面积产值。</w:t>
      </w:r>
    </w:p>
    <w:p>
      <w:pPr>
        <w:pStyle w:val="4"/>
      </w:pPr>
      <w:r>
        <w:rPr>
          <w:rFonts w:hint="eastAsia"/>
        </w:rPr>
        <w:t>5.7.3 原料无害化</w:t>
      </w:r>
    </w:p>
    <w:p>
      <w:pPr>
        <w:pStyle w:val="5"/>
        <w:ind w:firstLine="420" w:firstLineChars="200"/>
        <w:rPr>
          <w:rFonts w:hint="eastAsia" w:ascii="宋体" w:hAnsi="宋体" w:eastAsia="宋体" w:cs="宋体"/>
          <w:lang w:val="en-US" w:eastAsia="zh-CN"/>
        </w:rPr>
      </w:pPr>
      <w:r>
        <w:rPr>
          <w:rFonts w:hint="eastAsia" w:ascii="宋体" w:hAnsi="宋体" w:eastAsia="宋体" w:cs="宋体"/>
          <w:lang w:val="en-US" w:eastAsia="zh-CN"/>
        </w:rPr>
        <w:t>鼓励或者提倡使用经过无害化处理的稀土二次资源作为原材料进行资源综合利用，提高二次资源使用率，并提高稀土资源的回收率。工厂宜按照ISO14021的要求对稀土二次资源的使用进行声明。</w:t>
      </w:r>
    </w:p>
    <w:p>
      <w:pPr>
        <w:pStyle w:val="4"/>
      </w:pPr>
      <w:r>
        <w:rPr>
          <w:rFonts w:hint="eastAsia"/>
        </w:rPr>
        <w:t>5.7.4 生产洁净化</w:t>
      </w:r>
    </w:p>
    <w:p>
      <w:pPr>
        <w:rPr>
          <w:rFonts w:hint="default" w:eastAsia="宋体"/>
          <w:highlight w:val="none"/>
          <w:lang w:val="en-US" w:eastAsia="zh-CN"/>
        </w:rPr>
      </w:pPr>
      <w:r>
        <w:rPr>
          <w:rFonts w:hint="eastAsia"/>
          <w:highlight w:val="none"/>
        </w:rPr>
        <w:t>包括单位产品主要污</w:t>
      </w:r>
      <w:r>
        <w:rPr>
          <w:highlight w:val="none"/>
        </w:rPr>
        <w:t>染物产生量（如单位产品工业固体废物产生量</w:t>
      </w:r>
      <w:r>
        <w:rPr>
          <w:rFonts w:hint="eastAsia"/>
          <w:highlight w:val="none"/>
          <w:lang w:eastAsia="zh-CN"/>
        </w:rPr>
        <w:t>、单位产品基准排水量、</w:t>
      </w:r>
      <w:r>
        <w:rPr>
          <w:sz w:val="21"/>
          <w:szCs w:val="21"/>
        </w:rPr>
        <w:t>废水中氟化物排放浓度</w:t>
      </w:r>
      <w:r>
        <w:rPr>
          <w:rFonts w:hint="eastAsia"/>
          <w:sz w:val="21"/>
          <w:szCs w:val="21"/>
          <w:lang w:eastAsia="zh-CN"/>
        </w:rPr>
        <w:t>、单位产品基准排气量、废气中氟化物排放浓度）</w:t>
      </w:r>
      <w:r>
        <w:rPr>
          <w:highlight w:val="none"/>
        </w:rPr>
        <w:t>等。</w:t>
      </w:r>
      <w:r>
        <w:rPr>
          <w:rFonts w:hint="eastAsia"/>
          <w:highlight w:val="none"/>
          <w:lang w:val="en-US" w:eastAsia="zh-CN"/>
        </w:rPr>
        <w:t>应符合《绿色设计产品评价技术规范 稀土抛光粉》中</w:t>
      </w:r>
      <w:r>
        <w:rPr>
          <w:highlight w:val="none"/>
        </w:rPr>
        <w:t>I级</w:t>
      </w:r>
      <w:r>
        <w:rPr>
          <w:rFonts w:hint="eastAsia"/>
          <w:highlight w:val="none"/>
          <w:lang w:val="en-US" w:eastAsia="zh-CN"/>
        </w:rPr>
        <w:t>或</w:t>
      </w:r>
      <w:r>
        <w:rPr>
          <w:highlight w:val="none"/>
        </w:rPr>
        <w:t>II级</w:t>
      </w:r>
      <w:r>
        <w:rPr>
          <w:rFonts w:hint="eastAsia"/>
          <w:highlight w:val="none"/>
          <w:lang w:val="en-US" w:eastAsia="zh-CN"/>
        </w:rPr>
        <w:t>基准值的要求。</w:t>
      </w:r>
    </w:p>
    <w:p>
      <w:pPr>
        <w:pStyle w:val="4"/>
        <w:rPr>
          <w:rFonts w:hint="default" w:eastAsia="黑体"/>
          <w:lang w:val="en-US" w:eastAsia="zh-CN"/>
        </w:rPr>
      </w:pPr>
      <w:r>
        <w:rPr>
          <w:rFonts w:hint="eastAsia"/>
        </w:rPr>
        <w:t>5.7.5</w:t>
      </w:r>
      <w:r>
        <w:rPr>
          <w:rFonts w:hint="eastAsia"/>
          <w:lang w:val="en-US" w:eastAsia="zh-CN"/>
        </w:rPr>
        <w:t>资源综合利用</w:t>
      </w:r>
    </w:p>
    <w:p>
      <w:pPr>
        <w:rPr>
          <w:color w:val="auto"/>
          <w:highlight w:val="none"/>
        </w:rPr>
      </w:pPr>
      <w:r>
        <w:rPr>
          <w:rFonts w:hint="eastAsia"/>
          <w:color w:val="auto"/>
          <w:highlight w:val="none"/>
        </w:rPr>
        <w:t>包括单位产品的主要原材料消耗量、</w:t>
      </w:r>
      <w:r>
        <w:rPr>
          <w:rFonts w:hint="eastAsia"/>
          <w:color w:val="auto"/>
          <w:highlight w:val="none"/>
          <w:lang w:eastAsia="zh-CN"/>
        </w:rPr>
        <w:t>单位产品新鲜水消耗量、稀土收率、工业废水（</w:t>
      </w:r>
      <w:r>
        <w:rPr>
          <w:rFonts w:hint="eastAsia"/>
          <w:color w:val="auto"/>
          <w:highlight w:val="none"/>
          <w:lang w:val="en-US" w:eastAsia="zh-CN"/>
        </w:rPr>
        <w:t>或用水</w:t>
      </w:r>
      <w:r>
        <w:rPr>
          <w:rFonts w:hint="eastAsia"/>
          <w:color w:val="auto"/>
          <w:highlight w:val="none"/>
          <w:lang w:eastAsia="zh-CN"/>
        </w:rPr>
        <w:t>）重复利用率</w:t>
      </w:r>
      <w:r>
        <w:rPr>
          <w:rFonts w:hint="eastAsia"/>
          <w:color w:val="auto"/>
          <w:highlight w:val="none"/>
        </w:rPr>
        <w:t>等</w:t>
      </w:r>
      <w:r>
        <w:rPr>
          <w:rFonts w:hint="eastAsia"/>
          <w:color w:val="auto"/>
          <w:highlight w:val="none"/>
          <w:lang w:val="en-US" w:eastAsia="zh-CN"/>
        </w:rPr>
        <w:t>应符合《绿色设计产品评价技术规范 稀土抛光粉》中</w:t>
      </w:r>
      <w:r>
        <w:rPr>
          <w:color w:val="auto"/>
          <w:highlight w:val="none"/>
        </w:rPr>
        <w:t>I级</w:t>
      </w:r>
      <w:r>
        <w:rPr>
          <w:rFonts w:hint="eastAsia"/>
          <w:color w:val="auto"/>
          <w:highlight w:val="none"/>
          <w:lang w:val="en-US" w:eastAsia="zh-CN"/>
        </w:rPr>
        <w:t>或</w:t>
      </w:r>
      <w:r>
        <w:rPr>
          <w:color w:val="auto"/>
          <w:highlight w:val="none"/>
        </w:rPr>
        <w:t>II级</w:t>
      </w:r>
      <w:r>
        <w:rPr>
          <w:rFonts w:hint="eastAsia"/>
          <w:color w:val="auto"/>
          <w:highlight w:val="none"/>
          <w:lang w:val="en-US" w:eastAsia="zh-CN"/>
        </w:rPr>
        <w:t>基准值的要求。</w:t>
      </w:r>
    </w:p>
    <w:p>
      <w:pPr>
        <w:pStyle w:val="4"/>
      </w:pPr>
      <w:r>
        <w:rPr>
          <w:rFonts w:hint="eastAsia"/>
        </w:rPr>
        <w:t>5.7.6 能源低碳化</w:t>
      </w:r>
    </w:p>
    <w:p>
      <w:pPr>
        <w:rPr>
          <w:highlight w:val="none"/>
        </w:rPr>
      </w:pPr>
      <w:r>
        <w:rPr>
          <w:rFonts w:hint="eastAsia"/>
          <w:highlight w:val="none"/>
        </w:rPr>
        <w:t>包括单位产品综合能耗、单位产品碳排放量等。</w:t>
      </w:r>
    </w:p>
    <w:p>
      <w:pPr>
        <w:rPr>
          <w:rFonts w:hint="eastAsia"/>
          <w:highlight w:val="none"/>
          <w:lang w:eastAsia="zh-CN"/>
        </w:rPr>
      </w:pPr>
      <w:r>
        <w:rPr>
          <w:rFonts w:hint="eastAsia"/>
          <w:highlight w:val="none"/>
        </w:rPr>
        <w:t>对于单位产品综合能耗：应</w:t>
      </w:r>
      <w:r>
        <w:rPr>
          <w:rFonts w:hint="eastAsia"/>
          <w:highlight w:val="none"/>
          <w:lang w:val="en-US" w:eastAsia="zh-CN"/>
        </w:rPr>
        <w:t>符合《绿色设计产品评价技术规范 稀土抛光粉》中</w:t>
      </w:r>
      <w:r>
        <w:rPr>
          <w:rFonts w:hint="eastAsia"/>
          <w:highlight w:val="none"/>
        </w:rPr>
        <w:t>I级</w:t>
      </w:r>
      <w:r>
        <w:rPr>
          <w:rFonts w:hint="eastAsia"/>
          <w:highlight w:val="none"/>
          <w:lang w:val="en-US" w:eastAsia="zh-CN"/>
        </w:rPr>
        <w:t>或</w:t>
      </w:r>
      <w:r>
        <w:rPr>
          <w:rFonts w:hint="eastAsia"/>
          <w:highlight w:val="none"/>
        </w:rPr>
        <w:t>II级</w:t>
      </w:r>
      <w:r>
        <w:rPr>
          <w:rFonts w:hint="eastAsia"/>
          <w:highlight w:val="none"/>
          <w:lang w:val="en-US" w:eastAsia="zh-CN"/>
        </w:rPr>
        <w:t>基准值的要求</w:t>
      </w:r>
      <w:r>
        <w:rPr>
          <w:rFonts w:hint="eastAsia"/>
          <w:highlight w:val="none"/>
          <w:lang w:eastAsia="zh-CN"/>
        </w:rPr>
        <w:t>。</w:t>
      </w:r>
    </w:p>
    <w:p>
      <w:pPr>
        <w:rPr>
          <w:highlight w:val="none"/>
        </w:rPr>
      </w:pPr>
      <w:r>
        <w:rPr>
          <w:highlight w:val="none"/>
        </w:rPr>
        <w:t>对于单位产品碳排放量应依据GB/T 32150</w:t>
      </w:r>
      <w:r>
        <w:rPr>
          <w:rFonts w:hint="eastAsia"/>
          <w:highlight w:val="none"/>
          <w:lang w:val="en-US" w:eastAsia="zh-CN"/>
        </w:rPr>
        <w:t>-2018</w:t>
      </w:r>
      <w:r>
        <w:rPr>
          <w:highlight w:val="none"/>
        </w:rPr>
        <w:t>进行测算，单位</w:t>
      </w:r>
      <w:r>
        <w:rPr>
          <w:rFonts w:hint="eastAsia"/>
          <w:highlight w:val="none"/>
        </w:rPr>
        <w:t>产品碳排放量宜逐年下降。</w:t>
      </w:r>
    </w:p>
    <w:p>
      <w:pPr>
        <w:pStyle w:val="4"/>
      </w:pPr>
      <w:r>
        <w:rPr>
          <w:rFonts w:hint="eastAsia"/>
        </w:rPr>
        <w:t>5.7.7 计算方式</w:t>
      </w:r>
    </w:p>
    <w:p>
      <w:pPr>
        <w:rPr>
          <w:highlight w:val="none"/>
        </w:rPr>
      </w:pPr>
      <w:r>
        <w:rPr>
          <w:rFonts w:hint="eastAsia"/>
          <w:highlight w:val="none"/>
        </w:rPr>
        <w:t>各类绩效指标计算方</w:t>
      </w:r>
      <w:r>
        <w:rPr>
          <w:highlight w:val="none"/>
        </w:rPr>
        <w:t>式见GB/T 36132附录A。</w:t>
      </w:r>
    </w:p>
    <w:p>
      <w:pPr>
        <w:pStyle w:val="3"/>
        <w:outlineLvl w:val="0"/>
      </w:pPr>
      <w:bookmarkStart w:id="37" w:name="_Toc16339"/>
      <w:bookmarkStart w:id="38" w:name="_Toc6946"/>
      <w:r>
        <w:rPr>
          <w:rFonts w:hint="eastAsia"/>
        </w:rPr>
        <w:t>6 评价程序</w:t>
      </w:r>
      <w:bookmarkEnd w:id="37"/>
      <w:bookmarkEnd w:id="38"/>
    </w:p>
    <w:p>
      <w:pPr>
        <w:rPr>
          <w:highlight w:val="none"/>
        </w:rPr>
      </w:pPr>
      <w:r>
        <w:rPr>
          <w:rFonts w:hint="eastAsia"/>
          <w:highlight w:val="none"/>
        </w:rPr>
        <w:t>实施评价的组织应建立规范的评价工作流程，包括但不限于评价准备、组建评价组、制定评价方案预评价（适用时）、现场评价、编制评价报告、技术评审等。</w:t>
      </w:r>
    </w:p>
    <w:p>
      <w:pPr>
        <w:pStyle w:val="3"/>
        <w:outlineLvl w:val="0"/>
      </w:pPr>
      <w:bookmarkStart w:id="39" w:name="_Toc9766"/>
      <w:bookmarkStart w:id="40" w:name="_Toc14473"/>
      <w:r>
        <w:rPr>
          <w:rFonts w:hint="eastAsia"/>
        </w:rPr>
        <w:t>7 评价报告</w:t>
      </w:r>
      <w:bookmarkEnd w:id="39"/>
      <w:bookmarkEnd w:id="40"/>
    </w:p>
    <w:p>
      <w:pPr>
        <w:rPr>
          <w:highlight w:val="none"/>
        </w:rPr>
      </w:pPr>
      <w:r>
        <w:rPr>
          <w:highlight w:val="none"/>
        </w:rPr>
        <w:t>评价报告内容包括但不限于：</w:t>
      </w:r>
    </w:p>
    <w:p>
      <w:pPr>
        <w:rPr>
          <w:highlight w:val="none"/>
        </w:rPr>
      </w:pPr>
      <w:r>
        <w:rPr>
          <w:highlight w:val="none"/>
        </w:rPr>
        <w:t>a）实施评价的组织；</w:t>
      </w:r>
    </w:p>
    <w:p>
      <w:pPr>
        <w:rPr>
          <w:highlight w:val="none"/>
        </w:rPr>
      </w:pPr>
      <w:r>
        <w:rPr>
          <w:highlight w:val="none"/>
        </w:rPr>
        <w:t>b）评价目的、范围及准则；</w:t>
      </w:r>
    </w:p>
    <w:p>
      <w:pPr>
        <w:rPr>
          <w:highlight w:val="none"/>
        </w:rPr>
      </w:pPr>
      <w:r>
        <w:rPr>
          <w:highlight w:val="none"/>
        </w:rPr>
        <w:t>c）评价过程，主要包括评价组织安排、文件评审情况、现场评价情况、评价报告编制及内部技术评审情况；</w:t>
      </w:r>
    </w:p>
    <w:p>
      <w:pPr>
        <w:rPr>
          <w:highlight w:val="none"/>
        </w:rPr>
      </w:pPr>
      <w:r>
        <w:rPr>
          <w:highlight w:val="none"/>
        </w:rPr>
        <w:t>d）评价内容，包括一般要求、基础设施、管理体系、能源资源投入、产品、环境排放、绩效等；</w:t>
      </w:r>
    </w:p>
    <w:p>
      <w:pPr>
        <w:rPr>
          <w:highlight w:val="none"/>
        </w:rPr>
      </w:pPr>
      <w:r>
        <w:rPr>
          <w:highlight w:val="none"/>
        </w:rPr>
        <w:t>e）评价证据的核实情况，包括证明文件和数据真实性、计算范围及计算方法、相关计量设备和有关标准的执行等；</w:t>
      </w:r>
    </w:p>
    <w:p>
      <w:pPr>
        <w:rPr>
          <w:highlight w:val="none"/>
        </w:rPr>
      </w:pPr>
      <w:r>
        <w:rPr>
          <w:highlight w:val="none"/>
        </w:rPr>
        <w:t>f）评价指标表，明确各评价指标得分情况及评价加权综合评分，并判定受评工厂是否符合评价要求；</w:t>
      </w:r>
    </w:p>
    <w:p>
      <w:pPr>
        <w:rPr>
          <w:highlight w:val="none"/>
        </w:rPr>
      </w:pPr>
      <w:r>
        <w:rPr>
          <w:highlight w:val="none"/>
        </w:rPr>
        <w:t>g）发现的问题；</w:t>
      </w:r>
    </w:p>
    <w:p>
      <w:pPr>
        <w:rPr>
          <w:highlight w:val="none"/>
        </w:rPr>
      </w:pPr>
      <w:r>
        <w:rPr>
          <w:highlight w:val="none"/>
        </w:rPr>
        <w:t>h）绿色工厂主要创建做法、工作亮点等；</w:t>
      </w:r>
    </w:p>
    <w:p>
      <w:pPr>
        <w:outlineLvl w:val="0"/>
        <w:rPr>
          <w:highlight w:val="none"/>
        </w:rPr>
      </w:pPr>
      <w:bookmarkStart w:id="41" w:name="_Toc3466"/>
      <w:bookmarkStart w:id="42" w:name="_Toc22626"/>
      <w:r>
        <w:rPr>
          <w:highlight w:val="none"/>
        </w:rPr>
        <w:t>i）对持续创建绿色工厂提出的下一步工作计划或建议；</w:t>
      </w:r>
      <w:bookmarkEnd w:id="41"/>
      <w:bookmarkEnd w:id="42"/>
    </w:p>
    <w:p>
      <w:pPr>
        <w:outlineLvl w:val="0"/>
        <w:rPr>
          <w:highlight w:val="none"/>
        </w:rPr>
        <w:sectPr>
          <w:footerReference r:id="rId15" w:type="default"/>
          <w:headerReference r:id="rId14" w:type="even"/>
          <w:footerReference r:id="rId16" w:type="even"/>
          <w:pgSz w:w="11906" w:h="16838"/>
          <w:pgMar w:top="1134" w:right="1418" w:bottom="1418" w:left="1134" w:header="851" w:footer="992" w:gutter="0"/>
          <w:pgNumType w:start="1"/>
          <w:cols w:space="720" w:num="1"/>
          <w:docGrid w:type="lines" w:linePitch="317" w:charSpace="0"/>
        </w:sectPr>
      </w:pPr>
      <w:bookmarkStart w:id="43" w:name="_Toc30680"/>
      <w:bookmarkStart w:id="44" w:name="_Toc27449"/>
      <w:r>
        <w:rPr>
          <w:highlight w:val="none"/>
        </w:rPr>
        <w:t>j）相关支持材料。</w:t>
      </w:r>
      <w:bookmarkEnd w:id="43"/>
      <w:bookmarkEnd w:id="44"/>
    </w:p>
    <w:p>
      <w:pPr>
        <w:pStyle w:val="31"/>
        <w:rPr>
          <w:highlight w:val="none"/>
        </w:rPr>
      </w:pPr>
      <w:bookmarkStart w:id="45" w:name="_Toc9959"/>
      <w:bookmarkStart w:id="46" w:name="_Toc11720"/>
      <w:r>
        <w:rPr>
          <w:rFonts w:hint="eastAsia"/>
          <w:highlight w:val="none"/>
        </w:rPr>
        <w:t>附录 A</w:t>
      </w:r>
      <w:bookmarkEnd w:id="45"/>
      <w:bookmarkEnd w:id="46"/>
    </w:p>
    <w:p>
      <w:pPr>
        <w:jc w:val="center"/>
        <w:rPr>
          <w:highlight w:val="none"/>
        </w:rPr>
      </w:pPr>
      <w:r>
        <w:rPr>
          <w:rFonts w:hint="eastAsia"/>
          <w:highlight w:val="none"/>
        </w:rPr>
        <w:t>（规范性）</w:t>
      </w:r>
    </w:p>
    <w:p>
      <w:pPr>
        <w:adjustRightInd w:val="0"/>
        <w:snapToGrid w:val="0"/>
        <w:jc w:val="center"/>
        <w:rPr>
          <w:rFonts w:ascii="黑体" w:hAnsi="黑体" w:eastAsia="黑体" w:cs="黑体"/>
          <w:highlight w:val="none"/>
        </w:rPr>
      </w:pPr>
      <w:r>
        <w:rPr>
          <w:rFonts w:hint="eastAsia" w:ascii="黑体" w:hAnsi="黑体" w:eastAsia="黑体" w:cs="黑体"/>
          <w:highlight w:val="none"/>
        </w:rPr>
        <w:t>稀土抛光粉绿色工厂评价指标</w:t>
      </w:r>
    </w:p>
    <w:p>
      <w:pPr>
        <w:adjustRightInd w:val="0"/>
        <w:snapToGrid w:val="0"/>
        <w:jc w:val="center"/>
        <w:rPr>
          <w:rFonts w:ascii="黑体" w:hAnsi="黑体" w:eastAsia="黑体" w:cs="黑体"/>
          <w:highlight w:val="none"/>
        </w:rPr>
      </w:pPr>
      <w:r>
        <w:rPr>
          <w:rFonts w:hint="eastAsia" w:ascii="黑体" w:hAnsi="黑体" w:eastAsia="黑体" w:cs="黑体"/>
          <w:highlight w:val="none"/>
        </w:rPr>
        <w:t>表A.1 稀土抛光粉绿色工厂评价指标</w:t>
      </w:r>
    </w:p>
    <w:tbl>
      <w:tblPr>
        <w:tblStyle w:val="33"/>
        <w:tblW w:w="1413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6"/>
        <w:gridCol w:w="1112"/>
        <w:gridCol w:w="1218"/>
        <w:gridCol w:w="6819"/>
        <w:gridCol w:w="1391"/>
        <w:gridCol w:w="103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90" w:hRule="atLeast"/>
        </w:trPr>
        <w:tc>
          <w:tcPr>
            <w:tcW w:w="746"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序号</w:t>
            </w:r>
          </w:p>
        </w:tc>
        <w:tc>
          <w:tcPr>
            <w:tcW w:w="1112"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一级指标</w:t>
            </w:r>
          </w:p>
        </w:tc>
        <w:tc>
          <w:tcPr>
            <w:tcW w:w="1218"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二级指标</w:t>
            </w:r>
          </w:p>
        </w:tc>
        <w:tc>
          <w:tcPr>
            <w:tcW w:w="681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具体评价要求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符合性说明及证明材料索引</w:t>
            </w:r>
          </w:p>
        </w:tc>
        <w:tc>
          <w:tcPr>
            <w:tcW w:w="103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要求类型</w:t>
            </w: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分值</w:t>
            </w: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权重</w:t>
            </w: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0</w:t>
            </w:r>
          </w:p>
        </w:tc>
        <w:tc>
          <w:tcPr>
            <w:tcW w:w="1112" w:type="dxa"/>
            <w:vMerge w:val="restart"/>
            <w:noWrap w:val="0"/>
            <w:vAlign w:val="center"/>
          </w:tcPr>
          <w:p>
            <w:pPr>
              <w:adjustRightInd w:val="0"/>
              <w:snapToGrid w:val="0"/>
              <w:spacing w:line="240" w:lineRule="atLeast"/>
              <w:ind w:firstLine="0" w:firstLineChars="0"/>
              <w:rPr>
                <w:sz w:val="18"/>
                <w:szCs w:val="18"/>
                <w:highlight w:val="none"/>
              </w:rPr>
            </w:pPr>
            <w:r>
              <w:rPr>
                <w:sz w:val="18"/>
                <w:szCs w:val="18"/>
                <w:highlight w:val="none"/>
              </w:rPr>
              <w:t>基本要求</w:t>
            </w:r>
          </w:p>
        </w:tc>
        <w:tc>
          <w:tcPr>
            <w:tcW w:w="121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合规性与相关方要求</w:t>
            </w:r>
          </w:p>
        </w:tc>
        <w:tc>
          <w:tcPr>
            <w:tcW w:w="6819" w:type="dxa"/>
            <w:noWrap w:val="0"/>
            <w:vAlign w:val="center"/>
          </w:tcPr>
          <w:p>
            <w:pPr>
              <w:adjustRightInd w:val="0"/>
              <w:snapToGrid w:val="0"/>
              <w:spacing w:line="240" w:lineRule="atLeast"/>
              <w:ind w:firstLine="0" w:firstLineChars="0"/>
              <w:rPr>
                <w:sz w:val="18"/>
                <w:szCs w:val="18"/>
                <w:highlight w:val="none"/>
              </w:rPr>
            </w:pPr>
            <w:r>
              <w:rPr>
                <w:rFonts w:hint="eastAsia"/>
                <w:sz w:val="18"/>
                <w:szCs w:val="18"/>
                <w:highlight w:val="none"/>
              </w:rPr>
              <w:t>稀土抛光粉工厂</w:t>
            </w:r>
            <w:r>
              <w:rPr>
                <w:sz w:val="18"/>
                <w:szCs w:val="18"/>
                <w:highlight w:val="none"/>
              </w:rPr>
              <w:t>应依法设立，实施生产至少一年以上，在建设和生产过程中应遵守有关法律、法规、政策和标准。</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restart"/>
            <w:noWrap w:val="0"/>
            <w:vAlign w:val="center"/>
          </w:tcPr>
          <w:p>
            <w:pPr>
              <w:adjustRightInd w:val="0"/>
              <w:snapToGrid w:val="0"/>
              <w:spacing w:line="240" w:lineRule="atLeast"/>
              <w:ind w:firstLine="0" w:firstLineChars="0"/>
              <w:rPr>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一票否决</w:t>
            </w: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312" w:hRule="atLeast"/>
        </w:trPr>
        <w:tc>
          <w:tcPr>
            <w:tcW w:w="746" w:type="dxa"/>
            <w:vMerge w:val="continue"/>
            <w:noWrap w:val="0"/>
            <w:vAlign w:val="center"/>
          </w:tcPr>
          <w:p>
            <w:pPr>
              <w:adjustRightInd w:val="0"/>
              <w:snapToGrid w:val="0"/>
              <w:spacing w:line="240" w:lineRule="atLeast"/>
              <w:ind w:firstLine="0" w:firstLineChars="0"/>
              <w:rPr>
                <w:sz w:val="18"/>
                <w:szCs w:val="18"/>
                <w:highlight w:val="none"/>
              </w:rPr>
            </w:pPr>
          </w:p>
        </w:tc>
        <w:tc>
          <w:tcPr>
            <w:tcW w:w="1112" w:type="dxa"/>
            <w:vMerge w:val="continue"/>
            <w:noWrap w:val="0"/>
            <w:vAlign w:val="center"/>
          </w:tcPr>
          <w:p>
            <w:pPr>
              <w:adjustRightInd w:val="0"/>
              <w:snapToGrid w:val="0"/>
              <w:spacing w:line="240" w:lineRule="atLeast"/>
              <w:ind w:firstLine="0" w:firstLineChars="0"/>
              <w:rPr>
                <w:sz w:val="18"/>
                <w:szCs w:val="18"/>
                <w:highlight w:val="none"/>
              </w:rPr>
            </w:pPr>
          </w:p>
        </w:tc>
        <w:tc>
          <w:tcPr>
            <w:tcW w:w="121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color w:val="0000FF"/>
                <w:sz w:val="18"/>
                <w:szCs w:val="18"/>
                <w:highlight w:val="none"/>
              </w:rPr>
              <w:t>应具有良好信用，近三年（含成立不足三年）无严重违法失信、经营异常和行政处罚记录。</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127" w:hRule="atLeast"/>
        </w:trPr>
        <w:tc>
          <w:tcPr>
            <w:tcW w:w="746" w:type="dxa"/>
            <w:vMerge w:val="continue"/>
            <w:noWrap w:val="0"/>
            <w:vAlign w:val="center"/>
          </w:tcPr>
          <w:p>
            <w:pPr>
              <w:adjustRightInd w:val="0"/>
              <w:snapToGrid w:val="0"/>
              <w:spacing w:line="240" w:lineRule="atLeast"/>
              <w:ind w:firstLine="0" w:firstLineChars="0"/>
              <w:rPr>
                <w:sz w:val="18"/>
                <w:szCs w:val="18"/>
                <w:highlight w:val="none"/>
              </w:rPr>
            </w:pPr>
          </w:p>
        </w:tc>
        <w:tc>
          <w:tcPr>
            <w:tcW w:w="1112" w:type="dxa"/>
            <w:vMerge w:val="continue"/>
            <w:noWrap w:val="0"/>
            <w:vAlign w:val="center"/>
          </w:tcPr>
          <w:p>
            <w:pPr>
              <w:adjustRightInd w:val="0"/>
              <w:snapToGrid w:val="0"/>
              <w:spacing w:line="240" w:lineRule="atLeast"/>
              <w:ind w:firstLine="0" w:firstLineChars="0"/>
              <w:rPr>
                <w:sz w:val="18"/>
                <w:szCs w:val="18"/>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近三年（含成立不足三年）</w:t>
            </w:r>
            <w:r>
              <w:rPr>
                <w:rFonts w:hint="eastAsia"/>
                <w:sz w:val="18"/>
                <w:szCs w:val="18"/>
                <w:highlight w:val="none"/>
              </w:rPr>
              <w:t>未发生工亡以上的生产安全事故、未受环保行政处罚、无较大质量事故</w:t>
            </w:r>
            <w:r>
              <w:rPr>
                <w:rFonts w:hint="eastAsia"/>
                <w:sz w:val="18"/>
                <w:szCs w:val="18"/>
                <w:highlight w:val="none"/>
                <w:lang w:eastAsia="zh-CN"/>
              </w:rPr>
              <w:t>、</w:t>
            </w:r>
            <w:r>
              <w:rPr>
                <w:rFonts w:hint="eastAsia"/>
                <w:color w:val="0000FF"/>
                <w:sz w:val="18"/>
                <w:szCs w:val="18"/>
                <w:highlight w:val="none"/>
                <w:lang w:eastAsia="zh-CN"/>
              </w:rPr>
              <w:t>未造成1000万元以上经济损失</w:t>
            </w:r>
            <w:r>
              <w:rPr>
                <w:rFonts w:hint="eastAsia"/>
                <w:sz w:val="18"/>
                <w:szCs w:val="18"/>
                <w:highlight w:val="none"/>
              </w:rPr>
              <w:t>。</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pStyle w:val="128"/>
              <w:spacing w:line="240" w:lineRule="atLeast"/>
              <w:ind w:firstLine="0" w:firstLineChars="0"/>
              <w:jc w:val="both"/>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pStyle w:val="128"/>
              <w:spacing w:line="240" w:lineRule="atLeast"/>
              <w:ind w:firstLine="0" w:firstLineChars="0"/>
              <w:jc w:val="both"/>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spacing w:line="240" w:lineRule="atLeast"/>
              <w:ind w:firstLine="0" w:firstLineChars="0"/>
              <w:rPr>
                <w:sz w:val="18"/>
                <w:szCs w:val="18"/>
                <w:highlight w:val="none"/>
              </w:rPr>
            </w:pPr>
          </w:p>
        </w:tc>
        <w:tc>
          <w:tcPr>
            <w:tcW w:w="1112" w:type="dxa"/>
            <w:vMerge w:val="continue"/>
            <w:noWrap w:val="0"/>
            <w:vAlign w:val="center"/>
          </w:tcPr>
          <w:p>
            <w:pPr>
              <w:adjustRightInd w:val="0"/>
              <w:snapToGrid w:val="0"/>
              <w:spacing w:line="240" w:lineRule="atLeast"/>
              <w:ind w:firstLine="0" w:firstLineChars="0"/>
              <w:rPr>
                <w:sz w:val="18"/>
                <w:szCs w:val="18"/>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对利益相关方的环境要求做出承诺的，应同时满足有关承诺的要求。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237" w:hRule="atLeast"/>
        </w:trPr>
        <w:tc>
          <w:tcPr>
            <w:tcW w:w="746" w:type="dxa"/>
            <w:vMerge w:val="continue"/>
            <w:noWrap w:val="0"/>
            <w:vAlign w:val="center"/>
          </w:tcPr>
          <w:p>
            <w:pPr>
              <w:adjustRightInd w:val="0"/>
              <w:snapToGrid w:val="0"/>
              <w:spacing w:line="240" w:lineRule="atLeast"/>
              <w:ind w:firstLine="0" w:firstLineChars="0"/>
              <w:rPr>
                <w:sz w:val="18"/>
                <w:szCs w:val="18"/>
                <w:highlight w:val="none"/>
              </w:rPr>
            </w:pPr>
          </w:p>
        </w:tc>
        <w:tc>
          <w:tcPr>
            <w:tcW w:w="1112" w:type="dxa"/>
            <w:vMerge w:val="continue"/>
            <w:noWrap w:val="0"/>
            <w:vAlign w:val="center"/>
          </w:tcPr>
          <w:p>
            <w:pPr>
              <w:adjustRightInd w:val="0"/>
              <w:snapToGrid w:val="0"/>
              <w:spacing w:line="240" w:lineRule="atLeast"/>
              <w:ind w:firstLine="0" w:firstLineChars="0"/>
              <w:rPr>
                <w:sz w:val="18"/>
                <w:szCs w:val="18"/>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color w:val="0000FF"/>
                <w:sz w:val="18"/>
                <w:szCs w:val="18"/>
                <w:highlight w:val="none"/>
              </w:rPr>
              <w:t>能源消耗指标应满足</w:t>
            </w:r>
            <w:r>
              <w:rPr>
                <w:rFonts w:hint="eastAsia"/>
                <w:color w:val="0000FF"/>
                <w:sz w:val="18"/>
                <w:szCs w:val="18"/>
                <w:highlight w:val="none"/>
                <w:lang w:val="en-US" w:eastAsia="zh-CN"/>
              </w:rPr>
              <w:t>GB 29435及地方</w:t>
            </w:r>
            <w:r>
              <w:rPr>
                <w:color w:val="0000FF"/>
                <w:sz w:val="18"/>
                <w:szCs w:val="18"/>
                <w:highlight w:val="none"/>
              </w:rPr>
              <w:t>能耗限额标准限定值的要求。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58" w:hRule="atLeast"/>
        </w:trPr>
        <w:tc>
          <w:tcPr>
            <w:tcW w:w="746"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112"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rFonts w:hint="default"/>
                <w:color w:val="0000FF"/>
                <w:sz w:val="18"/>
                <w:szCs w:val="18"/>
                <w:highlight w:val="none"/>
              </w:rPr>
              <w:t>工厂各种污染物排放指标应符合GB 26451等国家、行业和地方现行有关标准的要求，并应按照HJ 1125的要求申领获得排污许可证</w:t>
            </w:r>
            <w:r>
              <w:rPr>
                <w:rFonts w:hint="default"/>
                <w:color w:val="0000FF"/>
                <w:sz w:val="18"/>
                <w:szCs w:val="18"/>
                <w:highlight w:val="none"/>
                <w:lang w:eastAsia="zh-CN"/>
              </w:rPr>
              <w:t>。</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pStyle w:val="128"/>
              <w:spacing w:line="240" w:lineRule="atLeast"/>
              <w:ind w:firstLine="0" w:firstLineChars="0"/>
              <w:rPr>
                <w:rFonts w:ascii="Times New Roman" w:hAnsi="Times New Roman"/>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pStyle w:val="128"/>
              <w:spacing w:line="240" w:lineRule="atLeast"/>
              <w:ind w:firstLine="0" w:firstLineChars="0"/>
              <w:rPr>
                <w:rFonts w:ascii="Times New Roman" w:hAnsi="Times New Roman"/>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112"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21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最高管理者要求</w:t>
            </w: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最高管理者在绿色工厂方面的领导作用和承诺应满足GB/T36132中4.3.1a)的要求。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112"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218" w:type="dxa"/>
            <w:vMerge w:val="continue"/>
            <w:noWrap w:val="0"/>
            <w:vAlign w:val="center"/>
          </w:tcPr>
          <w:p>
            <w:pPr>
              <w:adjustRightInd w:val="0"/>
              <w:snapToGrid w:val="0"/>
              <w:spacing w:line="240" w:lineRule="atLeast"/>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最高管理者应确保在工厂内部分配并沟通与绿色工厂相关角色的职责和权限，且应满足GB/T</w:t>
            </w:r>
            <w:r>
              <w:rPr>
                <w:rFonts w:hint="eastAsia"/>
                <w:sz w:val="18"/>
                <w:szCs w:val="18"/>
                <w:highlight w:val="none"/>
                <w:lang w:val="en-US" w:eastAsia="zh-CN"/>
              </w:rPr>
              <w:t xml:space="preserve"> </w:t>
            </w:r>
            <w:r>
              <w:rPr>
                <w:sz w:val="18"/>
                <w:szCs w:val="18"/>
                <w:highlight w:val="none"/>
              </w:rPr>
              <w:t>36132中4.3.1b)的要求。</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112"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121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工厂要求</w:t>
            </w: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应设有绿色工厂管理机构</w:t>
            </w:r>
            <w:r>
              <w:rPr>
                <w:rFonts w:hint="eastAsia"/>
                <w:sz w:val="18"/>
                <w:szCs w:val="18"/>
                <w:highlight w:val="none"/>
                <w:lang w:eastAsia="zh-CN"/>
              </w:rPr>
              <w:t>（</w:t>
            </w:r>
            <w:r>
              <w:rPr>
                <w:rFonts w:hint="eastAsia"/>
                <w:sz w:val="18"/>
                <w:szCs w:val="18"/>
                <w:highlight w:val="none"/>
                <w:lang w:val="en-US" w:eastAsia="zh-CN"/>
              </w:rPr>
              <w:t>或部门</w:t>
            </w:r>
            <w:r>
              <w:rPr>
                <w:rFonts w:hint="eastAsia"/>
                <w:sz w:val="18"/>
                <w:szCs w:val="18"/>
                <w:highlight w:val="none"/>
                <w:lang w:eastAsia="zh-CN"/>
              </w:rPr>
              <w:t>）</w:t>
            </w:r>
            <w:r>
              <w:rPr>
                <w:sz w:val="18"/>
                <w:szCs w:val="18"/>
                <w:highlight w:val="none"/>
              </w:rPr>
              <w:t>，负责有关绿色工厂的制度建设、实施、考核及奖励工作，建立目标责任制。</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ind w:firstLine="0" w:firstLineChars="0"/>
              <w:rPr>
                <w:rFonts w:eastAsia="仿宋"/>
                <w:szCs w:val="21"/>
                <w:highlight w:val="none"/>
              </w:rPr>
            </w:pPr>
          </w:p>
        </w:tc>
        <w:tc>
          <w:tcPr>
            <w:tcW w:w="1112" w:type="dxa"/>
            <w:vMerge w:val="continue"/>
            <w:noWrap w:val="0"/>
            <w:vAlign w:val="center"/>
          </w:tcPr>
          <w:p>
            <w:pPr>
              <w:adjustRightInd w:val="0"/>
              <w:snapToGrid w:val="0"/>
              <w:ind w:firstLine="0" w:firstLineChars="0"/>
              <w:rPr>
                <w:rFonts w:eastAsia="仿宋"/>
                <w:szCs w:val="21"/>
                <w:highlight w:val="none"/>
              </w:rPr>
            </w:pPr>
          </w:p>
        </w:tc>
        <w:tc>
          <w:tcPr>
            <w:tcW w:w="1218" w:type="dxa"/>
            <w:vMerge w:val="continue"/>
            <w:noWrap w:val="0"/>
            <w:vAlign w:val="center"/>
          </w:tcPr>
          <w:p>
            <w:pPr>
              <w:adjustRightInd w:val="0"/>
              <w:snapToGrid w:val="0"/>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应有开展绿色工厂的中长期规划及年度目标、指标和实施方案。可行时，指标明确且可量化。</w:t>
            </w:r>
          </w:p>
        </w:tc>
        <w:tc>
          <w:tcPr>
            <w:tcW w:w="1391" w:type="dxa"/>
            <w:noWrap w:val="0"/>
            <w:vAlign w:val="center"/>
          </w:tcPr>
          <w:p>
            <w:pPr>
              <w:adjustRightInd w:val="0"/>
              <w:snapToGrid w:val="0"/>
              <w:spacing w:line="240" w:lineRule="atLeast"/>
              <w:ind w:firstLine="0" w:firstLineChars="0"/>
              <w:jc w:val="center"/>
              <w:rPr>
                <w:sz w:val="18"/>
                <w:szCs w:val="18"/>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Pr>
        <w:tc>
          <w:tcPr>
            <w:tcW w:w="746" w:type="dxa"/>
            <w:vMerge w:val="continue"/>
            <w:noWrap w:val="0"/>
            <w:vAlign w:val="center"/>
          </w:tcPr>
          <w:p>
            <w:pPr>
              <w:adjustRightInd w:val="0"/>
              <w:snapToGrid w:val="0"/>
              <w:ind w:firstLine="0" w:firstLineChars="0"/>
              <w:rPr>
                <w:rFonts w:eastAsia="仿宋"/>
                <w:szCs w:val="21"/>
                <w:highlight w:val="none"/>
              </w:rPr>
            </w:pPr>
          </w:p>
        </w:tc>
        <w:tc>
          <w:tcPr>
            <w:tcW w:w="1112" w:type="dxa"/>
            <w:vMerge w:val="continue"/>
            <w:noWrap w:val="0"/>
            <w:vAlign w:val="center"/>
          </w:tcPr>
          <w:p>
            <w:pPr>
              <w:adjustRightInd w:val="0"/>
              <w:snapToGrid w:val="0"/>
              <w:ind w:firstLine="0" w:firstLineChars="0"/>
              <w:rPr>
                <w:rFonts w:eastAsia="仿宋"/>
                <w:szCs w:val="21"/>
                <w:highlight w:val="none"/>
              </w:rPr>
            </w:pPr>
          </w:p>
        </w:tc>
        <w:tc>
          <w:tcPr>
            <w:tcW w:w="1218" w:type="dxa"/>
            <w:vMerge w:val="continue"/>
            <w:noWrap w:val="0"/>
            <w:vAlign w:val="center"/>
          </w:tcPr>
          <w:p>
            <w:pPr>
              <w:adjustRightInd w:val="0"/>
              <w:snapToGrid w:val="0"/>
              <w:ind w:firstLine="0" w:firstLineChars="0"/>
              <w:rPr>
                <w:sz w:val="18"/>
                <w:szCs w:val="18"/>
                <w:highlight w:val="none"/>
              </w:rPr>
            </w:pPr>
          </w:p>
        </w:tc>
        <w:tc>
          <w:tcPr>
            <w:tcW w:w="6819"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应传播绿色制造的概念和知识，定期为员工提供绿色制造相关知识的教育、培训。</w:t>
            </w:r>
          </w:p>
        </w:tc>
        <w:tc>
          <w:tcPr>
            <w:tcW w:w="1391" w:type="dxa"/>
            <w:noWrap w:val="0"/>
            <w:vAlign w:val="center"/>
          </w:tcPr>
          <w:p>
            <w:pPr>
              <w:adjustRightInd w:val="0"/>
              <w:snapToGrid w:val="0"/>
              <w:spacing w:line="240" w:lineRule="atLeast"/>
              <w:ind w:firstLine="0" w:firstLineChars="0"/>
              <w:rPr>
                <w:rFonts w:eastAsia="仿宋"/>
                <w:szCs w:val="21"/>
                <w:highlight w:val="none"/>
              </w:rPr>
            </w:pPr>
          </w:p>
        </w:tc>
        <w:tc>
          <w:tcPr>
            <w:tcW w:w="103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rFonts w:eastAsia="仿宋"/>
                <w:szCs w:val="21"/>
                <w:highlight w:val="none"/>
              </w:rPr>
            </w:pPr>
            <w:r>
              <w:rPr>
                <w:rFonts w:eastAsia="仿宋"/>
                <w:szCs w:val="21"/>
                <w:highlight w:val="none"/>
              </w:rPr>
              <w:t>-</w:t>
            </w:r>
          </w:p>
        </w:tc>
        <w:tc>
          <w:tcPr>
            <w:tcW w:w="604" w:type="dxa"/>
            <w:vMerge w:val="continue"/>
            <w:noWrap w:val="0"/>
            <w:vAlign w:val="center"/>
          </w:tcPr>
          <w:p>
            <w:pPr>
              <w:adjustRightInd w:val="0"/>
              <w:snapToGrid w:val="0"/>
              <w:spacing w:line="240" w:lineRule="atLeast"/>
              <w:ind w:firstLine="0" w:firstLineChars="0"/>
              <w:rPr>
                <w:rFonts w:eastAsia="仿宋"/>
                <w:szCs w:val="21"/>
                <w:highlight w:val="none"/>
              </w:rPr>
            </w:pPr>
          </w:p>
        </w:tc>
        <w:tc>
          <w:tcPr>
            <w:tcW w:w="604" w:type="dxa"/>
            <w:noWrap w:val="0"/>
            <w:vAlign w:val="center"/>
          </w:tcPr>
          <w:p>
            <w:pPr>
              <w:adjustRightInd w:val="0"/>
              <w:snapToGrid w:val="0"/>
              <w:spacing w:line="240" w:lineRule="atLeast"/>
              <w:ind w:firstLine="0" w:firstLineChars="0"/>
              <w:jc w:val="center"/>
              <w:rPr>
                <w:rFonts w:eastAsia="仿宋"/>
                <w:szCs w:val="21"/>
                <w:highlight w:val="none"/>
              </w:rPr>
            </w:pPr>
            <w:r>
              <w:rPr>
                <w:rFonts w:eastAsia="仿宋"/>
                <w:szCs w:val="21"/>
                <w:highlight w:val="none"/>
              </w:rPr>
              <w:t>-</w:t>
            </w:r>
          </w:p>
        </w:tc>
      </w:tr>
    </w:tbl>
    <w:p>
      <w:pPr>
        <w:adjustRightInd w:val="0"/>
        <w:snapToGrid w:val="0"/>
        <w:jc w:val="center"/>
        <w:rPr>
          <w:rFonts w:eastAsia="黑体"/>
          <w:bCs/>
          <w:szCs w:val="21"/>
          <w:highlight w:val="none"/>
        </w:rPr>
      </w:pPr>
    </w:p>
    <w:tbl>
      <w:tblPr>
        <w:tblStyle w:val="33"/>
        <w:tblW w:w="14312" w:type="dxa"/>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71"/>
        <w:gridCol w:w="1158"/>
        <w:gridCol w:w="1193"/>
        <w:gridCol w:w="6754"/>
        <w:gridCol w:w="1418"/>
        <w:gridCol w:w="992"/>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blHeader/>
        </w:trPr>
        <w:tc>
          <w:tcPr>
            <w:tcW w:w="671"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序号</w:t>
            </w:r>
          </w:p>
        </w:tc>
        <w:tc>
          <w:tcPr>
            <w:tcW w:w="1158"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一级指标</w:t>
            </w:r>
          </w:p>
        </w:tc>
        <w:tc>
          <w:tcPr>
            <w:tcW w:w="1193"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二级指标</w:t>
            </w: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具体评价要求</w:t>
            </w:r>
          </w:p>
        </w:tc>
        <w:tc>
          <w:tcPr>
            <w:tcW w:w="1418"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符合性说明及证明材料索引</w:t>
            </w:r>
          </w:p>
        </w:tc>
        <w:tc>
          <w:tcPr>
            <w:tcW w:w="992"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要求类型</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分值</w:t>
            </w:r>
          </w:p>
        </w:tc>
        <w:tc>
          <w:tcPr>
            <w:tcW w:w="708"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权重</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1</w:t>
            </w: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基础设施</w:t>
            </w: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建筑</w:t>
            </w: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工厂的建筑应满足国家或地方相关法律法规及标准的要求。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8</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20%</w:t>
            </w: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新建、改建和扩建建筑时，应遵守国家“固定资产投资项目节能评估审查制度”、“三同时制度”、“工业项目建设用地控制指标”等产业政策和有关要求。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厂房内部装饰装修材料中醛、苯、氨、氡等有毒有害物质应符合国家和地方法律、</w:t>
            </w:r>
            <w:r>
              <w:rPr>
                <w:color w:val="auto"/>
                <w:sz w:val="18"/>
                <w:szCs w:val="18"/>
                <w:highlight w:val="none"/>
              </w:rPr>
              <w:t>GB 18580～1858</w:t>
            </w:r>
            <w:r>
              <w:rPr>
                <w:rFonts w:hint="eastAsia"/>
                <w:color w:val="auto"/>
                <w:sz w:val="18"/>
                <w:szCs w:val="18"/>
                <w:highlight w:val="none"/>
              </w:rPr>
              <w:t>7</w:t>
            </w:r>
            <w:r>
              <w:rPr>
                <w:color w:val="auto"/>
                <w:sz w:val="18"/>
                <w:szCs w:val="18"/>
                <w:highlight w:val="none"/>
              </w:rPr>
              <w:t>和GB 6566</w:t>
            </w:r>
            <w:r>
              <w:rPr>
                <w:rFonts w:hint="eastAsia"/>
                <w:color w:val="auto"/>
                <w:sz w:val="18"/>
                <w:szCs w:val="18"/>
                <w:highlight w:val="none"/>
              </w:rPr>
              <w:t>等</w:t>
            </w:r>
            <w:r>
              <w:rPr>
                <w:color w:val="auto"/>
                <w:sz w:val="18"/>
                <w:szCs w:val="18"/>
                <w:highlight w:val="none"/>
              </w:rPr>
              <w:t>标准要求。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危险品仓库、有毒有害操作间、废弃物处理间、</w:t>
            </w:r>
            <w:r>
              <w:rPr>
                <w:rFonts w:hint="eastAsia"/>
                <w:sz w:val="18"/>
                <w:szCs w:val="18"/>
                <w:highlight w:val="none"/>
              </w:rPr>
              <w:t>固废储存库</w:t>
            </w:r>
            <w:r>
              <w:rPr>
                <w:sz w:val="18"/>
                <w:szCs w:val="18"/>
                <w:highlight w:val="none"/>
              </w:rPr>
              <w:t>等产生</w:t>
            </w:r>
            <w:r>
              <w:rPr>
                <w:rFonts w:hint="eastAsia"/>
                <w:sz w:val="18"/>
                <w:szCs w:val="18"/>
                <w:highlight w:val="none"/>
              </w:rPr>
              <w:t>、贮存</w:t>
            </w:r>
            <w:r>
              <w:rPr>
                <w:sz w:val="18"/>
                <w:szCs w:val="18"/>
                <w:highlight w:val="none"/>
              </w:rPr>
              <w:t>污染物的房间应独立设置</w:t>
            </w:r>
            <w:r>
              <w:rPr>
                <w:rFonts w:hint="eastAsia"/>
                <w:sz w:val="18"/>
                <w:szCs w:val="18"/>
                <w:highlight w:val="none"/>
              </w:rPr>
              <w:t>，并符合相关法律法规要求</w:t>
            </w:r>
            <w:r>
              <w:rPr>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8</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建筑材料宜选用蕴能低、高性能、高耐久性和本地建材，减少建材在全生命周期中的能源消耗。</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rFonts w:hint="default" w:eastAsia="宋体"/>
                <w:sz w:val="18"/>
                <w:szCs w:val="18"/>
                <w:highlight w:val="none"/>
                <w:lang w:val="en-US" w:eastAsia="zh-CN"/>
              </w:rPr>
            </w:pPr>
            <w:r>
              <w:rPr>
                <w:sz w:val="18"/>
                <w:szCs w:val="18"/>
                <w:highlight w:val="none"/>
              </w:rPr>
              <w:t>建筑结构：宜采用钢结构、砌体结构和木结构等资源消耗和环境影响小的建筑结构体系。</w:t>
            </w:r>
            <w:r>
              <w:rPr>
                <w:rFonts w:hint="eastAsia"/>
                <w:sz w:val="18"/>
                <w:szCs w:val="18"/>
                <w:highlight w:val="none"/>
                <w:lang w:val="en-US" w:eastAsia="zh-CN"/>
              </w:rPr>
              <w:t>见附录B.1。</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绿化及场地：(1)厂区绿化适宜，宜优先种植乡土植物，采用少维护、耐候性强的植物，减少日常维护的费用；（2）室外透水地面面积占室外总面积的比例不小于30%。</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rFonts w:eastAsia="仿宋"/>
                <w:szCs w:val="21"/>
                <w:highlight w:val="none"/>
              </w:rPr>
            </w:pPr>
          </w:p>
        </w:tc>
        <w:tc>
          <w:tcPr>
            <w:tcW w:w="1158" w:type="dxa"/>
            <w:vMerge w:val="continue"/>
            <w:noWrap w:val="0"/>
            <w:vAlign w:val="center"/>
          </w:tcPr>
          <w:p>
            <w:pPr>
              <w:adjustRightInd w:val="0"/>
              <w:snapToGrid w:val="0"/>
              <w:spacing w:line="240" w:lineRule="atLeast"/>
              <w:ind w:firstLine="0" w:firstLineChars="0"/>
              <w:jc w:val="center"/>
              <w:rPr>
                <w:rFonts w:eastAsia="仿宋"/>
                <w:szCs w:val="21"/>
                <w:highlight w:val="none"/>
              </w:rPr>
            </w:pPr>
          </w:p>
        </w:tc>
        <w:tc>
          <w:tcPr>
            <w:tcW w:w="1193" w:type="dxa"/>
            <w:vMerge w:val="continue"/>
            <w:noWrap w:val="0"/>
            <w:vAlign w:val="center"/>
          </w:tcPr>
          <w:p>
            <w:pPr>
              <w:adjustRightInd w:val="0"/>
              <w:snapToGrid w:val="0"/>
              <w:spacing w:line="240" w:lineRule="atLeast"/>
              <w:ind w:firstLine="0" w:firstLineChars="0"/>
              <w:jc w:val="center"/>
              <w:rPr>
                <w:rFonts w:eastAsia="仿宋"/>
                <w:szCs w:val="21"/>
                <w:highlight w:val="none"/>
              </w:rPr>
            </w:pPr>
          </w:p>
        </w:tc>
        <w:tc>
          <w:tcPr>
            <w:tcW w:w="6754" w:type="dxa"/>
            <w:noWrap w:val="0"/>
            <w:vAlign w:val="center"/>
          </w:tcPr>
          <w:p>
            <w:pPr>
              <w:adjustRightInd w:val="0"/>
              <w:snapToGrid w:val="0"/>
              <w:spacing w:line="240" w:lineRule="atLeast"/>
              <w:ind w:firstLine="0" w:firstLineChars="0"/>
              <w:rPr>
                <w:rFonts w:eastAsia="仿宋"/>
                <w:highlight w:val="none"/>
              </w:rPr>
            </w:pPr>
            <w:r>
              <w:rPr>
                <w:sz w:val="18"/>
                <w:szCs w:val="18"/>
                <w:highlight w:val="none"/>
              </w:rPr>
              <w:t>再生资源及能源利用：可再生能源的使用占建筑总能耗</w:t>
            </w:r>
            <w:r>
              <w:rPr>
                <w:rFonts w:hint="eastAsia"/>
                <w:sz w:val="18"/>
                <w:szCs w:val="18"/>
                <w:highlight w:val="none"/>
              </w:rPr>
              <w:t>（为保障室内建筑环境和生活所需的能耗，包括空调、通风、照明、采暖、炊事和生活热水等用能）</w:t>
            </w:r>
            <w:r>
              <w:rPr>
                <w:sz w:val="18"/>
                <w:szCs w:val="18"/>
                <w:highlight w:val="none"/>
              </w:rPr>
              <w:t>的比例</w:t>
            </w:r>
            <w:r>
              <w:rPr>
                <w:rFonts w:hint="eastAsia"/>
                <w:sz w:val="18"/>
                <w:szCs w:val="18"/>
                <w:highlight w:val="none"/>
                <w:lang w:val="en-US" w:eastAsia="zh-CN"/>
              </w:rPr>
              <w:t>不低于</w:t>
            </w:r>
            <w:r>
              <w:rPr>
                <w:sz w:val="18"/>
                <w:szCs w:val="18"/>
                <w:highlight w:val="none"/>
              </w:rPr>
              <w:t>10%</w:t>
            </w:r>
          </w:p>
        </w:tc>
        <w:tc>
          <w:tcPr>
            <w:tcW w:w="1418" w:type="dxa"/>
            <w:noWrap w:val="0"/>
            <w:vAlign w:val="center"/>
          </w:tcPr>
          <w:p>
            <w:pPr>
              <w:pStyle w:val="128"/>
              <w:spacing w:line="240" w:lineRule="atLeast"/>
              <w:ind w:firstLine="0" w:firstLineChars="0"/>
              <w:rPr>
                <w:rFonts w:ascii="Times New Roman" w:hAnsi="Times New Roman"/>
                <w:szCs w:val="21"/>
                <w:highlight w:val="none"/>
              </w:rPr>
            </w:pPr>
          </w:p>
        </w:tc>
        <w:tc>
          <w:tcPr>
            <w:tcW w:w="992" w:type="dxa"/>
            <w:vMerge w:val="continue"/>
            <w:noWrap w:val="0"/>
            <w:vAlign w:val="center"/>
          </w:tcPr>
          <w:p>
            <w:pPr>
              <w:adjustRightInd w:val="0"/>
              <w:snapToGrid w:val="0"/>
              <w:spacing w:line="240" w:lineRule="atLeast"/>
              <w:ind w:firstLine="0" w:firstLineChars="0"/>
              <w:jc w:val="center"/>
              <w:rPr>
                <w:rFonts w:eastAsia="仿宋"/>
                <w:szCs w:val="21"/>
                <w:highlight w:val="none"/>
              </w:rPr>
            </w:pPr>
          </w:p>
        </w:tc>
        <w:tc>
          <w:tcPr>
            <w:tcW w:w="709" w:type="dxa"/>
            <w:noWrap w:val="0"/>
            <w:vAlign w:val="center"/>
          </w:tcPr>
          <w:p>
            <w:pPr>
              <w:adjustRightInd w:val="0"/>
              <w:snapToGrid w:val="0"/>
              <w:spacing w:line="240" w:lineRule="atLeast"/>
              <w:ind w:firstLine="0" w:firstLineChars="0"/>
              <w:jc w:val="center"/>
              <w:rPr>
                <w:rFonts w:eastAsia="仿宋"/>
                <w:szCs w:val="21"/>
                <w:highlight w:val="none"/>
              </w:rPr>
            </w:pPr>
            <w:r>
              <w:rPr>
                <w:rFonts w:eastAsia="仿宋"/>
                <w:szCs w:val="21"/>
                <w:highlight w:val="none"/>
              </w:rPr>
              <w:t>3</w:t>
            </w:r>
          </w:p>
        </w:tc>
        <w:tc>
          <w:tcPr>
            <w:tcW w:w="708" w:type="dxa"/>
            <w:vMerge w:val="continue"/>
            <w:noWrap w:val="0"/>
            <w:vAlign w:val="center"/>
          </w:tcPr>
          <w:p>
            <w:pPr>
              <w:adjustRightInd w:val="0"/>
              <w:snapToGrid w:val="0"/>
              <w:spacing w:line="240" w:lineRule="atLeast"/>
              <w:ind w:firstLine="0" w:firstLineChars="0"/>
              <w:jc w:val="center"/>
              <w:rPr>
                <w:rFonts w:eastAsia="仿宋"/>
                <w:szCs w:val="21"/>
                <w:highlight w:val="none"/>
              </w:rPr>
            </w:pPr>
          </w:p>
        </w:tc>
        <w:tc>
          <w:tcPr>
            <w:tcW w:w="709" w:type="dxa"/>
            <w:noWrap w:val="0"/>
            <w:vAlign w:val="center"/>
          </w:tcPr>
          <w:p>
            <w:pPr>
              <w:adjustRightInd w:val="0"/>
              <w:snapToGrid w:val="0"/>
              <w:spacing w:line="240" w:lineRule="atLeast"/>
              <w:ind w:firstLine="0" w:firstLineChars="0"/>
              <w:jc w:val="center"/>
              <w:rPr>
                <w:rFonts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rFonts w:hint="default" w:eastAsia="宋体"/>
                <w:sz w:val="18"/>
                <w:szCs w:val="18"/>
                <w:highlight w:val="none"/>
                <w:lang w:val="en-US" w:eastAsia="zh-CN"/>
              </w:rPr>
            </w:pPr>
            <w:r>
              <w:rPr>
                <w:sz w:val="18"/>
                <w:szCs w:val="18"/>
                <w:highlight w:val="none"/>
              </w:rPr>
              <w:t>适用时，工厂的厂房宜采用多层建筑。</w:t>
            </w:r>
            <w:r>
              <w:rPr>
                <w:rFonts w:hint="eastAsia"/>
                <w:sz w:val="18"/>
                <w:szCs w:val="18"/>
                <w:highlight w:val="none"/>
                <w:lang w:val="en-US" w:eastAsia="zh-CN"/>
              </w:rPr>
              <w:t>见附录B.2</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照明</w:t>
            </w: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厂区及各房间或场所的照明应尽量利用自然光或节能灯，人工照明应符合GB 50034规定。</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不同场所的照明应进行分级设计。</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rFonts w:hint="default" w:eastAsia="宋体"/>
                <w:sz w:val="18"/>
                <w:szCs w:val="18"/>
                <w:highlight w:val="none"/>
                <w:lang w:val="en-US" w:eastAsia="zh-CN"/>
              </w:rPr>
            </w:pPr>
            <w:r>
              <w:rPr>
                <w:rFonts w:hint="eastAsia"/>
                <w:sz w:val="18"/>
                <w:szCs w:val="18"/>
                <w:highlight w:val="none"/>
                <w:lang w:val="en-US" w:eastAsia="zh-CN"/>
              </w:rPr>
              <w:t>3000㎡及以上</w:t>
            </w:r>
            <w:r>
              <w:rPr>
                <w:sz w:val="18"/>
                <w:szCs w:val="18"/>
                <w:highlight w:val="none"/>
              </w:rPr>
              <w:t>大型厂房的照明系统宜采用分区控制方式。</w:t>
            </w:r>
            <w:r>
              <w:rPr>
                <w:rFonts w:hint="eastAsia"/>
                <w:sz w:val="18"/>
                <w:szCs w:val="18"/>
                <w:highlight w:val="none"/>
                <w:lang w:val="en-US" w:eastAsia="zh-CN"/>
              </w:rPr>
              <w:t>见附录B.3</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辅助生产和生活福利设施的照明系统适当增设照明控制开关，短时有人的场所宜采取节能自熄措施。</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设备设施</w:t>
            </w: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专用设备应符合产业准入要求，降低能源与资源消耗，减少污染物排放。</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adjustRightInd w:val="0"/>
              <w:snapToGrid w:val="0"/>
              <w:spacing w:line="240" w:lineRule="atLeast"/>
              <w:ind w:firstLine="0" w:firstLineChars="0"/>
              <w:jc w:val="center"/>
              <w:rPr>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适用时，通用设备应达到相关标准中能效限定值的强制性要求。已明令禁止生产、使用的和能耗高、效率低的设备应限期淘汰更新。</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通用设备或其系统的实际运行效率或主要运行参数应符合该设备经济运行的要求。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应依据GB 17167、GB 24789等要求配备、使用和管理能源、水以及其他资源的计量器具和装置。进出用能单位、进出主要次级用能单位、主要用能设备计量器具配备率应满足GB 20902要求。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能源及资源使用的类型不同时，应进行分类计量。工厂若具有以下设备，应满足分类计量的要求：（1）照明系统；（2）冷水机组、相关用能设备的能耗计量和控制；（3）</w:t>
            </w:r>
            <w:r>
              <w:rPr>
                <w:rFonts w:hint="eastAsia"/>
                <w:sz w:val="18"/>
                <w:szCs w:val="18"/>
                <w:highlight w:val="none"/>
              </w:rPr>
              <w:t>生产</w:t>
            </w:r>
            <w:r>
              <w:rPr>
                <w:sz w:val="18"/>
                <w:szCs w:val="18"/>
                <w:highlight w:val="none"/>
              </w:rPr>
              <w:t>用水、</w:t>
            </w:r>
            <w:r>
              <w:rPr>
                <w:rFonts w:hint="eastAsia"/>
                <w:sz w:val="18"/>
                <w:szCs w:val="18"/>
                <w:highlight w:val="none"/>
              </w:rPr>
              <w:t>生活</w:t>
            </w:r>
            <w:r>
              <w:rPr>
                <w:sz w:val="18"/>
                <w:szCs w:val="18"/>
                <w:highlight w:val="none"/>
              </w:rPr>
              <w:t>用水</w:t>
            </w:r>
            <w:r>
              <w:rPr>
                <w:rFonts w:hint="eastAsia"/>
                <w:sz w:val="18"/>
                <w:szCs w:val="18"/>
                <w:highlight w:val="none"/>
              </w:rPr>
              <w:t>、消防用水</w:t>
            </w:r>
            <w:r>
              <w:rPr>
                <w:sz w:val="18"/>
                <w:szCs w:val="18"/>
                <w:highlight w:val="none"/>
              </w:rPr>
              <w:t>；（4）空气处理设备的流量和压力计量；（5）锅炉；（6）冷却塔。</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sz w:val="18"/>
                <w:szCs w:val="18"/>
                <w:highlight w:val="none"/>
              </w:rPr>
            </w:pPr>
            <w:r>
              <w:rPr>
                <w:sz w:val="18"/>
                <w:szCs w:val="18"/>
                <w:highlight w:val="none"/>
              </w:rPr>
              <w:t>应投入适宜的污染物处理设施，以确保其污染物排放达到相关法律法规及标准要求。污染物处理设施的处理能力与工厂生产排放相适应，</w:t>
            </w:r>
            <w:r>
              <w:rPr>
                <w:rFonts w:hint="eastAsia"/>
                <w:sz w:val="18"/>
                <w:szCs w:val="18"/>
                <w:highlight w:val="none"/>
              </w:rPr>
              <w:t>并应正常运行</w:t>
            </w:r>
            <w:r>
              <w:rPr>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rFonts w:hint="default" w:eastAsia="宋体"/>
                <w:sz w:val="18"/>
                <w:szCs w:val="18"/>
                <w:highlight w:val="none"/>
                <w:lang w:val="en-US" w:eastAsia="zh-CN"/>
              </w:rPr>
            </w:pPr>
            <w:r>
              <w:rPr>
                <w:sz w:val="18"/>
                <w:szCs w:val="18"/>
                <w:highlight w:val="none"/>
              </w:rPr>
              <w:t>通用设备宜采用节能型产品或效率高、能耗低、水耗低、物耗低的产品。</w:t>
            </w:r>
            <w:r>
              <w:rPr>
                <w:rFonts w:hint="eastAsia"/>
                <w:sz w:val="18"/>
                <w:szCs w:val="18"/>
                <w:highlight w:val="none"/>
                <w:lang w:val="en-US" w:eastAsia="zh-CN"/>
              </w:rPr>
              <w:t>见附录B.4。</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2</w:t>
            </w: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管理体系</w:t>
            </w: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质量管理体系</w:t>
            </w:r>
          </w:p>
        </w:tc>
        <w:tc>
          <w:tcPr>
            <w:tcW w:w="6754" w:type="dxa"/>
            <w:tcBorders>
              <w:bottom w:val="single" w:color="auto" w:sz="4" w:space="0"/>
            </w:tcBorders>
            <w:noWrap w:val="0"/>
            <w:vAlign w:val="center"/>
          </w:tcPr>
          <w:p>
            <w:pPr>
              <w:adjustRightInd w:val="0"/>
              <w:snapToGrid w:val="0"/>
              <w:spacing w:line="240" w:lineRule="atLeast"/>
              <w:ind w:firstLine="0" w:firstLineChars="0"/>
              <w:rPr>
                <w:sz w:val="18"/>
                <w:szCs w:val="18"/>
                <w:highlight w:val="none"/>
              </w:rPr>
            </w:pPr>
            <w:r>
              <w:rPr>
                <w:iCs/>
                <w:sz w:val="18"/>
                <w:szCs w:val="18"/>
                <w:highlight w:val="none"/>
              </w:rPr>
              <w:t>工厂应建立、实施并保持质量管理体系。</w:t>
            </w:r>
          </w:p>
        </w:tc>
        <w:tc>
          <w:tcPr>
            <w:tcW w:w="1418"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tcBorders>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8</w:t>
            </w:r>
          </w:p>
        </w:tc>
        <w:tc>
          <w:tcPr>
            <w:tcW w:w="708" w:type="dxa"/>
            <w:vMerge w:val="restart"/>
            <w:noWrap w:val="0"/>
            <w:vAlign w:val="bottom"/>
          </w:tcPr>
          <w:p>
            <w:pPr>
              <w:adjustRightInd w:val="0"/>
              <w:snapToGrid w:val="0"/>
              <w:spacing w:line="240" w:lineRule="atLeast"/>
              <w:ind w:firstLine="0" w:firstLineChars="0"/>
              <w:jc w:val="center"/>
              <w:rPr>
                <w:sz w:val="18"/>
                <w:szCs w:val="18"/>
                <w:highlight w:val="none"/>
              </w:rPr>
            </w:pPr>
            <w:r>
              <w:rPr>
                <w:sz w:val="18"/>
                <w:szCs w:val="18"/>
                <w:highlight w:val="none"/>
              </w:rPr>
              <w:t>15%</w:t>
            </w:r>
          </w:p>
        </w:tc>
        <w:tc>
          <w:tcPr>
            <w:tcW w:w="709" w:type="dxa"/>
            <w:vMerge w:val="restart"/>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bottom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工厂的质量管理体系应满足GB/T 19001的要求。</w:t>
            </w:r>
          </w:p>
        </w:tc>
        <w:tc>
          <w:tcPr>
            <w:tcW w:w="1418" w:type="dxa"/>
            <w:tcBorders>
              <w:top w:val="single" w:color="auto" w:sz="4" w:space="0"/>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continue"/>
            <w:noWrap w:val="0"/>
            <w:vAlign w:val="bottom"/>
          </w:tcPr>
          <w:p>
            <w:pPr>
              <w:adjustRightInd w:val="0"/>
              <w:snapToGrid w:val="0"/>
              <w:spacing w:line="240" w:lineRule="atLeast"/>
              <w:ind w:firstLine="0" w:firstLineChars="0"/>
              <w:jc w:val="center"/>
              <w:rPr>
                <w:sz w:val="18"/>
                <w:szCs w:val="18"/>
                <w:highlight w:val="none"/>
              </w:rPr>
            </w:pPr>
          </w:p>
        </w:tc>
        <w:tc>
          <w:tcPr>
            <w:tcW w:w="709" w:type="dxa"/>
            <w:vMerge w:val="continue"/>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工厂宜获得质量管理体系的第三方认证。</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5</w:t>
            </w:r>
          </w:p>
        </w:tc>
        <w:tc>
          <w:tcPr>
            <w:tcW w:w="708" w:type="dxa"/>
            <w:vMerge w:val="continue"/>
            <w:noWrap w:val="0"/>
            <w:vAlign w:val="bottom"/>
          </w:tcPr>
          <w:p>
            <w:pPr>
              <w:adjustRightInd w:val="0"/>
              <w:snapToGrid w:val="0"/>
              <w:spacing w:line="240" w:lineRule="atLeast"/>
              <w:ind w:firstLine="0" w:firstLineChars="0"/>
              <w:jc w:val="center"/>
              <w:rPr>
                <w:sz w:val="18"/>
                <w:szCs w:val="18"/>
                <w:highlight w:val="none"/>
              </w:rPr>
            </w:pPr>
          </w:p>
        </w:tc>
        <w:tc>
          <w:tcPr>
            <w:tcW w:w="709" w:type="dxa"/>
            <w:vMerge w:val="continue"/>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职业健康安全管理体系</w:t>
            </w:r>
          </w:p>
        </w:tc>
        <w:tc>
          <w:tcPr>
            <w:tcW w:w="6754" w:type="dxa"/>
            <w:tcBorders>
              <w:bottom w:val="single" w:color="auto" w:sz="4" w:space="0"/>
            </w:tcBorders>
            <w:noWrap w:val="0"/>
            <w:vAlign w:val="center"/>
          </w:tcPr>
          <w:p>
            <w:pPr>
              <w:adjustRightInd w:val="0"/>
              <w:snapToGrid w:val="0"/>
              <w:spacing w:line="240" w:lineRule="atLeast"/>
              <w:ind w:firstLine="0" w:firstLineChars="0"/>
              <w:rPr>
                <w:sz w:val="18"/>
                <w:szCs w:val="18"/>
                <w:highlight w:val="none"/>
              </w:rPr>
            </w:pPr>
            <w:r>
              <w:rPr>
                <w:iCs/>
                <w:sz w:val="18"/>
                <w:szCs w:val="18"/>
                <w:highlight w:val="none"/>
              </w:rPr>
              <w:t>工厂应建立、实施并保持职业健康安全管理体系。</w:t>
            </w:r>
          </w:p>
        </w:tc>
        <w:tc>
          <w:tcPr>
            <w:tcW w:w="1418"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vMerge w:val="restart"/>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bottom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工厂的职业健康安全管理体系应满足GB/T 45001的要求。</w:t>
            </w:r>
          </w:p>
        </w:tc>
        <w:tc>
          <w:tcPr>
            <w:tcW w:w="1418" w:type="dxa"/>
            <w:tcBorders>
              <w:top w:val="single" w:color="auto" w:sz="4" w:space="0"/>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vMerge w:val="continue"/>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工厂宜获得职业健康管理体系第三方认证。</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vMerge w:val="continue"/>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环境管理体系</w:t>
            </w:r>
          </w:p>
        </w:tc>
        <w:tc>
          <w:tcPr>
            <w:tcW w:w="6754" w:type="dxa"/>
            <w:tcBorders>
              <w:bottom w:val="single" w:color="auto" w:sz="4" w:space="0"/>
            </w:tcBorders>
            <w:noWrap w:val="0"/>
            <w:vAlign w:val="center"/>
          </w:tcPr>
          <w:p>
            <w:pPr>
              <w:adjustRightInd w:val="0"/>
              <w:snapToGrid w:val="0"/>
              <w:spacing w:line="240" w:lineRule="atLeast"/>
              <w:ind w:firstLine="0" w:firstLineChars="0"/>
              <w:rPr>
                <w:sz w:val="18"/>
                <w:szCs w:val="18"/>
                <w:highlight w:val="none"/>
              </w:rPr>
            </w:pPr>
            <w:r>
              <w:rPr>
                <w:iCs/>
                <w:sz w:val="18"/>
                <w:szCs w:val="18"/>
                <w:highlight w:val="none"/>
              </w:rPr>
              <w:t>工厂应建立、实施并保持环境管理体系。</w:t>
            </w:r>
          </w:p>
        </w:tc>
        <w:tc>
          <w:tcPr>
            <w:tcW w:w="1418"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vMerge w:val="restart"/>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bottom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工厂的环境管理体系应满足GB/T24001的要求。</w:t>
            </w:r>
          </w:p>
        </w:tc>
        <w:tc>
          <w:tcPr>
            <w:tcW w:w="1418" w:type="dxa"/>
            <w:tcBorders>
              <w:top w:val="single" w:color="auto" w:sz="4" w:space="0"/>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vMerge w:val="continue"/>
            <w:tcBorders>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6754" w:type="dxa"/>
            <w:tcBorders>
              <w:top w:val="single" w:color="auto" w:sz="4" w:space="0"/>
            </w:tcBorders>
            <w:noWrap w:val="0"/>
            <w:vAlign w:val="center"/>
          </w:tcPr>
          <w:p>
            <w:pPr>
              <w:adjustRightInd w:val="0"/>
              <w:snapToGrid w:val="0"/>
              <w:spacing w:line="240" w:lineRule="atLeast"/>
              <w:ind w:firstLine="0" w:firstLineChars="0"/>
              <w:rPr>
                <w:iCs/>
                <w:sz w:val="18"/>
                <w:szCs w:val="18"/>
                <w:highlight w:val="none"/>
              </w:rPr>
            </w:pPr>
            <w:r>
              <w:rPr>
                <w:rFonts w:hint="eastAsia"/>
                <w:iCs/>
                <w:sz w:val="18"/>
                <w:szCs w:val="18"/>
                <w:highlight w:val="none"/>
              </w:rPr>
              <w:t>工厂宜获得环境管理体系第三方认证。</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能源管理体系</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工厂应建立、实施并保持能源管理体系。</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工厂的能源管理体系应满足</w:t>
            </w:r>
            <w:r>
              <w:rPr>
                <w:rFonts w:ascii="Times New Roman" w:hAnsi="Times New Roman" w:eastAsia="宋体"/>
                <w:sz w:val="18"/>
                <w:szCs w:val="18"/>
                <w:highlight w:val="none"/>
              </w:rPr>
              <w:t>GB/T 23331的要求。</w:t>
            </w:r>
          </w:p>
        </w:tc>
        <w:tc>
          <w:tcPr>
            <w:tcW w:w="1418" w:type="dxa"/>
            <w:tcBorders>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bottom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vMerge w:val="restart"/>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工厂宜按照RB/T 117的要求获得能源管理体系第三方认证。</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tcBorders>
              <w:top w:val="single" w:color="auto" w:sz="4" w:space="0"/>
            </w:tcBorders>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vMerge w:val="continue"/>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0"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安全标</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准化管</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理体系</w:t>
            </w:r>
          </w:p>
        </w:tc>
        <w:tc>
          <w:tcPr>
            <w:tcW w:w="6754" w:type="dxa"/>
            <w:noWrap w:val="0"/>
            <w:vAlign w:val="center"/>
          </w:tcPr>
          <w:p>
            <w:pPr>
              <w:adjustRightInd w:val="0"/>
              <w:snapToGrid w:val="0"/>
              <w:spacing w:line="240" w:lineRule="atLeast"/>
              <w:ind w:firstLine="0" w:firstLineChars="0"/>
              <w:rPr>
                <w:color w:val="0000FF"/>
                <w:sz w:val="18"/>
                <w:szCs w:val="18"/>
                <w:highlight w:val="none"/>
              </w:rPr>
            </w:pPr>
            <w:r>
              <w:rPr>
                <w:color w:val="0000FF"/>
                <w:sz w:val="18"/>
                <w:szCs w:val="18"/>
                <w:highlight w:val="none"/>
              </w:rPr>
              <w:t>工厂宜建立、实施并保持安全生产标准化管理体系。</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tabs>
                <w:tab w:val="center" w:pos="4153"/>
                <w:tab w:val="right" w:pos="8306"/>
              </w:tabs>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color w:val="0000FF"/>
                <w:sz w:val="18"/>
                <w:szCs w:val="18"/>
                <w:highlight w:val="none"/>
              </w:rPr>
            </w:pPr>
            <w:r>
              <w:rPr>
                <w:color w:val="0000FF"/>
                <w:sz w:val="18"/>
                <w:szCs w:val="18"/>
                <w:highlight w:val="none"/>
              </w:rPr>
              <w:t>工厂的安全生产标准化管理体系宜满足GB/T 33000的要求。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tabs>
                <w:tab w:val="center" w:pos="4153"/>
                <w:tab w:val="right" w:pos="8306"/>
              </w:tabs>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adjustRightInd w:val="0"/>
              <w:snapToGrid w:val="0"/>
              <w:spacing w:line="240" w:lineRule="atLeast"/>
              <w:ind w:firstLine="0" w:firstLineChars="0"/>
              <w:rPr>
                <w:color w:val="0000FF"/>
                <w:sz w:val="18"/>
                <w:szCs w:val="18"/>
                <w:highlight w:val="none"/>
              </w:rPr>
            </w:pPr>
            <w:r>
              <w:rPr>
                <w:color w:val="0000FF"/>
                <w:sz w:val="18"/>
                <w:szCs w:val="18"/>
                <w:highlight w:val="none"/>
              </w:rPr>
              <w:t>工厂宜通过安全生产标准化管理体系</w:t>
            </w:r>
            <w:r>
              <w:rPr>
                <w:rFonts w:hint="eastAsia"/>
                <w:color w:val="0000FF"/>
                <w:sz w:val="18"/>
                <w:szCs w:val="18"/>
                <w:highlight w:val="none"/>
              </w:rPr>
              <w:t>外部评审，并获得应急管理部门颁发相应级别证书</w:t>
            </w:r>
            <w:r>
              <w:rPr>
                <w:color w:val="0000FF"/>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tabs>
                <w:tab w:val="center" w:pos="4153"/>
                <w:tab w:val="right" w:pos="8306"/>
              </w:tabs>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社会责任</w:t>
            </w:r>
          </w:p>
        </w:tc>
        <w:tc>
          <w:tcPr>
            <w:tcW w:w="6754" w:type="dxa"/>
            <w:noWrap w:val="0"/>
            <w:vAlign w:val="center"/>
          </w:tcPr>
          <w:p>
            <w:pPr>
              <w:pStyle w:val="128"/>
              <w:spacing w:line="240" w:lineRule="atLeast"/>
              <w:ind w:firstLine="0" w:firstLineChars="0"/>
              <w:rPr>
                <w:rFonts w:ascii="Times New Roman" w:hAnsi="Times New Roman" w:eastAsia="宋体"/>
                <w:color w:val="0000FF"/>
                <w:sz w:val="18"/>
                <w:szCs w:val="18"/>
                <w:highlight w:val="none"/>
              </w:rPr>
            </w:pPr>
            <w:r>
              <w:rPr>
                <w:rFonts w:ascii="Times New Roman" w:hAnsi="Times New Roman" w:eastAsia="宋体"/>
                <w:color w:val="0000FF"/>
                <w:sz w:val="18"/>
                <w:szCs w:val="18"/>
                <w:highlight w:val="none"/>
              </w:rPr>
              <w:t>宜按照GB/T 36000</w:t>
            </w:r>
            <w:r>
              <w:rPr>
                <w:rFonts w:hint="eastAsia" w:ascii="Times New Roman" w:hAnsi="Times New Roman" w:eastAsia="宋体"/>
                <w:color w:val="0000FF"/>
                <w:sz w:val="18"/>
                <w:szCs w:val="18"/>
                <w:highlight w:val="none"/>
              </w:rPr>
              <w:t>的要求，</w:t>
            </w:r>
            <w:r>
              <w:rPr>
                <w:rFonts w:ascii="Times New Roman" w:hAnsi="Times New Roman" w:eastAsia="宋体"/>
                <w:color w:val="0000FF"/>
                <w:sz w:val="18"/>
                <w:szCs w:val="18"/>
                <w:highlight w:val="none"/>
              </w:rPr>
              <w:t>每年发布社会责任报告，说明履行利益相关方责任的情况，特别是环境社会责任的履行情况，报告公开可获得。</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tabs>
                <w:tab w:val="center" w:pos="4153"/>
                <w:tab w:val="right" w:pos="8306"/>
              </w:tabs>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w:t>
            </w: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能源资源投入</w:t>
            </w: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能源投入</w:t>
            </w:r>
          </w:p>
        </w:tc>
        <w:tc>
          <w:tcPr>
            <w:tcW w:w="6754" w:type="dxa"/>
            <w:tcBorders>
              <w:bottom w:val="single" w:color="auto" w:sz="6"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应优化用能结构，在保证安全、质量的前提下减少能源投入。</w:t>
            </w:r>
          </w:p>
        </w:tc>
        <w:tc>
          <w:tcPr>
            <w:tcW w:w="1418" w:type="dxa"/>
            <w:tcBorders>
              <w:bottom w:val="single" w:color="auto" w:sz="6"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零整</w:t>
            </w:r>
          </w:p>
        </w:tc>
        <w:tc>
          <w:tcPr>
            <w:tcW w:w="709" w:type="dxa"/>
            <w:tcBorders>
              <w:bottom w:val="single" w:color="auto" w:sz="6" w:space="0"/>
            </w:tcBorders>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7</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15%</w:t>
            </w:r>
          </w:p>
        </w:tc>
        <w:tc>
          <w:tcPr>
            <w:tcW w:w="709" w:type="dxa"/>
            <w:tcBorders>
              <w:bottom w:val="single" w:color="auto" w:sz="6" w:space="0"/>
            </w:tcBorders>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稀土抛光粉工厂各工序工艺综合能耗应满足该行业节能相关法律法规以及标准</w:t>
            </w:r>
            <w:r>
              <w:rPr>
                <w:rFonts w:hint="eastAsia" w:ascii="Times New Roman" w:hAnsi="Times New Roman" w:eastAsia="宋体"/>
                <w:sz w:val="18"/>
                <w:szCs w:val="18"/>
                <w:highlight w:val="none"/>
              </w:rPr>
              <w:t>、绿色产品设计规范</w:t>
            </w:r>
            <w:r>
              <w:rPr>
                <w:rFonts w:ascii="Times New Roman" w:hAnsi="Times New Roman" w:eastAsia="宋体"/>
                <w:sz w:val="18"/>
                <w:szCs w:val="18"/>
                <w:highlight w:val="none"/>
              </w:rPr>
              <w:t>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7</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宜使用可再生能源或低碳清洁的新能源。</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宜充分利用余热余压产生的二次能源回收利用。</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宜建有能源管理中心。</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lang w:val="en-US"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资源投入</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应按照GB/T 7119的要求对其开展节水评价工作</w:t>
            </w:r>
            <w:r>
              <w:rPr>
                <w:rFonts w:hint="eastAsia"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零整</w:t>
            </w:r>
          </w:p>
          <w:p>
            <w:pPr>
              <w:pStyle w:val="128"/>
              <w:spacing w:line="240" w:lineRule="atLeast"/>
              <w:ind w:firstLine="0" w:firstLineChars="0"/>
              <w:jc w:val="center"/>
              <w:rPr>
                <w:rFonts w:hint="eastAsia" w:ascii="Times New Roman" w:hAnsi="Times New Roman" w:eastAsia="宋体"/>
                <w:sz w:val="18"/>
                <w:szCs w:val="18"/>
                <w:highlight w:val="none"/>
                <w:lang w:eastAsia="zh-CN"/>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应减少</w:t>
            </w:r>
            <w:r>
              <w:rPr>
                <w:rFonts w:hint="eastAsia" w:ascii="Times New Roman" w:hAnsi="Times New Roman" w:eastAsia="宋体"/>
                <w:sz w:val="18"/>
                <w:szCs w:val="18"/>
                <w:highlight w:val="none"/>
              </w:rPr>
              <w:t>原辅料及材料</w:t>
            </w:r>
            <w:r>
              <w:rPr>
                <w:rFonts w:ascii="Times New Roman" w:hAnsi="Times New Roman" w:eastAsia="宋体"/>
                <w:sz w:val="18"/>
                <w:szCs w:val="18"/>
                <w:highlight w:val="none"/>
              </w:rPr>
              <w:t>尤其是有毒有害物质的使用，评估有毒有害物质及化学品减量使用或替代的可行性。</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应按照 GB/T 29115的要求对其</w:t>
            </w:r>
            <w:r>
              <w:rPr>
                <w:rFonts w:hint="eastAsia" w:ascii="Times New Roman" w:hAnsi="Times New Roman" w:eastAsia="宋体"/>
                <w:sz w:val="18"/>
                <w:szCs w:val="18"/>
                <w:highlight w:val="none"/>
              </w:rPr>
              <w:t>原辅料及材料</w:t>
            </w:r>
            <w:r>
              <w:rPr>
                <w:rFonts w:ascii="Times New Roman" w:hAnsi="Times New Roman" w:eastAsia="宋体"/>
                <w:sz w:val="18"/>
                <w:szCs w:val="18"/>
                <w:highlight w:val="none"/>
              </w:rPr>
              <w:t>使用量的减少进行评价。</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宜使用回收料</w:t>
            </w:r>
            <w:r>
              <w:rPr>
                <w:rFonts w:hint="eastAsia" w:ascii="Times New Roman" w:hAnsi="Times New Roman" w:eastAsia="宋体"/>
                <w:sz w:val="18"/>
                <w:szCs w:val="18"/>
                <w:highlight w:val="none"/>
                <w:lang w:eastAsia="zh-CN"/>
              </w:rPr>
              <w:t>、</w:t>
            </w:r>
            <w:r>
              <w:rPr>
                <w:rFonts w:hint="eastAsia" w:ascii="Times New Roman" w:hAnsi="Times New Roman" w:eastAsia="宋体"/>
                <w:sz w:val="18"/>
                <w:szCs w:val="18"/>
                <w:highlight w:val="none"/>
                <w:lang w:val="en-US" w:eastAsia="zh-CN"/>
              </w:rPr>
              <w:t>可回收材料替代原生材料、不可回收料。</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替代或者减少全球增温潜势较高温室气体的使用</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采购</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应制定并实施包括环保要求的选择、评价和重新评价供方的准则。</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应确定并实施检验或其他必要的活动，以确保采购的产品满足规定的采购要求。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向供方提供的采购信息宜包含有毒有害物质使用、可回收材料使用、能效等环保要求。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p>
          <w:p>
            <w:pPr>
              <w:adjustRightInd w:val="0"/>
              <w:snapToGrid w:val="0"/>
              <w:spacing w:line="240" w:lineRule="atLeast"/>
              <w:ind w:firstLine="0" w:firstLineChars="0"/>
              <w:jc w:val="center"/>
              <w:rPr>
                <w:sz w:val="18"/>
                <w:szCs w:val="18"/>
                <w:highlight w:val="none"/>
              </w:rPr>
            </w:pPr>
            <w:r>
              <w:rPr>
                <w:sz w:val="18"/>
                <w:szCs w:val="18"/>
                <w:highlight w:val="none"/>
              </w:rPr>
              <w:t>4</w:t>
            </w:r>
          </w:p>
          <w:p>
            <w:pPr>
              <w:adjustRightInd w:val="0"/>
              <w:snapToGrid w:val="0"/>
              <w:spacing w:line="240" w:lineRule="atLeast"/>
              <w:ind w:firstLine="0" w:firstLineChars="0"/>
              <w:jc w:val="center"/>
              <w:rPr>
                <w:sz w:val="18"/>
                <w:szCs w:val="18"/>
                <w:highlight w:val="none"/>
              </w:rPr>
            </w:pP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产品</w:t>
            </w:r>
          </w:p>
        </w:tc>
        <w:tc>
          <w:tcPr>
            <w:tcW w:w="1193"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生态设计</w:t>
            </w:r>
          </w:p>
        </w:tc>
        <w:tc>
          <w:tcPr>
            <w:tcW w:w="6754" w:type="dxa"/>
            <w:noWrap w:val="0"/>
            <w:vAlign w:val="center"/>
          </w:tcPr>
          <w:p>
            <w:pPr>
              <w:pStyle w:val="128"/>
              <w:spacing w:line="240" w:lineRule="atLeast"/>
              <w:ind w:firstLine="0" w:firstLineChars="0"/>
              <w:rPr>
                <w:rFonts w:hint="default" w:ascii="Times New Roman" w:hAnsi="Times New Roman" w:eastAsia="宋体"/>
                <w:sz w:val="18"/>
                <w:szCs w:val="18"/>
                <w:highlight w:val="none"/>
                <w:lang w:val="en-US" w:eastAsia="zh-CN"/>
              </w:rPr>
            </w:pPr>
            <w:r>
              <w:rPr>
                <w:rFonts w:ascii="Times New Roman" w:hAnsi="Times New Roman" w:eastAsia="宋体"/>
                <w:sz w:val="18"/>
                <w:szCs w:val="18"/>
                <w:highlight w:val="none"/>
              </w:rPr>
              <w:t>应</w:t>
            </w:r>
            <w:r>
              <w:rPr>
                <w:rFonts w:hint="eastAsia" w:ascii="Times New Roman" w:hAnsi="Times New Roman" w:eastAsia="宋体"/>
                <w:sz w:val="18"/>
                <w:szCs w:val="18"/>
                <w:highlight w:val="none"/>
                <w:lang w:val="en-US" w:eastAsia="zh-CN"/>
              </w:rPr>
              <w:t>按照《绿色设计产品评价技术规范 稀土抛光粉》要求进行绿色产品评价</w:t>
            </w:r>
            <w:r>
              <w:rPr>
                <w:rFonts w:hint="eastAsia" w:ascii="Times New Roman" w:hAnsi="Times New Roman" w:eastAsia="宋体"/>
                <w:sz w:val="18"/>
                <w:szCs w:val="18"/>
                <w:highlight w:val="none"/>
                <w:lang w:eastAsia="zh-CN"/>
              </w:rPr>
              <w:t>。</w:t>
            </w:r>
            <w:r>
              <w:rPr>
                <w:rFonts w:hint="eastAsia" w:ascii="Times New Roman" w:hAnsi="Times New Roman" w:eastAsia="宋体"/>
                <w:sz w:val="18"/>
                <w:szCs w:val="18"/>
                <w:highlight w:val="none"/>
                <w:lang w:val="en-US" w:eastAsia="zh-CN"/>
              </w:rPr>
              <w:t>见附录B.5。</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r>
              <w:rPr>
                <w:sz w:val="18"/>
                <w:szCs w:val="18"/>
                <w:highlight w:val="none"/>
              </w:rPr>
              <w:t>5</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5%</w:t>
            </w: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未有对应标准的产品品种，宜按照GB/T 24256对生产的产品进行生态设计，并宜按照GB/T 32161对生产的产品进行生态设计产品评价。</w:t>
            </w:r>
            <w:r>
              <w:rPr>
                <w:rFonts w:hint="eastAsia" w:ascii="Times New Roman" w:hAnsi="Times New Roman" w:eastAsia="宋体"/>
                <w:sz w:val="18"/>
                <w:szCs w:val="18"/>
                <w:highlight w:val="none"/>
                <w:lang w:val="en-US" w:eastAsia="zh-CN"/>
              </w:rPr>
              <w:t>见附录B.6。</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危险化学品</w:t>
            </w:r>
            <w:r>
              <w:rPr>
                <w:rFonts w:ascii="Times New Roman" w:hAnsi="Times New Roman" w:eastAsia="宋体"/>
                <w:sz w:val="18"/>
                <w:szCs w:val="18"/>
                <w:highlight w:val="none"/>
              </w:rPr>
              <w:t>使用</w:t>
            </w:r>
          </w:p>
        </w:tc>
        <w:tc>
          <w:tcPr>
            <w:tcW w:w="6754" w:type="dxa"/>
            <w:noWrap w:val="0"/>
            <w:vAlign w:val="center"/>
          </w:tcPr>
          <w:p>
            <w:pPr>
              <w:pStyle w:val="128"/>
              <w:spacing w:line="240" w:lineRule="atLeast"/>
              <w:ind w:firstLine="0" w:firstLineChars="0"/>
              <w:rPr>
                <w:rFonts w:ascii="Times New Roman" w:hAnsi="Times New Roman" w:eastAsia="宋体"/>
                <w:color w:val="0000FF"/>
                <w:sz w:val="18"/>
                <w:szCs w:val="18"/>
                <w:highlight w:val="none"/>
              </w:rPr>
            </w:pPr>
            <w:r>
              <w:rPr>
                <w:rFonts w:hint="eastAsia" w:ascii="Times New Roman" w:hAnsi="Times New Roman" w:eastAsia="宋体"/>
                <w:color w:val="0000FF"/>
                <w:sz w:val="18"/>
                <w:szCs w:val="18"/>
                <w:highlight w:val="none"/>
                <w:lang w:val="en-US" w:eastAsia="zh-CN"/>
              </w:rPr>
              <w:t>危险化学品</w:t>
            </w:r>
            <w:r>
              <w:rPr>
                <w:rFonts w:ascii="Times New Roman" w:hAnsi="Times New Roman" w:eastAsia="宋体"/>
                <w:color w:val="0000FF"/>
                <w:sz w:val="18"/>
                <w:szCs w:val="18"/>
                <w:highlight w:val="none"/>
              </w:rPr>
              <w:t>的贮存、输送、生产和使用场所，应设置环境风险防范和应急</w:t>
            </w:r>
            <w:r>
              <w:rPr>
                <w:rFonts w:hint="eastAsia" w:ascii="Times New Roman" w:hAnsi="Times New Roman" w:eastAsia="宋体"/>
                <w:color w:val="0000FF"/>
                <w:sz w:val="18"/>
                <w:szCs w:val="18"/>
                <w:highlight w:val="none"/>
              </w:rPr>
              <w:t>处置</w:t>
            </w:r>
            <w:r>
              <w:rPr>
                <w:rFonts w:ascii="Times New Roman" w:hAnsi="Times New Roman" w:eastAsia="宋体"/>
                <w:color w:val="0000FF"/>
                <w:sz w:val="18"/>
                <w:szCs w:val="18"/>
                <w:highlight w:val="none"/>
              </w:rPr>
              <w:t>设施</w:t>
            </w:r>
            <w:r>
              <w:rPr>
                <w:rFonts w:hint="eastAsia" w:ascii="Times New Roman" w:hAnsi="Times New Roman" w:eastAsia="宋体"/>
                <w:color w:val="0000FF"/>
                <w:sz w:val="18"/>
                <w:szCs w:val="18"/>
                <w:highlight w:val="none"/>
              </w:rPr>
              <w:t>，并配置相应的应急物资</w:t>
            </w:r>
            <w:r>
              <w:rPr>
                <w:rFonts w:ascii="Times New Roman" w:hAnsi="Times New Roman" w:eastAsia="宋体"/>
                <w:color w:val="0000FF"/>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180" w:firstLineChars="100"/>
              <w:rPr>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eastAsia="zh-CN"/>
              </w:rPr>
            </w:pPr>
            <w:r>
              <w:rPr>
                <w:rFonts w:hint="eastAsia"/>
                <w:sz w:val="18"/>
                <w:szCs w:val="18"/>
                <w:highlight w:val="none"/>
              </w:rPr>
              <w:t>2</w:t>
            </w:r>
            <w:r>
              <w:rPr>
                <w:rFonts w:hint="eastAsia"/>
                <w:sz w:val="18"/>
                <w:szCs w:val="18"/>
                <w:highlight w:val="none"/>
                <w:lang w:val="en-US" w:eastAsia="zh-CN"/>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color w:val="0000FF"/>
                <w:sz w:val="18"/>
                <w:szCs w:val="18"/>
                <w:highlight w:val="none"/>
              </w:rPr>
            </w:pPr>
            <w:r>
              <w:rPr>
                <w:rFonts w:hint="eastAsia" w:ascii="Times New Roman" w:hAnsi="Times New Roman" w:eastAsia="宋体"/>
                <w:color w:val="0000FF"/>
                <w:sz w:val="18"/>
                <w:szCs w:val="18"/>
                <w:highlight w:val="none"/>
              </w:rPr>
              <w:t>应减少</w:t>
            </w:r>
            <w:r>
              <w:rPr>
                <w:rFonts w:hint="eastAsia" w:ascii="Times New Roman" w:hAnsi="Times New Roman" w:eastAsia="宋体"/>
                <w:color w:val="0000FF"/>
                <w:sz w:val="18"/>
                <w:szCs w:val="18"/>
                <w:highlight w:val="none"/>
                <w:lang w:val="en-US" w:eastAsia="zh-CN"/>
              </w:rPr>
              <w:t>危险化学品</w:t>
            </w:r>
            <w:r>
              <w:rPr>
                <w:rFonts w:hint="eastAsia" w:ascii="Times New Roman" w:hAnsi="Times New Roman" w:eastAsia="宋体"/>
                <w:color w:val="0000FF"/>
                <w:sz w:val="18"/>
                <w:szCs w:val="18"/>
                <w:highlight w:val="none"/>
              </w:rPr>
              <w:t>的使用，避免泄漏</w:t>
            </w:r>
            <w:r>
              <w:rPr>
                <w:rFonts w:ascii="Times New Roman" w:hAnsi="Times New Roman" w:eastAsia="宋体"/>
                <w:color w:val="0000FF"/>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减碳</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宜采用适用的标准或规范对产品进行碳足迹核算或核查。</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取值</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宜利用核算或核查结果对其产品的碳足迹进行改善。核算或核查结果宜对外公布。</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回收利用</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应加强</w:t>
            </w:r>
            <w:r>
              <w:rPr>
                <w:rFonts w:hint="eastAsia" w:ascii="Times New Roman" w:hAnsi="Times New Roman" w:eastAsia="宋体"/>
                <w:sz w:val="18"/>
                <w:szCs w:val="18"/>
                <w:highlight w:val="none"/>
              </w:rPr>
              <w:t>废渣</w:t>
            </w:r>
            <w:r>
              <w:rPr>
                <w:rFonts w:ascii="Times New Roman" w:hAnsi="Times New Roman" w:eastAsia="宋体"/>
                <w:sz w:val="18"/>
                <w:szCs w:val="18"/>
                <w:highlight w:val="none"/>
              </w:rPr>
              <w:t>、废水、废气等资源综合利用，提高二次资源应用。</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宜加强水资源管理，并加强城市中水、海水、雨水等非常规水资源利用，减少淡水资源消耗。</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top"/>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适用时，宜按照GB/T 20862的要求计算其产品的可回收利用率，并宜利用计算结果对产品的可回收利用率进行改善。</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包装</w:t>
            </w:r>
          </w:p>
        </w:tc>
        <w:tc>
          <w:tcPr>
            <w:tcW w:w="6754" w:type="dxa"/>
            <w:noWrap w:val="0"/>
            <w:vAlign w:val="top"/>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工厂宜采用适用的标准或规范对生产的产品进行包装、标志、运输和储存，并宜按照GB</w:t>
            </w:r>
            <w:r>
              <w:rPr>
                <w:rFonts w:hint="eastAsia" w:ascii="Times New Roman" w:hAnsi="Times New Roman" w:eastAsia="宋体"/>
                <w:sz w:val="18"/>
                <w:szCs w:val="18"/>
                <w:highlight w:val="none"/>
                <w:lang w:val="en-US" w:eastAsia="zh-CN"/>
              </w:rPr>
              <w:t xml:space="preserve"> </w:t>
            </w:r>
            <w:r>
              <w:rPr>
                <w:rFonts w:hint="eastAsia" w:ascii="Times New Roman" w:hAnsi="Times New Roman" w:eastAsia="宋体"/>
                <w:sz w:val="18"/>
                <w:szCs w:val="18"/>
                <w:highlight w:val="none"/>
              </w:rPr>
              <w:t>39176对生产的产品 包装、标志、运输和储存进行评价。</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noWrap w:val="0"/>
            <w:vAlign w:val="center"/>
          </w:tcPr>
          <w:p>
            <w:pPr>
              <w:adjustRightInd w:val="0"/>
              <w:snapToGrid w:val="0"/>
              <w:spacing w:line="240" w:lineRule="atLeast"/>
              <w:ind w:firstLine="0" w:firstLineChars="0"/>
              <w:jc w:val="center"/>
              <w:rPr>
                <w:sz w:val="18"/>
                <w:szCs w:val="18"/>
                <w:highlight w:val="none"/>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bottom"/>
          </w:tcPr>
          <w:p>
            <w:pPr>
              <w:adjustRightInd w:val="0"/>
              <w:snapToGrid w:val="0"/>
              <w:spacing w:line="240" w:lineRule="atLeast"/>
              <w:ind w:firstLine="0" w:firstLineChars="0"/>
              <w:jc w:val="center"/>
              <w:rPr>
                <w:sz w:val="18"/>
                <w:szCs w:val="18"/>
                <w:highlight w:val="none"/>
              </w:rPr>
            </w:pPr>
            <w:r>
              <w:rPr>
                <w:sz w:val="18"/>
                <w:szCs w:val="18"/>
                <w:highlight w:val="none"/>
              </w:rPr>
              <w:t>5</w:t>
            </w:r>
          </w:p>
        </w:tc>
        <w:tc>
          <w:tcPr>
            <w:tcW w:w="1158" w:type="dxa"/>
            <w:vMerge w:val="restart"/>
            <w:noWrap w:val="0"/>
            <w:vAlign w:val="bottom"/>
          </w:tcPr>
          <w:p>
            <w:pPr>
              <w:adjustRightInd w:val="0"/>
              <w:snapToGrid w:val="0"/>
              <w:spacing w:line="240" w:lineRule="atLeast"/>
              <w:ind w:firstLine="0" w:firstLineChars="0"/>
              <w:rPr>
                <w:sz w:val="18"/>
                <w:szCs w:val="18"/>
                <w:highlight w:val="none"/>
              </w:rPr>
            </w:pPr>
            <w:r>
              <w:rPr>
                <w:sz w:val="18"/>
                <w:szCs w:val="18"/>
                <w:highlight w:val="none"/>
              </w:rPr>
              <w:t>环境排放</w:t>
            </w: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大气污染物</w:t>
            </w:r>
          </w:p>
        </w:tc>
        <w:tc>
          <w:tcPr>
            <w:tcW w:w="6754" w:type="dxa"/>
            <w:vMerge w:val="restart"/>
            <w:noWrap w:val="0"/>
            <w:vAlign w:val="center"/>
          </w:tcPr>
          <w:p>
            <w:pPr>
              <w:pStyle w:val="64"/>
              <w:adjustRightInd w:val="0"/>
              <w:snapToGrid w:val="0"/>
              <w:spacing w:line="240" w:lineRule="atLeast"/>
              <w:ind w:firstLine="0" w:firstLineChars="0"/>
              <w:jc w:val="both"/>
              <w:rPr>
                <w:rFonts w:ascii="Times New Roman"/>
                <w:sz w:val="18"/>
                <w:szCs w:val="18"/>
              </w:rPr>
            </w:pPr>
            <w:r>
              <w:rPr>
                <w:rFonts w:ascii="Times New Roman"/>
                <w:sz w:val="18"/>
                <w:szCs w:val="18"/>
              </w:rPr>
              <w:t>大气污染物排放应符合相关国家标准、行业标准及地方标准要求，</w:t>
            </w:r>
            <w:r>
              <w:rPr>
                <w:rFonts w:hint="eastAsia" w:ascii="Times New Roman"/>
                <w:sz w:val="18"/>
                <w:szCs w:val="18"/>
              </w:rPr>
              <w:t>按照</w:t>
            </w:r>
            <w:r>
              <w:rPr>
                <w:rFonts w:ascii="Times New Roman"/>
                <w:sz w:val="18"/>
                <w:szCs w:val="18"/>
              </w:rPr>
              <w:t>HJ 1125的要求申请排污许可证，符合排污许可证要求并满足区域内排放总量控制要求。主要污染物排放应符合GB 26451要求。</w:t>
            </w:r>
          </w:p>
          <w:p>
            <w:pPr>
              <w:pStyle w:val="64"/>
              <w:adjustRightInd w:val="0"/>
              <w:snapToGrid w:val="0"/>
              <w:spacing w:line="240" w:lineRule="atLeast"/>
              <w:ind w:firstLine="0" w:firstLineChars="0"/>
              <w:jc w:val="center"/>
              <w:rPr>
                <w:rFonts w:ascii="Times New Roman"/>
                <w:sz w:val="18"/>
                <w:szCs w:val="18"/>
              </w:rPr>
            </w:pPr>
          </w:p>
        </w:tc>
        <w:tc>
          <w:tcPr>
            <w:tcW w:w="141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vMerge w:val="restart"/>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r>
              <w:rPr>
                <w:sz w:val="18"/>
                <w:szCs w:val="18"/>
                <w:highlight w:val="none"/>
              </w:rPr>
              <w:t>5</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15%</w:t>
            </w: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vMerge w:val="continue"/>
            <w:noWrap w:val="0"/>
            <w:vAlign w:val="center"/>
          </w:tcPr>
          <w:p>
            <w:pPr>
              <w:pStyle w:val="128"/>
              <w:spacing w:line="240" w:lineRule="atLeast"/>
              <w:ind w:firstLine="0" w:firstLineChars="0"/>
              <w:jc w:val="both"/>
              <w:rPr>
                <w:rFonts w:ascii="Times New Roman" w:hAnsi="Times New Roman" w:eastAsia="宋体"/>
                <w:sz w:val="18"/>
                <w:szCs w:val="18"/>
                <w:highlight w:val="none"/>
              </w:rPr>
            </w:pPr>
          </w:p>
        </w:tc>
        <w:tc>
          <w:tcPr>
            <w:tcW w:w="1418" w:type="dxa"/>
            <w:vMerge w:val="continue"/>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水污染物</w:t>
            </w: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rPr>
              <w:t>水污染物排放应符合相关国家标准、行业标准及地方标准要求，</w:t>
            </w:r>
            <w:r>
              <w:rPr>
                <w:rFonts w:hint="eastAsia" w:ascii="Times New Roman" w:hAnsi="Times New Roman" w:eastAsia="宋体"/>
                <w:sz w:val="18"/>
                <w:szCs w:val="18"/>
              </w:rPr>
              <w:t>按照</w:t>
            </w:r>
            <w:r>
              <w:rPr>
                <w:rFonts w:ascii="Times New Roman" w:hAnsi="Times New Roman" w:eastAsia="宋体"/>
                <w:sz w:val="18"/>
                <w:szCs w:val="18"/>
              </w:rPr>
              <w:t>HJ 1125的要求申请排污许可证，符合排污许可证要求并满足区域内排放总量控制要求。主要污染物排放应符合GB 26451要求。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固体废物</w:t>
            </w: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highlight w:val="none"/>
              </w:rPr>
              <w:t>工厂一般工业固体废物的处置应符合GB 18599及相关标准的要求。工厂无法自行处理的，应将固体废物转交给具备相应能力和资质的处理单位进行处理。放射性固体废物</w:t>
            </w:r>
            <w:r>
              <w:rPr>
                <w:rFonts w:hint="eastAsia" w:ascii="Times New Roman" w:hAnsi="Times New Roman" w:eastAsia="宋体"/>
                <w:sz w:val="18"/>
                <w:szCs w:val="18"/>
                <w:highlight w:val="none"/>
              </w:rPr>
              <w:t>的处置</w:t>
            </w:r>
            <w:r>
              <w:rPr>
                <w:rFonts w:ascii="Times New Roman" w:hAnsi="Times New Roman" w:eastAsia="宋体"/>
                <w:sz w:val="18"/>
                <w:szCs w:val="18"/>
                <w:highlight w:val="none"/>
              </w:rPr>
              <w:t>应符合GB 14500及GB 11806的要求。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噪声</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厂界环境噪声排放应符合GB 12348的要求。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温室气体</w:t>
            </w: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highlight w:val="none"/>
              </w:rPr>
              <w:t>应采用GB/T 32150或适用的标准或规范对其厂界范围内的温室气体排放进行核算和报告。</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1</w:t>
            </w:r>
            <w:r>
              <w:rPr>
                <w:sz w:val="18"/>
                <w:szCs w:val="18"/>
                <w:highlight w:val="none"/>
              </w:rPr>
              <w:t>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宜获得温室气体排放量第三方核查声明。</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5</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宜利用核查结果对其温室气体的排放进行改善。</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核查结果宜对外公布。</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6</w:t>
            </w:r>
          </w:p>
        </w:tc>
        <w:tc>
          <w:tcPr>
            <w:tcW w:w="1158" w:type="dxa"/>
            <w:vMerge w:val="restart"/>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绩效</w:t>
            </w: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用地集约化</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36132附录A计算工厂容积率，</w:t>
            </w:r>
            <w:r>
              <w:rPr>
                <w:rFonts w:hint="eastAsia" w:ascii="Times New Roman" w:hAnsi="Times New Roman" w:eastAsia="宋体"/>
                <w:sz w:val="18"/>
                <w:szCs w:val="18"/>
                <w:highlight w:val="none"/>
              </w:rPr>
              <w:t>指标应符合项目属地工业项目控制指标中的要求</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restart"/>
            <w:noWrap w:val="0"/>
            <w:vAlign w:val="center"/>
          </w:tcPr>
          <w:p>
            <w:pPr>
              <w:adjustRightInd w:val="0"/>
              <w:snapToGrid w:val="0"/>
              <w:spacing w:line="240" w:lineRule="atLeast"/>
              <w:ind w:firstLine="0" w:firstLineChars="0"/>
              <w:jc w:val="center"/>
              <w:rPr>
                <w:sz w:val="18"/>
                <w:szCs w:val="18"/>
                <w:highlight w:val="none"/>
              </w:rPr>
            </w:pPr>
            <w:r>
              <w:rPr>
                <w:sz w:val="18"/>
                <w:szCs w:val="18"/>
                <w:highlight w:val="none"/>
              </w:rPr>
              <w:t>30%</w:t>
            </w: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36132附录A计算工厂容积率，指标宜达到</w:t>
            </w:r>
            <w:r>
              <w:rPr>
                <w:rFonts w:hint="eastAsia" w:ascii="Times New Roman" w:hAnsi="Times New Roman" w:eastAsia="宋体"/>
                <w:sz w:val="18"/>
                <w:szCs w:val="18"/>
                <w:highlight w:val="none"/>
              </w:rPr>
              <w:t>地方要求的1.2倍</w:t>
            </w:r>
            <w:r>
              <w:rPr>
                <w:rFonts w:ascii="Times New Roman" w:hAnsi="Times New Roman" w:eastAsia="宋体"/>
                <w:sz w:val="18"/>
                <w:szCs w:val="18"/>
                <w:highlight w:val="none"/>
              </w:rPr>
              <w:t>及以上，1.5</w:t>
            </w:r>
            <w:r>
              <w:rPr>
                <w:rFonts w:hint="eastAsia" w:ascii="Times New Roman" w:hAnsi="Times New Roman" w:eastAsia="宋体"/>
                <w:sz w:val="18"/>
                <w:szCs w:val="18"/>
                <w:highlight w:val="none"/>
              </w:rPr>
              <w:t>倍</w:t>
            </w:r>
            <w:r>
              <w:rPr>
                <w:rFonts w:ascii="Times New Roman" w:hAnsi="Times New Roman" w:eastAsia="宋体"/>
                <w:sz w:val="18"/>
                <w:szCs w:val="18"/>
                <w:highlight w:val="none"/>
              </w:rPr>
              <w:t>及以上为满分。</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36132附录A计算工厂建筑密度，建筑密度不应低于</w:t>
            </w:r>
            <w:r>
              <w:rPr>
                <w:rFonts w:ascii="Times New Roman" w:hAnsi="Times New Roman" w:eastAsia="宋体"/>
                <w:color w:val="0000FF"/>
                <w:sz w:val="18"/>
                <w:szCs w:val="18"/>
                <w:highlight w:val="none"/>
              </w:rPr>
              <w:t>50%</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按照GB/T 36132附录A计算工厂建筑密度，建筑密度宜达到</w:t>
            </w:r>
            <w:r>
              <w:rPr>
                <w:rFonts w:ascii="Times New Roman" w:hAnsi="Times New Roman" w:eastAsia="宋体"/>
                <w:color w:val="0000FF"/>
                <w:sz w:val="18"/>
                <w:szCs w:val="18"/>
                <w:highlight w:val="none"/>
              </w:rPr>
              <w:t>70%</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highlight w:val="none"/>
              </w:rPr>
              <w:t>工厂的单位用地面积产值不应低于地方发布的单位用地面积产值的要求；未发布单位用地面积产值的地区，单位用地面积产值应超过本年度所在省市的单位用地面积产值。</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ascii="Times New Roman" w:hAnsi="Times New Roman" w:eastAsia="宋体"/>
                <w:sz w:val="18"/>
                <w:szCs w:val="18"/>
                <w:highlight w:val="none"/>
              </w:rPr>
              <w:t>单位用地面积产值宜达到地方发布的单位用地面积产值的要求的1.2倍及以上，2倍为满分；未发布单位用地面积产值的地区，单位用地面积产值宜达到本年度所在省市的单位用地面积产值1.2倍及以上，2倍为满分。</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rFonts w:hint="eastAsia"/>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原料</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无害化</w:t>
            </w:r>
          </w:p>
        </w:tc>
        <w:tc>
          <w:tcPr>
            <w:tcW w:w="6754" w:type="dxa"/>
            <w:noWrap w:val="0"/>
            <w:vAlign w:val="center"/>
          </w:tcPr>
          <w:p>
            <w:pPr>
              <w:pStyle w:val="128"/>
              <w:spacing w:line="240" w:lineRule="atLeast"/>
              <w:ind w:firstLine="0" w:firstLineChars="0"/>
              <w:jc w:val="both"/>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鼓励或者提倡使用经过无害化处理的稀土二次资源作为原材料进行资源综合利用，提高二次资源使用率，并提高稀土资源的回收率。工厂宜按照ISO14021的要求对稀土二次资源的使用进行声明。</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10</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生产</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洁净化</w:t>
            </w: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hint="eastAsia" w:ascii="Times New Roman" w:hAnsi="Times New Roman" w:eastAsia="宋体"/>
                <w:sz w:val="18"/>
                <w:szCs w:val="18"/>
                <w:highlight w:val="none"/>
              </w:rPr>
              <w:t>所有产品</w:t>
            </w:r>
            <w:r>
              <w:rPr>
                <w:rFonts w:ascii="Times New Roman" w:hAnsi="Times New Roman" w:eastAsia="宋体"/>
                <w:sz w:val="18"/>
                <w:szCs w:val="18"/>
                <w:highlight w:val="none"/>
              </w:rPr>
              <w:t>单位产品</w:t>
            </w:r>
            <w:r>
              <w:rPr>
                <w:rFonts w:hint="eastAsia" w:ascii="Times New Roman" w:hAnsi="Times New Roman" w:eastAsia="宋体"/>
                <w:sz w:val="18"/>
                <w:szCs w:val="18"/>
                <w:highlight w:val="none"/>
              </w:rPr>
              <w:t>固体</w:t>
            </w:r>
            <w:r>
              <w:rPr>
                <w:rFonts w:ascii="Times New Roman" w:hAnsi="Times New Roman" w:eastAsia="宋体"/>
                <w:sz w:val="18"/>
                <w:szCs w:val="18"/>
                <w:highlight w:val="none"/>
              </w:rPr>
              <w:t>污染物产生量</w:t>
            </w:r>
            <w:r>
              <w:rPr>
                <w:rFonts w:hint="eastAsia" w:ascii="Times New Roman" w:hAnsi="Times New Roman" w:eastAsia="宋体"/>
                <w:sz w:val="18"/>
                <w:szCs w:val="18"/>
                <w:highlight w:val="none"/>
              </w:rPr>
              <w:t>达到II级要求</w:t>
            </w:r>
            <w:r>
              <w:rPr>
                <w:rFonts w:ascii="Times New Roman" w:hAnsi="Times New Roman" w:eastAsia="宋体"/>
                <w:sz w:val="18"/>
                <w:szCs w:val="18"/>
                <w:highlight w:val="none"/>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固体</w:t>
            </w:r>
            <w:r>
              <w:rPr>
                <w:rFonts w:ascii="Times New Roman" w:hAnsi="Times New Roman" w:eastAsia="宋体"/>
                <w:sz w:val="18"/>
                <w:szCs w:val="18"/>
              </w:rPr>
              <w:t>污染物产生量</w:t>
            </w:r>
            <w:r>
              <w:rPr>
                <w:rFonts w:hint="eastAsia" w:ascii="Times New Roman" w:hAnsi="Times New Roman" w:eastAsia="宋体"/>
                <w:sz w:val="18"/>
                <w:szCs w:val="18"/>
              </w:rPr>
              <w:t>达到I级要求</w:t>
            </w:r>
            <w:r>
              <w:rPr>
                <w:rFonts w:ascii="Times New Roman" w:hAnsi="Times New Roman" w:eastAsia="宋体"/>
                <w:sz w:val="18"/>
                <w:szCs w:val="18"/>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气体污染物指标达到II级要求</w:t>
            </w:r>
            <w:r>
              <w:rPr>
                <w:rFonts w:ascii="Times New Roman" w:hAnsi="Times New Roman" w:eastAsia="宋体"/>
                <w:sz w:val="18"/>
                <w:szCs w:val="18"/>
              </w:rPr>
              <w:t>。</w:t>
            </w:r>
          </w:p>
        </w:tc>
        <w:tc>
          <w:tcPr>
            <w:tcW w:w="1418" w:type="dxa"/>
            <w:tcBorders>
              <w:top w:val="single" w:color="auto" w:sz="4" w:space="0"/>
              <w:bottom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气体污染物指标达到I级要求</w:t>
            </w:r>
            <w:r>
              <w:rPr>
                <w:rFonts w:ascii="Times New Roman" w:hAnsi="Times New Roman" w:eastAsia="宋体"/>
                <w:sz w:val="18"/>
                <w:szCs w:val="18"/>
              </w:rPr>
              <w:t>。</w:t>
            </w:r>
          </w:p>
        </w:tc>
        <w:tc>
          <w:tcPr>
            <w:tcW w:w="1418" w:type="dxa"/>
            <w:tcBorders>
              <w:top w:val="single" w:color="auto" w:sz="4" w:space="0"/>
            </w:tcBorders>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废水指标应达到II级要求。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jc w:val="both"/>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废水指标应达到I级要求。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资源综合利用</w:t>
            </w:r>
          </w:p>
        </w:tc>
        <w:tc>
          <w:tcPr>
            <w:tcW w:w="6754" w:type="dxa"/>
            <w:noWrap w:val="0"/>
            <w:vAlign w:val="center"/>
          </w:tcPr>
          <w:p>
            <w:pPr>
              <w:pStyle w:val="128"/>
              <w:spacing w:line="240" w:lineRule="auto"/>
              <w:ind w:firstLine="0" w:firstLineChars="0"/>
              <w:jc w:val="both"/>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资源综合利用指标达到II级要求。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color w:val="000000"/>
                <w:sz w:val="18"/>
                <w:szCs w:val="18"/>
                <w:highlight w:val="none"/>
                <w:lang w:val="en-US" w:eastAsia="zh-CN"/>
              </w:rPr>
              <w:t>18</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jc w:val="both"/>
              <w:rPr>
                <w:rFonts w:ascii="Times New Roman" w:hAnsi="Times New Roman" w:eastAsia="宋体"/>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资源综合利用指标达到I级要求</w:t>
            </w:r>
            <w:r>
              <w:rPr>
                <w:rFonts w:ascii="Times New Roman" w:hAnsi="Times New Roman" w:eastAsia="宋体"/>
                <w:sz w:val="18"/>
                <w:szCs w:val="18"/>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rFonts w:hint="default" w:eastAsia="宋体"/>
                <w:sz w:val="18"/>
                <w:szCs w:val="18"/>
                <w:highlight w:val="none"/>
                <w:lang w:val="en-US" w:eastAsia="zh-CN"/>
              </w:rPr>
            </w:pPr>
            <w:r>
              <w:rPr>
                <w:rFonts w:hint="eastAsia"/>
                <w:color w:val="000000"/>
                <w:sz w:val="18"/>
                <w:szCs w:val="18"/>
                <w:highlight w:val="none"/>
                <w:lang w:val="en-US" w:eastAsia="zh-CN"/>
              </w:rPr>
              <w:t>12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restart"/>
            <w:noWrap w:val="0"/>
            <w:vAlign w:val="center"/>
          </w:tcPr>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能源</w:t>
            </w:r>
          </w:p>
          <w:p>
            <w:pPr>
              <w:pStyle w:val="128"/>
              <w:spacing w:line="240" w:lineRule="atLeast"/>
              <w:ind w:firstLine="0" w:firstLineChars="0"/>
              <w:jc w:val="center"/>
              <w:rPr>
                <w:rFonts w:ascii="Times New Roman" w:hAnsi="Times New Roman" w:eastAsia="宋体"/>
                <w:sz w:val="18"/>
                <w:szCs w:val="18"/>
                <w:highlight w:val="none"/>
              </w:rPr>
            </w:pPr>
            <w:r>
              <w:rPr>
                <w:rFonts w:ascii="Times New Roman" w:hAnsi="Times New Roman" w:eastAsia="宋体"/>
                <w:sz w:val="18"/>
                <w:szCs w:val="18"/>
                <w:highlight w:val="none"/>
              </w:rPr>
              <w:t>低碳化</w:t>
            </w:r>
          </w:p>
        </w:tc>
        <w:tc>
          <w:tcPr>
            <w:tcW w:w="6754" w:type="dxa"/>
            <w:noWrap w:val="0"/>
            <w:vAlign w:val="center"/>
          </w:tcPr>
          <w:p>
            <w:pPr>
              <w:pStyle w:val="128"/>
              <w:spacing w:line="240" w:lineRule="auto"/>
              <w:ind w:firstLine="0" w:firstLineChars="0"/>
              <w:rPr>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资源综合利用指标达到II级要求。</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restart"/>
            <w:noWrap w:val="0"/>
            <w:vAlign w:val="center"/>
          </w:tcPr>
          <w:p>
            <w:pPr>
              <w:pStyle w:val="128"/>
              <w:spacing w:line="240" w:lineRule="atLeast"/>
              <w:ind w:firstLine="0" w:firstLineChars="0"/>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val="en-US" w:eastAsia="zh-CN"/>
              </w:rPr>
              <w:t>零整</w:t>
            </w: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6</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uto"/>
              <w:ind w:firstLine="0" w:firstLineChars="0"/>
              <w:rPr>
                <w:sz w:val="18"/>
                <w:szCs w:val="18"/>
                <w:highlight w:val="none"/>
              </w:rPr>
            </w:pPr>
            <w:r>
              <w:rPr>
                <w:rFonts w:hint="eastAsia" w:ascii="Times New Roman" w:hAnsi="Times New Roman" w:eastAsia="宋体"/>
                <w:sz w:val="18"/>
                <w:szCs w:val="18"/>
              </w:rPr>
              <w:t>所有产品</w:t>
            </w:r>
            <w:r>
              <w:rPr>
                <w:rFonts w:ascii="Times New Roman" w:hAnsi="Times New Roman" w:eastAsia="宋体"/>
                <w:sz w:val="18"/>
                <w:szCs w:val="18"/>
              </w:rPr>
              <w:t>单位产品</w:t>
            </w:r>
            <w:r>
              <w:rPr>
                <w:rFonts w:hint="eastAsia" w:ascii="Times New Roman" w:hAnsi="Times New Roman" w:eastAsia="宋体"/>
                <w:sz w:val="18"/>
                <w:szCs w:val="18"/>
              </w:rPr>
              <w:t>资源综合利用指标达到I级要求</w:t>
            </w:r>
            <w:r>
              <w:rPr>
                <w:rFonts w:ascii="Times New Roman" w:hAnsi="Times New Roman" w:eastAsia="宋体"/>
                <w:sz w:val="18"/>
                <w:szCs w:val="18"/>
              </w:rPr>
              <w:t>。</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4</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应按照GB/T 36132附录A计算单位产品碳排放量。</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3</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5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1193"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6754" w:type="dxa"/>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碳排放量宜逐年下降。</w:t>
            </w:r>
          </w:p>
        </w:tc>
        <w:tc>
          <w:tcPr>
            <w:tcW w:w="1418" w:type="dxa"/>
            <w:noWrap w:val="0"/>
            <w:vAlign w:val="center"/>
          </w:tcPr>
          <w:p>
            <w:pPr>
              <w:pStyle w:val="128"/>
              <w:spacing w:line="240" w:lineRule="atLeast"/>
              <w:ind w:firstLine="0" w:firstLineChars="0"/>
              <w:rPr>
                <w:rFonts w:ascii="Times New Roman" w:hAnsi="Times New Roman" w:eastAsia="宋体"/>
                <w:sz w:val="18"/>
                <w:szCs w:val="18"/>
                <w:highlight w:val="none"/>
              </w:rPr>
            </w:pPr>
          </w:p>
        </w:tc>
        <w:tc>
          <w:tcPr>
            <w:tcW w:w="992" w:type="dxa"/>
            <w:vMerge w:val="continue"/>
            <w:noWrap w:val="0"/>
            <w:vAlign w:val="center"/>
          </w:tcPr>
          <w:p>
            <w:pPr>
              <w:pStyle w:val="128"/>
              <w:spacing w:line="240" w:lineRule="atLeast"/>
              <w:ind w:firstLine="0" w:firstLineChars="0"/>
              <w:jc w:val="center"/>
              <w:rPr>
                <w:rFonts w:ascii="Times New Roman" w:hAnsi="Times New Roman" w:eastAsia="宋体"/>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r>
              <w:rPr>
                <w:color w:val="000000"/>
                <w:sz w:val="18"/>
                <w:szCs w:val="18"/>
                <w:highlight w:val="none"/>
              </w:rPr>
              <w:t>2</w:t>
            </w:r>
          </w:p>
        </w:tc>
        <w:tc>
          <w:tcPr>
            <w:tcW w:w="708" w:type="dxa"/>
            <w:vMerge w:val="continue"/>
            <w:noWrap w:val="0"/>
            <w:vAlign w:val="center"/>
          </w:tcPr>
          <w:p>
            <w:pPr>
              <w:adjustRightInd w:val="0"/>
              <w:snapToGrid w:val="0"/>
              <w:spacing w:line="240" w:lineRule="atLeast"/>
              <w:ind w:firstLine="0" w:firstLineChars="0"/>
              <w:jc w:val="center"/>
              <w:rPr>
                <w:sz w:val="18"/>
                <w:szCs w:val="18"/>
                <w:highlight w:val="none"/>
              </w:rPr>
            </w:pP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13603" w:type="dxa"/>
            <w:gridSpan w:val="8"/>
            <w:noWrap w:val="0"/>
            <w:vAlign w:val="center"/>
          </w:tcPr>
          <w:p>
            <w:pPr>
              <w:pStyle w:val="128"/>
              <w:spacing w:line="240" w:lineRule="atLeast"/>
              <w:ind w:firstLine="0" w:firstLineChars="0"/>
              <w:rPr>
                <w:rFonts w:ascii="Times New Roman" w:hAnsi="Times New Roman" w:eastAsia="宋体"/>
                <w:sz w:val="18"/>
                <w:szCs w:val="18"/>
                <w:highlight w:val="none"/>
              </w:rPr>
            </w:pPr>
            <w:r>
              <w:rPr>
                <w:rFonts w:ascii="Times New Roman" w:hAnsi="Times New Roman" w:eastAsia="宋体"/>
                <w:sz w:val="18"/>
                <w:szCs w:val="18"/>
                <w:highlight w:val="none"/>
              </w:rPr>
              <w:t>总分</w:t>
            </w:r>
          </w:p>
        </w:tc>
        <w:tc>
          <w:tcPr>
            <w:tcW w:w="709" w:type="dxa"/>
            <w:noWrap w:val="0"/>
            <w:vAlign w:val="center"/>
          </w:tcPr>
          <w:p>
            <w:pPr>
              <w:adjustRightInd w:val="0"/>
              <w:snapToGrid w:val="0"/>
              <w:spacing w:line="240" w:lineRule="atLeast"/>
              <w:ind w:firstLine="0" w:firstLineChars="0"/>
              <w:jc w:val="center"/>
              <w:rPr>
                <w:sz w:val="18"/>
                <w:szCs w:val="18"/>
                <w:highlight w:val="none"/>
              </w:rPr>
            </w:pPr>
          </w:p>
        </w:tc>
      </w:tr>
    </w:tbl>
    <w:p>
      <w:pPr>
        <w:rPr>
          <w:highlight w:val="none"/>
        </w:rPr>
        <w:sectPr>
          <w:footerReference r:id="rId17" w:type="default"/>
          <w:footerReference r:id="rId18" w:type="even"/>
          <w:pgSz w:w="16839" w:h="11907" w:orient="landscape"/>
          <w:pgMar w:top="1134" w:right="1134" w:bottom="1418" w:left="1418" w:header="1418" w:footer="851" w:gutter="0"/>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val="0"/>
        <w:snapToGrid w:val="0"/>
        <w:spacing w:before="0" w:after="0" w:line="240" w:lineRule="atLeast"/>
        <w:ind w:left="0" w:leftChars="0" w:firstLine="0" w:firstLineChars="0"/>
        <w:jc w:val="center"/>
        <w:textAlignment w:val="auto"/>
        <w:rPr>
          <w:rFonts w:hint="eastAsia" w:ascii="黑体" w:hAnsi="黑体" w:eastAsia="黑体" w:cs="黑体"/>
          <w:b w:val="0"/>
          <w:bCs w:val="0"/>
          <w:sz w:val="28"/>
          <w:szCs w:val="28"/>
        </w:rPr>
      </w:pPr>
      <w:bookmarkStart w:id="47" w:name="_Toc58969113"/>
      <w:bookmarkStart w:id="48" w:name="_Toc57730000"/>
      <w:bookmarkStart w:id="49" w:name="_Toc19896"/>
      <w:bookmarkStart w:id="50" w:name="_Toc4633"/>
      <w:r>
        <w:rPr>
          <w:rFonts w:hint="eastAsia" w:ascii="黑体" w:hAnsi="黑体" w:eastAsia="黑体" w:cs="黑体"/>
          <w:b w:val="0"/>
          <w:bCs w:val="0"/>
          <w:sz w:val="28"/>
          <w:szCs w:val="28"/>
        </w:rPr>
        <w:t>附录 B</w:t>
      </w:r>
      <w:bookmarkEnd w:id="47"/>
      <w:bookmarkEnd w:id="48"/>
      <w:bookmarkEnd w:id="49"/>
      <w:bookmarkEnd w:id="50"/>
    </w:p>
    <w:p>
      <w:pPr>
        <w:pageBreakBefore w:val="0"/>
        <w:widowControl w:val="0"/>
        <w:kinsoku/>
        <w:wordWrap/>
        <w:overflowPunct/>
        <w:topLinePunct w:val="0"/>
        <w:autoSpaceDE/>
        <w:autoSpaceDN/>
        <w:bidi w:val="0"/>
        <w:spacing w:line="240" w:lineRule="atLeast"/>
        <w:ind w:left="0" w:leftChars="0" w:firstLine="0" w:firstLineChars="0"/>
        <w:jc w:val="center"/>
        <w:textAlignment w:val="auto"/>
      </w:pPr>
      <w:r>
        <w:rPr>
          <w:rFonts w:hint="eastAsia"/>
        </w:rPr>
        <w:t>（规范性）</w:t>
      </w:r>
    </w:p>
    <w:p>
      <w:pPr>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ascii="黑体" w:hAnsi="黑体" w:eastAsia="黑体" w:cs="黑体"/>
        </w:rPr>
      </w:pPr>
      <w:r>
        <w:rPr>
          <w:rFonts w:hint="eastAsia" w:ascii="黑体" w:hAnsi="黑体" w:eastAsia="黑体" w:cs="黑体"/>
        </w:rPr>
        <w:t>取值分值计算方法</w:t>
      </w: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ascii="黑体" w:hAnsi="黑体" w:eastAsia="黑体"/>
        </w:rPr>
        <w:t>B.1</w:t>
      </w:r>
      <w:r>
        <w:rPr>
          <w:rFonts w:hint="eastAsia" w:ascii="黑体" w:hAnsi="黑体" w:eastAsia="黑体"/>
        </w:rPr>
        <w:t>建筑结构评分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建筑结构评分按公式（B</w:t>
      </w:r>
      <w:r>
        <w:t>1</w:t>
      </w:r>
      <w:r>
        <w:rPr>
          <w:rFonts w:hint="eastAsia"/>
        </w:rPr>
        <w:t>）计算。</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S</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S</m:t>
                    </m:r>
                    <m:ctrlPr>
                      <w:rPr>
                        <w:rFonts w:hint="default" w:ascii="Cambria Math" w:hAnsi="Cambria Math"/>
                        <w:i/>
                      </w:rPr>
                    </m:ctrlPr>
                  </m:e>
                  <m:sub>
                    <m:r>
                      <m:rPr/>
                      <w:rPr>
                        <w:rFonts w:hint="eastAsia" w:ascii="Cambria Math" w:hAnsi="Cambria Math"/>
                      </w:rPr>
                      <m:t>总</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m:t>
            </m:r>
            <m:r>
              <m:rPr/>
              <w:rPr>
                <w:rFonts w:hint="default" w:ascii="Cambria Math" w:hAnsi="Cambria Math"/>
                <w:lang w:val="en-US" w:eastAsia="zh-CN"/>
              </w:rPr>
              <m:t>3</m:t>
            </m:r>
            <m:ctrlPr>
              <w:rPr>
                <w:rFonts w:hint="default" w:ascii="Cambria Math" w:hAnsi="Cambria Math"/>
                <w:i/>
              </w:rPr>
            </m:ctrlPr>
          </m:e>
        </m:d>
      </m:oMath>
      <w:r>
        <w:rPr>
          <w:rFonts w:ascii="Cambria Math" w:hAnsi="Cambria Math"/>
          <w:i/>
        </w:rPr>
        <w:t xml:space="preserve"> </w:t>
      </w:r>
      <w:r>
        <w:t>………………(B1)</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1</w:t>
      </w:r>
      <w:r>
        <w:tab/>
      </w:r>
      <w:r>
        <w:rPr>
          <w:rFonts w:hint="eastAsia"/>
        </w:rPr>
        <w:t>该项分值</w:t>
      </w:r>
      <w:r>
        <w:rPr>
          <w:rFonts w:hint="eastAsia" w:ascii="Times New Roman" w:hAnsi="Times New Roman"/>
        </w:rPr>
        <w:t>按照</w:t>
      </w:r>
      <w:r>
        <w:rPr>
          <w:rFonts w:hint="eastAsia"/>
        </w:rPr>
        <w:t>GB/</w:t>
      </w:r>
      <w:r>
        <w:t>T 8170</w:t>
      </w:r>
      <w:r>
        <w:rPr>
          <w:rFonts w:hint="eastAsia"/>
        </w:rPr>
        <w:t>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vertAlign w:val="subscript"/>
        </w:rPr>
        <w:t>1</w:t>
      </w:r>
      <w:r>
        <w:tab/>
      </w:r>
      <w:r>
        <w:rPr>
          <w:rFonts w:hint="eastAsia"/>
        </w:rPr>
        <w:t>采用钢结构、砌体结构和木结构等资源消耗和环境影响小的建筑结构的面积；</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rFonts w:hint="eastAsia"/>
          <w:vertAlign w:val="subscript"/>
        </w:rPr>
        <w:t>总</w:t>
      </w:r>
      <w:r>
        <w:tab/>
      </w:r>
      <w:r>
        <w:rPr>
          <w:rFonts w:hint="eastAsia"/>
        </w:rPr>
        <w:t>总建筑面积。</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1" w:name="_Toc17749"/>
      <w:bookmarkStart w:id="52" w:name="_Toc1985"/>
      <w:r>
        <w:rPr>
          <w:rFonts w:hint="eastAsia"/>
          <w:lang w:val="en-US" w:eastAsia="zh-CN"/>
        </w:rPr>
        <w:t>3</w:t>
      </w:r>
      <w:r>
        <w:tab/>
      </w:r>
      <w:r>
        <w:rPr>
          <w:rFonts w:hint="eastAsia"/>
        </w:rPr>
        <w:t>该项总分</w:t>
      </w:r>
      <w:bookmarkEnd w:id="51"/>
      <w:bookmarkEnd w:id="52"/>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hint="eastAsia" w:ascii="黑体" w:hAnsi="黑体" w:eastAsia="黑体"/>
        </w:rPr>
        <w:t>B</w:t>
      </w:r>
      <w:r>
        <w:rPr>
          <w:rFonts w:ascii="黑体" w:hAnsi="黑体" w:eastAsia="黑体"/>
        </w:rPr>
        <w:t>.2</w:t>
      </w:r>
      <w:r>
        <w:rPr>
          <w:rFonts w:hint="eastAsia" w:ascii="黑体" w:hAnsi="黑体" w:eastAsia="黑体"/>
        </w:rPr>
        <w:t>工厂多层建筑评分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工厂多层建筑评分按公式（B</w:t>
      </w:r>
      <w:r>
        <w:t>2</w:t>
      </w:r>
      <w:r>
        <w:rPr>
          <w:rFonts w:hint="eastAsia"/>
        </w:rPr>
        <w:t>）计算。</w:t>
      </w:r>
    </w:p>
    <w:p>
      <w:pPr>
        <w:pageBreakBefore w:val="0"/>
        <w:widowControl w:val="0"/>
        <w:kinsoku/>
        <w:wordWrap/>
        <w:overflowPunct/>
        <w:topLinePunct w:val="0"/>
        <w:autoSpaceDE/>
        <w:autoSpaceDN/>
        <w:bidi w:val="0"/>
        <w:spacing w:line="240" w:lineRule="atLeast"/>
        <w:ind w:left="0" w:leftChars="0" w:firstLine="0" w:firstLineChars="0"/>
        <w:jc w:val="center"/>
        <w:textAlignment w:val="auto"/>
      </w:pPr>
      <m:oMath>
        <m:sSub>
          <m:sSubPr>
            <m:ctrlPr>
              <w:rPr>
                <w:rFonts w:hint="default" w:ascii="Cambria Math" w:hAnsi="Cambria Math"/>
                <w:i/>
                <w:sz w:val="21"/>
                <w:szCs w:val="24"/>
              </w:rPr>
            </m:ctrlPr>
          </m:sSubPr>
          <m:e>
            <m:r>
              <m:rPr/>
              <w:rPr>
                <w:rFonts w:hint="eastAsia" w:ascii="Cambria Math" w:hAnsi="Cambria Math"/>
                <w:sz w:val="21"/>
                <w:szCs w:val="24"/>
              </w:rPr>
              <m:t>Y</m:t>
            </m:r>
            <m:ctrlPr>
              <w:rPr>
                <w:rFonts w:hint="default" w:ascii="Cambria Math" w:hAnsi="Cambria Math"/>
                <w:i/>
                <w:sz w:val="21"/>
                <w:szCs w:val="24"/>
              </w:rPr>
            </m:ctrlPr>
          </m:e>
          <m:sub>
            <m:r>
              <m:rPr/>
              <w:rPr>
                <w:rFonts w:hint="default" w:ascii="Cambria Math" w:hAnsi="Cambria Math"/>
                <w:sz w:val="21"/>
                <w:szCs w:val="24"/>
              </w:rPr>
              <m:t>2</m:t>
            </m:r>
            <m:ctrlPr>
              <w:rPr>
                <w:rFonts w:hint="default" w:ascii="Cambria Math" w:hAnsi="Cambria Math"/>
                <w:i/>
                <w:sz w:val="21"/>
                <w:szCs w:val="24"/>
              </w:rPr>
            </m:ctrlPr>
          </m:sub>
        </m:sSub>
        <m:r>
          <m:rPr/>
          <w:rPr>
            <w:rFonts w:hint="default" w:ascii="Cambria Math" w:hAnsi="Cambria Math"/>
            <w:sz w:val="21"/>
            <w:szCs w:val="24"/>
          </w:rPr>
          <m:t>=</m:t>
        </m:r>
        <m:d>
          <m:dPr>
            <m:begChr m:val="["/>
            <m:endChr m:val="]"/>
            <m:ctrlPr>
              <w:rPr>
                <w:rFonts w:hint="default" w:ascii="Cambria Math" w:hAnsi="Cambria Math"/>
                <w:i/>
                <w:sz w:val="21"/>
                <w:szCs w:val="24"/>
              </w:rPr>
            </m:ctrlPr>
          </m:dPr>
          <m:e>
            <m:f>
              <m:fPr>
                <m:ctrlPr>
                  <w:rPr>
                    <w:rFonts w:hint="default" w:ascii="Cambria Math" w:hAnsi="Cambria Math"/>
                    <w:i/>
                    <w:sz w:val="21"/>
                    <w:szCs w:val="24"/>
                  </w:rPr>
                </m:ctrlPr>
              </m:fPr>
              <m:num>
                <m:sSub>
                  <m:sSubPr>
                    <m:ctrlPr>
                      <w:rPr>
                        <w:rFonts w:hint="default" w:ascii="Cambria Math" w:hAnsi="Cambria Math"/>
                        <w:i/>
                        <w:sz w:val="21"/>
                        <w:szCs w:val="24"/>
                      </w:rPr>
                    </m:ctrlPr>
                  </m:sSubPr>
                  <m:e>
                    <m:r>
                      <m:rPr/>
                      <w:rPr>
                        <w:rFonts w:hint="eastAsia" w:ascii="Cambria Math" w:hAnsi="Cambria Math"/>
                        <w:sz w:val="21"/>
                        <w:szCs w:val="24"/>
                      </w:rPr>
                      <m:t>S</m:t>
                    </m:r>
                    <m:ctrlPr>
                      <w:rPr>
                        <w:rFonts w:hint="default" w:ascii="Cambria Math" w:hAnsi="Cambria Math"/>
                        <w:i/>
                        <w:sz w:val="21"/>
                        <w:szCs w:val="24"/>
                      </w:rPr>
                    </m:ctrlPr>
                  </m:e>
                  <m:sub>
                    <m:r>
                      <m:rPr/>
                      <w:rPr>
                        <w:rFonts w:hint="default" w:ascii="Cambria Math" w:hAnsi="Cambria Math"/>
                        <w:sz w:val="21"/>
                        <w:szCs w:val="24"/>
                      </w:rPr>
                      <m:t>2</m:t>
                    </m:r>
                    <m:ctrlPr>
                      <w:rPr>
                        <w:rFonts w:hint="default" w:ascii="Cambria Math" w:hAnsi="Cambria Math"/>
                        <w:i/>
                        <w:sz w:val="21"/>
                        <w:szCs w:val="24"/>
                      </w:rPr>
                    </m:ctrlPr>
                  </m:sub>
                </m:sSub>
                <m:ctrlPr>
                  <w:rPr>
                    <w:rFonts w:hint="default" w:ascii="Cambria Math" w:hAnsi="Cambria Math"/>
                    <w:i/>
                    <w:sz w:val="21"/>
                    <w:szCs w:val="24"/>
                  </w:rPr>
                </m:ctrlPr>
              </m:num>
              <m:den>
                <m:sSub>
                  <m:sSubPr>
                    <m:ctrlPr>
                      <w:rPr>
                        <w:rFonts w:hint="default" w:ascii="Cambria Math" w:hAnsi="Cambria Math"/>
                        <w:i/>
                        <w:sz w:val="21"/>
                        <w:szCs w:val="24"/>
                      </w:rPr>
                    </m:ctrlPr>
                  </m:sSubPr>
                  <m:e>
                    <m:r>
                      <m:rPr/>
                      <w:rPr>
                        <w:rFonts w:hint="eastAsia" w:ascii="Cambria Math" w:hAnsi="Cambria Math"/>
                        <w:sz w:val="21"/>
                        <w:szCs w:val="24"/>
                      </w:rPr>
                      <m:t>S</m:t>
                    </m:r>
                    <m:ctrlPr>
                      <w:rPr>
                        <w:rFonts w:hint="default" w:ascii="Cambria Math" w:hAnsi="Cambria Math"/>
                        <w:i/>
                        <w:sz w:val="21"/>
                        <w:szCs w:val="24"/>
                      </w:rPr>
                    </m:ctrlPr>
                  </m:e>
                  <m:sub>
                    <m:r>
                      <m:rPr/>
                      <w:rPr>
                        <w:rFonts w:hint="eastAsia" w:ascii="Cambria Math" w:hAnsi="Cambria Math"/>
                        <w:sz w:val="21"/>
                        <w:szCs w:val="24"/>
                      </w:rPr>
                      <m:t>总</m:t>
                    </m:r>
                    <m:ctrlPr>
                      <w:rPr>
                        <w:rFonts w:hint="default" w:ascii="Cambria Math" w:hAnsi="Cambria Math"/>
                        <w:i/>
                        <w:sz w:val="21"/>
                        <w:szCs w:val="24"/>
                      </w:rPr>
                    </m:ctrlPr>
                  </m:sub>
                </m:sSub>
                <m:ctrlPr>
                  <w:rPr>
                    <w:rFonts w:hint="default" w:ascii="Cambria Math" w:hAnsi="Cambria Math"/>
                    <w:i/>
                    <w:sz w:val="21"/>
                    <w:szCs w:val="24"/>
                  </w:rPr>
                </m:ctrlPr>
              </m:den>
            </m:f>
            <m:r>
              <m:rPr/>
              <w:rPr>
                <w:rFonts w:hint="default" w:ascii="Cambria Math" w:hAnsi="Cambria Math"/>
                <w:sz w:val="21"/>
                <w:szCs w:val="24"/>
              </w:rPr>
              <m:t>×3</m:t>
            </m:r>
            <m:ctrlPr>
              <w:rPr>
                <w:rFonts w:hint="default" w:ascii="Cambria Math" w:hAnsi="Cambria Math"/>
                <w:i/>
                <w:sz w:val="21"/>
                <w:szCs w:val="24"/>
              </w:rPr>
            </m:ctrlPr>
          </m:e>
        </m:d>
      </m:oMath>
      <w:r>
        <w:rPr>
          <w:rFonts w:hint="default" w:ascii="Cambria Math" w:hAnsi="Cambria Math"/>
          <w:i/>
          <w:sz w:val="21"/>
          <w:szCs w:val="24"/>
        </w:rPr>
        <w:t xml:space="preserve"> </w:t>
      </w:r>
      <w:r>
        <w:t xml:space="preserve">    ………………(B2)</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2</w:t>
      </w:r>
      <w:r>
        <w:tab/>
      </w:r>
      <w:r>
        <w:rPr>
          <w:rFonts w:hint="eastAsia"/>
        </w:rPr>
        <w:t>该项分值按照GB/</w:t>
      </w:r>
      <w:r>
        <w:t>T 8170</w:t>
      </w:r>
      <w:r>
        <w:rPr>
          <w:rFonts w:hint="eastAsia"/>
        </w:rPr>
        <w:t>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vertAlign w:val="subscript"/>
        </w:rPr>
        <w:t>2</w:t>
      </w:r>
      <w:r>
        <w:tab/>
      </w:r>
      <w:r>
        <w:rPr>
          <w:rFonts w:hint="eastAsia"/>
        </w:rPr>
        <w:t>为多次建筑的面积；</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rFonts w:hint="eastAsia"/>
          <w:vertAlign w:val="subscript"/>
        </w:rPr>
        <w:t>总</w:t>
      </w:r>
      <w:r>
        <w:tab/>
      </w:r>
      <w:r>
        <w:rPr>
          <w:rFonts w:hint="eastAsia"/>
        </w:rPr>
        <w:t>为总建筑面积；</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3" w:name="_Toc23048"/>
      <w:bookmarkStart w:id="54" w:name="_Toc29526"/>
      <w:r>
        <w:rPr>
          <w:rFonts w:hint="eastAsia"/>
        </w:rPr>
        <w:t>3</w:t>
      </w:r>
      <w:r>
        <w:tab/>
      </w:r>
      <w:r>
        <w:rPr>
          <w:rFonts w:hint="eastAsia"/>
        </w:rPr>
        <w:t>该项总分。</w:t>
      </w:r>
      <w:bookmarkEnd w:id="53"/>
      <w:bookmarkEnd w:id="54"/>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hint="eastAsia" w:ascii="黑体" w:hAnsi="黑体" w:eastAsia="黑体"/>
        </w:rPr>
        <w:t>B</w:t>
      </w:r>
      <w:r>
        <w:rPr>
          <w:rFonts w:ascii="黑体" w:hAnsi="黑体" w:eastAsia="黑体"/>
        </w:rPr>
        <w:t>.3</w:t>
      </w:r>
      <w:r>
        <w:rPr>
          <w:rFonts w:hint="eastAsia" w:ascii="黑体" w:hAnsi="黑体" w:eastAsia="黑体"/>
        </w:rPr>
        <w:t>照明系统分区控制评分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照明系统分区控制评分按公式（B</w:t>
      </w:r>
      <w:r>
        <w:t>3</w:t>
      </w:r>
      <w:r>
        <w:rPr>
          <w:rFonts w:hint="eastAsia"/>
        </w:rPr>
        <w:t>）计算。</w:t>
      </w:r>
    </w:p>
    <w:p>
      <w:pPr>
        <w:pageBreakBefore w:val="0"/>
        <w:widowControl w:val="0"/>
        <w:kinsoku/>
        <w:wordWrap/>
        <w:overflowPunct/>
        <w:topLinePunct w:val="0"/>
        <w:autoSpaceDE/>
        <w:autoSpaceDN/>
        <w:bidi w:val="0"/>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3</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S</m:t>
                    </m:r>
                    <m:ctrlPr>
                      <w:rPr>
                        <w:rFonts w:hint="default" w:ascii="Cambria Math" w:hAnsi="Cambria Math"/>
                        <w:i/>
                      </w:rPr>
                    </m:ctrlPr>
                  </m:e>
                  <m:sub>
                    <m:r>
                      <m:rPr/>
                      <w:rPr>
                        <w:rFonts w:hint="default" w:ascii="Cambria Math" w:hAnsi="Cambria Math"/>
                      </w:rPr>
                      <m:t>3</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S</m:t>
                    </m:r>
                    <m:ctrlPr>
                      <w:rPr>
                        <w:rFonts w:hint="default" w:ascii="Cambria Math" w:hAnsi="Cambria Math"/>
                        <w:i/>
                      </w:rPr>
                    </m:ctrlPr>
                  </m:e>
                  <m:sub>
                    <m:r>
                      <m:rPr/>
                      <w:rPr>
                        <w:rFonts w:hint="eastAsia" w:ascii="Cambria Math" w:hAnsi="Cambria Math"/>
                      </w:rPr>
                      <m:t>总</m:t>
                    </m:r>
                    <m:r>
                      <m:rPr/>
                      <w:rPr>
                        <w:rFonts w:hint="default" w:ascii="Cambria Math" w:hAnsi="Cambria Math"/>
                      </w:rPr>
                      <m:t>−3</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×5</m:t>
            </m:r>
            <m:ctrlPr>
              <w:rPr>
                <w:rFonts w:hint="default" w:ascii="Cambria Math" w:hAnsi="Cambria Math"/>
                <w:i/>
              </w:rPr>
            </m:ctrlPr>
          </m:e>
        </m:d>
      </m:oMath>
      <w:r>
        <w:rPr>
          <w:rFonts w:hint="eastAsia"/>
        </w:rPr>
        <w:t xml:space="preserve"> </w:t>
      </w:r>
      <w:r>
        <w:t xml:space="preserve">    ………………(B3)</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3</w:t>
      </w:r>
      <w:r>
        <w:tab/>
      </w:r>
      <w:r>
        <w:rPr>
          <w:rFonts w:hint="eastAsia"/>
        </w:rPr>
        <w:t>该项分值GB/</w:t>
      </w:r>
      <w:r>
        <w:t>T 8170</w:t>
      </w:r>
      <w:r>
        <w:rPr>
          <w:rFonts w:hint="eastAsia"/>
        </w:rPr>
        <w:t>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vertAlign w:val="subscript"/>
        </w:rPr>
        <w:t>3</w:t>
      </w:r>
      <w:r>
        <w:tab/>
      </w:r>
      <w:r>
        <w:rPr>
          <w:rFonts w:hint="eastAsia"/>
        </w:rPr>
        <w:t>采用分区控制的3</w:t>
      </w:r>
      <w:r>
        <w:t>000</w:t>
      </w:r>
      <w:r>
        <w:rPr>
          <w:rFonts w:hint="eastAsia"/>
        </w:rPr>
        <w:t>平方米以上厂房面积；</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S</w:t>
      </w:r>
      <w:r>
        <w:rPr>
          <w:rFonts w:hint="eastAsia"/>
          <w:vertAlign w:val="subscript"/>
        </w:rPr>
        <w:t>总-</w:t>
      </w:r>
      <w:r>
        <w:rPr>
          <w:vertAlign w:val="subscript"/>
        </w:rPr>
        <w:t>3</w:t>
      </w:r>
      <w:r>
        <w:tab/>
      </w:r>
      <w:r>
        <w:rPr>
          <w:rFonts w:hint="eastAsia"/>
        </w:rPr>
        <w:t>所有3</w:t>
      </w:r>
      <w:r>
        <w:t>000</w:t>
      </w:r>
      <w:r>
        <w:rPr>
          <w:rFonts w:hint="eastAsia"/>
        </w:rPr>
        <w:t>平方米以上厂房总面积；</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5" w:name="_Toc14402"/>
      <w:bookmarkStart w:id="56" w:name="_Toc24485"/>
      <w:r>
        <w:t>5</w:t>
      </w:r>
      <w:r>
        <w:tab/>
      </w:r>
      <w:r>
        <w:rPr>
          <w:rFonts w:hint="eastAsia"/>
        </w:rPr>
        <w:t>该项总分。</w:t>
      </w:r>
      <w:bookmarkEnd w:id="55"/>
      <w:bookmarkEnd w:id="56"/>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无3</w:t>
      </w:r>
      <w:r>
        <w:t>000</w:t>
      </w:r>
      <w:r>
        <w:rPr>
          <w:rFonts w:hint="eastAsia"/>
        </w:rPr>
        <w:t>平方米以上厂房，该项为（5分）。</w:t>
      </w:r>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hint="eastAsia" w:ascii="黑体" w:hAnsi="黑体" w:eastAsia="黑体"/>
        </w:rPr>
        <w:t>B</w:t>
      </w:r>
      <w:r>
        <w:rPr>
          <w:rFonts w:ascii="黑体" w:hAnsi="黑体" w:eastAsia="黑体"/>
        </w:rPr>
        <w:t>.4</w:t>
      </w:r>
      <w:r>
        <w:rPr>
          <w:rFonts w:hint="eastAsia" w:ascii="黑体" w:hAnsi="黑体" w:eastAsia="黑体"/>
        </w:rPr>
        <w:t>设备能效评分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设备能效评分按公式（B</w:t>
      </w:r>
      <w:r>
        <w:t>4</w:t>
      </w:r>
      <w:r>
        <w:rPr>
          <w:rFonts w:hint="eastAsia"/>
        </w:rPr>
        <w:t>）计算。</w:t>
      </w:r>
    </w:p>
    <w:p>
      <w:pPr>
        <w:pageBreakBefore w:val="0"/>
        <w:widowControl w:val="0"/>
        <w:kinsoku/>
        <w:wordWrap/>
        <w:overflowPunct/>
        <w:topLinePunct w:val="0"/>
        <w:autoSpaceDE/>
        <w:autoSpaceDN/>
        <w:bidi w:val="0"/>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4</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E</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E</m:t>
                    </m:r>
                    <m:ctrlPr>
                      <w:rPr>
                        <w:rFonts w:hint="default" w:ascii="Cambria Math" w:hAnsi="Cambria Math"/>
                        <w:i/>
                      </w:rPr>
                    </m:ctrlPr>
                  </m:e>
                  <m:sub>
                    <m:r>
                      <m:rPr/>
                      <w:rPr>
                        <w:rFonts w:hint="eastAsia" w:ascii="Cambria Math" w:hAnsi="Cambria Math"/>
                      </w:rPr>
                      <m:t>总</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×10</m:t>
            </m:r>
            <m:ctrlPr>
              <w:rPr>
                <w:rFonts w:hint="default" w:ascii="Cambria Math" w:hAnsi="Cambria Math"/>
                <w:i/>
              </w:rPr>
            </m:ctrlPr>
          </m:e>
        </m:d>
      </m:oMath>
      <w:r>
        <w:rPr>
          <w:rFonts w:hint="eastAsia"/>
        </w:rPr>
        <w:t xml:space="preserve"> </w:t>
      </w:r>
      <w:r>
        <w:t xml:space="preserve">    ………………(B4)</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4</w:t>
      </w:r>
      <w:r>
        <w:tab/>
      </w:r>
      <w:r>
        <w:rPr>
          <w:rFonts w:hint="eastAsia"/>
        </w:rPr>
        <w:t>该项分值GB/</w:t>
      </w:r>
      <w:r>
        <w:t>T 8170</w:t>
      </w:r>
      <w:r>
        <w:rPr>
          <w:rFonts w:hint="eastAsia"/>
        </w:rPr>
        <w:t>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E</w:t>
      </w:r>
      <w:r>
        <w:rPr>
          <w:vertAlign w:val="subscript"/>
        </w:rPr>
        <w:t>1</w:t>
      </w:r>
      <w:r>
        <w:tab/>
      </w:r>
      <w:r>
        <w:rPr>
          <w:rFonts w:hint="eastAsia"/>
        </w:rPr>
        <w:t>采用能效等级为1级、2级的设备数；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E</w:t>
      </w:r>
      <w:r>
        <w:rPr>
          <w:rFonts w:hint="eastAsia"/>
          <w:vertAlign w:val="subscript"/>
        </w:rPr>
        <w:t>总</w:t>
      </w:r>
      <w:r>
        <w:tab/>
      </w:r>
      <w:r>
        <w:rPr>
          <w:rFonts w:hint="eastAsia"/>
        </w:rPr>
        <w:t>有能效等级要求的总设备数；</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7" w:name="_Toc23506"/>
      <w:bookmarkStart w:id="58" w:name="_Toc3955"/>
      <w:r>
        <w:t>10</w:t>
      </w:r>
      <w:r>
        <w:tab/>
      </w:r>
      <w:r>
        <w:rPr>
          <w:rFonts w:hint="eastAsia"/>
        </w:rPr>
        <w:t>该项总分。</w:t>
      </w:r>
      <w:bookmarkEnd w:id="57"/>
      <w:bookmarkEnd w:id="58"/>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hint="eastAsia" w:ascii="黑体" w:hAnsi="黑体" w:eastAsia="黑体"/>
        </w:rPr>
        <w:t>B</w:t>
      </w:r>
      <w:r>
        <w:rPr>
          <w:rFonts w:ascii="黑体" w:hAnsi="黑体" w:eastAsia="黑体"/>
        </w:rPr>
        <w:t>.</w:t>
      </w:r>
      <w:r>
        <w:rPr>
          <w:rFonts w:hint="eastAsia" w:ascii="黑体" w:hAnsi="黑体" w:eastAsia="黑体"/>
          <w:lang w:val="en-US" w:eastAsia="zh-CN"/>
        </w:rPr>
        <w:t>5</w:t>
      </w:r>
      <w:r>
        <w:rPr>
          <w:rFonts w:hint="eastAsia" w:ascii="黑体" w:hAnsi="黑体" w:eastAsia="黑体"/>
        </w:rPr>
        <w:t>涵盖在绿色产品标准范围内的产品生态设计评分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涵盖在绿色产品标准范围内的产品生态设计评分按公式（B</w:t>
      </w:r>
      <w:r>
        <w:rPr>
          <w:rFonts w:hint="eastAsia"/>
          <w:lang w:val="en-US" w:eastAsia="zh-CN"/>
        </w:rPr>
        <w:t>5</w:t>
      </w:r>
      <w:r>
        <w:rPr>
          <w:rFonts w:hint="eastAsia"/>
        </w:rPr>
        <w:t>）计算。</w:t>
      </w:r>
    </w:p>
    <w:p>
      <w:pPr>
        <w:pageBreakBefore w:val="0"/>
        <w:widowControl w:val="0"/>
        <w:kinsoku/>
        <w:wordWrap/>
        <w:overflowPunct/>
        <w:topLinePunct w:val="0"/>
        <w:autoSpaceDE/>
        <w:autoSpaceDN/>
        <w:bidi w:val="0"/>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7</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n</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N</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×35</m:t>
            </m:r>
            <m:ctrlPr>
              <w:rPr>
                <w:rFonts w:hint="default" w:ascii="Cambria Math" w:hAnsi="Cambria Math"/>
                <w:i/>
              </w:rPr>
            </m:ctrlPr>
          </m:e>
        </m:d>
      </m:oMath>
      <w:r>
        <w:rPr>
          <w:rFonts w:hint="eastAsia"/>
        </w:rPr>
        <w:t xml:space="preserve"> </w:t>
      </w:r>
      <w:r>
        <w:t xml:space="preserve">    ………………(B</w:t>
      </w:r>
      <w:r>
        <w:rPr>
          <w:rFonts w:hint="eastAsia"/>
          <w:lang w:val="en-US" w:eastAsia="zh-CN"/>
        </w:rPr>
        <w:t>5</w:t>
      </w:r>
      <w:r>
        <w:t>)</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7</w:t>
      </w:r>
      <w:r>
        <w:tab/>
      </w:r>
      <w:r>
        <w:rPr>
          <w:rFonts w:hint="eastAsia"/>
        </w:rPr>
        <w:t>该项分值GB/T 8170的规定修约到个位数；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t>n</w:t>
      </w:r>
      <w:r>
        <w:rPr>
          <w:rFonts w:hint="eastAsia"/>
          <w:vertAlign w:val="subscript"/>
        </w:rPr>
        <w:t>1</w:t>
      </w:r>
      <w:r>
        <w:tab/>
      </w:r>
      <w:r>
        <w:rPr>
          <w:rFonts w:hint="eastAsia"/>
        </w:rPr>
        <w:t>按照绿色产品标准评价的工厂产品种类；</w:t>
      </w:r>
    </w:p>
    <w:p>
      <w:pPr>
        <w:pageBreakBefore w:val="0"/>
        <w:widowControl w:val="0"/>
        <w:kinsoku/>
        <w:wordWrap/>
        <w:overflowPunct/>
        <w:topLinePunct w:val="0"/>
        <w:autoSpaceDE/>
        <w:autoSpaceDN/>
        <w:bidi w:val="0"/>
        <w:spacing w:line="240" w:lineRule="atLeast"/>
        <w:ind w:left="0" w:leftChars="0" w:firstLine="420" w:firstLineChars="200"/>
        <w:textAlignment w:val="auto"/>
      </w:pPr>
      <w:r>
        <w:t>N</w:t>
      </w:r>
      <w:r>
        <w:rPr>
          <w:rFonts w:hint="eastAsia"/>
          <w:vertAlign w:val="subscript"/>
        </w:rPr>
        <w:t>1</w:t>
      </w:r>
      <w:r>
        <w:tab/>
      </w:r>
      <w:r>
        <w:rPr>
          <w:rFonts w:hint="eastAsia"/>
        </w:rPr>
        <w:t>绿色产品标准中涵盖的工厂产品种类；</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59" w:name="_Toc13041"/>
      <w:bookmarkStart w:id="60" w:name="_Toc17460"/>
      <w:r>
        <w:t>35</w:t>
      </w:r>
      <w:r>
        <w:tab/>
      </w:r>
      <w:r>
        <w:rPr>
          <w:rFonts w:hint="eastAsia"/>
        </w:rPr>
        <w:t>该项总分。</w:t>
      </w:r>
      <w:bookmarkEnd w:id="59"/>
      <w:bookmarkEnd w:id="60"/>
    </w:p>
    <w:p>
      <w:pPr>
        <w:pageBreakBefore w:val="0"/>
        <w:widowControl w:val="0"/>
        <w:kinsoku/>
        <w:wordWrap/>
        <w:overflowPunct/>
        <w:topLinePunct w:val="0"/>
        <w:autoSpaceDE/>
        <w:autoSpaceDN/>
        <w:bidi w:val="0"/>
        <w:spacing w:line="240" w:lineRule="atLeast"/>
        <w:ind w:left="0" w:leftChars="0" w:firstLine="0" w:firstLineChars="0"/>
        <w:textAlignment w:val="auto"/>
      </w:pPr>
    </w:p>
    <w:p>
      <w:pPr>
        <w:pageBreakBefore w:val="0"/>
        <w:widowControl w:val="0"/>
        <w:kinsoku/>
        <w:wordWrap/>
        <w:overflowPunct/>
        <w:topLinePunct w:val="0"/>
        <w:autoSpaceDE/>
        <w:autoSpaceDN/>
        <w:bidi w:val="0"/>
        <w:spacing w:line="240" w:lineRule="atLeast"/>
        <w:ind w:left="0" w:leftChars="0" w:firstLine="0" w:firstLineChars="0"/>
        <w:textAlignment w:val="auto"/>
        <w:rPr>
          <w:rFonts w:ascii="黑体" w:hAnsi="黑体" w:eastAsia="黑体"/>
        </w:rPr>
      </w:pPr>
      <w:r>
        <w:rPr>
          <w:rFonts w:hint="eastAsia" w:ascii="黑体" w:hAnsi="黑体" w:eastAsia="黑体"/>
        </w:rPr>
        <w:t>B</w:t>
      </w:r>
      <w:r>
        <w:rPr>
          <w:rFonts w:ascii="黑体" w:hAnsi="黑体" w:eastAsia="黑体"/>
        </w:rPr>
        <w:t>.</w:t>
      </w:r>
      <w:r>
        <w:rPr>
          <w:rFonts w:hint="eastAsia" w:ascii="黑体" w:hAnsi="黑体" w:eastAsia="黑体"/>
          <w:lang w:val="en-US" w:eastAsia="zh-CN"/>
        </w:rPr>
        <w:t>6</w:t>
      </w:r>
      <w:r>
        <w:rPr>
          <w:rFonts w:hint="eastAsia" w:ascii="黑体" w:hAnsi="黑体" w:eastAsia="黑体"/>
        </w:rPr>
        <w:t>未涵盖在绿色产品标准范围内的产品生态设计评分</w:t>
      </w:r>
    </w:p>
    <w:p>
      <w:pPr>
        <w:pageBreakBefore w:val="0"/>
        <w:widowControl w:val="0"/>
        <w:kinsoku/>
        <w:wordWrap/>
        <w:overflowPunct/>
        <w:topLinePunct w:val="0"/>
        <w:autoSpaceDE/>
        <w:autoSpaceDN/>
        <w:bidi w:val="0"/>
        <w:spacing w:line="240" w:lineRule="atLeast"/>
        <w:ind w:left="0" w:leftChars="0" w:firstLine="0" w:firstLineChars="0"/>
        <w:textAlignment w:val="auto"/>
      </w:pPr>
      <w:r>
        <w:rPr>
          <w:rFonts w:hint="eastAsia"/>
        </w:rPr>
        <w:t>未涵盖在绿色产品标准范围内的产品生态设计评分按公式（B</w:t>
      </w:r>
      <w:r>
        <w:rPr>
          <w:rFonts w:hint="eastAsia"/>
          <w:lang w:val="en-US" w:eastAsia="zh-CN"/>
        </w:rPr>
        <w:t>6</w:t>
      </w:r>
      <w:r>
        <w:rPr>
          <w:rFonts w:hint="eastAsia"/>
        </w:rPr>
        <w:t>）计算。</w:t>
      </w:r>
    </w:p>
    <w:p>
      <w:pPr>
        <w:pageBreakBefore w:val="0"/>
        <w:widowControl w:val="0"/>
        <w:kinsoku/>
        <w:wordWrap/>
        <w:overflowPunct/>
        <w:topLinePunct w:val="0"/>
        <w:autoSpaceDE/>
        <w:autoSpaceDN/>
        <w:bidi w:val="0"/>
        <w:spacing w:line="240" w:lineRule="atLeast"/>
        <w:ind w:left="0" w:leftChars="0" w:firstLine="0" w:firstLineChars="0"/>
        <w:jc w:val="center"/>
        <w:textAlignment w:val="auto"/>
      </w:pPr>
      <m:oMath>
        <m:sSub>
          <m:sSubPr>
            <m:ctrlPr>
              <w:rPr>
                <w:rFonts w:hint="default" w:ascii="Cambria Math" w:hAnsi="Cambria Math"/>
                <w:i/>
              </w:rPr>
            </m:ctrlPr>
          </m:sSubPr>
          <m:e>
            <m:r>
              <m:rPr/>
              <w:rPr>
                <w:rFonts w:hint="eastAsia" w:ascii="Cambria Math" w:hAnsi="Cambria Math"/>
              </w:rPr>
              <m:t>Y</m:t>
            </m:r>
            <m:ctrlPr>
              <w:rPr>
                <w:rFonts w:hint="default" w:ascii="Cambria Math" w:hAnsi="Cambria Math"/>
                <w:i/>
              </w:rPr>
            </m:ctrlPr>
          </m:e>
          <m:sub>
            <m:r>
              <m:rPr/>
              <w:rPr>
                <w:rFonts w:hint="default" w:ascii="Cambria Math" w:hAnsi="Cambria Math"/>
              </w:rPr>
              <m:t>8</m:t>
            </m:r>
            <m:ctrlPr>
              <w:rPr>
                <w:rFonts w:hint="default" w:ascii="Cambria Math" w:hAnsi="Cambria Math"/>
                <w:i/>
              </w:rPr>
            </m:ctrlPr>
          </m:sub>
        </m:sSub>
        <m:r>
          <m:rPr/>
          <w:rPr>
            <w:rFonts w:hint="default" w:ascii="Cambria Math" w:hAnsi="Cambria Math"/>
          </w:rPr>
          <m:t>=</m:t>
        </m:r>
        <m:d>
          <m:dPr>
            <m:begChr m:val="["/>
            <m:endChr m:val="]"/>
            <m:ctrlPr>
              <w:rPr>
                <w:rFonts w:hint="default" w:ascii="Cambria Math" w:hAnsi="Cambria Math"/>
                <w:i/>
              </w:rPr>
            </m:ctrlPr>
          </m:dPr>
          <m:e>
            <m:f>
              <m:fPr>
                <m:ctrlPr>
                  <w:rPr>
                    <w:rFonts w:hint="default" w:ascii="Cambria Math" w:hAnsi="Cambria Math"/>
                    <w:i/>
                  </w:rPr>
                </m:ctrlPr>
              </m:fPr>
              <m:num>
                <m:sSub>
                  <m:sSubPr>
                    <m:ctrlPr>
                      <w:rPr>
                        <w:rFonts w:hint="default" w:ascii="Cambria Math" w:hAnsi="Cambria Math"/>
                        <w:i/>
                      </w:rPr>
                    </m:ctrlPr>
                  </m:sSubPr>
                  <m:e>
                    <m:r>
                      <m:rPr/>
                      <w:rPr>
                        <w:rFonts w:hint="eastAsia" w:ascii="Cambria Math" w:hAnsi="Cambria Math"/>
                      </w:rPr>
                      <m:t>n</m:t>
                    </m:r>
                    <m:ctrlPr>
                      <w:rPr>
                        <w:rFonts w:hint="default" w:ascii="Cambria Math" w:hAnsi="Cambria Math"/>
                        <w:i/>
                      </w:rPr>
                    </m:ctrlPr>
                  </m:e>
                  <m:sub>
                    <m:r>
                      <m:rPr/>
                      <w:rPr>
                        <w:rFonts w:hint="default" w:ascii="Cambria Math" w:hAnsi="Cambria Math"/>
                      </w:rPr>
                      <m:t>2</m:t>
                    </m:r>
                    <m:ctrlPr>
                      <w:rPr>
                        <w:rFonts w:hint="default" w:ascii="Cambria Math" w:hAnsi="Cambria Math"/>
                        <w:i/>
                      </w:rPr>
                    </m:ctrlPr>
                  </m:sub>
                </m:sSub>
                <m:ctrlPr>
                  <w:rPr>
                    <w:rFonts w:hint="default" w:ascii="Cambria Math" w:hAnsi="Cambria Math"/>
                    <w:i/>
                  </w:rPr>
                </m:ctrlPr>
              </m:num>
              <m:den>
                <m:sSub>
                  <m:sSubPr>
                    <m:ctrlPr>
                      <w:rPr>
                        <w:rFonts w:hint="default" w:ascii="Cambria Math" w:hAnsi="Cambria Math"/>
                        <w:i/>
                      </w:rPr>
                    </m:ctrlPr>
                  </m:sSubPr>
                  <m:e>
                    <m:r>
                      <m:rPr/>
                      <w:rPr>
                        <w:rFonts w:hint="eastAsia" w:ascii="Cambria Math" w:hAnsi="Cambria Math"/>
                      </w:rPr>
                      <m:t>N</m:t>
                    </m:r>
                    <m:ctrlPr>
                      <w:rPr>
                        <w:rFonts w:hint="default" w:ascii="Cambria Math" w:hAnsi="Cambria Math"/>
                        <w:i/>
                      </w:rPr>
                    </m:ctrlPr>
                  </m:e>
                  <m:sub>
                    <m:r>
                      <m:rPr/>
                      <w:rPr>
                        <w:rFonts w:hint="default" w:ascii="Cambria Math" w:hAnsi="Cambria Math"/>
                      </w:rPr>
                      <m:t>2</m:t>
                    </m:r>
                    <m:ctrlPr>
                      <w:rPr>
                        <w:rFonts w:hint="default" w:ascii="Cambria Math" w:hAnsi="Cambria Math"/>
                        <w:i/>
                      </w:rPr>
                    </m:ctrlPr>
                  </m:sub>
                </m:sSub>
                <m:ctrlPr>
                  <w:rPr>
                    <w:rFonts w:hint="default" w:ascii="Cambria Math" w:hAnsi="Cambria Math"/>
                    <w:i/>
                  </w:rPr>
                </m:ctrlPr>
              </m:den>
            </m:f>
            <m:r>
              <m:rPr/>
              <w:rPr>
                <w:rFonts w:hint="default" w:ascii="Cambria Math" w:hAnsi="Cambria Math"/>
              </w:rPr>
              <m:t>×15</m:t>
            </m:r>
            <m:ctrlPr>
              <w:rPr>
                <w:rFonts w:hint="default" w:ascii="Cambria Math" w:hAnsi="Cambria Math"/>
                <w:i/>
              </w:rPr>
            </m:ctrlPr>
          </m:e>
        </m:d>
      </m:oMath>
      <w:r>
        <w:rPr>
          <w:rFonts w:hint="eastAsia"/>
        </w:rPr>
        <w:t xml:space="preserve"> </w:t>
      </w:r>
      <w:r>
        <w:t xml:space="preserve">    ………………(B</w:t>
      </w:r>
      <w:r>
        <w:rPr>
          <w:rFonts w:hint="eastAsia"/>
          <w:lang w:val="en-US" w:eastAsia="zh-CN"/>
        </w:rPr>
        <w:t>6</w:t>
      </w:r>
      <w:r>
        <w:t>)</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式中：</w:t>
      </w:r>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Y</w:t>
      </w:r>
      <w:r>
        <w:rPr>
          <w:vertAlign w:val="subscript"/>
        </w:rPr>
        <w:t>8</w:t>
      </w:r>
      <w:r>
        <w:tab/>
      </w:r>
      <w:r>
        <w:rPr>
          <w:rFonts w:hint="eastAsia"/>
        </w:rPr>
        <w:t>该项分值GB/T 8170的规定修约到个位数；</w:t>
      </w:r>
    </w:p>
    <w:p>
      <w:pPr>
        <w:pageBreakBefore w:val="0"/>
        <w:widowControl w:val="0"/>
        <w:kinsoku/>
        <w:wordWrap/>
        <w:overflowPunct/>
        <w:topLinePunct w:val="0"/>
        <w:autoSpaceDE/>
        <w:autoSpaceDN/>
        <w:bidi w:val="0"/>
        <w:spacing w:line="240" w:lineRule="atLeast"/>
        <w:ind w:left="0" w:leftChars="0" w:firstLine="420" w:firstLineChars="200"/>
        <w:textAlignment w:val="auto"/>
      </w:pPr>
      <w:r>
        <w:t>n</w:t>
      </w:r>
      <w:r>
        <w:rPr>
          <w:vertAlign w:val="subscript"/>
        </w:rPr>
        <w:t>2</w:t>
      </w:r>
      <w:r>
        <w:tab/>
      </w:r>
      <w:r>
        <w:rPr>
          <w:rFonts w:hint="eastAsia"/>
        </w:rPr>
        <w:t>未涵盖的绿色产品种进行了绿色产品评价的种类；</w:t>
      </w:r>
    </w:p>
    <w:p>
      <w:pPr>
        <w:pageBreakBefore w:val="0"/>
        <w:widowControl w:val="0"/>
        <w:kinsoku/>
        <w:wordWrap/>
        <w:overflowPunct/>
        <w:topLinePunct w:val="0"/>
        <w:autoSpaceDE/>
        <w:autoSpaceDN/>
        <w:bidi w:val="0"/>
        <w:spacing w:line="240" w:lineRule="atLeast"/>
        <w:ind w:left="0" w:leftChars="0" w:firstLine="420" w:firstLineChars="200"/>
        <w:textAlignment w:val="auto"/>
      </w:pPr>
      <w:r>
        <w:t>N</w:t>
      </w:r>
      <w:r>
        <w:rPr>
          <w:vertAlign w:val="subscript"/>
        </w:rPr>
        <w:t>2</w:t>
      </w:r>
      <w:r>
        <w:tab/>
      </w:r>
      <w:r>
        <w:rPr>
          <w:rFonts w:hint="eastAsia"/>
        </w:rPr>
        <w:t>绿色产品标准中未涵盖的工厂产品种类；</w:t>
      </w:r>
    </w:p>
    <w:p>
      <w:pPr>
        <w:pageBreakBefore w:val="0"/>
        <w:widowControl w:val="0"/>
        <w:kinsoku/>
        <w:wordWrap/>
        <w:overflowPunct/>
        <w:topLinePunct w:val="0"/>
        <w:autoSpaceDE/>
        <w:autoSpaceDN/>
        <w:bidi w:val="0"/>
        <w:spacing w:line="240" w:lineRule="atLeast"/>
        <w:ind w:left="0" w:leftChars="0" w:firstLine="420" w:firstLineChars="200"/>
        <w:textAlignment w:val="auto"/>
        <w:outlineLvl w:val="0"/>
      </w:pPr>
      <w:bookmarkStart w:id="61" w:name="_Toc1157"/>
      <w:bookmarkStart w:id="62" w:name="_Toc30042"/>
      <w:r>
        <w:t>15</w:t>
      </w:r>
      <w:r>
        <w:tab/>
      </w:r>
      <w:r>
        <w:rPr>
          <w:rFonts w:hint="eastAsia"/>
        </w:rPr>
        <w:t>该项总分。</w:t>
      </w:r>
      <w:bookmarkEnd w:id="61"/>
      <w:bookmarkEnd w:id="62"/>
    </w:p>
    <w:p>
      <w:pPr>
        <w:pageBreakBefore w:val="0"/>
        <w:widowControl w:val="0"/>
        <w:kinsoku/>
        <w:wordWrap/>
        <w:overflowPunct/>
        <w:topLinePunct w:val="0"/>
        <w:autoSpaceDE/>
        <w:autoSpaceDN/>
        <w:bidi w:val="0"/>
        <w:spacing w:line="240" w:lineRule="atLeast"/>
        <w:ind w:left="0" w:leftChars="0" w:firstLine="420" w:firstLineChars="200"/>
        <w:textAlignment w:val="auto"/>
      </w:pPr>
      <w:r>
        <w:rPr>
          <w:rFonts w:hint="eastAsia"/>
        </w:rPr>
        <w:t>所有产品均有绿色产品标准涵盖，此项（1</w:t>
      </w:r>
      <w:r>
        <w:t>5</w:t>
      </w:r>
      <w:r>
        <w:rPr>
          <w:rFonts w:hint="eastAsia"/>
        </w:rPr>
        <w:t>分）</w:t>
      </w: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outlineLvl w:val="9"/>
        <w:rPr>
          <w:rFonts w:hint="eastAsia"/>
          <w:highlight w:val="none"/>
        </w:rPr>
      </w:pPr>
    </w:p>
    <w:p>
      <w:pPr>
        <w:pStyle w:val="31"/>
        <w:rPr>
          <w:highlight w:val="none"/>
        </w:rPr>
      </w:pPr>
      <w:bookmarkStart w:id="63" w:name="_Toc14743"/>
      <w:bookmarkStart w:id="64" w:name="_Toc961"/>
      <w:r>
        <w:rPr>
          <w:rFonts w:hint="eastAsia"/>
          <w:highlight w:val="none"/>
        </w:rPr>
        <w:t>参考文献</w:t>
      </w:r>
      <w:bookmarkEnd w:id="63"/>
      <w:bookmarkEnd w:id="64"/>
    </w:p>
    <w:p>
      <w:pPr>
        <w:adjustRightInd w:val="0"/>
        <w:snapToGrid w:val="0"/>
        <w:ind w:firstLine="420" w:firstLineChars="200"/>
        <w:rPr>
          <w:highlight w:val="none"/>
        </w:rPr>
      </w:pPr>
    </w:p>
    <w:p>
      <w:pPr>
        <w:rPr>
          <w:highlight w:val="none"/>
        </w:rPr>
      </w:pPr>
      <w:r>
        <w:rPr>
          <w:highlight w:val="none"/>
        </w:rPr>
        <w:t>1、国土资发2008年第24号 工业项目建设用地控制指标</w:t>
      </w:r>
    </w:p>
    <w:p>
      <w:pPr>
        <w:rPr>
          <w:highlight w:val="none"/>
        </w:rPr>
      </w:pPr>
      <w:r>
        <w:rPr>
          <w:rFonts w:hint="eastAsia"/>
          <w:highlight w:val="none"/>
          <w:lang w:val="en-US" w:eastAsia="zh-CN"/>
        </w:rPr>
        <w:t>2</w:t>
      </w:r>
      <w:r>
        <w:rPr>
          <w:highlight w:val="none"/>
        </w:rPr>
        <w:t>、国土资源部2013年第21号 关于铁、铜、铅、锌、稀土、钾盐和萤石等矿产资源合理开发利用“三率”最低指标要求（试行）的公告</w:t>
      </w:r>
    </w:p>
    <w:p>
      <w:pPr>
        <w:rPr>
          <w:highlight w:val="none"/>
        </w:rPr>
      </w:pPr>
      <w:r>
        <w:rPr>
          <w:rFonts w:hint="eastAsia"/>
          <w:highlight w:val="none"/>
          <w:lang w:val="en-US" w:eastAsia="zh-CN"/>
        </w:rPr>
        <w:t>3</w:t>
      </w:r>
      <w:r>
        <w:rPr>
          <w:highlight w:val="none"/>
        </w:rPr>
        <w:t>、发改委、环保部、工信部2015年第9号公告 稀土冶炼行业清洁生产评价指标体系</w:t>
      </w:r>
    </w:p>
    <w:p>
      <w:pPr>
        <w:rPr>
          <w:highlight w:val="none"/>
        </w:rPr>
      </w:pPr>
      <w:r>
        <w:rPr>
          <w:rFonts w:hint="eastAsia"/>
          <w:highlight w:val="none"/>
          <w:lang w:val="en-US" w:eastAsia="zh-CN"/>
        </w:rPr>
        <w:t>4</w:t>
      </w:r>
      <w:r>
        <w:rPr>
          <w:highlight w:val="none"/>
        </w:rPr>
        <w:t>、工信部联节2016年第398号 国家鼓励的有毒有害原料（产品）替代品目录（2016年版）</w:t>
      </w:r>
    </w:p>
    <w:p>
      <w:pPr>
        <w:rPr>
          <w:highlight w:val="none"/>
        </w:rPr>
      </w:pPr>
      <w:r>
        <w:rPr>
          <w:rFonts w:hint="eastAsia"/>
          <w:highlight w:val="none"/>
          <w:lang w:val="en-US" w:eastAsia="zh-CN"/>
        </w:rPr>
        <w:t>5</w:t>
      </w:r>
      <w:r>
        <w:rPr>
          <w:highlight w:val="none"/>
        </w:rPr>
        <w:t>、工信部公告2016年第31号 稀土行业规范条件（2016年本）</w:t>
      </w:r>
    </w:p>
    <w:p>
      <w:pPr>
        <w:rPr>
          <w:highlight w:val="none"/>
        </w:rPr>
      </w:pPr>
      <w:r>
        <w:rPr>
          <w:rFonts w:hint="eastAsia"/>
          <w:highlight w:val="none"/>
          <w:lang w:val="en-US" w:eastAsia="zh-CN"/>
        </w:rPr>
        <w:t>6</w:t>
      </w:r>
      <w:r>
        <w:rPr>
          <w:highlight w:val="none"/>
        </w:rPr>
        <w:t>、工信厅节函2016年第586号 关于开展绿色制造体系建设的通知</w:t>
      </w:r>
    </w:p>
    <w:p>
      <w:pPr>
        <w:rPr>
          <w:highlight w:val="none"/>
        </w:rPr>
      </w:pPr>
      <w:r>
        <w:rPr>
          <w:rFonts w:hint="eastAsia"/>
          <w:highlight w:val="none"/>
          <w:lang w:val="en-US" w:eastAsia="zh-CN"/>
        </w:rPr>
        <w:t>7</w:t>
      </w:r>
      <w:r>
        <w:rPr>
          <w:highlight w:val="none"/>
        </w:rPr>
        <w:t>、工信部 绿色制造工程实施指南（2016-2020 年）</w:t>
      </w:r>
    </w:p>
    <w:p>
      <w:pPr>
        <w:rPr>
          <w:highlight w:val="none"/>
        </w:rPr>
      </w:pPr>
      <w:r>
        <w:rPr>
          <w:rFonts w:hint="eastAsia"/>
          <w:highlight w:val="none"/>
          <w:lang w:val="en-US" w:eastAsia="zh-CN"/>
        </w:rPr>
        <w:t>8</w:t>
      </w:r>
      <w:r>
        <w:rPr>
          <w:highlight w:val="none"/>
        </w:rPr>
        <w:t>、工信部公告2018年第26号 工业固体废物资源综合利用评价管理暂行办法</w:t>
      </w:r>
    </w:p>
    <w:p>
      <w:pPr>
        <w:rPr>
          <w:szCs w:val="21"/>
          <w:highlight w:val="none"/>
        </w:rPr>
      </w:pPr>
      <w:r>
        <w:rPr>
          <w:rFonts w:hint="eastAsia"/>
          <w:szCs w:val="21"/>
          <w:highlight w:val="none"/>
          <w:lang w:val="en-US" w:eastAsia="zh-CN"/>
        </w:rPr>
        <w:t>9</w:t>
      </w:r>
      <w:r>
        <w:rPr>
          <w:szCs w:val="21"/>
          <w:highlight w:val="none"/>
        </w:rPr>
        <w:t>、工信厅节函2018第257号 工业和信息化部办公厅关于推荐第三批绿色制造名单的通知 附件三 绿色工厂自评价报告及第三方评价报告</w:t>
      </w:r>
    </w:p>
    <w:p>
      <w:pPr>
        <w:rPr>
          <w:highlight w:val="none"/>
        </w:rPr>
      </w:pPr>
      <w:r>
        <w:rPr>
          <w:highlight w:val="none"/>
        </w:rPr>
        <w:t>1</w:t>
      </w:r>
      <w:r>
        <w:rPr>
          <w:rFonts w:hint="eastAsia"/>
          <w:highlight w:val="none"/>
          <w:lang w:val="en-US" w:eastAsia="zh-CN"/>
        </w:rPr>
        <w:t>0</w:t>
      </w:r>
      <w:r>
        <w:rPr>
          <w:highlight w:val="none"/>
        </w:rPr>
        <w:t>、发展和改革委员会令2019年 第29号 产业结构调整指导目录（2019年本）</w:t>
      </w:r>
    </w:p>
    <w:p>
      <w:pPr>
        <w:rPr>
          <w:highlight w:val="none"/>
        </w:rPr>
      </w:pPr>
      <w:r>
        <w:rPr>
          <w:highlight w:val="none"/>
        </w:rPr>
        <w:t>1</w:t>
      </w:r>
      <w:r>
        <w:rPr>
          <w:rFonts w:hint="eastAsia"/>
          <w:highlight w:val="none"/>
          <w:lang w:val="en-US" w:eastAsia="zh-CN"/>
        </w:rPr>
        <w:t>1</w:t>
      </w:r>
      <w:r>
        <w:rPr>
          <w:highlight w:val="none"/>
        </w:rPr>
        <w:t>、发改办环资2019年第44号 关于推进大宗固体废弃物综合利用产业集聚发展的通知</w:t>
      </w:r>
    </w:p>
    <w:p>
      <w:pPr>
        <w:rPr>
          <w:highlight w:val="none"/>
        </w:rPr>
      </w:pPr>
      <w:r>
        <w:rPr>
          <w:highlight w:val="none"/>
        </w:rPr>
        <w:t>1</w:t>
      </w:r>
      <w:r>
        <w:rPr>
          <w:rFonts w:hint="eastAsia"/>
          <w:highlight w:val="none"/>
          <w:lang w:val="en-US" w:eastAsia="zh-CN"/>
        </w:rPr>
        <w:t>2</w:t>
      </w:r>
      <w:r>
        <w:rPr>
          <w:highlight w:val="none"/>
        </w:rPr>
        <w:t>、发改环资2019年第293号 绿色产业指导目录（2019版）</w:t>
      </w:r>
    </w:p>
    <w:p>
      <w:pPr>
        <w:adjustRightInd w:val="0"/>
        <w:snapToGrid w:val="0"/>
        <w:ind w:firstLine="420" w:firstLineChars="200"/>
        <w:rPr>
          <w:rFonts w:ascii="Times New Roman" w:hAnsi="Times New Roman"/>
          <w:highlight w:val="none"/>
        </w:rPr>
      </w:pPr>
    </w:p>
    <w:p>
      <w:pPr>
        <w:rPr>
          <w:highlight w:val="none"/>
        </w:rPr>
      </w:pPr>
    </w:p>
    <w:sectPr>
      <w:footerReference r:id="rId19" w:type="default"/>
      <w:footerReference r:id="rId20" w:type="even"/>
      <w:pgSz w:w="11907" w:h="16839"/>
      <w:pgMar w:top="1418" w:right="1134" w:bottom="1134" w:left="1418" w:header="1418" w:footer="851"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jc w:val="center"/>
      <w:rPr>
        <w:rStyle w:val="3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22250"/>
              <wp:effectExtent l="0" t="0" r="0" b="0"/>
              <wp:wrapNone/>
              <wp:docPr id="18" name="文本框 30"/>
              <wp:cNvGraphicFramePr/>
              <a:graphic xmlns:a="http://schemas.openxmlformats.org/drawingml/2006/main">
                <a:graphicData uri="http://schemas.microsoft.com/office/word/2010/wordprocessingShape">
                  <wps:wsp>
                    <wps:cNvSpPr txBox="1"/>
                    <wps:spPr>
                      <a:xfrm>
                        <a:off x="0" y="0"/>
                        <a:ext cx="57785" cy="22225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7.5pt;width:4.55pt;mso-position-horizontal:center;mso-position-horizontal-relative:margin;mso-wrap-style:none;z-index:251659264;mso-width-relative:page;mso-height-relative:page;" filled="f" stroked="f" coordsize="21600,21600" o:gfxdata="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kbqbR&#10;AAAAAgEAAA8AAAAAAAAAAQAgAAAAIgAAAGRycy9kb3ducmV2LnhtbFBLAQIUABQAAAAIAIdO4kAa&#10;hoW17gEAANQDAAAOAAAAAAAAAAEAIAAAACABAABkcnMvZTJvRG9jLnhtbFBLBQYAAAAABgAGAFkB&#10;AACA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37"/>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7"/>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ZXI3jAQAAzQMAAA4A&#10;AAAAAAAAAQAgAAAAHgEAAGRycy9lMm9Eb2MueG1sUEsFBgAAAAAGAAYAWQEAAHMFAAAAAA==&#10;">
              <v:fill on="f" focussize="0,0"/>
              <v:stroke on="f"/>
              <v:imagedata o:title=""/>
              <o:lock v:ext="edit" aspectratio="f"/>
              <v:textbox inset="0mm,0mm,0mm,0mm" style="mso-fit-shape-to-text:t;">
                <w:txbxContent>
                  <w:p>
                    <w:pPr>
                      <w:pStyle w:val="6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0lY7tAA&#10;AAAFAQAADwAAAAAAAAABACAAAAAiAAAAZHJzL2Rvd25yZXYueG1sUEsBAhQAFAAAAAgAh07iQGZC&#10;Wu/uAQAA1wMAAA4AAAAAAAAAAQAgAAAAHwEAAGRycy9lMm9Eb2MueG1sUEsFBgAAAAAGAAYAWQEA&#10;AH8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jc w:val="center"/>
      <w:rPr>
        <w:rStyle w:val="3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222250"/>
              <wp:effectExtent l="0" t="0" r="0" b="0"/>
              <wp:wrapNone/>
              <wp:docPr id="20" name="文本框 30"/>
              <wp:cNvGraphicFramePr/>
              <a:graphic xmlns:a="http://schemas.openxmlformats.org/drawingml/2006/main">
                <a:graphicData uri="http://schemas.microsoft.com/office/word/2010/wordprocessingShape">
                  <wps:wsp>
                    <wps:cNvSpPr txBox="1"/>
                    <wps:spPr>
                      <a:xfrm>
                        <a:off x="0" y="0"/>
                        <a:ext cx="57785" cy="222250"/>
                      </a:xfrm>
                      <a:prstGeom prst="rect">
                        <a:avLst/>
                      </a:prstGeom>
                      <a:noFill/>
                      <a:ln w="6350">
                        <a:noFill/>
                      </a:ln>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7.5pt;width:4.55pt;mso-position-horizontal:center;mso-position-horizontal-relative:margin;mso-wrap-style:none;z-index:251665408;mso-width-relative:page;mso-height-relative:page;" filled="f" stroked="f" coordsize="21600,21600" o:gfxdata="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ZG6m0QAAAAIB&#10;AAAPAAAAAAAAAAEAIAAAACIAAABkcnMvZG93bnJldi54bWxQSwECFAAUAAAACACHTuJA45n4j+kB&#10;AADGAwAADgAAAAAAAAABACAAAAAgAQAAZHJzL2Uyb0RvYy54bWxQSwUGAAAAAAYABgBZAQAAewUA&#10;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MiPZ5/oAQAA&#10;yQMAAA4AAAAAAAAAAQAgAAAAHwEAAGRycy9lMm9Eb2MueG1sUEsFBgAAAAAGAAYAWQEAAHkFAAAA&#10;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jc w:val="center"/>
      <w:rPr>
        <w:rStyle w:val="3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7785" cy="222250"/>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57785" cy="22225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0" o:spid="_x0000_s1026" o:spt="202" type="#_x0000_t202" style="position:absolute;left:0pt;margin-top:0pt;height:17.5pt;width:4.55pt;mso-position-horizontal:center;mso-position-horizontal-relative:margin;mso-wrap-style:none;z-index:251667456;mso-width-relative:page;mso-height-relative:page;" filled="f" stroked="f" coordsize="21600,21600" o:gfxdata="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WRuptEAAAACAQAADwAAAAAAAAABACAA&#10;AAAiAAAAZHJzL2Rvd25yZXYueG1sUEsBAhQAFAAAAAgAh07iQBjcvxrbAQAArwMAAA4AAAAAAAAA&#10;AQAgAAAAIAEAAGRycy9lMm9Eb2MueG1sUEsFBgAAAAAGAAYAWQEAAG0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C+7ksDZAQAAsgMAAA4AAAAAAAAAAQAg&#10;AAAAHwEAAGRycy9lMm9Eb2MueG1sUEsFBgAAAAAGAAYAWQEAAG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rPr>
        <w:rStyle w:val="37"/>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UUoXd5AEAAM4DAAAO&#10;AAAAAAAAAAEAIAAAAB4BAABkcnMvZTJvRG9jLnhtbFBLBQYAAAAABgAGAFkBAAB0BQAAAAA=&#10;">
              <v:fill on="f" focussize="0,0"/>
              <v:stroke on="f"/>
              <v:imagedata o:title=""/>
              <o:lock v:ext="edit" aspectratio="f"/>
              <v:textbox inset="0mm,0mm,0mm,0mm" style="mso-fit-shape-to-text:t;">
                <w:txbxContent>
                  <w:p>
                    <w:pPr>
                      <w:pStyle w:val="9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37"/>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7"/>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EOawk5AEAAM4DAAAO&#10;AAAAAAAAAAEAIAAAAB4BAABkcnMvZTJvRG9jLnhtbFBLBQYAAAAABgAGAFkBAAB0BQAAAAA=&#10;">
              <v:fill on="f" focussize="0,0"/>
              <v:stroke on="f"/>
              <v:imagedata o:title=""/>
              <o:lock v:ext="edit" aspectratio="f"/>
              <v:textbox inset="0mm,0mm,0mm,0mm" style="mso-fit-shape-to-text:t;">
                <w:txbxContent>
                  <w:p>
                    <w:pPr>
                      <w:pStyle w:val="6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rPr>
        <w:rStyle w:val="37"/>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OGD7SDjAQAAzQMAAA4A&#10;AAAAAAAAAQAgAAAAHgEAAGRycy9lMm9Eb2MueG1sUEsFBgAAAAAGAAYAWQEAAHMFAAAAAA==&#10;">
              <v:fill on="f" focussize="0,0"/>
              <v:stroke on="f"/>
              <v:imagedata o:title=""/>
              <o:lock v:ext="edit" aspectratio="f"/>
              <v:textbox inset="0mm,0mm,0mm,0mm" style="mso-fit-shape-to-text:t;">
                <w:txbxContent>
                  <w:p>
                    <w:pPr>
                      <w:pStyle w:val="9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right"/>
    </w:pPr>
    <w:r>
      <w:rPr>
        <w:rFonts w:hint="eastAsia"/>
      </w:rPr>
      <w:t>X</w:t>
    </w:r>
    <w:r>
      <w:t>B/T</w:t>
    </w:r>
    <w:r>
      <w:rPr>
        <w:rFonts w:hint="eastAsia"/>
      </w:rPr>
      <w:t xml:space="preserve"> </w:t>
    </w:r>
    <w:r>
      <w:rPr>
        <w:rFonts w:ascii="黑体" w:hAnsi="黑体" w:eastAsia="黑体"/>
      </w:rPr>
      <w:t>XXX</w:t>
    </w:r>
    <w:r>
      <w:rPr>
        <w:rFonts w:hint="eastAsia" w:ascii="黑体" w:hAnsi="黑体" w:eastAsia="黑体"/>
        <w:lang w:val="en-US" w:eastAsia="zh-CN"/>
      </w:rPr>
      <w:t>X</w:t>
    </w:r>
    <w:r>
      <w:rPr>
        <w:rFonts w:eastAsia="黑体"/>
      </w:rPr>
      <w:t>-20</w:t>
    </w:r>
    <w:r>
      <w:rPr>
        <w:rFonts w:hint="eastAsia" w:ascii="黑体" w:hAnsi="黑体" w:eastAsia="黑体"/>
        <w:lang w:val="en-US" w:eastAsia="zh-CN"/>
      </w:rPr>
      <w:t>2</w:t>
    </w:r>
    <w:r>
      <w:rPr>
        <w:rFonts w:ascii="黑体" w:hAnsi="黑体" w:eastAsia="黑体"/>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Bdr>
        <w:bottom w:val="none" w:color="auto" w:sz="0" w:space="0"/>
      </w:pBdr>
      <w:wordWrap w:val="0"/>
      <w:rPr>
        <w:sz w:val="18"/>
        <w:szCs w:val="18"/>
      </w:rPr>
    </w:pPr>
    <w:r>
      <w:rPr>
        <w:rFonts w:hint="eastAsia"/>
      </w:rPr>
      <w:t>X</w:t>
    </w:r>
    <w:r>
      <w:t>B/T</w:t>
    </w:r>
    <w:r>
      <w:rPr>
        <w:rFonts w:hint="eastAsia"/>
      </w:rPr>
      <w:t xml:space="preserve"> </w:t>
    </w:r>
    <w:r>
      <w:rPr>
        <w:rFonts w:ascii="黑体" w:hAnsi="黑体" w:eastAsia="黑体"/>
      </w:rPr>
      <w:t>XXX</w:t>
    </w:r>
    <w:r>
      <w:rPr>
        <w:rFonts w:hint="eastAsia" w:ascii="黑体" w:hAnsi="黑体" w:eastAsia="黑体"/>
        <w:lang w:val="en-US" w:eastAsia="zh-CN"/>
      </w:rPr>
      <w:t>X</w:t>
    </w:r>
    <w:r>
      <w:rPr>
        <w:rFonts w:eastAsia="黑体"/>
      </w:rPr>
      <w:t>-20</w:t>
    </w:r>
    <w:r>
      <w:rPr>
        <w:rFonts w:hint="eastAsia" w:ascii="黑体" w:hAnsi="黑体" w:eastAsia="黑体"/>
        <w:lang w:val="en-US" w:eastAsia="zh-CN"/>
      </w:rPr>
      <w:t>2</w:t>
    </w:r>
    <w:r>
      <w:rPr>
        <w:rFonts w:ascii="黑体" w:hAnsi="黑体" w:eastAsia="黑体"/>
      </w:rPr>
      <w:t>X</w:t>
    </w:r>
    <w:r>
      <w:rP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keepNext w:val="0"/>
      <w:keepLines w:val="0"/>
      <w:pageBreakBefore w:val="0"/>
      <w:widowControl/>
      <w:pBdr>
        <w:bottom w:val="none" w:color="auto" w:sz="0" w:space="0"/>
      </w:pBdr>
      <w:kinsoku/>
      <w:wordWrap w:val="0"/>
      <w:overflowPunct/>
      <w:topLinePunct w:val="0"/>
      <w:autoSpaceDE/>
      <w:autoSpaceDN/>
      <w:bidi w:val="0"/>
      <w:adjustRightInd/>
      <w:snapToGrid/>
      <w:spacing w:line="240" w:lineRule="atLeast"/>
      <w:textAlignment w:val="auto"/>
      <w:rPr>
        <w:rFonts w:hint="eastAsia" w:ascii="黑体" w:hAnsi="黑体" w:eastAsia="黑体" w:cs="黑体"/>
        <w:sz w:val="21"/>
        <w:szCs w:val="21"/>
      </w:rPr>
    </w:pPr>
    <w:r>
      <w:rPr>
        <w:rFonts w:hint="eastAsia" w:ascii="黑体" w:hAnsi="黑体" w:eastAsia="黑体" w:cs="黑体"/>
        <w:sz w:val="21"/>
        <w:szCs w:val="21"/>
      </w:rPr>
      <w:t>XB/T XXX</w:t>
    </w:r>
    <w:r>
      <w:rPr>
        <w:rFonts w:hint="eastAsia" w:ascii="黑体" w:hAnsi="黑体" w:eastAsia="黑体" w:cs="黑体"/>
        <w:sz w:val="21"/>
        <w:szCs w:val="21"/>
        <w:lang w:val="en-US" w:eastAsia="zh-CN"/>
      </w:rPr>
      <w:t>X</w:t>
    </w:r>
    <w:r>
      <w:rPr>
        <w:rFonts w:hint="eastAsia" w:ascii="黑体" w:hAnsi="黑体" w:eastAsia="黑体" w:cs="黑体"/>
        <w:sz w:val="21"/>
        <w:szCs w:val="21"/>
      </w:rPr>
      <w:t>-20</w:t>
    </w:r>
    <w:r>
      <w:rPr>
        <w:rFonts w:hint="eastAsia" w:ascii="黑体" w:hAnsi="黑体" w:eastAsia="黑体" w:cs="黑体"/>
        <w:sz w:val="21"/>
        <w:szCs w:val="21"/>
        <w:lang w:val="en-US" w:eastAsia="zh-CN"/>
      </w:rPr>
      <w:t>2</w:t>
    </w:r>
    <w:r>
      <w:rPr>
        <w:rFonts w:hint="eastAsia" w:ascii="黑体" w:hAnsi="黑体" w:eastAsia="黑体" w:cs="黑体"/>
        <w:sz w:val="21"/>
        <w:szCs w:val="21"/>
      </w:rPr>
      <w:t xml:space="preserve">X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right"/>
    </w:pPr>
    <w:r>
      <w:rPr>
        <w:rFonts w:hint="eastAsia" w:ascii="黑体" w:hAnsi="黑体" w:eastAsia="黑体" w:cs="黑体"/>
        <w:sz w:val="21"/>
        <w:szCs w:val="21"/>
      </w:rPr>
      <w:t>XB/T XXX</w:t>
    </w:r>
    <w:r>
      <w:rPr>
        <w:rFonts w:hint="eastAsia" w:ascii="黑体" w:hAnsi="黑体" w:eastAsia="黑体" w:cs="黑体"/>
        <w:sz w:val="21"/>
        <w:szCs w:val="21"/>
        <w:lang w:val="en-US" w:eastAsia="zh-CN"/>
      </w:rPr>
      <w:t>X</w:t>
    </w:r>
    <w:r>
      <w:rPr>
        <w:rFonts w:hint="eastAsia" w:ascii="黑体" w:hAnsi="黑体" w:eastAsia="黑体" w:cs="黑体"/>
        <w:sz w:val="21"/>
        <w:szCs w:val="21"/>
      </w:rPr>
      <w:t>-20</w:t>
    </w:r>
    <w:r>
      <w:rPr>
        <w:rFonts w:hint="eastAsia" w:ascii="黑体" w:hAnsi="黑体" w:eastAsia="黑体" w:cs="黑体"/>
        <w:sz w:val="21"/>
        <w:szCs w:val="21"/>
        <w:lang w:val="en-US" w:eastAsia="zh-CN"/>
      </w:rPr>
      <w:t>2</w:t>
    </w:r>
    <w:r>
      <w:rPr>
        <w:rFonts w:hint="eastAsia" w:ascii="黑体" w:hAnsi="黑体" w:eastAsia="黑体" w:cs="黑体"/>
        <w:sz w:val="21"/>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11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121"/>
      <w:suff w:val="nothing"/>
      <w:lvlText w:val="%1%2.%3.%4.%5.%6　"/>
      <w:lvlJc w:val="left"/>
      <w:pPr>
        <w:ind w:left="0" w:firstLine="0"/>
      </w:pPr>
      <w:rPr>
        <w:rFonts w:hint="eastAsia" w:ascii="黑体" w:hAnsi="Times New Roman" w:eastAsia="黑体"/>
        <w:b w:val="0"/>
        <w:i w:val="0"/>
        <w:sz w:val="21"/>
      </w:rPr>
    </w:lvl>
    <w:lvl w:ilvl="6" w:tentative="0">
      <w:start w:val="1"/>
      <w:numFmt w:val="decimal"/>
      <w:pStyle w:val="1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10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116"/>
      <w:lvlText w:val="%1●　"/>
      <w:lvlJc w:val="left"/>
      <w:pPr>
        <w:tabs>
          <w:tab w:val="left" w:pos="560"/>
        </w:tabs>
        <w:ind w:left="517" w:hanging="317"/>
      </w:pPr>
      <w:rPr>
        <w:rFonts w:hint="eastAsia" w:ascii="宋体" w:hAnsi="Times New Roman" w:eastAsia="宋体"/>
        <w:b w:val="0"/>
        <w:i w:val="0"/>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6806F7D"/>
    <w:multiLevelType w:val="multilevel"/>
    <w:tmpl w:val="46806F7D"/>
    <w:lvl w:ilvl="0" w:tentative="0">
      <w:start w:val="1"/>
      <w:numFmt w:val="none"/>
      <w:pStyle w:val="112"/>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9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11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8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7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tentative="0">
      <w:start w:val="1"/>
      <w:numFmt w:val="none"/>
      <w:pStyle w:val="8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6260FA"/>
    <w:multiLevelType w:val="multilevel"/>
    <w:tmpl w:val="646260FA"/>
    <w:lvl w:ilvl="0" w:tentative="0">
      <w:start w:val="1"/>
      <w:numFmt w:val="decimal"/>
      <w:pStyle w:val="96"/>
      <w:suff w:val="nothing"/>
      <w:lvlText w:val="表%1　"/>
      <w:lvlJc w:val="left"/>
      <w:pPr>
        <w:ind w:left="0" w:firstLine="0"/>
      </w:pPr>
      <w:rPr>
        <w:rFonts w:hint="eastAsia" w:ascii="黑体" w:hAnsi="黑体"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72"/>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tentative="0">
      <w:start w:val="1"/>
      <w:numFmt w:val="none"/>
      <w:pStyle w:val="73"/>
      <w:suff w:val="nothing"/>
      <w:lvlText w:val="%1"/>
      <w:lvlJc w:val="left"/>
      <w:pPr>
        <w:ind w:left="0" w:firstLine="0"/>
      </w:pPr>
      <w:rPr>
        <w:rFonts w:hint="default" w:ascii="Times New Roman" w:hAnsi="Times New Roman"/>
        <w:b/>
        <w:i w:val="0"/>
        <w:sz w:val="21"/>
      </w:rPr>
    </w:lvl>
    <w:lvl w:ilvl="1" w:tentative="0">
      <w:start w:val="1"/>
      <w:numFmt w:val="decimal"/>
      <w:pStyle w:val="119"/>
      <w:suff w:val="nothing"/>
      <w:lvlText w:val="%1%2　"/>
      <w:lvlJc w:val="left"/>
      <w:pPr>
        <w:ind w:left="0" w:firstLine="0"/>
      </w:pPr>
      <w:rPr>
        <w:rFonts w:hint="eastAsia" w:ascii="黑体" w:hAnsi="Times New Roman" w:eastAsia="黑体"/>
        <w:b w:val="0"/>
        <w:i w:val="0"/>
        <w:sz w:val="21"/>
      </w:rPr>
    </w:lvl>
    <w:lvl w:ilvl="2" w:tentative="0">
      <w:start w:val="1"/>
      <w:numFmt w:val="decimal"/>
      <w:pStyle w:val="80"/>
      <w:suff w:val="nothing"/>
      <w:lvlText w:val="%1%2.%3　"/>
      <w:lvlJc w:val="left"/>
      <w:pPr>
        <w:ind w:left="525" w:firstLine="0"/>
      </w:pPr>
      <w:rPr>
        <w:rFonts w:hint="eastAsia" w:ascii="黑体" w:hAnsi="Times New Roman" w:eastAsia="黑体"/>
        <w:b w:val="0"/>
        <w:i w:val="0"/>
        <w:sz w:val="21"/>
      </w:rPr>
    </w:lvl>
    <w:lvl w:ilvl="3" w:tentative="0">
      <w:start w:val="1"/>
      <w:numFmt w:val="decimal"/>
      <w:pStyle w:val="104"/>
      <w:suff w:val="nothing"/>
      <w:lvlText w:val="%1%2.%3.%4　"/>
      <w:lvlJc w:val="left"/>
      <w:pPr>
        <w:ind w:left="735"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pStyle w:val="10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0">
      <w:start w:val="1"/>
      <w:numFmt w:val="none"/>
      <w:pStyle w:val="12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1"/>
  </w:num>
  <w:num w:numId="3">
    <w:abstractNumId w:val="7"/>
  </w:num>
  <w:num w:numId="4">
    <w:abstractNumId w:val="8"/>
  </w:num>
  <w:num w:numId="5">
    <w:abstractNumId w:val="0"/>
  </w:num>
  <w:num w:numId="6">
    <w:abstractNumId w:val="6"/>
  </w:num>
  <w:num w:numId="7">
    <w:abstractNumId w:val="4"/>
  </w:num>
  <w:num w:numId="8">
    <w:abstractNumId w:val="9"/>
  </w:num>
  <w:num w:numId="9">
    <w:abstractNumId w:val="1"/>
  </w:num>
  <w:num w:numId="10">
    <w:abstractNumId w:val="12"/>
  </w:num>
  <w:num w:numId="11">
    <w:abstractNumId w:val="3"/>
  </w:num>
  <w:num w:numId="12">
    <w:abstractNumId w:val="5"/>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317"/>
  <w:displayHorizontalDrawingGridEvery w:val="0"/>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D0"/>
    <w:rsid w:val="000064E7"/>
    <w:rsid w:val="00007948"/>
    <w:rsid w:val="00010373"/>
    <w:rsid w:val="00014096"/>
    <w:rsid w:val="000152B5"/>
    <w:rsid w:val="00020678"/>
    <w:rsid w:val="00025B5D"/>
    <w:rsid w:val="0003203C"/>
    <w:rsid w:val="00035FDE"/>
    <w:rsid w:val="000400BA"/>
    <w:rsid w:val="00044331"/>
    <w:rsid w:val="00044982"/>
    <w:rsid w:val="000524F5"/>
    <w:rsid w:val="0006192B"/>
    <w:rsid w:val="0007202E"/>
    <w:rsid w:val="000801D8"/>
    <w:rsid w:val="00090711"/>
    <w:rsid w:val="00093E3A"/>
    <w:rsid w:val="00096CD5"/>
    <w:rsid w:val="000A5877"/>
    <w:rsid w:val="000B21AD"/>
    <w:rsid w:val="000C0698"/>
    <w:rsid w:val="000C10FD"/>
    <w:rsid w:val="000C45F7"/>
    <w:rsid w:val="000D1619"/>
    <w:rsid w:val="000E188A"/>
    <w:rsid w:val="000E538B"/>
    <w:rsid w:val="000F0ADC"/>
    <w:rsid w:val="000F1532"/>
    <w:rsid w:val="000F1AC1"/>
    <w:rsid w:val="000F6267"/>
    <w:rsid w:val="0010292F"/>
    <w:rsid w:val="001152D1"/>
    <w:rsid w:val="00140CC3"/>
    <w:rsid w:val="00146A79"/>
    <w:rsid w:val="001572C3"/>
    <w:rsid w:val="00162BA0"/>
    <w:rsid w:val="00165254"/>
    <w:rsid w:val="00166784"/>
    <w:rsid w:val="00191C07"/>
    <w:rsid w:val="00195226"/>
    <w:rsid w:val="001975E8"/>
    <w:rsid w:val="001A188E"/>
    <w:rsid w:val="001B4A92"/>
    <w:rsid w:val="001B5F36"/>
    <w:rsid w:val="001B6E21"/>
    <w:rsid w:val="001C3645"/>
    <w:rsid w:val="001D26CA"/>
    <w:rsid w:val="001D4556"/>
    <w:rsid w:val="001E20EB"/>
    <w:rsid w:val="001F0881"/>
    <w:rsid w:val="001F20A4"/>
    <w:rsid w:val="001F2AC4"/>
    <w:rsid w:val="001F6C56"/>
    <w:rsid w:val="00211C03"/>
    <w:rsid w:val="00212342"/>
    <w:rsid w:val="002148D5"/>
    <w:rsid w:val="0021694D"/>
    <w:rsid w:val="00222C34"/>
    <w:rsid w:val="00222EC5"/>
    <w:rsid w:val="002314E2"/>
    <w:rsid w:val="00231973"/>
    <w:rsid w:val="00234996"/>
    <w:rsid w:val="00237AC9"/>
    <w:rsid w:val="002430D3"/>
    <w:rsid w:val="0024326D"/>
    <w:rsid w:val="00256C43"/>
    <w:rsid w:val="00267E2F"/>
    <w:rsid w:val="0027050F"/>
    <w:rsid w:val="002732D5"/>
    <w:rsid w:val="002821A5"/>
    <w:rsid w:val="00295E5F"/>
    <w:rsid w:val="002A1D30"/>
    <w:rsid w:val="002B40D9"/>
    <w:rsid w:val="002B7D2D"/>
    <w:rsid w:val="002D0207"/>
    <w:rsid w:val="002D6F75"/>
    <w:rsid w:val="002F2985"/>
    <w:rsid w:val="00304C7D"/>
    <w:rsid w:val="0030765B"/>
    <w:rsid w:val="00311F60"/>
    <w:rsid w:val="00317A0D"/>
    <w:rsid w:val="00323056"/>
    <w:rsid w:val="00331613"/>
    <w:rsid w:val="00340A7C"/>
    <w:rsid w:val="00343B98"/>
    <w:rsid w:val="003458DE"/>
    <w:rsid w:val="00363D7B"/>
    <w:rsid w:val="0036536F"/>
    <w:rsid w:val="00374AE2"/>
    <w:rsid w:val="00380685"/>
    <w:rsid w:val="00381C64"/>
    <w:rsid w:val="003850FF"/>
    <w:rsid w:val="003862E7"/>
    <w:rsid w:val="00392F3F"/>
    <w:rsid w:val="0039404B"/>
    <w:rsid w:val="00394EBB"/>
    <w:rsid w:val="003A0585"/>
    <w:rsid w:val="003A144D"/>
    <w:rsid w:val="003B4A9F"/>
    <w:rsid w:val="003B5E83"/>
    <w:rsid w:val="003C6F1A"/>
    <w:rsid w:val="003D09E2"/>
    <w:rsid w:val="003D221F"/>
    <w:rsid w:val="003D4C85"/>
    <w:rsid w:val="003D6254"/>
    <w:rsid w:val="003E1569"/>
    <w:rsid w:val="003F736D"/>
    <w:rsid w:val="004031E6"/>
    <w:rsid w:val="004063E1"/>
    <w:rsid w:val="004217A2"/>
    <w:rsid w:val="00425A1B"/>
    <w:rsid w:val="0043141D"/>
    <w:rsid w:val="004659B0"/>
    <w:rsid w:val="00466210"/>
    <w:rsid w:val="0046718C"/>
    <w:rsid w:val="00473547"/>
    <w:rsid w:val="00474F47"/>
    <w:rsid w:val="0048490D"/>
    <w:rsid w:val="004A10FA"/>
    <w:rsid w:val="004A26CF"/>
    <w:rsid w:val="004A6381"/>
    <w:rsid w:val="004A7B6D"/>
    <w:rsid w:val="004B228A"/>
    <w:rsid w:val="004C0CE2"/>
    <w:rsid w:val="004C73D0"/>
    <w:rsid w:val="004D3BE0"/>
    <w:rsid w:val="004D5C8C"/>
    <w:rsid w:val="004E0C90"/>
    <w:rsid w:val="004F4D4E"/>
    <w:rsid w:val="004F5C6E"/>
    <w:rsid w:val="00502809"/>
    <w:rsid w:val="00507DE6"/>
    <w:rsid w:val="00510F68"/>
    <w:rsid w:val="00510F76"/>
    <w:rsid w:val="00511448"/>
    <w:rsid w:val="0051289D"/>
    <w:rsid w:val="00513542"/>
    <w:rsid w:val="0051659A"/>
    <w:rsid w:val="00526A5A"/>
    <w:rsid w:val="00541E26"/>
    <w:rsid w:val="00545035"/>
    <w:rsid w:val="00545C19"/>
    <w:rsid w:val="00553CF1"/>
    <w:rsid w:val="00555695"/>
    <w:rsid w:val="005561F4"/>
    <w:rsid w:val="00563FDD"/>
    <w:rsid w:val="00564A17"/>
    <w:rsid w:val="00570B2D"/>
    <w:rsid w:val="00573ABC"/>
    <w:rsid w:val="005825E5"/>
    <w:rsid w:val="0058260A"/>
    <w:rsid w:val="00586410"/>
    <w:rsid w:val="00593D76"/>
    <w:rsid w:val="005A43B8"/>
    <w:rsid w:val="005B770D"/>
    <w:rsid w:val="005C76B5"/>
    <w:rsid w:val="005D1FD8"/>
    <w:rsid w:val="005D50D5"/>
    <w:rsid w:val="005F1140"/>
    <w:rsid w:val="005F3415"/>
    <w:rsid w:val="005F5FF0"/>
    <w:rsid w:val="005F7768"/>
    <w:rsid w:val="00600A95"/>
    <w:rsid w:val="00602B40"/>
    <w:rsid w:val="006043BD"/>
    <w:rsid w:val="00613B01"/>
    <w:rsid w:val="0063437C"/>
    <w:rsid w:val="006353FC"/>
    <w:rsid w:val="00635CF2"/>
    <w:rsid w:val="00636A5A"/>
    <w:rsid w:val="00637053"/>
    <w:rsid w:val="00641E68"/>
    <w:rsid w:val="00644355"/>
    <w:rsid w:val="0064545A"/>
    <w:rsid w:val="00656002"/>
    <w:rsid w:val="006632BB"/>
    <w:rsid w:val="00664EE5"/>
    <w:rsid w:val="006677D4"/>
    <w:rsid w:val="00675969"/>
    <w:rsid w:val="0068119D"/>
    <w:rsid w:val="00685AB7"/>
    <w:rsid w:val="00685AC8"/>
    <w:rsid w:val="00686998"/>
    <w:rsid w:val="006869FE"/>
    <w:rsid w:val="00686FE6"/>
    <w:rsid w:val="006924DD"/>
    <w:rsid w:val="006B0BC3"/>
    <w:rsid w:val="006C2C42"/>
    <w:rsid w:val="006C404A"/>
    <w:rsid w:val="006E2745"/>
    <w:rsid w:val="006E4389"/>
    <w:rsid w:val="006F12B3"/>
    <w:rsid w:val="006F3F10"/>
    <w:rsid w:val="00700EF8"/>
    <w:rsid w:val="0070206B"/>
    <w:rsid w:val="00715378"/>
    <w:rsid w:val="007345C3"/>
    <w:rsid w:val="00741463"/>
    <w:rsid w:val="0074239E"/>
    <w:rsid w:val="00742B4C"/>
    <w:rsid w:val="007456DD"/>
    <w:rsid w:val="00746A5E"/>
    <w:rsid w:val="00752C76"/>
    <w:rsid w:val="0075390F"/>
    <w:rsid w:val="00754E9A"/>
    <w:rsid w:val="007640B8"/>
    <w:rsid w:val="00764DBC"/>
    <w:rsid w:val="007705D1"/>
    <w:rsid w:val="00774C15"/>
    <w:rsid w:val="007757AA"/>
    <w:rsid w:val="00777A14"/>
    <w:rsid w:val="0078023D"/>
    <w:rsid w:val="0078118A"/>
    <w:rsid w:val="00785924"/>
    <w:rsid w:val="0078682C"/>
    <w:rsid w:val="0078713A"/>
    <w:rsid w:val="00790AFB"/>
    <w:rsid w:val="00794872"/>
    <w:rsid w:val="0079641D"/>
    <w:rsid w:val="007A4595"/>
    <w:rsid w:val="007B1A1B"/>
    <w:rsid w:val="007D3BB7"/>
    <w:rsid w:val="007E04F3"/>
    <w:rsid w:val="007E1041"/>
    <w:rsid w:val="007E727E"/>
    <w:rsid w:val="007F68EA"/>
    <w:rsid w:val="007F7CFB"/>
    <w:rsid w:val="00811D2D"/>
    <w:rsid w:val="00822D99"/>
    <w:rsid w:val="00825395"/>
    <w:rsid w:val="0082733D"/>
    <w:rsid w:val="00834CC4"/>
    <w:rsid w:val="008421D6"/>
    <w:rsid w:val="00852524"/>
    <w:rsid w:val="00854B02"/>
    <w:rsid w:val="0085612A"/>
    <w:rsid w:val="00856B3B"/>
    <w:rsid w:val="0087052F"/>
    <w:rsid w:val="00883809"/>
    <w:rsid w:val="008870D4"/>
    <w:rsid w:val="008A1B61"/>
    <w:rsid w:val="008A43FD"/>
    <w:rsid w:val="008B552B"/>
    <w:rsid w:val="008C12AE"/>
    <w:rsid w:val="008C1C73"/>
    <w:rsid w:val="008D213D"/>
    <w:rsid w:val="008D6EB9"/>
    <w:rsid w:val="008E08EF"/>
    <w:rsid w:val="008E6338"/>
    <w:rsid w:val="008F3602"/>
    <w:rsid w:val="008F3D91"/>
    <w:rsid w:val="008F480C"/>
    <w:rsid w:val="008F592A"/>
    <w:rsid w:val="008F7BE0"/>
    <w:rsid w:val="009015D4"/>
    <w:rsid w:val="00904844"/>
    <w:rsid w:val="00913918"/>
    <w:rsid w:val="009264EE"/>
    <w:rsid w:val="00930AF3"/>
    <w:rsid w:val="00937276"/>
    <w:rsid w:val="00942B62"/>
    <w:rsid w:val="00943A1D"/>
    <w:rsid w:val="00946101"/>
    <w:rsid w:val="0094693C"/>
    <w:rsid w:val="00952E7A"/>
    <w:rsid w:val="00954C36"/>
    <w:rsid w:val="0096083B"/>
    <w:rsid w:val="0096264B"/>
    <w:rsid w:val="00964F0D"/>
    <w:rsid w:val="00973A61"/>
    <w:rsid w:val="00975092"/>
    <w:rsid w:val="0098520F"/>
    <w:rsid w:val="0099065C"/>
    <w:rsid w:val="009943BF"/>
    <w:rsid w:val="00996019"/>
    <w:rsid w:val="00997C1E"/>
    <w:rsid w:val="009A221E"/>
    <w:rsid w:val="009A3CAB"/>
    <w:rsid w:val="009B1233"/>
    <w:rsid w:val="009B1334"/>
    <w:rsid w:val="009B5922"/>
    <w:rsid w:val="009B6185"/>
    <w:rsid w:val="009B74D7"/>
    <w:rsid w:val="009D30C1"/>
    <w:rsid w:val="009D38EB"/>
    <w:rsid w:val="009D7D6B"/>
    <w:rsid w:val="009F2745"/>
    <w:rsid w:val="009F54D3"/>
    <w:rsid w:val="009F6626"/>
    <w:rsid w:val="009F691D"/>
    <w:rsid w:val="00A0012E"/>
    <w:rsid w:val="00A02445"/>
    <w:rsid w:val="00A11641"/>
    <w:rsid w:val="00A1267B"/>
    <w:rsid w:val="00A14DA4"/>
    <w:rsid w:val="00A23A83"/>
    <w:rsid w:val="00A34A54"/>
    <w:rsid w:val="00A42D9B"/>
    <w:rsid w:val="00A43FB8"/>
    <w:rsid w:val="00A44CD1"/>
    <w:rsid w:val="00A46AD9"/>
    <w:rsid w:val="00A47A59"/>
    <w:rsid w:val="00A5725E"/>
    <w:rsid w:val="00A64BC7"/>
    <w:rsid w:val="00A67BFF"/>
    <w:rsid w:val="00A70F31"/>
    <w:rsid w:val="00A72955"/>
    <w:rsid w:val="00A87430"/>
    <w:rsid w:val="00A87F04"/>
    <w:rsid w:val="00A9732A"/>
    <w:rsid w:val="00AA0285"/>
    <w:rsid w:val="00AB193A"/>
    <w:rsid w:val="00AB6523"/>
    <w:rsid w:val="00AB7800"/>
    <w:rsid w:val="00AC2DB7"/>
    <w:rsid w:val="00AC391A"/>
    <w:rsid w:val="00AD11BD"/>
    <w:rsid w:val="00AD2179"/>
    <w:rsid w:val="00AD3C67"/>
    <w:rsid w:val="00AD4F9B"/>
    <w:rsid w:val="00AD67C5"/>
    <w:rsid w:val="00AE1197"/>
    <w:rsid w:val="00AE7DE2"/>
    <w:rsid w:val="00B115BE"/>
    <w:rsid w:val="00B2419A"/>
    <w:rsid w:val="00B2715A"/>
    <w:rsid w:val="00B31619"/>
    <w:rsid w:val="00B31784"/>
    <w:rsid w:val="00B33E40"/>
    <w:rsid w:val="00B37114"/>
    <w:rsid w:val="00B45E13"/>
    <w:rsid w:val="00B53AEF"/>
    <w:rsid w:val="00B53E0D"/>
    <w:rsid w:val="00B606A5"/>
    <w:rsid w:val="00B63A61"/>
    <w:rsid w:val="00B67809"/>
    <w:rsid w:val="00B732D5"/>
    <w:rsid w:val="00B7490A"/>
    <w:rsid w:val="00B74F39"/>
    <w:rsid w:val="00B756D2"/>
    <w:rsid w:val="00B76169"/>
    <w:rsid w:val="00B76386"/>
    <w:rsid w:val="00B76B2B"/>
    <w:rsid w:val="00B842A3"/>
    <w:rsid w:val="00B965B9"/>
    <w:rsid w:val="00B97926"/>
    <w:rsid w:val="00BA6FBA"/>
    <w:rsid w:val="00BA7C7C"/>
    <w:rsid w:val="00BB1D63"/>
    <w:rsid w:val="00BC0C50"/>
    <w:rsid w:val="00BC0EC4"/>
    <w:rsid w:val="00BC473B"/>
    <w:rsid w:val="00BD1F09"/>
    <w:rsid w:val="00BE0B92"/>
    <w:rsid w:val="00BE4512"/>
    <w:rsid w:val="00BF2446"/>
    <w:rsid w:val="00BF4279"/>
    <w:rsid w:val="00BF4989"/>
    <w:rsid w:val="00BF4FE8"/>
    <w:rsid w:val="00BF619E"/>
    <w:rsid w:val="00C1220D"/>
    <w:rsid w:val="00C2076C"/>
    <w:rsid w:val="00C241B2"/>
    <w:rsid w:val="00C242A4"/>
    <w:rsid w:val="00C35295"/>
    <w:rsid w:val="00C363F1"/>
    <w:rsid w:val="00C508AF"/>
    <w:rsid w:val="00C55D82"/>
    <w:rsid w:val="00C7450F"/>
    <w:rsid w:val="00C933B6"/>
    <w:rsid w:val="00C945FD"/>
    <w:rsid w:val="00C977B4"/>
    <w:rsid w:val="00CA1733"/>
    <w:rsid w:val="00CA18DF"/>
    <w:rsid w:val="00CC7DFD"/>
    <w:rsid w:val="00CD0003"/>
    <w:rsid w:val="00CD248C"/>
    <w:rsid w:val="00CD35DD"/>
    <w:rsid w:val="00CD72CD"/>
    <w:rsid w:val="00CE05A9"/>
    <w:rsid w:val="00CE2BF4"/>
    <w:rsid w:val="00CE6AEE"/>
    <w:rsid w:val="00CF1788"/>
    <w:rsid w:val="00CF66B8"/>
    <w:rsid w:val="00CF7BFD"/>
    <w:rsid w:val="00D02B08"/>
    <w:rsid w:val="00D03A74"/>
    <w:rsid w:val="00D07DDC"/>
    <w:rsid w:val="00D1383C"/>
    <w:rsid w:val="00D432CE"/>
    <w:rsid w:val="00D51C1D"/>
    <w:rsid w:val="00D6189E"/>
    <w:rsid w:val="00D6342B"/>
    <w:rsid w:val="00D65B3F"/>
    <w:rsid w:val="00D67ED8"/>
    <w:rsid w:val="00D71E31"/>
    <w:rsid w:val="00D75C9B"/>
    <w:rsid w:val="00D76FA3"/>
    <w:rsid w:val="00D95342"/>
    <w:rsid w:val="00D972BC"/>
    <w:rsid w:val="00DA12DF"/>
    <w:rsid w:val="00DB0761"/>
    <w:rsid w:val="00DB455E"/>
    <w:rsid w:val="00DB6707"/>
    <w:rsid w:val="00DB7D83"/>
    <w:rsid w:val="00DC3F3D"/>
    <w:rsid w:val="00DE1861"/>
    <w:rsid w:val="00DF0B78"/>
    <w:rsid w:val="00DF6CC3"/>
    <w:rsid w:val="00E01FD9"/>
    <w:rsid w:val="00E02153"/>
    <w:rsid w:val="00E07E1E"/>
    <w:rsid w:val="00E1735F"/>
    <w:rsid w:val="00E37A12"/>
    <w:rsid w:val="00E45245"/>
    <w:rsid w:val="00E458D7"/>
    <w:rsid w:val="00E5267C"/>
    <w:rsid w:val="00E53721"/>
    <w:rsid w:val="00E543FD"/>
    <w:rsid w:val="00E55747"/>
    <w:rsid w:val="00E577B5"/>
    <w:rsid w:val="00E635AC"/>
    <w:rsid w:val="00E649D3"/>
    <w:rsid w:val="00E66581"/>
    <w:rsid w:val="00E67FD0"/>
    <w:rsid w:val="00E75CE7"/>
    <w:rsid w:val="00E8291E"/>
    <w:rsid w:val="00EA521F"/>
    <w:rsid w:val="00EC184E"/>
    <w:rsid w:val="00EC7699"/>
    <w:rsid w:val="00EE5FE7"/>
    <w:rsid w:val="00EF084D"/>
    <w:rsid w:val="00EF3F8E"/>
    <w:rsid w:val="00F0026E"/>
    <w:rsid w:val="00F01B59"/>
    <w:rsid w:val="00F17E90"/>
    <w:rsid w:val="00F21248"/>
    <w:rsid w:val="00F31B92"/>
    <w:rsid w:val="00F34C56"/>
    <w:rsid w:val="00F4284D"/>
    <w:rsid w:val="00F45567"/>
    <w:rsid w:val="00F4657E"/>
    <w:rsid w:val="00F608C9"/>
    <w:rsid w:val="00F6229D"/>
    <w:rsid w:val="00F636B8"/>
    <w:rsid w:val="00F67667"/>
    <w:rsid w:val="00F67C85"/>
    <w:rsid w:val="00F70AB8"/>
    <w:rsid w:val="00F717F6"/>
    <w:rsid w:val="00F75274"/>
    <w:rsid w:val="00F75E79"/>
    <w:rsid w:val="00F82753"/>
    <w:rsid w:val="00F8540F"/>
    <w:rsid w:val="00F8668A"/>
    <w:rsid w:val="00F93AC9"/>
    <w:rsid w:val="00FA728B"/>
    <w:rsid w:val="00FA73D4"/>
    <w:rsid w:val="00FB2D4A"/>
    <w:rsid w:val="00FB32F7"/>
    <w:rsid w:val="00FD5D49"/>
    <w:rsid w:val="00FD7B75"/>
    <w:rsid w:val="00FF12F3"/>
    <w:rsid w:val="00FF5037"/>
    <w:rsid w:val="00FF612E"/>
    <w:rsid w:val="00FF7C8D"/>
    <w:rsid w:val="0192652E"/>
    <w:rsid w:val="02D3738A"/>
    <w:rsid w:val="034F0B7A"/>
    <w:rsid w:val="036F2FCB"/>
    <w:rsid w:val="03912F41"/>
    <w:rsid w:val="03A2514E"/>
    <w:rsid w:val="03AF786B"/>
    <w:rsid w:val="040716C4"/>
    <w:rsid w:val="043438CC"/>
    <w:rsid w:val="043F4216"/>
    <w:rsid w:val="045F303F"/>
    <w:rsid w:val="04695C6C"/>
    <w:rsid w:val="047D34C5"/>
    <w:rsid w:val="05143C6F"/>
    <w:rsid w:val="05D830A9"/>
    <w:rsid w:val="05EF5661"/>
    <w:rsid w:val="06982838"/>
    <w:rsid w:val="06F15AA5"/>
    <w:rsid w:val="070E0316"/>
    <w:rsid w:val="072F3CBF"/>
    <w:rsid w:val="07A00102"/>
    <w:rsid w:val="07AA2823"/>
    <w:rsid w:val="08D631A4"/>
    <w:rsid w:val="0A002BCE"/>
    <w:rsid w:val="0A052177"/>
    <w:rsid w:val="0A6F1B02"/>
    <w:rsid w:val="0AAB0D8C"/>
    <w:rsid w:val="0AD86BFC"/>
    <w:rsid w:val="0B010E47"/>
    <w:rsid w:val="0B440899"/>
    <w:rsid w:val="0C18262F"/>
    <w:rsid w:val="0C2500AE"/>
    <w:rsid w:val="0C5B11D5"/>
    <w:rsid w:val="0CAD246E"/>
    <w:rsid w:val="0CE642FD"/>
    <w:rsid w:val="0D236871"/>
    <w:rsid w:val="0D63594E"/>
    <w:rsid w:val="0E947D89"/>
    <w:rsid w:val="0EBF2EE3"/>
    <w:rsid w:val="0F0C3DC3"/>
    <w:rsid w:val="0F751969"/>
    <w:rsid w:val="0F916077"/>
    <w:rsid w:val="0F941CD9"/>
    <w:rsid w:val="105F0101"/>
    <w:rsid w:val="107D21E5"/>
    <w:rsid w:val="10C5422A"/>
    <w:rsid w:val="10C81F6C"/>
    <w:rsid w:val="10E36DA6"/>
    <w:rsid w:val="112A2494"/>
    <w:rsid w:val="11785740"/>
    <w:rsid w:val="12413D84"/>
    <w:rsid w:val="12426F4C"/>
    <w:rsid w:val="12654EE9"/>
    <w:rsid w:val="130628D8"/>
    <w:rsid w:val="133E2072"/>
    <w:rsid w:val="13AF1235"/>
    <w:rsid w:val="14135564"/>
    <w:rsid w:val="155D7127"/>
    <w:rsid w:val="158F4E06"/>
    <w:rsid w:val="1602382A"/>
    <w:rsid w:val="161D2412"/>
    <w:rsid w:val="164D36BC"/>
    <w:rsid w:val="1663076D"/>
    <w:rsid w:val="16777D74"/>
    <w:rsid w:val="16AE750E"/>
    <w:rsid w:val="16E86EC4"/>
    <w:rsid w:val="17253C74"/>
    <w:rsid w:val="17BC6A17"/>
    <w:rsid w:val="18103B50"/>
    <w:rsid w:val="185760AF"/>
    <w:rsid w:val="18697B91"/>
    <w:rsid w:val="186B56B7"/>
    <w:rsid w:val="18A82F10"/>
    <w:rsid w:val="193F130B"/>
    <w:rsid w:val="198711F5"/>
    <w:rsid w:val="1A9B75F2"/>
    <w:rsid w:val="1AC47300"/>
    <w:rsid w:val="1AC474D7"/>
    <w:rsid w:val="1B0B4F2F"/>
    <w:rsid w:val="1B2F50C2"/>
    <w:rsid w:val="1B6E5FB3"/>
    <w:rsid w:val="1B8847D2"/>
    <w:rsid w:val="1BA472FE"/>
    <w:rsid w:val="1BB30D4F"/>
    <w:rsid w:val="1BD12EC4"/>
    <w:rsid w:val="1BD712B5"/>
    <w:rsid w:val="1C1E3F6A"/>
    <w:rsid w:val="1CB3587E"/>
    <w:rsid w:val="1D8D4321"/>
    <w:rsid w:val="1DC27E27"/>
    <w:rsid w:val="1DE026A3"/>
    <w:rsid w:val="1DF47EFC"/>
    <w:rsid w:val="1DF919B7"/>
    <w:rsid w:val="1E1A0430"/>
    <w:rsid w:val="1E391DB3"/>
    <w:rsid w:val="1E4B0382"/>
    <w:rsid w:val="1E560BB7"/>
    <w:rsid w:val="1E967206"/>
    <w:rsid w:val="1F522E7F"/>
    <w:rsid w:val="1F645556"/>
    <w:rsid w:val="1F6B0692"/>
    <w:rsid w:val="1F8654CC"/>
    <w:rsid w:val="1FF16DE9"/>
    <w:rsid w:val="206E2055"/>
    <w:rsid w:val="216D0464"/>
    <w:rsid w:val="21937A2C"/>
    <w:rsid w:val="221E7C3E"/>
    <w:rsid w:val="223E3E3C"/>
    <w:rsid w:val="22623FCE"/>
    <w:rsid w:val="22CD6F6E"/>
    <w:rsid w:val="22F15352"/>
    <w:rsid w:val="23D26F32"/>
    <w:rsid w:val="23FA3D93"/>
    <w:rsid w:val="245517DF"/>
    <w:rsid w:val="24C0322E"/>
    <w:rsid w:val="24FC76BF"/>
    <w:rsid w:val="25950217"/>
    <w:rsid w:val="26345C82"/>
    <w:rsid w:val="26551754"/>
    <w:rsid w:val="265E1D99"/>
    <w:rsid w:val="26FC6074"/>
    <w:rsid w:val="270218DC"/>
    <w:rsid w:val="27547C5E"/>
    <w:rsid w:val="27A40BE5"/>
    <w:rsid w:val="27CC1EEA"/>
    <w:rsid w:val="28341F69"/>
    <w:rsid w:val="285717B4"/>
    <w:rsid w:val="289C366A"/>
    <w:rsid w:val="28BC1F5F"/>
    <w:rsid w:val="296244C7"/>
    <w:rsid w:val="29842A7C"/>
    <w:rsid w:val="2A1B4A63"/>
    <w:rsid w:val="2A636B36"/>
    <w:rsid w:val="2B4104F9"/>
    <w:rsid w:val="2B536BAA"/>
    <w:rsid w:val="2C434F2F"/>
    <w:rsid w:val="2C9E20A7"/>
    <w:rsid w:val="2CEA2186"/>
    <w:rsid w:val="2DA04108"/>
    <w:rsid w:val="2E222864"/>
    <w:rsid w:val="2E4371E8"/>
    <w:rsid w:val="2E692241"/>
    <w:rsid w:val="2FDE6C5E"/>
    <w:rsid w:val="2FF16992"/>
    <w:rsid w:val="301306B6"/>
    <w:rsid w:val="30332B06"/>
    <w:rsid w:val="305D5DD5"/>
    <w:rsid w:val="30A12166"/>
    <w:rsid w:val="3139788A"/>
    <w:rsid w:val="31750EFD"/>
    <w:rsid w:val="31A34E59"/>
    <w:rsid w:val="31C67B3D"/>
    <w:rsid w:val="3207424B"/>
    <w:rsid w:val="322A1CE7"/>
    <w:rsid w:val="32E52D12"/>
    <w:rsid w:val="33114C55"/>
    <w:rsid w:val="34FA1E45"/>
    <w:rsid w:val="3529272A"/>
    <w:rsid w:val="355157DD"/>
    <w:rsid w:val="35812566"/>
    <w:rsid w:val="35B11546"/>
    <w:rsid w:val="361B6516"/>
    <w:rsid w:val="36201D7F"/>
    <w:rsid w:val="364A2958"/>
    <w:rsid w:val="368816D2"/>
    <w:rsid w:val="36BD5820"/>
    <w:rsid w:val="36E032BC"/>
    <w:rsid w:val="37D22C6F"/>
    <w:rsid w:val="38080D1C"/>
    <w:rsid w:val="382947EF"/>
    <w:rsid w:val="38521F98"/>
    <w:rsid w:val="3870241E"/>
    <w:rsid w:val="39A24859"/>
    <w:rsid w:val="39CA2BC5"/>
    <w:rsid w:val="39DE12DE"/>
    <w:rsid w:val="39DF3CFF"/>
    <w:rsid w:val="3A23599A"/>
    <w:rsid w:val="3A43428E"/>
    <w:rsid w:val="3A485400"/>
    <w:rsid w:val="3A8D5509"/>
    <w:rsid w:val="3ACA050B"/>
    <w:rsid w:val="3AEA4709"/>
    <w:rsid w:val="3B0F5F1E"/>
    <w:rsid w:val="3BAA5C47"/>
    <w:rsid w:val="3C0435A9"/>
    <w:rsid w:val="3C2B6D87"/>
    <w:rsid w:val="3C4147FD"/>
    <w:rsid w:val="3C597D99"/>
    <w:rsid w:val="3CF90C34"/>
    <w:rsid w:val="3D9B3AC2"/>
    <w:rsid w:val="3DBF1E7D"/>
    <w:rsid w:val="3DFF227A"/>
    <w:rsid w:val="3E1877DF"/>
    <w:rsid w:val="3E43485C"/>
    <w:rsid w:val="3E7C38CA"/>
    <w:rsid w:val="3FF96F8D"/>
    <w:rsid w:val="40644F5E"/>
    <w:rsid w:val="408B6047"/>
    <w:rsid w:val="40D20119"/>
    <w:rsid w:val="40E65973"/>
    <w:rsid w:val="41166258"/>
    <w:rsid w:val="416A0619"/>
    <w:rsid w:val="41716A01"/>
    <w:rsid w:val="4182569C"/>
    <w:rsid w:val="41A878FC"/>
    <w:rsid w:val="41BE4ECF"/>
    <w:rsid w:val="41D41C6F"/>
    <w:rsid w:val="41EE2D31"/>
    <w:rsid w:val="42374232"/>
    <w:rsid w:val="42843695"/>
    <w:rsid w:val="428B4A24"/>
    <w:rsid w:val="432033BE"/>
    <w:rsid w:val="43664B49"/>
    <w:rsid w:val="43805C0B"/>
    <w:rsid w:val="43C75114"/>
    <w:rsid w:val="43CA425D"/>
    <w:rsid w:val="43D23F8D"/>
    <w:rsid w:val="43DD12AF"/>
    <w:rsid w:val="43DE2931"/>
    <w:rsid w:val="44246EDE"/>
    <w:rsid w:val="452957F2"/>
    <w:rsid w:val="4568104C"/>
    <w:rsid w:val="45CA13BF"/>
    <w:rsid w:val="46211FDA"/>
    <w:rsid w:val="463D4287"/>
    <w:rsid w:val="46AC6227"/>
    <w:rsid w:val="476A2E5A"/>
    <w:rsid w:val="47A63AC8"/>
    <w:rsid w:val="47BB36B5"/>
    <w:rsid w:val="4803505C"/>
    <w:rsid w:val="486A50DB"/>
    <w:rsid w:val="488066AD"/>
    <w:rsid w:val="491F1A22"/>
    <w:rsid w:val="49235EEE"/>
    <w:rsid w:val="492C29B8"/>
    <w:rsid w:val="49374FBE"/>
    <w:rsid w:val="49BE13C9"/>
    <w:rsid w:val="4A1C3D39"/>
    <w:rsid w:val="4A3B288C"/>
    <w:rsid w:val="4A633B90"/>
    <w:rsid w:val="4AD84085"/>
    <w:rsid w:val="4B6776B0"/>
    <w:rsid w:val="4BA6467C"/>
    <w:rsid w:val="4BB328F5"/>
    <w:rsid w:val="4BC35C10"/>
    <w:rsid w:val="4BFC3409"/>
    <w:rsid w:val="4C2970A4"/>
    <w:rsid w:val="4C63256E"/>
    <w:rsid w:val="4CAB0131"/>
    <w:rsid w:val="4CB84667"/>
    <w:rsid w:val="4E1A2AFE"/>
    <w:rsid w:val="4E536DF1"/>
    <w:rsid w:val="4E972DCA"/>
    <w:rsid w:val="4EA74993"/>
    <w:rsid w:val="4FA9296D"/>
    <w:rsid w:val="4FB56C3C"/>
    <w:rsid w:val="4FDF63AF"/>
    <w:rsid w:val="4FED2824"/>
    <w:rsid w:val="5066262C"/>
    <w:rsid w:val="50AE646C"/>
    <w:rsid w:val="50E27F05"/>
    <w:rsid w:val="50EE4AFC"/>
    <w:rsid w:val="51254295"/>
    <w:rsid w:val="51823496"/>
    <w:rsid w:val="51CF3EE1"/>
    <w:rsid w:val="52546BE0"/>
    <w:rsid w:val="53E2646E"/>
    <w:rsid w:val="53E421E6"/>
    <w:rsid w:val="53F341D7"/>
    <w:rsid w:val="54DC792D"/>
    <w:rsid w:val="56694C24"/>
    <w:rsid w:val="57256D9D"/>
    <w:rsid w:val="57CD1923"/>
    <w:rsid w:val="584B45E2"/>
    <w:rsid w:val="589D0A22"/>
    <w:rsid w:val="589D0BB5"/>
    <w:rsid w:val="599C695F"/>
    <w:rsid w:val="59FB5B93"/>
    <w:rsid w:val="5A201A9E"/>
    <w:rsid w:val="5A7F0572"/>
    <w:rsid w:val="5AE66844"/>
    <w:rsid w:val="5B182775"/>
    <w:rsid w:val="5B5254FB"/>
    <w:rsid w:val="5B9C5154"/>
    <w:rsid w:val="5BBF488A"/>
    <w:rsid w:val="5D5757D7"/>
    <w:rsid w:val="5DF474C9"/>
    <w:rsid w:val="5E0F1C0D"/>
    <w:rsid w:val="5E37623F"/>
    <w:rsid w:val="5EB6477F"/>
    <w:rsid w:val="5F587BA4"/>
    <w:rsid w:val="5F610B8F"/>
    <w:rsid w:val="5F93686E"/>
    <w:rsid w:val="5FB707AE"/>
    <w:rsid w:val="5FC44C79"/>
    <w:rsid w:val="5FC67619"/>
    <w:rsid w:val="6031230F"/>
    <w:rsid w:val="606E2250"/>
    <w:rsid w:val="60AA3E6F"/>
    <w:rsid w:val="60DA0BF8"/>
    <w:rsid w:val="60F90953"/>
    <w:rsid w:val="610C4B2A"/>
    <w:rsid w:val="610F0176"/>
    <w:rsid w:val="6166248C"/>
    <w:rsid w:val="61D355A0"/>
    <w:rsid w:val="61DA3F61"/>
    <w:rsid w:val="61F061FA"/>
    <w:rsid w:val="62465009"/>
    <w:rsid w:val="63116428"/>
    <w:rsid w:val="631F6D97"/>
    <w:rsid w:val="63441B2B"/>
    <w:rsid w:val="63AE747B"/>
    <w:rsid w:val="63C314EE"/>
    <w:rsid w:val="63C82F8A"/>
    <w:rsid w:val="647C7284"/>
    <w:rsid w:val="64B41760"/>
    <w:rsid w:val="64D37D8E"/>
    <w:rsid w:val="64E5191A"/>
    <w:rsid w:val="64EF09EB"/>
    <w:rsid w:val="65A25A5D"/>
    <w:rsid w:val="65DF45BB"/>
    <w:rsid w:val="66111AE9"/>
    <w:rsid w:val="667B0788"/>
    <w:rsid w:val="66E520A5"/>
    <w:rsid w:val="67184229"/>
    <w:rsid w:val="67923F85"/>
    <w:rsid w:val="680D18B3"/>
    <w:rsid w:val="690F3409"/>
    <w:rsid w:val="692A76BD"/>
    <w:rsid w:val="6945507D"/>
    <w:rsid w:val="698A6748"/>
    <w:rsid w:val="69AC0C58"/>
    <w:rsid w:val="69BB533F"/>
    <w:rsid w:val="6A42336B"/>
    <w:rsid w:val="6B217424"/>
    <w:rsid w:val="6B563571"/>
    <w:rsid w:val="6B8424D8"/>
    <w:rsid w:val="6C1F5711"/>
    <w:rsid w:val="6C7E3841"/>
    <w:rsid w:val="6C970213"/>
    <w:rsid w:val="6CA93DE5"/>
    <w:rsid w:val="6CB57E24"/>
    <w:rsid w:val="6D594C53"/>
    <w:rsid w:val="6D785A21"/>
    <w:rsid w:val="6D800432"/>
    <w:rsid w:val="6D88378A"/>
    <w:rsid w:val="6DB77BCC"/>
    <w:rsid w:val="6DF8446C"/>
    <w:rsid w:val="6E05302D"/>
    <w:rsid w:val="6E34071B"/>
    <w:rsid w:val="6E6B7334"/>
    <w:rsid w:val="6E995BCB"/>
    <w:rsid w:val="6EC627BC"/>
    <w:rsid w:val="6EF2710D"/>
    <w:rsid w:val="6EFE7602"/>
    <w:rsid w:val="6F4D4C8B"/>
    <w:rsid w:val="6F541B76"/>
    <w:rsid w:val="6FC727DF"/>
    <w:rsid w:val="703025E3"/>
    <w:rsid w:val="703A6323"/>
    <w:rsid w:val="70BD7BEF"/>
    <w:rsid w:val="70CC1BE0"/>
    <w:rsid w:val="717C1858"/>
    <w:rsid w:val="718030F6"/>
    <w:rsid w:val="71F15DA2"/>
    <w:rsid w:val="7218332F"/>
    <w:rsid w:val="72556331"/>
    <w:rsid w:val="72F0605A"/>
    <w:rsid w:val="730B4C41"/>
    <w:rsid w:val="73DE616E"/>
    <w:rsid w:val="74107412"/>
    <w:rsid w:val="74FA31C0"/>
    <w:rsid w:val="74FB2A94"/>
    <w:rsid w:val="753D12FE"/>
    <w:rsid w:val="755503F6"/>
    <w:rsid w:val="76B51AA4"/>
    <w:rsid w:val="77364257"/>
    <w:rsid w:val="77585F7B"/>
    <w:rsid w:val="77B5188E"/>
    <w:rsid w:val="78EE303B"/>
    <w:rsid w:val="794847B8"/>
    <w:rsid w:val="7959153D"/>
    <w:rsid w:val="7A2108FB"/>
    <w:rsid w:val="7B6A594A"/>
    <w:rsid w:val="7C2428D0"/>
    <w:rsid w:val="7C565CBA"/>
    <w:rsid w:val="7C8D2B6B"/>
    <w:rsid w:val="7D450D50"/>
    <w:rsid w:val="7D690EE2"/>
    <w:rsid w:val="7E281B36"/>
    <w:rsid w:val="7EEA1DBB"/>
    <w:rsid w:val="7EF8763B"/>
    <w:rsid w:val="7F4514DB"/>
    <w:rsid w:val="7F8E2E82"/>
    <w:rsid w:val="7FD91C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360" w:lineRule="exact"/>
      <w:ind w:firstLine="3755"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120" w:after="120" w:line="460" w:lineRule="exact"/>
      <w:ind w:firstLine="0" w:firstLineChars="0"/>
      <w:outlineLvl w:val="1"/>
    </w:pPr>
    <w:rPr>
      <w:rFonts w:ascii="黑体" w:hAnsi="黑体" w:eastAsia="黑体"/>
      <w:bCs/>
      <w:szCs w:val="32"/>
    </w:rPr>
  </w:style>
  <w:style w:type="paragraph" w:styleId="4">
    <w:name w:val="heading 3"/>
    <w:basedOn w:val="1"/>
    <w:next w:val="1"/>
    <w:link w:val="52"/>
    <w:qFormat/>
    <w:uiPriority w:val="0"/>
    <w:pPr>
      <w:keepNext/>
      <w:keepLines/>
      <w:spacing w:line="360" w:lineRule="exact"/>
      <w:ind w:firstLine="0" w:firstLineChars="0"/>
      <w:outlineLvl w:val="2"/>
    </w:pPr>
    <w:rPr>
      <w:rFonts w:ascii="黑体" w:hAnsi="黑体" w:eastAsia="黑体"/>
      <w:bCs/>
      <w:szCs w:val="32"/>
    </w:rPr>
  </w:style>
  <w:style w:type="paragraph" w:styleId="5">
    <w:name w:val="heading 4"/>
    <w:basedOn w:val="1"/>
    <w:next w:val="1"/>
    <w:link w:val="53"/>
    <w:qFormat/>
    <w:uiPriority w:val="0"/>
    <w:pPr>
      <w:keepNext/>
      <w:keepLines/>
      <w:spacing w:before="0" w:after="0" w:line="360" w:lineRule="exact"/>
      <w:ind w:firstLine="0" w:firstLineChars="0"/>
      <w:outlineLvl w:val="3"/>
    </w:pPr>
    <w:rPr>
      <w:rFonts w:ascii="黑体" w:hAnsi="黑体" w:eastAsia="黑体"/>
      <w:bCs/>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qFormat/>
    <w:uiPriority w:val="0"/>
  </w:style>
  <w:style w:type="table" w:default="1" w:styleId="33">
    <w:name w:val="Normal Table"/>
    <w:semiHidden/>
    <w:uiPriority w:val="0"/>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qFormat/>
    <w:uiPriority w:val="0"/>
  </w:style>
  <w:style w:type="paragraph" w:styleId="13">
    <w:name w:val="toc 5"/>
    <w:basedOn w:val="14"/>
    <w:next w:val="1"/>
    <w:semiHidden/>
    <w:uiPriority w:val="0"/>
  </w:style>
  <w:style w:type="paragraph" w:styleId="14">
    <w:name w:val="toc 4"/>
    <w:basedOn w:val="15"/>
    <w:next w:val="1"/>
    <w:semiHidden/>
    <w:qFormat/>
    <w:uiPriority w:val="0"/>
  </w:style>
  <w:style w:type="paragraph" w:styleId="15">
    <w:name w:val="toc 3"/>
    <w:basedOn w:val="16"/>
    <w:next w:val="1"/>
    <w:semiHidden/>
    <w:uiPriority w:val="0"/>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annotation text"/>
    <w:basedOn w:val="1"/>
    <w:link w:val="54"/>
    <w:unhideWhenUsed/>
    <w:qFormat/>
    <w:uiPriority w:val="99"/>
    <w:pPr>
      <w:spacing w:line="360" w:lineRule="auto"/>
      <w:jc w:val="left"/>
    </w:pPr>
    <w:rPr>
      <w:rFonts w:ascii="宋体" w:hAnsi="宋体"/>
    </w:rPr>
  </w:style>
  <w:style w:type="paragraph" w:styleId="19">
    <w:name w:val="Body Text Indent"/>
    <w:basedOn w:val="1"/>
    <w:link w:val="55"/>
    <w:qFormat/>
    <w:uiPriority w:val="0"/>
    <w:pPr>
      <w:spacing w:line="360" w:lineRule="auto"/>
      <w:ind w:firstLine="480" w:firstLineChars="200"/>
    </w:pPr>
    <w:rPr>
      <w:rFonts w:ascii="宋体" w:hAnsi="宋体"/>
      <w:color w:val="FF0000"/>
      <w:sz w:val="24"/>
    </w:r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uiPriority w:val="0"/>
    <w:pPr>
      <w:ind w:left="100" w:leftChars="2500"/>
    </w:pPr>
  </w:style>
  <w:style w:type="paragraph" w:styleId="23">
    <w:name w:val="Balloon Text"/>
    <w:basedOn w:val="1"/>
    <w:link w:val="56"/>
    <w:qFormat/>
    <w:uiPriority w:val="0"/>
    <w:rPr>
      <w:sz w:val="18"/>
      <w:szCs w:val="18"/>
    </w:rPr>
  </w:style>
  <w:style w:type="paragraph" w:styleId="24">
    <w:name w:val="footer"/>
    <w:basedOn w:val="1"/>
    <w:link w:val="57"/>
    <w:qFormat/>
    <w:uiPriority w:val="99"/>
    <w:pPr>
      <w:tabs>
        <w:tab w:val="center" w:pos="4153"/>
        <w:tab w:val="right" w:pos="8306"/>
      </w:tabs>
      <w:snapToGrid w:val="0"/>
      <w:ind w:right="210" w:rightChars="100"/>
      <w:jc w:val="righ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Body Text Indent 3"/>
    <w:basedOn w:val="1"/>
    <w:link w:val="58"/>
    <w:qFormat/>
    <w:uiPriority w:val="0"/>
    <w:pPr>
      <w:spacing w:line="360" w:lineRule="auto"/>
      <w:ind w:firstLine="480" w:firstLineChars="200"/>
    </w:pPr>
    <w:rPr>
      <w:rFonts w:ascii="宋体" w:hAnsi="宋体"/>
      <w:sz w:val="24"/>
    </w:rPr>
  </w:style>
  <w:style w:type="paragraph" w:styleId="28">
    <w:name w:val="toc 9"/>
    <w:basedOn w:val="21"/>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0"/>
    <w:pPr>
      <w:spacing w:before="240" w:after="60"/>
      <w:jc w:val="center"/>
      <w:outlineLvl w:val="0"/>
    </w:pPr>
    <w:rPr>
      <w:rFonts w:ascii="Arial" w:hAnsi="Arial" w:eastAsia="黑体" w:cs="Arial"/>
      <w:bCs/>
      <w:sz w:val="28"/>
      <w:szCs w:val="32"/>
    </w:rPr>
  </w:style>
  <w:style w:type="paragraph" w:styleId="32">
    <w:name w:val="annotation subject"/>
    <w:basedOn w:val="18"/>
    <w:next w:val="18"/>
    <w:link w:val="59"/>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164396"/>
      <w:u w:val="none"/>
    </w:rPr>
  </w:style>
  <w:style w:type="character" w:styleId="39">
    <w:name w:val="Emphasis"/>
    <w:qFormat/>
    <w:uiPriority w:val="0"/>
  </w:style>
  <w:style w:type="character" w:styleId="40">
    <w:name w:val="HTML Definition"/>
    <w:qFormat/>
    <w:uiPriority w:val="0"/>
    <w:rPr>
      <w:i/>
      <w:iCs/>
    </w:rPr>
  </w:style>
  <w:style w:type="character" w:styleId="41">
    <w:name w:val="HTML Typewriter"/>
    <w:qFormat/>
    <w:uiPriority w:val="0"/>
    <w:rPr>
      <w:rFonts w:ascii="Courier New" w:hAnsi="Courier New"/>
      <w:sz w:val="20"/>
      <w:szCs w:val="20"/>
    </w:rPr>
  </w:style>
  <w:style w:type="character" w:styleId="42">
    <w:name w:val="HTML Acronym"/>
    <w:basedOn w:val="35"/>
    <w:qFormat/>
    <w:uiPriority w:val="0"/>
  </w:style>
  <w:style w:type="character" w:styleId="43">
    <w:name w:val="HTML Variable"/>
    <w:qFormat/>
    <w:uiPriority w:val="0"/>
    <w:rPr>
      <w:i/>
      <w:iCs/>
    </w:rPr>
  </w:style>
  <w:style w:type="character" w:styleId="44">
    <w:name w:val="Hyperlink"/>
    <w:qFormat/>
    <w:uiPriority w:val="99"/>
    <w:rPr>
      <w:rFonts w:ascii="Times New Roman" w:hAnsi="Times New Roman" w:eastAsia="宋体"/>
      <w:color w:val="auto"/>
      <w:spacing w:val="0"/>
      <w:w w:val="100"/>
      <w:position w:val="0"/>
      <w:sz w:val="21"/>
      <w:u w:val="none"/>
      <w:vertAlign w:val="baseline"/>
    </w:rPr>
  </w:style>
  <w:style w:type="character" w:styleId="45">
    <w:name w:val="HTML Code"/>
    <w:qFormat/>
    <w:uiPriority w:val="0"/>
    <w:rPr>
      <w:rFonts w:ascii="Courier New" w:hAnsi="Courier New"/>
      <w:sz w:val="20"/>
      <w:szCs w:val="20"/>
    </w:rPr>
  </w:style>
  <w:style w:type="character" w:styleId="46">
    <w:name w:val="annotation reference"/>
    <w:unhideWhenUsed/>
    <w:qFormat/>
    <w:uiPriority w:val="99"/>
    <w:rPr>
      <w:sz w:val="21"/>
      <w:szCs w:val="21"/>
    </w:rPr>
  </w:style>
  <w:style w:type="character" w:styleId="47">
    <w:name w:val="HTML Cite"/>
    <w:qFormat/>
    <w:uiPriority w:val="0"/>
    <w:rPr>
      <w:i/>
      <w:iCs/>
    </w:rPr>
  </w:style>
  <w:style w:type="character" w:styleId="48">
    <w:name w:val="footnote reference"/>
    <w:semiHidden/>
    <w:qFormat/>
    <w:uiPriority w:val="0"/>
    <w:rPr>
      <w:vertAlign w:val="superscript"/>
    </w:rPr>
  </w:style>
  <w:style w:type="character" w:styleId="49">
    <w:name w:val="HTML Keyboard"/>
    <w:qFormat/>
    <w:uiPriority w:val="0"/>
    <w:rPr>
      <w:rFonts w:ascii="Courier New" w:hAnsi="Courier New"/>
      <w:sz w:val="20"/>
      <w:szCs w:val="20"/>
    </w:rPr>
  </w:style>
  <w:style w:type="character" w:styleId="50">
    <w:name w:val="HTML Sample"/>
    <w:qFormat/>
    <w:uiPriority w:val="0"/>
    <w:rPr>
      <w:rFonts w:ascii="Courier New" w:hAnsi="Courier New"/>
    </w:rPr>
  </w:style>
  <w:style w:type="character" w:customStyle="1" w:styleId="51">
    <w:name w:val="标题 1 Char"/>
    <w:link w:val="2"/>
    <w:qFormat/>
    <w:uiPriority w:val="9"/>
    <w:rPr>
      <w:b/>
      <w:bCs/>
      <w:kern w:val="44"/>
      <w:sz w:val="44"/>
      <w:szCs w:val="44"/>
    </w:rPr>
  </w:style>
  <w:style w:type="character" w:customStyle="1" w:styleId="52">
    <w:name w:val="标题 3 Char"/>
    <w:link w:val="4"/>
    <w:qFormat/>
    <w:uiPriority w:val="0"/>
    <w:rPr>
      <w:rFonts w:ascii="黑体" w:hAnsi="黑体" w:eastAsia="黑体"/>
      <w:bCs/>
      <w:szCs w:val="32"/>
    </w:rPr>
  </w:style>
  <w:style w:type="character" w:customStyle="1" w:styleId="53">
    <w:name w:val="标题 4 Char"/>
    <w:link w:val="5"/>
    <w:qFormat/>
    <w:uiPriority w:val="0"/>
    <w:rPr>
      <w:rFonts w:ascii="黑体" w:hAnsi="黑体" w:eastAsia="黑体"/>
      <w:bCs/>
      <w:sz w:val="21"/>
      <w:szCs w:val="28"/>
    </w:rPr>
  </w:style>
  <w:style w:type="character" w:customStyle="1" w:styleId="54">
    <w:name w:val="批注文字 Char"/>
    <w:link w:val="18"/>
    <w:qFormat/>
    <w:uiPriority w:val="99"/>
    <w:rPr>
      <w:rFonts w:ascii="宋体" w:hAnsi="宋体"/>
      <w:kern w:val="2"/>
      <w:sz w:val="21"/>
      <w:szCs w:val="24"/>
    </w:rPr>
  </w:style>
  <w:style w:type="character" w:customStyle="1" w:styleId="55">
    <w:name w:val="正文文本缩进 Char"/>
    <w:link w:val="19"/>
    <w:qFormat/>
    <w:uiPriority w:val="0"/>
    <w:rPr>
      <w:rFonts w:ascii="宋体" w:hAnsi="宋体"/>
      <w:color w:val="FF0000"/>
      <w:kern w:val="2"/>
      <w:sz w:val="24"/>
      <w:szCs w:val="24"/>
    </w:rPr>
  </w:style>
  <w:style w:type="character" w:customStyle="1" w:styleId="56">
    <w:name w:val="批注框文本 Char"/>
    <w:link w:val="23"/>
    <w:qFormat/>
    <w:uiPriority w:val="0"/>
    <w:rPr>
      <w:kern w:val="2"/>
      <w:sz w:val="18"/>
      <w:szCs w:val="18"/>
    </w:rPr>
  </w:style>
  <w:style w:type="character" w:customStyle="1" w:styleId="57">
    <w:name w:val="页脚 Char"/>
    <w:link w:val="24"/>
    <w:qFormat/>
    <w:uiPriority w:val="99"/>
    <w:rPr>
      <w:kern w:val="2"/>
      <w:sz w:val="18"/>
      <w:szCs w:val="18"/>
    </w:rPr>
  </w:style>
  <w:style w:type="character" w:customStyle="1" w:styleId="58">
    <w:name w:val="正文文本缩进 3 Char"/>
    <w:link w:val="27"/>
    <w:qFormat/>
    <w:uiPriority w:val="0"/>
    <w:rPr>
      <w:rFonts w:ascii="宋体" w:hAnsi="宋体"/>
      <w:kern w:val="2"/>
      <w:sz w:val="24"/>
      <w:szCs w:val="24"/>
    </w:rPr>
  </w:style>
  <w:style w:type="character" w:customStyle="1" w:styleId="59">
    <w:name w:val="批注主题 Char"/>
    <w:link w:val="32"/>
    <w:qFormat/>
    <w:uiPriority w:val="0"/>
    <w:rPr>
      <w:rFonts w:ascii="宋体" w:hAnsi="宋体"/>
      <w:b/>
      <w:bCs/>
      <w:kern w:val="2"/>
      <w:sz w:val="21"/>
      <w:szCs w:val="24"/>
    </w:rPr>
  </w:style>
  <w:style w:type="character" w:customStyle="1" w:styleId="60">
    <w:name w:val="发布"/>
    <w:qFormat/>
    <w:uiPriority w:val="0"/>
    <w:rPr>
      <w:rFonts w:ascii="黑体" w:eastAsia="黑体"/>
      <w:spacing w:val="22"/>
      <w:w w:val="100"/>
      <w:position w:val="3"/>
      <w:sz w:val="28"/>
    </w:rPr>
  </w:style>
  <w:style w:type="character" w:customStyle="1" w:styleId="61">
    <w:name w:val="个人答复风格"/>
    <w:uiPriority w:val="0"/>
    <w:rPr>
      <w:rFonts w:ascii="Arial" w:hAnsi="Arial" w:eastAsia="宋体" w:cs="Arial"/>
      <w:color w:val="auto"/>
      <w:sz w:val="20"/>
    </w:rPr>
  </w:style>
  <w:style w:type="character" w:customStyle="1" w:styleId="62">
    <w:name w:val="个人撰写风格"/>
    <w:uiPriority w:val="0"/>
    <w:rPr>
      <w:rFonts w:ascii="Arial" w:hAnsi="Arial" w:eastAsia="宋体" w:cs="Arial"/>
      <w:color w:val="auto"/>
      <w:sz w:val="20"/>
    </w:rPr>
  </w:style>
  <w:style w:type="paragraph" w:customStyle="1" w:styleId="63">
    <w:name w:val="图表脚注"/>
    <w:next w:val="6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4">
    <w:name w:val="段"/>
    <w:link w:val="6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段 Char"/>
    <w:link w:val="64"/>
    <w:qFormat/>
    <w:uiPriority w:val="0"/>
    <w:rPr>
      <w:rFonts w:ascii="宋体"/>
      <w:sz w:val="21"/>
    </w:rPr>
  </w:style>
  <w:style w:type="paragraph" w:customStyle="1" w:styleId="6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8">
    <w:name w:val="附录章标题"/>
    <w:next w:val="64"/>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2">
    <w:name w:val="附录标识"/>
    <w:basedOn w:val="73"/>
    <w:qFormat/>
    <w:uiPriority w:val="0"/>
    <w:pPr>
      <w:numPr>
        <w:ilvl w:val="0"/>
        <w:numId w:val="1"/>
      </w:numPr>
      <w:tabs>
        <w:tab w:val="left" w:pos="6405"/>
      </w:tabs>
      <w:spacing w:after="200"/>
    </w:pPr>
    <w:rPr>
      <w:sz w:val="21"/>
    </w:rPr>
  </w:style>
  <w:style w:type="paragraph" w:customStyle="1" w:styleId="73">
    <w:name w:val="前言、引言标题"/>
    <w:next w:val="1"/>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附录四级条标题"/>
    <w:basedOn w:val="75"/>
    <w:next w:val="64"/>
    <w:uiPriority w:val="0"/>
    <w:pPr>
      <w:numPr>
        <w:ilvl w:val="5"/>
        <w:numId w:val="1"/>
      </w:numPr>
      <w:outlineLvl w:val="5"/>
    </w:pPr>
  </w:style>
  <w:style w:type="paragraph" w:customStyle="1" w:styleId="75">
    <w:name w:val="附录三级条标题"/>
    <w:basedOn w:val="76"/>
    <w:next w:val="64"/>
    <w:uiPriority w:val="0"/>
    <w:pPr>
      <w:numPr>
        <w:ilvl w:val="4"/>
        <w:numId w:val="1"/>
      </w:numPr>
      <w:outlineLvl w:val="4"/>
    </w:pPr>
  </w:style>
  <w:style w:type="paragraph" w:customStyle="1" w:styleId="76">
    <w:name w:val="附录二级条标题"/>
    <w:basedOn w:val="77"/>
    <w:next w:val="64"/>
    <w:uiPriority w:val="0"/>
    <w:pPr>
      <w:numPr>
        <w:ilvl w:val="3"/>
        <w:numId w:val="1"/>
      </w:numPr>
      <w:outlineLvl w:val="3"/>
    </w:pPr>
  </w:style>
  <w:style w:type="paragraph" w:customStyle="1" w:styleId="77">
    <w:name w:val="附录一级条标题"/>
    <w:basedOn w:val="68"/>
    <w:next w:val="64"/>
    <w:uiPriority w:val="0"/>
    <w:pPr>
      <w:numPr>
        <w:ilvl w:val="2"/>
        <w:numId w:val="1"/>
      </w:numPr>
      <w:autoSpaceDN w:val="0"/>
      <w:spacing w:before="0" w:beforeLines="0" w:after="0" w:afterLines="0"/>
      <w:outlineLvl w:val="2"/>
    </w:pPr>
  </w:style>
  <w:style w:type="paragraph" w:customStyle="1" w:styleId="78">
    <w:name w:val="正文图标题"/>
    <w:next w:val="64"/>
    <w:uiPriority w:val="0"/>
    <w:pPr>
      <w:numPr>
        <w:ilvl w:val="0"/>
        <w:numId w:val="3"/>
      </w:numPr>
      <w:jc w:val="center"/>
    </w:pPr>
    <w:rPr>
      <w:rFonts w:ascii="黑体" w:hAnsi="Times New Roman" w:eastAsia="黑体" w:cs="Times New Roman"/>
      <w:sz w:val="21"/>
      <w:lang w:val="en-US" w:eastAsia="zh-CN" w:bidi="ar-SA"/>
    </w:rPr>
  </w:style>
  <w:style w:type="paragraph" w:customStyle="1" w:styleId="79">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0">
    <w:name w:val="一级条标题"/>
    <w:next w:val="64"/>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81">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2">
    <w:name w:val="三级无标题条"/>
    <w:basedOn w:val="1"/>
    <w:qFormat/>
    <w:uiPriority w:val="0"/>
    <w:pPr>
      <w:numPr>
        <w:ilvl w:val="4"/>
        <w:numId w:val="5"/>
      </w:numPr>
    </w:pPr>
  </w:style>
  <w:style w:type="paragraph" w:customStyle="1" w:styleId="83">
    <w:name w:val="实施日期"/>
    <w:basedOn w:val="66"/>
    <w:qFormat/>
    <w:uiPriority w:val="0"/>
    <w:pPr>
      <w:framePr w:hSpace="0" w:xAlign="right"/>
      <w:jc w:val="right"/>
    </w:p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标准书眉一"/>
    <w:qFormat/>
    <w:uiPriority w:val="0"/>
    <w:pPr>
      <w:jc w:val="both"/>
    </w:pPr>
    <w:rPr>
      <w:rFonts w:ascii="Times New Roman" w:hAnsi="Times New Roman" w:eastAsia="宋体" w:cs="Times New Roman"/>
      <w:lang w:val="en-US" w:eastAsia="zh-CN" w:bidi="ar-SA"/>
    </w:rPr>
  </w:style>
  <w:style w:type="paragraph" w:customStyle="1" w:styleId="86">
    <w:name w:val="封面标准代替信息"/>
    <w:basedOn w:val="87"/>
    <w:qFormat/>
    <w:uiPriority w:val="0"/>
    <w:pPr>
      <w:spacing w:before="57"/>
    </w:pPr>
    <w:rPr>
      <w:rFonts w:ascii="宋体"/>
      <w:sz w:val="21"/>
    </w:rPr>
  </w:style>
  <w:style w:type="paragraph" w:customStyle="1" w:styleId="87">
    <w:name w:val="封面标准号2"/>
    <w:basedOn w:val="84"/>
    <w:qFormat/>
    <w:uiPriority w:val="0"/>
    <w:pPr>
      <w:framePr w:w="9138" w:h="1244" w:hRule="exact" w:wrap="around" w:vAnchor="page" w:hAnchor="margin" w:y="2908"/>
      <w:adjustRightInd w:val="0"/>
      <w:spacing w:before="357" w:line="280" w:lineRule="exact"/>
    </w:pPr>
  </w:style>
  <w:style w:type="paragraph" w:customStyle="1" w:styleId="88">
    <w:name w:val="附录表标题"/>
    <w:next w:val="64"/>
    <w:uiPriority w:val="0"/>
    <w:pPr>
      <w:numPr>
        <w:ilvl w:val="0"/>
        <w:numId w:val="6"/>
      </w:numPr>
      <w:jc w:val="center"/>
      <w:textAlignment w:val="baseline"/>
    </w:pPr>
    <w:rPr>
      <w:rFonts w:ascii="黑体" w:hAnsi="Times New Roman" w:eastAsia="黑体" w:cs="Times New Roman"/>
      <w:kern w:val="21"/>
      <w:sz w:val="21"/>
      <w:lang w:val="en-US" w:eastAsia="zh-CN" w:bidi="ar-SA"/>
    </w:rPr>
  </w:style>
  <w:style w:type="paragraph" w:customStyle="1" w:styleId="89">
    <w:name w:val="标准书眉_偶数页"/>
    <w:basedOn w:val="90"/>
    <w:next w:val="1"/>
    <w:uiPriority w:val="0"/>
    <w:pPr>
      <w:tabs>
        <w:tab w:val="center" w:pos="4154"/>
        <w:tab w:val="right" w:pos="8306"/>
      </w:tabs>
      <w:jc w:val="left"/>
    </w:pPr>
  </w:style>
  <w:style w:type="paragraph" w:customStyle="1" w:styleId="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3">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94">
    <w:name w:val="附录五级条标题"/>
    <w:basedOn w:val="74"/>
    <w:next w:val="64"/>
    <w:uiPriority w:val="0"/>
    <w:pPr>
      <w:numPr>
        <w:ilvl w:val="6"/>
        <w:numId w:val="1"/>
      </w:numPr>
      <w:outlineLvl w:val="6"/>
    </w:pPr>
  </w:style>
  <w:style w:type="paragraph" w:customStyle="1" w:styleId="95">
    <w:name w:val="条文脚注"/>
    <w:basedOn w:val="26"/>
    <w:qFormat/>
    <w:uiPriority w:val="0"/>
    <w:pPr>
      <w:ind w:left="780" w:leftChars="200" w:hanging="360" w:hangingChars="200"/>
      <w:jc w:val="both"/>
    </w:pPr>
    <w:rPr>
      <w:rFonts w:ascii="宋体"/>
    </w:rPr>
  </w:style>
  <w:style w:type="paragraph" w:customStyle="1" w:styleId="96">
    <w:name w:val="正文表标题"/>
    <w:next w:val="64"/>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7">
    <w:name w:val="目次、标准名称标题"/>
    <w:basedOn w:val="73"/>
    <w:next w:val="64"/>
    <w:qFormat/>
    <w:uiPriority w:val="0"/>
    <w:pPr>
      <w:spacing w:line="460" w:lineRule="exact"/>
    </w:pPr>
  </w:style>
  <w:style w:type="paragraph" w:customStyle="1" w:styleId="98">
    <w:name w:val="p19"/>
    <w:basedOn w:val="1"/>
    <w:qFormat/>
    <w:uiPriority w:val="0"/>
    <w:pPr>
      <w:widowControl/>
      <w:ind w:firstLine="420"/>
    </w:pPr>
    <w:rPr>
      <w:rFonts w:ascii="宋体" w:hAnsi="宋体" w:cs="宋体"/>
      <w:kern w:val="0"/>
      <w:szCs w:val="21"/>
    </w:rPr>
  </w:style>
  <w:style w:type="paragraph" w:customStyle="1" w:styleId="9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0">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01">
    <w:name w:val="示例"/>
    <w:next w:val="64"/>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2">
    <w:name w:val="四级条标题"/>
    <w:basedOn w:val="103"/>
    <w:next w:val="64"/>
    <w:qFormat/>
    <w:uiPriority w:val="0"/>
    <w:pPr>
      <w:numPr>
        <w:ilvl w:val="5"/>
        <w:numId w:val="2"/>
      </w:numPr>
      <w:outlineLvl w:val="5"/>
    </w:pPr>
  </w:style>
  <w:style w:type="paragraph" w:customStyle="1" w:styleId="103">
    <w:name w:val="三级条标题"/>
    <w:basedOn w:val="104"/>
    <w:next w:val="64"/>
    <w:uiPriority w:val="0"/>
    <w:pPr>
      <w:numPr>
        <w:ilvl w:val="4"/>
        <w:numId w:val="2"/>
      </w:numPr>
      <w:outlineLvl w:val="4"/>
    </w:pPr>
  </w:style>
  <w:style w:type="paragraph" w:customStyle="1" w:styleId="104">
    <w:name w:val="二级条标题"/>
    <w:basedOn w:val="80"/>
    <w:next w:val="64"/>
    <w:qFormat/>
    <w:uiPriority w:val="0"/>
    <w:pPr>
      <w:numPr>
        <w:ilvl w:val="3"/>
        <w:numId w:val="2"/>
      </w:numPr>
      <w:outlineLvl w:val="3"/>
    </w:pPr>
  </w:style>
  <w:style w:type="paragraph" w:customStyle="1" w:styleId="105">
    <w:name w:val="注："/>
    <w:next w:val="64"/>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6">
    <w:name w:val="其他发布部门"/>
    <w:basedOn w:val="69"/>
    <w:uiPriority w:val="0"/>
    <w:pPr>
      <w:spacing w:line="0" w:lineRule="atLeast"/>
    </w:pPr>
    <w:rPr>
      <w:rFonts w:ascii="黑体" w:eastAsia="黑体"/>
      <w:b w:val="0"/>
    </w:rPr>
  </w:style>
  <w:style w:type="paragraph" w:customStyle="1" w:styleId="10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8">
    <w:name w:val="参考文献、索引标题"/>
    <w:basedOn w:val="73"/>
    <w:next w:val="1"/>
    <w:uiPriority w:val="0"/>
    <w:pPr>
      <w:numPr>
        <w:ilvl w:val="0"/>
        <w:numId w:val="0"/>
      </w:numPr>
      <w:spacing w:after="200"/>
    </w:pPr>
    <w:rPr>
      <w:sz w:val="21"/>
    </w:rPr>
  </w:style>
  <w:style w:type="paragraph" w:customStyle="1" w:styleId="10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1">
    <w:name w:val="二级无标题条"/>
    <w:basedOn w:val="1"/>
    <w:uiPriority w:val="0"/>
    <w:pPr>
      <w:numPr>
        <w:ilvl w:val="3"/>
        <w:numId w:val="5"/>
      </w:numPr>
    </w:pPr>
  </w:style>
  <w:style w:type="paragraph" w:customStyle="1" w:styleId="112">
    <w:name w:val="附录图标题"/>
    <w:next w:val="64"/>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113">
    <w:name w:val="注×："/>
    <w:qFormat/>
    <w:uiPriority w:val="0"/>
    <w:pPr>
      <w:widowControl w:val="0"/>
      <w:numPr>
        <w:ilvl w:val="0"/>
        <w:numId w:val="1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6">
    <w:name w:val="列项·"/>
    <w:qFormat/>
    <w:uiPriority w:val="0"/>
    <w:pPr>
      <w:numPr>
        <w:ilvl w:val="0"/>
        <w:numId w:val="13"/>
      </w:numPr>
      <w:tabs>
        <w:tab w:val="left" w:pos="840"/>
        <w:tab w:val="clear" w:pos="560"/>
      </w:tabs>
      <w:ind w:left="840" w:leftChars="200" w:hanging="420" w:hangingChars="200"/>
      <w:jc w:val="both"/>
    </w:pPr>
    <w:rPr>
      <w:rFonts w:ascii="宋体" w:hAnsi="Times New Roman" w:eastAsia="宋体" w:cs="Times New Roman"/>
      <w:sz w:val="21"/>
      <w:lang w:val="en-US" w:eastAsia="zh-CN" w:bidi="ar-SA"/>
    </w:r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章标题"/>
    <w:next w:val="64"/>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1">
    <w:name w:val="四级无标题条"/>
    <w:basedOn w:val="1"/>
    <w:uiPriority w:val="0"/>
    <w:pPr>
      <w:numPr>
        <w:ilvl w:val="5"/>
        <w:numId w:val="5"/>
      </w:numPr>
    </w:pPr>
  </w:style>
  <w:style w:type="paragraph" w:customStyle="1" w:styleId="12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3">
    <w:name w:val="五级条标题"/>
    <w:basedOn w:val="102"/>
    <w:next w:val="64"/>
    <w:qFormat/>
    <w:uiPriority w:val="0"/>
    <w:pPr>
      <w:numPr>
        <w:ilvl w:val="6"/>
        <w:numId w:val="2"/>
      </w:numPr>
      <w:outlineLvl w:val="6"/>
    </w:pPr>
  </w:style>
  <w:style w:type="paragraph" w:customStyle="1" w:styleId="124">
    <w:name w:val="p18"/>
    <w:basedOn w:val="1"/>
    <w:qFormat/>
    <w:uiPriority w:val="0"/>
    <w:pPr>
      <w:widowControl/>
      <w:spacing w:beforeLines="50" w:afterLines="50"/>
      <w:jc w:val="left"/>
    </w:pPr>
    <w:rPr>
      <w:rFonts w:ascii="黑体" w:hAnsi="宋体" w:eastAsia="黑体" w:cs="宋体"/>
      <w:kern w:val="0"/>
      <w:szCs w:val="21"/>
    </w:rPr>
  </w:style>
  <w:style w:type="paragraph" w:customStyle="1" w:styleId="125">
    <w:name w:val="列项——（一级）"/>
    <w:uiPriority w:val="0"/>
    <w:pPr>
      <w:widowControl w:val="0"/>
      <w:numPr>
        <w:ilvl w:val="0"/>
        <w:numId w:val="14"/>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26">
    <w:name w:val="五级无标题条"/>
    <w:basedOn w:val="1"/>
    <w:qFormat/>
    <w:uiPriority w:val="0"/>
    <w:pPr>
      <w:numPr>
        <w:ilvl w:val="6"/>
        <w:numId w:val="5"/>
      </w:numPr>
    </w:pPr>
  </w:style>
  <w:style w:type="paragraph" w:customStyle="1" w:styleId="12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ENFI表体"/>
    <w:basedOn w:val="1"/>
    <w:qFormat/>
    <w:uiPriority w:val="0"/>
    <w:pPr>
      <w:widowControl/>
      <w:adjustRightInd w:val="0"/>
      <w:snapToGrid w:val="0"/>
      <w:spacing w:line="240" w:lineRule="atLeast"/>
      <w:jc w:val="left"/>
    </w:pPr>
    <w:rPr>
      <w:rFonts w:ascii="宋体" w:hAnsi="宋体" w:eastAsia="仿宋"/>
      <w:kern w:val="0"/>
    </w:rPr>
  </w:style>
  <w:style w:type="paragraph" w:customStyle="1" w:styleId="129">
    <w:name w:val="CM1"/>
    <w:basedOn w:val="130"/>
    <w:next w:val="130"/>
    <w:qFormat/>
    <w:uiPriority w:val="99"/>
    <w:rPr>
      <w:rFonts w:cs="Times New Roman"/>
      <w:color w:val="auto"/>
    </w:rPr>
  </w:style>
  <w:style w:type="paragraph" w:customStyle="1" w:styleId="1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1">
    <w:name w:val="List Paragraph"/>
    <w:basedOn w:val="1"/>
    <w:qFormat/>
    <w:uiPriority w:val="34"/>
    <w:pPr>
      <w:spacing w:line="360" w:lineRule="auto"/>
      <w:ind w:firstLine="420"/>
    </w:pPr>
    <w:rPr>
      <w:rFonts w:ascii="宋体" w:hAnsi="宋体"/>
    </w:rPr>
  </w:style>
  <w:style w:type="paragraph" w:customStyle="1" w:styleId="132">
    <w:name w:val="终结线"/>
    <w:basedOn w:val="1"/>
    <w:qFormat/>
    <w:uiPriority w:val="0"/>
    <w:pPr>
      <w:framePr w:hSpace="181" w:vSpace="181" w:wrap="around" w:vAnchor="text" w:hAnchor="margin" w:xAlign="center" w:y="285"/>
      <w:spacing w:line="360" w:lineRule="auto"/>
    </w:pPr>
    <w:rPr>
      <w:rFonts w:ascii="宋体" w:hAnsi="宋体"/>
    </w:rPr>
  </w:style>
  <w:style w:type="paragraph" w:customStyle="1" w:styleId="133">
    <w:name w:val="p17"/>
    <w:basedOn w:val="1"/>
    <w:qFormat/>
    <w:uiPriority w:val="0"/>
    <w:pPr>
      <w:widowControl/>
      <w:ind w:firstLine="420"/>
    </w:pPr>
    <w:rPr>
      <w:rFonts w:ascii="宋体" w:hAnsi="宋体" w:cs="宋体"/>
      <w:kern w:val="0"/>
      <w:szCs w:val="21"/>
    </w:rPr>
  </w:style>
  <w:style w:type="paragraph" w:customStyle="1" w:styleId="1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wnloads\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21</Pages>
  <Words>2265</Words>
  <Characters>12912</Characters>
  <Lines>107</Lines>
  <Paragraphs>30</Paragraphs>
  <TotalTime>1</TotalTime>
  <ScaleCrop>false</ScaleCrop>
  <LinksUpToDate>false</LinksUpToDate>
  <CharactersWithSpaces>15147</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2020-11-20T09:06:00Z</dcterms:created>
  <dc:creator>Administrator</dc:creator>
  <cp:lastModifiedBy>Devil</cp:lastModifiedBy>
  <cp:lastPrinted>2020-11-13T01:20:00Z</cp:lastPrinted>
  <dcterms:modified xsi:type="dcterms:W3CDTF">2022-03-28T00:54:35Z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2052-11.1.0.11369</vt:lpwstr>
  </property>
  <property fmtid="{D5CDD505-2E9C-101B-9397-08002B2CF9AE}" pid="4" name="ICV">
    <vt:lpwstr>25271A99B979483786593604B0C28282</vt:lpwstr>
  </property>
</Properties>
</file>