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ind w:right="-1"/>
        <w:jc w:val="left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附件：</w:t>
      </w:r>
    </w:p>
    <w:p>
      <w:pPr>
        <w:spacing w:line="360" w:lineRule="auto"/>
        <w:ind w:firstLine="560" w:firstLineChars="200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《镍合金化学分析方法 第2部分： 磷含量的测定 钼蓝分光光度法》等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项国家标准任务落实会议纪要</w:t>
      </w:r>
    </w:p>
    <w:p>
      <w:pPr>
        <w:spacing w:line="360" w:lineRule="auto"/>
        <w:ind w:firstLine="480" w:firstLineChars="200"/>
        <w:rPr>
          <w:rFonts w:hint="default" w:ascii="宋体" w:hAnsi="宋体" w:eastAsia="宋体" w:cs="Times New Roman"/>
          <w:color w:val="auto"/>
          <w:sz w:val="24"/>
          <w:lang w:val="en-US" w:eastAsia="zh-CN"/>
        </w:rPr>
      </w:pPr>
      <w:r>
        <w:rPr>
          <w:rFonts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21日</w:t>
      </w:r>
      <w:r>
        <w:rPr>
          <w:rFonts w:ascii="宋体" w:hAnsi="宋体"/>
          <w:sz w:val="24"/>
        </w:rPr>
        <w:t>，全国有色金属标准化技术委员会</w:t>
      </w:r>
      <w:r>
        <w:rPr>
          <w:rFonts w:hint="eastAsia" w:ascii="宋体" w:hAnsi="宋体"/>
          <w:sz w:val="24"/>
          <w:lang w:val="en-US" w:eastAsia="zh-CN"/>
        </w:rPr>
        <w:t>通过网络</w:t>
      </w:r>
      <w:r>
        <w:rPr>
          <w:rFonts w:ascii="宋体" w:hAnsi="宋体"/>
          <w:sz w:val="24"/>
        </w:rPr>
        <w:t>召开了</w:t>
      </w:r>
      <w:r>
        <w:rPr>
          <w:rFonts w:hint="eastAsia" w:ascii="宋体" w:hAnsi="宋体"/>
          <w:sz w:val="24"/>
        </w:rPr>
        <w:t>《镍合金化学分析方法 第2部分： 磷含量的测定 钼蓝分光光度法》等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项国家标准任务落实会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。</w:t>
      </w:r>
      <w:r>
        <w:rPr>
          <w:rFonts w:hint="eastAsia" w:ascii="宋体" w:hAnsi="宋体" w:eastAsia="宋体" w:cs="Times New Roman"/>
          <w:sz w:val="24"/>
          <w:lang w:val="en-US" w:eastAsia="zh-CN"/>
        </w:rPr>
        <w:t>来自</w:t>
      </w:r>
      <w:bookmarkStart w:id="0" w:name="OLE_LINK1"/>
      <w:r>
        <w:rPr>
          <w:rFonts w:hint="eastAsia" w:ascii="宋体" w:hAnsi="宋体" w:eastAsia="宋体" w:cs="Times New Roman"/>
          <w:sz w:val="24"/>
          <w:lang w:val="en-US" w:eastAsia="zh-CN"/>
        </w:rPr>
        <w:t>北矿检测技术有限公司、大冶有色设计研究院有限公司、防城港市东途矿产检测有限公司、福建紫金矿冶测试技术有限公司、广东省科学院工业分析检测中心、广西壮族自治区分析测试研究中心、国标（北京）检验认证有限公司、国合通用（青岛）测试评价有限公司、呼伦贝尔驰宏矿业有限公司、湖南有色金属研究院有限责任公司、金川集团股份有限公司、酒泉钢铁（集团）有限责任公司、山西太钢不锈钢股份有限公司、山西铜蓝检测技术有限公司、深圳市中金岭南有色金属股份有限公司、铜陵有色金属集团控股有限公司、五矿铜业（湖南）有限公司、云南华联锌铟股份有限公司、长沙矿冶院检测技术有限责任公司、中国检验认证集团广东有限公司黄埔分公司、中国检验认证集团广西有限公司、中国有色桂林矿产地质研究院有限公司、株洲冶炼集团股份有限公司等</w:t>
      </w:r>
      <w:bookmarkEnd w:id="0"/>
      <w:r>
        <w:rPr>
          <w:rFonts w:hint="eastAsia" w:ascii="宋体" w:hAnsi="宋体" w:eastAsia="宋体" w:cs="Times New Roman"/>
          <w:sz w:val="24"/>
          <w:lang w:val="en-US" w:eastAsia="zh-CN"/>
        </w:rPr>
        <w:t>20多家单位的40余</w:t>
      </w:r>
      <w:r>
        <w:rPr>
          <w:rFonts w:hint="eastAsia" w:ascii="宋体" w:hAnsi="宋体" w:eastAsia="宋体" w:cs="Times New Roman"/>
          <w:color w:val="auto"/>
          <w:sz w:val="24"/>
          <w:lang w:val="en-US" w:eastAsia="zh-CN"/>
        </w:rPr>
        <w:t>位代表参加了会议。</w:t>
      </w:r>
    </w:p>
    <w:p>
      <w:pPr>
        <w:snapToGrid w:val="0"/>
        <w:spacing w:before="120" w:beforeLines="50" w:line="360" w:lineRule="auto"/>
        <w:ind w:firstLine="480" w:firstLineChars="200"/>
        <w:rPr>
          <w:rFonts w:ascii="宋体" w:hAnsi="宋体"/>
          <w:sz w:val="24"/>
        </w:rPr>
        <w:sectPr>
          <w:headerReference r:id="rId3" w:type="default"/>
          <w:headerReference r:id="rId4" w:type="even"/>
          <w:pgSz w:w="11906" w:h="16838"/>
          <w:pgMar w:top="1418" w:right="992" w:bottom="1418" w:left="1418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color w:val="auto"/>
          <w:sz w:val="24"/>
        </w:rPr>
        <w:t>会议对</w:t>
      </w:r>
      <w:r>
        <w:rPr>
          <w:rFonts w:hint="eastAsia" w:ascii="宋体" w:hAnsi="宋体"/>
          <w:sz w:val="24"/>
        </w:rPr>
        <w:t>《镍合金化学分析方法 第2部分： 磷含量的测定 钼蓝分光光度法》</w:t>
      </w:r>
      <w:r>
        <w:rPr>
          <w:rFonts w:hint="eastAsia" w:ascii="宋体" w:hAnsi="宋体"/>
          <w:color w:val="auto"/>
          <w:sz w:val="24"/>
          <w:lang w:val="en-US" w:eastAsia="zh-CN"/>
        </w:rPr>
        <w:t>等4项国家标准</w:t>
      </w:r>
      <w:r>
        <w:rPr>
          <w:rFonts w:hint="eastAsia" w:ascii="宋体" w:hAnsi="宋体"/>
          <w:sz w:val="24"/>
        </w:rPr>
        <w:t>进行了任务落实</w:t>
      </w:r>
      <w:r>
        <w:rPr>
          <w:rFonts w:hint="eastAsia" w:ascii="宋体" w:hAnsi="宋体"/>
          <w:sz w:val="24"/>
          <w:lang w:val="en-US" w:eastAsia="zh-CN"/>
        </w:rPr>
        <w:t>，</w:t>
      </w:r>
      <w:r>
        <w:rPr>
          <w:rFonts w:hint="eastAsia" w:ascii="宋体" w:hAnsi="宋体"/>
          <w:sz w:val="24"/>
        </w:rPr>
        <w:t>形成会议纪要如下：</w:t>
      </w:r>
    </w:p>
    <w:tbl>
      <w:tblPr>
        <w:tblStyle w:val="4"/>
        <w:tblW w:w="15104" w:type="dxa"/>
        <w:tblInd w:w="-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713"/>
        <w:gridCol w:w="1450"/>
        <w:gridCol w:w="1125"/>
        <w:gridCol w:w="1387"/>
        <w:gridCol w:w="3938"/>
        <w:gridCol w:w="4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  <w:tblHeader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项目计划号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测定范围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起草单位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一验单位</w:t>
            </w:r>
          </w:p>
        </w:tc>
        <w:tc>
          <w:tcPr>
            <w:tcW w:w="490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二验单位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国标委发[2021]41号20214807-T-610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镍合金化学分析方法 第2部分： 磷含量的测定 钼蓝分光光度法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0.001%~0.025%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广东省科学院工业分析检测中心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深圳市中金岭南有色金属股份有限公司、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北矿检测技术有限公司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、中国检验认证集团广西有限公司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福建紫金矿冶测试技术有限公司</w:t>
            </w:r>
          </w:p>
        </w:tc>
        <w:tc>
          <w:tcPr>
            <w:tcW w:w="4904" w:type="dxa"/>
            <w:noWrap w:val="0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金川集团有限公司、国标（北京）检验认证有限公司、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国合通用（青岛）测试评价有限公司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、酒泉钢铁（集团）有限责任公司、呼伦贝尔驰宏矿业有限公司、中国有色桂林矿产地质研究院有限公司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国标委发[2021]41号20214802-T-610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镍合金化学分析方法 第5部分： 铝含量的测定 电感耦合等离子体原子发射光谱法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</w:rPr>
              <w:t>0.2%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~</w:t>
            </w:r>
            <w:r>
              <w:rPr>
                <w:rFonts w:hint="eastAsia" w:ascii="Calibri" w:hAnsi="Calibri" w:eastAsia="宋体" w:cs="Times New Roman"/>
              </w:rPr>
              <w:t>4%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深圳市中金岭南有色金属股份有限公司、深圳市中金岭南有色金属股份有限公司韶关冶炼厂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eastAsia="宋体" w:cs="Times New Roman"/>
                <w:color w:val="auto"/>
                <w:spacing w:val="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广东省科学院工业分析检测中心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、浙江华友钴业股份有限公司、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铜陵有色金属集团控股有限公司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金川集团股份有限公司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山西太钢不锈钢股份有限公司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湖南有色金属研究院有限责任公司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云南华联锌铟股份有限公司</w:t>
            </w:r>
          </w:p>
        </w:tc>
        <w:tc>
          <w:tcPr>
            <w:tcW w:w="4904" w:type="dxa"/>
            <w:noWrap w:val="0"/>
            <w:vAlign w:val="center"/>
          </w:tcPr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eastAsia="宋体" w:cs="Times New Roman"/>
                <w:color w:val="auto"/>
                <w:spacing w:val="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中国检验认证集团广西有限公司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北矿检测技术有限公司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株洲冶炼集团股份有限公司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国合通用（青岛）测试评价有限公司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、山西北方铜业有限公司、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呼伦贝尔驰宏矿业有限公司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大冶有色设计研究院有限公司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中国有色桂林矿产地质研究院有限公司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、紫金铜业有限公司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防城港市东途矿产检测有限公司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酒泉钢铁（集团）有限责任公司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中国检验认证集团广东有限公司黄埔分公司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国标委发[2021]41号20214808-T-610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镍合金化学分析方法 第6部分： 硅含量的测定 钼蓝分光光度法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</w:rPr>
              <w:t>0.2%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~</w:t>
            </w:r>
            <w:r>
              <w:rPr>
                <w:rFonts w:hint="eastAsia" w:ascii="Calibri" w:hAnsi="Calibri" w:eastAsia="宋体" w:cs="Times New Roman"/>
              </w:rPr>
              <w:t>1%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深圳市中金岭南有色金属股份有限公司、深圳市中金岭南有色金属股份有限公司韶关冶炼厂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eastAsia="宋体" w:cs="Times New Roman"/>
                <w:color w:val="auto"/>
                <w:spacing w:val="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北矿检测技术有限公司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福建紫金矿冶测试技术有限公司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广东省科学院工业分析检测中心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山西太钢不锈钢股份有限公司、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湖南有色金属研究院有限责任公司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呼伦贝尔驰宏矿业有限公司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长沙矿冶院检测技术有限责任公司</w:t>
            </w:r>
          </w:p>
        </w:tc>
        <w:tc>
          <w:tcPr>
            <w:tcW w:w="4904" w:type="dxa"/>
            <w:noWrap w:val="0"/>
            <w:vAlign w:val="center"/>
          </w:tcPr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eastAsia="宋体" w:cs="Times New Roman"/>
                <w:color w:val="auto"/>
                <w:spacing w:val="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浙江华友钴业股份有限公司、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金川集团股份有限公司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中国检验认证集团广西有限公司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国合通用（青岛）测试评价有限公司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酒泉钢铁（集团）有限责任公司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中国有色桂林矿产地质研究院有限公司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云南华联锌铟股份有限公司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铜陵有色金属集团控股有限公司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中国检验认证集团广东有限公司黄埔分公司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、紫金铜业有限公司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58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国标委发[2021]41号20214803-T-610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镍合金化学分析方法 第7部分： 钒含量的测定 电感耦合等离子体原子发射光谱法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</w:rPr>
              <w:t>0.05%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~</w:t>
            </w:r>
            <w:r>
              <w:rPr>
                <w:rFonts w:hint="eastAsia" w:ascii="Calibri" w:hAnsi="Calibri" w:eastAsia="宋体" w:cs="Times New Roman"/>
              </w:rPr>
              <w:t>1%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深圳市中金岭南有色金属股份有限公司、深圳市中金岭南有色金属股份有限公司韶关冶炼厂</w:t>
            </w:r>
          </w:p>
        </w:tc>
        <w:tc>
          <w:tcPr>
            <w:tcW w:w="3938" w:type="dxa"/>
            <w:noWrap w:val="0"/>
            <w:vAlign w:val="center"/>
          </w:tcPr>
          <w:p>
            <w:pPr>
              <w:spacing w:line="360" w:lineRule="auto"/>
              <w:ind w:right="57" w:rightChars="0"/>
              <w:jc w:val="both"/>
              <w:rPr>
                <w:rFonts w:hint="eastAsia" w:ascii="Times New Roman" w:hAnsi="Times New Roman" w:eastAsia="宋体" w:cs="Times New Roman"/>
                <w:color w:val="auto"/>
                <w:spacing w:val="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金川集团股份有限公司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广东省科学院工业分析检测中心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株洲冶炼集团股份有限公司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国标（北京）检验认证有限公司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中国检验认证集团广西有限公司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、浙江华友钴业股份有限公司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山西太钢不锈钢股份有限公司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、山西北方铜业有限公司</w:t>
            </w:r>
          </w:p>
        </w:tc>
        <w:tc>
          <w:tcPr>
            <w:tcW w:w="4904" w:type="dxa"/>
            <w:noWrap w:val="0"/>
            <w:vAlign w:val="center"/>
          </w:tcPr>
          <w:p>
            <w:pPr>
              <w:spacing w:line="360" w:lineRule="auto"/>
              <w:ind w:right="57"/>
              <w:jc w:val="both"/>
              <w:rPr>
                <w:rFonts w:hint="default" w:ascii="Times New Roman" w:hAnsi="Times New Roman" w:eastAsia="宋体" w:cs="Times New Roman"/>
                <w:color w:val="auto"/>
                <w:spacing w:val="8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北矿检测技术有限公司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国合通用（青岛）测试评价有限公司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大冶有色设计研究院有限公司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长沙矿冶院检测技术有限责任公司、酒泉钢铁（集团）有限责任公司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湖南有色金属研究院有限责任公司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中国有色桂林矿产地质研究院有限公司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中国检验认证集团广东有限公司黄埔分公司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铜陵有色金属集团控股有限公司、防城港市东途矿产检测有限公司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</w:rPr>
              <w:t>、紫金铜业有限公司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5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云南华联锌铟股份有限公司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3750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时间安排</w:t>
            </w:r>
          </w:p>
        </w:tc>
        <w:tc>
          <w:tcPr>
            <w:tcW w:w="11354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2022年3月，完成样品的准备。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2022年6月，完成试验报告，进行验证。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2022年8月，验证单位提交验证报告。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2022年9月预审。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2022年12月审定。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3750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样品提供单位</w:t>
            </w:r>
          </w:p>
        </w:tc>
        <w:tc>
          <w:tcPr>
            <w:tcW w:w="11354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金川集团有限公司、酒泉钢铁（集团）有限责任公司、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山西太钢不锈钢股份有限公司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广东省科学院工业分析检测中心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选择具有适当质量分数间隔（梯度选择要能覆盖最低点和最高点且尽可能不同合金牌号）的不少于4个点的试验样品。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750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  <w:tc>
          <w:tcPr>
            <w:tcW w:w="11354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镍合金化学分析方法 第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5、6、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  <w:t>7部分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修改为双方法，方法一等同采用ISO火焰原子吸收光谱法，确认有设备的单位提供验证数据；方法二为新增方法，分别按照表内落实单位开展试验。</w:t>
            </w:r>
          </w:p>
        </w:tc>
      </w:tr>
    </w:tbl>
    <w:p>
      <w:pPr>
        <w:snapToGrid w:val="0"/>
        <w:spacing w:line="400" w:lineRule="atLeast"/>
        <w:ind w:right="-1"/>
        <w:rPr>
          <w:rFonts w:hint="eastAsia" w:ascii="宋体" w:hAnsi="宋体"/>
          <w:sz w:val="24"/>
        </w:rPr>
        <w:sectPr>
          <w:headerReference r:id="rId5" w:type="default"/>
          <w:headerReference r:id="rId6" w:type="even"/>
          <w:pgSz w:w="16838" w:h="11906" w:orient="landscape"/>
          <w:pgMar w:top="1418" w:right="1418" w:bottom="992" w:left="1418" w:header="851" w:footer="992" w:gutter="0"/>
          <w:cols w:space="720" w:num="1"/>
          <w:docGrid w:linePitch="312" w:charSpace="0"/>
        </w:sectPr>
      </w:pPr>
    </w:p>
    <w:p>
      <w:pPr>
        <w:snapToGrid w:val="0"/>
        <w:spacing w:line="400" w:lineRule="atLeast"/>
        <w:ind w:right="-1"/>
        <w:rPr>
          <w:rFonts w:hint="eastAsia" w:ascii="宋体" w:hAnsi="宋体"/>
          <w:sz w:val="24"/>
        </w:rPr>
      </w:pPr>
    </w:p>
    <w:p>
      <w:pPr>
        <w:bidi w:val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439" w:firstLineChars="0"/>
        <w:jc w:val="left"/>
        <w:rPr>
          <w:rFonts w:hint="eastAsia"/>
          <w:lang w:val="en-US" w:eastAsia="zh-CN"/>
        </w:rPr>
      </w:pPr>
    </w:p>
    <w:p>
      <w:bookmarkStart w:id="1" w:name="_GoBack"/>
      <w:bookmarkEnd w:id="1"/>
    </w:p>
    <w:sectPr>
      <w:headerReference r:id="rId7" w:type="default"/>
      <w:headerReference r:id="rId8" w:type="even"/>
      <w:type w:val="continuous"/>
      <w:pgSz w:w="11906" w:h="16838"/>
      <w:pgMar w:top="1418" w:right="1418" w:bottom="1418" w:left="992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A07F7"/>
    <w:rsid w:val="39A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ind w:firstLine="800"/>
    </w:pPr>
    <w:rPr>
      <w:rFonts w:ascii="Calibri" w:hAnsi="Calibri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2022-01-27T06:28:00Z</dcterms:created>
  <dc:creator>CathayMok</dc:creator>
  <cp:lastModifiedBy>CathayMok</cp:lastModifiedBy>
  <dcterms:modified xsi:type="dcterms:W3CDTF">2022-01-27T06:28:44Z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78841230D33946A8A230031C6897C29F</vt:lpwstr>
  </property>
</Properties>
</file>