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framePr w:wrap="around"/>
        <w:rPr>
          <w:color w:val="000000" w:themeColor="text1"/>
          <w14:textFill>
            <w14:solidFill>
              <w14:schemeClr w14:val="tx1"/>
            </w14:solidFill>
          </w14:textFill>
        </w:rPr>
      </w:pPr>
      <w:r>
        <w:rPr>
          <w:rFonts w:hAnsi="黑体"/>
          <w:color w:val="000000" w:themeColor="text1"/>
          <w14:textFill>
            <w14:solidFill>
              <w14:schemeClr w14:val="tx1"/>
            </w14:solidFill>
          </w14:textFill>
        </w:rPr>
        <w:t>ICS</w:t>
      </w:r>
      <w:r>
        <w:rPr>
          <w:rFonts w:hint="eastAsia" w:ascii="MS Mincho" w:hAnsi="MS Mincho" w:eastAsia="MS Mincho" w:cs="MS Mincho"/>
          <w:color w:val="000000" w:themeColor="text1"/>
          <w14:textFill>
            <w14:solidFill>
              <w14:schemeClr w14:val="tx1"/>
            </w14:solidFill>
          </w14:textFill>
        </w:rPr>
        <w:t> </w:t>
      </w:r>
      <w:bookmarkStart w:id="0" w:name="ICS"/>
      <w:r>
        <w:rPr>
          <w:color w:val="000000" w:themeColor="text1"/>
          <w14:textFill>
            <w14:solidFill>
              <w14:schemeClr w14:val="tx1"/>
            </w14:solidFill>
          </w14:textFill>
        </w:rPr>
        <w:fldChar w:fldCharType="begin">
          <w:ffData>
            <w:name w:val="ICS"/>
            <w:enabled/>
            <w:calcOnExit w:val="0"/>
            <w:helpText w:type="text" w:val="请输入正确的ICS号："/>
            <w:textInput>
              <w:default w:val="点击此处添加ICS号"/>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77.120.60     </w:t>
      </w:r>
      <w:r>
        <w:rPr>
          <w:color w:val="000000" w:themeColor="text1"/>
          <w14:textFill>
            <w14:solidFill>
              <w14:schemeClr w14:val="tx1"/>
            </w14:solidFill>
          </w14:textFill>
        </w:rPr>
        <w:fldChar w:fldCharType="end"/>
      </w:r>
      <w:bookmarkEnd w:id="0"/>
    </w:p>
    <w:p>
      <w:pPr>
        <w:pStyle w:val="119"/>
        <w:framePr w:wrap="around"/>
        <w:rPr>
          <w:color w:val="000000" w:themeColor="text1"/>
          <w14:textFill>
            <w14:solidFill>
              <w14:schemeClr w14:val="tx1"/>
            </w14:solidFill>
          </w14:textFill>
        </w:rPr>
      </w:pPr>
      <w:bookmarkStart w:id="1" w:name="WXFLH"/>
      <w:r>
        <w:rPr>
          <w:color w:val="000000" w:themeColor="text1"/>
          <w14:textFill>
            <w14:solidFill>
              <w14:schemeClr w14:val="tx1"/>
            </w14:solidFill>
          </w14:textFill>
        </w:rPr>
        <w:fldChar w:fldCharType="begin">
          <w:ffData>
            <w:name w:val="WXFLH"/>
            <w:enabled/>
            <w:calcOnExit w:val="0"/>
            <w:helpText w:type="text" w:val="请输入中国标准文献分类号："/>
            <w:textInput>
              <w:default w:val="点击此处添加中国标准文献分类号"/>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H13</w:t>
      </w:r>
      <w:r>
        <w:rPr>
          <w:color w:val="000000" w:themeColor="text1"/>
          <w14:textFill>
            <w14:solidFill>
              <w14:schemeClr w14:val="tx1"/>
            </w14:solidFill>
          </w14:textFill>
        </w:rPr>
        <w:fldChar w:fldCharType="end"/>
      </w:r>
      <w:bookmarkEnd w:id="1"/>
    </w:p>
    <w:tbl>
      <w:tblPr>
        <w:tblStyle w:val="30"/>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19"/>
              <w:framePr w:wrap="around"/>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r>
              <w:rPr>
                <w:color w:val="000000" w:themeColor="text1"/>
                <w14:textFill>
                  <w14:solidFill>
                    <w14:schemeClr w14:val="tx1"/>
                  </w14:solidFill>
                </w14:textFill>
              </w:rPr>
              <w:fldChar w:fldCharType="begin">
                <w:ffData>
                  <w:name w:val="BAH"/>
                  <w:enabled/>
                  <w:calcOnExit w:val="0"/>
                  <w:textInput/>
                </w:ffData>
              </w:fldChar>
            </w:r>
            <w:bookmarkStart w:id="2" w:name="BAH"/>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2"/>
          </w:p>
        </w:tc>
      </w:tr>
    </w:tbl>
    <w:p>
      <w:pPr>
        <w:pStyle w:val="62"/>
        <w:framePr w:wrap="around"/>
        <w:rPr>
          <w:color w:val="000000" w:themeColor="text1"/>
          <w14:textFill>
            <w14:solidFill>
              <w14:schemeClr w14:val="tx1"/>
            </w14:solidFill>
          </w14:textFill>
        </w:rPr>
      </w:pPr>
      <w:bookmarkStart w:id="3" w:name="c1"/>
      <w:r>
        <w:rPr>
          <w:color w:val="000000" w:themeColor="text1"/>
          <w14:textFill>
            <w14:solidFill>
              <w14:schemeClr w14:val="tx1"/>
            </w14:solidFill>
          </w14:textFill>
        </w:rPr>
        <w:fldChar w:fldCharType="begin">
          <w:ffData>
            <w:name w:val="c1"/>
            <w:enabled/>
            <w:calcOnExit w:val="0"/>
            <w:textInput>
              <w:maxLength w:val="2"/>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YS</w:t>
      </w:r>
      <w:r>
        <w:rPr>
          <w:color w:val="000000" w:themeColor="text1"/>
          <w14:textFill>
            <w14:solidFill>
              <w14:schemeClr w14:val="tx1"/>
            </w14:solidFill>
          </w14:textFill>
        </w:rPr>
        <w:fldChar w:fldCharType="end"/>
      </w:r>
      <w:bookmarkEnd w:id="3"/>
    </w:p>
    <w:p>
      <w:pPr>
        <w:pStyle w:val="106"/>
        <w:framePr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w:t>
      </w:r>
      <w:bookmarkStart w:id="4" w:name="c2"/>
      <w:r>
        <w:rPr>
          <w:color w:val="000000" w:themeColor="text1"/>
          <w14:textFill>
            <w14:solidFill>
              <w14:schemeClr w14:val="tx1"/>
            </w14:solidFill>
          </w14:textFill>
        </w:rPr>
        <w:fldChar w:fldCharType="begin">
          <w:ffData>
            <w:name w:val="c2"/>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有色金属</w:t>
      </w:r>
      <w:r>
        <w:rPr>
          <w:color w:val="000000" w:themeColor="text1"/>
          <w14:textFill>
            <w14:solidFill>
              <w14:schemeClr w14:val="tx1"/>
            </w14:solidFill>
          </w14:textFill>
        </w:rPr>
        <w:fldChar w:fldCharType="end"/>
      </w:r>
      <w:bookmarkEnd w:id="4"/>
      <w:r>
        <w:rPr>
          <w:rFonts w:hint="eastAsia"/>
          <w:color w:val="000000" w:themeColor="text1"/>
          <w14:textFill>
            <w14:solidFill>
              <w14:schemeClr w14:val="tx1"/>
            </w14:solidFill>
          </w14:textFill>
        </w:rPr>
        <w:t>行业标准</w:t>
      </w:r>
    </w:p>
    <w:p>
      <w:pPr>
        <w:pStyle w:val="43"/>
        <w:framePr w:wrap="around"/>
        <w:rPr>
          <w:rFonts w:hAnsi="黑体"/>
          <w:color w:val="000000" w:themeColor="text1"/>
          <w14:textFill>
            <w14:solidFill>
              <w14:schemeClr w14:val="tx1"/>
            </w14:solidFill>
          </w14:textFill>
        </w:rPr>
      </w:pPr>
      <w:bookmarkStart w:id="5" w:name="StdNo0"/>
      <w:r>
        <w:rPr>
          <w:rFonts w:hAnsi="黑体"/>
          <w:color w:val="000000" w:themeColor="text1"/>
          <w14:textFill>
            <w14:solidFill>
              <w14:schemeClr w14:val="tx1"/>
            </w14:solidFill>
          </w14:textFill>
        </w:rPr>
        <w:fldChar w:fldCharType="begin">
          <w:ffData>
            <w:name w:val="StdNo0"/>
            <w:enabled/>
            <w:calcOnExit w:val="0"/>
            <w:textInput>
              <w:default w:val="XX"/>
              <w:maxLength w:val="2"/>
            </w:textInput>
          </w:ffData>
        </w:fldChar>
      </w:r>
      <w:r>
        <w:rPr>
          <w:rFonts w:hAnsi="黑体"/>
          <w:color w:val="000000" w:themeColor="text1"/>
          <w14:textFill>
            <w14:solidFill>
              <w14:schemeClr w14:val="tx1"/>
            </w14:solidFill>
          </w14:textFill>
        </w:rPr>
        <w:instrText xml:space="preserve"> FORMTEXT </w:instrText>
      </w:r>
      <w:r>
        <w:rPr>
          <w:rFonts w:hAnsi="黑体"/>
          <w:color w:val="000000" w:themeColor="text1"/>
          <w14:textFill>
            <w14:solidFill>
              <w14:schemeClr w14:val="tx1"/>
            </w14:solidFill>
          </w14:textFill>
        </w:rPr>
        <w:fldChar w:fldCharType="separate"/>
      </w:r>
      <w:r>
        <w:rPr>
          <w:rFonts w:hint="eastAsia" w:hAnsi="黑体"/>
          <w:color w:val="000000" w:themeColor="text1"/>
          <w14:textFill>
            <w14:solidFill>
              <w14:schemeClr w14:val="tx1"/>
            </w14:solidFill>
          </w14:textFill>
        </w:rPr>
        <w:t>YS</w:t>
      </w:r>
      <w:r>
        <w:rPr>
          <w:rFonts w:hAnsi="黑体"/>
          <w:color w:val="000000" w:themeColor="text1"/>
          <w14:textFill>
            <w14:solidFill>
              <w14:schemeClr w14:val="tx1"/>
            </w14:solidFill>
          </w14:textFill>
        </w:rPr>
        <w:fldChar w:fldCharType="end"/>
      </w:r>
      <w:bookmarkEnd w:id="5"/>
      <w:r>
        <w:rPr>
          <w:rFonts w:hAnsi="黑体"/>
          <w:color w:val="000000" w:themeColor="text1"/>
          <w14:textFill>
            <w14:solidFill>
              <w14:schemeClr w14:val="tx1"/>
            </w14:solidFill>
          </w14:textFill>
        </w:rPr>
        <w:t>/T XXXX</w:t>
      </w:r>
      <w:r>
        <w:rPr>
          <w:rFonts w:hint="eastAsia" w:hAnsi="黑体"/>
          <w:color w:val="000000" w:themeColor="text1"/>
          <w14:textFill>
            <w14:solidFill>
              <w14:schemeClr w14:val="tx1"/>
            </w14:solidFill>
          </w14:textFill>
        </w:rPr>
        <w:t>.</w:t>
      </w:r>
      <w:r>
        <w:t xml:space="preserve"> </w:t>
      </w:r>
      <w:r>
        <w:rPr>
          <w:rFonts w:hAnsi="黑体"/>
          <w:color w:val="000000" w:themeColor="text1"/>
          <w14:textFill>
            <w14:solidFill>
              <w14:schemeClr w14:val="tx1"/>
            </w14:solidFill>
          </w14:textFill>
        </w:rPr>
        <w:t>XX—</w:t>
      </w:r>
      <w:r>
        <w:rPr>
          <w:rFonts w:hint="eastAsia" w:hAnsi="黑体"/>
          <w:color w:val="000000" w:themeColor="text1"/>
          <w14:textFill>
            <w14:solidFill>
              <w14:schemeClr w14:val="tx1"/>
            </w14:solidFill>
          </w14:textFill>
        </w:rPr>
        <w:t>20XX</w:t>
      </w:r>
    </w:p>
    <w:tbl>
      <w:tblPr>
        <w:tblStyle w:val="3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framePr w:wrap="around"/>
              <w:rPr>
                <w:color w:val="000000" w:themeColor="text1"/>
                <w14:textFill>
                  <w14:solidFill>
                    <w14:schemeClr w14:val="tx1"/>
                  </w14:solidFill>
                </w14:textFill>
              </w:rPr>
            </w:pPr>
            <w:bookmarkStart w:id="6" w:name="DT"/>
            <w:r>
              <w:rPr>
                <w:color w:val="000000" w:themeColor="text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rPr>
                <w:color w:val="000000" w:themeColor="text1"/>
                <w14:textFill>
                  <w14:solidFill>
                    <w14:schemeClr w14:val="tx1"/>
                  </w14:solidFill>
                </w14:textFill>
              </w:rPr>
              <w:fldChar w:fldCharType="begin">
                <w:ffData>
                  <w:name w:val="DT"/>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bookmarkEnd w:id="6"/>
          </w:p>
        </w:tc>
      </w:tr>
    </w:tbl>
    <w:p>
      <w:pPr>
        <w:pStyle w:val="43"/>
        <w:framePr w:wrap="around"/>
        <w:rPr>
          <w:rFonts w:hAnsi="黑体"/>
          <w:color w:val="000000" w:themeColor="text1"/>
          <w14:textFill>
            <w14:solidFill>
              <w14:schemeClr w14:val="tx1"/>
            </w14:solidFill>
          </w14:textFill>
        </w:rPr>
      </w:pPr>
    </w:p>
    <w:p>
      <w:pPr>
        <w:pStyle w:val="43"/>
        <w:framePr w:wrap="around"/>
        <w:rPr>
          <w:rFonts w:hAnsi="黑体"/>
          <w:color w:val="000000" w:themeColor="text1"/>
          <w14:textFill>
            <w14:solidFill>
              <w14:schemeClr w14:val="tx1"/>
            </w14:solidFill>
          </w14:textFill>
        </w:rPr>
      </w:pPr>
    </w:p>
    <w:p>
      <w:pPr>
        <w:pStyle w:val="74"/>
        <w:framePr w:wrap="around"/>
        <w:rPr>
          <w:color w:val="000000" w:themeColor="text1"/>
          <w14:textFill>
            <w14:solidFill>
              <w14:schemeClr w14:val="tx1"/>
            </w14:solidFill>
          </w14:textFill>
        </w:rPr>
      </w:pPr>
      <w:bookmarkStart w:id="7" w:name="StdName"/>
      <w:r>
        <w:rPr>
          <w:color w:val="000000" w:themeColor="text1"/>
          <w14:textFill>
            <w14:solidFill>
              <w14:schemeClr w14:val="tx1"/>
            </w14:solidFill>
          </w14:textFill>
        </w:rPr>
        <w:fldChar w:fldCharType="begin">
          <w:ffData>
            <w:name w:val="StdName"/>
            <w:enabled/>
            <w:calcOnExit w:val="0"/>
            <w:textInput>
              <w:default w:val="点击此处添加标准名称"/>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高硫渣化学分析方法 </w:t>
      </w:r>
    </w:p>
    <w:p>
      <w:pPr>
        <w:pStyle w:val="74"/>
        <w:framePr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第2部分：银量的测定 火焰原子吸收光谱法</w:t>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7"/>
      <w:bookmarkStart w:id="8" w:name="StdEnglishName"/>
      <w:r>
        <w:rPr>
          <w:rFonts w:hAnsi="黑体"/>
          <w:color w:val="000000" w:themeColor="text1"/>
          <w14:textFill>
            <w14:solidFill>
              <w14:schemeClr w14:val="tx1"/>
            </w14:solidFill>
          </w14:textFill>
        </w:rPr>
        <w:fldChar w:fldCharType="begin">
          <w:ffData>
            <w:name w:val="StdEnglishName"/>
            <w:enabled/>
            <w:calcOnExit w:val="0"/>
            <w:textInput>
              <w:default w:val="点击此处添加标准英文译名"/>
            </w:textInput>
          </w:ffData>
        </w:fldChar>
      </w:r>
      <w:r>
        <w:rPr>
          <w:rFonts w:hAnsi="黑体"/>
          <w:color w:val="000000" w:themeColor="text1"/>
          <w14:textFill>
            <w14:solidFill>
              <w14:schemeClr w14:val="tx1"/>
            </w14:solidFill>
          </w14:textFill>
        </w:rPr>
        <w:instrText xml:space="preserve"> FORMTEXT </w:instrText>
      </w:r>
      <w:r>
        <w:rPr>
          <w:rFonts w:hAnsi="黑体"/>
          <w:color w:val="000000" w:themeColor="text1"/>
          <w14:textFill>
            <w14:solidFill>
              <w14:schemeClr w14:val="tx1"/>
            </w14:solidFill>
          </w14:textFill>
        </w:rPr>
        <w:fldChar w:fldCharType="separate"/>
      </w:r>
    </w:p>
    <w:p>
      <w:pPr>
        <w:pStyle w:val="75"/>
        <w:framePr w:wrap="around"/>
        <w:rPr>
          <w:rFonts w:ascii="黑体" w:hAnsi="黑体"/>
          <w:color w:val="000000" w:themeColor="text1"/>
          <w14:textFill>
            <w14:solidFill>
              <w14:schemeClr w14:val="tx1"/>
            </w14:solidFill>
          </w14:textFill>
        </w:rPr>
      </w:pPr>
      <w:r>
        <w:rPr>
          <w:rFonts w:ascii="黑体" w:hAnsi="黑体"/>
          <w:color w:val="000000" w:themeColor="text1"/>
          <w14:textFill>
            <w14:solidFill>
              <w14:schemeClr w14:val="tx1"/>
            </w14:solidFill>
          </w14:textFill>
        </w:rPr>
        <w:t xml:space="preserve">Methods for chemical analysis of high-sulfur slag - part 2: </w:t>
      </w:r>
      <w:r>
        <w:rPr>
          <w:rFonts w:hint="eastAsia" w:ascii="黑体" w:hAnsi="黑体"/>
          <w:color w:val="000000" w:themeColor="text1"/>
          <w14:textFill>
            <w14:solidFill>
              <w14:schemeClr w14:val="tx1"/>
            </w14:solidFill>
          </w14:textFill>
        </w:rPr>
        <w:t>D</w:t>
      </w:r>
      <w:r>
        <w:rPr>
          <w:rFonts w:ascii="黑体" w:hAnsi="黑体"/>
          <w:color w:val="000000" w:themeColor="text1"/>
          <w14:textFill>
            <w14:solidFill>
              <w14:schemeClr w14:val="tx1"/>
            </w14:solidFill>
          </w14:textFill>
        </w:rPr>
        <w:t xml:space="preserve">etermination of silver content </w:t>
      </w:r>
      <w:r>
        <w:rPr>
          <w:rFonts w:hint="eastAsia" w:ascii="黑体" w:hAnsi="黑体"/>
          <w:color w:val="000000" w:themeColor="text1"/>
          <w14:textFill>
            <w14:solidFill>
              <w14:schemeClr w14:val="tx1"/>
            </w14:solidFill>
          </w14:textFill>
        </w:rPr>
        <w:t>—</w:t>
      </w:r>
      <w:r>
        <w:rPr>
          <w:rFonts w:ascii="黑体" w:hAnsi="黑体"/>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 xml:space="preserve">The </w:t>
      </w:r>
      <w:r>
        <w:rPr>
          <w:rFonts w:ascii="黑体" w:hAnsi="黑体"/>
          <w:color w:val="000000" w:themeColor="text1"/>
          <w14:textFill>
            <w14:solidFill>
              <w14:schemeClr w14:val="tx1"/>
            </w14:solidFill>
          </w14:textFill>
        </w:rPr>
        <w:t>flame atomic absorption spectrometry</w:t>
      </w:r>
      <w:r>
        <w:rPr>
          <w:rFonts w:hint="eastAsia" w:ascii="黑体" w:hAnsi="黑体"/>
          <w:color w:val="000000" w:themeColor="text1"/>
          <w14:textFill>
            <w14:solidFill>
              <w14:schemeClr w14:val="tx1"/>
            </w14:solidFill>
          </w14:textFill>
        </w:rPr>
        <w:t xml:space="preserve"> method</w:t>
      </w:r>
      <w:r>
        <w:rPr>
          <w:rFonts w:ascii="黑体" w:hAnsi="黑体"/>
          <w:color w:val="000000" w:themeColor="text1"/>
          <w14:textFill>
            <w14:solidFill>
              <w14:schemeClr w14:val="tx1"/>
            </w14:solidFill>
          </w14:textFill>
        </w:rPr>
        <w:t xml:space="preserve">      </w:t>
      </w:r>
      <w:r>
        <w:rPr>
          <w:rFonts w:ascii="黑体" w:hAnsi="黑体"/>
          <w:color w:val="000000" w:themeColor="text1"/>
          <w14:textFill>
            <w14:solidFill>
              <w14:schemeClr w14:val="tx1"/>
            </w14:solidFill>
          </w14:textFill>
        </w:rPr>
        <w:fldChar w:fldCharType="end"/>
      </w:r>
      <w:bookmarkEnd w:id="8"/>
    </w:p>
    <w:tbl>
      <w:tblPr>
        <w:tblStyle w:val="3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framePr w:wrap="around"/>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framePr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报批稿</w:t>
            </w:r>
          </w:p>
        </w:tc>
      </w:tr>
    </w:tbl>
    <w:p>
      <w:pPr>
        <w:pStyle w:val="127"/>
        <w:framePr w:wrap="around" w:hAnchor="page" w:x="843" w:y="14196"/>
        <w:rPr>
          <w:color w:val="000000" w:themeColor="text1"/>
          <w14:textFill>
            <w14:solidFill>
              <w14:schemeClr w14:val="tx1"/>
            </w14:solidFill>
          </w14:textFill>
        </w:rPr>
      </w:pPr>
      <w:bookmarkStart w:id="9" w:name="FY"/>
      <w:r>
        <w:rPr>
          <w:rFonts w:ascii="黑体"/>
          <w:color w:val="000000" w:themeColor="text1"/>
          <w14:textFill>
            <w14:solidFill>
              <w14:schemeClr w14:val="tx1"/>
            </w14:solidFill>
          </w14:textFill>
        </w:rPr>
        <w:fldChar w:fldCharType="begin">
          <w:ffData>
            <w:name w:val="FY"/>
            <w:enabled/>
            <w:calcOnExit w:val="0"/>
            <w:textInput>
              <w:default w:val="XXXX"/>
              <w:maxLength w:val="4"/>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9"/>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FM"/>
            <w:enabled/>
            <w:calcOnExit w:val="0"/>
            <w:textInput>
              <w:default w:val="XX"/>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bookmarkStart w:id="10" w:name="FD"/>
      <w:r>
        <w:rPr>
          <w:rFonts w:ascii="黑体"/>
          <w:color w:val="000000" w:themeColor="text1"/>
          <w14:textFill>
            <w14:solidFill>
              <w14:schemeClr w14:val="tx1"/>
            </w14:solidFill>
          </w14:textFill>
        </w:rPr>
        <w:fldChar w:fldCharType="begin">
          <w:ffData>
            <w:name w:val="FD"/>
            <w:enabled/>
            <w:calcOnExit w:val="0"/>
            <w:textInput>
              <w:default w:val="XX"/>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0"/>
      <w:r>
        <w:rPr>
          <w:rFonts w:hint="eastAsia"/>
          <w:color w:val="000000" w:themeColor="text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9345295</wp:posOffset>
                </wp:positionV>
                <wp:extent cx="6352540" cy="0"/>
                <wp:effectExtent l="0" t="0" r="10160" b="1905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pt;margin-top:735.85pt;height:0pt;width:500.2pt;mso-position-vertical-relative:page;z-index:251659264;mso-width-relative:page;mso-height-relative:page;" filled="f" stroked="t" coordsize="21600,21600" o:gfxdata="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5LzGU1QAAAAsBAAAPAAAAAAAAAAEAIAAAACIAAABkcnMvZG93&#10;bnJldi54bWxQSwECFAAUAAAACACHTuJAwedk0coBAACgAwAADgAAAAAAAAABACAAAAAkAQAAZHJz&#10;L2Uyb0RvYy54bWxQSwUGAAAAAAYABgBZAQAAYAUAAAAA&#10;">
                <v:fill on="f" focussize="0,0"/>
                <v:stroke color="#000000" joinstyle="round"/>
                <v:imagedata o:title=""/>
                <o:lock v:ext="edit" aspectratio="f"/>
                <w10:anchorlock/>
              </v:line>
            </w:pict>
          </mc:Fallback>
        </mc:AlternateContent>
      </w:r>
    </w:p>
    <w:p>
      <w:pPr>
        <w:pStyle w:val="128"/>
        <w:framePr w:wrap="around" w:hAnchor="page" w:x="6707" w:y="14207"/>
        <w:rPr>
          <w:color w:val="000000" w:themeColor="text1"/>
          <w14:textFill>
            <w14:solidFill>
              <w14:schemeClr w14:val="tx1"/>
            </w14:solidFill>
          </w14:textFill>
        </w:rPr>
      </w:pPr>
      <w:bookmarkStart w:id="11" w:name="SY"/>
      <w:r>
        <w:rPr>
          <w:rFonts w:ascii="黑体"/>
          <w:color w:val="000000" w:themeColor="text1"/>
          <w14:textFill>
            <w14:solidFill>
              <w14:schemeClr w14:val="tx1"/>
            </w14:solidFill>
          </w14:textFill>
        </w:rPr>
        <w:fldChar w:fldCharType="begin">
          <w:ffData>
            <w:name w:val="SY"/>
            <w:enabled/>
            <w:calcOnExit w:val="0"/>
            <w:textInput>
              <w:default w:val="XXXX"/>
              <w:maxLength w:val="4"/>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1"/>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bookmarkStart w:id="12" w:name="SM"/>
      <w:r>
        <w:rPr>
          <w:rFonts w:ascii="黑体"/>
          <w:color w:val="000000" w:themeColor="text1"/>
          <w14:textFill>
            <w14:solidFill>
              <w14:schemeClr w14:val="tx1"/>
            </w14:solidFill>
          </w14:textFill>
        </w:rPr>
        <w:fldChar w:fldCharType="begin">
          <w:ffData>
            <w:name w:val="SM"/>
            <w:enabled/>
            <w:calcOnExit w:val="0"/>
            <w:textInput>
              <w:default w:val="XX"/>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2"/>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bookmarkStart w:id="13" w:name="SD"/>
      <w:r>
        <w:rPr>
          <w:rFonts w:ascii="黑体"/>
          <w:color w:val="000000" w:themeColor="text1"/>
          <w14:textFill>
            <w14:solidFill>
              <w14:schemeClr w14:val="tx1"/>
            </w14:solidFill>
          </w14:textFill>
        </w:rPr>
        <w:fldChar w:fldCharType="begin">
          <w:ffData>
            <w:name w:val="SD"/>
            <w:enabled/>
            <w:calcOnExit w:val="0"/>
            <w:textInput>
              <w:default w:val="XX"/>
              <w:maxLength w:val="2"/>
            </w:textInput>
          </w:ffData>
        </w:fldChar>
      </w:r>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3"/>
      <w:r>
        <w:rPr>
          <w:rFonts w:hint="eastAsia"/>
          <w:color w:val="000000" w:themeColor="text1"/>
          <w14:textFill>
            <w14:solidFill>
              <w14:schemeClr w14:val="tx1"/>
            </w14:solidFill>
          </w14:textFill>
        </w:rPr>
        <w:t>实施</w:t>
      </w:r>
    </w:p>
    <w:p>
      <w:pPr>
        <w:pStyle w:val="107"/>
        <w:framePr w:w="8389" w:h="517" w:hRule="exact" w:wrap="around" w:x="1696"/>
        <w:rPr>
          <w:color w:val="000000" w:themeColor="text1"/>
          <w14:textFill>
            <w14:solidFill>
              <w14:schemeClr w14:val="tx1"/>
            </w14:solidFill>
          </w14:textFill>
        </w:rPr>
      </w:pPr>
      <w:bookmarkStart w:id="14" w:name="fm"/>
      <w:r>
        <w:rPr>
          <w:color w:val="000000" w:themeColor="text1"/>
          <w14:textFill>
            <w14:solidFill>
              <w14:schemeClr w14:val="tx1"/>
            </w14:solidFill>
          </w14:textFill>
        </w:rPr>
        <w:fldChar w:fldCharType="begin">
          <w:ffData>
            <w:name w:val="fm"/>
            <w:enabled/>
            <w:calcOnExit w:val="0"/>
            <w:textInput/>
          </w:ffData>
        </w:fldChar>
      </w:r>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中华人民共和国工业和信息化部</w:t>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14"/>
      <w:r>
        <w:rPr>
          <w:rFonts w:hint="eastAsia" w:ascii="MS Mincho" w:hAnsi="MS Mincho" w:eastAsia="MS Mincho" w:cs="MS Mincho"/>
          <w:color w:val="000000" w:themeColor="text1"/>
          <w14:textFill>
            <w14:solidFill>
              <w14:schemeClr w14:val="tx1"/>
            </w14:solidFill>
          </w14:textFill>
        </w:rPr>
        <w:t>   </w:t>
      </w:r>
      <w:r>
        <w:rPr>
          <w:rStyle w:val="69"/>
          <w:rFonts w:hint="eastAsia"/>
          <w:color w:val="000000" w:themeColor="text1"/>
          <w14:textFill>
            <w14:solidFill>
              <w14:schemeClr w14:val="tx1"/>
            </w14:solidFill>
          </w14:textFill>
        </w:rPr>
        <w:t>发布</w:t>
      </w:r>
    </w:p>
    <w:p>
      <w:pPr>
        <w:pStyle w:val="21"/>
        <w:rPr>
          <w:color w:val="000000" w:themeColor="text1"/>
          <w14:textFill>
            <w14:solidFill>
              <w14:schemeClr w14:val="tx1"/>
            </w14:solidFill>
          </w14:textFill>
        </w:rPr>
        <w:sectPr>
          <w:headerReference r:id="rId3" w:type="even"/>
          <w:footerReference r:id="rId4" w:type="even"/>
          <w:pgSz w:w="11906" w:h="16838"/>
          <w:pgMar w:top="567" w:right="850" w:bottom="1134" w:left="1418" w:header="0" w:footer="0" w:gutter="0"/>
          <w:pgNumType w:start="1"/>
          <w:cols w:space="425"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13970" b="1905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前</w:t>
      </w:r>
      <w:bookmarkStart w:id="15" w:name="BKQY"/>
      <w:r>
        <w:rPr>
          <w:rFonts w:hint="eastAsia" w:ascii="MS Mincho" w:hAnsi="MS Mincho" w:eastAsia="MS Mincho" w:cs="MS Mincho"/>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15"/>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YS/Txxxx《高硫渣化学分析方法》共分为2部分：</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——第1部分：硫量的测定燃烧法；</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——第2部分：银量的测定 火焰原子吸收光谱法。</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本部分为YS/T XXXX XX的第2部分。</w:t>
      </w:r>
    </w:p>
    <w:p>
      <w:pPr>
        <w:pStyle w:val="21"/>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本部分按照GB/T1.1-2009给出的规则起草。</w:t>
      </w:r>
    </w:p>
    <w:p>
      <w:pPr>
        <w:pStyle w:val="21"/>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本部分由全国有色金属标准化技术委员会（SAC/TC）提出并归口。</w:t>
      </w:r>
    </w:p>
    <w:p>
      <w:pPr>
        <w:pStyle w:val="21"/>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本部分起草单位：云南驰宏锌锗股份有限公司、呼伦贝尔驰宏矿业有限公司</w:t>
      </w:r>
    </w:p>
    <w:p>
      <w:pPr>
        <w:pStyle w:val="21"/>
        <w:ind w:firstLine="424" w:firstLineChars="202"/>
        <w:rPr>
          <w:color w:val="000000" w:themeColor="text1"/>
          <w14:textFill>
            <w14:solidFill>
              <w14:schemeClr w14:val="tx1"/>
            </w14:solidFill>
          </w14:textFill>
        </w:rPr>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p>
    <w:p>
      <w:pPr>
        <w:pStyle w:val="46"/>
        <w:adjustRightInd w:val="0"/>
        <w:snapToGrid w:val="0"/>
        <w:spacing w:before="100" w:beforeAutospacing="1" w:after="100" w:afterAutospacing="1"/>
        <w:rPr>
          <w:color w:val="000000" w:themeColor="text1"/>
          <w14:textFill>
            <w14:solidFill>
              <w14:schemeClr w14:val="tx1"/>
            </w14:solidFill>
          </w14:textFill>
        </w:rPr>
      </w:pPr>
      <w:r>
        <w:rPr>
          <w:rFonts w:hint="eastAsia"/>
          <w:color w:val="000000" w:themeColor="text1"/>
          <w14:textFill>
            <w14:solidFill>
              <w14:schemeClr w14:val="tx1"/>
            </w14:solidFill>
          </w14:textFill>
        </w:rPr>
        <w:t>高硫渣化学分析方法</w:t>
      </w:r>
    </w:p>
    <w:p>
      <w:pPr>
        <w:pStyle w:val="29"/>
        <w:adjustRightInd w:val="0"/>
        <w:snapToGrid w:val="0"/>
        <w:spacing w:before="100" w:beforeAutospacing="1" w:after="100" w:afterAutospacing="1"/>
        <w:rPr>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第2部分：银量的测定 火焰原子吸收光谱法</w:t>
      </w:r>
    </w:p>
    <w:p>
      <w:pPr>
        <w:pStyle w:val="41"/>
        <w:spacing w:before="312"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范围</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本部分规定了锌湿法冶炼高硫渣中银含量的测定方法。</w:t>
      </w:r>
    </w:p>
    <w:p>
      <w:pPr>
        <w:pStyle w:val="21"/>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适用于锌湿法</w:t>
      </w:r>
      <w:r>
        <w:rPr>
          <w:rFonts w:hint="eastAsia"/>
          <w:color w:val="000000" w:themeColor="text1"/>
          <w14:textFill>
            <w14:solidFill>
              <w14:schemeClr w14:val="tx1"/>
            </w14:solidFill>
          </w14:textFill>
        </w:rPr>
        <w:t>冶炼过程中高硫渣中银含量的测定。测定范围：50</w:t>
      </w:r>
      <w:r>
        <w:rPr>
          <w:rFonts w:hint="eastAsia" w:hAnsi="宋体" w:cs="宋体"/>
          <w:color w:val="000000" w:themeColor="text1"/>
          <w14:textFill>
            <w14:solidFill>
              <w14:schemeClr w14:val="tx1"/>
            </w14:solidFill>
          </w14:textFill>
        </w:rPr>
        <w:t xml:space="preserve"> g</w:t>
      </w:r>
      <w:r>
        <w:rPr>
          <w:rFonts w:hint="eastAsia"/>
          <w:color w:val="000000" w:themeColor="text1"/>
          <w14:textFill>
            <w14:solidFill>
              <w14:schemeClr w14:val="tx1"/>
            </w14:solidFill>
          </w14:textFill>
        </w:rPr>
        <w:t>/t～500 g/t。</w:t>
      </w:r>
    </w:p>
    <w:p>
      <w:pPr>
        <w:pStyle w:val="41"/>
        <w:spacing w:before="312"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方法提要</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试样在电炉上灼烧后用氟化铵、盐酸分解,然后继续加入硝酸进一步分解完全，在20%盐酸介质中，于原子吸收分光光度计波长328.1nm处测量其吸光度，按标准工作曲线法计算银元素含量。</w:t>
      </w:r>
    </w:p>
    <w:p>
      <w:pPr>
        <w:pStyle w:val="41"/>
        <w:spacing w:before="312"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试剂</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除非另有说明，在分析中仅使用确认为分析纯的试剂和蒸馏水或去离子水或相当纯度的水。</w:t>
      </w:r>
    </w:p>
    <w:p>
      <w:pPr>
        <w:pStyle w:val="121"/>
        <w:rPr>
          <w:color w:val="000000" w:themeColor="text1"/>
          <w14:textFill>
            <w14:solidFill>
              <w14:schemeClr w14:val="tx1"/>
            </w14:solidFill>
          </w14:textFill>
        </w:rPr>
      </w:pPr>
      <w:r>
        <w:rPr>
          <w:rFonts w:hint="eastAsia"/>
          <w:color w:val="000000" w:themeColor="text1"/>
          <w14:textFill>
            <w14:solidFill>
              <w14:schemeClr w14:val="tx1"/>
            </w14:solidFill>
          </w14:textFill>
        </w:rPr>
        <w:t>盐酸（ρ 1.19</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g/mL）。</w:t>
      </w:r>
    </w:p>
    <w:p>
      <w:pPr>
        <w:pStyle w:val="121"/>
        <w:rPr>
          <w:color w:val="000000" w:themeColor="text1"/>
          <w14:textFill>
            <w14:solidFill>
              <w14:schemeClr w14:val="tx1"/>
            </w14:solidFill>
          </w14:textFill>
        </w:rPr>
      </w:pPr>
      <w:r>
        <w:rPr>
          <w:rFonts w:hint="eastAsia"/>
          <w:color w:val="000000" w:themeColor="text1"/>
          <w14:textFill>
            <w14:solidFill>
              <w14:schemeClr w14:val="tx1"/>
            </w14:solidFill>
          </w14:textFill>
        </w:rPr>
        <w:t>硝酸（ρ 1.42</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g/mL）。</w:t>
      </w:r>
    </w:p>
    <w:p>
      <w:pPr>
        <w:pStyle w:val="121"/>
        <w:rPr>
          <w:color w:val="000000" w:themeColor="text1"/>
          <w14:textFill>
            <w14:solidFill>
              <w14:schemeClr w14:val="tx1"/>
            </w14:solidFill>
          </w14:textFill>
        </w:rPr>
      </w:pPr>
      <w:r>
        <w:rPr>
          <w:rFonts w:hint="eastAsia"/>
          <w:color w:val="000000" w:themeColor="text1"/>
          <w14:textFill>
            <w14:solidFill>
              <w14:schemeClr w14:val="tx1"/>
            </w14:solidFill>
          </w14:textFill>
        </w:rPr>
        <w:t>硝酸（1+1）。</w:t>
      </w:r>
    </w:p>
    <w:p>
      <w:pPr>
        <w:pStyle w:val="121"/>
        <w:rPr>
          <w:color w:val="000000" w:themeColor="text1"/>
          <w14:textFill>
            <w14:solidFill>
              <w14:schemeClr w14:val="tx1"/>
            </w14:solidFill>
          </w14:textFill>
        </w:rPr>
      </w:pPr>
      <w:r>
        <w:rPr>
          <w:rFonts w:hint="eastAsia"/>
          <w:color w:val="000000" w:themeColor="text1"/>
          <w14:textFill>
            <w14:solidFill>
              <w14:schemeClr w14:val="tx1"/>
            </w14:solidFill>
          </w14:textFill>
        </w:rPr>
        <w:t>氟化铵溶液(250</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g/L)。</w:t>
      </w:r>
    </w:p>
    <w:p>
      <w:pPr>
        <w:pStyle w:val="121"/>
        <w:rPr>
          <w:color w:val="000000" w:themeColor="text1"/>
          <w14:textFill>
            <w14:solidFill>
              <w14:schemeClr w14:val="tx1"/>
            </w14:solidFill>
          </w14:textFill>
        </w:rPr>
      </w:pPr>
      <w:r>
        <w:rPr>
          <w:rFonts w:hint="eastAsia"/>
          <w:color w:val="000000" w:themeColor="text1"/>
          <w14:textFill>
            <w14:solidFill>
              <w14:schemeClr w14:val="tx1"/>
            </w14:solidFill>
          </w14:textFill>
        </w:rPr>
        <w:t>银标准贮存溶液：准确</w:t>
      </w:r>
      <w:r>
        <w:rPr>
          <w:rFonts w:hint="eastAsia"/>
        </w:rPr>
        <w:t>称取0.5000g金属银（ω</w:t>
      </w:r>
      <w:r>
        <w:rPr>
          <w:rFonts w:hint="eastAsia"/>
          <w:vertAlign w:val="subscript"/>
        </w:rPr>
        <w:t>Ag</w:t>
      </w:r>
      <w:r>
        <w:rPr>
          <w:rFonts w:hint="eastAsia"/>
        </w:rPr>
        <w:t>≥99.99%）于100mL烧杯中，加入20</w:t>
      </w:r>
      <w:r>
        <w:t>mL</w:t>
      </w:r>
      <w:r>
        <w:rPr>
          <w:rFonts w:hint="eastAsia"/>
        </w:rPr>
        <w:t>硝酸（3.4），微热溶解完全，煮沸除去氮的氧化物，冷却至室温，移入1000</w:t>
      </w:r>
      <w:r>
        <w:t>mL</w:t>
      </w:r>
      <w:r>
        <w:rPr>
          <w:rFonts w:hint="eastAsia"/>
        </w:rPr>
        <w:t>容量瓶中，加入20mL硝酸（3.4），用不含氯离子水稀释至刻度，混匀。此溶液1mL含0.5mg银。</w:t>
      </w:r>
    </w:p>
    <w:p>
      <w:pPr>
        <w:pStyle w:val="121"/>
        <w:rPr>
          <w:color w:val="000000" w:themeColor="text1"/>
          <w14:textFill>
            <w14:solidFill>
              <w14:schemeClr w14:val="tx1"/>
            </w14:solidFill>
          </w14:textFill>
        </w:rPr>
      </w:pPr>
      <w:r>
        <w:rPr>
          <w:rFonts w:hint="eastAsia"/>
          <w:color w:val="000000" w:themeColor="text1"/>
          <w14:textFill>
            <w14:solidFill>
              <w14:schemeClr w14:val="tx1"/>
            </w14:solidFill>
          </w14:textFill>
        </w:rPr>
        <w:t>银标准溶液：移取5.00mL银标准储备液（3.5）于250mL容量瓶中，加入4mL硝酸（3.4），用不含氯离子的水稀释至刻度混匀。此溶液1mL含10μg银。</w:t>
      </w:r>
    </w:p>
    <w:p>
      <w:pPr>
        <w:pStyle w:val="41"/>
        <w:spacing w:before="312"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仪器和设备</w:t>
      </w:r>
    </w:p>
    <w:p>
      <w:pPr>
        <w:pStyle w:val="121"/>
        <w:rPr>
          <w:color w:val="000000" w:themeColor="text1"/>
          <w14:textFill>
            <w14:solidFill>
              <w14:schemeClr w14:val="tx1"/>
            </w14:solidFill>
          </w14:textFill>
        </w:rPr>
      </w:pPr>
      <w:r>
        <w:rPr>
          <w:rFonts w:hint="eastAsia"/>
          <w:color w:val="000000" w:themeColor="text1"/>
          <w14:textFill>
            <w14:solidFill>
              <w14:schemeClr w14:val="tx1"/>
            </w14:solidFill>
          </w14:textFill>
        </w:rPr>
        <w:t>原子吸收光谱仪，附银元素空心阴极灯。</w:t>
      </w:r>
    </w:p>
    <w:p>
      <w:pPr>
        <w:pStyle w:val="44"/>
        <w:rPr>
          <w:color w:val="000000" w:themeColor="text1"/>
          <w14:textFill>
            <w14:solidFill>
              <w14:schemeClr w14:val="tx1"/>
            </w14:solidFill>
          </w14:textFill>
        </w:rPr>
      </w:pPr>
      <w:r>
        <w:rPr>
          <w:rFonts w:hint="eastAsia"/>
          <w:color w:val="000000" w:themeColor="text1"/>
          <w14:textFill>
            <w14:solidFill>
              <w14:schemeClr w14:val="tx1"/>
            </w14:solidFill>
          </w14:textFill>
        </w:rPr>
        <w:t>在仪器的最佳工作条件下，在与测量试料溶液的基体相一致的溶液中，银的特征浓度不大于0.06</w:t>
      </w:r>
      <w:r>
        <w:rPr>
          <w:rFonts w:hint="eastAsia" w:hAnsi="宋体" w:cs="宋体"/>
          <w:color w:val="000000"/>
        </w:rPr>
        <w:t>µg</w:t>
      </w:r>
      <w:r>
        <w:rPr>
          <w:rFonts w:hint="eastAsia"/>
          <w:color w:val="000000"/>
        </w:rPr>
        <w:t>/mL</w:t>
      </w:r>
      <w:r>
        <w:rPr>
          <w:rFonts w:hint="eastAsia"/>
          <w:color w:val="000000" w:themeColor="text1"/>
          <w14:textFill>
            <w14:solidFill>
              <w14:schemeClr w14:val="tx1"/>
            </w14:solidFill>
          </w14:textFill>
        </w:rPr>
        <w:t>，用最低浓度的标准溶液（不是“零”浓度标准溶液）测量11次，吸光度的相对标准偏差不超过1.5</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%。方法检出限大于0.1</w:t>
      </w:r>
      <w:r>
        <w:rPr>
          <w:rFonts w:hint="eastAsia" w:hAnsi="宋体" w:cs="宋体"/>
          <w:color w:val="000000"/>
        </w:rPr>
        <w:t>µg</w:t>
      </w:r>
      <w:r>
        <w:rPr>
          <w:rFonts w:hint="eastAsia"/>
          <w:color w:val="000000"/>
        </w:rPr>
        <w:t>/mL</w:t>
      </w:r>
      <w:r>
        <w:rPr>
          <w:rFonts w:hint="eastAsia"/>
          <w:color w:val="000000" w:themeColor="text1"/>
          <w14:textFill>
            <w14:solidFill>
              <w14:schemeClr w14:val="tx1"/>
            </w14:solidFill>
          </w14:textFill>
        </w:rPr>
        <w:t>。</w:t>
      </w:r>
    </w:p>
    <w:p>
      <w:pPr>
        <w:pStyle w:val="44"/>
      </w:pPr>
      <w:r>
        <w:rPr>
          <w:rFonts w:hint="eastAsia"/>
        </w:rPr>
        <w:t>仪器推荐谱线：328.1nm。</w:t>
      </w:r>
    </w:p>
    <w:p>
      <w:pPr>
        <w:pStyle w:val="41"/>
        <w:spacing w:before="312"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样品</w:t>
      </w:r>
    </w:p>
    <w:p>
      <w:pPr>
        <w:pStyle w:val="121"/>
        <w:rPr>
          <w:color w:val="000000" w:themeColor="text1"/>
          <w14:textFill>
            <w14:solidFill>
              <w14:schemeClr w14:val="tx1"/>
            </w14:solidFill>
          </w14:textFill>
        </w:rPr>
      </w:pPr>
      <w:r>
        <w:rPr>
          <w:rFonts w:hint="eastAsia"/>
          <w:color w:val="000000" w:themeColor="text1"/>
          <w14:textFill>
            <w14:solidFill>
              <w14:schemeClr w14:val="tx1"/>
            </w14:solidFill>
          </w14:textFill>
        </w:rPr>
        <w:t>样品</w:t>
      </w:r>
      <w:r>
        <w:rPr>
          <w:color w:val="000000" w:themeColor="text1"/>
          <w14:textFill>
            <w14:solidFill>
              <w14:schemeClr w14:val="tx1"/>
            </w14:solidFill>
          </w14:textFill>
        </w:rPr>
        <w:t>粒度应不大于100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μm。</w:t>
      </w:r>
    </w:p>
    <w:p>
      <w:pPr>
        <w:pStyle w:val="121"/>
        <w:rPr>
          <w:color w:val="000000" w:themeColor="text1"/>
          <w14:textFill>
            <w14:solidFill>
              <w14:schemeClr w14:val="tx1"/>
            </w14:solidFill>
          </w14:textFill>
        </w:rPr>
      </w:pPr>
      <w:r>
        <w:rPr>
          <w:rFonts w:hint="eastAsia"/>
          <w:color w:val="000000" w:themeColor="text1"/>
          <w14:textFill>
            <w14:solidFill>
              <w14:schemeClr w14:val="tx1"/>
            </w14:solidFill>
          </w14:textFill>
        </w:rPr>
        <w:t>样品预先</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75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80</w:t>
      </w:r>
      <w:r>
        <w:rPr>
          <w:color w:val="000000" w:themeColor="text1"/>
          <w14:textFill>
            <w14:solidFill>
              <w14:schemeClr w14:val="tx1"/>
            </w14:solidFill>
          </w14:textFill>
        </w:rPr>
        <w:t>℃烘箱中烘</w:t>
      </w:r>
      <w:r>
        <w:rPr>
          <w:rFonts w:hint="eastAsia"/>
          <w:color w:val="000000" w:themeColor="text1"/>
          <w14:textFill>
            <w14:solidFill>
              <w14:schemeClr w14:val="tx1"/>
            </w14:solidFill>
          </w14:textFill>
        </w:rPr>
        <w:t xml:space="preserve">1 </w:t>
      </w:r>
      <w:r>
        <w:rPr>
          <w:color w:val="000000" w:themeColor="text1"/>
          <w14:textFill>
            <w14:solidFill>
              <w14:schemeClr w14:val="tx1"/>
            </w14:solidFill>
          </w14:textFill>
        </w:rPr>
        <w:t>h，置于干燥器中冷却至室温。</w:t>
      </w:r>
    </w:p>
    <w:p>
      <w:pPr>
        <w:pStyle w:val="41"/>
        <w:spacing w:before="312"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分析步骤</w:t>
      </w:r>
    </w:p>
    <w:p>
      <w:pPr>
        <w:pStyle w:val="3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试料</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按照表1称取试样，精确至0.0001</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g。</w:t>
      </w:r>
    </w:p>
    <w:p>
      <w:pPr>
        <w:pStyle w:val="1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试料质量、加入盐酸体积和试液总体积</w:t>
      </w:r>
    </w:p>
    <w:tbl>
      <w:tblPr>
        <w:tblStyle w:val="30"/>
        <w:tblW w:w="9140" w:type="dxa"/>
        <w:jc w:val="center"/>
        <w:tblLayout w:type="fixed"/>
        <w:tblCellMar>
          <w:top w:w="0" w:type="dxa"/>
          <w:left w:w="108" w:type="dxa"/>
          <w:bottom w:w="0" w:type="dxa"/>
          <w:right w:w="108" w:type="dxa"/>
        </w:tblCellMar>
      </w:tblPr>
      <w:tblGrid>
        <w:gridCol w:w="2620"/>
        <w:gridCol w:w="2320"/>
        <w:gridCol w:w="2100"/>
        <w:gridCol w:w="2100"/>
      </w:tblGrid>
      <w:tr>
        <w:tblPrEx>
          <w:tblCellMar>
            <w:top w:w="0" w:type="dxa"/>
            <w:left w:w="108" w:type="dxa"/>
            <w:bottom w:w="0" w:type="dxa"/>
            <w:right w:w="108" w:type="dxa"/>
          </w:tblCellMar>
        </w:tblPrEx>
        <w:trPr>
          <w:trHeight w:val="270" w:hRule="atLeast"/>
          <w:jc w:val="center"/>
        </w:trPr>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银含量</w:t>
            </w:r>
            <w:r>
              <w:rPr>
                <w:rFonts w:hint="eastAsia"/>
                <w:color w:val="000000" w:themeColor="text1"/>
                <w:kern w:val="0"/>
                <w:sz w:val="18"/>
                <w:szCs w:val="18"/>
                <w14:textFill>
                  <w14:solidFill>
                    <w14:schemeClr w14:val="tx1"/>
                  </w14:solidFill>
                </w14:textFill>
              </w:rPr>
              <w:t>g/t</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试料</w:t>
            </w:r>
            <w:r>
              <w:rPr>
                <w:rFonts w:hAnsi="宋体"/>
                <w:color w:val="000000" w:themeColor="text1"/>
                <w:kern w:val="0"/>
                <w:sz w:val="18"/>
                <w:szCs w:val="18"/>
                <w14:textFill>
                  <w14:solidFill>
                    <w14:schemeClr w14:val="tx1"/>
                  </w14:solidFill>
                </w14:textFill>
              </w:rPr>
              <w:t>量</w:t>
            </w:r>
            <w:r>
              <w:rPr>
                <w:color w:val="000000" w:themeColor="text1"/>
                <w:kern w:val="0"/>
                <w:sz w:val="18"/>
                <w:szCs w:val="18"/>
                <w14:textFill>
                  <w14:solidFill>
                    <w14:schemeClr w14:val="tx1"/>
                  </w14:solidFill>
                </w14:textFill>
              </w:rPr>
              <w:t>/g</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加入盐酸（3.1）体积</w:t>
            </w:r>
            <w:r>
              <w:rPr>
                <w:color w:val="000000" w:themeColor="text1"/>
                <w:kern w:val="0"/>
                <w:sz w:val="18"/>
                <w:szCs w:val="18"/>
                <w14:textFill>
                  <w14:solidFill>
                    <w14:schemeClr w14:val="tx1"/>
                  </w14:solidFill>
                </w14:textFill>
              </w:rPr>
              <w:t>/mL</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试液总</w:t>
            </w:r>
            <w:r>
              <w:rPr>
                <w:rFonts w:hAnsi="宋体"/>
                <w:color w:val="000000" w:themeColor="text1"/>
                <w:kern w:val="0"/>
                <w:sz w:val="18"/>
                <w:szCs w:val="18"/>
                <w14:textFill>
                  <w14:solidFill>
                    <w14:schemeClr w14:val="tx1"/>
                  </w14:solidFill>
                </w14:textFill>
              </w:rPr>
              <w:t>体积</w:t>
            </w:r>
            <w:r>
              <w:rPr>
                <w:color w:val="000000" w:themeColor="text1"/>
                <w:kern w:val="0"/>
                <w:sz w:val="18"/>
                <w:szCs w:val="18"/>
                <w14:textFill>
                  <w14:solidFill>
                    <w14:schemeClr w14:val="tx1"/>
                  </w14:solidFill>
                </w14:textFill>
              </w:rPr>
              <w:t>/mL</w:t>
            </w:r>
          </w:p>
        </w:tc>
      </w:tr>
      <w:tr>
        <w:tblPrEx>
          <w:tblCellMar>
            <w:top w:w="0" w:type="dxa"/>
            <w:left w:w="108" w:type="dxa"/>
            <w:bottom w:w="0" w:type="dxa"/>
            <w:right w:w="108" w:type="dxa"/>
          </w:tblCellMar>
        </w:tblPrEx>
        <w:trPr>
          <w:trHeight w:val="270" w:hRule="atLeast"/>
          <w:jc w:val="center"/>
        </w:trPr>
        <w:tc>
          <w:tcPr>
            <w:tcW w:w="262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50</w:t>
            </w:r>
            <w:r>
              <w:rPr>
                <w:rFonts w:hAnsi="宋体"/>
                <w:color w:val="000000" w:themeColor="text1"/>
                <w:kern w:val="0"/>
                <w:sz w:val="18"/>
                <w:szCs w:val="18"/>
                <w14:textFill>
                  <w14:solidFill>
                    <w14:schemeClr w14:val="tx1"/>
                  </w14:solidFill>
                </w14:textFill>
              </w:rPr>
              <w:t>～</w:t>
            </w:r>
            <w:r>
              <w:rPr>
                <w:rFonts w:hint="eastAsia"/>
                <w:color w:val="000000" w:themeColor="text1"/>
                <w:kern w:val="0"/>
                <w:sz w:val="18"/>
                <w:szCs w:val="18"/>
                <w14:textFill>
                  <w14:solidFill>
                    <w14:schemeClr w14:val="tx1"/>
                  </w14:solidFill>
                </w14:textFill>
              </w:rPr>
              <w:t>100</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1.0</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w:t>
            </w:r>
            <w:r>
              <w:rPr>
                <w:color w:val="000000" w:themeColor="text1"/>
                <w:kern w:val="0"/>
                <w:sz w:val="18"/>
                <w:szCs w:val="18"/>
                <w14:textFill>
                  <w14:solidFill>
                    <w14:schemeClr w14:val="tx1"/>
                  </w14:solidFill>
                </w14:textFill>
              </w:rPr>
              <w:t>0</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100</w:t>
            </w:r>
          </w:p>
        </w:tc>
      </w:tr>
      <w:tr>
        <w:tblPrEx>
          <w:tblCellMar>
            <w:top w:w="0" w:type="dxa"/>
            <w:left w:w="108" w:type="dxa"/>
            <w:bottom w:w="0" w:type="dxa"/>
            <w:right w:w="108" w:type="dxa"/>
          </w:tblCellMar>
        </w:tblPrEx>
        <w:trPr>
          <w:trHeight w:val="270" w:hRule="atLeast"/>
          <w:jc w:val="center"/>
        </w:trPr>
        <w:tc>
          <w:tcPr>
            <w:tcW w:w="262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r>
              <w:rPr>
                <w:rFonts w:hint="eastAsia"/>
                <w:color w:val="000000" w:themeColor="text1"/>
                <w:kern w:val="0"/>
                <w:sz w:val="18"/>
                <w:szCs w:val="18"/>
                <w14:textFill>
                  <w14:solidFill>
                    <w14:schemeClr w14:val="tx1"/>
                  </w14:solidFill>
                </w14:textFill>
              </w:rPr>
              <w:t>100</w:t>
            </w:r>
            <w:r>
              <w:rPr>
                <w:rFonts w:hAnsi="宋体"/>
                <w:color w:val="000000" w:themeColor="text1"/>
                <w:kern w:val="0"/>
                <w:sz w:val="18"/>
                <w:szCs w:val="18"/>
                <w14:textFill>
                  <w14:solidFill>
                    <w14:schemeClr w14:val="tx1"/>
                  </w14:solidFill>
                </w14:textFill>
              </w:rPr>
              <w:t>～</w:t>
            </w:r>
            <w:r>
              <w:rPr>
                <w:rFonts w:hint="eastAsia"/>
                <w:color w:val="000000" w:themeColor="text1"/>
                <w:kern w:val="0"/>
                <w:sz w:val="18"/>
                <w:szCs w:val="18"/>
                <w14:textFill>
                  <w14:solidFill>
                    <w14:schemeClr w14:val="tx1"/>
                  </w14:solidFill>
                </w14:textFill>
              </w:rPr>
              <w:t>300</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0.5</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w:t>
            </w:r>
            <w:r>
              <w:rPr>
                <w:color w:val="000000" w:themeColor="text1"/>
                <w:kern w:val="0"/>
                <w:sz w:val="18"/>
                <w:szCs w:val="18"/>
                <w14:textFill>
                  <w14:solidFill>
                    <w14:schemeClr w14:val="tx1"/>
                  </w14:solidFill>
                </w14:textFill>
              </w:rPr>
              <w:t>0</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100</w:t>
            </w:r>
          </w:p>
        </w:tc>
      </w:tr>
      <w:tr>
        <w:tblPrEx>
          <w:tblCellMar>
            <w:top w:w="0" w:type="dxa"/>
            <w:left w:w="108" w:type="dxa"/>
            <w:bottom w:w="0" w:type="dxa"/>
            <w:right w:w="108" w:type="dxa"/>
          </w:tblCellMar>
        </w:tblPrEx>
        <w:trPr>
          <w:trHeight w:val="270" w:hRule="atLeast"/>
          <w:jc w:val="center"/>
        </w:trPr>
        <w:tc>
          <w:tcPr>
            <w:tcW w:w="262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r>
              <w:rPr>
                <w:rFonts w:hint="eastAsia"/>
                <w:color w:val="000000" w:themeColor="text1"/>
                <w:kern w:val="0"/>
                <w:sz w:val="18"/>
                <w:szCs w:val="18"/>
                <w14:textFill>
                  <w14:solidFill>
                    <w14:schemeClr w14:val="tx1"/>
                  </w14:solidFill>
                </w14:textFill>
              </w:rPr>
              <w:t>300</w:t>
            </w:r>
            <w:r>
              <w:rPr>
                <w:rFonts w:hAnsi="宋体"/>
                <w:color w:val="000000" w:themeColor="text1"/>
                <w:kern w:val="0"/>
                <w:sz w:val="18"/>
                <w:szCs w:val="18"/>
                <w14:textFill>
                  <w14:solidFill>
                    <w14:schemeClr w14:val="tx1"/>
                  </w14:solidFill>
                </w14:textFill>
              </w:rPr>
              <w:t>～</w:t>
            </w:r>
            <w:r>
              <w:rPr>
                <w:rFonts w:hint="eastAsia"/>
                <w:color w:val="000000" w:themeColor="text1"/>
                <w:kern w:val="0"/>
                <w:sz w:val="18"/>
                <w:szCs w:val="18"/>
                <w14:textFill>
                  <w14:solidFill>
                    <w14:schemeClr w14:val="tx1"/>
                  </w14:solidFill>
                </w14:textFill>
              </w:rPr>
              <w:t>500</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w:t>
            </w:r>
            <w:r>
              <w:rPr>
                <w:rFonts w:hint="eastAsia"/>
                <w:color w:val="000000" w:themeColor="text1"/>
                <w:kern w:val="0"/>
                <w:sz w:val="18"/>
                <w:szCs w:val="18"/>
                <w14:textFill>
                  <w14:solidFill>
                    <w14:schemeClr w14:val="tx1"/>
                  </w14:solidFill>
                </w14:textFill>
              </w:rPr>
              <w:t>3</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4</w:t>
            </w:r>
            <w:r>
              <w:rPr>
                <w:color w:val="000000" w:themeColor="text1"/>
                <w:kern w:val="0"/>
                <w:sz w:val="18"/>
                <w:szCs w:val="18"/>
                <w14:textFill>
                  <w14:solidFill>
                    <w14:schemeClr w14:val="tx1"/>
                  </w14:solidFill>
                </w14:textFill>
              </w:rPr>
              <w:t>0</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200</w:t>
            </w:r>
          </w:p>
        </w:tc>
      </w:tr>
    </w:tbl>
    <w:p>
      <w:pPr>
        <w:pStyle w:val="3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测定次数</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独立地进行2次测定，取其平均值。</w:t>
      </w:r>
    </w:p>
    <w:p>
      <w:pPr>
        <w:pStyle w:val="3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空白试验</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随同试料做空白试验。</w:t>
      </w:r>
    </w:p>
    <w:p>
      <w:pPr>
        <w:pStyle w:val="3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测定</w:t>
      </w:r>
    </w:p>
    <w:p>
      <w:pPr>
        <w:pStyle w:val="42"/>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试料的分解</w:t>
      </w:r>
    </w:p>
    <w:p>
      <w:pPr>
        <w:pStyle w:val="21"/>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将试料（6.1）置于60ml瓷坩埚中在电炉上加热至200</w:t>
      </w:r>
      <w:r>
        <w:rPr>
          <w:rFonts w:hint="eastAsia" w:ascii="Times New Roman"/>
          <w:color w:val="000000" w:themeColor="text1"/>
          <w:lang w:val="en-US" w:eastAsia="zh-CN"/>
          <w14:textFill>
            <w14:solidFill>
              <w14:schemeClr w14:val="tx1"/>
            </w14:solidFill>
          </w14:textFill>
        </w:rPr>
        <w:t>℃</w:t>
      </w:r>
      <w:r>
        <w:rPr>
          <w:rFonts w:hint="eastAsia" w:ascii="Times New Roman"/>
          <w:color w:val="000000" w:themeColor="text1"/>
          <w14:textFill>
            <w14:solidFill>
              <w14:schemeClr w14:val="tx1"/>
            </w14:solidFill>
          </w14:textFill>
        </w:rPr>
        <w:t>左右坩埚中的单质硫开始燃烧，蓝色火焰消失燃烧完毕冷却转移至300mL烧杯中并用大约20～30mL盐酸(3.1)冲洗坩埚，加入氟化铵(3.4)2mL，低温分解10～20分钟（视试样分解程度）加入5mL硝酸(3.2)，继续分解至近干，取下冷却，按表2加入盐酸(3.1)，沿杯壁加入30mL蒸馏水，煮沸3分钟，取下冷却至室温，移入容量瓶中，用水稀释至刻度，混匀，放置澄清至溶液清亮。</w:t>
      </w:r>
      <w:bookmarkStart w:id="17" w:name="_GoBack"/>
      <w:bookmarkEnd w:id="17"/>
    </w:p>
    <w:p>
      <w:pPr>
        <w:pStyle w:val="42"/>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测定</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原子吸收光谱仪波长328.1nm处，使用空气-乙炔火焰，以水调零测量试液的吸光度减去随同试料空白吸光度，从工作曲线上查出相应的银浓度。。</w:t>
      </w:r>
    </w:p>
    <w:p>
      <w:pPr>
        <w:pStyle w:val="42"/>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工作曲线的绘制</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移取0</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mL、2.50</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mL、5.00</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mL、10.00</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mL、15.00</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mL、25.00</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mL银标准溶液（3.6）于一组100</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mL容量瓶中，加入20</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L盐酸（3.1），用水稀释至刻度，混匀。在原子吸收光谱仪上，于波长328.1nm处，以水调零测量系列标准溶液的吸光度。分别以被测元素的浓度为横坐标，发吸光度为纵坐标，绘制工作曲线，工作曲线的相关系数需达到0.9995以上。</w:t>
      </w:r>
    </w:p>
    <w:p>
      <w:pPr>
        <w:pStyle w:val="41"/>
        <w:spacing w:before="312"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试验数据处理</w:t>
      </w:r>
    </w:p>
    <w:p>
      <w:pPr>
        <w:pStyle w:val="21"/>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银元素含量以质量分数</w:t>
      </w:r>
      <w:r>
        <w:rPr>
          <w:rFonts w:ascii="Times New Roman"/>
          <w:i/>
          <w:color w:val="000000" w:themeColor="text1"/>
          <w:sz w:val="18"/>
          <w:szCs w:val="18"/>
          <w14:textFill>
            <w14:solidFill>
              <w14:schemeClr w14:val="tx1"/>
            </w14:solidFill>
          </w14:textFill>
        </w:rPr>
        <w:t>w</w:t>
      </w:r>
      <w:r>
        <w:rPr>
          <w:rFonts w:hint="eastAsia"/>
          <w:color w:val="000000" w:themeColor="text1"/>
          <w:vertAlign w:val="subscript"/>
          <w14:textFill>
            <w14:solidFill>
              <w14:schemeClr w14:val="tx1"/>
            </w14:solidFill>
          </w14:textFill>
        </w:rPr>
        <w:t>Ag</w:t>
      </w:r>
      <w:r>
        <w:rPr>
          <w:rFonts w:hint="eastAsia" w:hAnsi="宋体"/>
          <w:color w:val="000000" w:themeColor="text1"/>
          <w14:textFill>
            <w14:solidFill>
              <w14:schemeClr w14:val="tx1"/>
            </w14:solidFill>
          </w14:textFill>
        </w:rPr>
        <w:t>计，数值以</w:t>
      </w:r>
      <w:r>
        <w:rPr>
          <w:rFonts w:hint="eastAsia" w:hAnsi="宋体" w:cs="宋体"/>
          <w:color w:val="000000" w:themeColor="text1"/>
          <w14:textFill>
            <w14:solidFill>
              <w14:schemeClr w14:val="tx1"/>
            </w14:solidFill>
          </w14:textFill>
        </w:rPr>
        <w:t>g</w:t>
      </w:r>
      <w:r>
        <w:rPr>
          <w:rFonts w:hint="eastAsia" w:hAnsi="宋体"/>
          <w:color w:val="000000" w:themeColor="text1"/>
          <w14:textFill>
            <w14:solidFill>
              <w14:schemeClr w14:val="tx1"/>
            </w14:solidFill>
          </w14:textFill>
        </w:rPr>
        <w:t>/t表述，按公式（1）进行计算</w:t>
      </w:r>
      <w:r>
        <w:rPr>
          <w:rFonts w:hint="eastAsia"/>
          <w:color w:val="000000" w:themeColor="text1"/>
          <w14:textFill>
            <w14:solidFill>
              <w14:schemeClr w14:val="tx1"/>
            </w14:solidFill>
          </w14:textFill>
        </w:rPr>
        <w:t>：</w:t>
      </w:r>
    </w:p>
    <w:p>
      <w:pPr>
        <w:pStyle w:val="21"/>
        <w:ind w:firstLine="1155" w:firstLineChars="550"/>
        <w:rPr>
          <w:color w:val="000000" w:themeColor="text1"/>
          <w14:textFill>
            <w14:solidFill>
              <w14:schemeClr w14:val="tx1"/>
            </w14:solidFill>
          </w14:textFill>
        </w:rPr>
      </w:pPr>
      <w:r>
        <w:rPr>
          <w:color w:val="000000" w:themeColor="text1"/>
          <w:position w:val="-24"/>
          <w14:textFill>
            <w14:solidFill>
              <w14:schemeClr w14:val="tx1"/>
            </w14:solidFill>
          </w14:textFill>
        </w:rPr>
        <w:object>
          <v:shape id="_x0000_i1025" o:spt="75" type="#_x0000_t75" style="height:33pt;width:110.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color w:val="000000" w:themeColor="text1"/>
          <w14:textFill>
            <w14:solidFill>
              <w14:schemeClr w14:val="tx1"/>
            </w14:solidFill>
          </w14:textFill>
        </w:rPr>
        <w:t>……………………………………（1）</w:t>
      </w:r>
    </w:p>
    <w:p>
      <w:pPr>
        <w:pStyle w:val="21"/>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式中：</w:t>
      </w:r>
    </w:p>
    <w:p>
      <w:pPr>
        <w:pStyle w:val="21"/>
        <w:rPr>
          <w:color w:val="000000" w:themeColor="text1"/>
          <w14:textFill>
            <w14:solidFill>
              <w14:schemeClr w14:val="tx1"/>
            </w14:solidFill>
          </w14:textFill>
        </w:rPr>
      </w:pPr>
      <w:r>
        <w:rPr>
          <w:rFonts w:hint="eastAsia"/>
          <w:i/>
          <w:color w:val="000000" w:themeColor="text1"/>
          <w14:textFill>
            <w14:solidFill>
              <w14:schemeClr w14:val="tx1"/>
            </w14:solidFill>
          </w14:textFill>
        </w:rPr>
        <w:t>ρ</w:t>
      </w:r>
      <w:r>
        <w:rPr>
          <w:rFonts w:hint="eastAsia"/>
          <w:color w:val="000000" w:themeColor="text1"/>
          <w:vertAlign w:val="subscript"/>
          <w14:textFill>
            <w14:solidFill>
              <w14:schemeClr w14:val="tx1"/>
            </w14:solidFill>
          </w14:textFill>
        </w:rPr>
        <w:t>Ag</w:t>
      </w:r>
      <w:r>
        <w:rPr>
          <w:rFonts w:hint="eastAsia"/>
          <w:color w:val="000000" w:themeColor="text1"/>
          <w14:textFill>
            <w14:solidFill>
              <w14:schemeClr w14:val="tx1"/>
            </w14:solidFill>
          </w14:textFill>
        </w:rPr>
        <w:t>——试液中银的浓度，单位为微克每毫升（</w:t>
      </w:r>
      <w:r>
        <w:rPr>
          <w:rFonts w:hint="eastAsia" w:hAnsi="宋体" w:cs="宋体"/>
          <w:color w:val="000000" w:themeColor="text1"/>
          <w14:textFill>
            <w14:solidFill>
              <w14:schemeClr w14:val="tx1"/>
            </w14:solidFill>
          </w14:textFill>
        </w:rPr>
        <w:t>µg</w:t>
      </w:r>
      <w:r>
        <w:rPr>
          <w:rFonts w:hint="eastAsia"/>
          <w:color w:val="000000" w:themeColor="text1"/>
          <w14:textFill>
            <w14:solidFill>
              <w14:schemeClr w14:val="tx1"/>
            </w14:solidFill>
          </w14:textFill>
        </w:rPr>
        <w:t>/mL）；</w:t>
      </w:r>
    </w:p>
    <w:p>
      <w:pPr>
        <w:pStyle w:val="21"/>
        <w:rPr>
          <w:color w:val="000000" w:themeColor="text1"/>
          <w14:textFill>
            <w14:solidFill>
              <w14:schemeClr w14:val="tx1"/>
            </w14:solidFill>
          </w14:textFill>
        </w:rPr>
      </w:pPr>
      <w:r>
        <w:rPr>
          <w:rFonts w:hint="eastAsia"/>
          <w:i/>
          <w:color w:val="000000" w:themeColor="text1"/>
          <w14:textFill>
            <w14:solidFill>
              <w14:schemeClr w14:val="tx1"/>
            </w14:solidFill>
          </w14:textFill>
        </w:rPr>
        <w:t>ρ</w:t>
      </w:r>
      <w:r>
        <w:rPr>
          <w:rFonts w:hint="eastAsia"/>
          <w:color w:val="000000" w:themeColor="text1"/>
          <w:vertAlign w:val="subscript"/>
          <w14:textFill>
            <w14:solidFill>
              <w14:schemeClr w14:val="tx1"/>
            </w14:solidFill>
          </w14:textFill>
        </w:rPr>
        <w:t>0</w:t>
      </w:r>
      <w:r>
        <w:rPr>
          <w:rFonts w:hint="eastAsia"/>
          <w:color w:val="000000" w:themeColor="text1"/>
          <w14:textFill>
            <w14:solidFill>
              <w14:schemeClr w14:val="tx1"/>
            </w14:solidFill>
          </w14:textFill>
        </w:rPr>
        <w:t>——空白溶液中银的浓度，单位为微克每毫升（</w:t>
      </w:r>
      <w:r>
        <w:rPr>
          <w:rFonts w:hint="eastAsia" w:hAnsi="宋体" w:cs="宋体"/>
          <w:color w:val="000000" w:themeColor="text1"/>
          <w14:textFill>
            <w14:solidFill>
              <w14:schemeClr w14:val="tx1"/>
            </w14:solidFill>
          </w14:textFill>
        </w:rPr>
        <w:t>µg</w:t>
      </w:r>
      <w:r>
        <w:rPr>
          <w:rFonts w:hint="eastAsia"/>
          <w:color w:val="000000" w:themeColor="text1"/>
          <w14:textFill>
            <w14:solidFill>
              <w14:schemeClr w14:val="tx1"/>
            </w14:solidFill>
          </w14:textFill>
        </w:rPr>
        <w:t>/mL）；</w:t>
      </w:r>
    </w:p>
    <w:p>
      <w:pPr>
        <w:pStyle w:val="21"/>
        <w:rPr>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V </w:t>
      </w:r>
      <w:r>
        <w:rPr>
          <w:rFonts w:hint="eastAsia"/>
          <w:color w:val="000000" w:themeColor="text1"/>
          <w14:textFill>
            <w14:solidFill>
              <w14:schemeClr w14:val="tx1"/>
            </w14:solidFill>
          </w14:textFill>
        </w:rPr>
        <w:t>——定容体积，单位为毫升（mL）；</w:t>
      </w:r>
    </w:p>
    <w:p>
      <w:pPr>
        <w:pStyle w:val="21"/>
        <w:rPr>
          <w:color w:val="000000" w:themeColor="text1"/>
          <w14:textFill>
            <w14:solidFill>
              <w14:schemeClr w14:val="tx1"/>
            </w14:solidFill>
          </w14:textFill>
        </w:rPr>
      </w:pPr>
      <w:r>
        <w:rPr>
          <w:rFonts w:ascii="Times New Roman"/>
          <w:i/>
          <w:color w:val="000000" w:themeColor="text1"/>
          <w14:textFill>
            <w14:solidFill>
              <w14:schemeClr w14:val="tx1"/>
            </w14:solidFill>
          </w14:textFill>
        </w:rPr>
        <w:t>m</w:t>
      </w:r>
      <w:r>
        <w:rPr>
          <w:rFonts w:hint="eastAsia" w:ascii="Times New Roman"/>
          <w: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——试料的质量，单位为克（g）。</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计算结果保留至个位。</w:t>
      </w:r>
    </w:p>
    <w:p>
      <w:pPr>
        <w:pStyle w:val="41"/>
        <w:spacing w:before="312"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精密度(数据不完整待更新)</w:t>
      </w:r>
    </w:p>
    <w:p>
      <w:pPr>
        <w:pStyle w:val="3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重复性</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在重复性条件下获得的两次独立测试结果的测定值，在以下给出的平均值范围内，这两个测试结果的绝对差值不超过重复性限（</w:t>
      </w:r>
      <w:r>
        <w:rPr>
          <w:i/>
          <w:color w:val="000000" w:themeColor="text1"/>
          <w14:textFill>
            <w14:solidFill>
              <w14:schemeClr w14:val="tx1"/>
            </w14:solidFill>
          </w14:textFill>
        </w:rPr>
        <w:t>r</w:t>
      </w:r>
      <w:r>
        <w:rPr>
          <w:rFonts w:hint="eastAsia"/>
          <w:color w:val="000000" w:themeColor="text1"/>
          <w14:textFill>
            <w14:solidFill>
              <w14:schemeClr w14:val="tx1"/>
            </w14:solidFill>
          </w14:textFill>
        </w:rPr>
        <w:t>），超过重复性限（</w:t>
      </w:r>
      <w:r>
        <w:rPr>
          <w:i/>
          <w:color w:val="000000" w:themeColor="text1"/>
          <w14:textFill>
            <w14:solidFill>
              <w14:schemeClr w14:val="tx1"/>
            </w14:solidFill>
          </w14:textFill>
        </w:rPr>
        <w:t>r</w:t>
      </w:r>
      <w:r>
        <w:rPr>
          <w:rFonts w:hint="eastAsia"/>
          <w:color w:val="000000" w:themeColor="text1"/>
          <w14:textFill>
            <w14:solidFill>
              <w14:schemeClr w14:val="tx1"/>
            </w14:solidFill>
          </w14:textFill>
        </w:rPr>
        <w:t>）的情况不超过</w:t>
      </w:r>
      <w:r>
        <w:rPr>
          <w:color w:val="000000" w:themeColor="text1"/>
          <w14:textFill>
            <w14:solidFill>
              <w14:schemeClr w14:val="tx1"/>
            </w14:solidFill>
          </w14:textFill>
        </w:rPr>
        <w:t>5</w:t>
      </w:r>
      <w:r>
        <w:rPr>
          <w:rFonts w:hint="eastAsia" w:ascii="Calibri" w:hAnsi="Calibri"/>
          <w:color w:val="000000" w:themeColor="text1"/>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，重复性限（</w:t>
      </w:r>
      <w:r>
        <w:rPr>
          <w:i/>
          <w:color w:val="000000" w:themeColor="text1"/>
          <w14:textFill>
            <w14:solidFill>
              <w14:schemeClr w14:val="tx1"/>
            </w14:solidFill>
          </w14:textFill>
        </w:rPr>
        <w:t>r</w:t>
      </w:r>
      <w:r>
        <w:rPr>
          <w:rFonts w:hint="eastAsia"/>
          <w:color w:val="000000" w:themeColor="text1"/>
          <w14:textFill>
            <w14:solidFill>
              <w14:schemeClr w14:val="tx1"/>
            </w14:solidFill>
          </w14:textFill>
        </w:rPr>
        <w:t>）按表2数据采用线性内插法或外延法求得。</w:t>
      </w:r>
    </w:p>
    <w:p>
      <w:pPr>
        <w:pStyle w:val="1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重复性限</w:t>
      </w:r>
    </w:p>
    <w:tbl>
      <w:tblPr>
        <w:tblStyle w:val="3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pct"/>
          </w:tcPr>
          <w:p>
            <w:pPr>
              <w:pStyle w:val="21"/>
              <w:ind w:firstLine="0" w:firstLineChars="0"/>
              <w:jc w:val="center"/>
              <w:rPr>
                <w:color w:val="000000" w:themeColor="text1"/>
                <w:sz w:val="18"/>
                <w:szCs w:val="18"/>
                <w14:textFill>
                  <w14:solidFill>
                    <w14:schemeClr w14:val="tx1"/>
                  </w14:solidFill>
                </w14:textFill>
              </w:rPr>
            </w:pPr>
            <w:r>
              <w:rPr>
                <w:rFonts w:ascii="Times New Roman"/>
                <w:i/>
                <w:color w:val="000000" w:themeColor="text1"/>
                <w:sz w:val="18"/>
                <w:szCs w:val="18"/>
                <w14:textFill>
                  <w14:solidFill>
                    <w14:schemeClr w14:val="tx1"/>
                  </w14:solidFill>
                </w14:textFill>
              </w:rPr>
              <w:t>W</w:t>
            </w:r>
            <w:r>
              <w:rPr>
                <w:rFonts w:hint="eastAsia"/>
                <w:color w:val="000000" w:themeColor="text1"/>
                <w:sz w:val="18"/>
                <w:szCs w:val="18"/>
                <w:vertAlign w:val="subscript"/>
                <w14:textFill>
                  <w14:solidFill>
                    <w14:schemeClr w14:val="tx1"/>
                  </w14:solidFill>
                </w14:textFill>
              </w:rPr>
              <w:t>Ag</w:t>
            </w:r>
            <w:r>
              <w:rPr>
                <w:rFonts w:hint="eastAsia"/>
                <w:color w:val="000000" w:themeColor="text1"/>
                <w:sz w:val="18"/>
                <w:szCs w:val="18"/>
                <w14:textFill>
                  <w14:solidFill>
                    <w14:schemeClr w14:val="tx1"/>
                  </w14:solidFill>
                </w14:textFill>
              </w:rPr>
              <w:t>/</w:t>
            </w:r>
            <w:r>
              <w:rPr>
                <w:rFonts w:hint="eastAsia" w:hAnsi="宋体" w:cs="宋体"/>
                <w:color w:val="000000" w:themeColor="text1"/>
                <w14:textFill>
                  <w14:solidFill>
                    <w14:schemeClr w14:val="tx1"/>
                  </w14:solidFill>
                </w14:textFill>
              </w:rPr>
              <w:t>g</w:t>
            </w:r>
            <w:r>
              <w:rPr>
                <w:rFonts w:hint="eastAsia" w:hAnsi="宋体"/>
                <w:color w:val="000000" w:themeColor="text1"/>
                <w14:textFill>
                  <w14:solidFill>
                    <w14:schemeClr w14:val="tx1"/>
                  </w14:solidFill>
                </w14:textFill>
              </w:rPr>
              <w:t>/t</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87</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107</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236</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445</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477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pct"/>
          </w:tcPr>
          <w:p>
            <w:pPr>
              <w:pStyle w:val="21"/>
              <w:ind w:firstLine="0" w:firstLineChars="0"/>
              <w:jc w:val="center"/>
              <w:rPr>
                <w:i/>
                <w:color w:val="000000" w:themeColor="text1"/>
                <w:sz w:val="18"/>
                <w:szCs w:val="18"/>
                <w14:textFill>
                  <w14:solidFill>
                    <w14:schemeClr w14:val="tx1"/>
                  </w14:solidFill>
                </w14:textFill>
              </w:rPr>
            </w:pPr>
            <w:r>
              <w:rPr>
                <w:i/>
                <w:color w:val="000000" w:themeColor="text1"/>
                <w:sz w:val="18"/>
                <w:szCs w:val="18"/>
                <w14:textFill>
                  <w14:solidFill>
                    <w14:schemeClr w14:val="tx1"/>
                  </w14:solidFill>
                </w14:textFill>
              </w:rPr>
              <w:t>r</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r>
    </w:tbl>
    <w:p>
      <w:pPr>
        <w:pStyle w:val="3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再现性</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在再现性条件下获得的两次独立测试结果的测定值，在以下给出的平均值范围内，这两个测试结果的绝对差值不超过再现性限（</w:t>
      </w:r>
      <w:r>
        <w:rPr>
          <w:rFonts w:hint="eastAsia"/>
          <w:i/>
          <w:color w:val="000000" w:themeColor="text1"/>
          <w14:textFill>
            <w14:solidFill>
              <w14:schemeClr w14:val="tx1"/>
            </w14:solidFill>
          </w14:textFill>
        </w:rPr>
        <w:t>R</w:t>
      </w:r>
      <w:r>
        <w:rPr>
          <w:rFonts w:hint="eastAsia"/>
          <w:color w:val="000000" w:themeColor="text1"/>
          <w14:textFill>
            <w14:solidFill>
              <w14:schemeClr w14:val="tx1"/>
            </w14:solidFill>
          </w14:textFill>
        </w:rPr>
        <w:t>），超过再现性限（</w:t>
      </w:r>
      <w:r>
        <w:rPr>
          <w:rFonts w:hint="eastAsia"/>
          <w:i/>
          <w:color w:val="000000" w:themeColor="text1"/>
          <w14:textFill>
            <w14:solidFill>
              <w14:schemeClr w14:val="tx1"/>
            </w14:solidFill>
          </w14:textFill>
        </w:rPr>
        <w:t>R</w:t>
      </w:r>
      <w:r>
        <w:rPr>
          <w:rFonts w:hint="eastAsia"/>
          <w:color w:val="000000" w:themeColor="text1"/>
          <w14:textFill>
            <w14:solidFill>
              <w14:schemeClr w14:val="tx1"/>
            </w14:solidFill>
          </w14:textFill>
        </w:rPr>
        <w:t>）的情况不超过5</w:t>
      </w:r>
      <w:r>
        <w:rPr>
          <w:rFonts w:hint="eastAsia" w:ascii="Calibri" w:hAnsi="Calibri"/>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%，再现性限（</w:t>
      </w:r>
      <w:r>
        <w:rPr>
          <w:rFonts w:hint="eastAsia"/>
          <w:i/>
          <w:color w:val="000000" w:themeColor="text1"/>
          <w14:textFill>
            <w14:solidFill>
              <w14:schemeClr w14:val="tx1"/>
            </w14:solidFill>
          </w14:textFill>
        </w:rPr>
        <w:t>R</w:t>
      </w:r>
      <w:r>
        <w:rPr>
          <w:rFonts w:hint="eastAsia"/>
          <w:color w:val="000000" w:themeColor="text1"/>
          <w14:textFill>
            <w14:solidFill>
              <w14:schemeClr w14:val="tx1"/>
            </w14:solidFill>
          </w14:textFill>
        </w:rPr>
        <w:t>）按表3数据采用线性内插法或外延法求得。</w:t>
      </w:r>
    </w:p>
    <w:p>
      <w:pPr>
        <w:pStyle w:val="1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再现性限</w:t>
      </w:r>
    </w:p>
    <w:tbl>
      <w:tblPr>
        <w:tblStyle w:val="3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833" w:type="pct"/>
          </w:tcPr>
          <w:p>
            <w:pPr>
              <w:pStyle w:val="21"/>
              <w:ind w:firstLine="0" w:firstLineChars="0"/>
              <w:jc w:val="center"/>
              <w:rPr>
                <w:color w:val="000000" w:themeColor="text1"/>
                <w:sz w:val="18"/>
                <w:szCs w:val="18"/>
                <w14:textFill>
                  <w14:solidFill>
                    <w14:schemeClr w14:val="tx1"/>
                  </w14:solidFill>
                </w14:textFill>
              </w:rPr>
            </w:pPr>
            <w:r>
              <w:rPr>
                <w:rFonts w:ascii="Times New Roman"/>
                <w:i/>
                <w:color w:val="000000" w:themeColor="text1"/>
                <w:sz w:val="18"/>
                <w:szCs w:val="18"/>
                <w14:textFill>
                  <w14:solidFill>
                    <w14:schemeClr w14:val="tx1"/>
                  </w14:solidFill>
                </w14:textFill>
              </w:rPr>
              <w:t>W</w:t>
            </w:r>
            <w:r>
              <w:rPr>
                <w:rFonts w:hint="eastAsia"/>
                <w:color w:val="000000" w:themeColor="text1"/>
                <w:sz w:val="18"/>
                <w:szCs w:val="18"/>
                <w:vertAlign w:val="subscript"/>
                <w14:textFill>
                  <w14:solidFill>
                    <w14:schemeClr w14:val="tx1"/>
                  </w14:solidFill>
                </w14:textFill>
              </w:rPr>
              <w:t>Ae</w:t>
            </w:r>
            <w:r>
              <w:rPr>
                <w:rFonts w:hint="eastAsia"/>
                <w:color w:val="000000" w:themeColor="text1"/>
                <w:sz w:val="18"/>
                <w:szCs w:val="18"/>
                <w14:textFill>
                  <w14:solidFill>
                    <w14:schemeClr w14:val="tx1"/>
                  </w14:solidFill>
                </w14:textFill>
              </w:rPr>
              <w:t>/</w:t>
            </w:r>
            <w:r>
              <w:rPr>
                <w:rFonts w:hint="eastAsia" w:hAnsi="宋体" w:cs="宋体"/>
                <w:color w:val="000000" w:themeColor="text1"/>
                <w14:textFill>
                  <w14:solidFill>
                    <w14:schemeClr w14:val="tx1"/>
                  </w14:solidFill>
                </w14:textFill>
              </w:rPr>
              <w:t>g</w:t>
            </w:r>
            <w:r>
              <w:rPr>
                <w:rFonts w:hint="eastAsia" w:hAnsi="宋体"/>
                <w:color w:val="000000" w:themeColor="text1"/>
                <w14:textFill>
                  <w14:solidFill>
                    <w14:schemeClr w14:val="tx1"/>
                  </w14:solidFill>
                </w14:textFill>
              </w:rPr>
              <w:t>/t</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87</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107</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236</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445</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477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pct"/>
          </w:tcPr>
          <w:p>
            <w:pPr>
              <w:pStyle w:val="21"/>
              <w:ind w:firstLine="0" w:firstLineChars="0"/>
              <w:jc w:val="center"/>
              <w:rPr>
                <w:i/>
                <w:color w:val="000000" w:themeColor="text1"/>
                <w:sz w:val="18"/>
                <w:szCs w:val="18"/>
                <w14:textFill>
                  <w14:solidFill>
                    <w14:schemeClr w14:val="tx1"/>
                  </w14:solidFill>
                </w14:textFill>
              </w:rPr>
            </w:pPr>
            <w:r>
              <w:rPr>
                <w:rFonts w:hint="eastAsia"/>
                <w:i/>
                <w:color w:val="000000" w:themeColor="text1"/>
                <w:sz w:val="18"/>
                <w:szCs w:val="18"/>
                <w14:textFill>
                  <w14:solidFill>
                    <w14:schemeClr w14:val="tx1"/>
                  </w14:solidFill>
                </w14:textFill>
              </w:rPr>
              <w:t>R</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833" w:type="pct"/>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r>
    </w:tbl>
    <w:p>
      <w:pPr>
        <w:pStyle w:val="41"/>
        <w:spacing w:before="312" w:afterLines="0"/>
        <w:rPr>
          <w:color w:val="000000" w:themeColor="text1"/>
          <w14:textFill>
            <w14:solidFill>
              <w14:schemeClr w14:val="tx1"/>
            </w14:solidFill>
          </w14:textFill>
        </w:rPr>
      </w:pPr>
      <w:r>
        <w:rPr>
          <w:rFonts w:hint="eastAsia"/>
          <w:color w:val="000000" w:themeColor="text1"/>
          <w14:textFill>
            <w14:solidFill>
              <w14:schemeClr w14:val="tx1"/>
            </w14:solidFill>
          </w14:textFill>
        </w:rPr>
        <w:t>试验报告</w:t>
      </w:r>
    </w:p>
    <w:p>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试验报告至少给出以下几个方面的内容：</w:t>
      </w:r>
    </w:p>
    <w:p>
      <w:pPr>
        <w:pStyle w:val="44"/>
        <w:rPr>
          <w:color w:val="000000" w:themeColor="text1"/>
          <w14:textFill>
            <w14:solidFill>
              <w14:schemeClr w14:val="tx1"/>
            </w14:solidFill>
          </w14:textFill>
        </w:rPr>
      </w:pPr>
      <w:r>
        <w:rPr>
          <w:rFonts w:hint="eastAsia"/>
          <w:color w:val="000000" w:themeColor="text1"/>
          <w14:textFill>
            <w14:solidFill>
              <w14:schemeClr w14:val="tx1"/>
            </w14:solidFill>
          </w14:textFill>
        </w:rPr>
        <w:t>样品；</w:t>
      </w:r>
    </w:p>
    <w:p>
      <w:pPr>
        <w:pStyle w:val="44"/>
        <w:rPr>
          <w:color w:val="000000" w:themeColor="text1"/>
          <w14:textFill>
            <w14:solidFill>
              <w14:schemeClr w14:val="tx1"/>
            </w14:solidFill>
          </w14:textFill>
        </w:rPr>
      </w:pPr>
      <w:r>
        <w:rPr>
          <w:rFonts w:hint="eastAsia"/>
          <w:color w:val="000000" w:themeColor="text1"/>
          <w14:textFill>
            <w14:solidFill>
              <w14:schemeClr w14:val="tx1"/>
            </w14:solidFill>
          </w14:textFill>
        </w:rPr>
        <w:t>使用的标准；</w:t>
      </w:r>
    </w:p>
    <w:p>
      <w:pPr>
        <w:pStyle w:val="44"/>
        <w:rPr>
          <w:color w:val="000000" w:themeColor="text1"/>
          <w14:textFill>
            <w14:solidFill>
              <w14:schemeClr w14:val="tx1"/>
            </w14:solidFill>
          </w14:textFill>
        </w:rPr>
      </w:pPr>
      <w:r>
        <w:rPr>
          <w:rFonts w:hint="eastAsia"/>
          <w:color w:val="000000" w:themeColor="text1"/>
          <w14:textFill>
            <w14:solidFill>
              <w14:schemeClr w14:val="tx1"/>
            </w14:solidFill>
          </w14:textFill>
        </w:rPr>
        <w:t>分析结果及其表示；</w:t>
      </w:r>
    </w:p>
    <w:p>
      <w:pPr>
        <w:pStyle w:val="44"/>
        <w:rPr>
          <w:color w:val="000000" w:themeColor="text1"/>
          <w14:textFill>
            <w14:solidFill>
              <w14:schemeClr w14:val="tx1"/>
            </w14:solidFill>
          </w14:textFill>
        </w:rPr>
      </w:pPr>
      <w:r>
        <w:rPr>
          <w:rFonts w:hint="eastAsia"/>
          <w:color w:val="000000" w:themeColor="text1"/>
          <w14:textFill>
            <w14:solidFill>
              <w14:schemeClr w14:val="tx1"/>
            </w14:solidFill>
          </w14:textFill>
        </w:rPr>
        <w:t>与基本分析步骤的差异；</w:t>
      </w:r>
    </w:p>
    <w:p>
      <w:pPr>
        <w:pStyle w:val="44"/>
        <w:rPr>
          <w:color w:val="000000" w:themeColor="text1"/>
          <w14:textFill>
            <w14:solidFill>
              <w14:schemeClr w14:val="tx1"/>
            </w14:solidFill>
          </w14:textFill>
        </w:rPr>
      </w:pPr>
      <w:r>
        <w:rPr>
          <w:rFonts w:hint="eastAsia"/>
          <w:color w:val="000000" w:themeColor="text1"/>
          <w14:textFill>
            <w14:solidFill>
              <w14:schemeClr w14:val="tx1"/>
            </w14:solidFill>
          </w14:textFill>
        </w:rPr>
        <w:t>测定中观察到的异常现象；</w:t>
      </w:r>
    </w:p>
    <w:p>
      <w:pPr>
        <w:pStyle w:val="44"/>
        <w:rPr>
          <w:color w:val="000000" w:themeColor="text1"/>
          <w14:textFill>
            <w14:solidFill>
              <w14:schemeClr w14:val="tx1"/>
            </w14:solidFill>
          </w14:textFill>
        </w:rPr>
      </w:pPr>
      <w:r>
        <w:rPr>
          <w:rFonts w:hint="eastAsia"/>
          <w:color w:val="000000" w:themeColor="text1"/>
          <w14:textFill>
            <w14:solidFill>
              <w14:schemeClr w14:val="tx1"/>
            </w14:solidFill>
          </w14:textFill>
        </w:rPr>
        <w:t>试验日期。</w:t>
      </w:r>
    </w:p>
    <w:p>
      <w:pPr>
        <w:pStyle w:val="44"/>
        <w:numPr>
          <w:ilvl w:val="0"/>
          <w:numId w:val="0"/>
        </w:numPr>
        <w:ind w:left="833" w:hanging="408"/>
        <w:rPr>
          <w:color w:val="000000" w:themeColor="text1"/>
          <w14:textFill>
            <w14:solidFill>
              <w14:schemeClr w14:val="tx1"/>
            </w14:solidFill>
          </w14:textFill>
        </w:rPr>
      </w:pPr>
    </w:p>
    <w:p>
      <w:pPr>
        <w:pStyle w:val="126"/>
        <w:framePr w:wrap="around" w:y="1"/>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w:t>
      </w:r>
    </w:p>
    <w:p>
      <w:pPr>
        <w:pStyle w:val="82"/>
        <w:numPr>
          <w:ilvl w:val="0"/>
          <w:numId w:val="0"/>
        </w:numPr>
        <w:ind w:left="811"/>
        <w:jc w:val="both"/>
        <w:rPr>
          <w:color w:val="000000" w:themeColor="text1"/>
          <w14:textFill>
            <w14:solidFill>
              <w14:schemeClr w14:val="tx1"/>
            </w14:solidFill>
          </w14:textFill>
        </w:rPr>
      </w:pPr>
      <w:bookmarkStart w:id="16" w:name="DW"/>
      <w:bookmarkEnd w:id="16"/>
    </w:p>
    <w:sectPr>
      <w:footerReference r:id="rId7" w:type="even"/>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544164"/>
    </w:sdtPr>
    <w:sdtContent>
      <w:p>
        <w:pPr>
          <w:pStyle w:val="15"/>
          <w:jc w:val="left"/>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黑体" w:hAnsi="黑体" w:eastAsia="黑体"/>
        <w:sz w:val="21"/>
        <w:szCs w:val="21"/>
      </w:rPr>
    </w:pPr>
    <w:r>
      <w:rPr>
        <w:rFonts w:ascii="黑体" w:hAnsi="黑体" w:eastAsia="黑体"/>
        <w:sz w:val="21"/>
        <w:szCs w:val="21"/>
      </w:rPr>
      <w:t>YS/T</w:t>
    </w:r>
    <w:r>
      <w:rPr>
        <w:rFonts w:hint="eastAsia" w:ascii="黑体" w:hAnsi="黑体" w:eastAsia="黑体"/>
        <w:sz w:val="21"/>
        <w:szCs w:val="21"/>
      </w:rPr>
      <w:t xml:space="preserve"> XXXX.XX</w:t>
    </w:r>
    <w:r>
      <w:rPr>
        <w:rFonts w:ascii="黑体" w:hAnsi="黑体" w:eastAsia="黑体"/>
        <w:sz w:val="21"/>
        <w:szCs w:val="21"/>
      </w:rPr>
      <w:t>—201</w:t>
    </w:r>
    <w:r>
      <w:rPr>
        <w:rFonts w:hint="eastAsia" w:ascii="黑体" w:hAnsi="黑体" w:eastAsia="黑体"/>
        <w:sz w:val="21"/>
        <w:szCs w:val="21"/>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YS/T</w:t>
    </w:r>
    <w:r>
      <w:rPr>
        <w:rFonts w:hint="eastAsia"/>
      </w:rPr>
      <w:t xml:space="preserve"> XXXX.XX</w:t>
    </w:r>
    <w:r>
      <w:t>—201</w:t>
    </w:r>
    <w:r>
      <w:rPr>
        <w:rFonts w:hint="eastAsia"/>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4"/>
      <w:suff w:val="nothing"/>
      <w:lvlText w:val="注%1："/>
      <w:lvlJc w:val="left"/>
      <w:pPr>
        <w:ind w:left="4356" w:hanging="448"/>
      </w:pPr>
      <w:rPr>
        <w:rFonts w:hint="eastAsia" w:ascii="黑体" w:eastAsia="黑体"/>
        <w:b w:val="0"/>
        <w:i w:val="0"/>
        <w:sz w:val="18"/>
        <w:lang w:val="en-US"/>
      </w:rPr>
    </w:lvl>
    <w:lvl w:ilvl="1" w:tentative="0">
      <w:start w:val="1"/>
      <w:numFmt w:val="lowerLetter"/>
      <w:lvlText w:val="%2)"/>
      <w:lvlJc w:val="left"/>
      <w:pPr>
        <w:tabs>
          <w:tab w:val="left" w:pos="3545"/>
        </w:tabs>
        <w:ind w:left="4537" w:hanging="629"/>
      </w:pPr>
      <w:rPr>
        <w:rFonts w:hint="eastAsia"/>
      </w:rPr>
    </w:lvl>
    <w:lvl w:ilvl="2" w:tentative="0">
      <w:start w:val="1"/>
      <w:numFmt w:val="lowerRoman"/>
      <w:lvlText w:val="%3."/>
      <w:lvlJc w:val="right"/>
      <w:pPr>
        <w:tabs>
          <w:tab w:val="left" w:pos="3545"/>
        </w:tabs>
        <w:ind w:left="4537" w:hanging="629"/>
      </w:pPr>
      <w:rPr>
        <w:rFonts w:hint="eastAsia"/>
      </w:rPr>
    </w:lvl>
    <w:lvl w:ilvl="3" w:tentative="0">
      <w:start w:val="1"/>
      <w:numFmt w:val="decimal"/>
      <w:lvlText w:val="%4."/>
      <w:lvlJc w:val="left"/>
      <w:pPr>
        <w:tabs>
          <w:tab w:val="left" w:pos="3545"/>
        </w:tabs>
        <w:ind w:left="4537" w:hanging="629"/>
      </w:pPr>
      <w:rPr>
        <w:rFonts w:hint="eastAsia"/>
      </w:rPr>
    </w:lvl>
    <w:lvl w:ilvl="4" w:tentative="0">
      <w:start w:val="1"/>
      <w:numFmt w:val="lowerLetter"/>
      <w:lvlText w:val="%5)"/>
      <w:lvlJc w:val="left"/>
      <w:pPr>
        <w:tabs>
          <w:tab w:val="left" w:pos="3545"/>
        </w:tabs>
        <w:ind w:left="4537" w:hanging="629"/>
      </w:pPr>
      <w:rPr>
        <w:rFonts w:hint="eastAsia"/>
      </w:rPr>
    </w:lvl>
    <w:lvl w:ilvl="5" w:tentative="0">
      <w:start w:val="1"/>
      <w:numFmt w:val="lowerRoman"/>
      <w:lvlText w:val="%6."/>
      <w:lvlJc w:val="right"/>
      <w:pPr>
        <w:tabs>
          <w:tab w:val="left" w:pos="3545"/>
        </w:tabs>
        <w:ind w:left="4537" w:hanging="629"/>
      </w:pPr>
      <w:rPr>
        <w:rFonts w:hint="eastAsia"/>
      </w:rPr>
    </w:lvl>
    <w:lvl w:ilvl="6" w:tentative="0">
      <w:start w:val="1"/>
      <w:numFmt w:val="decimal"/>
      <w:lvlText w:val="%7."/>
      <w:lvlJc w:val="left"/>
      <w:pPr>
        <w:tabs>
          <w:tab w:val="left" w:pos="3545"/>
        </w:tabs>
        <w:ind w:left="4537" w:hanging="629"/>
      </w:pPr>
      <w:rPr>
        <w:rFonts w:hint="eastAsia"/>
      </w:rPr>
    </w:lvl>
    <w:lvl w:ilvl="7" w:tentative="0">
      <w:start w:val="1"/>
      <w:numFmt w:val="lowerLetter"/>
      <w:lvlText w:val="%8)"/>
      <w:lvlJc w:val="left"/>
      <w:pPr>
        <w:tabs>
          <w:tab w:val="left" w:pos="3545"/>
        </w:tabs>
        <w:ind w:left="4537" w:hanging="629"/>
      </w:pPr>
      <w:rPr>
        <w:rFonts w:hint="eastAsia"/>
      </w:rPr>
    </w:lvl>
    <w:lvl w:ilvl="8" w:tentative="0">
      <w:start w:val="1"/>
      <w:numFmt w:val="lowerRoman"/>
      <w:lvlText w:val="%9."/>
      <w:lvlJc w:val="right"/>
      <w:pPr>
        <w:tabs>
          <w:tab w:val="left" w:pos="3545"/>
        </w:tabs>
        <w:ind w:left="4537"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44"/>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9"/>
  </w:num>
  <w:num w:numId="4">
    <w:abstractNumId w:val="2"/>
  </w:num>
  <w:num w:numId="5">
    <w:abstractNumId w:val="11"/>
  </w:num>
  <w:num w:numId="6">
    <w:abstractNumId w:val="17"/>
  </w:num>
  <w:num w:numId="7">
    <w:abstractNumId w:val="0"/>
  </w:num>
  <w:num w:numId="8">
    <w:abstractNumId w:val="12"/>
  </w:num>
  <w:num w:numId="9">
    <w:abstractNumId w:val="7"/>
  </w:num>
  <w:num w:numId="10">
    <w:abstractNumId w:val="5"/>
  </w:num>
  <w:num w:numId="11">
    <w:abstractNumId w:val="15"/>
  </w:num>
  <w:num w:numId="12">
    <w:abstractNumId w:val="13"/>
  </w:num>
  <w:num w:numId="13">
    <w:abstractNumId w:val="16"/>
  </w:num>
  <w:num w:numId="14">
    <w:abstractNumId w:val="8"/>
  </w:num>
  <w:num w:numId="15">
    <w:abstractNumId w:val="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695"/>
    <w:rsid w:val="0000185F"/>
    <w:rsid w:val="0000586F"/>
    <w:rsid w:val="00005C50"/>
    <w:rsid w:val="00011EAA"/>
    <w:rsid w:val="00013D86"/>
    <w:rsid w:val="00013E02"/>
    <w:rsid w:val="0002143C"/>
    <w:rsid w:val="00025A65"/>
    <w:rsid w:val="00026C31"/>
    <w:rsid w:val="00027280"/>
    <w:rsid w:val="000320A7"/>
    <w:rsid w:val="000335AD"/>
    <w:rsid w:val="00035925"/>
    <w:rsid w:val="00043270"/>
    <w:rsid w:val="00054B81"/>
    <w:rsid w:val="00067CDF"/>
    <w:rsid w:val="00074D91"/>
    <w:rsid w:val="00074FBE"/>
    <w:rsid w:val="00076FC3"/>
    <w:rsid w:val="00081E85"/>
    <w:rsid w:val="00083A09"/>
    <w:rsid w:val="00084B2C"/>
    <w:rsid w:val="0009005E"/>
    <w:rsid w:val="00092857"/>
    <w:rsid w:val="000A20A9"/>
    <w:rsid w:val="000A48B1"/>
    <w:rsid w:val="000A5CEA"/>
    <w:rsid w:val="000B3143"/>
    <w:rsid w:val="000C6B05"/>
    <w:rsid w:val="000C6DD6"/>
    <w:rsid w:val="000C6EBD"/>
    <w:rsid w:val="000C73D4"/>
    <w:rsid w:val="000D2476"/>
    <w:rsid w:val="000D2CF3"/>
    <w:rsid w:val="000D3D4C"/>
    <w:rsid w:val="000D4F51"/>
    <w:rsid w:val="000D718B"/>
    <w:rsid w:val="000E0C46"/>
    <w:rsid w:val="000E3673"/>
    <w:rsid w:val="000E4234"/>
    <w:rsid w:val="000F030C"/>
    <w:rsid w:val="000F129C"/>
    <w:rsid w:val="00100686"/>
    <w:rsid w:val="001056DE"/>
    <w:rsid w:val="00107EFD"/>
    <w:rsid w:val="001124C0"/>
    <w:rsid w:val="00116B7C"/>
    <w:rsid w:val="0013175F"/>
    <w:rsid w:val="001417F0"/>
    <w:rsid w:val="001512B4"/>
    <w:rsid w:val="0016199B"/>
    <w:rsid w:val="001620A5"/>
    <w:rsid w:val="00164E53"/>
    <w:rsid w:val="00165E32"/>
    <w:rsid w:val="0016699D"/>
    <w:rsid w:val="00175159"/>
    <w:rsid w:val="00176208"/>
    <w:rsid w:val="0018211B"/>
    <w:rsid w:val="001840D3"/>
    <w:rsid w:val="00185FFD"/>
    <w:rsid w:val="001865E2"/>
    <w:rsid w:val="00187D82"/>
    <w:rsid w:val="001900F8"/>
    <w:rsid w:val="00191258"/>
    <w:rsid w:val="00192680"/>
    <w:rsid w:val="00193037"/>
    <w:rsid w:val="00193A2C"/>
    <w:rsid w:val="0019533D"/>
    <w:rsid w:val="00197F38"/>
    <w:rsid w:val="001A288E"/>
    <w:rsid w:val="001A3FA6"/>
    <w:rsid w:val="001A62A1"/>
    <w:rsid w:val="001B6DC2"/>
    <w:rsid w:val="001C149C"/>
    <w:rsid w:val="001C21AC"/>
    <w:rsid w:val="001C47BA"/>
    <w:rsid w:val="001C59EA"/>
    <w:rsid w:val="001D406C"/>
    <w:rsid w:val="001D41EE"/>
    <w:rsid w:val="001E0380"/>
    <w:rsid w:val="001E13B1"/>
    <w:rsid w:val="001E3B67"/>
    <w:rsid w:val="001E65FB"/>
    <w:rsid w:val="001F3A19"/>
    <w:rsid w:val="001F5B5D"/>
    <w:rsid w:val="0021064F"/>
    <w:rsid w:val="00217909"/>
    <w:rsid w:val="00220A30"/>
    <w:rsid w:val="00232323"/>
    <w:rsid w:val="00234467"/>
    <w:rsid w:val="00237D8D"/>
    <w:rsid w:val="00241C67"/>
    <w:rsid w:val="00241DA2"/>
    <w:rsid w:val="00247FEE"/>
    <w:rsid w:val="00250E7D"/>
    <w:rsid w:val="002565D5"/>
    <w:rsid w:val="002622C0"/>
    <w:rsid w:val="002778AE"/>
    <w:rsid w:val="002821A1"/>
    <w:rsid w:val="0028269A"/>
    <w:rsid w:val="00283590"/>
    <w:rsid w:val="00284517"/>
    <w:rsid w:val="00286973"/>
    <w:rsid w:val="00293753"/>
    <w:rsid w:val="00294E70"/>
    <w:rsid w:val="002965D2"/>
    <w:rsid w:val="002A1924"/>
    <w:rsid w:val="002A7420"/>
    <w:rsid w:val="002B0F12"/>
    <w:rsid w:val="002B1308"/>
    <w:rsid w:val="002B4554"/>
    <w:rsid w:val="002B744C"/>
    <w:rsid w:val="002C31F1"/>
    <w:rsid w:val="002C6391"/>
    <w:rsid w:val="002C72D8"/>
    <w:rsid w:val="002D11FA"/>
    <w:rsid w:val="002D5ADB"/>
    <w:rsid w:val="002E0DDF"/>
    <w:rsid w:val="002E2906"/>
    <w:rsid w:val="002E363B"/>
    <w:rsid w:val="002E5635"/>
    <w:rsid w:val="002E64C3"/>
    <w:rsid w:val="002E6A2C"/>
    <w:rsid w:val="002F1D8C"/>
    <w:rsid w:val="002F21DA"/>
    <w:rsid w:val="00301F39"/>
    <w:rsid w:val="00307435"/>
    <w:rsid w:val="003147B1"/>
    <w:rsid w:val="00323C34"/>
    <w:rsid w:val="00325926"/>
    <w:rsid w:val="00325BC4"/>
    <w:rsid w:val="00327A41"/>
    <w:rsid w:val="00327A8A"/>
    <w:rsid w:val="00333796"/>
    <w:rsid w:val="00336610"/>
    <w:rsid w:val="00343F73"/>
    <w:rsid w:val="00345060"/>
    <w:rsid w:val="0035323B"/>
    <w:rsid w:val="003609D2"/>
    <w:rsid w:val="00361962"/>
    <w:rsid w:val="00363F22"/>
    <w:rsid w:val="00373632"/>
    <w:rsid w:val="00375564"/>
    <w:rsid w:val="0038240B"/>
    <w:rsid w:val="00383027"/>
    <w:rsid w:val="00383191"/>
    <w:rsid w:val="00386DED"/>
    <w:rsid w:val="003912E7"/>
    <w:rsid w:val="00393947"/>
    <w:rsid w:val="003A2275"/>
    <w:rsid w:val="003A6A4F"/>
    <w:rsid w:val="003A7088"/>
    <w:rsid w:val="003B00DF"/>
    <w:rsid w:val="003B06AB"/>
    <w:rsid w:val="003B1275"/>
    <w:rsid w:val="003B1778"/>
    <w:rsid w:val="003C097C"/>
    <w:rsid w:val="003C11CB"/>
    <w:rsid w:val="003C1CA4"/>
    <w:rsid w:val="003C6279"/>
    <w:rsid w:val="003C75F3"/>
    <w:rsid w:val="003C78A3"/>
    <w:rsid w:val="003E09E1"/>
    <w:rsid w:val="003E1867"/>
    <w:rsid w:val="003E4639"/>
    <w:rsid w:val="003E5729"/>
    <w:rsid w:val="003F4EE0"/>
    <w:rsid w:val="00402153"/>
    <w:rsid w:val="00402FC1"/>
    <w:rsid w:val="004118EC"/>
    <w:rsid w:val="00415281"/>
    <w:rsid w:val="00425082"/>
    <w:rsid w:val="004263BE"/>
    <w:rsid w:val="00431DEB"/>
    <w:rsid w:val="004442B4"/>
    <w:rsid w:val="00446B29"/>
    <w:rsid w:val="0045010E"/>
    <w:rsid w:val="00453F9A"/>
    <w:rsid w:val="00471E91"/>
    <w:rsid w:val="00474675"/>
    <w:rsid w:val="0047470C"/>
    <w:rsid w:val="00487BA8"/>
    <w:rsid w:val="004A35F9"/>
    <w:rsid w:val="004B24C1"/>
    <w:rsid w:val="004C292F"/>
    <w:rsid w:val="004C2B44"/>
    <w:rsid w:val="004D3EDF"/>
    <w:rsid w:val="00510280"/>
    <w:rsid w:val="00513D73"/>
    <w:rsid w:val="00514A43"/>
    <w:rsid w:val="005174E5"/>
    <w:rsid w:val="00517CEB"/>
    <w:rsid w:val="005204CD"/>
    <w:rsid w:val="00522393"/>
    <w:rsid w:val="00522620"/>
    <w:rsid w:val="00525656"/>
    <w:rsid w:val="00534C02"/>
    <w:rsid w:val="0054264B"/>
    <w:rsid w:val="00543786"/>
    <w:rsid w:val="00544422"/>
    <w:rsid w:val="005464EA"/>
    <w:rsid w:val="005533D7"/>
    <w:rsid w:val="00557761"/>
    <w:rsid w:val="005703DE"/>
    <w:rsid w:val="00571806"/>
    <w:rsid w:val="0058464E"/>
    <w:rsid w:val="00593B48"/>
    <w:rsid w:val="005A01CB"/>
    <w:rsid w:val="005A58FF"/>
    <w:rsid w:val="005A5EAF"/>
    <w:rsid w:val="005A64C0"/>
    <w:rsid w:val="005B249F"/>
    <w:rsid w:val="005B2533"/>
    <w:rsid w:val="005B2AB1"/>
    <w:rsid w:val="005B3C11"/>
    <w:rsid w:val="005B68F3"/>
    <w:rsid w:val="005C1C28"/>
    <w:rsid w:val="005C6DB5"/>
    <w:rsid w:val="005E19E7"/>
    <w:rsid w:val="005F0D35"/>
    <w:rsid w:val="005F24C3"/>
    <w:rsid w:val="0060091D"/>
    <w:rsid w:val="006070DB"/>
    <w:rsid w:val="0061716C"/>
    <w:rsid w:val="006243A1"/>
    <w:rsid w:val="00632E56"/>
    <w:rsid w:val="00633D4B"/>
    <w:rsid w:val="00635CBA"/>
    <w:rsid w:val="0064025D"/>
    <w:rsid w:val="0064338B"/>
    <w:rsid w:val="00646542"/>
    <w:rsid w:val="006504F4"/>
    <w:rsid w:val="00653FCE"/>
    <w:rsid w:val="00654BC9"/>
    <w:rsid w:val="006552FD"/>
    <w:rsid w:val="00655658"/>
    <w:rsid w:val="00663368"/>
    <w:rsid w:val="00663AF3"/>
    <w:rsid w:val="00666B6C"/>
    <w:rsid w:val="00675E78"/>
    <w:rsid w:val="00682682"/>
    <w:rsid w:val="00682702"/>
    <w:rsid w:val="00682CAE"/>
    <w:rsid w:val="00686D33"/>
    <w:rsid w:val="00687E48"/>
    <w:rsid w:val="00692368"/>
    <w:rsid w:val="006931F3"/>
    <w:rsid w:val="006A2EBC"/>
    <w:rsid w:val="006A5EA0"/>
    <w:rsid w:val="006A783B"/>
    <w:rsid w:val="006A7B33"/>
    <w:rsid w:val="006B4E13"/>
    <w:rsid w:val="006B75DD"/>
    <w:rsid w:val="006C67E0"/>
    <w:rsid w:val="006C7ABA"/>
    <w:rsid w:val="006D0D60"/>
    <w:rsid w:val="006D1122"/>
    <w:rsid w:val="006D3C00"/>
    <w:rsid w:val="006D526C"/>
    <w:rsid w:val="006D5557"/>
    <w:rsid w:val="006D6CF4"/>
    <w:rsid w:val="006E3675"/>
    <w:rsid w:val="006E4A7F"/>
    <w:rsid w:val="006F65BB"/>
    <w:rsid w:val="00704767"/>
    <w:rsid w:val="00704DF6"/>
    <w:rsid w:val="0070651C"/>
    <w:rsid w:val="00712C46"/>
    <w:rsid w:val="007132A3"/>
    <w:rsid w:val="007155A7"/>
    <w:rsid w:val="007157F6"/>
    <w:rsid w:val="00716421"/>
    <w:rsid w:val="00724EFB"/>
    <w:rsid w:val="00732D21"/>
    <w:rsid w:val="007419C3"/>
    <w:rsid w:val="00744F22"/>
    <w:rsid w:val="007467A7"/>
    <w:rsid w:val="007469DD"/>
    <w:rsid w:val="0074741B"/>
    <w:rsid w:val="0074759E"/>
    <w:rsid w:val="007478EA"/>
    <w:rsid w:val="0075415C"/>
    <w:rsid w:val="00754FA7"/>
    <w:rsid w:val="00763502"/>
    <w:rsid w:val="00767837"/>
    <w:rsid w:val="00777E87"/>
    <w:rsid w:val="007913AB"/>
    <w:rsid w:val="007914F7"/>
    <w:rsid w:val="007B1625"/>
    <w:rsid w:val="007B706E"/>
    <w:rsid w:val="007B71EB"/>
    <w:rsid w:val="007C6205"/>
    <w:rsid w:val="007C686A"/>
    <w:rsid w:val="007C728E"/>
    <w:rsid w:val="007D2C53"/>
    <w:rsid w:val="007D3D60"/>
    <w:rsid w:val="007D4BB2"/>
    <w:rsid w:val="007E1980"/>
    <w:rsid w:val="007E4B76"/>
    <w:rsid w:val="007E5EA8"/>
    <w:rsid w:val="007F0CF1"/>
    <w:rsid w:val="007F12A5"/>
    <w:rsid w:val="007F4CF1"/>
    <w:rsid w:val="007F758D"/>
    <w:rsid w:val="007F7D52"/>
    <w:rsid w:val="0080654C"/>
    <w:rsid w:val="008071C6"/>
    <w:rsid w:val="008076BC"/>
    <w:rsid w:val="00816ECA"/>
    <w:rsid w:val="00817A00"/>
    <w:rsid w:val="00835CAF"/>
    <w:rsid w:val="00835DB3"/>
    <w:rsid w:val="0083617B"/>
    <w:rsid w:val="008371BD"/>
    <w:rsid w:val="008504A8"/>
    <w:rsid w:val="0085282E"/>
    <w:rsid w:val="0087198C"/>
    <w:rsid w:val="00872C1F"/>
    <w:rsid w:val="00873B42"/>
    <w:rsid w:val="008840D7"/>
    <w:rsid w:val="008856D8"/>
    <w:rsid w:val="00892E82"/>
    <w:rsid w:val="008C1B58"/>
    <w:rsid w:val="008C39AE"/>
    <w:rsid w:val="008C590D"/>
    <w:rsid w:val="008D324E"/>
    <w:rsid w:val="008E031B"/>
    <w:rsid w:val="008E7029"/>
    <w:rsid w:val="008E7EF6"/>
    <w:rsid w:val="008F1F98"/>
    <w:rsid w:val="008F6758"/>
    <w:rsid w:val="009040DD"/>
    <w:rsid w:val="00905B47"/>
    <w:rsid w:val="0091331C"/>
    <w:rsid w:val="0092619A"/>
    <w:rsid w:val="009279DE"/>
    <w:rsid w:val="00930116"/>
    <w:rsid w:val="00936779"/>
    <w:rsid w:val="0094212C"/>
    <w:rsid w:val="00954689"/>
    <w:rsid w:val="0095506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A68D2"/>
    <w:rsid w:val="009B2ADB"/>
    <w:rsid w:val="009B603A"/>
    <w:rsid w:val="009B6B02"/>
    <w:rsid w:val="009C2D0E"/>
    <w:rsid w:val="009C3DAC"/>
    <w:rsid w:val="009C42E0"/>
    <w:rsid w:val="009D5362"/>
    <w:rsid w:val="009E1415"/>
    <w:rsid w:val="009E6116"/>
    <w:rsid w:val="00A02E43"/>
    <w:rsid w:val="00A065F9"/>
    <w:rsid w:val="00A07F34"/>
    <w:rsid w:val="00A22154"/>
    <w:rsid w:val="00A25C38"/>
    <w:rsid w:val="00A36016"/>
    <w:rsid w:val="00A36BBE"/>
    <w:rsid w:val="00A4307A"/>
    <w:rsid w:val="00A47ABA"/>
    <w:rsid w:val="00A47EBB"/>
    <w:rsid w:val="00A51CDD"/>
    <w:rsid w:val="00A645F8"/>
    <w:rsid w:val="00A6730D"/>
    <w:rsid w:val="00A70A4A"/>
    <w:rsid w:val="00A71625"/>
    <w:rsid w:val="00A71B9B"/>
    <w:rsid w:val="00A751C7"/>
    <w:rsid w:val="00A77799"/>
    <w:rsid w:val="00A808C9"/>
    <w:rsid w:val="00A834A7"/>
    <w:rsid w:val="00A84230"/>
    <w:rsid w:val="00A87844"/>
    <w:rsid w:val="00AA0291"/>
    <w:rsid w:val="00AA038C"/>
    <w:rsid w:val="00AA3EDD"/>
    <w:rsid w:val="00AA7A09"/>
    <w:rsid w:val="00AB3B50"/>
    <w:rsid w:val="00AC05B1"/>
    <w:rsid w:val="00AC4D94"/>
    <w:rsid w:val="00AD356C"/>
    <w:rsid w:val="00AD79E1"/>
    <w:rsid w:val="00AE20F0"/>
    <w:rsid w:val="00AE2914"/>
    <w:rsid w:val="00AE6D15"/>
    <w:rsid w:val="00B04182"/>
    <w:rsid w:val="00B07071"/>
    <w:rsid w:val="00B07AE3"/>
    <w:rsid w:val="00B11430"/>
    <w:rsid w:val="00B123F1"/>
    <w:rsid w:val="00B1401A"/>
    <w:rsid w:val="00B25BD3"/>
    <w:rsid w:val="00B32D63"/>
    <w:rsid w:val="00B336BB"/>
    <w:rsid w:val="00B353EB"/>
    <w:rsid w:val="00B439C4"/>
    <w:rsid w:val="00B4535E"/>
    <w:rsid w:val="00B52A8C"/>
    <w:rsid w:val="00B56A65"/>
    <w:rsid w:val="00B636A8"/>
    <w:rsid w:val="00B665C6"/>
    <w:rsid w:val="00B66CCC"/>
    <w:rsid w:val="00B805AF"/>
    <w:rsid w:val="00B869EC"/>
    <w:rsid w:val="00B9397A"/>
    <w:rsid w:val="00B95B79"/>
    <w:rsid w:val="00B9633D"/>
    <w:rsid w:val="00BA0B75"/>
    <w:rsid w:val="00BA2EBE"/>
    <w:rsid w:val="00BB0F28"/>
    <w:rsid w:val="00BB458A"/>
    <w:rsid w:val="00BD00D3"/>
    <w:rsid w:val="00BD1659"/>
    <w:rsid w:val="00BD2E99"/>
    <w:rsid w:val="00BD3AA9"/>
    <w:rsid w:val="00BD4A18"/>
    <w:rsid w:val="00BD6DB2"/>
    <w:rsid w:val="00BE11CF"/>
    <w:rsid w:val="00BE21AB"/>
    <w:rsid w:val="00BE5272"/>
    <w:rsid w:val="00BE55CB"/>
    <w:rsid w:val="00BE6FDC"/>
    <w:rsid w:val="00BF617A"/>
    <w:rsid w:val="00BF6FCE"/>
    <w:rsid w:val="00BF7360"/>
    <w:rsid w:val="00C0379D"/>
    <w:rsid w:val="00C03931"/>
    <w:rsid w:val="00C04C7B"/>
    <w:rsid w:val="00C05FE3"/>
    <w:rsid w:val="00C101EF"/>
    <w:rsid w:val="00C2136D"/>
    <w:rsid w:val="00C214EE"/>
    <w:rsid w:val="00C2314B"/>
    <w:rsid w:val="00C24971"/>
    <w:rsid w:val="00C26BE5"/>
    <w:rsid w:val="00C26E4D"/>
    <w:rsid w:val="00C27909"/>
    <w:rsid w:val="00C27B03"/>
    <w:rsid w:val="00C314E1"/>
    <w:rsid w:val="00C31F0C"/>
    <w:rsid w:val="00C34397"/>
    <w:rsid w:val="00C3788B"/>
    <w:rsid w:val="00C4095D"/>
    <w:rsid w:val="00C417C6"/>
    <w:rsid w:val="00C47F1C"/>
    <w:rsid w:val="00C601D2"/>
    <w:rsid w:val="00C65BCC"/>
    <w:rsid w:val="00C66970"/>
    <w:rsid w:val="00C72198"/>
    <w:rsid w:val="00C72D79"/>
    <w:rsid w:val="00C82924"/>
    <w:rsid w:val="00C8691C"/>
    <w:rsid w:val="00C922B0"/>
    <w:rsid w:val="00C95F4F"/>
    <w:rsid w:val="00CA06A4"/>
    <w:rsid w:val="00CA13EE"/>
    <w:rsid w:val="00CA168A"/>
    <w:rsid w:val="00CA1B34"/>
    <w:rsid w:val="00CA357E"/>
    <w:rsid w:val="00CA44F9"/>
    <w:rsid w:val="00CA4A69"/>
    <w:rsid w:val="00CA760B"/>
    <w:rsid w:val="00CB7556"/>
    <w:rsid w:val="00CC051E"/>
    <w:rsid w:val="00CC3E0C"/>
    <w:rsid w:val="00CC4A14"/>
    <w:rsid w:val="00CC58D3"/>
    <w:rsid w:val="00CC784D"/>
    <w:rsid w:val="00CE319B"/>
    <w:rsid w:val="00CE4A85"/>
    <w:rsid w:val="00CE69A0"/>
    <w:rsid w:val="00CF2BC7"/>
    <w:rsid w:val="00CF60FB"/>
    <w:rsid w:val="00D0337B"/>
    <w:rsid w:val="00D079B2"/>
    <w:rsid w:val="00D114E9"/>
    <w:rsid w:val="00D36FB6"/>
    <w:rsid w:val="00D429C6"/>
    <w:rsid w:val="00D47748"/>
    <w:rsid w:val="00D54CC3"/>
    <w:rsid w:val="00D6041A"/>
    <w:rsid w:val="00D633EB"/>
    <w:rsid w:val="00D747D1"/>
    <w:rsid w:val="00D82FF7"/>
    <w:rsid w:val="00D83394"/>
    <w:rsid w:val="00D847FE"/>
    <w:rsid w:val="00D964EA"/>
    <w:rsid w:val="00D966D0"/>
    <w:rsid w:val="00DA0814"/>
    <w:rsid w:val="00DA0C59"/>
    <w:rsid w:val="00DA3991"/>
    <w:rsid w:val="00DB0990"/>
    <w:rsid w:val="00DB5ADF"/>
    <w:rsid w:val="00DB7E6C"/>
    <w:rsid w:val="00DC69BD"/>
    <w:rsid w:val="00DD5A29"/>
    <w:rsid w:val="00DD5D9D"/>
    <w:rsid w:val="00DE35CB"/>
    <w:rsid w:val="00DF21E9"/>
    <w:rsid w:val="00E00F14"/>
    <w:rsid w:val="00E06386"/>
    <w:rsid w:val="00E22805"/>
    <w:rsid w:val="00E24EB4"/>
    <w:rsid w:val="00E320ED"/>
    <w:rsid w:val="00E33AFB"/>
    <w:rsid w:val="00E34218"/>
    <w:rsid w:val="00E3468F"/>
    <w:rsid w:val="00E36FF6"/>
    <w:rsid w:val="00E404D9"/>
    <w:rsid w:val="00E405DE"/>
    <w:rsid w:val="00E46282"/>
    <w:rsid w:val="00E5216E"/>
    <w:rsid w:val="00E53333"/>
    <w:rsid w:val="00E65B96"/>
    <w:rsid w:val="00E82344"/>
    <w:rsid w:val="00E83D48"/>
    <w:rsid w:val="00E84C82"/>
    <w:rsid w:val="00E84D64"/>
    <w:rsid w:val="00E87408"/>
    <w:rsid w:val="00E914C4"/>
    <w:rsid w:val="00E934F5"/>
    <w:rsid w:val="00E96961"/>
    <w:rsid w:val="00E96C40"/>
    <w:rsid w:val="00EA72EC"/>
    <w:rsid w:val="00EB11CB"/>
    <w:rsid w:val="00EB275A"/>
    <w:rsid w:val="00EB786A"/>
    <w:rsid w:val="00EC1578"/>
    <w:rsid w:val="00EC1C72"/>
    <w:rsid w:val="00EC3CC9"/>
    <w:rsid w:val="00EC5DEE"/>
    <w:rsid w:val="00EC680A"/>
    <w:rsid w:val="00ED4F98"/>
    <w:rsid w:val="00ED5EF5"/>
    <w:rsid w:val="00EE2BED"/>
    <w:rsid w:val="00EE374B"/>
    <w:rsid w:val="00EE3906"/>
    <w:rsid w:val="00EF1E14"/>
    <w:rsid w:val="00EF3887"/>
    <w:rsid w:val="00EF5BD9"/>
    <w:rsid w:val="00EF66FE"/>
    <w:rsid w:val="00F0718E"/>
    <w:rsid w:val="00F11BB5"/>
    <w:rsid w:val="00F1417B"/>
    <w:rsid w:val="00F26AFE"/>
    <w:rsid w:val="00F34B99"/>
    <w:rsid w:val="00F40A6D"/>
    <w:rsid w:val="00F444A9"/>
    <w:rsid w:val="00F52479"/>
    <w:rsid w:val="00F52DAB"/>
    <w:rsid w:val="00F543F0"/>
    <w:rsid w:val="00F62E46"/>
    <w:rsid w:val="00F81D29"/>
    <w:rsid w:val="00F91C4D"/>
    <w:rsid w:val="00F92A9A"/>
    <w:rsid w:val="00F92FD9"/>
    <w:rsid w:val="00F97A02"/>
    <w:rsid w:val="00FA6684"/>
    <w:rsid w:val="00FA731E"/>
    <w:rsid w:val="00FB2B38"/>
    <w:rsid w:val="00FC05D0"/>
    <w:rsid w:val="00FC6358"/>
    <w:rsid w:val="00FD01CF"/>
    <w:rsid w:val="00FD320D"/>
    <w:rsid w:val="00FE23DE"/>
    <w:rsid w:val="00FF639C"/>
    <w:rsid w:val="04186251"/>
    <w:rsid w:val="07FC0982"/>
    <w:rsid w:val="13A7003F"/>
    <w:rsid w:val="395228CC"/>
    <w:rsid w:val="3CC50D34"/>
    <w:rsid w:val="4A5F4ED8"/>
    <w:rsid w:val="5BF74308"/>
    <w:rsid w:val="62491F52"/>
    <w:rsid w:val="74AD5CD5"/>
    <w:rsid w:val="77F53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0"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36"/>
    <w:qFormat/>
    <w:uiPriority w:val="0"/>
    <w:rPr>
      <w:sz w:val="18"/>
      <w:szCs w:val="18"/>
    </w:rPr>
  </w:style>
  <w:style w:type="paragraph" w:styleId="15">
    <w:name w:val="footer"/>
    <w:basedOn w:val="1"/>
    <w:link w:val="138"/>
    <w:qFormat/>
    <w:uiPriority w:val="99"/>
    <w:pPr>
      <w:snapToGrid w:val="0"/>
      <w:ind w:right="210" w:rightChars="100"/>
      <w:jc w:val="right"/>
    </w:pPr>
    <w:rPr>
      <w:sz w:val="18"/>
      <w:szCs w:val="18"/>
    </w:rPr>
  </w:style>
  <w:style w:type="paragraph" w:styleId="16">
    <w:name w:val="header"/>
    <w:basedOn w:val="1"/>
    <w:link w:val="137"/>
    <w:uiPriority w:val="99"/>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2"/>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paragraph" w:styleId="29">
    <w:name w:val="Title"/>
    <w:basedOn w:val="1"/>
    <w:next w:val="1"/>
    <w:link w:val="134"/>
    <w:qFormat/>
    <w:uiPriority w:val="0"/>
    <w:pPr>
      <w:spacing w:before="240" w:after="60"/>
      <w:jc w:val="center"/>
      <w:outlineLvl w:val="0"/>
    </w:pPr>
    <w:rPr>
      <w:rFonts w:ascii="Cambria" w:hAnsi="Cambria"/>
      <w:b/>
      <w:bCs/>
      <w:sz w:val="32"/>
      <w:szCs w:val="32"/>
    </w:rPr>
  </w:style>
  <w:style w:type="table" w:styleId="31">
    <w:name w:val="Table Grid"/>
    <w:basedOn w:val="30"/>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semiHidden/>
    <w:qFormat/>
    <w:uiPriority w:val="0"/>
    <w:rPr>
      <w:vertAlign w:val="superscript"/>
    </w:rPr>
  </w:style>
  <w:style w:type="character" w:styleId="34">
    <w:name w:val="page number"/>
    <w:uiPriority w:val="0"/>
    <w:rPr>
      <w:rFonts w:ascii="Times New Roman" w:hAnsi="Times New Roman" w:eastAsia="宋体"/>
      <w:sz w:val="18"/>
    </w:rPr>
  </w:style>
  <w:style w:type="character" w:styleId="35">
    <w:name w:val="Hyperlink"/>
    <w:qFormat/>
    <w:uiPriority w:val="0"/>
    <w:rPr>
      <w:color w:val="0000FF"/>
      <w:spacing w:val="0"/>
      <w:w w:val="100"/>
      <w:szCs w:val="21"/>
      <w:u w:val="single"/>
    </w:rPr>
  </w:style>
  <w:style w:type="character" w:styleId="36">
    <w:name w:val="footnote reference"/>
    <w:semiHidden/>
    <w:uiPriority w:val="0"/>
    <w:rPr>
      <w:vertAlign w:val="superscript"/>
    </w:rPr>
  </w:style>
  <w:style w:type="character" w:customStyle="1" w:styleId="37">
    <w:name w:val="段 Char"/>
    <w:link w:val="21"/>
    <w:uiPriority w:val="0"/>
    <w:rPr>
      <w:rFonts w:ascii="宋体"/>
      <w:sz w:val="21"/>
      <w:lang w:val="en-US" w:eastAsia="zh-CN" w:bidi="ar-SA"/>
    </w:rPr>
  </w:style>
  <w:style w:type="paragraph" w:customStyle="1" w:styleId="38">
    <w:name w:val="一级条标题"/>
    <w:next w:val="21"/>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0"/>
        <w:numId w:val="0"/>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Id w:val="2"/>
      </w:numPr>
      <w:outlineLvl w:val="5"/>
    </w:pPr>
  </w:style>
  <w:style w:type="paragraph" w:customStyle="1" w:styleId="52">
    <w:name w:val="五级条标题"/>
    <w:basedOn w:val="51"/>
    <w:next w:val="21"/>
    <w:qFormat/>
    <w:uiPriority w:val="0"/>
    <w:pPr>
      <w:numPr>
        <w:ilvl w:val="5"/>
      </w:numPr>
      <w:outlineLvl w:val="6"/>
    </w:pPr>
  </w:style>
  <w:style w:type="paragraph" w:customStyle="1" w:styleId="53">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uiPriority w:val="0"/>
    <w:pPr>
      <w:numPr>
        <w:ilvl w:val="2"/>
        <w:numId w:val="3"/>
      </w:numPr>
    </w:pPr>
    <w:rPr>
      <w:rFonts w:ascii="宋体"/>
      <w:szCs w:val="21"/>
    </w:rPr>
  </w:style>
  <w:style w:type="paragraph" w:customStyle="1" w:styleId="57">
    <w:name w:val="编号列项（三级）"/>
    <w:qFormat/>
    <w:uiPriority w:val="0"/>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1"/>
    <w:qFormat/>
    <w:uiPriority w:val="0"/>
    <w:pPr>
      <w:numPr>
        <w:ilvl w:val="0"/>
        <w:numId w:val="9"/>
      </w:numPr>
    </w:pPr>
  </w:style>
  <w:style w:type="paragraph" w:customStyle="1" w:styleId="6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framePr w:wrap="around"/>
      <w:spacing w:before="370" w:line="400" w:lineRule="exact"/>
    </w:pPr>
    <w:rPr>
      <w:rFonts w:ascii="Times New Roman"/>
      <w:sz w:val="28"/>
      <w:szCs w:val="28"/>
    </w:rPr>
  </w:style>
  <w:style w:type="paragraph" w:customStyle="1" w:styleId="76">
    <w:name w:val="封面一致性程度标识"/>
    <w:basedOn w:val="75"/>
    <w:qFormat/>
    <w:uiPriority w:val="0"/>
    <w:pPr>
      <w:framePr w:wrap="around"/>
      <w:spacing w:before="440"/>
    </w:pPr>
    <w:rPr>
      <w:rFonts w:ascii="宋体" w:eastAsia="宋体"/>
    </w:rPr>
  </w:style>
  <w:style w:type="paragraph" w:customStyle="1" w:styleId="77">
    <w:name w:val="封面标准文稿类别"/>
    <w:basedOn w:val="76"/>
    <w:qFormat/>
    <w:uiPriority w:val="0"/>
    <w:pPr>
      <w:framePr w:wrap="around"/>
      <w:spacing w:after="160" w:line="240" w:lineRule="auto"/>
    </w:pPr>
    <w:rPr>
      <w:sz w:val="24"/>
    </w:rPr>
  </w:style>
  <w:style w:type="paragraph" w:customStyle="1" w:styleId="78">
    <w:name w:val="封面标准文稿编辑信息"/>
    <w:basedOn w:val="77"/>
    <w:qFormat/>
    <w:uiPriority w:val="0"/>
    <w:pPr>
      <w:framePr w:wrap="around"/>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Pr>
      <w:outlineLvl w:val="4"/>
    </w:pPr>
  </w:style>
  <w:style w:type="paragraph" w:customStyle="1" w:styleId="90">
    <w:name w:val="附录三级无"/>
    <w:basedOn w:val="89"/>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2">
    <w:name w:val="附录四级条标题"/>
    <w:basedOn w:val="89"/>
    <w:next w:val="21"/>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1"/>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uiPriority w:val="0"/>
    <w:pPr>
      <w:framePr w:w="6101" w:wrap="around"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wrap="around"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wrap="around" w:vAnchor="page" w:hAnchor="text"/>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link w:val="112"/>
    <w:uiPriority w:val="0"/>
    <w:rPr>
      <w:rFonts w:ascii="宋体" w:hAnsi="宋体"/>
      <w:kern w:val="2"/>
      <w:sz w:val="18"/>
      <w:szCs w:val="18"/>
      <w:lang w:val="en-US" w:eastAsia="zh-CN" w:bidi="ar-SA"/>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qFormat/>
    <w:uiPriority w:val="0"/>
    <w:pPr>
      <w:numPr>
        <w:numId w:val="0"/>
      </w:numPr>
      <w:jc w:val="both"/>
    </w:p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uiPriority w:val="0"/>
    <w:pPr>
      <w:numPr>
        <w:ilvl w:val="0"/>
        <w:numId w:val="16"/>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uiPriority w:val="0"/>
    <w:pPr>
      <w:spacing w:beforeLines="0" w:afterLines="0"/>
    </w:pPr>
    <w:rPr>
      <w:rFonts w:ascii="宋体" w:eastAsia="宋体"/>
    </w:rPr>
  </w:style>
  <w:style w:type="paragraph" w:customStyle="1" w:styleId="121">
    <w:name w:val="一级无"/>
    <w:basedOn w:val="38"/>
    <w:uiPriority w:val="0"/>
    <w:pPr>
      <w:spacing w:beforeLines="0" w:afterLines="0"/>
    </w:pPr>
    <w:rPr>
      <w:rFonts w:ascii="宋体" w:eastAsia="宋体"/>
    </w:rPr>
  </w:style>
  <w:style w:type="character" w:customStyle="1" w:styleId="122">
    <w:name w:val="已访问的超链接1"/>
    <w:qFormat/>
    <w:uiPriority w:val="0"/>
    <w:rPr>
      <w:color w:val="800080"/>
      <w:u w:val="single"/>
    </w:rPr>
  </w:style>
  <w:style w:type="paragraph" w:customStyle="1" w:styleId="123">
    <w:name w:val="正文表标题"/>
    <w:next w:val="21"/>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1"/>
    <w:next w:val="21"/>
    <w:qFormat/>
    <w:uiPriority w:val="0"/>
    <w:pPr>
      <w:ind w:firstLine="0" w:firstLineChars="0"/>
    </w:pPr>
  </w:style>
  <w:style w:type="paragraph" w:customStyle="1" w:styleId="125">
    <w:name w:val="正文图标题"/>
    <w:next w:val="21"/>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1"/>
    <w:qFormat/>
    <w:uiPriority w:val="0"/>
    <w:pPr>
      <w:framePr w:wrap="around" w:vAnchor="page" w:hAnchor="text" w:x="1419"/>
    </w:pPr>
  </w:style>
  <w:style w:type="paragraph" w:customStyle="1" w:styleId="128">
    <w:name w:val="其他实施日期"/>
    <w:basedOn w:val="110"/>
    <w:qFormat/>
    <w:uiPriority w:val="0"/>
    <w:pPr>
      <w:framePr w:wrap="around"/>
    </w:pPr>
  </w:style>
  <w:style w:type="paragraph" w:customStyle="1" w:styleId="129">
    <w:name w:val="封面标准名称2"/>
    <w:basedOn w:val="74"/>
    <w:qFormat/>
    <w:uiPriority w:val="0"/>
    <w:pPr>
      <w:framePr w:wrap="around" w:y="4469"/>
      <w:spacing w:beforeLines="630"/>
    </w:pPr>
  </w:style>
  <w:style w:type="paragraph" w:customStyle="1" w:styleId="130">
    <w:name w:val="封面标准英文名称2"/>
    <w:basedOn w:val="75"/>
    <w:uiPriority w:val="0"/>
    <w:pPr>
      <w:framePr w:wrap="around" w:y="4469"/>
    </w:pPr>
  </w:style>
  <w:style w:type="paragraph" w:customStyle="1" w:styleId="131">
    <w:name w:val="封面一致性程度标识2"/>
    <w:basedOn w:val="76"/>
    <w:uiPriority w:val="0"/>
    <w:pPr>
      <w:framePr w:wrap="around" w:y="4469"/>
    </w:pPr>
  </w:style>
  <w:style w:type="paragraph" w:customStyle="1" w:styleId="132">
    <w:name w:val="封面标准文稿类别2"/>
    <w:basedOn w:val="77"/>
    <w:qFormat/>
    <w:uiPriority w:val="0"/>
    <w:pPr>
      <w:framePr w:wrap="around" w:y="4469"/>
    </w:pPr>
  </w:style>
  <w:style w:type="paragraph" w:customStyle="1" w:styleId="133">
    <w:name w:val="封面标准文稿编辑信息2"/>
    <w:basedOn w:val="78"/>
    <w:uiPriority w:val="0"/>
    <w:pPr>
      <w:framePr w:wrap="around" w:y="4469"/>
    </w:pPr>
  </w:style>
  <w:style w:type="character" w:customStyle="1" w:styleId="134">
    <w:name w:val="标题 Char"/>
    <w:link w:val="29"/>
    <w:uiPriority w:val="0"/>
    <w:rPr>
      <w:rFonts w:ascii="Cambria" w:hAnsi="Cambria"/>
      <w:b/>
      <w:bCs/>
      <w:kern w:val="2"/>
      <w:sz w:val="32"/>
      <w:szCs w:val="32"/>
    </w:rPr>
  </w:style>
  <w:style w:type="paragraph" w:styleId="135">
    <w:name w:val="List Paragraph"/>
    <w:basedOn w:val="1"/>
    <w:qFormat/>
    <w:uiPriority w:val="99"/>
    <w:pPr>
      <w:ind w:firstLine="420" w:firstLineChars="200"/>
    </w:pPr>
    <w:rPr>
      <w:rFonts w:ascii="Calibri" w:hAnsi="Calibri"/>
      <w:szCs w:val="22"/>
    </w:rPr>
  </w:style>
  <w:style w:type="character" w:customStyle="1" w:styleId="136">
    <w:name w:val="批注框文本 Char"/>
    <w:basedOn w:val="32"/>
    <w:link w:val="14"/>
    <w:uiPriority w:val="0"/>
    <w:rPr>
      <w:kern w:val="2"/>
      <w:sz w:val="18"/>
      <w:szCs w:val="18"/>
    </w:rPr>
  </w:style>
  <w:style w:type="character" w:customStyle="1" w:styleId="137">
    <w:name w:val="页眉 Char"/>
    <w:basedOn w:val="32"/>
    <w:link w:val="16"/>
    <w:uiPriority w:val="99"/>
    <w:rPr>
      <w:kern w:val="2"/>
      <w:sz w:val="18"/>
      <w:szCs w:val="18"/>
    </w:rPr>
  </w:style>
  <w:style w:type="character" w:customStyle="1" w:styleId="138">
    <w:name w:val="页脚 Char"/>
    <w:basedOn w:val="32"/>
    <w:link w:val="15"/>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2D268-F63F-4D2E-8A1D-860FB96D752E}">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417</Words>
  <Characters>2379</Characters>
  <Lines>19</Lines>
  <Paragraphs>5</Paragraphs>
  <TotalTime>478</TotalTime>
  <ScaleCrop>false</ScaleCrop>
  <LinksUpToDate>false</LinksUpToDate>
  <CharactersWithSpaces>2791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2018-09-05T03:02:00Z</dcterms:created>
  <dc:creator>CNIS</dc:creator>
  <cp:lastModifiedBy>指尖划过的时光</cp:lastModifiedBy>
  <cp:lastPrinted>2018-11-29T04:57:00Z</cp:lastPrinted>
  <dcterms:modified xsi:type="dcterms:W3CDTF">2022-01-18T02:12:58Z</dcterms:modified>
  <dc:title>标准名称</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6349B8CCD7DF48229A28CC7088DABA7D</vt:lpwstr>
  </property>
</Properties>
</file>