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44"/>
          <w:szCs w:val="44"/>
        </w:rPr>
      </w:pPr>
      <w:r>
        <w:rPr>
          <w:rFonts w:hint="default" w:eastAsia="黑体"/>
          <w:sz w:val="44"/>
          <w:szCs w:val="44"/>
        </w:rPr>
        <w:t>行业标准</w:t>
      </w:r>
    </w:p>
    <w:p>
      <w:pPr>
        <w:spacing w:before="156" w:beforeLines="50" w:after="156" w:afterLines="50" w:line="360" w:lineRule="auto"/>
        <w:jc w:val="center"/>
        <w:rPr>
          <w:rFonts w:hint="default" w:eastAsia="黑体"/>
          <w:sz w:val="44"/>
          <w:szCs w:val="44"/>
        </w:rPr>
      </w:pPr>
      <w:r>
        <w:rPr>
          <w:rFonts w:hint="default" w:eastAsia="黑体"/>
          <w:sz w:val="44"/>
          <w:szCs w:val="44"/>
        </w:rPr>
        <w:t>《</w:t>
      </w:r>
      <w:r>
        <w:rPr>
          <w:rFonts w:hint="eastAsia" w:eastAsia="黑体"/>
          <w:sz w:val="44"/>
          <w:szCs w:val="44"/>
          <w:lang w:val="en-US" w:eastAsia="zh-CN"/>
        </w:rPr>
        <w:t>水杨羟肟酸</w:t>
      </w:r>
      <w:r>
        <w:rPr>
          <w:rFonts w:hint="default" w:eastAsia="黑体"/>
          <w:sz w:val="44"/>
          <w:szCs w:val="44"/>
        </w:rPr>
        <w:t>》（</w:t>
      </w:r>
      <w:r>
        <w:rPr>
          <w:rFonts w:hint="eastAsia" w:eastAsia="黑体"/>
          <w:sz w:val="44"/>
          <w:szCs w:val="44"/>
          <w:lang w:val="en-US" w:eastAsia="zh-CN"/>
        </w:rPr>
        <w:t>送</w:t>
      </w:r>
      <w:r>
        <w:rPr>
          <w:rFonts w:hint="default" w:eastAsia="黑体"/>
          <w:sz w:val="44"/>
          <w:szCs w:val="44"/>
          <w:lang w:val="en-US" w:eastAsia="zh-CN"/>
        </w:rPr>
        <w:t>审</w:t>
      </w:r>
      <w:r>
        <w:rPr>
          <w:rFonts w:hint="default" w:eastAsia="黑体"/>
          <w:sz w:val="44"/>
          <w:szCs w:val="44"/>
        </w:rPr>
        <w:t>稿）</w:t>
      </w:r>
    </w:p>
    <w:p>
      <w:pPr>
        <w:keepNext w:val="0"/>
        <w:keepLines w:val="0"/>
        <w:pageBreakBefore w:val="0"/>
        <w:kinsoku/>
        <w:wordWrap/>
        <w:overflowPunct/>
        <w:topLinePunct w:val="0"/>
        <w:bidi w:val="0"/>
        <w:adjustRightInd/>
        <w:snapToGrid/>
        <w:spacing w:before="312" w:beforeLines="100" w:after="156" w:afterLines="50" w:line="360" w:lineRule="auto"/>
        <w:ind w:left="0" w:leftChars="0" w:right="0" w:rightChars="0" w:firstLine="880" w:firstLineChars="200"/>
        <w:jc w:val="center"/>
        <w:rPr>
          <w:rFonts w:hint="default" w:ascii="Times New Roman" w:hAnsi="Times New Roman" w:eastAsia="宋体" w:cs="Times New Roman"/>
          <w:sz w:val="44"/>
          <w:szCs w:val="44"/>
        </w:rPr>
      </w:pPr>
    </w:p>
    <w:p>
      <w:pPr>
        <w:spacing w:before="312" w:beforeLines="100" w:after="156" w:afterLines="50" w:line="360" w:lineRule="auto"/>
        <w:jc w:val="center"/>
        <w:rPr>
          <w:rFonts w:hint="default" w:eastAsia="黑体"/>
          <w:sz w:val="44"/>
          <w:szCs w:val="44"/>
        </w:rPr>
      </w:pPr>
      <w:r>
        <w:rPr>
          <w:rFonts w:hint="default" w:eastAsia="黑体"/>
          <w:sz w:val="44"/>
          <w:szCs w:val="44"/>
        </w:rPr>
        <w:t>编  制  说  明</w:t>
      </w: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right="0" w:rightChars="0"/>
        <w:jc w:val="both"/>
        <w:rPr>
          <w:rFonts w:hint="default" w:ascii="Times New Roman" w:hAnsi="Times New Roman" w:eastAsia="宋体" w:cs="Times New Roman"/>
          <w:sz w:val="32"/>
          <w:szCs w:val="32"/>
        </w:rPr>
      </w:pPr>
    </w:p>
    <w:p>
      <w:pPr>
        <w:spacing w:before="156" w:beforeLines="50" w:after="156" w:afterLines="50" w:line="360" w:lineRule="auto"/>
        <w:jc w:val="center"/>
        <w:rPr>
          <w:rFonts w:hint="eastAsia" w:eastAsia="黑体"/>
          <w:sz w:val="32"/>
          <w:szCs w:val="32"/>
          <w:lang w:eastAsia="zh-CN"/>
        </w:rPr>
      </w:pPr>
      <w:r>
        <w:rPr>
          <w:rFonts w:hint="eastAsia" w:eastAsia="黑体"/>
          <w:sz w:val="32"/>
          <w:szCs w:val="32"/>
          <w:lang w:val="en-US" w:eastAsia="zh-CN"/>
        </w:rPr>
        <w:t>铁岭选矿药剂有限公司</w:t>
      </w:r>
    </w:p>
    <w:p>
      <w:pPr>
        <w:widowControl w:val="0"/>
        <w:wordWrap/>
        <w:adjustRightInd/>
        <w:snapToGrid/>
        <w:spacing w:before="313" w:beforeLines="100" w:after="313" w:afterLines="100" w:line="360" w:lineRule="auto"/>
        <w:jc w:val="center"/>
        <w:textAlignment w:val="auto"/>
        <w:outlineLvl w:val="0"/>
        <w:rPr>
          <w:rFonts w:hint="default" w:eastAsia="黑体"/>
          <w:sz w:val="32"/>
          <w:szCs w:val="32"/>
        </w:rPr>
      </w:pPr>
      <w:r>
        <w:rPr>
          <w:rFonts w:hint="default" w:eastAsia="黑体"/>
          <w:sz w:val="32"/>
          <w:szCs w:val="32"/>
        </w:rPr>
        <w:t>二○</w:t>
      </w:r>
      <w:r>
        <w:rPr>
          <w:rFonts w:hint="eastAsia" w:eastAsia="黑体"/>
          <w:sz w:val="32"/>
          <w:szCs w:val="32"/>
          <w:lang w:val="en-US" w:eastAsia="zh-CN"/>
        </w:rPr>
        <w:t>二一</w:t>
      </w:r>
      <w:r>
        <w:rPr>
          <w:rFonts w:hint="default" w:eastAsia="黑体"/>
          <w:sz w:val="32"/>
          <w:szCs w:val="32"/>
        </w:rPr>
        <w:t>年</w:t>
      </w:r>
      <w:r>
        <w:rPr>
          <w:rFonts w:hint="eastAsia" w:eastAsia="黑体"/>
          <w:sz w:val="32"/>
          <w:szCs w:val="32"/>
          <w:lang w:val="en-US" w:eastAsia="zh-CN"/>
        </w:rPr>
        <w:t>十一</w:t>
      </w:r>
      <w:r>
        <w:rPr>
          <w:rFonts w:hint="default" w:eastAsia="黑体"/>
          <w:sz w:val="32"/>
          <w:szCs w:val="32"/>
        </w:rPr>
        <w:t>月</w:t>
      </w:r>
    </w:p>
    <w:p>
      <w:pPr>
        <w:widowControl w:val="0"/>
        <w:wordWrap/>
        <w:adjustRightInd/>
        <w:snapToGrid/>
        <w:spacing w:before="313" w:beforeLines="100" w:after="313" w:afterLines="100" w:line="360" w:lineRule="auto"/>
        <w:jc w:val="both"/>
        <w:textAlignment w:val="auto"/>
        <w:outlineLvl w:val="0"/>
        <w:rPr>
          <w:rFonts w:hint="default" w:eastAsia="黑体"/>
          <w:sz w:val="24"/>
          <w:szCs w:val="24"/>
        </w:rPr>
      </w:pPr>
    </w:p>
    <w:p>
      <w:pPr>
        <w:pStyle w:val="2"/>
        <w:rPr>
          <w:rFonts w:hint="default"/>
        </w:rPr>
      </w:pP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eastAsia="zh-CN"/>
        </w:rPr>
        <w:t>水杨羟肟酸</w:t>
      </w:r>
      <w:r>
        <w:rPr>
          <w:rFonts w:hint="eastAsia" w:ascii="黑体" w:hAnsi="黑体" w:eastAsia="黑体" w:cs="黑体"/>
          <w:b/>
          <w:sz w:val="36"/>
          <w:szCs w:val="36"/>
        </w:rPr>
        <w:t>》</w:t>
      </w: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r>
        <w:rPr>
          <w:rFonts w:hint="eastAsia" w:ascii="黑体" w:hAnsi="黑体" w:eastAsia="黑体" w:cs="黑体"/>
          <w:b/>
          <w:color w:val="000000"/>
          <w:sz w:val="36"/>
          <w:szCs w:val="36"/>
        </w:rPr>
        <w:t>标准（</w:t>
      </w:r>
      <w:r>
        <w:rPr>
          <w:rFonts w:hint="eastAsia" w:ascii="黑体" w:hAnsi="黑体" w:eastAsia="黑体" w:cs="黑体"/>
          <w:b/>
          <w:color w:val="000000"/>
          <w:kern w:val="0"/>
          <w:sz w:val="36"/>
          <w:szCs w:val="36"/>
          <w:lang w:val="en-US" w:eastAsia="zh-CN"/>
        </w:rPr>
        <w:t>送审稿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widowControl w:val="0"/>
        <w:numPr>
          <w:ilvl w:val="0"/>
          <w:numId w:val="0"/>
        </w:numPr>
        <w:wordWrap/>
        <w:adjustRightInd/>
        <w:snapToGrid/>
        <w:spacing w:before="157" w:beforeLines="50" w:after="157" w:afterLines="50" w:line="360" w:lineRule="auto"/>
        <w:ind w:left="630" w:leftChars="0"/>
        <w:textAlignment w:val="auto"/>
        <w:outlineLvl w:val="0"/>
        <w:rPr>
          <w:rFonts w:ascii="黑体" w:hAnsi="黑体" w:eastAsia="黑体"/>
          <w:sz w:val="24"/>
          <w:szCs w:val="24"/>
        </w:rPr>
      </w:pPr>
      <w:r>
        <w:rPr>
          <w:rFonts w:hint="eastAsia" w:ascii="黑体" w:hAnsi="黑体" w:eastAsia="黑体"/>
          <w:sz w:val="24"/>
          <w:szCs w:val="24"/>
          <w:lang w:val="en-US" w:eastAsia="zh-CN"/>
        </w:rPr>
        <w:t>一、</w:t>
      </w:r>
      <w:r>
        <w:rPr>
          <w:rFonts w:hint="eastAsia" w:ascii="黑体" w:hAnsi="黑体" w:eastAsia="黑体"/>
          <w:sz w:val="24"/>
          <w:szCs w:val="24"/>
        </w:rPr>
        <w:t>任务来源</w:t>
      </w:r>
    </w:p>
    <w:p>
      <w:pPr>
        <w:spacing w:line="360" w:lineRule="auto"/>
        <w:ind w:firstLine="480" w:firstLineChars="200"/>
        <w:rPr>
          <w:rFonts w:ascii="宋体" w:hAnsi="宋体" w:cs="Times New Roman"/>
          <w:color w:val="000000"/>
          <w:kern w:val="0"/>
          <w:sz w:val="24"/>
          <w:szCs w:val="24"/>
        </w:rPr>
      </w:pPr>
      <w:r>
        <w:rPr>
          <w:rFonts w:hint="eastAsia" w:ascii="宋体" w:hAnsi="宋体" w:cs="Times New Roman"/>
          <w:color w:val="000000"/>
          <w:kern w:val="0"/>
          <w:sz w:val="24"/>
          <w:szCs w:val="24"/>
        </w:rPr>
        <w:t>工业和信息化部20</w:t>
      </w:r>
      <w:r>
        <w:rPr>
          <w:rFonts w:hint="eastAsia" w:ascii="宋体" w:hAnsi="宋体" w:cs="Times New Roman"/>
          <w:color w:val="000000"/>
          <w:kern w:val="0"/>
          <w:sz w:val="24"/>
          <w:szCs w:val="24"/>
          <w:lang w:val="en-US" w:eastAsia="zh-CN"/>
        </w:rPr>
        <w:t>20</w:t>
      </w:r>
      <w:r>
        <w:rPr>
          <w:rFonts w:hint="eastAsia" w:ascii="宋体" w:hAnsi="宋体" w:cs="Times New Roman"/>
          <w:color w:val="000000"/>
          <w:kern w:val="0"/>
          <w:sz w:val="24"/>
          <w:szCs w:val="24"/>
        </w:rPr>
        <w:t>年</w:t>
      </w:r>
      <w:r>
        <w:rPr>
          <w:rFonts w:hint="eastAsia" w:ascii="宋体" w:hAnsi="宋体" w:cs="Times New Roman"/>
          <w:color w:val="000000"/>
          <w:kern w:val="0"/>
          <w:sz w:val="24"/>
          <w:szCs w:val="24"/>
          <w:lang w:val="en-US" w:eastAsia="zh-CN"/>
        </w:rPr>
        <w:t>7</w:t>
      </w:r>
      <w:r>
        <w:rPr>
          <w:rFonts w:hint="eastAsia" w:ascii="宋体" w:hAnsi="宋体" w:cs="Times New Roman"/>
          <w:color w:val="000000"/>
          <w:kern w:val="0"/>
          <w:sz w:val="24"/>
          <w:szCs w:val="24"/>
        </w:rPr>
        <w:t>月</w:t>
      </w:r>
      <w:r>
        <w:rPr>
          <w:rFonts w:hint="eastAsia" w:ascii="宋体" w:hAnsi="宋体" w:cs="Times New Roman"/>
          <w:color w:val="000000"/>
          <w:kern w:val="0"/>
          <w:sz w:val="24"/>
          <w:szCs w:val="24"/>
          <w:lang w:val="en-US" w:eastAsia="zh-CN"/>
        </w:rPr>
        <w:t>22日</w:t>
      </w:r>
      <w:r>
        <w:rPr>
          <w:rFonts w:hint="eastAsia" w:ascii="宋体" w:hAnsi="宋体" w:cs="Times New Roman"/>
          <w:color w:val="000000"/>
          <w:kern w:val="0"/>
          <w:sz w:val="24"/>
          <w:szCs w:val="24"/>
        </w:rPr>
        <w:t>下发了《工业和信息化部办公厅关于印发2020年第二批行业标准制修订和外文版项目计划的通知》（工信厅科函〔2020〕181号）文件，由</w:t>
      </w:r>
      <w:r>
        <w:rPr>
          <w:rFonts w:hint="eastAsia" w:ascii="宋体" w:hAnsi="宋体" w:cs="Times New Roman"/>
          <w:color w:val="000000"/>
          <w:kern w:val="0"/>
          <w:sz w:val="24"/>
          <w:szCs w:val="24"/>
          <w:lang w:eastAsia="zh-CN"/>
        </w:rPr>
        <w:t>铁岭选矿药剂</w:t>
      </w:r>
      <w:r>
        <w:rPr>
          <w:rFonts w:hint="eastAsia" w:ascii="宋体" w:hAnsi="宋体" w:cs="Times New Roman"/>
          <w:color w:val="000000"/>
          <w:kern w:val="0"/>
          <w:sz w:val="24"/>
          <w:szCs w:val="24"/>
        </w:rPr>
        <w:t>有限公司（以下简称</w:t>
      </w:r>
      <w:r>
        <w:rPr>
          <w:rFonts w:hint="eastAsia" w:ascii="宋体" w:hAnsi="宋体" w:cs="Times New Roman"/>
          <w:color w:val="000000"/>
          <w:kern w:val="0"/>
          <w:sz w:val="24"/>
          <w:szCs w:val="24"/>
          <w:lang w:eastAsia="zh-CN"/>
        </w:rPr>
        <w:t>铁岭药剂</w:t>
      </w:r>
      <w:r>
        <w:rPr>
          <w:rFonts w:hint="eastAsia" w:ascii="宋体" w:hAnsi="宋体" w:cs="Times New Roman"/>
          <w:color w:val="000000"/>
          <w:kern w:val="0"/>
          <w:sz w:val="24"/>
          <w:szCs w:val="24"/>
        </w:rPr>
        <w:t>）承担《</w:t>
      </w:r>
      <w:r>
        <w:rPr>
          <w:rFonts w:hint="eastAsia" w:ascii="宋体" w:hAnsi="宋体" w:cs="Times New Roman"/>
          <w:color w:val="000000"/>
          <w:kern w:val="0"/>
          <w:sz w:val="24"/>
          <w:szCs w:val="24"/>
          <w:lang w:eastAsia="zh-CN"/>
        </w:rPr>
        <w:t>水杨羟肟酸</w:t>
      </w:r>
      <w:r>
        <w:rPr>
          <w:rFonts w:hint="eastAsia" w:ascii="宋体" w:hAnsi="宋体" w:cs="Times New Roman"/>
          <w:color w:val="000000"/>
          <w:kern w:val="0"/>
          <w:sz w:val="24"/>
          <w:szCs w:val="24"/>
        </w:rPr>
        <w:t>》行业标准的</w:t>
      </w:r>
      <w:r>
        <w:rPr>
          <w:rFonts w:hint="eastAsia" w:ascii="宋体" w:hAnsi="宋体" w:cs="Times New Roman"/>
          <w:color w:val="000000"/>
          <w:kern w:val="0"/>
          <w:sz w:val="24"/>
          <w:szCs w:val="24"/>
          <w:lang w:eastAsia="zh-CN"/>
        </w:rPr>
        <w:t>制定</w:t>
      </w:r>
      <w:r>
        <w:rPr>
          <w:rFonts w:hint="eastAsia" w:ascii="宋体" w:hAnsi="宋体" w:cs="Times New Roman"/>
          <w:color w:val="000000"/>
          <w:kern w:val="0"/>
          <w:sz w:val="24"/>
          <w:szCs w:val="24"/>
        </w:rPr>
        <w:t>工作，计划项目代号为</w:t>
      </w:r>
      <w:r>
        <w:rPr>
          <w:rFonts w:hint="eastAsia" w:ascii="宋体" w:hAnsi="宋体" w:cs="Times New Roman"/>
          <w:color w:val="000000"/>
          <w:kern w:val="0"/>
          <w:sz w:val="24"/>
          <w:szCs w:val="24"/>
        </w:rPr>
        <w:fldChar w:fldCharType="begin"/>
      </w:r>
      <w:r>
        <w:rPr>
          <w:rFonts w:hint="eastAsia" w:ascii="宋体" w:hAnsi="宋体" w:cs="Times New Roman"/>
          <w:color w:val="000000"/>
          <w:kern w:val="0"/>
          <w:sz w:val="24"/>
          <w:szCs w:val="24"/>
        </w:rPr>
        <w:instrText xml:space="preserve"> HYPERLINK "http://219.239.107.155:8080/TaskBook.aspx?id=YSCPZT07122020" </w:instrText>
      </w:r>
      <w:r>
        <w:rPr>
          <w:rFonts w:hint="eastAsia" w:ascii="宋体" w:hAnsi="宋体" w:cs="Times New Roman"/>
          <w:color w:val="000000"/>
          <w:kern w:val="0"/>
          <w:sz w:val="24"/>
          <w:szCs w:val="24"/>
        </w:rPr>
        <w:fldChar w:fldCharType="separate"/>
      </w:r>
      <w:r>
        <w:rPr>
          <w:rFonts w:hint="eastAsia" w:ascii="宋体" w:hAnsi="宋体" w:cs="Times New Roman"/>
          <w:color w:val="000000"/>
          <w:kern w:val="0"/>
          <w:sz w:val="24"/>
          <w:szCs w:val="24"/>
        </w:rPr>
        <w:t>2020-0729T-YS</w:t>
      </w:r>
      <w:r>
        <w:rPr>
          <w:rFonts w:hint="eastAsia" w:ascii="宋体" w:hAnsi="宋体" w:cs="Times New Roman"/>
          <w:color w:val="000000"/>
          <w:kern w:val="0"/>
          <w:sz w:val="24"/>
          <w:szCs w:val="24"/>
        </w:rPr>
        <w:fldChar w:fldCharType="end"/>
      </w:r>
      <w:r>
        <w:rPr>
          <w:rFonts w:hint="eastAsia" w:ascii="宋体" w:hAnsi="宋体" w:cs="Times New Roman"/>
          <w:color w:val="000000"/>
          <w:kern w:val="0"/>
          <w:sz w:val="24"/>
          <w:szCs w:val="24"/>
        </w:rPr>
        <w:t>，计划完成年限为202</w:t>
      </w:r>
      <w:r>
        <w:rPr>
          <w:rFonts w:hint="eastAsia" w:ascii="宋体" w:hAnsi="宋体" w:cs="Times New Roman"/>
          <w:color w:val="000000"/>
          <w:kern w:val="0"/>
          <w:sz w:val="24"/>
          <w:szCs w:val="24"/>
          <w:lang w:val="en-US" w:eastAsia="zh-CN"/>
        </w:rPr>
        <w:t>2</w:t>
      </w:r>
      <w:r>
        <w:rPr>
          <w:rFonts w:hint="eastAsia" w:ascii="宋体" w:hAnsi="宋体" w:cs="Times New Roman"/>
          <w:color w:val="000000"/>
          <w:kern w:val="0"/>
          <w:sz w:val="24"/>
          <w:szCs w:val="24"/>
        </w:rPr>
        <w:t>年。</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rPr>
      </w:pPr>
      <w:r>
        <w:rPr>
          <w:rFonts w:hint="eastAsia" w:ascii="黑体" w:hAnsi="黑体" w:eastAsia="黑体"/>
          <w:sz w:val="24"/>
          <w:szCs w:val="24"/>
          <w:lang w:val="en-US" w:eastAsia="zh-CN"/>
        </w:rPr>
        <w:t xml:space="preserve">二、 </w:t>
      </w:r>
      <w:r>
        <w:rPr>
          <w:rFonts w:hint="eastAsia" w:ascii="黑体" w:hAnsi="黑体" w:eastAsia="黑体"/>
          <w:sz w:val="24"/>
          <w:szCs w:val="24"/>
        </w:rPr>
        <w:t>工作简况</w:t>
      </w:r>
    </w:p>
    <w:p>
      <w:pPr>
        <w:pStyle w:val="15"/>
        <w:widowControl w:val="0"/>
        <w:numPr>
          <w:ilvl w:val="0"/>
          <w:numId w:val="0"/>
        </w:numPr>
        <w:wordWrap/>
        <w:adjustRightInd/>
        <w:snapToGrid/>
        <w:spacing w:before="157" w:beforeLines="50" w:after="157" w:afterLines="50" w:line="360" w:lineRule="auto"/>
        <w:ind w:leftChars="200" w:firstLine="240" w:firstLineChars="100"/>
        <w:textAlignment w:val="auto"/>
        <w:rPr>
          <w:rFonts w:hint="eastAsia" w:ascii="黑体" w:hAnsi="黑体" w:eastAsia="黑体"/>
          <w:sz w:val="24"/>
          <w:szCs w:val="24"/>
        </w:rPr>
      </w:pPr>
      <w:r>
        <w:rPr>
          <w:rFonts w:hint="eastAsia" w:ascii="黑体" w:hAnsi="黑体" w:eastAsia="黑体"/>
          <w:sz w:val="24"/>
          <w:szCs w:val="24"/>
          <w:lang w:val="en-US" w:eastAsia="zh-CN"/>
        </w:rPr>
        <w:t>1、</w:t>
      </w:r>
      <w:r>
        <w:rPr>
          <w:rFonts w:hint="eastAsia" w:ascii="黑体" w:hAnsi="黑体" w:eastAsia="黑体"/>
          <w:sz w:val="24"/>
          <w:szCs w:val="24"/>
          <w:lang w:eastAsia="zh-CN"/>
        </w:rPr>
        <w:t>标准制定的必要性</w:t>
      </w:r>
    </w:p>
    <w:p>
      <w:pPr>
        <w:spacing w:line="360" w:lineRule="auto"/>
        <w:ind w:firstLine="480" w:firstLineChars="200"/>
        <w:rPr>
          <w:rFonts w:hint="eastAsia"/>
          <w:sz w:val="24"/>
          <w:szCs w:val="24"/>
        </w:rPr>
      </w:pPr>
      <w:r>
        <w:rPr>
          <w:rFonts w:hint="eastAsia"/>
          <w:sz w:val="24"/>
          <w:szCs w:val="24"/>
        </w:rPr>
        <w:t>水杨羟肟酸主要用做稀土矿、氧化铜矿、氧化铅锌矿、金矿、高岭土等的捕收剂, 在生物、材料、化学、环境方面也存在广泛的应用。水杨羟肟酸能与锡、钨、稀土、铜、铁等金属形成稳定的螯合物，而与碱土金属及碱金属形成不稳定的螯合物，所以，水杨羟肟酸具有较好的选择性。特别是水杨羟肟酸与锡石螯合时不仅能形成多种形式的外络盐，而且还能形成不同构成的内络盐，因此，水杨羟肟酸对锡的选择性较强。该品在锡石选矿中通常与P86配套使用，并具有一定的起泡性。该品还具有毒性低、用药量少、适用性强等特点，具有较高的推广应用价值。</w:t>
      </w:r>
    </w:p>
    <w:p>
      <w:pPr>
        <w:spacing w:line="360" w:lineRule="auto"/>
        <w:ind w:firstLine="480" w:firstLineChars="200"/>
        <w:rPr>
          <w:rFonts w:hint="eastAsia"/>
          <w:sz w:val="24"/>
          <w:szCs w:val="24"/>
          <w:lang w:eastAsia="zh-CN"/>
        </w:rPr>
      </w:pPr>
      <w:r>
        <w:rPr>
          <w:rFonts w:hint="eastAsia"/>
          <w:sz w:val="24"/>
          <w:szCs w:val="24"/>
        </w:rPr>
        <w:t>我国目前共有大小30多家选矿药剂生产企业，水杨羟肟酸</w:t>
      </w:r>
      <w:r>
        <w:rPr>
          <w:rFonts w:hint="eastAsia"/>
          <w:sz w:val="24"/>
          <w:szCs w:val="24"/>
          <w:lang w:eastAsia="zh-CN"/>
        </w:rPr>
        <w:t>因国内、外尚无统一的产品执行标准，很多规模较小企业都在做选矿药剂产品，这些企业与国有企业履行的社会责任不同，执行标准不严格，随着选矿药剂产品需求的国际市场化，为使《水杨羟肟酸》产品标准对国内生产企业起到规范性作用，推动我国选矿药剂产品行业的发展，制订《水杨羟肟酸》产品行业标准势在必行。</w:t>
      </w:r>
    </w:p>
    <w:p>
      <w:pPr>
        <w:pStyle w:val="15"/>
        <w:widowControl w:val="0"/>
        <w:numPr>
          <w:ilvl w:val="0"/>
          <w:numId w:val="0"/>
        </w:numPr>
        <w:wordWrap/>
        <w:adjustRightInd/>
        <w:snapToGrid/>
        <w:spacing w:before="157" w:beforeLines="50" w:after="157" w:afterLines="50" w:line="360" w:lineRule="auto"/>
        <w:ind w:left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2申报单位简况</w:t>
      </w:r>
    </w:p>
    <w:p>
      <w:pPr>
        <w:spacing w:line="360" w:lineRule="auto"/>
        <w:ind w:firstLine="480" w:firstLineChars="200"/>
        <w:rPr>
          <w:rFonts w:hint="eastAsia"/>
          <w:sz w:val="24"/>
          <w:szCs w:val="24"/>
        </w:rPr>
      </w:pPr>
      <w:r>
        <w:rPr>
          <w:rFonts w:hint="eastAsia"/>
          <w:sz w:val="24"/>
          <w:szCs w:val="24"/>
        </w:rPr>
        <w:t>本标准负责起草单位为铁岭选矿药剂有限公司是由中国有色矿业集团控股，</w:t>
      </w:r>
      <w:r>
        <w:rPr>
          <w:rFonts w:hint="eastAsia"/>
          <w:sz w:val="24"/>
          <w:szCs w:val="24"/>
          <w:lang w:eastAsia="zh-CN"/>
        </w:rPr>
        <w:t>矿冶科技集团有限公司</w:t>
      </w:r>
      <w:r>
        <w:rPr>
          <w:rFonts w:hint="eastAsia"/>
          <w:sz w:val="24"/>
          <w:szCs w:val="24"/>
        </w:rPr>
        <w:t>参股的中央直属企业。始建于1942年，堪称中国选矿药剂行业的鼻祖和摇篮，是中国有色金属工业协会选矿药剂分会秘书长单位，是国家选矿药剂产品标准起草的主要单位，牵头制定了20项行业产品标准和分析标准，70%选矿药剂行业标准都是我公司起草制定的。有省、市两级技术研发中心。公司是集生产、研发、营销为一体的选矿药剂生产企业。企业已肩负社会责任及行业担当为己任，不断研发推出新高效低毒、绿色环保的药剂产品，主导起草和修订各类行业标准，规范行业行为，促进行业进步和发展。</w:t>
      </w:r>
      <w:r>
        <w:rPr>
          <w:rFonts w:hint="eastAsia"/>
          <w:sz w:val="24"/>
          <w:szCs w:val="24"/>
          <w:lang w:eastAsia="zh-CN"/>
        </w:rPr>
        <w:t>铁岭药剂</w:t>
      </w:r>
      <w:r>
        <w:rPr>
          <w:rFonts w:hint="eastAsia"/>
          <w:sz w:val="24"/>
          <w:szCs w:val="24"/>
        </w:rPr>
        <w:t>目前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w:t>
      </w:r>
      <w:r>
        <w:rPr>
          <w:rFonts w:hint="eastAsia"/>
          <w:sz w:val="24"/>
          <w:szCs w:val="24"/>
          <w:lang w:eastAsia="zh-CN"/>
        </w:rPr>
        <w:t>等奖项</w:t>
      </w:r>
      <w:r>
        <w:rPr>
          <w:rFonts w:hint="eastAsia"/>
          <w:sz w:val="24"/>
          <w:szCs w:val="24"/>
        </w:rPr>
        <w:t>。</w:t>
      </w:r>
    </w:p>
    <w:p>
      <w:pPr>
        <w:spacing w:line="360" w:lineRule="auto"/>
        <w:ind w:firstLine="480" w:firstLineChars="200"/>
        <w:rPr>
          <w:rFonts w:hint="eastAsia"/>
          <w:sz w:val="24"/>
          <w:szCs w:val="24"/>
        </w:rPr>
      </w:pPr>
      <w:r>
        <w:rPr>
          <w:rFonts w:hint="eastAsia"/>
          <w:sz w:val="24"/>
          <w:szCs w:val="24"/>
        </w:rPr>
        <w:t>标准参加单位矿冶科技集团有限公司（原北京矿冶研究总院）建于 1956 年，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矿物加工科学与技术国家重点实验室和矿冶过程自动控制技术国家重点实验室）、3个国家级工程(技术)研究中心（国家金属矿产资源综合利用工程技术研究中心、无污染有色金属提取及节能技术国家工程研究中心、国家磁性材料工程技术研究中心）和1个国家重有色金属质量监督检测中心。矿冶科技集团有限公司共获得国家和省部级科技成果奖励1100余项，授权专利和制订国家及行业标准1100余项。</w:t>
      </w:r>
    </w:p>
    <w:p>
      <w:pPr>
        <w:spacing w:line="360" w:lineRule="auto"/>
        <w:ind w:firstLine="480" w:firstLineChars="200"/>
        <w:rPr>
          <w:rFonts w:hint="eastAsia"/>
          <w:sz w:val="24"/>
          <w:szCs w:val="24"/>
        </w:rPr>
      </w:pPr>
      <w:r>
        <w:rPr>
          <w:rFonts w:hint="eastAsia"/>
          <w:sz w:val="24"/>
          <w:szCs w:val="24"/>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pStyle w:val="15"/>
        <w:widowControl w:val="0"/>
        <w:numPr>
          <w:ilvl w:val="0"/>
          <w:numId w:val="0"/>
        </w:numPr>
        <w:wordWrap/>
        <w:adjustRightInd/>
        <w:snapToGrid/>
        <w:spacing w:before="157" w:beforeLines="50" w:after="157" w:afterLines="50" w:line="360" w:lineRule="auto"/>
        <w:ind w:firstLine="480" w:firstLineChars="20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3主要工作过程</w:t>
      </w:r>
    </w:p>
    <w:p>
      <w:pPr>
        <w:spacing w:line="360" w:lineRule="auto"/>
        <w:ind w:firstLine="480" w:firstLineChars="200"/>
        <w:rPr>
          <w:rFonts w:ascii="黑体" w:hAnsi="黑体" w:eastAsia="黑体"/>
          <w:sz w:val="24"/>
          <w:szCs w:val="24"/>
        </w:rPr>
      </w:pPr>
      <w:r>
        <w:rPr>
          <w:rFonts w:hint="eastAsia" w:ascii="黑体" w:hAnsi="黑体" w:eastAsia="黑体"/>
          <w:sz w:val="24"/>
          <w:szCs w:val="24"/>
        </w:rPr>
        <w:t>3.1项目分工</w:t>
      </w:r>
    </w:p>
    <w:p>
      <w:pPr>
        <w:spacing w:line="360" w:lineRule="auto"/>
        <w:ind w:firstLine="480" w:firstLineChars="200"/>
        <w:rPr>
          <w:rFonts w:hint="eastAsia"/>
          <w:sz w:val="24"/>
          <w:szCs w:val="24"/>
        </w:rPr>
      </w:pPr>
      <w:r>
        <w:rPr>
          <w:rFonts w:hint="eastAsia"/>
          <w:sz w:val="24"/>
          <w:szCs w:val="24"/>
          <w:lang w:val="en-US" w:eastAsia="zh-CN"/>
        </w:rPr>
        <w:t>2020</w:t>
      </w:r>
      <w:r>
        <w:rPr>
          <w:rFonts w:hint="eastAsia"/>
          <w:sz w:val="24"/>
          <w:szCs w:val="24"/>
        </w:rPr>
        <w:t>年</w:t>
      </w:r>
      <w:r>
        <w:rPr>
          <w:rFonts w:hint="eastAsia"/>
          <w:sz w:val="24"/>
          <w:szCs w:val="24"/>
          <w:lang w:eastAsia="zh-CN"/>
        </w:rPr>
        <w:t>铁岭选矿药剂有限公司</w:t>
      </w:r>
      <w:r>
        <w:rPr>
          <w:rFonts w:hint="eastAsia"/>
          <w:sz w:val="24"/>
          <w:szCs w:val="24"/>
        </w:rPr>
        <w:t>接到有色金属行业标准《</w:t>
      </w:r>
      <w:r>
        <w:rPr>
          <w:rFonts w:hint="eastAsia"/>
          <w:sz w:val="24"/>
          <w:szCs w:val="24"/>
          <w:lang w:eastAsia="zh-CN"/>
        </w:rPr>
        <w:t>水杨羟肟酸</w:t>
      </w:r>
      <w:r>
        <w:rPr>
          <w:rFonts w:hint="eastAsia"/>
          <w:sz w:val="24"/>
          <w:szCs w:val="24"/>
        </w:rPr>
        <w:t>》</w:t>
      </w:r>
      <w:r>
        <w:rPr>
          <w:rFonts w:hint="eastAsia"/>
          <w:sz w:val="24"/>
          <w:szCs w:val="24"/>
          <w:lang w:eastAsia="zh-CN"/>
        </w:rPr>
        <w:t>制定</w:t>
      </w:r>
      <w:r>
        <w:rPr>
          <w:rFonts w:hint="eastAsia"/>
          <w:sz w:val="24"/>
          <w:szCs w:val="24"/>
        </w:rPr>
        <w:t>任务后，公司领导高度重视，迅速成立了标准编制工作小组，确定了各成员的工作职能和任务，制定了工作计划和进度安排，并确定了制定原则和方法，确保标准制定的质量和完成时间。</w:t>
      </w:r>
    </w:p>
    <w:p>
      <w:pPr>
        <w:spacing w:line="360" w:lineRule="auto"/>
        <w:ind w:firstLine="480" w:firstLineChars="200"/>
        <w:rPr>
          <w:rFonts w:hint="eastAsia"/>
          <w:sz w:val="24"/>
          <w:szCs w:val="24"/>
        </w:rPr>
      </w:pPr>
      <w:r>
        <w:rPr>
          <w:rFonts w:hint="eastAsia"/>
          <w:sz w:val="24"/>
          <w:szCs w:val="24"/>
        </w:rPr>
        <w:t>为了做好本标准的制订工作，编制小组通过相关标准、资料查询、市场调研，走访了矿冶科技集团有限公司、云南锡业集团物流有限公司；吉林紫金铜业有限公司等部分企业和用户，</w:t>
      </w:r>
      <w:r>
        <w:rPr>
          <w:rFonts w:hint="eastAsia"/>
          <w:sz w:val="24"/>
          <w:szCs w:val="24"/>
          <w:lang w:eastAsia="zh-CN"/>
        </w:rPr>
        <w:t>充分听取用户建议，</w:t>
      </w:r>
      <w:r>
        <w:rPr>
          <w:rFonts w:hint="eastAsia"/>
          <w:sz w:val="24"/>
          <w:szCs w:val="24"/>
        </w:rPr>
        <w:t>结合我国的实际生产状况和用户需求，认真收集、整理、分析、研究技术资料，确定标准的主要技术指标内容，编制小组对技术要素、性能指标进行了确定。</w:t>
      </w:r>
    </w:p>
    <w:p>
      <w:pPr>
        <w:spacing w:line="360" w:lineRule="auto"/>
        <w:ind w:firstLine="480" w:firstLineChars="200"/>
        <w:rPr>
          <w:rFonts w:ascii="黑体" w:hAnsi="黑体" w:eastAsia="黑体"/>
          <w:sz w:val="24"/>
          <w:szCs w:val="24"/>
        </w:rPr>
      </w:pPr>
      <w:r>
        <w:rPr>
          <w:rFonts w:ascii="黑体" w:hAnsi="黑体" w:eastAsia="黑体"/>
          <w:sz w:val="24"/>
          <w:szCs w:val="24"/>
        </w:rPr>
        <w:t>3.2</w:t>
      </w:r>
      <w:r>
        <w:rPr>
          <w:rFonts w:hint="eastAsia" w:ascii="黑体" w:hAnsi="黑体" w:eastAsia="黑体"/>
          <w:sz w:val="24"/>
          <w:szCs w:val="24"/>
        </w:rPr>
        <w:t>主要起草过程</w:t>
      </w:r>
    </w:p>
    <w:p>
      <w:pPr>
        <w:spacing w:line="360" w:lineRule="auto"/>
        <w:ind w:firstLine="480" w:firstLineChars="200"/>
        <w:rPr>
          <w:rFonts w:hint="default" w:eastAsia="宋体"/>
          <w:sz w:val="24"/>
          <w:szCs w:val="24"/>
          <w:lang w:val="en-US" w:eastAsia="zh-CN"/>
        </w:rPr>
      </w:pPr>
      <w:r>
        <w:rPr>
          <w:rFonts w:hint="eastAsia"/>
          <w:sz w:val="24"/>
          <w:szCs w:val="24"/>
        </w:rPr>
        <w:t>在经过了充分调研和试验的基础上，</w:t>
      </w:r>
      <w:r>
        <w:rPr>
          <w:rFonts w:hint="eastAsia"/>
          <w:sz w:val="24"/>
          <w:szCs w:val="24"/>
          <w:lang w:eastAsia="zh-CN"/>
        </w:rPr>
        <w:t>铁岭选矿药剂有限公司</w:t>
      </w:r>
      <w:r>
        <w:rPr>
          <w:rFonts w:hint="eastAsia"/>
          <w:sz w:val="24"/>
          <w:szCs w:val="24"/>
        </w:rPr>
        <w:t>与两家参与单位经过修改、讨论于20</w:t>
      </w:r>
      <w:r>
        <w:rPr>
          <w:rFonts w:hint="eastAsia"/>
          <w:sz w:val="24"/>
          <w:szCs w:val="24"/>
          <w:lang w:val="en-US" w:eastAsia="zh-CN"/>
        </w:rPr>
        <w:t>21</w:t>
      </w:r>
      <w:r>
        <w:rPr>
          <w:rFonts w:hint="eastAsia"/>
          <w:sz w:val="24"/>
          <w:szCs w:val="24"/>
        </w:rPr>
        <w:t>年</w:t>
      </w:r>
      <w:r>
        <w:rPr>
          <w:rFonts w:hint="eastAsia"/>
          <w:sz w:val="24"/>
          <w:szCs w:val="24"/>
          <w:lang w:val="en-US" w:eastAsia="zh-CN"/>
        </w:rPr>
        <w:t>4</w:t>
      </w:r>
      <w:r>
        <w:rPr>
          <w:rFonts w:hint="eastAsia"/>
          <w:sz w:val="24"/>
          <w:szCs w:val="24"/>
        </w:rPr>
        <w:t>月初完成了行业标准《</w:t>
      </w:r>
      <w:r>
        <w:rPr>
          <w:rFonts w:hint="eastAsia"/>
          <w:sz w:val="24"/>
          <w:szCs w:val="24"/>
          <w:lang w:eastAsia="zh-CN"/>
        </w:rPr>
        <w:t>水杨羟肟酸</w:t>
      </w:r>
      <w:r>
        <w:rPr>
          <w:rFonts w:hint="eastAsia"/>
          <w:sz w:val="24"/>
          <w:szCs w:val="24"/>
        </w:rPr>
        <w:t>》（</w:t>
      </w:r>
      <w:r>
        <w:rPr>
          <w:rFonts w:hint="eastAsia"/>
          <w:sz w:val="24"/>
          <w:szCs w:val="24"/>
          <w:lang w:val="en-US" w:eastAsia="zh-CN"/>
        </w:rPr>
        <w:t>讨论</w:t>
      </w:r>
      <w:r>
        <w:rPr>
          <w:rFonts w:hint="eastAsia"/>
          <w:sz w:val="24"/>
          <w:szCs w:val="24"/>
        </w:rPr>
        <w:t>稿）</w:t>
      </w:r>
      <w:r>
        <w:rPr>
          <w:rFonts w:hint="default"/>
          <w:sz w:val="24"/>
          <w:szCs w:val="24"/>
        </w:rPr>
        <w:t>，20</w:t>
      </w:r>
      <w:r>
        <w:rPr>
          <w:rFonts w:hint="eastAsia"/>
          <w:sz w:val="24"/>
          <w:szCs w:val="24"/>
          <w:lang w:val="en-US" w:eastAsia="zh-CN"/>
        </w:rPr>
        <w:t>21</w:t>
      </w:r>
      <w:r>
        <w:rPr>
          <w:rFonts w:hint="default"/>
          <w:sz w:val="24"/>
          <w:szCs w:val="24"/>
        </w:rPr>
        <w:t>年</w:t>
      </w:r>
      <w:r>
        <w:rPr>
          <w:rFonts w:hint="eastAsia"/>
          <w:sz w:val="24"/>
          <w:szCs w:val="24"/>
          <w:lang w:val="en-US" w:eastAsia="zh-CN"/>
        </w:rPr>
        <w:t>4</w:t>
      </w:r>
      <w:r>
        <w:rPr>
          <w:rFonts w:hint="default"/>
          <w:sz w:val="24"/>
          <w:szCs w:val="24"/>
        </w:rPr>
        <w:t>月</w:t>
      </w:r>
      <w:r>
        <w:rPr>
          <w:rFonts w:hint="eastAsia"/>
          <w:sz w:val="24"/>
          <w:szCs w:val="24"/>
          <w:lang w:val="en-US" w:eastAsia="zh-CN"/>
        </w:rPr>
        <w:t>20</w:t>
      </w:r>
      <w:r>
        <w:rPr>
          <w:rFonts w:hint="default"/>
          <w:sz w:val="24"/>
          <w:szCs w:val="24"/>
        </w:rPr>
        <w:t>日在</w:t>
      </w:r>
      <w:r>
        <w:rPr>
          <w:rFonts w:hint="eastAsia"/>
          <w:sz w:val="24"/>
          <w:szCs w:val="24"/>
          <w:lang w:val="en-US" w:eastAsia="zh-CN"/>
        </w:rPr>
        <w:t>贵阳</w:t>
      </w:r>
      <w:r>
        <w:rPr>
          <w:rFonts w:hint="default"/>
          <w:sz w:val="24"/>
          <w:szCs w:val="24"/>
        </w:rPr>
        <w:t>召开了项目讨论会。</w:t>
      </w:r>
      <w:r>
        <w:rPr>
          <w:rFonts w:hint="eastAsia"/>
          <w:sz w:val="24"/>
          <w:szCs w:val="24"/>
          <w:lang w:val="en-US" w:eastAsia="zh-CN"/>
        </w:rPr>
        <w:t>讨论会上重金属标委会韩之为副秘书长提出修改意见：“6.4中取样与制样规定保存期限”，吴帅锦提出修改意见“将附录A中所用水注明引用标准”。</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日在</w:t>
      </w:r>
      <w:r>
        <w:rPr>
          <w:rFonts w:hint="eastAsia" w:ascii="宋体" w:hAnsi="宋体"/>
          <w:sz w:val="24"/>
          <w:szCs w:val="24"/>
          <w:lang w:val="en-US" w:eastAsia="zh-CN"/>
        </w:rPr>
        <w:t>芜湖</w:t>
      </w:r>
      <w:r>
        <w:rPr>
          <w:rFonts w:hint="eastAsia" w:ascii="宋体" w:hAnsi="宋体"/>
          <w:sz w:val="24"/>
          <w:szCs w:val="24"/>
        </w:rPr>
        <w:t>召开的项目预审会进行讨论，根据专家意见对标准文本和编制说明进行修改，现场专家共提出修改意见</w:t>
      </w:r>
      <w:r>
        <w:rPr>
          <w:rFonts w:ascii="宋体" w:hAnsi="宋体"/>
          <w:sz w:val="24"/>
          <w:szCs w:val="24"/>
        </w:rPr>
        <w:t>8</w:t>
      </w:r>
      <w:r>
        <w:rPr>
          <w:rFonts w:hint="eastAsia" w:ascii="宋体" w:hAnsi="宋体"/>
          <w:sz w:val="24"/>
          <w:szCs w:val="24"/>
        </w:rPr>
        <w:t>条。</w:t>
      </w:r>
    </w:p>
    <w:p>
      <w:pPr>
        <w:spacing w:line="360" w:lineRule="auto"/>
        <w:ind w:firstLine="482" w:firstLineChars="200"/>
        <w:rPr>
          <w:rFonts w:ascii="宋体" w:hAnsi="宋体"/>
          <w:b/>
          <w:sz w:val="24"/>
          <w:szCs w:val="24"/>
        </w:rPr>
      </w:pPr>
      <w:r>
        <w:rPr>
          <w:rFonts w:hint="eastAsia" w:ascii="宋体" w:hAnsi="宋体"/>
          <w:b/>
          <w:sz w:val="24"/>
          <w:szCs w:val="24"/>
          <w:lang w:val="en-US" w:eastAsia="zh-CN"/>
        </w:rPr>
        <w:t>重金属标委会林若虚秘书</w:t>
      </w:r>
      <w:r>
        <w:rPr>
          <w:rFonts w:hint="eastAsia" w:ascii="宋体" w:hAnsi="宋体"/>
          <w:b/>
          <w:sz w:val="24"/>
          <w:szCs w:val="24"/>
        </w:rPr>
        <w:t>提出</w:t>
      </w:r>
      <w:r>
        <w:rPr>
          <w:rFonts w:hint="eastAsia" w:ascii="宋体" w:hAnsi="宋体"/>
          <w:b/>
          <w:sz w:val="24"/>
          <w:szCs w:val="24"/>
          <w:lang w:val="en-US" w:eastAsia="zh-CN"/>
        </w:rPr>
        <w:t>5</w:t>
      </w:r>
      <w:r>
        <w:rPr>
          <w:rFonts w:hint="eastAsia" w:ascii="宋体" w:hAnsi="宋体"/>
          <w:b/>
          <w:sz w:val="24"/>
          <w:szCs w:val="24"/>
        </w:rPr>
        <w:t>条修改意见，如下：</w:t>
      </w:r>
    </w:p>
    <w:p>
      <w:pPr>
        <w:numPr>
          <w:ilvl w:val="0"/>
          <w:numId w:val="0"/>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（1）前言中加入“请注意本文件的某些内容可能涉及专利。本文件的发布机构不承担识别专利的责任”；</w:t>
      </w:r>
    </w:p>
    <w:p>
      <w:pPr>
        <w:numPr>
          <w:ilvl w:val="0"/>
          <w:numId w:val="0"/>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（2）4.1中将选矿药剂牌号应列入到表格中；</w:t>
      </w:r>
    </w:p>
    <w:p>
      <w:pPr>
        <w:numPr>
          <w:ilvl w:val="0"/>
          <w:numId w:val="0"/>
        </w:numPr>
        <w:spacing w:line="360" w:lineRule="auto"/>
        <w:ind w:firstLine="480" w:firstLineChars="200"/>
        <w:rPr>
          <w:rFonts w:hint="default"/>
          <w:sz w:val="24"/>
          <w:szCs w:val="24"/>
          <w:lang w:val="en-US" w:eastAsia="zh-CN"/>
        </w:rPr>
      </w:pPr>
      <w:r>
        <w:rPr>
          <w:rFonts w:hint="eastAsia" w:ascii="宋体" w:hAnsi="宋体"/>
          <w:sz w:val="24"/>
          <w:szCs w:val="24"/>
          <w:lang w:val="en-US" w:eastAsia="zh-CN"/>
        </w:rPr>
        <w:t>（3）4.2中将“≧”应改为“不小于”；</w:t>
      </w:r>
    </w:p>
    <w:p>
      <w:pPr>
        <w:numPr>
          <w:ilvl w:val="0"/>
          <w:numId w:val="0"/>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（4）4.3中应删除“可溶于碱溶液，性质稳定，带有水杨酸气味”；</w:t>
      </w:r>
    </w:p>
    <w:p>
      <w:pPr>
        <w:numPr>
          <w:ilvl w:val="0"/>
          <w:numId w:val="0"/>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（5）8订货单内容应加入“产品成分（产品合同）”。</w:t>
      </w:r>
    </w:p>
    <w:p>
      <w:pPr>
        <w:pStyle w:val="2"/>
        <w:spacing w:line="360" w:lineRule="auto"/>
        <w:ind w:firstLine="481"/>
        <w:rPr>
          <w:rFonts w:hint="eastAsia" w:ascii="宋体" w:hAnsi="宋体"/>
          <w:sz w:val="24"/>
          <w:szCs w:val="24"/>
          <w:lang w:val="en-US" w:eastAsia="zh-CN"/>
        </w:rPr>
      </w:pPr>
      <w:r>
        <w:rPr>
          <w:rFonts w:hint="eastAsia" w:ascii="宋体" w:hAnsi="宋体"/>
          <w:sz w:val="24"/>
          <w:szCs w:val="24"/>
          <w:lang w:val="en-US" w:eastAsia="zh-CN"/>
        </w:rPr>
        <w:t>中国瑞林工程技术有限公司曹学新老师提出2条修改意见，如下：</w:t>
      </w:r>
    </w:p>
    <w:p>
      <w:pPr>
        <w:spacing w:line="360" w:lineRule="auto"/>
        <w:ind w:firstLine="481"/>
        <w:rPr>
          <w:rFonts w:hint="eastAsia" w:ascii="宋体" w:hAnsi="宋体"/>
          <w:sz w:val="24"/>
          <w:szCs w:val="24"/>
          <w:lang w:val="en-US" w:eastAsia="zh-CN"/>
        </w:rPr>
      </w:pPr>
      <w:r>
        <w:rPr>
          <w:rFonts w:hint="eastAsia"/>
          <w:sz w:val="24"/>
          <w:szCs w:val="24"/>
          <w:lang w:val="en-US" w:eastAsia="zh-CN"/>
        </w:rPr>
        <w:t>（1</w:t>
      </w:r>
      <w:r>
        <w:rPr>
          <w:rFonts w:hint="eastAsia" w:ascii="宋体" w:hAnsi="宋体"/>
          <w:sz w:val="24"/>
          <w:szCs w:val="24"/>
          <w:lang w:val="en-US" w:eastAsia="zh-CN"/>
        </w:rPr>
        <w:t>）1 范围中应列入产品的用途；</w:t>
      </w:r>
    </w:p>
    <w:p>
      <w:pPr>
        <w:pStyle w:val="2"/>
        <w:spacing w:line="360" w:lineRule="auto"/>
        <w:ind w:firstLine="480"/>
        <w:rPr>
          <w:rFonts w:hint="eastAsia" w:ascii="宋体" w:hAnsi="宋体" w:eastAsia="宋体" w:cs="黑体"/>
          <w:b w:val="0"/>
          <w:kern w:val="2"/>
          <w:sz w:val="24"/>
          <w:szCs w:val="24"/>
          <w:lang w:val="en-US" w:eastAsia="zh-CN" w:bidi="ar-SA"/>
        </w:rPr>
      </w:pPr>
      <w:r>
        <w:rPr>
          <w:rFonts w:hint="eastAsia" w:ascii="宋体" w:hAnsi="宋体" w:eastAsia="宋体" w:cs="黑体"/>
          <w:b w:val="0"/>
          <w:kern w:val="2"/>
          <w:sz w:val="24"/>
          <w:szCs w:val="24"/>
          <w:lang w:val="en-US" w:eastAsia="zh-CN" w:bidi="ar-SA"/>
        </w:rPr>
        <w:t>（2）7.4产品使用说明中将“正确搬运”应改为“搬运”。</w:t>
      </w:r>
    </w:p>
    <w:p>
      <w:pPr>
        <w:ind w:firstLine="480"/>
        <w:rPr>
          <w:rFonts w:hint="eastAsia" w:ascii="宋体" w:hAnsi="宋体" w:eastAsia="宋体" w:cs="黑体"/>
          <w:b/>
          <w:kern w:val="2"/>
          <w:sz w:val="24"/>
          <w:szCs w:val="24"/>
          <w:lang w:val="en-US" w:eastAsia="zh-CN" w:bidi="ar-SA"/>
        </w:rPr>
      </w:pPr>
      <w:r>
        <w:rPr>
          <w:rFonts w:hint="eastAsia" w:ascii="宋体" w:hAnsi="宋体" w:eastAsia="宋体" w:cs="黑体"/>
          <w:b/>
          <w:kern w:val="2"/>
          <w:sz w:val="24"/>
          <w:szCs w:val="24"/>
          <w:lang w:val="en-US" w:eastAsia="zh-CN" w:bidi="ar-SA"/>
        </w:rPr>
        <w:t>中国恩菲工程技术有限公司李斌</w:t>
      </w:r>
      <w:r>
        <w:rPr>
          <w:rFonts w:hint="eastAsia" w:ascii="宋体" w:hAnsi="宋体" w:cs="黑体"/>
          <w:b/>
          <w:kern w:val="2"/>
          <w:sz w:val="24"/>
          <w:szCs w:val="24"/>
          <w:lang w:val="en-US" w:eastAsia="zh-CN" w:bidi="ar-SA"/>
        </w:rPr>
        <w:t>老师</w:t>
      </w:r>
      <w:r>
        <w:rPr>
          <w:rFonts w:hint="eastAsia" w:ascii="宋体" w:hAnsi="宋体" w:eastAsia="宋体" w:cs="黑体"/>
          <w:b/>
          <w:kern w:val="2"/>
          <w:sz w:val="24"/>
          <w:szCs w:val="24"/>
          <w:lang w:val="en-US" w:eastAsia="zh-CN" w:bidi="ar-SA"/>
        </w:rPr>
        <w:t>提出</w:t>
      </w:r>
      <w:r>
        <w:rPr>
          <w:rFonts w:hint="eastAsia" w:ascii="宋体" w:hAnsi="宋体" w:cs="黑体"/>
          <w:b/>
          <w:kern w:val="2"/>
          <w:sz w:val="24"/>
          <w:szCs w:val="24"/>
          <w:lang w:val="en-US" w:eastAsia="zh-CN" w:bidi="ar-SA"/>
        </w:rPr>
        <w:t>1</w:t>
      </w:r>
      <w:r>
        <w:rPr>
          <w:rFonts w:hint="eastAsia" w:ascii="宋体" w:hAnsi="宋体" w:eastAsia="宋体" w:cs="黑体"/>
          <w:b/>
          <w:kern w:val="2"/>
          <w:sz w:val="24"/>
          <w:szCs w:val="24"/>
          <w:lang w:val="en-US" w:eastAsia="zh-CN" w:bidi="ar-SA"/>
        </w:rPr>
        <w:t>条修改意见：如下：</w:t>
      </w:r>
    </w:p>
    <w:p>
      <w:pPr>
        <w:pStyle w:val="2"/>
        <w:spacing w:line="360" w:lineRule="auto"/>
        <w:ind w:firstLine="480"/>
        <w:rPr>
          <w:rFonts w:hint="default" w:ascii="宋体" w:hAnsi="宋体" w:eastAsia="宋体" w:cs="黑体"/>
          <w:b w:val="0"/>
          <w:kern w:val="2"/>
          <w:sz w:val="24"/>
          <w:szCs w:val="24"/>
          <w:lang w:val="en-US" w:eastAsia="zh-CN" w:bidi="ar-SA"/>
        </w:rPr>
      </w:pPr>
      <w:r>
        <w:rPr>
          <w:rFonts w:hint="eastAsia" w:ascii="宋体" w:hAnsi="宋体" w:eastAsia="宋体" w:cs="黑体"/>
          <w:b w:val="0"/>
          <w:kern w:val="2"/>
          <w:sz w:val="24"/>
          <w:szCs w:val="24"/>
          <w:lang w:val="en-US" w:eastAsia="zh-CN" w:bidi="ar-SA"/>
        </w:rPr>
        <w:t>（1）A2.3.5浓硫酸建议写出具体浓度标准。</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right="0" w:rightChars="0" w:firstLine="482" w:firstLineChars="200"/>
        <w:jc w:val="both"/>
        <w:textAlignment w:val="auto"/>
        <w:outlineLvl w:val="3"/>
        <w:rPr>
          <w:rFonts w:hint="default" w:ascii="宋体" w:hAnsi="宋体" w:eastAsia="宋体" w:cs="黑体"/>
          <w:b/>
          <w:kern w:val="2"/>
          <w:sz w:val="24"/>
          <w:szCs w:val="24"/>
          <w:lang w:val="en-US" w:eastAsia="zh-CN" w:bidi="ar-SA"/>
        </w:rPr>
      </w:pPr>
      <w:r>
        <w:rPr>
          <w:rFonts w:hint="eastAsia" w:ascii="宋体" w:hAnsi="宋体" w:eastAsia="宋体" w:cs="黑体"/>
          <w:b/>
          <w:kern w:val="2"/>
          <w:sz w:val="24"/>
          <w:szCs w:val="24"/>
          <w:lang w:val="en-US" w:eastAsia="zh-CN" w:bidi="ar-SA"/>
        </w:rPr>
        <w:t xml:space="preserve">四、 </w:t>
      </w:r>
      <w:r>
        <w:rPr>
          <w:rFonts w:hint="default" w:ascii="宋体" w:hAnsi="宋体" w:eastAsia="宋体" w:cs="黑体"/>
          <w:b/>
          <w:kern w:val="2"/>
          <w:sz w:val="24"/>
          <w:szCs w:val="24"/>
          <w:lang w:val="en-US" w:eastAsia="zh-CN" w:bidi="ar-SA"/>
        </w:rPr>
        <w:t>标准编制原则</w:t>
      </w:r>
    </w:p>
    <w:p>
      <w:pPr>
        <w:pStyle w:val="15"/>
        <w:spacing w:line="360" w:lineRule="auto"/>
        <w:rPr>
          <w:sz w:val="24"/>
          <w:szCs w:val="24"/>
        </w:rPr>
      </w:pPr>
      <w:r>
        <w:rPr>
          <w:rFonts w:hint="eastAsia"/>
          <w:sz w:val="24"/>
          <w:szCs w:val="24"/>
        </w:rPr>
        <w:t>标准编制工作组负责调研、收集数据、市场需求及客户要求等信息，确定了《</w:t>
      </w:r>
      <w:r>
        <w:rPr>
          <w:rFonts w:hint="eastAsia"/>
          <w:sz w:val="24"/>
          <w:szCs w:val="24"/>
          <w:lang w:eastAsia="zh-CN"/>
        </w:rPr>
        <w:t>水杨羟肟酸</w:t>
      </w:r>
      <w:r>
        <w:rPr>
          <w:rFonts w:hint="eastAsia"/>
          <w:sz w:val="24"/>
          <w:szCs w:val="24"/>
        </w:rPr>
        <w:t>》行业标准的编制原则和编制依据：</w:t>
      </w:r>
    </w:p>
    <w:p>
      <w:pPr>
        <w:pStyle w:val="15"/>
        <w:spacing w:line="360" w:lineRule="auto"/>
        <w:rPr>
          <w:sz w:val="24"/>
          <w:szCs w:val="24"/>
        </w:rPr>
      </w:pPr>
      <w:r>
        <w:rPr>
          <w:rFonts w:hint="eastAsia"/>
          <w:sz w:val="24"/>
          <w:szCs w:val="24"/>
        </w:rPr>
        <w:t>1）符合《中华人民共和国产品质量法》、《中华人民共和国安全生产法》等有关法律、法规、政策和标准；</w:t>
      </w:r>
    </w:p>
    <w:p>
      <w:pPr>
        <w:spacing w:line="360" w:lineRule="auto"/>
        <w:ind w:firstLine="480" w:firstLineChars="200"/>
        <w:rPr>
          <w:sz w:val="24"/>
          <w:szCs w:val="24"/>
        </w:rPr>
      </w:pPr>
      <w:r>
        <w:rPr>
          <w:rFonts w:hint="eastAsia"/>
          <w:sz w:val="24"/>
          <w:szCs w:val="24"/>
        </w:rPr>
        <w:t>2）标准制订工作按国家标准</w:t>
      </w:r>
      <w:r>
        <w:rPr>
          <w:rFonts w:hint="eastAsia" w:ascii="宋体" w:hAnsi="宋体" w:eastAsia="宋体" w:cs="宋体"/>
          <w:kern w:val="0"/>
          <w:sz w:val="24"/>
          <w:szCs w:val="24"/>
        </w:rPr>
        <w:t>GB/T 1.1-2020《标准化工作导则 第1部分：标准化文件的结构和起草规则》的规定起草</w:t>
      </w:r>
      <w:r>
        <w:rPr>
          <w:rFonts w:hint="eastAsia"/>
          <w:sz w:val="24"/>
          <w:szCs w:val="24"/>
        </w:rPr>
        <w:t>，并符合《国家、行业标准编写模板》的电子文本要求；</w:t>
      </w:r>
    </w:p>
    <w:p>
      <w:pPr>
        <w:pStyle w:val="15"/>
        <w:spacing w:line="360" w:lineRule="auto"/>
        <w:rPr>
          <w:rFonts w:hint="eastAsia"/>
          <w:sz w:val="24"/>
          <w:szCs w:val="24"/>
          <w:lang w:eastAsia="zh-CN"/>
        </w:rPr>
      </w:pPr>
      <w:r>
        <w:rPr>
          <w:rFonts w:hint="eastAsia"/>
          <w:sz w:val="24"/>
          <w:szCs w:val="24"/>
        </w:rPr>
        <w:t>3）为适应推荐性标准体系，标准制订过程中注重市场属性，强调供需方的协调一致，把产品标准与销售、贸易紧密结合，提高了标准的市场适应性</w:t>
      </w:r>
      <w:r>
        <w:rPr>
          <w:rFonts w:hint="eastAsia"/>
          <w:sz w:val="24"/>
          <w:szCs w:val="24"/>
          <w:lang w:eastAsia="zh-CN"/>
        </w:rPr>
        <w:t>。</w:t>
      </w:r>
    </w:p>
    <w:p>
      <w:pPr>
        <w:pStyle w:val="15"/>
        <w:spacing w:line="360" w:lineRule="auto"/>
        <w:rPr>
          <w:rFonts w:hint="eastAsia"/>
          <w:sz w:val="24"/>
          <w:szCs w:val="24"/>
          <w:lang w:eastAsia="zh-CN"/>
        </w:rPr>
      </w:pPr>
      <w:r>
        <w:rPr>
          <w:rFonts w:hint="eastAsia"/>
          <w:sz w:val="24"/>
          <w:szCs w:val="24"/>
          <w:lang w:eastAsia="zh-CN"/>
        </w:rPr>
        <w:t>4）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pPr>
        <w:pStyle w:val="15"/>
        <w:spacing w:line="360" w:lineRule="auto"/>
        <w:rPr>
          <w:rFonts w:hint="eastAsia"/>
          <w:sz w:val="24"/>
          <w:szCs w:val="24"/>
          <w:lang w:eastAsia="zh-CN"/>
        </w:rPr>
      </w:pPr>
      <w:r>
        <w:rPr>
          <w:rFonts w:hint="eastAsia"/>
          <w:sz w:val="24"/>
          <w:szCs w:val="24"/>
          <w:lang w:eastAsia="zh-CN"/>
        </w:rPr>
        <w:t>5）充分考虑生产企业的产品质量和相关单位的意见，以及用户的需求，为用户提供满意的产品。</w:t>
      </w:r>
    </w:p>
    <w:p>
      <w:pPr>
        <w:pStyle w:val="15"/>
        <w:spacing w:line="360" w:lineRule="auto"/>
        <w:rPr>
          <w:rFonts w:hint="eastAsia"/>
          <w:sz w:val="24"/>
          <w:szCs w:val="24"/>
          <w:lang w:eastAsia="zh-CN"/>
        </w:rPr>
      </w:pPr>
      <w:r>
        <w:rPr>
          <w:rFonts w:hint="eastAsia"/>
          <w:sz w:val="24"/>
          <w:szCs w:val="24"/>
          <w:lang w:eastAsia="zh-CN"/>
        </w:rPr>
        <w:t>6）坚持以生产实际和可操作性为前提，以满足其实践性、适应性、先进性等需要为原则，做到科学合理、切实可行。</w:t>
      </w:r>
    </w:p>
    <w:p>
      <w:pPr>
        <w:spacing w:line="360" w:lineRule="auto"/>
        <w:ind w:firstLine="470" w:firstLineChars="196"/>
        <w:rPr>
          <w:rFonts w:hint="eastAsia" w:ascii="黑体" w:hAnsi="黑体" w:eastAsia="黑体"/>
          <w:sz w:val="24"/>
          <w:szCs w:val="24"/>
        </w:rPr>
      </w:pPr>
      <w:r>
        <w:rPr>
          <w:rFonts w:hint="eastAsia" w:ascii="黑体" w:hAnsi="黑体" w:eastAsia="黑体"/>
          <w:sz w:val="24"/>
          <w:szCs w:val="24"/>
          <w:lang w:val="en-US" w:eastAsia="zh-CN"/>
        </w:rPr>
        <w:t>五、</w:t>
      </w:r>
      <w:r>
        <w:rPr>
          <w:rFonts w:hint="eastAsia" w:ascii="黑体" w:hAnsi="黑体" w:eastAsia="黑体"/>
          <w:sz w:val="24"/>
          <w:szCs w:val="24"/>
        </w:rPr>
        <w:t>确定标准主要内容的论据</w:t>
      </w:r>
    </w:p>
    <w:p>
      <w:pPr>
        <w:spacing w:line="360" w:lineRule="auto"/>
        <w:ind w:firstLine="480" w:firstLineChars="200"/>
        <w:rPr>
          <w:rFonts w:ascii="黑体" w:hAnsi="黑体" w:eastAsia="黑体"/>
          <w:kern w:val="0"/>
          <w:sz w:val="24"/>
          <w:szCs w:val="24"/>
        </w:rPr>
      </w:pPr>
      <w:r>
        <w:rPr>
          <w:rFonts w:hint="eastAsia" w:ascii="黑体" w:hAnsi="黑体" w:eastAsia="黑体"/>
          <w:kern w:val="0"/>
          <w:sz w:val="24"/>
          <w:szCs w:val="24"/>
          <w:lang w:val="en-US" w:eastAsia="zh-CN"/>
        </w:rPr>
        <w:t>5</w:t>
      </w:r>
      <w:r>
        <w:rPr>
          <w:rFonts w:ascii="黑体" w:hAnsi="黑体" w:eastAsia="黑体"/>
          <w:kern w:val="0"/>
          <w:sz w:val="24"/>
          <w:szCs w:val="24"/>
        </w:rPr>
        <w:t>.1</w:t>
      </w:r>
      <w:r>
        <w:rPr>
          <w:rFonts w:hint="eastAsia" w:ascii="黑体" w:hAnsi="黑体" w:eastAsia="黑体"/>
          <w:kern w:val="0"/>
          <w:sz w:val="24"/>
          <w:szCs w:val="24"/>
        </w:rPr>
        <w:t>产品简介</w:t>
      </w:r>
    </w:p>
    <w:p>
      <w:pPr>
        <w:spacing w:line="360" w:lineRule="auto"/>
        <w:ind w:firstLine="480" w:firstLineChars="200"/>
        <w:rPr>
          <w:rFonts w:hint="eastAsia" w:ascii="黑体" w:hAnsi="黑体" w:eastAsia="黑体"/>
          <w:sz w:val="24"/>
          <w:szCs w:val="24"/>
        </w:rPr>
      </w:pPr>
      <w:r>
        <w:rPr>
          <w:rFonts w:hint="eastAsia" w:ascii="黑体" w:hAnsi="黑体" w:eastAsia="黑体"/>
          <w:kern w:val="0"/>
          <w:sz w:val="24"/>
          <w:szCs w:val="24"/>
          <w:lang w:val="en-US" w:eastAsia="zh-CN"/>
        </w:rPr>
        <w:t>5.2</w:t>
      </w:r>
      <w:r>
        <w:rPr>
          <w:rFonts w:hint="eastAsia" w:ascii="黑体" w:hAnsi="黑体" w:eastAsia="黑体"/>
          <w:sz w:val="24"/>
          <w:szCs w:val="24"/>
        </w:rPr>
        <w:t>产品性质</w:t>
      </w:r>
    </w:p>
    <w:p>
      <w:pPr>
        <w:widowControl/>
        <w:spacing w:line="360" w:lineRule="auto"/>
        <w:ind w:firstLine="480" w:firstLineChars="200"/>
        <w:rPr>
          <w:rFonts w:hint="eastAsia" w:ascii="宋体" w:hAnsi="宋体"/>
          <w:kern w:val="0"/>
          <w:sz w:val="24"/>
          <w:szCs w:val="24"/>
        </w:rPr>
      </w:pPr>
      <w:r>
        <w:rPr>
          <w:rFonts w:hint="eastAsia"/>
          <w:sz w:val="24"/>
          <w:szCs w:val="24"/>
        </w:rPr>
        <w:t xml:space="preserve"> 产品为粉红</w:t>
      </w:r>
      <w:r>
        <w:rPr>
          <w:rFonts w:hint="eastAsia"/>
          <w:sz w:val="24"/>
          <w:szCs w:val="24"/>
          <w:lang w:val="en-US" w:eastAsia="zh-CN"/>
        </w:rPr>
        <w:t>或</w:t>
      </w:r>
      <w:r>
        <w:rPr>
          <w:rFonts w:hint="eastAsia"/>
          <w:sz w:val="24"/>
          <w:szCs w:val="24"/>
        </w:rPr>
        <w:t>桔红色固体粉末</w:t>
      </w:r>
      <w:r>
        <w:rPr>
          <w:rFonts w:hint="eastAsia"/>
          <w:sz w:val="24"/>
          <w:szCs w:val="24"/>
          <w:lang w:eastAsia="zh-CN"/>
        </w:rPr>
        <w:t>，</w:t>
      </w:r>
      <w:r>
        <w:rPr>
          <w:rFonts w:hint="eastAsia"/>
          <w:sz w:val="24"/>
          <w:szCs w:val="24"/>
          <w:lang w:val="en-US" w:eastAsia="zh-CN"/>
        </w:rPr>
        <w:t>不应混有机械杂质</w:t>
      </w:r>
      <w:r>
        <w:rPr>
          <w:rFonts w:hint="eastAsia"/>
          <w:sz w:val="24"/>
          <w:szCs w:val="24"/>
        </w:rPr>
        <w:t>。产品的运输和贮存条件应为阴凉、通风、干燥、防晒、防火。</w:t>
      </w:r>
    </w:p>
    <w:p>
      <w:pPr>
        <w:spacing w:line="360" w:lineRule="auto"/>
        <w:ind w:firstLine="480" w:firstLineChars="200"/>
        <w:rPr>
          <w:rFonts w:hint="eastAsia" w:ascii="黑体" w:hAnsi="黑体" w:eastAsia="黑体"/>
          <w:sz w:val="24"/>
          <w:szCs w:val="24"/>
        </w:rPr>
      </w:pPr>
      <w:r>
        <w:rPr>
          <w:rFonts w:hint="eastAsia" w:ascii="黑体" w:hAnsi="黑体" w:eastAsia="黑体"/>
          <w:kern w:val="0"/>
          <w:sz w:val="24"/>
          <w:szCs w:val="24"/>
          <w:lang w:val="en-US" w:eastAsia="zh-CN"/>
        </w:rPr>
        <w:t>5.3</w:t>
      </w:r>
      <w:r>
        <w:rPr>
          <w:rFonts w:hint="eastAsia" w:ascii="黑体" w:hAnsi="黑体" w:eastAsia="黑体"/>
          <w:kern w:val="0"/>
          <w:sz w:val="24"/>
          <w:szCs w:val="24"/>
        </w:rPr>
        <w:t>产品用途</w:t>
      </w:r>
    </w:p>
    <w:p>
      <w:pPr>
        <w:widowControl/>
        <w:spacing w:line="360" w:lineRule="auto"/>
        <w:ind w:firstLine="480" w:firstLineChars="200"/>
        <w:rPr>
          <w:rFonts w:ascii="宋体" w:hAnsi="宋体"/>
          <w:kern w:val="0"/>
          <w:sz w:val="24"/>
          <w:szCs w:val="24"/>
        </w:rPr>
      </w:pPr>
      <w:r>
        <w:rPr>
          <w:rFonts w:ascii="宋体" w:hAnsi="宋体"/>
          <w:kern w:val="0"/>
          <w:sz w:val="24"/>
          <w:szCs w:val="24"/>
        </w:rPr>
        <w:t>水杨羟肟酸能与锡、钨、稀土、铜、铁等金属形成稳</w:t>
      </w:r>
      <w:r>
        <w:rPr>
          <w:rFonts w:hint="eastAsia" w:ascii="宋体" w:hAnsi="宋体"/>
          <w:kern w:val="0"/>
          <w:sz w:val="24"/>
          <w:szCs w:val="24"/>
        </w:rPr>
        <w:t>定的螯合物，而与碱土金属及碱金属形成不稳定的螯合物，所以，水杨羟肟酸具有较好的选择性。</w:t>
      </w:r>
    </w:p>
    <w:p>
      <w:pPr>
        <w:pStyle w:val="13"/>
        <w:spacing w:before="0" w:beforeLines="0" w:after="0" w:afterLines="0" w:line="360" w:lineRule="auto"/>
        <w:ind w:firstLine="480" w:firstLineChars="200"/>
        <w:jc w:val="left"/>
        <w:rPr>
          <w:rFonts w:ascii="黑体" w:eastAsia="黑体"/>
          <w:sz w:val="24"/>
          <w:szCs w:val="24"/>
        </w:rPr>
      </w:pPr>
      <w:r>
        <w:rPr>
          <w:rFonts w:hint="eastAsia" w:hAnsi="黑体"/>
          <w:sz w:val="24"/>
          <w:szCs w:val="24"/>
          <w:lang w:val="en-US" w:eastAsia="zh-CN"/>
        </w:rPr>
        <w:t>5.4</w:t>
      </w:r>
      <w:r>
        <w:rPr>
          <w:rFonts w:hint="eastAsia" w:hAnsi="黑体"/>
          <w:sz w:val="24"/>
          <w:szCs w:val="24"/>
        </w:rPr>
        <w:t>化学成分及物理性能</w:t>
      </w:r>
    </w:p>
    <w:p>
      <w:pPr>
        <w:pStyle w:val="14"/>
        <w:tabs>
          <w:tab w:val="center" w:pos="4201"/>
          <w:tab w:val="right" w:leader="dot" w:pos="9298"/>
        </w:tabs>
        <w:spacing w:beforeLines="0" w:after="312" w:line="360" w:lineRule="auto"/>
        <w:jc w:val="both"/>
        <w:rPr>
          <w:rFonts w:hint="eastAsia"/>
          <w:sz w:val="24"/>
          <w:szCs w:val="24"/>
        </w:rPr>
      </w:pPr>
      <w:r>
        <w:rPr>
          <w:rFonts w:hint="eastAsia" w:ascii="Times New Roman" w:hAnsi="宋体"/>
          <w:sz w:val="24"/>
          <w:szCs w:val="24"/>
          <w:lang w:val="en-US" w:eastAsia="zh-CN"/>
        </w:rPr>
        <w:t>产品的牌号、</w:t>
      </w:r>
      <w:r>
        <w:rPr>
          <w:rFonts w:hint="eastAsia"/>
          <w:sz w:val="24"/>
          <w:szCs w:val="24"/>
        </w:rPr>
        <w:t>化学结构式</w:t>
      </w:r>
      <w:r>
        <w:rPr>
          <w:rFonts w:hint="eastAsia"/>
          <w:sz w:val="24"/>
          <w:szCs w:val="24"/>
          <w:lang w:eastAsia="zh-CN"/>
        </w:rPr>
        <w:t>、</w:t>
      </w:r>
      <w:r>
        <w:rPr>
          <w:rFonts w:hint="eastAsia"/>
          <w:sz w:val="24"/>
          <w:szCs w:val="24"/>
          <w:lang w:val="en-US" w:eastAsia="zh-CN"/>
        </w:rPr>
        <w:t>化学名称和</w:t>
      </w:r>
      <w:r>
        <w:rPr>
          <w:rFonts w:hint="eastAsia"/>
          <w:sz w:val="24"/>
          <w:szCs w:val="24"/>
        </w:rPr>
        <w:t>产品状态应符合表1的规定。</w:t>
      </w:r>
    </w:p>
    <w:p>
      <w:pPr>
        <w:pStyle w:val="14"/>
        <w:tabs>
          <w:tab w:val="center" w:pos="4201"/>
          <w:tab w:val="right" w:leader="dot" w:pos="9298"/>
        </w:tabs>
        <w:spacing w:beforeLines="0" w:after="312" w:line="360" w:lineRule="auto"/>
        <w:jc w:val="center"/>
        <w:rPr>
          <w:rFonts w:hint="eastAsia" w:ascii="黑体" w:hAnsi="黑体" w:eastAsia="黑体"/>
          <w:color w:val="auto"/>
          <w:sz w:val="24"/>
          <w:szCs w:val="24"/>
        </w:rPr>
      </w:pPr>
      <w:r>
        <w:rPr>
          <w:rFonts w:hint="eastAsia" w:ascii="黑体" w:eastAsia="黑体"/>
          <w:color w:val="auto"/>
          <w:sz w:val="24"/>
          <w:szCs w:val="24"/>
        </w:rPr>
        <w:t xml:space="preserve">表1  </w:t>
      </w:r>
      <w:r>
        <w:rPr>
          <w:rFonts w:hint="eastAsia" w:ascii="黑体" w:hAnsi="黑体" w:eastAsia="黑体"/>
          <w:sz w:val="24"/>
          <w:szCs w:val="24"/>
        </w:rPr>
        <w:t>产品的化学名称、</w:t>
      </w:r>
      <w:r>
        <w:rPr>
          <w:rFonts w:hint="eastAsia" w:ascii="黑体" w:hAnsi="黑体" w:eastAsia="黑体"/>
          <w:sz w:val="24"/>
          <w:szCs w:val="24"/>
          <w:lang w:val="en-US" w:eastAsia="zh-CN"/>
        </w:rPr>
        <w:t>牌号、</w:t>
      </w:r>
      <w:r>
        <w:rPr>
          <w:rFonts w:hint="eastAsia" w:ascii="黑体" w:hAnsi="黑体" w:eastAsia="黑体"/>
          <w:sz w:val="24"/>
          <w:szCs w:val="24"/>
        </w:rPr>
        <w:t>化学结构式和产品状态</w:t>
      </w: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3829"/>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化学名称</w:t>
            </w:r>
          </w:p>
        </w:tc>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eastAsia="宋体"/>
                <w:color w:val="000000"/>
                <w:sz w:val="24"/>
                <w:szCs w:val="24"/>
                <w:lang w:val="en-US" w:eastAsia="zh-CN"/>
              </w:rPr>
            </w:pPr>
            <w:r>
              <w:rPr>
                <w:rFonts w:hint="eastAsia"/>
                <w:color w:val="000000"/>
                <w:sz w:val="24"/>
                <w:szCs w:val="24"/>
                <w:lang w:val="en-US" w:eastAsia="zh-CN"/>
              </w:rPr>
              <w:t>牌号</w:t>
            </w:r>
          </w:p>
        </w:tc>
        <w:tc>
          <w:tcPr>
            <w:tcW w:w="3829"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化学结构式</w:t>
            </w:r>
          </w:p>
        </w:tc>
        <w:tc>
          <w:tcPr>
            <w:tcW w:w="271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int="eastAsia"/>
                <w:color w:val="000000"/>
                <w:sz w:val="24"/>
                <w:szCs w:val="24"/>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textAlignment w:val="center"/>
              <w:rPr>
                <w:rFonts w:hint="eastAsia" w:hAnsi="宋体"/>
                <w:color w:val="000000"/>
                <w:sz w:val="24"/>
                <w:szCs w:val="24"/>
              </w:rPr>
            </w:pPr>
            <w:r>
              <w:rPr>
                <w:rFonts w:hint="eastAsia" w:hAnsi="宋体"/>
                <w:color w:val="000000"/>
                <w:sz w:val="24"/>
                <w:szCs w:val="24"/>
              </w:rPr>
              <w:t>水杨羟肟酸</w:t>
            </w:r>
          </w:p>
        </w:tc>
        <w:tc>
          <w:tcPr>
            <w:tcW w:w="132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textAlignment w:val="center"/>
              <w:rPr>
                <w:rFonts w:hint="default" w:hAnsi="宋体" w:eastAsia="宋体"/>
                <w:color w:val="000000"/>
                <w:sz w:val="24"/>
                <w:szCs w:val="24"/>
                <w:lang w:val="en-US" w:eastAsia="zh-CN"/>
              </w:rPr>
            </w:pPr>
            <w:r>
              <w:rPr>
                <w:rFonts w:hint="eastAsia" w:hAnsi="宋体"/>
                <w:color w:val="000000"/>
                <w:sz w:val="24"/>
                <w:szCs w:val="24"/>
                <w:lang w:val="en-US" w:eastAsia="zh-CN"/>
              </w:rPr>
              <w:t>B7-02</w:t>
            </w:r>
          </w:p>
        </w:tc>
        <w:tc>
          <w:tcPr>
            <w:tcW w:w="3829"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textAlignment w:val="center"/>
              <w:rPr>
                <w:rFonts w:hint="eastAsia" w:hAnsi="宋体"/>
                <w:color w:val="000000"/>
                <w:sz w:val="24"/>
                <w:szCs w:val="24"/>
              </w:rPr>
            </w:pPr>
            <w:r>
              <w:rPr>
                <w:rFonts w:hint="eastAsia" w:hAnsi="宋体"/>
                <w:color w:val="000000"/>
                <w:sz w:val="24"/>
                <w:szCs w:val="24"/>
              </w:rPr>
              <w:t>分子式:</w:t>
            </w:r>
          </w:p>
          <w:p>
            <w:pPr>
              <w:pStyle w:val="14"/>
              <w:tabs>
                <w:tab w:val="center" w:pos="4201"/>
                <w:tab w:val="right" w:leader="dot" w:pos="9298"/>
              </w:tabs>
              <w:spacing w:line="360" w:lineRule="auto"/>
              <w:ind w:firstLine="0" w:firstLineChars="0"/>
              <w:jc w:val="center"/>
              <w:textAlignment w:val="center"/>
              <w:rPr>
                <w:rFonts w:hint="eastAsia" w:hAnsi="宋体"/>
                <w:color w:val="000000"/>
                <w:sz w:val="24"/>
                <w:szCs w:val="24"/>
              </w:rPr>
            </w:pPr>
            <w:r>
              <w:rPr>
                <w:rFonts w:hint="eastAsia" w:ascii="宋体" w:hAnsi="宋体" w:eastAsia="宋体" w:cs="Times New Roman"/>
                <w:color w:val="000000"/>
                <w:position w:val="-12"/>
                <w:sz w:val="24"/>
                <w:szCs w:val="24"/>
                <w:lang w:val="en-US" w:eastAsia="zh-CN" w:bidi="ar-SA"/>
              </w:rPr>
              <w:object>
                <v:shape id="_x0000_i1025" o:spt="75" type="#_x0000_t75" style="height:18.25pt;width:52.1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quations" ShapeID="_x0000_i1025" DrawAspect="Content" ObjectID="_1468075725" r:id="rId5">
                  <o:LockedField>false</o:LockedField>
                </o:OLEObject>
              </w:object>
            </w:r>
          </w:p>
          <w:p>
            <w:pPr>
              <w:spacing w:line="360" w:lineRule="auto"/>
              <w:jc w:val="center"/>
              <w:rPr>
                <w:rFonts w:hint="eastAsia" w:ascii="宋体" w:hAnsi="宋体"/>
                <w:color w:val="000000"/>
                <w:sz w:val="24"/>
                <w:szCs w:val="24"/>
              </w:rPr>
            </w:pPr>
            <w:r>
              <w:rPr>
                <w:rFonts w:hint="eastAsia" w:ascii="宋体" w:hAnsi="宋体"/>
                <w:color w:val="000000"/>
                <w:sz w:val="24"/>
                <w:szCs w:val="24"/>
              </w:rPr>
              <w:t>结构式：</w:t>
            </w:r>
          </w:p>
          <w:p>
            <w:pPr>
              <w:spacing w:line="360" w:lineRule="auto"/>
              <w:jc w:val="center"/>
              <w:rPr>
                <w:rFonts w:hint="eastAsia" w:ascii="宋体"/>
                <w:color w:val="000000"/>
                <w:sz w:val="24"/>
                <w:szCs w:val="24"/>
              </w:rPr>
            </w:pPr>
            <w:r>
              <w:rPr>
                <w:rFonts w:hint="eastAsia" w:ascii="宋体" w:hAnsi="Times New Roman" w:eastAsia="宋体" w:cs="Times New Roman"/>
                <w:color w:val="000000"/>
                <w:kern w:val="2"/>
                <w:sz w:val="24"/>
                <w:szCs w:val="24"/>
                <w:lang w:val="en-US" w:eastAsia="zh-CN" w:bidi="ar-SA"/>
              </w:rPr>
              <w:drawing>
                <wp:inline distT="0" distB="0" distL="114300" distR="114300">
                  <wp:extent cx="1999615" cy="948690"/>
                  <wp:effectExtent l="0" t="0" r="6985" b="38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lum/>
                          </a:blip>
                          <a:stretch>
                            <a:fillRect/>
                          </a:stretch>
                        </pic:blipFill>
                        <pic:spPr>
                          <a:xfrm>
                            <a:off x="0" y="0"/>
                            <a:ext cx="1999615" cy="948690"/>
                          </a:xfrm>
                          <a:prstGeom prst="rect">
                            <a:avLst/>
                          </a:prstGeom>
                          <a:noFill/>
                          <a:ln>
                            <a:noFill/>
                          </a:ln>
                        </pic:spPr>
                      </pic:pic>
                    </a:graphicData>
                  </a:graphic>
                </wp:inline>
              </w:drawing>
            </w:r>
          </w:p>
          <w:p>
            <w:pPr>
              <w:spacing w:line="360" w:lineRule="auto"/>
              <w:jc w:val="center"/>
              <w:rPr>
                <w:rFonts w:hint="eastAsia" w:ascii="宋体"/>
                <w:color w:val="000000"/>
                <w:sz w:val="24"/>
                <w:szCs w:val="24"/>
              </w:rPr>
            </w:pPr>
            <w:r>
              <w:rPr>
                <w:rFonts w:hint="eastAsia"/>
                <w:sz w:val="24"/>
                <w:szCs w:val="24"/>
                <w:highlight w:val="none"/>
              </w:rPr>
              <w:t>分子量（按2016年国际原子量）：</w:t>
            </w:r>
            <w:r>
              <w:rPr>
                <w:rFonts w:hint="eastAsia"/>
                <w:sz w:val="24"/>
                <w:szCs w:val="24"/>
                <w:highlight w:val="none"/>
                <w:lang w:val="en-US" w:eastAsia="zh-CN"/>
              </w:rPr>
              <w:t>153.14</w:t>
            </w:r>
          </w:p>
        </w:tc>
        <w:tc>
          <w:tcPr>
            <w:tcW w:w="2710" w:type="dxa"/>
            <w:tcBorders>
              <w:top w:val="single" w:color="auto" w:sz="4" w:space="0"/>
              <w:left w:val="single" w:color="auto" w:sz="4" w:space="0"/>
              <w:bottom w:val="single" w:color="auto" w:sz="4" w:space="0"/>
              <w:right w:val="single" w:color="auto" w:sz="4" w:space="0"/>
            </w:tcBorders>
            <w:vAlign w:val="center"/>
          </w:tcPr>
          <w:p>
            <w:pPr>
              <w:pStyle w:val="14"/>
              <w:tabs>
                <w:tab w:val="center" w:pos="4201"/>
                <w:tab w:val="right" w:leader="dot" w:pos="9298"/>
              </w:tabs>
              <w:spacing w:line="360" w:lineRule="auto"/>
              <w:ind w:firstLine="0" w:firstLineChars="0"/>
              <w:jc w:val="center"/>
              <w:rPr>
                <w:rFonts w:hint="eastAsia"/>
                <w:color w:val="000000"/>
                <w:sz w:val="24"/>
                <w:szCs w:val="24"/>
              </w:rPr>
            </w:pPr>
            <w:r>
              <w:rPr>
                <w:rFonts w:hAnsi="宋体" w:cs="宋体"/>
                <w:color w:val="000000"/>
                <w:sz w:val="24"/>
                <w:szCs w:val="24"/>
              </w:rPr>
              <w:t>固体粉末</w:t>
            </w:r>
          </w:p>
        </w:tc>
      </w:tr>
    </w:tbl>
    <w:p>
      <w:pPr>
        <w:pStyle w:val="13"/>
        <w:numPr>
          <w:ilvl w:val="0"/>
          <w:numId w:val="0"/>
        </w:numPr>
        <w:spacing w:beforeLines="0" w:afterLines="50" w:line="360" w:lineRule="auto"/>
        <w:ind w:right="105" w:rightChars="50" w:firstLine="480" w:firstLineChars="200"/>
        <w:jc w:val="left"/>
        <w:rPr>
          <w:rFonts w:hAnsi="宋体"/>
          <w:sz w:val="24"/>
          <w:szCs w:val="24"/>
        </w:rPr>
      </w:pPr>
      <w:r>
        <w:rPr>
          <w:rFonts w:hint="eastAsia" w:hAnsi="宋体"/>
          <w:sz w:val="24"/>
          <w:szCs w:val="24"/>
          <w:lang w:val="en-US" w:eastAsia="zh-CN"/>
        </w:rPr>
        <w:t>5.5</w:t>
      </w:r>
      <w:r>
        <w:rPr>
          <w:rFonts w:hAnsi="宋体"/>
          <w:sz w:val="24"/>
          <w:szCs w:val="24"/>
        </w:rPr>
        <w:t xml:space="preserve">  </w:t>
      </w:r>
      <w:r>
        <w:rPr>
          <w:rFonts w:hint="eastAsia" w:hAnsi="宋体"/>
          <w:sz w:val="24"/>
          <w:szCs w:val="24"/>
        </w:rPr>
        <w:t>化学成分</w:t>
      </w:r>
    </w:p>
    <w:p>
      <w:pPr>
        <w:pStyle w:val="14"/>
        <w:tabs>
          <w:tab w:val="center" w:pos="4201"/>
          <w:tab w:val="right" w:leader="dot" w:pos="9298"/>
        </w:tabs>
        <w:spacing w:line="360" w:lineRule="auto"/>
        <w:rPr>
          <w:sz w:val="24"/>
          <w:szCs w:val="24"/>
        </w:rPr>
      </w:pPr>
      <w:r>
        <w:rPr>
          <w:rFonts w:hint="eastAsia" w:hAnsi="宋体"/>
          <w:sz w:val="24"/>
          <w:szCs w:val="24"/>
        </w:rPr>
        <w:t>产品的化学成分应符合表</w:t>
      </w:r>
      <w:r>
        <w:rPr>
          <w:rFonts w:hint="eastAsia"/>
          <w:sz w:val="24"/>
          <w:szCs w:val="24"/>
        </w:rPr>
        <w:t>2的规定。</w:t>
      </w:r>
    </w:p>
    <w:tbl>
      <w:tblPr>
        <w:tblStyle w:val="9"/>
        <w:tblpPr w:leftFromText="180" w:rightFromText="180" w:vertAnchor="text" w:horzAnchor="page" w:tblpX="1646" w:tblpY="328"/>
        <w:tblOverlap w:val="never"/>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2435"/>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691" w:type="dxa"/>
            <w:vAlign w:val="center"/>
          </w:tcPr>
          <w:p>
            <w:pPr>
              <w:pStyle w:val="14"/>
              <w:tabs>
                <w:tab w:val="center" w:pos="4201"/>
                <w:tab w:val="right" w:leader="dot" w:pos="9298"/>
              </w:tabs>
              <w:ind w:firstLine="0" w:firstLineChars="0"/>
              <w:jc w:val="center"/>
              <w:rPr>
                <w:rFonts w:hint="eastAsia" w:ascii="Calibri" w:hAnsi="Calibri" w:eastAsia="宋体" w:cs="黑体"/>
                <w:kern w:val="2"/>
                <w:sz w:val="24"/>
                <w:szCs w:val="24"/>
                <w:highlight w:val="none"/>
                <w:lang w:val="en-US" w:eastAsia="zh-CN" w:bidi="ar-SA"/>
              </w:rPr>
            </w:pPr>
            <w:r>
              <w:rPr>
                <w:rFonts w:hint="eastAsia" w:ascii="Calibri" w:hAnsi="Calibri" w:eastAsia="宋体" w:cs="黑体"/>
                <w:kern w:val="2"/>
                <w:sz w:val="24"/>
                <w:szCs w:val="24"/>
                <w:highlight w:val="none"/>
                <w:lang w:val="en-US" w:eastAsia="zh-CN" w:bidi="ar-SA"/>
              </w:rPr>
              <w:t>指标</w:t>
            </w:r>
          </w:p>
        </w:tc>
        <w:tc>
          <w:tcPr>
            <w:tcW w:w="2435" w:type="dxa"/>
            <w:vAlign w:val="center"/>
          </w:tcPr>
          <w:p>
            <w:pPr>
              <w:pStyle w:val="14"/>
              <w:tabs>
                <w:tab w:val="center" w:pos="4201"/>
                <w:tab w:val="right" w:leader="dot" w:pos="9298"/>
              </w:tabs>
              <w:ind w:firstLine="0" w:firstLineChars="0"/>
              <w:jc w:val="center"/>
              <w:rPr>
                <w:rFonts w:hint="eastAsia" w:ascii="Calibri" w:hAnsi="Calibri" w:eastAsia="宋体" w:cs="黑体"/>
                <w:kern w:val="2"/>
                <w:sz w:val="24"/>
                <w:szCs w:val="24"/>
                <w:highlight w:val="none"/>
                <w:lang w:val="en-US" w:eastAsia="zh-CN" w:bidi="ar-SA"/>
              </w:rPr>
            </w:pPr>
            <w:r>
              <w:rPr>
                <w:rFonts w:hint="eastAsia" w:ascii="Calibri" w:hAnsi="Calibri" w:eastAsia="宋体" w:cs="黑体"/>
                <w:kern w:val="2"/>
                <w:sz w:val="24"/>
                <w:szCs w:val="24"/>
                <w:highlight w:val="none"/>
                <w:lang w:val="en-US" w:eastAsia="zh-CN" w:bidi="ar-SA"/>
              </w:rPr>
              <w:t>合格品</w:t>
            </w:r>
          </w:p>
        </w:tc>
        <w:tc>
          <w:tcPr>
            <w:tcW w:w="2600" w:type="dxa"/>
            <w:vAlign w:val="center"/>
          </w:tcPr>
          <w:p>
            <w:pPr>
              <w:pStyle w:val="14"/>
              <w:tabs>
                <w:tab w:val="center" w:pos="4201"/>
                <w:tab w:val="right" w:leader="dot" w:pos="9298"/>
              </w:tabs>
              <w:ind w:firstLine="0" w:firstLineChars="0"/>
              <w:jc w:val="center"/>
              <w:rPr>
                <w:rFonts w:hint="eastAsia" w:ascii="Calibri" w:hAnsi="Calibri" w:eastAsia="宋体" w:cs="黑体"/>
                <w:kern w:val="2"/>
                <w:sz w:val="24"/>
                <w:szCs w:val="24"/>
                <w:highlight w:val="none"/>
                <w:lang w:val="en-US" w:eastAsia="zh-CN" w:bidi="ar-SA"/>
              </w:rPr>
            </w:pPr>
          </w:p>
          <w:p>
            <w:pPr>
              <w:pStyle w:val="14"/>
              <w:tabs>
                <w:tab w:val="center" w:pos="4201"/>
                <w:tab w:val="right" w:leader="dot" w:pos="9298"/>
              </w:tabs>
              <w:ind w:firstLine="0" w:firstLineChars="0"/>
              <w:jc w:val="center"/>
              <w:rPr>
                <w:rFonts w:hint="eastAsia" w:ascii="Calibri" w:hAnsi="Calibri" w:eastAsia="宋体" w:cs="黑体"/>
                <w:kern w:val="2"/>
                <w:sz w:val="24"/>
                <w:szCs w:val="24"/>
                <w:highlight w:val="none"/>
                <w:lang w:val="en-US" w:eastAsia="zh-CN" w:bidi="ar-SA"/>
              </w:rPr>
            </w:pPr>
            <w:r>
              <w:rPr>
                <w:rFonts w:hint="eastAsia" w:ascii="Calibri" w:hAnsi="Calibri" w:eastAsia="宋体" w:cs="黑体"/>
                <w:kern w:val="2"/>
                <w:sz w:val="24"/>
                <w:szCs w:val="24"/>
                <w:highlight w:val="none"/>
                <w:lang w:val="en-US" w:eastAsia="zh-CN" w:bidi="ar-SA"/>
              </w:rPr>
              <w:t>检验方法</w:t>
            </w:r>
          </w:p>
          <w:p>
            <w:pPr>
              <w:pStyle w:val="14"/>
              <w:tabs>
                <w:tab w:val="center" w:pos="4201"/>
                <w:tab w:val="right" w:leader="dot" w:pos="9298"/>
              </w:tabs>
              <w:ind w:firstLine="0" w:firstLineChars="0"/>
              <w:jc w:val="center"/>
              <w:rPr>
                <w:rFonts w:hint="eastAsia" w:ascii="Calibri" w:hAnsi="Calibri" w:eastAsia="宋体"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691" w:type="dxa"/>
            <w:vAlign w:val="center"/>
          </w:tcPr>
          <w:p>
            <w:pPr>
              <w:pStyle w:val="4"/>
              <w:rPr>
                <w:rFonts w:hint="eastAsia" w:ascii="Calibri" w:hAnsi="Calibri" w:eastAsia="宋体" w:cs="黑体"/>
                <w:kern w:val="2"/>
                <w:sz w:val="24"/>
                <w:szCs w:val="24"/>
                <w:highlight w:val="none"/>
                <w:lang w:val="en-US" w:eastAsia="zh-CN" w:bidi="ar-SA"/>
              </w:rPr>
            </w:pPr>
            <w:r>
              <w:rPr>
                <w:rFonts w:hint="eastAsia" w:ascii="Calibri" w:hAnsi="Calibri" w:eastAsia="宋体" w:cs="黑体"/>
                <w:kern w:val="2"/>
                <w:sz w:val="22"/>
                <w:szCs w:val="22"/>
                <w:highlight w:val="none"/>
                <w:lang w:val="en-US" w:eastAsia="zh-CN" w:bidi="ar-SA"/>
              </w:rPr>
              <w:t>水杨羟肟酸（C7H7NO3）含量%不小于</w:t>
            </w:r>
          </w:p>
        </w:tc>
        <w:tc>
          <w:tcPr>
            <w:tcW w:w="2435" w:type="dxa"/>
            <w:vAlign w:val="center"/>
          </w:tcPr>
          <w:p>
            <w:pPr>
              <w:pStyle w:val="14"/>
              <w:tabs>
                <w:tab w:val="center" w:pos="4201"/>
                <w:tab w:val="right" w:leader="dot" w:pos="9298"/>
              </w:tabs>
              <w:ind w:firstLine="0" w:firstLineChars="0"/>
              <w:jc w:val="center"/>
              <w:rPr>
                <w:rFonts w:hint="eastAsia" w:ascii="Calibri" w:hAnsi="Calibri" w:eastAsia="宋体" w:cs="黑体"/>
                <w:kern w:val="2"/>
                <w:sz w:val="24"/>
                <w:szCs w:val="24"/>
                <w:highlight w:val="none"/>
                <w:lang w:val="en-US" w:eastAsia="zh-CN" w:bidi="ar-SA"/>
              </w:rPr>
            </w:pPr>
            <w:r>
              <w:rPr>
                <w:rFonts w:hint="eastAsia" w:ascii="Calibri" w:hAnsi="Calibri" w:eastAsia="宋体" w:cs="黑体"/>
                <w:kern w:val="2"/>
                <w:sz w:val="24"/>
                <w:szCs w:val="24"/>
                <w:highlight w:val="none"/>
                <w:lang w:val="en-US" w:eastAsia="zh-CN" w:bidi="ar-SA"/>
              </w:rPr>
              <w:t>60</w:t>
            </w:r>
          </w:p>
        </w:tc>
        <w:tc>
          <w:tcPr>
            <w:tcW w:w="2600" w:type="dxa"/>
            <w:vAlign w:val="center"/>
          </w:tcPr>
          <w:p>
            <w:pPr>
              <w:pStyle w:val="14"/>
              <w:tabs>
                <w:tab w:val="center" w:pos="4201"/>
                <w:tab w:val="right" w:leader="dot" w:pos="9298"/>
              </w:tabs>
              <w:ind w:firstLine="0" w:firstLineChars="0"/>
              <w:jc w:val="center"/>
              <w:rPr>
                <w:rFonts w:hint="default" w:ascii="Calibri" w:hAnsi="Calibri" w:eastAsia="宋体" w:cs="黑体"/>
                <w:kern w:val="2"/>
                <w:sz w:val="24"/>
                <w:szCs w:val="24"/>
                <w:highlight w:val="none"/>
                <w:lang w:val="en-US" w:eastAsia="zh-CN" w:bidi="ar-SA"/>
              </w:rPr>
            </w:pPr>
            <w:r>
              <w:rPr>
                <w:rFonts w:hint="eastAsia" w:ascii="Calibri" w:hAnsi="Calibri" w:eastAsia="宋体" w:cs="黑体"/>
                <w:kern w:val="2"/>
                <w:sz w:val="24"/>
                <w:szCs w:val="24"/>
                <w:highlight w:val="none"/>
                <w:lang w:val="en-US" w:eastAsia="zh-CN" w:bidi="ar-SA"/>
              </w:rPr>
              <w:t>附录A</w:t>
            </w:r>
          </w:p>
          <w:p>
            <w:pPr>
              <w:pStyle w:val="14"/>
              <w:tabs>
                <w:tab w:val="center" w:pos="4201"/>
                <w:tab w:val="right" w:leader="dot" w:pos="9298"/>
              </w:tabs>
              <w:ind w:firstLine="0" w:firstLineChars="0"/>
              <w:jc w:val="center"/>
              <w:rPr>
                <w:rFonts w:hint="default" w:ascii="Calibri" w:hAnsi="Calibri" w:eastAsia="宋体" w:cs="黑体"/>
                <w:kern w:val="2"/>
                <w:sz w:val="24"/>
                <w:szCs w:val="24"/>
                <w:highlight w:val="none"/>
                <w:lang w:val="en-US" w:eastAsia="zh-CN" w:bidi="ar-SA"/>
              </w:rPr>
            </w:pPr>
          </w:p>
        </w:tc>
      </w:tr>
    </w:tbl>
    <w:p>
      <w:pPr>
        <w:pStyle w:val="14"/>
        <w:tabs>
          <w:tab w:val="center" w:pos="4201"/>
          <w:tab w:val="right" w:leader="dot" w:pos="9298"/>
        </w:tabs>
        <w:spacing w:line="360" w:lineRule="auto"/>
        <w:ind w:firstLine="0" w:firstLineChars="0"/>
        <w:rPr>
          <w:rFonts w:hint="eastAsia" w:ascii="仿宋_GB2312" w:eastAsia="仿宋_GB2312"/>
          <w:b/>
          <w:sz w:val="24"/>
          <w:szCs w:val="24"/>
        </w:rPr>
      </w:pPr>
    </w:p>
    <w:p>
      <w:pPr>
        <w:pStyle w:val="14"/>
        <w:tabs>
          <w:tab w:val="center" w:pos="4201"/>
          <w:tab w:val="right" w:leader="dot" w:pos="9298"/>
        </w:tabs>
        <w:spacing w:line="360" w:lineRule="auto"/>
        <w:ind w:firstLine="480" w:firstLineChars="200"/>
        <w:rPr>
          <w:rFonts w:hint="eastAsia" w:ascii="黑体" w:hAnsi="宋体" w:eastAsia="黑体"/>
          <w:sz w:val="24"/>
          <w:szCs w:val="24"/>
        </w:rPr>
      </w:pPr>
      <w:bookmarkStart w:id="0" w:name="_Toc19306"/>
      <w:bookmarkStart w:id="1" w:name="_Toc9539"/>
      <w:bookmarkStart w:id="2" w:name="_Toc19631"/>
      <w:bookmarkStart w:id="3" w:name="_Toc7728"/>
      <w:bookmarkStart w:id="4" w:name="_Toc12472"/>
      <w:r>
        <w:rPr>
          <w:rFonts w:hint="eastAsia"/>
          <w:sz w:val="24"/>
          <w:szCs w:val="24"/>
          <w:lang w:val="en-US" w:eastAsia="zh-CN"/>
        </w:rPr>
        <w:t xml:space="preserve">5.6 </w:t>
      </w:r>
      <w:r>
        <w:rPr>
          <w:rFonts w:hint="eastAsia" w:ascii="黑体" w:hAnsi="宋体" w:eastAsia="黑体"/>
          <w:sz w:val="24"/>
          <w:szCs w:val="24"/>
        </w:rPr>
        <w:t>组批</w:t>
      </w:r>
    </w:p>
    <w:p>
      <w:pPr>
        <w:pStyle w:val="14"/>
        <w:tabs>
          <w:tab w:val="center" w:pos="4201"/>
          <w:tab w:val="right" w:leader="dot" w:pos="9298"/>
        </w:tabs>
        <w:spacing w:line="360" w:lineRule="auto"/>
        <w:ind w:left="0" w:leftChars="0" w:firstLine="480" w:firstLineChars="200"/>
        <w:rPr>
          <w:rFonts w:hint="eastAsia"/>
          <w:sz w:val="24"/>
          <w:szCs w:val="24"/>
        </w:rPr>
      </w:pPr>
      <w:r>
        <w:rPr>
          <w:rFonts w:hint="eastAsia"/>
          <w:sz w:val="24"/>
          <w:szCs w:val="24"/>
        </w:rPr>
        <w:t>水杨羟肟酸应成批提交验收，产品应成批提交验收,每批应有同一生产批次组成。</w:t>
      </w:r>
    </w:p>
    <w:p>
      <w:pPr>
        <w:pStyle w:val="14"/>
        <w:tabs>
          <w:tab w:val="center" w:pos="4201"/>
          <w:tab w:val="right" w:leader="dot" w:pos="9298"/>
        </w:tabs>
        <w:spacing w:line="360" w:lineRule="auto"/>
        <w:ind w:firstLine="480" w:firstLineChars="200"/>
        <w:rPr>
          <w:rFonts w:hint="eastAsia" w:ascii="黑体" w:hAnsi="宋体" w:eastAsia="黑体"/>
          <w:sz w:val="24"/>
          <w:szCs w:val="24"/>
        </w:rPr>
      </w:pPr>
      <w:r>
        <w:rPr>
          <w:rFonts w:hint="eastAsia"/>
          <w:sz w:val="24"/>
          <w:szCs w:val="24"/>
          <w:lang w:val="en-US" w:eastAsia="zh-CN"/>
        </w:rPr>
        <w:t xml:space="preserve">5.7 </w:t>
      </w:r>
      <w:r>
        <w:rPr>
          <w:rFonts w:hint="eastAsia" w:ascii="黑体" w:hAnsi="宋体" w:eastAsia="黑体"/>
          <w:sz w:val="24"/>
          <w:szCs w:val="24"/>
        </w:rPr>
        <w:t>取样</w:t>
      </w:r>
      <w:r>
        <w:rPr>
          <w:rFonts w:hint="eastAsia" w:ascii="黑体" w:hAnsi="宋体" w:eastAsia="黑体"/>
          <w:sz w:val="24"/>
          <w:szCs w:val="24"/>
          <w:lang w:eastAsia="zh-CN"/>
        </w:rPr>
        <w:t>和制样</w:t>
      </w:r>
    </w:p>
    <w:p>
      <w:pPr>
        <w:pStyle w:val="14"/>
        <w:tabs>
          <w:tab w:val="center" w:pos="4201"/>
          <w:tab w:val="right" w:leader="dot" w:pos="9298"/>
        </w:tabs>
        <w:spacing w:line="360" w:lineRule="auto"/>
        <w:ind w:left="0" w:leftChars="0" w:firstLine="480" w:firstLineChars="200"/>
        <w:rPr>
          <w:rFonts w:hint="eastAsia"/>
          <w:sz w:val="24"/>
          <w:szCs w:val="24"/>
          <w:lang w:val="en-US" w:eastAsia="zh-CN"/>
        </w:rPr>
      </w:pPr>
      <w:r>
        <w:rPr>
          <w:rFonts w:hint="eastAsia"/>
          <w:sz w:val="24"/>
          <w:szCs w:val="24"/>
          <w:lang w:val="en-US" w:eastAsia="zh-CN"/>
        </w:rPr>
        <w:t>产品的取样方法按GB/T 6679的规定进行，产品采样单元数按GB/T 6678的规定进行。采样的总量应不少于600g。</w:t>
      </w:r>
    </w:p>
    <w:p>
      <w:pPr>
        <w:pStyle w:val="14"/>
        <w:tabs>
          <w:tab w:val="center" w:pos="4201"/>
          <w:tab w:val="right" w:leader="dot" w:pos="9298"/>
        </w:tabs>
        <w:spacing w:line="360" w:lineRule="auto"/>
        <w:ind w:left="0" w:leftChars="0" w:firstLine="480" w:firstLineChars="200"/>
        <w:rPr>
          <w:rFonts w:hint="eastAsia"/>
          <w:sz w:val="24"/>
          <w:szCs w:val="24"/>
          <w:lang w:val="en-US" w:eastAsia="zh-CN"/>
        </w:rPr>
      </w:pPr>
      <w:r>
        <w:rPr>
          <w:rFonts w:hint="eastAsia"/>
          <w:sz w:val="24"/>
          <w:szCs w:val="24"/>
          <w:lang w:val="en-US" w:eastAsia="zh-CN"/>
        </w:rPr>
        <w:t>将所取试样混合均匀，分成两份，每份试样量不少于300g，分别装入两个密封瓶中，做好标识。一瓶供检验用，另一瓶保存，以备查用，保存期限为30天。</w:t>
      </w:r>
    </w:p>
    <w:p>
      <w:pPr>
        <w:pStyle w:val="14"/>
        <w:tabs>
          <w:tab w:val="center" w:pos="4201"/>
          <w:tab w:val="right" w:leader="dot" w:pos="9298"/>
        </w:tabs>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5.8 检验原理：</w:t>
      </w:r>
    </w:p>
    <w:p>
      <w:pPr>
        <w:pStyle w:val="14"/>
        <w:tabs>
          <w:tab w:val="center" w:pos="4201"/>
          <w:tab w:val="right" w:leader="dot" w:pos="9298"/>
        </w:tabs>
        <w:spacing w:line="360" w:lineRule="auto"/>
        <w:rPr>
          <w:rFonts w:hint="eastAsia"/>
          <w:sz w:val="24"/>
          <w:szCs w:val="24"/>
          <w:lang w:val="en-US" w:eastAsia="zh-CN"/>
        </w:rPr>
      </w:pPr>
      <w:r>
        <w:rPr>
          <w:rFonts w:hint="eastAsia"/>
          <w:sz w:val="24"/>
          <w:szCs w:val="24"/>
          <w:lang w:val="en-US" w:eastAsia="zh-CN"/>
        </w:rPr>
        <w:t>水杨羟肟酸在催化剂存在下，加浓硫酸5mL，灼烧后生成硫酸铵。加氢氧化钠溶液后，硫酸铵与碱生成的氨由水蒸气带出，以定量的盐酸标准溶液吸收，再以氢氧化钠标准溶液回滴剩余的盐酸标准溶液，由此计算出水杨羟肟酸的含量。</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2"/>
        <w:rPr>
          <w:rFonts w:hint="default"/>
          <w:sz w:val="24"/>
          <w:szCs w:val="24"/>
          <w:lang w:val="en-US" w:eastAsia="zh-CN"/>
        </w:rPr>
      </w:pPr>
      <w:r>
        <w:rPr>
          <w:rFonts w:hint="eastAsia"/>
          <w:sz w:val="24"/>
          <w:szCs w:val="24"/>
          <w:lang w:val="en-US" w:eastAsia="zh-CN"/>
        </w:rPr>
        <w:t xml:space="preserve">六、 </w:t>
      </w:r>
      <w:r>
        <w:rPr>
          <w:rFonts w:hint="default"/>
          <w:sz w:val="24"/>
          <w:szCs w:val="24"/>
          <w:lang w:val="en-US" w:eastAsia="zh-CN"/>
        </w:rPr>
        <w:t>标准验证试验</w:t>
      </w:r>
      <w:bookmarkEnd w:id="0"/>
      <w:bookmarkEnd w:id="1"/>
      <w:bookmarkEnd w:id="2"/>
      <w:bookmarkEnd w:id="3"/>
      <w:bookmarkEnd w:id="4"/>
      <w:r>
        <w:rPr>
          <w:rFonts w:hint="eastAsia"/>
          <w:sz w:val="24"/>
          <w:szCs w:val="24"/>
          <w:lang w:val="en-US" w:eastAsia="zh-CN"/>
        </w:rPr>
        <w:t>报告分析</w:t>
      </w:r>
    </w:p>
    <w:p>
      <w:pPr>
        <w:pStyle w:val="3"/>
        <w:numPr>
          <w:ilvl w:val="0"/>
          <w:numId w:val="0"/>
        </w:numPr>
        <w:ind w:leftChars="0"/>
        <w:outlineLvl w:val="0"/>
        <w:rPr>
          <w:sz w:val="28"/>
        </w:rPr>
      </w:pPr>
      <w:r>
        <w:rPr>
          <w:rFonts w:hint="eastAsia"/>
          <w:sz w:val="28"/>
          <w:lang w:val="en-US" w:eastAsia="zh-CN"/>
        </w:rPr>
        <w:t>1、</w:t>
      </w:r>
      <w:r>
        <w:rPr>
          <w:rFonts w:hint="eastAsia"/>
          <w:sz w:val="28"/>
        </w:rPr>
        <w:t>试验内容</w:t>
      </w:r>
    </w:p>
    <w:p>
      <w:pPr>
        <w:pStyle w:val="15"/>
        <w:numPr>
          <w:ilvl w:val="0"/>
          <w:numId w:val="0"/>
        </w:numPr>
        <w:spacing w:line="384" w:lineRule="auto"/>
        <w:ind w:leftChars="0"/>
        <w:rPr>
          <w:sz w:val="24"/>
          <w:szCs w:val="24"/>
        </w:rPr>
      </w:pPr>
      <w:r>
        <w:rPr>
          <w:rFonts w:hint="eastAsia"/>
          <w:sz w:val="24"/>
          <w:szCs w:val="24"/>
          <w:lang w:val="en-US" w:eastAsia="zh-CN"/>
        </w:rPr>
        <w:t>1.1</w:t>
      </w:r>
      <w:r>
        <w:rPr>
          <w:rFonts w:hint="eastAsia"/>
          <w:sz w:val="24"/>
          <w:szCs w:val="24"/>
        </w:rPr>
        <w:t>考察</w:t>
      </w:r>
      <w:r>
        <w:rPr>
          <w:rFonts w:hint="eastAsia"/>
          <w:sz w:val="24"/>
          <w:szCs w:val="24"/>
          <w:lang w:val="en-US" w:eastAsia="zh-CN"/>
        </w:rPr>
        <w:t>在同一时空下，</w:t>
      </w:r>
      <w:r>
        <w:rPr>
          <w:rFonts w:hint="eastAsia"/>
          <w:sz w:val="24"/>
          <w:szCs w:val="24"/>
        </w:rPr>
        <w:t>行业标准《</w:t>
      </w:r>
      <w:r>
        <w:rPr>
          <w:rFonts w:hint="eastAsia"/>
          <w:sz w:val="24"/>
          <w:szCs w:val="24"/>
          <w:lang w:val="en-US" w:eastAsia="zh-CN"/>
        </w:rPr>
        <w:t>水杨羟肟酸</w:t>
      </w:r>
      <w:r>
        <w:rPr>
          <w:rFonts w:hint="eastAsia"/>
          <w:sz w:val="24"/>
          <w:szCs w:val="24"/>
        </w:rPr>
        <w:t>》在其规定</w:t>
      </w:r>
      <w:r>
        <w:rPr>
          <w:rFonts w:hint="eastAsia"/>
          <w:sz w:val="24"/>
          <w:szCs w:val="24"/>
          <w:lang w:val="en-US" w:eastAsia="zh-CN"/>
        </w:rPr>
        <w:t>的操作方法下的</w:t>
      </w:r>
      <w:r>
        <w:rPr>
          <w:rFonts w:hint="eastAsia"/>
          <w:sz w:val="24"/>
          <w:szCs w:val="24"/>
        </w:rPr>
        <w:t>检测误差。</w:t>
      </w:r>
    </w:p>
    <w:p>
      <w:pPr>
        <w:pStyle w:val="15"/>
        <w:numPr>
          <w:ilvl w:val="0"/>
          <w:numId w:val="0"/>
        </w:numPr>
        <w:spacing w:line="384" w:lineRule="auto"/>
        <w:ind w:leftChars="0"/>
        <w:rPr>
          <w:sz w:val="24"/>
          <w:szCs w:val="24"/>
        </w:rPr>
      </w:pPr>
      <w:r>
        <w:rPr>
          <w:rFonts w:hint="eastAsia"/>
          <w:sz w:val="24"/>
          <w:szCs w:val="24"/>
          <w:lang w:val="en-US" w:eastAsia="zh-CN"/>
        </w:rPr>
        <w:t>1.2</w:t>
      </w:r>
      <w:r>
        <w:rPr>
          <w:rFonts w:hint="eastAsia"/>
          <w:sz w:val="24"/>
          <w:szCs w:val="24"/>
        </w:rPr>
        <w:t>考察不同时空条件下，行业标准《</w:t>
      </w:r>
      <w:r>
        <w:rPr>
          <w:rFonts w:hint="eastAsia"/>
          <w:sz w:val="24"/>
          <w:szCs w:val="24"/>
          <w:lang w:val="en-US" w:eastAsia="zh-CN"/>
        </w:rPr>
        <w:t>水杨羟肟酸</w:t>
      </w:r>
      <w:r>
        <w:rPr>
          <w:rFonts w:hint="eastAsia"/>
          <w:sz w:val="24"/>
          <w:szCs w:val="24"/>
        </w:rPr>
        <w:t>》在其规定</w:t>
      </w:r>
      <w:r>
        <w:rPr>
          <w:rFonts w:hint="eastAsia"/>
          <w:sz w:val="24"/>
          <w:szCs w:val="24"/>
          <w:lang w:val="en-US" w:eastAsia="zh-CN"/>
        </w:rPr>
        <w:t>的操作方法下的</w:t>
      </w:r>
      <w:r>
        <w:rPr>
          <w:rFonts w:hint="eastAsia"/>
          <w:sz w:val="24"/>
          <w:szCs w:val="24"/>
        </w:rPr>
        <w:t>检测误差。</w:t>
      </w:r>
    </w:p>
    <w:p>
      <w:pPr>
        <w:pStyle w:val="3"/>
        <w:numPr>
          <w:ilvl w:val="0"/>
          <w:numId w:val="0"/>
        </w:numPr>
        <w:ind w:leftChars="0"/>
        <w:outlineLvl w:val="0"/>
        <w:rPr>
          <w:sz w:val="28"/>
        </w:rPr>
      </w:pPr>
      <w:r>
        <w:rPr>
          <w:rFonts w:hint="eastAsia"/>
          <w:sz w:val="28"/>
          <w:lang w:val="en-US" w:eastAsia="zh-CN"/>
        </w:rPr>
        <w:t>2.</w:t>
      </w:r>
      <w:r>
        <w:rPr>
          <w:rFonts w:hint="eastAsia"/>
          <w:sz w:val="28"/>
        </w:rPr>
        <w:t>试验方法</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2"/>
        <w:rPr>
          <w:rFonts w:hint="default"/>
          <w:sz w:val="24"/>
          <w:szCs w:val="24"/>
          <w:lang w:val="en-US" w:eastAsia="zh-CN"/>
        </w:rPr>
      </w:pPr>
      <w:r>
        <w:rPr>
          <w:rFonts w:hint="eastAsia"/>
          <w:sz w:val="24"/>
          <w:szCs w:val="24"/>
        </w:rPr>
        <w:t>参考行业标准《</w:t>
      </w:r>
      <w:r>
        <w:rPr>
          <w:rFonts w:hint="eastAsia"/>
          <w:sz w:val="24"/>
          <w:szCs w:val="24"/>
          <w:lang w:val="en-US" w:eastAsia="zh-CN"/>
        </w:rPr>
        <w:t>水杨羟肟酸</w:t>
      </w:r>
      <w:r>
        <w:rPr>
          <w:rFonts w:hint="eastAsia"/>
          <w:sz w:val="24"/>
          <w:szCs w:val="24"/>
        </w:rPr>
        <w:t>》</w:t>
      </w:r>
    </w:p>
    <w:p>
      <w:pPr>
        <w:pStyle w:val="14"/>
        <w:numPr>
          <w:ilvl w:val="0"/>
          <w:numId w:val="0"/>
        </w:numPr>
        <w:spacing w:before="156" w:beforeLines="50" w:after="156" w:afterLines="50" w:line="360" w:lineRule="auto"/>
        <w:ind w:leftChars="0"/>
        <w:rPr>
          <w:rFonts w:hint="eastAsia" w:ascii="Times New Roman" w:hAnsi="Times New Roman" w:eastAsia="宋体" w:cs="Times New Roman"/>
          <w:sz w:val="24"/>
          <w:szCs w:val="24"/>
          <w:lang w:val="en-US" w:eastAsia="zh-CN"/>
        </w:rPr>
      </w:pPr>
      <w:r>
        <w:rPr>
          <w:rFonts w:hint="eastAsia" w:ascii="Times New Roman" w:eastAsia="黑体"/>
          <w:sz w:val="24"/>
          <w:szCs w:val="24"/>
          <w:lang w:val="en-US" w:eastAsia="zh-CN"/>
        </w:rPr>
        <w:t>2.1</w:t>
      </w:r>
      <w:r>
        <w:rPr>
          <w:rFonts w:ascii="Times New Roman" w:eastAsia="黑体"/>
          <w:sz w:val="24"/>
          <w:szCs w:val="24"/>
        </w:rPr>
        <w:t>方法</w:t>
      </w:r>
      <w:r>
        <w:rPr>
          <w:rFonts w:hint="eastAsia" w:ascii="Times New Roman" w:eastAsia="黑体"/>
          <w:sz w:val="24"/>
          <w:szCs w:val="24"/>
        </w:rPr>
        <w:t>提要</w:t>
      </w:r>
    </w:p>
    <w:p>
      <w:pPr>
        <w:pStyle w:val="14"/>
        <w:numPr>
          <w:ilvl w:val="0"/>
          <w:numId w:val="0"/>
        </w:numPr>
        <w:spacing w:before="156" w:beforeLines="50" w:after="156" w:afterLines="50" w:line="360" w:lineRule="auto"/>
        <w:ind w:leftChars="0"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杨羟肟酸在催化剂存在下，加浓硫酸5mL，灼烧后生成硫酸铵。加氢氧化钠溶液后，硫酸铵与碱生成的氨由水蒸气带出，以定量的盐酸标准溶液吸收，再以氢氧化钠标准溶液回滴剩余的盐酸标准溶液，由此计算出水杨羟肟酸的含量。</w:t>
      </w:r>
    </w:p>
    <w:p>
      <w:pPr>
        <w:pStyle w:val="14"/>
        <w:numPr>
          <w:ilvl w:val="0"/>
          <w:numId w:val="0"/>
        </w:numPr>
        <w:spacing w:before="156" w:beforeLines="50" w:after="156" w:afterLines="50" w:line="360" w:lineRule="auto"/>
        <w:ind w:left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2.2仪器设备及材料</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本方法所用试剂和水，在没有注明其他要求时，均指分析纯试剂和GB/T 6682中规定的三级水或相当纯度的水。试验中所用的标准滴定溶液，在没有注明其他要求时，均按GB/T 601规定制备。</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2.2.1</w:t>
      </w:r>
      <w:r>
        <w:rPr>
          <w:rFonts w:hint="eastAsia" w:ascii="Times New Roman" w:hAnsi="Times New Roman" w:eastAsia="宋体" w:cs="Times New Roman"/>
          <w:sz w:val="24"/>
          <w:szCs w:val="24"/>
          <w:lang w:val="en-US" w:eastAsia="zh-CN"/>
        </w:rPr>
        <w:t xml:space="preserve"> 仪器设备：自动凯式定氮仪</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2.2</w:t>
      </w:r>
      <w:r>
        <w:rPr>
          <w:rFonts w:hint="eastAsia" w:ascii="Times New Roman" w:hAnsi="Times New Roman" w:eastAsia="宋体" w:cs="Times New Roman"/>
          <w:sz w:val="24"/>
          <w:szCs w:val="24"/>
          <w:lang w:val="en-US" w:eastAsia="zh-CN"/>
        </w:rPr>
        <w:t xml:space="preserve"> </w:t>
      </w:r>
      <w:r>
        <w:rPr>
          <w:rFonts w:hint="eastAsia" w:ascii="Times New Roman" w:cs="Times New Roman"/>
          <w:sz w:val="24"/>
          <w:szCs w:val="24"/>
          <w:lang w:val="en-US" w:eastAsia="zh-CN"/>
        </w:rPr>
        <w:t xml:space="preserve">.2 </w:t>
      </w:r>
      <w:r>
        <w:rPr>
          <w:rFonts w:hint="eastAsia" w:ascii="Times New Roman" w:hAnsi="Times New Roman" w:eastAsia="宋体" w:cs="Times New Roman"/>
          <w:sz w:val="24"/>
          <w:szCs w:val="24"/>
          <w:lang w:val="en-US" w:eastAsia="zh-CN"/>
        </w:rPr>
        <w:t>试剂与仪器</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lang w:val="en-US" w:eastAsia="zh-CN"/>
        </w:rPr>
        <w:t xml:space="preserve"> 催化剂</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1g硒粉，1g五水合硫酸铜及20g硫酸钾研成粉末，混合均匀。</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（2）</w:t>
      </w:r>
      <w:r>
        <w:rPr>
          <w:rFonts w:hint="eastAsia" w:ascii="Times New Roman" w:hAnsi="Times New Roman" w:eastAsia="宋体" w:cs="Times New Roman"/>
          <w:sz w:val="24"/>
          <w:szCs w:val="24"/>
          <w:lang w:val="en-US" w:eastAsia="zh-CN"/>
        </w:rPr>
        <w:t>盐酸标准滴定溶液［</w:t>
      </w:r>
      <w:r>
        <w:rPr>
          <w:rFonts w:hint="eastAsia" w:ascii="Times New Roman" w:hAnsi="Times New Roman" w:eastAsia="宋体" w:cs="Times New Roman"/>
          <w:sz w:val="24"/>
          <w:szCs w:val="24"/>
          <w:lang w:val="en-US" w:eastAsia="zh-CN"/>
        </w:rPr>
        <w:object>
          <v:shape id="_x0000_i1026" o:spt="75" type="#_x0000_t75" style="height:15.75pt;width:40.2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Equations" ShapeID="_x0000_i1026" DrawAspect="Content" ObjectID="_1468075726" r:id="rId8">
            <o:LockedField>false</o:LockedField>
          </o:OLEObject>
        </w:object>
      </w:r>
      <w:r>
        <w:rPr>
          <w:rFonts w:hint="eastAsia" w:ascii="Times New Roman" w:hAnsi="Times New Roman" w:eastAsia="宋体" w:cs="Times New Roman"/>
          <w:sz w:val="24"/>
          <w:szCs w:val="24"/>
          <w:lang w:val="en-US" w:eastAsia="zh-CN"/>
        </w:rPr>
        <w:t>=0.1mol/L］</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按GB/T 601的规定配制。</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（3）</w:t>
      </w:r>
      <w:r>
        <w:rPr>
          <w:rFonts w:hint="eastAsia" w:ascii="Times New Roman" w:hAnsi="Times New Roman" w:eastAsia="宋体" w:cs="Times New Roman"/>
          <w:sz w:val="24"/>
          <w:szCs w:val="24"/>
          <w:lang w:val="en-US" w:eastAsia="zh-CN"/>
        </w:rPr>
        <w:t xml:space="preserve"> 氢氧化钠标准滴定溶液［</w:t>
      </w:r>
      <w:r>
        <w:rPr>
          <w:rFonts w:hint="eastAsia" w:ascii="Times New Roman" w:hAnsi="Times New Roman" w:eastAsia="宋体" w:cs="Times New Roman"/>
          <w:sz w:val="24"/>
          <w:szCs w:val="24"/>
          <w:lang w:val="en-US" w:eastAsia="zh-CN"/>
        </w:rPr>
        <w:drawing>
          <wp:inline distT="0" distB="0" distL="114300" distR="114300">
            <wp:extent cx="610235" cy="200025"/>
            <wp:effectExtent l="0" t="0" r="1206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lum/>
                    </a:blip>
                    <a:stretch>
                      <a:fillRect/>
                    </a:stretch>
                  </pic:blipFill>
                  <pic:spPr>
                    <a:xfrm>
                      <a:off x="0" y="0"/>
                      <a:ext cx="610235" cy="200025"/>
                    </a:xfrm>
                    <a:prstGeom prst="rect">
                      <a:avLst/>
                    </a:prstGeom>
                    <a:noFill/>
                    <a:ln>
                      <a:noFill/>
                    </a:ln>
                  </pic:spPr>
                </pic:pic>
              </a:graphicData>
            </a:graphic>
          </wp:inline>
        </w:drawing>
      </w:r>
      <w:r>
        <w:rPr>
          <w:rFonts w:hint="eastAsia" w:ascii="Times New Roman" w:hAnsi="Times New Roman" w:eastAsia="宋体" w:cs="Times New Roman"/>
          <w:sz w:val="24"/>
          <w:szCs w:val="24"/>
          <w:lang w:val="en-US" w:eastAsia="zh-CN"/>
        </w:rPr>
        <w:t>=0.1mol/L］</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按GB/T 601的规定配制。</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（4）</w:t>
      </w:r>
      <w:r>
        <w:rPr>
          <w:rFonts w:hint="eastAsia" w:ascii="Times New Roman" w:hAnsi="Times New Roman" w:eastAsia="宋体" w:cs="Times New Roman"/>
          <w:sz w:val="24"/>
          <w:szCs w:val="24"/>
          <w:lang w:val="en-US" w:eastAsia="zh-CN"/>
        </w:rPr>
        <w:t xml:space="preserve"> 氢氧化钠溶液（40%）。</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称取40g氢氧化钠加入60g蒸馏水中，摇匀，使其充分溶解。</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（5）</w:t>
      </w:r>
      <w:r>
        <w:rPr>
          <w:rFonts w:hint="eastAsia" w:ascii="Times New Roman" w:hAnsi="Times New Roman" w:eastAsia="宋体" w:cs="Times New Roman"/>
          <w:sz w:val="24"/>
          <w:szCs w:val="24"/>
          <w:lang w:val="en-US" w:eastAsia="zh-CN"/>
        </w:rPr>
        <w:t xml:space="preserve">  浓硫酸（ρ=l.84 g/mL）。</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cs="Times New Roman"/>
          <w:sz w:val="24"/>
          <w:szCs w:val="24"/>
          <w:lang w:val="en-US" w:eastAsia="zh-CN"/>
        </w:rPr>
        <w:t>（6）</w:t>
      </w:r>
      <w:r>
        <w:rPr>
          <w:rFonts w:hint="eastAsia" w:ascii="Times New Roman" w:hAnsi="Times New Roman" w:eastAsia="宋体" w:cs="Times New Roman"/>
          <w:sz w:val="24"/>
          <w:szCs w:val="24"/>
          <w:lang w:val="en-US" w:eastAsia="zh-CN"/>
        </w:rPr>
        <w:t xml:space="preserve"> 甲基红指示剂（1g/L）。</w:t>
      </w:r>
    </w:p>
    <w:p>
      <w:pPr>
        <w:pStyle w:val="14"/>
        <w:numPr>
          <w:ilvl w:val="0"/>
          <w:numId w:val="0"/>
        </w:numPr>
        <w:spacing w:before="156" w:beforeLines="50" w:after="156" w:afterLines="50"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称取0.1g甲基红，溶于乙醇（95%），用乙醇（95%）稀释至100mL。</w:t>
      </w:r>
    </w:p>
    <w:p>
      <w:pPr>
        <w:pStyle w:val="14"/>
        <w:pageBreakBefore w:val="0"/>
        <w:widowControl w:val="0"/>
        <w:numPr>
          <w:ilvl w:val="0"/>
          <w:numId w:val="0"/>
        </w:numPr>
        <w:kinsoku/>
        <w:wordWrap/>
        <w:topLinePunct w:val="0"/>
        <w:bidi w:val="0"/>
        <w:snapToGrid/>
        <w:spacing w:before="156" w:beforeLines="50" w:after="156" w:afterLines="50" w:line="360" w:lineRule="auto"/>
        <w:ind w:leftChars="0"/>
        <w:rPr>
          <w:rFonts w:hint="eastAsia" w:ascii="黑体" w:hAnsi="黑体" w:eastAsia="黑体" w:cs="黑体"/>
          <w:b w:val="0"/>
          <w:bCs/>
          <w:sz w:val="24"/>
          <w:szCs w:val="24"/>
          <w:lang w:val="en-US" w:eastAsia="zh-CN"/>
        </w:rPr>
      </w:pPr>
      <w:r>
        <w:rPr>
          <w:rFonts w:hint="eastAsia" w:ascii="黑体" w:hAnsi="黑体" w:eastAsia="黑体" w:cs="黑体"/>
          <w:sz w:val="24"/>
          <w:szCs w:val="24"/>
          <w:lang w:val="en-US" w:eastAsia="zh-CN"/>
        </w:rPr>
        <w:t>3.分析步骤</w:t>
      </w:r>
    </w:p>
    <w:p>
      <w:pPr>
        <w:pStyle w:val="14"/>
        <w:pageBreakBefore w:val="0"/>
        <w:widowControl w:val="0"/>
        <w:numPr>
          <w:ilvl w:val="0"/>
          <w:numId w:val="2"/>
        </w:numPr>
        <w:kinsoku/>
        <w:wordWrap/>
        <w:topLinePunct w:val="0"/>
        <w:bidi w:val="0"/>
        <w:snapToGrid/>
        <w:spacing w:before="156" w:beforeLines="50" w:after="156" w:afterLines="50" w:line="360" w:lineRule="auto"/>
        <w:ind w:leftChars="0"/>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准确称取0.2g（精确至0.0001g,用 m 表示）的样品于消化管中，加入0.5g催化剂（A.2.3.1），5mL浓硫酸（A.2.3.5）使其充分溶解，放在电炉上加热，加热沸腾至溶液从黑色转为亮绿色后再继续加热 30min 后冷却至室温。</w:t>
      </w:r>
    </w:p>
    <w:p>
      <w:pPr>
        <w:pStyle w:val="14"/>
        <w:pageBreakBefore w:val="0"/>
        <w:widowControl w:val="0"/>
        <w:numPr>
          <w:ilvl w:val="0"/>
          <w:numId w:val="2"/>
        </w:numPr>
        <w:kinsoku/>
        <w:wordWrap/>
        <w:topLinePunct w:val="0"/>
        <w:bidi w:val="0"/>
        <w:snapToGrid/>
        <w:spacing w:before="156" w:beforeLines="50" w:after="156" w:afterLines="50" w:line="360" w:lineRule="auto"/>
        <w:ind w:left="0" w:leftChars="0" w:firstLine="480" w:firstLineChars="200"/>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将自动凯式定氮仪开机后用10ml氢氧化钠溶液（A. 2.3.4）空蒸两个空白样品，清洗管路。在250ml锥形瓶中加入0.1mol/L盐酸标准滴定溶液（A. 2.3.2）20ml，加入50ml水，吸收液管插入锥形瓶底部，加入氢氧化钠溶液（A. 2.3.4）颜色变为褐色，再继续蒸馏9min后，用PH试纸检测吸收液管末端为中性，用少量水冲洗吸收液管末端，将锥形瓶取出，加2～3滴甲基红指示剂（A. 2.3.6），用0.1mol/L氢氧化钠标准滴定溶液（A. 2.3.3）滴定至溶液由粉红色变为亮黄色即为终点,记录所用氢氧化钠标准滴定溶液的体积。</w:t>
      </w:r>
      <w:bookmarkStart w:id="12" w:name="_GoBack"/>
      <w:bookmarkEnd w:id="12"/>
    </w:p>
    <w:p>
      <w:pPr>
        <w:pStyle w:val="14"/>
        <w:pageBreakBefore w:val="0"/>
        <w:widowControl w:val="0"/>
        <w:numPr>
          <w:ilvl w:val="0"/>
          <w:numId w:val="0"/>
        </w:numPr>
        <w:kinsoku/>
        <w:wordWrap/>
        <w:topLinePunct w:val="0"/>
        <w:bidi w:val="0"/>
        <w:snapToGrid/>
        <w:spacing w:before="156" w:beforeLines="50" w:after="156" w:afterLines="50" w:line="360" w:lineRule="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4. 试验数据处理</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 xml:space="preserve">           </w:t>
      </w:r>
      <w:r>
        <w:rPr>
          <w:rFonts w:hint="eastAsia" w:ascii="Times New Roman" w:hAnsi="Times New Roman" w:cs="Times New Roman"/>
          <w:b w:val="0"/>
          <w:bCs/>
          <w:sz w:val="24"/>
          <w:szCs w:val="24"/>
          <w:lang w:val="en-US" w:eastAsia="zh-CN"/>
        </w:rPr>
        <w:object>
          <v:shape id="_x0000_i1027" o:spt="75" type="#_x0000_t75" style="height:30.8pt;width:274.15pt;" o:ole="t" filled="f" o:preferrelative="t" stroked="f" coordsize="21600,21600">
            <v:path/>
            <v:fill on="f" focussize="0,0"/>
            <v:stroke on="f"/>
            <v:imagedata r:id="rId12" blacklevel="0f" o:title=""/>
            <o:lock v:ext="edit" aspectratio="t"/>
            <w10:wrap type="none"/>
            <w10:anchorlock/>
          </v:shape>
          <o:OLEObject Type="Embed" ProgID="Equations" ShapeID="_x0000_i1027" DrawAspect="Content" ObjectID="_1468075727" r:id="rId11">
            <o:LockedField>false</o:LockedField>
          </o:OLEObject>
        </w:object>
      </w:r>
      <w:r>
        <w:rPr>
          <w:rFonts w:hint="eastAsia" w:ascii="Times New Roman" w:hAnsi="Times New Roman" w:cs="Times New Roman"/>
          <w:b w:val="0"/>
          <w:bCs/>
          <w:sz w:val="24"/>
          <w:szCs w:val="24"/>
          <w:lang w:val="en-US" w:eastAsia="zh-CN"/>
        </w:rPr>
        <w:t xml:space="preserve">  ……………………A.1</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式中：</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0.153—每毫摩尔水杨羟肟酸的质量，单位为克每毫摩尔（g/mmol）；</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object>
          <v:shape id="_x0000_i1028" o:spt="75" type="#_x0000_t75" style="height:15.05pt;width:22.05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Equations" ShapeID="_x0000_i1028" DrawAspect="Content" ObjectID="_1468075728" r:id="rId13">
            <o:LockedField>false</o:LockedField>
          </o:OLEObject>
        </w:object>
      </w:r>
      <w:r>
        <w:rPr>
          <w:rFonts w:hint="eastAsia" w:ascii="Times New Roman" w:hAnsi="Times New Roman" w:cs="Times New Roman"/>
          <w:b w:val="0"/>
          <w:bCs/>
          <w:sz w:val="24"/>
          <w:szCs w:val="24"/>
          <w:lang w:val="en-US" w:eastAsia="zh-CN"/>
        </w:rPr>
        <w:t>—滴定用盐酸标准滴定溶液的摩尔浓度，单位为摩尔每升（mol/L）；</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object>
          <v:shape id="_x0000_i1029" o:spt="75" type="#_x0000_t75" style="height:15.05pt;width:23.1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Equations" ShapeID="_x0000_i1029" DrawAspect="Content" ObjectID="_1468075729" r:id="rId15">
            <o:LockedField>false</o:LockedField>
          </o:OLEObject>
        </w:object>
      </w:r>
      <w:r>
        <w:rPr>
          <w:rFonts w:hint="eastAsia" w:ascii="Times New Roman" w:hAnsi="Times New Roman" w:cs="Times New Roman"/>
          <w:b w:val="0"/>
          <w:bCs/>
          <w:sz w:val="24"/>
          <w:szCs w:val="24"/>
          <w:lang w:val="en-US" w:eastAsia="zh-CN"/>
        </w:rPr>
        <w:t>—滴定用盐酸标准滴定溶液的用量，单位为毫升（mL）；</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object>
          <v:shape id="_x0000_i1030" o:spt="75" type="#_x0000_t75" style="height:15.05pt;width:27.95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Equations" ShapeID="_x0000_i1030" DrawAspect="Content" ObjectID="_1468075730" r:id="rId17">
            <o:LockedField>false</o:LockedField>
          </o:OLEObject>
        </w:object>
      </w:r>
      <w:r>
        <w:rPr>
          <w:rFonts w:hint="eastAsia" w:ascii="Times New Roman" w:hAnsi="Times New Roman" w:cs="Times New Roman"/>
          <w:b w:val="0"/>
          <w:bCs/>
          <w:sz w:val="24"/>
          <w:szCs w:val="24"/>
          <w:lang w:val="en-US" w:eastAsia="zh-CN"/>
        </w:rPr>
        <w:t>—滴定用氢氧化钠标准滴定溶液的摩尔浓度，单位为摩尔每升（mol/L）；</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object>
          <v:shape id="_x0000_i1031" o:spt="75" type="#_x0000_t75" style="height:15.05pt;width:29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Equations" ShapeID="_x0000_i1031" DrawAspect="Content" ObjectID="_1468075731" r:id="rId19">
            <o:LockedField>false</o:LockedField>
          </o:OLEObject>
        </w:object>
      </w:r>
      <w:r>
        <w:rPr>
          <w:rFonts w:hint="eastAsia" w:ascii="Times New Roman" w:hAnsi="Times New Roman" w:cs="Times New Roman"/>
          <w:b w:val="0"/>
          <w:bCs/>
          <w:sz w:val="24"/>
          <w:szCs w:val="24"/>
          <w:lang w:val="en-US" w:eastAsia="zh-CN"/>
        </w:rPr>
        <w:t>—滴定用氢氧化钠标准滴定溶液的用量，单位为毫升（mL）；</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object>
          <v:shape id="_x0000_i1032" o:spt="75" type="#_x0000_t75" style="height:10.2pt;width:10.75pt;" o:ole="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Equations" ShapeID="_x0000_i1032" DrawAspect="Content" ObjectID="_1468075732" r:id="rId21">
            <o:LockedField>false</o:LockedField>
          </o:OLEObject>
        </w:object>
      </w:r>
      <w:r>
        <w:rPr>
          <w:rFonts w:hint="eastAsia" w:ascii="Times New Roman" w:hAnsi="Times New Roman" w:cs="Times New Roman"/>
          <w:b w:val="0"/>
          <w:bCs/>
          <w:sz w:val="24"/>
          <w:szCs w:val="24"/>
          <w:lang w:val="en-US" w:eastAsia="zh-CN"/>
        </w:rPr>
        <w:t>—试样的质量，单位为克(g)；</w:t>
      </w:r>
    </w:p>
    <w:p>
      <w:pPr>
        <w:pStyle w:val="2"/>
        <w:spacing w:line="360" w:lineRule="auto"/>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分析结果保留小数点后两位。</w:t>
      </w:r>
    </w:p>
    <w:p>
      <w:pPr>
        <w:pStyle w:val="3"/>
        <w:numPr>
          <w:ilvl w:val="0"/>
          <w:numId w:val="0"/>
        </w:numPr>
        <w:spacing w:line="360" w:lineRule="auto"/>
        <w:ind w:leftChars="0"/>
        <w:outlineLvl w:val="0"/>
        <w:rPr>
          <w:sz w:val="28"/>
        </w:rPr>
      </w:pPr>
      <w:r>
        <w:rPr>
          <w:rFonts w:hint="eastAsia"/>
          <w:sz w:val="28"/>
          <w:lang w:val="en-US" w:eastAsia="zh-CN"/>
        </w:rPr>
        <w:t>5.</w:t>
      </w:r>
      <w:r>
        <w:rPr>
          <w:rFonts w:hint="eastAsia"/>
          <w:sz w:val="28"/>
        </w:rPr>
        <w:t>试验结果</w:t>
      </w:r>
    </w:p>
    <w:p>
      <w:pPr>
        <w:numPr>
          <w:ilvl w:val="0"/>
          <w:numId w:val="0"/>
        </w:numPr>
        <w:spacing w:line="360" w:lineRule="auto"/>
        <w:rPr>
          <w:rFonts w:hint="eastAsia"/>
          <w:sz w:val="24"/>
          <w:szCs w:val="24"/>
          <w:lang w:val="en-US" w:eastAsia="zh-CN"/>
        </w:rPr>
      </w:pPr>
      <w:r>
        <w:rPr>
          <w:rFonts w:hint="eastAsia"/>
          <w:sz w:val="24"/>
          <w:szCs w:val="24"/>
          <w:lang w:val="en-US" w:eastAsia="zh-CN"/>
        </w:rPr>
        <w:t>5.1同一实验室试验</w:t>
      </w:r>
    </w:p>
    <w:p>
      <w:pPr>
        <w:numPr>
          <w:ilvl w:val="0"/>
          <w:numId w:val="0"/>
        </w:numPr>
        <w:spacing w:line="360" w:lineRule="auto"/>
        <w:ind w:firstLine="480" w:firstLineChars="200"/>
        <w:rPr>
          <w:rFonts w:hint="eastAsia"/>
          <w:sz w:val="24"/>
          <w:szCs w:val="24"/>
        </w:rPr>
      </w:pPr>
      <w:r>
        <w:rPr>
          <w:rFonts w:hint="eastAsia"/>
          <w:sz w:val="24"/>
          <w:szCs w:val="24"/>
        </w:rPr>
        <w:t>对</w:t>
      </w:r>
      <w:r>
        <w:rPr>
          <w:rFonts w:hint="eastAsia"/>
          <w:sz w:val="24"/>
          <w:szCs w:val="24"/>
          <w:lang w:val="en-US" w:eastAsia="zh-CN"/>
        </w:rPr>
        <w:t>水杨羟肟酸</w:t>
      </w:r>
      <w:r>
        <w:rPr>
          <w:rFonts w:hint="eastAsia"/>
          <w:sz w:val="24"/>
          <w:szCs w:val="24"/>
        </w:rPr>
        <w:t>进行测定，</w:t>
      </w:r>
      <w:r>
        <w:rPr>
          <w:rFonts w:hint="eastAsia"/>
          <w:sz w:val="24"/>
          <w:szCs w:val="24"/>
          <w:lang w:val="en-US" w:eastAsia="zh-CN"/>
        </w:rPr>
        <w:t>同一操作人员在同一操作条件下对同一样品</w:t>
      </w:r>
      <w:r>
        <w:rPr>
          <w:rFonts w:hint="eastAsia"/>
          <w:sz w:val="24"/>
          <w:szCs w:val="24"/>
        </w:rPr>
        <w:t>的分别进行</w:t>
      </w:r>
      <w:r>
        <w:rPr>
          <w:rFonts w:hint="eastAsia"/>
          <w:sz w:val="24"/>
          <w:szCs w:val="24"/>
          <w:lang w:val="en-US" w:eastAsia="zh-CN"/>
        </w:rPr>
        <w:t>30</w:t>
      </w:r>
      <w:r>
        <w:rPr>
          <w:rFonts w:hint="eastAsia"/>
          <w:sz w:val="24"/>
          <w:szCs w:val="24"/>
        </w:rPr>
        <w:t>次</w:t>
      </w:r>
      <w:r>
        <w:rPr>
          <w:rFonts w:hint="eastAsia"/>
          <w:sz w:val="24"/>
          <w:szCs w:val="24"/>
          <w:lang w:val="en-US" w:eastAsia="zh-CN"/>
        </w:rPr>
        <w:t>检测试验</w:t>
      </w:r>
      <w:r>
        <w:rPr>
          <w:rFonts w:hint="eastAsia"/>
          <w:sz w:val="24"/>
          <w:szCs w:val="24"/>
        </w:rPr>
        <w:t>，得到结果如下：</w:t>
      </w:r>
    </w:p>
    <w:p>
      <w:pPr>
        <w:pStyle w:val="2"/>
        <w:spacing w:line="360" w:lineRule="auto"/>
        <w:rPr>
          <w:rFonts w:hint="default"/>
          <w:b w:val="0"/>
          <w:bCs/>
          <w:sz w:val="24"/>
          <w:szCs w:val="24"/>
          <w:lang w:val="en-US"/>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b w:val="0"/>
          <w:bCs/>
          <w:sz w:val="24"/>
          <w:szCs w:val="24"/>
          <w:lang w:val="en-US" w:eastAsia="zh-CN"/>
        </w:rPr>
        <w:t>实验结果如下：</w:t>
      </w:r>
    </w:p>
    <w:p>
      <w:pPr>
        <w:numPr>
          <w:ilvl w:val="0"/>
          <w:numId w:val="0"/>
        </w:numPr>
        <w:spacing w:line="360" w:lineRule="auto"/>
        <w:jc w:val="left"/>
        <w:rPr>
          <w:rFonts w:hint="eastAsia" w:ascii="宋体" w:hAnsi="宋体" w:cs="宋体"/>
          <w:bCs/>
          <w:sz w:val="24"/>
          <w:szCs w:val="24"/>
          <w:lang w:val="en-US" w:eastAsia="zh-CN"/>
        </w:rPr>
      </w:pPr>
      <w:r>
        <w:rPr>
          <w:rFonts w:hint="eastAsia" w:ascii="宋体" w:hAnsi="宋体" w:cs="宋体"/>
          <w:bCs/>
          <w:sz w:val="24"/>
          <w:szCs w:val="24"/>
          <w:lang w:val="en-US" w:eastAsia="zh-CN"/>
        </w:rPr>
        <w:t>表一：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8" w:type="dxa"/>
            <w:noWrap w:val="0"/>
            <w:vAlign w:val="center"/>
          </w:tcPr>
          <w:p>
            <w:pPr>
              <w:pStyle w:val="14"/>
              <w:widowControl w:val="0"/>
              <w:spacing w:line="360" w:lineRule="auto"/>
              <w:ind w:firstLine="0" w:firstLineChars="0"/>
              <w:jc w:val="center"/>
              <w:rPr>
                <w:rFonts w:hint="eastAsia" w:hAnsi="宋体" w:eastAsia="宋体"/>
                <w:sz w:val="24"/>
                <w:szCs w:val="24"/>
                <w:lang w:eastAsia="zh-CN"/>
              </w:rPr>
            </w:pPr>
            <w:r>
              <w:rPr>
                <w:rFonts w:hint="eastAsia" w:hAnsi="宋体"/>
                <w:sz w:val="24"/>
                <w:szCs w:val="24"/>
                <w:lang w:eastAsia="zh-CN"/>
              </w:rPr>
              <w:t>实验编号</w:t>
            </w:r>
          </w:p>
        </w:tc>
        <w:tc>
          <w:tcPr>
            <w:tcW w:w="6091" w:type="dxa"/>
            <w:noWrap w:val="0"/>
            <w:vAlign w:val="center"/>
          </w:tcPr>
          <w:p>
            <w:pPr>
              <w:pStyle w:val="14"/>
              <w:widowControl w:val="0"/>
              <w:spacing w:line="360" w:lineRule="auto"/>
              <w:ind w:firstLine="0" w:firstLineChars="0"/>
              <w:jc w:val="center"/>
              <w:rPr>
                <w:rFonts w:hint="eastAsia" w:hAnsi="宋体"/>
                <w:sz w:val="24"/>
                <w:szCs w:val="24"/>
              </w:rPr>
            </w:pPr>
            <w:r>
              <w:rPr>
                <w:rFonts w:hint="eastAsia" w:hAnsi="宋体"/>
                <w:sz w:val="24"/>
                <w:szCs w:val="24"/>
                <w:lang w:val="en-US" w:eastAsia="zh-CN"/>
              </w:rPr>
              <w:t>水杨羟肟酸含量</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tabs>
                <w:tab w:val="left" w:pos="0"/>
              </w:tabs>
              <w:autoSpaceDE w:val="0"/>
              <w:autoSpaceDN w:val="0"/>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hAnsi="宋体" w:eastAsia="宋体"/>
                <w:sz w:val="24"/>
                <w:szCs w:val="24"/>
                <w:lang w:val="en-US" w:eastAsia="zh-CN"/>
              </w:rPr>
            </w:pPr>
            <w:r>
              <w:rPr>
                <w:rFonts w:hint="eastAsia" w:ascii="宋体" w:hAnsi="宋体" w:eastAsia="宋体" w:cs="宋体"/>
                <w:i w:val="0"/>
                <w:color w:val="000000"/>
                <w:kern w:val="0"/>
                <w:sz w:val="24"/>
                <w:szCs w:val="24"/>
                <w:u w:val="none"/>
                <w:lang w:val="en-US" w:eastAsia="zh-CN" w:bidi="ar"/>
              </w:rPr>
              <w:t>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hAnsi="宋体" w:eastAsia="宋体"/>
                <w:sz w:val="24"/>
                <w:szCs w:val="24"/>
                <w:lang w:val="en-US" w:eastAsia="zh-CN"/>
              </w:rPr>
            </w:pPr>
            <w:r>
              <w:rPr>
                <w:rFonts w:hint="eastAsia" w:ascii="宋体" w:hAnsi="宋体" w:eastAsia="宋体" w:cs="宋体"/>
                <w:i w:val="0"/>
                <w:color w:val="000000"/>
                <w:kern w:val="0"/>
                <w:sz w:val="24"/>
                <w:szCs w:val="24"/>
                <w:u w:val="none"/>
                <w:lang w:val="en-US" w:eastAsia="zh-CN" w:bidi="ar"/>
              </w:rPr>
              <w:t>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tabs>
                <w:tab w:val="left" w:pos="0"/>
              </w:tabs>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hAnsi="宋体" w:eastAsia="宋体"/>
                <w:sz w:val="24"/>
                <w:szCs w:val="24"/>
                <w:lang w:val="en-US" w:eastAsia="zh-CN"/>
              </w:rPr>
            </w:pPr>
            <w:r>
              <w:rPr>
                <w:rFonts w:hint="eastAsia" w:ascii="宋体" w:hAnsi="宋体" w:eastAsia="宋体" w:cs="宋体"/>
                <w:i w:val="0"/>
                <w:color w:val="000000"/>
                <w:kern w:val="0"/>
                <w:sz w:val="24"/>
                <w:szCs w:val="24"/>
                <w:u w:val="none"/>
                <w:lang w:val="en-US" w:eastAsia="zh-CN" w:bidi="ar"/>
              </w:rPr>
              <w:t>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3"/>
              </w:numPr>
              <w:spacing w:line="360" w:lineRule="auto"/>
              <w:ind w:left="-397" w:leftChars="0" w:firstLine="397" w:firstLineChars="0"/>
              <w:jc w:val="center"/>
              <w:rPr>
                <w:rFonts w:hint="eastAsia" w:hAnsi="宋体"/>
                <w:sz w:val="24"/>
                <w:szCs w:val="24"/>
              </w:rPr>
            </w:pPr>
          </w:p>
        </w:tc>
        <w:tc>
          <w:tcPr>
            <w:tcW w:w="6091" w:type="dxa"/>
            <w:noWrap w:val="0"/>
            <w:vAlign w:val="center"/>
          </w:tcPr>
          <w:p>
            <w:pPr>
              <w:keepNext w:val="0"/>
              <w:keepLines w:val="0"/>
              <w:widowControl/>
              <w:suppressLineNumbers w:val="0"/>
              <w:spacing w:line="360" w:lineRule="auto"/>
              <w:jc w:val="center"/>
              <w:textAlignment w:val="center"/>
              <w:rPr>
                <w:rFonts w:hint="eastAsia" w:hAnsi="宋体" w:eastAsia="宋体"/>
                <w:sz w:val="24"/>
                <w:szCs w:val="24"/>
                <w:lang w:val="en-US" w:eastAsia="zh-CN"/>
              </w:rPr>
            </w:pPr>
            <w:r>
              <w:rPr>
                <w:rFonts w:hint="eastAsia" w:ascii="宋体" w:hAnsi="宋体" w:eastAsia="宋体" w:cs="宋体"/>
                <w:i w:val="0"/>
                <w:color w:val="000000"/>
                <w:kern w:val="0"/>
                <w:sz w:val="24"/>
                <w:szCs w:val="24"/>
                <w:u w:val="none"/>
                <w:lang w:val="en-US" w:eastAsia="zh-CN" w:bidi="ar"/>
              </w:rPr>
              <w:t>60.54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60.8</w:t>
            </w:r>
            <w:r>
              <w:rPr>
                <w:rFonts w:hint="eastAsia" w:ascii="宋体" w:hAnsi="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4"/>
              </w:numPr>
              <w:spacing w:line="360" w:lineRule="auto"/>
              <w:ind w:left="664" w:leftChars="0" w:hanging="454" w:firstLineChars="0"/>
              <w:jc w:val="center"/>
              <w:rPr>
                <w:rFonts w:hint="eastAsia" w:ascii="宋体" w:hAnsi="宋体" w:eastAsia="宋体" w:cs="Times New Roman"/>
                <w:sz w:val="24"/>
                <w:szCs w:val="24"/>
                <w:lang w:val="en-US" w:eastAsia="zh-CN" w:bidi="ar-SA"/>
              </w:rPr>
            </w:pPr>
          </w:p>
        </w:tc>
        <w:tc>
          <w:tcPr>
            <w:tcW w:w="6091"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0"/>
              </w:numPr>
              <w:tabs>
                <w:tab w:val="left" w:pos="0"/>
              </w:tabs>
              <w:spacing w:line="360" w:lineRule="auto"/>
              <w:ind w:left="0" w:leftChars="0" w:firstLine="0" w:firstLineChars="0"/>
              <w:jc w:val="center"/>
              <w:rPr>
                <w:rFonts w:hint="eastAsia" w:hAnsi="宋体"/>
                <w:sz w:val="24"/>
                <w:szCs w:val="24"/>
              </w:rPr>
            </w:pPr>
            <w:r>
              <w:rPr>
                <w:rFonts w:hint="eastAsia" w:hAnsi="宋体"/>
                <w:position w:val="-4"/>
                <w:sz w:val="24"/>
                <w:szCs w:val="24"/>
              </w:rPr>
              <w:object>
                <v:shape id="_x0000_i1033" o:spt="75" type="#_x0000_t75" style="height:15pt;width:13.95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p>
        </w:tc>
        <w:tc>
          <w:tcPr>
            <w:tcW w:w="6091" w:type="dxa"/>
            <w:noWrap w:val="0"/>
            <w:vAlign w:val="center"/>
          </w:tcPr>
          <w:p>
            <w:pPr>
              <w:pStyle w:val="14"/>
              <w:widowControl w:val="0"/>
              <w:spacing w:line="360" w:lineRule="auto"/>
              <w:ind w:firstLine="0" w:firstLineChars="0"/>
              <w:jc w:val="center"/>
              <w:rPr>
                <w:rFonts w:hint="default" w:hAnsi="宋体" w:eastAsia="宋体"/>
                <w:sz w:val="24"/>
                <w:szCs w:val="24"/>
                <w:lang w:val="en-US" w:eastAsia="zh-CN"/>
              </w:rPr>
            </w:pPr>
            <w:r>
              <w:rPr>
                <w:rFonts w:hint="eastAsia" w:hAnsi="宋体"/>
                <w:sz w:val="24"/>
                <w:szCs w:val="24"/>
                <w:lang w:val="en-US" w:eastAsia="zh-CN"/>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28" w:type="dxa"/>
            <w:noWrap w:val="0"/>
            <w:vAlign w:val="center"/>
          </w:tcPr>
          <w:p>
            <w:pPr>
              <w:pStyle w:val="14"/>
              <w:widowControl w:val="0"/>
              <w:numPr>
                <w:ilvl w:val="0"/>
                <w:numId w:val="0"/>
              </w:numPr>
              <w:tabs>
                <w:tab w:val="left" w:pos="0"/>
              </w:tabs>
              <w:spacing w:line="360" w:lineRule="auto"/>
              <w:jc w:val="center"/>
              <w:rPr>
                <w:rFonts w:hint="default" w:hAnsi="宋体"/>
                <w:sz w:val="24"/>
                <w:szCs w:val="24"/>
                <w:lang w:val="en-US" w:eastAsia="zh-CN"/>
              </w:rPr>
            </w:pPr>
            <w:r>
              <w:rPr>
                <w:rFonts w:hint="eastAsia" w:hAnsi="宋体"/>
                <w:sz w:val="24"/>
                <w:szCs w:val="24"/>
                <w:lang w:val="en-US" w:eastAsia="zh-CN"/>
              </w:rPr>
              <w:t>SD（方差）</w:t>
            </w:r>
          </w:p>
        </w:tc>
        <w:tc>
          <w:tcPr>
            <w:tcW w:w="6091"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Times New Roman"/>
                <w:kern w:val="0"/>
                <w:sz w:val="24"/>
                <w:szCs w:val="24"/>
                <w:lang w:val="en-US" w:eastAsia="zh-CN" w:bidi="ar-SA"/>
              </w:rPr>
              <w:t>0.2</w:t>
            </w:r>
            <w:r>
              <w:rPr>
                <w:rFonts w:hint="eastAsia" w:ascii="宋体" w:hAnsi="宋体" w:cs="Times New Roman"/>
                <w:kern w:val="0"/>
                <w:sz w:val="24"/>
                <w:szCs w:val="24"/>
                <w:lang w:val="en-US" w:eastAsia="zh-CN" w:bidi="ar-S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28" w:type="dxa"/>
            <w:noWrap w:val="0"/>
            <w:vAlign w:val="center"/>
          </w:tcPr>
          <w:p>
            <w:pPr>
              <w:pStyle w:val="14"/>
              <w:widowControl w:val="0"/>
              <w:numPr>
                <w:ilvl w:val="0"/>
                <w:numId w:val="0"/>
              </w:numPr>
              <w:tabs>
                <w:tab w:val="left" w:pos="0"/>
              </w:tabs>
              <w:spacing w:line="360" w:lineRule="auto"/>
              <w:jc w:val="center"/>
              <w:rPr>
                <w:rFonts w:hint="eastAsia" w:hAnsi="宋体" w:eastAsia="微软雅黑"/>
                <w:sz w:val="24"/>
                <w:szCs w:val="24"/>
                <w:lang w:val="en-US" w:eastAsia="zh-CN"/>
              </w:rPr>
            </w:pPr>
            <w:r>
              <w:rPr>
                <w:rFonts w:hint="eastAsia" w:hAnsi="宋体"/>
                <w:sz w:val="24"/>
                <w:szCs w:val="24"/>
                <w:lang w:val="en-US" w:eastAsia="zh-CN"/>
              </w:rPr>
              <w:t>RSD%(相对标准偏差)</w:t>
            </w:r>
          </w:p>
        </w:tc>
        <w:tc>
          <w:tcPr>
            <w:tcW w:w="6091" w:type="dxa"/>
            <w:noWrap w:val="0"/>
            <w:vAlign w:val="center"/>
          </w:tcPr>
          <w:p>
            <w:pPr>
              <w:keepNext w:val="0"/>
              <w:keepLines w:val="0"/>
              <w:widowControl/>
              <w:suppressLineNumbers w:val="0"/>
              <w:spacing w:line="360" w:lineRule="auto"/>
              <w:jc w:val="center"/>
              <w:textAlignment w:val="center"/>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0.</w:t>
            </w:r>
            <w:r>
              <w:rPr>
                <w:rFonts w:hint="eastAsia" w:ascii="宋体" w:hAnsi="宋体" w:cs="Times New Roman"/>
                <w:kern w:val="0"/>
                <w:sz w:val="24"/>
                <w:szCs w:val="24"/>
                <w:lang w:val="en-US" w:eastAsia="zh-CN" w:bidi="ar-SA"/>
              </w:rPr>
              <w:t>3815</w:t>
            </w:r>
          </w:p>
        </w:tc>
      </w:tr>
    </w:tbl>
    <w:p>
      <w:pPr>
        <w:pStyle w:val="14"/>
        <w:tabs>
          <w:tab w:val="center" w:pos="4201"/>
          <w:tab w:val="right" w:leader="dot" w:pos="9298"/>
        </w:tabs>
        <w:spacing w:before="156" w:beforeLines="50" w:after="156" w:afterLines="50" w:line="360" w:lineRule="auto"/>
        <w:ind w:firstLine="480" w:firstLineChars="200"/>
        <w:rPr>
          <w:rFonts w:hint="default" w:hAnsi="宋体"/>
          <w:sz w:val="24"/>
          <w:szCs w:val="24"/>
          <w:lang w:val="en-US" w:eastAsia="zh-CN"/>
        </w:rPr>
      </w:pPr>
      <w:r>
        <w:rPr>
          <w:rFonts w:hint="eastAsia" w:ascii="宋体" w:hAnsi="宋体"/>
          <w:sz w:val="24"/>
          <w:szCs w:val="24"/>
          <w:lang w:val="en-US" w:eastAsia="zh-CN"/>
        </w:rPr>
        <w:t>由表一可以看出，</w:t>
      </w:r>
      <w:r>
        <w:rPr>
          <w:rFonts w:hint="eastAsia" w:hAnsi="宋体"/>
          <w:sz w:val="24"/>
          <w:szCs w:val="24"/>
        </w:rPr>
        <w:t>检验分析</w:t>
      </w:r>
      <w:r>
        <w:rPr>
          <w:rFonts w:hint="eastAsia" w:hAnsi="宋体"/>
          <w:sz w:val="24"/>
          <w:szCs w:val="24"/>
          <w:lang w:val="en-US" w:eastAsia="zh-CN"/>
        </w:rPr>
        <w:t>水杨羟肟酸含量</w:t>
      </w:r>
      <w:r>
        <w:rPr>
          <w:rFonts w:hint="eastAsia" w:hAnsi="宋体"/>
          <w:sz w:val="24"/>
          <w:szCs w:val="24"/>
          <w:lang w:eastAsia="zh-CN"/>
        </w:rPr>
        <w:t>最大</w:t>
      </w:r>
      <w:r>
        <w:rPr>
          <w:rFonts w:hint="eastAsia" w:hAnsi="宋体"/>
          <w:sz w:val="24"/>
          <w:szCs w:val="24"/>
        </w:rPr>
        <w:t>差值在</w:t>
      </w:r>
      <w:r>
        <w:rPr>
          <w:rFonts w:hint="eastAsia" w:hAnsi="宋体"/>
          <w:sz w:val="24"/>
          <w:szCs w:val="24"/>
          <w:lang w:val="en-US" w:eastAsia="zh-CN"/>
        </w:rPr>
        <w:t>0.78%，误差范围在0.80%</w:t>
      </w:r>
      <w:r>
        <w:rPr>
          <w:rFonts w:hint="eastAsia" w:hAnsi="宋体"/>
          <w:sz w:val="24"/>
          <w:szCs w:val="24"/>
        </w:rPr>
        <w:t>之内，因此确定实验室间</w:t>
      </w:r>
      <w:r>
        <w:rPr>
          <w:rFonts w:hint="eastAsia" w:hAnsi="宋体"/>
          <w:sz w:val="24"/>
          <w:szCs w:val="24"/>
          <w:lang w:val="en-US" w:eastAsia="zh-CN"/>
        </w:rPr>
        <w:t>结果绝对误差为0.80</w:t>
      </w:r>
      <w:r>
        <w:rPr>
          <w:rFonts w:hint="eastAsia" w:hAnsi="宋体"/>
          <w:sz w:val="24"/>
          <w:szCs w:val="24"/>
        </w:rPr>
        <w:t>%</w:t>
      </w:r>
      <w:r>
        <w:rPr>
          <w:rFonts w:hint="eastAsia" w:hAnsi="宋体"/>
          <w:sz w:val="24"/>
          <w:szCs w:val="24"/>
          <w:lang w:eastAsia="zh-CN"/>
        </w:rPr>
        <w:t>。</w:t>
      </w:r>
      <w:r>
        <w:rPr>
          <w:rFonts w:hint="eastAsia" w:hAnsi="宋体"/>
          <w:sz w:val="24"/>
          <w:szCs w:val="24"/>
          <w:lang w:val="en-US" w:eastAsia="zh-CN"/>
        </w:rPr>
        <w:t>具体误差原因分析：</w:t>
      </w:r>
    </w:p>
    <w:p>
      <w:pPr>
        <w:pStyle w:val="14"/>
        <w:tabs>
          <w:tab w:val="center" w:pos="4201"/>
          <w:tab w:val="right" w:leader="dot" w:pos="9298"/>
        </w:tabs>
        <w:spacing w:before="156" w:beforeLines="50" w:after="156" w:afterLines="50" w:line="360" w:lineRule="auto"/>
        <w:ind w:firstLine="480" w:firstLineChars="200"/>
        <w:rPr>
          <w:rFonts w:hint="eastAsia" w:hAnsi="宋体"/>
          <w:sz w:val="24"/>
          <w:szCs w:val="24"/>
          <w:lang w:val="en-US" w:eastAsia="zh-CN"/>
        </w:rPr>
      </w:pPr>
      <w:r>
        <w:rPr>
          <w:rFonts w:hint="eastAsia" w:hAnsi="宋体"/>
          <w:sz w:val="24"/>
          <w:szCs w:val="24"/>
          <w:lang w:val="en-US" w:eastAsia="zh-CN"/>
        </w:rPr>
        <w:t>在相同条件下，对同一样品进行多次测量，由于各种偶然因素，包括人为因素，环境因素，测量仪器因素等会出现测量值时而偏大，时而偏小的误差现象，影响精确度。</w:t>
      </w:r>
    </w:p>
    <w:p>
      <w:pPr>
        <w:pStyle w:val="19"/>
        <w:spacing w:line="360" w:lineRule="auto"/>
        <w:ind w:firstLine="480" w:firstLineChars="200"/>
        <w:rPr>
          <w:rFonts w:hint="default"/>
          <w:sz w:val="24"/>
          <w:szCs w:val="24"/>
          <w:lang w:val="en-US" w:eastAsia="zh-CN"/>
        </w:rPr>
      </w:pPr>
      <w:r>
        <w:rPr>
          <w:rFonts w:hint="eastAsia"/>
          <w:sz w:val="24"/>
          <w:szCs w:val="24"/>
          <w:lang w:val="en-US" w:eastAsia="zh-CN"/>
        </w:rPr>
        <w:t>5.2</w:t>
      </w:r>
      <w:r>
        <w:rPr>
          <w:rFonts w:hint="default"/>
          <w:sz w:val="24"/>
          <w:szCs w:val="24"/>
          <w:lang w:val="en-US" w:eastAsia="zh-CN"/>
        </w:rPr>
        <w:t>不同实验室间对比</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5.2.1 </w:t>
      </w:r>
      <w:r>
        <w:rPr>
          <w:rFonts w:hint="default" w:ascii="Times New Roman" w:hAnsi="Times New Roman" w:eastAsia="宋体" w:cs="Times New Roman"/>
          <w:sz w:val="24"/>
          <w:szCs w:val="24"/>
          <w:lang w:val="en-US" w:eastAsia="zh-CN"/>
        </w:rPr>
        <w:t>试验内容：考察不同时空条件下，不同实验室间试验结果。邀请</w:t>
      </w:r>
      <w:r>
        <w:rPr>
          <w:rFonts w:hint="eastAsia" w:ascii="Times New Roman" w:hAnsi="Times New Roman" w:cs="Times New Roman"/>
          <w:sz w:val="24"/>
          <w:szCs w:val="24"/>
          <w:lang w:val="en-US" w:eastAsia="zh-CN"/>
        </w:rPr>
        <w:t>矿冶科技集团有限公司</w:t>
      </w:r>
      <w:r>
        <w:rPr>
          <w:rFonts w:hint="default" w:ascii="Times New Roman" w:hAnsi="Times New Roman" w:eastAsia="宋体" w:cs="Times New Roman"/>
          <w:sz w:val="24"/>
          <w:szCs w:val="24"/>
          <w:lang w:val="en-US" w:eastAsia="zh-CN"/>
        </w:rPr>
        <w:t>、沈阳有研矿物化工有限公司作为验证单位，</w:t>
      </w:r>
      <w:r>
        <w:rPr>
          <w:rFonts w:hint="default" w:ascii="Times New Roman" w:hAnsi="Times New Roman" w:eastAsia="宋体" w:cs="Times New Roman"/>
          <w:sz w:val="24"/>
          <w:szCs w:val="24"/>
        </w:rPr>
        <w:t>对该方法进行验证，按起草标准制定的试验方法对提供的试验样品进行了验证工作</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并</w:t>
      </w:r>
      <w:r>
        <w:rPr>
          <w:rFonts w:hint="default" w:ascii="Times New Roman" w:hAnsi="Times New Roman" w:eastAsia="宋体" w:cs="Times New Roman"/>
          <w:sz w:val="24"/>
          <w:szCs w:val="24"/>
        </w:rPr>
        <w:t>考察了该方法的精密度</w:t>
      </w:r>
      <w:r>
        <w:rPr>
          <w:rFonts w:hint="default" w:ascii="Times New Roman" w:hAnsi="Times New Roman" w:eastAsia="宋体" w:cs="Times New Roman"/>
          <w:sz w:val="24"/>
          <w:szCs w:val="24"/>
          <w:lang w:eastAsia="zh-CN"/>
        </w:rPr>
        <w:t>。</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5.2.2 </w:t>
      </w:r>
      <w:r>
        <w:rPr>
          <w:rFonts w:hint="default" w:ascii="Times New Roman" w:hAnsi="Times New Roman" w:eastAsia="宋体" w:cs="Times New Roman"/>
          <w:sz w:val="24"/>
          <w:szCs w:val="24"/>
          <w:lang w:val="en-US" w:eastAsia="zh-CN"/>
        </w:rPr>
        <w:t>试验方法：试验方法同</w:t>
      </w:r>
      <w:r>
        <w:rPr>
          <w:rFonts w:hint="eastAsia" w:ascii="Times New Roman" w:hAnsi="Times New Roman" w:eastAsia="宋体" w:cs="Times New Roman"/>
          <w:sz w:val="24"/>
          <w:szCs w:val="24"/>
          <w:lang w:val="en-US" w:eastAsia="zh-CN"/>
        </w:rPr>
        <w:t>上。</w:t>
      </w:r>
    </w:p>
    <w:p>
      <w:pPr>
        <w:keepNext w:val="0"/>
        <w:keepLines w:val="0"/>
        <w:pageBreakBefore w:val="0"/>
        <w:numPr>
          <w:ilvl w:val="0"/>
          <w:numId w:val="0"/>
        </w:numPr>
        <w:kinsoku/>
        <w:wordWrap/>
        <w:overflowPunct/>
        <w:topLinePunct w:val="0"/>
        <w:bidi w:val="0"/>
        <w:adjustRightInd/>
        <w:snapToGrid/>
        <w:spacing w:line="360" w:lineRule="auto"/>
        <w:ind w:right="0" w:righ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5.2.3 </w:t>
      </w:r>
      <w:r>
        <w:rPr>
          <w:rFonts w:hint="default" w:ascii="Times New Roman" w:hAnsi="Times New Roman" w:eastAsia="宋体" w:cs="Times New Roman"/>
          <w:sz w:val="24"/>
          <w:szCs w:val="24"/>
          <w:lang w:val="en-US" w:eastAsia="zh-CN"/>
        </w:rPr>
        <w:t>试验结果：</w:t>
      </w:r>
    </w:p>
    <w:p>
      <w:pPr>
        <w:pStyle w:val="15"/>
        <w:keepNext w:val="0"/>
        <w:keepLines w:val="0"/>
        <w:pageBreakBefore w:val="0"/>
        <w:numPr>
          <w:ilvl w:val="0"/>
          <w:numId w:val="0"/>
        </w:numPr>
        <w:kinsoku/>
        <w:wordWrap/>
        <w:overflowPunct/>
        <w:topLinePunct w:val="0"/>
        <w:bidi w:val="0"/>
        <w:snapToGrid/>
        <w:spacing w:line="360" w:lineRule="auto"/>
        <w:ind w:leftChars="0"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矿冶科技集团有限公司</w:t>
      </w:r>
      <w:r>
        <w:rPr>
          <w:rFonts w:hint="default" w:ascii="Times New Roman" w:hAnsi="Times New Roman" w:eastAsia="宋体" w:cs="Times New Roman"/>
          <w:sz w:val="24"/>
          <w:szCs w:val="24"/>
        </w:rPr>
        <w:t>按本标准测定</w:t>
      </w:r>
      <w:r>
        <w:rPr>
          <w:rFonts w:hint="default" w:ascii="Times New Roman" w:hAnsi="Times New Roman" w:eastAsia="宋体" w:cs="Times New Roman"/>
          <w:sz w:val="24"/>
          <w:szCs w:val="24"/>
          <w:lang w:val="en-US" w:eastAsia="zh-CN"/>
        </w:rPr>
        <w:t>试验</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val="en-US" w:eastAsia="zh-CN"/>
        </w:rPr>
        <w:t>详</w:t>
      </w:r>
      <w:r>
        <w:rPr>
          <w:rFonts w:hint="default" w:ascii="Times New Roman" w:hAnsi="Times New Roman" w:eastAsia="宋体" w:cs="Times New Roman"/>
          <w:sz w:val="24"/>
          <w:szCs w:val="24"/>
        </w:rPr>
        <w:t>见表</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eastAsia="zh-CN"/>
        </w:rPr>
        <w:t>。</w:t>
      </w:r>
    </w:p>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表</w:t>
      </w:r>
      <w:r>
        <w:rPr>
          <w:rFonts w:hint="eastAsia" w:ascii="Times New Roman" w:hAnsi="Times New Roman" w:cs="Times New Roman"/>
          <w:sz w:val="24"/>
          <w:szCs w:val="24"/>
          <w:lang w:val="en-US" w:eastAsia="zh-CN"/>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767"/>
        <w:gridCol w:w="1767"/>
        <w:gridCol w:w="176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序号</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水杨羟肟酸含量%</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平均值</w:t>
            </w:r>
            <w:r>
              <w:rPr>
                <w:rFonts w:hint="eastAsia" w:hAnsi="宋体"/>
                <w:sz w:val="24"/>
                <w:szCs w:val="24"/>
                <w:lang w:val="en-US" w:eastAsia="zh-CN"/>
              </w:rPr>
              <w:t>%</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SD</w:t>
            </w:r>
          </w:p>
        </w:tc>
        <w:tc>
          <w:tcPr>
            <w:tcW w:w="1768"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RSD</w:t>
            </w:r>
            <w:r>
              <w:rPr>
                <w:rFonts w:hint="eastAsia"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1</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60.88</w:t>
            </w:r>
          </w:p>
        </w:tc>
        <w:tc>
          <w:tcPr>
            <w:tcW w:w="1767" w:type="dxa"/>
            <w:vMerge w:val="restart"/>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60.60</w:t>
            </w:r>
          </w:p>
        </w:tc>
        <w:tc>
          <w:tcPr>
            <w:tcW w:w="1767" w:type="dxa"/>
            <w:vMerge w:val="restart"/>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0.3866</w:t>
            </w:r>
          </w:p>
        </w:tc>
        <w:tc>
          <w:tcPr>
            <w:tcW w:w="1768" w:type="dxa"/>
            <w:vMerge w:val="restart"/>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0.6</w:t>
            </w:r>
            <w:r>
              <w:rPr>
                <w:rFonts w:hint="eastAsia" w:ascii="宋体" w:hAnsi="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2</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60.96</w:t>
            </w:r>
          </w:p>
        </w:tc>
        <w:tc>
          <w:tcPr>
            <w:tcW w:w="1767" w:type="dxa"/>
            <w:vMerge w:val="continue"/>
            <w:noWrap w:val="0"/>
            <w:vAlign w:val="top"/>
          </w:tcPr>
          <w:p>
            <w:pPr>
              <w:pStyle w:val="14"/>
              <w:widowControl w:val="0"/>
              <w:spacing w:line="360" w:lineRule="auto"/>
              <w:ind w:firstLine="0" w:firstLineChars="0"/>
              <w:jc w:val="center"/>
              <w:rPr>
                <w:rFonts w:hint="default" w:hAnsi="宋体"/>
                <w:sz w:val="24"/>
                <w:szCs w:val="24"/>
                <w:lang w:val="en-US" w:eastAsia="zh-CN"/>
              </w:rPr>
            </w:pPr>
          </w:p>
        </w:tc>
        <w:tc>
          <w:tcPr>
            <w:tcW w:w="1767"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c>
          <w:tcPr>
            <w:tcW w:w="1768"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3</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60.14</w:t>
            </w:r>
          </w:p>
        </w:tc>
        <w:tc>
          <w:tcPr>
            <w:tcW w:w="1767"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c>
          <w:tcPr>
            <w:tcW w:w="1767"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c>
          <w:tcPr>
            <w:tcW w:w="1768"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4</w:t>
            </w:r>
          </w:p>
        </w:tc>
        <w:tc>
          <w:tcPr>
            <w:tcW w:w="1767"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60.43</w:t>
            </w:r>
          </w:p>
        </w:tc>
        <w:tc>
          <w:tcPr>
            <w:tcW w:w="1767"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c>
          <w:tcPr>
            <w:tcW w:w="1767"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c>
          <w:tcPr>
            <w:tcW w:w="1768" w:type="dxa"/>
            <w:vMerge w:val="continue"/>
            <w:noWrap w:val="0"/>
            <w:vAlign w:val="top"/>
          </w:tcPr>
          <w:p>
            <w:pPr>
              <w:keepNext w:val="0"/>
              <w:keepLines w:val="0"/>
              <w:pageBreakBefore w:val="0"/>
              <w:kinsoku/>
              <w:wordWrap/>
              <w:overflowPunct/>
              <w:topLinePunct w:val="0"/>
              <w:bidi w:val="0"/>
              <w:snapToGrid/>
              <w:spacing w:line="360" w:lineRule="auto"/>
              <w:ind w:firstLine="0" w:firstLineChars="0"/>
              <w:outlineLvl w:val="9"/>
              <w:rPr>
                <w:rFonts w:hint="default" w:ascii="Times New Roman" w:hAnsi="Times New Roman" w:eastAsia="宋体" w:cs="Times New Roman"/>
                <w:sz w:val="24"/>
                <w:szCs w:val="24"/>
              </w:rPr>
            </w:pPr>
          </w:p>
        </w:tc>
      </w:tr>
    </w:tbl>
    <w:p>
      <w:pPr>
        <w:pStyle w:val="15"/>
        <w:keepNext w:val="0"/>
        <w:keepLines w:val="0"/>
        <w:pageBreakBefore w:val="0"/>
        <w:numPr>
          <w:ilvl w:val="0"/>
          <w:numId w:val="0"/>
        </w:numPr>
        <w:kinsoku/>
        <w:wordWrap/>
        <w:overflowPunct/>
        <w:topLinePunct w:val="0"/>
        <w:bidi w:val="0"/>
        <w:snapToGrid/>
        <w:spacing w:line="360" w:lineRule="auto"/>
        <w:ind w:leftChars="0" w:firstLine="480" w:firstLineChars="200"/>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沈阳有研矿物化工有限公司</w:t>
      </w:r>
      <w:r>
        <w:rPr>
          <w:rFonts w:hint="default" w:ascii="Times New Roman" w:hAnsi="Times New Roman" w:eastAsia="宋体" w:cs="Times New Roman"/>
          <w:sz w:val="24"/>
          <w:szCs w:val="24"/>
        </w:rPr>
        <w:t>按本标准测定</w:t>
      </w:r>
      <w:r>
        <w:rPr>
          <w:rFonts w:hint="default" w:ascii="Times New Roman" w:hAnsi="Times New Roman" w:eastAsia="宋体" w:cs="Times New Roman"/>
          <w:sz w:val="24"/>
          <w:szCs w:val="24"/>
          <w:lang w:val="en-US" w:eastAsia="zh-CN"/>
        </w:rPr>
        <w:t>试验</w:t>
      </w:r>
      <w:r>
        <w:rPr>
          <w:rFonts w:hint="default" w:ascii="Times New Roman" w:hAnsi="Times New Roman" w:eastAsia="宋体" w:cs="Times New Roman"/>
          <w:sz w:val="24"/>
          <w:szCs w:val="24"/>
        </w:rPr>
        <w:t>结果</w:t>
      </w:r>
      <w:r>
        <w:rPr>
          <w:rFonts w:hint="eastAsia" w:ascii="Times New Roman" w:hAnsi="Times New Roman" w:eastAsia="宋体" w:cs="Times New Roman"/>
          <w:sz w:val="24"/>
          <w:szCs w:val="24"/>
          <w:lang w:val="en-US" w:eastAsia="zh-CN"/>
        </w:rPr>
        <w:t>详</w:t>
      </w:r>
      <w:r>
        <w:rPr>
          <w:rFonts w:hint="default" w:ascii="Times New Roman" w:hAnsi="Times New Roman" w:eastAsia="宋体" w:cs="Times New Roman"/>
          <w:sz w:val="24"/>
          <w:szCs w:val="24"/>
        </w:rPr>
        <w:t>见表</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w:t>
      </w:r>
    </w:p>
    <w:p>
      <w:pPr>
        <w:pStyle w:val="15"/>
        <w:keepNext w:val="0"/>
        <w:keepLines w:val="0"/>
        <w:pageBreakBefore w:val="0"/>
        <w:kinsoku/>
        <w:wordWrap/>
        <w:overflowPunct/>
        <w:topLinePunct w:val="0"/>
        <w:bidi w:val="0"/>
        <w:snapToGrid/>
        <w:spacing w:line="360" w:lineRule="auto"/>
        <w:ind w:left="720" w:firstLine="0" w:firstLineChars="0"/>
        <w:jc w:val="both"/>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751"/>
        <w:gridCol w:w="1751"/>
        <w:gridCol w:w="175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序号</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水杨羟肟酸含量%</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平均值</w:t>
            </w:r>
            <w:r>
              <w:rPr>
                <w:rFonts w:hint="eastAsia" w:hAnsi="宋体"/>
                <w:sz w:val="24"/>
                <w:szCs w:val="24"/>
                <w:lang w:val="en-US" w:eastAsia="zh-CN"/>
              </w:rPr>
              <w:t>%</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SD</w:t>
            </w:r>
          </w:p>
        </w:tc>
        <w:tc>
          <w:tcPr>
            <w:tcW w:w="1752"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RSD</w:t>
            </w:r>
            <w:r>
              <w:rPr>
                <w:rFonts w:hint="eastAsia"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1</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w:t>
            </w:r>
            <w:r>
              <w:rPr>
                <w:rFonts w:hint="default" w:hAnsi="宋体"/>
                <w:sz w:val="24"/>
                <w:szCs w:val="24"/>
                <w:lang w:val="en-US" w:eastAsia="zh-CN"/>
              </w:rPr>
              <w:t>.3</w:t>
            </w:r>
            <w:r>
              <w:rPr>
                <w:rFonts w:hint="eastAsia" w:hAnsi="宋体"/>
                <w:sz w:val="24"/>
                <w:szCs w:val="24"/>
                <w:lang w:val="en-US" w:eastAsia="zh-CN"/>
              </w:rPr>
              <w:t>6</w:t>
            </w:r>
          </w:p>
        </w:tc>
        <w:tc>
          <w:tcPr>
            <w:tcW w:w="1751" w:type="dxa"/>
            <w:vMerge w:val="restart"/>
            <w:noWrap w:val="0"/>
            <w:vAlign w:val="center"/>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60.71</w:t>
            </w:r>
          </w:p>
        </w:tc>
        <w:tc>
          <w:tcPr>
            <w:tcW w:w="1751" w:type="dxa"/>
            <w:vMerge w:val="restart"/>
            <w:noWrap w:val="0"/>
            <w:vAlign w:val="center"/>
          </w:tcPr>
          <w:p>
            <w:pPr>
              <w:keepNext w:val="0"/>
              <w:keepLines w:val="0"/>
              <w:widowControl/>
              <w:suppressLineNumbers w:val="0"/>
              <w:wordWrap w:val="0"/>
              <w:spacing w:line="360" w:lineRule="auto"/>
              <w:jc w:val="center"/>
              <w:textAlignment w:val="center"/>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0.2922</w:t>
            </w:r>
          </w:p>
        </w:tc>
        <w:tc>
          <w:tcPr>
            <w:tcW w:w="1752" w:type="dxa"/>
            <w:vMerge w:val="restart"/>
            <w:noWrap w:val="0"/>
            <w:vAlign w:val="center"/>
          </w:tcPr>
          <w:p>
            <w:pPr>
              <w:keepNext w:val="0"/>
              <w:keepLines w:val="0"/>
              <w:widowControl/>
              <w:suppressLineNumbers w:val="0"/>
              <w:spacing w:line="360" w:lineRule="auto"/>
              <w:jc w:val="center"/>
              <w:textAlignment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0.</w:t>
            </w:r>
            <w:r>
              <w:rPr>
                <w:rFonts w:hint="eastAsia" w:ascii="宋体" w:hAnsi="宋体" w:cs="Times New Roman"/>
                <w:kern w:val="0"/>
                <w:sz w:val="24"/>
                <w:szCs w:val="24"/>
                <w:lang w:val="en-US" w:eastAsia="zh-CN" w:bidi="ar-SA"/>
              </w:rPr>
              <w:t>48</w:t>
            </w:r>
          </w:p>
          <w:p>
            <w:pPr>
              <w:pStyle w:val="2"/>
              <w:spacing w:line="360" w:lineRule="auto"/>
              <w:rPr>
                <w:rFonts w:hint="default" w:ascii="宋体" w:hAnsi="宋体" w:eastAsia="宋体"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2</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w:t>
            </w:r>
            <w:r>
              <w:rPr>
                <w:rFonts w:hint="default" w:hAnsi="宋体"/>
                <w:sz w:val="24"/>
                <w:szCs w:val="24"/>
                <w:lang w:val="en-US" w:eastAsia="zh-CN"/>
              </w:rPr>
              <w:t>.81</w:t>
            </w:r>
          </w:p>
        </w:tc>
        <w:tc>
          <w:tcPr>
            <w:tcW w:w="1751"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c>
          <w:tcPr>
            <w:tcW w:w="1751"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c>
          <w:tcPr>
            <w:tcW w:w="1752"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3</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60</w:t>
            </w:r>
            <w:r>
              <w:rPr>
                <w:rFonts w:hint="default" w:hAnsi="宋体"/>
                <w:sz w:val="24"/>
                <w:szCs w:val="24"/>
                <w:lang w:val="en-US" w:eastAsia="zh-CN"/>
              </w:rPr>
              <w:t>.62</w:t>
            </w:r>
          </w:p>
        </w:tc>
        <w:tc>
          <w:tcPr>
            <w:tcW w:w="1751"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c>
          <w:tcPr>
            <w:tcW w:w="1751"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c>
          <w:tcPr>
            <w:tcW w:w="1752"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default" w:hAnsi="宋体"/>
                <w:sz w:val="24"/>
                <w:szCs w:val="24"/>
                <w:lang w:val="en-US" w:eastAsia="zh-CN"/>
              </w:rPr>
              <w:t>4</w:t>
            </w:r>
          </w:p>
        </w:tc>
        <w:tc>
          <w:tcPr>
            <w:tcW w:w="1751" w:type="dxa"/>
            <w:noWrap w:val="0"/>
            <w:vAlign w:val="top"/>
          </w:tcPr>
          <w:p>
            <w:pPr>
              <w:pStyle w:val="14"/>
              <w:widowControl w:val="0"/>
              <w:spacing w:line="360" w:lineRule="auto"/>
              <w:ind w:firstLine="0" w:firstLineChars="0"/>
              <w:jc w:val="center"/>
              <w:rPr>
                <w:rFonts w:hint="default" w:hAnsi="宋体"/>
                <w:sz w:val="24"/>
                <w:szCs w:val="24"/>
                <w:lang w:val="en-US" w:eastAsia="zh-CN"/>
              </w:rPr>
            </w:pPr>
            <w:r>
              <w:rPr>
                <w:rFonts w:hint="eastAsia" w:hAnsi="宋体"/>
                <w:sz w:val="24"/>
                <w:szCs w:val="24"/>
                <w:lang w:val="en-US" w:eastAsia="zh-CN"/>
              </w:rPr>
              <w:t>61.0</w:t>
            </w:r>
            <w:r>
              <w:rPr>
                <w:rFonts w:hint="default" w:hAnsi="宋体"/>
                <w:sz w:val="24"/>
                <w:szCs w:val="24"/>
                <w:lang w:val="en-US" w:eastAsia="zh-CN"/>
              </w:rPr>
              <w:t>5</w:t>
            </w:r>
          </w:p>
        </w:tc>
        <w:tc>
          <w:tcPr>
            <w:tcW w:w="1751"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c>
          <w:tcPr>
            <w:tcW w:w="1751"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c>
          <w:tcPr>
            <w:tcW w:w="1752"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outlineLvl w:val="9"/>
              <w:rPr>
                <w:rFonts w:hint="default" w:ascii="Times New Roman" w:hAnsi="Times New Roman" w:eastAsia="宋体" w:cs="Times New Roman"/>
                <w:sz w:val="24"/>
                <w:szCs w:val="24"/>
              </w:rPr>
            </w:pPr>
          </w:p>
        </w:tc>
      </w:tr>
    </w:tbl>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482" w:firstLineChars="200"/>
        <w:jc w:val="both"/>
        <w:textAlignment w:val="auto"/>
        <w:outlineLvl w:val="2"/>
        <w:rPr>
          <w:rFonts w:hint="default" w:ascii="Times New Roman" w:hAnsi="Times New Roman" w:eastAsia="宋体" w:cs="Times New Roman"/>
          <w:sz w:val="24"/>
          <w:szCs w:val="24"/>
        </w:rPr>
      </w:pPr>
      <w:r>
        <w:rPr>
          <w:rFonts w:hint="eastAsia" w:ascii="Times New Roman" w:eastAsia="宋体" w:cs="Times New Roman"/>
          <w:b/>
          <w:sz w:val="24"/>
          <w:szCs w:val="24"/>
          <w:lang w:val="en-US" w:eastAsia="zh-CN"/>
        </w:rPr>
        <w:t xml:space="preserve">5.2.4 </w:t>
      </w:r>
      <w:r>
        <w:rPr>
          <w:rFonts w:hint="default" w:ascii="Times New Roman" w:hAnsi="Times New Roman" w:eastAsia="宋体" w:cs="Times New Roman"/>
          <w:b/>
          <w:sz w:val="24"/>
          <w:szCs w:val="24"/>
          <w:lang w:val="en-US" w:eastAsia="zh-CN"/>
        </w:rPr>
        <w:t>试验</w:t>
      </w:r>
      <w:r>
        <w:rPr>
          <w:rFonts w:hint="default" w:ascii="Times New Roman" w:hAnsi="Times New Roman" w:eastAsia="宋体" w:cs="Times New Roman"/>
          <w:b/>
          <w:sz w:val="24"/>
          <w:szCs w:val="24"/>
        </w:rPr>
        <w:t>结论</w:t>
      </w:r>
      <w:r>
        <w:rPr>
          <w:rFonts w:hint="default" w:ascii="Times New Roman" w:hAnsi="Times New Roman" w:eastAsia="宋体" w:cs="Times New Roman"/>
          <w:b/>
          <w:sz w:val="24"/>
          <w:szCs w:val="24"/>
          <w:lang w:eastAsia="zh-CN"/>
        </w:rPr>
        <w:t>：</w:t>
      </w:r>
      <w:r>
        <w:rPr>
          <w:rFonts w:hint="eastAsia" w:asciiTheme="majorEastAsia" w:hAnsiTheme="majorEastAsia" w:eastAsiaTheme="majorEastAsia" w:cstheme="majorEastAsia"/>
          <w:b w:val="0"/>
          <w:bCs w:val="0"/>
          <w:sz w:val="24"/>
          <w:szCs w:val="24"/>
          <w:lang w:val="en-US" w:eastAsia="zh-CN"/>
        </w:rPr>
        <w:t>两</w:t>
      </w:r>
      <w:r>
        <w:rPr>
          <w:rFonts w:hint="default" w:ascii="Times New Roman" w:hAnsi="Times New Roman" w:eastAsia="宋体" w:cs="Times New Roman"/>
          <w:b w:val="0"/>
          <w:bCs w:val="0"/>
          <w:sz w:val="24"/>
          <w:szCs w:val="24"/>
          <w:lang w:val="en-US" w:eastAsia="zh-CN"/>
        </w:rPr>
        <w:t>家</w:t>
      </w:r>
      <w:r>
        <w:rPr>
          <w:rFonts w:hint="default" w:ascii="Times New Roman" w:hAnsi="Times New Roman" w:eastAsia="宋体" w:cs="Times New Roman"/>
          <w:b w:val="0"/>
          <w:bCs w:val="0"/>
          <w:sz w:val="24"/>
          <w:szCs w:val="24"/>
        </w:rPr>
        <w:t>公司按</w:t>
      </w:r>
      <w:r>
        <w:rPr>
          <w:rFonts w:hint="default" w:ascii="Times New Roman" w:hAnsi="Times New Roman" w:eastAsia="宋体" w:cs="Times New Roman"/>
          <w:sz w:val="24"/>
          <w:szCs w:val="24"/>
        </w:rPr>
        <w:t>照起草</w:t>
      </w:r>
      <w:r>
        <w:rPr>
          <w:rFonts w:hint="eastAsia" w:ascii="Times New Roman" w:eastAsia="宋体" w:cs="Times New Roman"/>
          <w:sz w:val="24"/>
          <w:szCs w:val="24"/>
          <w:lang w:val="en-US" w:eastAsia="zh-CN"/>
        </w:rPr>
        <w:t>铁岭选矿药剂有限公司</w:t>
      </w:r>
      <w:r>
        <w:rPr>
          <w:rFonts w:hint="default" w:ascii="Times New Roman" w:hAnsi="Times New Roman" w:eastAsia="宋体" w:cs="Times New Roman"/>
          <w:sz w:val="24"/>
          <w:szCs w:val="24"/>
        </w:rPr>
        <w:t>提供的</w:t>
      </w:r>
      <w:r>
        <w:rPr>
          <w:rFonts w:hint="eastAsia" w:ascii="Times New Roman" w:eastAsia="宋体" w:cs="Times New Roman"/>
          <w:sz w:val="24"/>
          <w:szCs w:val="24"/>
          <w:lang w:val="en-US" w:eastAsia="zh-CN"/>
        </w:rPr>
        <w:t>试验方法</w:t>
      </w:r>
      <w:r>
        <w:rPr>
          <w:rFonts w:hint="default" w:ascii="Times New Roman" w:hAnsi="Times New Roman" w:eastAsia="宋体" w:cs="Times New Roman"/>
          <w:sz w:val="24"/>
          <w:szCs w:val="24"/>
        </w:rPr>
        <w:t>《</w:t>
      </w:r>
      <w:r>
        <w:rPr>
          <w:rFonts w:hint="eastAsia" w:asciiTheme="majorEastAsia" w:hAnsiTheme="majorEastAsia" w:eastAsiaTheme="majorEastAsia" w:cstheme="majorEastAsia"/>
          <w:sz w:val="24"/>
          <w:szCs w:val="24"/>
          <w:lang w:val="en-US" w:eastAsia="zh-CN"/>
        </w:rPr>
        <w:t>水杨羟肟酸</w:t>
      </w:r>
      <w:r>
        <w:rPr>
          <w:rFonts w:hint="eastAsia" w:asciiTheme="majorEastAsia" w:hAnsiTheme="majorEastAsia" w:eastAsiaTheme="majorEastAsia" w:cstheme="majorEastAsia"/>
          <w:sz w:val="24"/>
          <w:szCs w:val="24"/>
        </w:rPr>
        <w:t>》进行了方法验证工作。结果表明该方法</w:t>
      </w:r>
      <w:r>
        <w:rPr>
          <w:rFonts w:hint="eastAsia" w:asciiTheme="majorEastAsia" w:hAnsiTheme="majorEastAsia" w:eastAsiaTheme="majorEastAsia" w:cstheme="majorEastAsia"/>
          <w:sz w:val="24"/>
          <w:szCs w:val="24"/>
          <w:lang w:val="en-US" w:eastAsia="zh-CN"/>
        </w:rPr>
        <w:t>再现性好，</w:t>
      </w:r>
      <w:r>
        <w:rPr>
          <w:rFonts w:hint="eastAsia" w:asciiTheme="majorEastAsia" w:hAnsiTheme="majorEastAsia" w:eastAsiaTheme="majorEastAsia" w:cstheme="majorEastAsia"/>
          <w:sz w:val="24"/>
          <w:szCs w:val="24"/>
        </w:rPr>
        <w:t>精密度好，满足测定要求，</w:t>
      </w:r>
      <w:r>
        <w:rPr>
          <w:rFonts w:hint="eastAsia" w:asciiTheme="majorEastAsia" w:hAnsiTheme="majorEastAsia" w:eastAsiaTheme="majorEastAsia" w:cstheme="majorEastAsia"/>
          <w:sz w:val="24"/>
          <w:szCs w:val="24"/>
          <w:lang w:val="en-US" w:eastAsia="zh-CN"/>
        </w:rPr>
        <w:t>两家验证单位均</w:t>
      </w:r>
      <w:r>
        <w:rPr>
          <w:rFonts w:hint="eastAsia" w:asciiTheme="majorEastAsia" w:hAnsiTheme="majorEastAsia" w:eastAsiaTheme="majorEastAsia" w:cstheme="majorEastAsia"/>
          <w:sz w:val="24"/>
          <w:szCs w:val="24"/>
        </w:rPr>
        <w:t>同意推荐为有色金属行业标</w:t>
      </w:r>
      <w:r>
        <w:rPr>
          <w:rFonts w:hint="default" w:ascii="Times New Roman" w:hAnsi="Times New Roman" w:eastAsia="宋体" w:cs="Times New Roman"/>
          <w:sz w:val="24"/>
          <w:szCs w:val="24"/>
        </w:rPr>
        <w:t>准。</w:t>
      </w:r>
    </w:p>
    <w:p>
      <w:pPr>
        <w:pStyle w:val="16"/>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630" w:leftChars="0" w:right="105" w:rightChars="50"/>
        <w:jc w:val="both"/>
        <w:textAlignment w:val="auto"/>
        <w:outlineLvl w:val="2"/>
        <w:rPr>
          <w:rFonts w:hint="default"/>
          <w:sz w:val="24"/>
          <w:szCs w:val="24"/>
          <w:lang w:val="en-US" w:eastAsia="zh-CN"/>
        </w:rPr>
      </w:pPr>
      <w:r>
        <w:rPr>
          <w:rFonts w:hint="eastAsia"/>
          <w:sz w:val="24"/>
          <w:szCs w:val="24"/>
          <w:lang w:val="en-US" w:eastAsia="zh-CN"/>
        </w:rPr>
        <w:t>六、</w:t>
      </w:r>
      <w:r>
        <w:rPr>
          <w:rFonts w:hint="default"/>
          <w:sz w:val="24"/>
          <w:szCs w:val="24"/>
          <w:lang w:val="en-US" w:eastAsia="zh-CN"/>
        </w:rPr>
        <w:t xml:space="preserve">历次审查意见汇总及处理情况 </w:t>
      </w:r>
    </w:p>
    <w:p>
      <w:pPr>
        <w:spacing w:line="360" w:lineRule="auto"/>
        <w:ind w:firstLine="470" w:firstLineChars="196"/>
        <w:rPr>
          <w:rFonts w:eastAsia="黑体"/>
          <w:sz w:val="24"/>
          <w:szCs w:val="24"/>
        </w:rPr>
      </w:pPr>
      <w:bookmarkStart w:id="5" w:name="_Toc21648"/>
      <w:bookmarkStart w:id="6" w:name="_Toc1134"/>
      <w:bookmarkStart w:id="7" w:name="_Toc9927"/>
      <w:bookmarkStart w:id="8" w:name="_Toc27736"/>
      <w:bookmarkStart w:id="9" w:name="_Toc28586"/>
      <w:r>
        <w:rPr>
          <w:rFonts w:hint="eastAsia" w:eastAsia="黑体"/>
          <w:sz w:val="24"/>
          <w:szCs w:val="24"/>
          <w:lang w:val="en-US" w:eastAsia="zh-CN"/>
        </w:rPr>
        <w:t>1</w:t>
      </w:r>
      <w:r>
        <w:rPr>
          <w:rFonts w:eastAsia="黑体"/>
          <w:sz w:val="24"/>
          <w:szCs w:val="24"/>
        </w:rPr>
        <w:t>、</w:t>
      </w:r>
      <w:r>
        <w:rPr>
          <w:rFonts w:hint="eastAsia" w:eastAsia="黑体"/>
          <w:sz w:val="24"/>
          <w:szCs w:val="24"/>
        </w:rPr>
        <w:t>行业标准讨论会（2</w:t>
      </w:r>
      <w:r>
        <w:rPr>
          <w:rFonts w:hint="eastAsia" w:eastAsia="黑体"/>
          <w:sz w:val="24"/>
          <w:szCs w:val="24"/>
          <w:lang w:val="en-US" w:eastAsia="zh-CN"/>
        </w:rPr>
        <w:t>021</w:t>
      </w:r>
      <w:r>
        <w:rPr>
          <w:rFonts w:hint="eastAsia" w:eastAsia="黑体"/>
          <w:sz w:val="24"/>
          <w:szCs w:val="24"/>
        </w:rPr>
        <w:t>年</w:t>
      </w:r>
      <w:r>
        <w:rPr>
          <w:rFonts w:hint="eastAsia" w:eastAsia="黑体"/>
          <w:sz w:val="24"/>
          <w:szCs w:val="24"/>
          <w:lang w:val="en-US" w:eastAsia="zh-CN"/>
        </w:rPr>
        <w:t>4</w:t>
      </w:r>
      <w:r>
        <w:rPr>
          <w:rFonts w:hint="eastAsia" w:eastAsia="黑体"/>
          <w:sz w:val="24"/>
          <w:szCs w:val="24"/>
        </w:rPr>
        <w:t>月2</w:t>
      </w:r>
      <w:r>
        <w:rPr>
          <w:rFonts w:hint="eastAsia" w:eastAsia="黑体"/>
          <w:sz w:val="24"/>
          <w:szCs w:val="24"/>
          <w:lang w:val="en-US" w:eastAsia="zh-CN"/>
        </w:rPr>
        <w:t>1</w:t>
      </w:r>
      <w:r>
        <w:rPr>
          <w:rFonts w:hint="eastAsia" w:eastAsia="黑体"/>
          <w:sz w:val="24"/>
          <w:szCs w:val="24"/>
        </w:rPr>
        <w:t>日）意见汇总</w:t>
      </w:r>
      <w:bookmarkEnd w:id="5"/>
      <w:bookmarkEnd w:id="6"/>
      <w:bookmarkEnd w:id="7"/>
      <w:bookmarkEnd w:id="8"/>
      <w:bookmarkEnd w:id="9"/>
    </w:p>
    <w:p>
      <w:pPr>
        <w:spacing w:line="360" w:lineRule="auto"/>
        <w:jc w:val="center"/>
        <w:rPr>
          <w:rFonts w:hint="eastAsia" w:eastAsia="黑体"/>
          <w:sz w:val="24"/>
          <w:szCs w:val="24"/>
        </w:rPr>
      </w:pPr>
      <w:r>
        <w:rPr>
          <w:rFonts w:hint="eastAsia" w:eastAsia="黑体"/>
          <w:sz w:val="24"/>
          <w:szCs w:val="24"/>
        </w:rPr>
        <w:t>表</w:t>
      </w:r>
      <w:r>
        <w:rPr>
          <w:rFonts w:hint="eastAsia" w:eastAsia="黑体"/>
          <w:sz w:val="24"/>
          <w:szCs w:val="24"/>
          <w:lang w:val="en-US" w:eastAsia="zh-CN"/>
        </w:rPr>
        <w:t>4</w:t>
      </w:r>
      <w:r>
        <w:rPr>
          <w:rFonts w:hint="eastAsia" w:eastAsia="黑体"/>
          <w:sz w:val="24"/>
          <w:szCs w:val="24"/>
        </w:rPr>
        <w:t>行业标准讨论会审查意见汇总及处理情况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95"/>
        <w:gridCol w:w="3539"/>
        <w:gridCol w:w="1613"/>
        <w:gridCol w:w="108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标准章条编号</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意见内容</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提出单位</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处理意见</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备</w:t>
            </w:r>
            <w:r>
              <w:rPr>
                <w:sz w:val="24"/>
                <w:szCs w:val="24"/>
              </w:rPr>
              <w:t xml:space="preserve"> </w:t>
            </w:r>
            <w:r>
              <w:rPr>
                <w:rFonts w:hint="eastAsia"/>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sz w:val="24"/>
                <w:szCs w:val="24"/>
              </w:rPr>
              <w:t>1</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sz w:val="24"/>
                <w:szCs w:val="24"/>
                <w:lang w:val="en-US" w:eastAsia="zh-CN"/>
              </w:rPr>
            </w:pPr>
            <w:r>
              <w:rPr>
                <w:rFonts w:hint="eastAsia"/>
                <w:sz w:val="24"/>
                <w:szCs w:val="24"/>
                <w:lang w:val="en-US" w:eastAsia="zh-CN"/>
              </w:rPr>
              <w:t>A2.1</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sz w:val="24"/>
                <w:szCs w:val="24"/>
                <w:lang w:val="en-US" w:eastAsia="zh-CN"/>
              </w:rPr>
            </w:pPr>
            <w:r>
              <w:rPr>
                <w:rFonts w:hint="eastAsia"/>
                <w:sz w:val="24"/>
                <w:szCs w:val="24"/>
                <w:lang w:val="en-US" w:eastAsia="zh-CN"/>
              </w:rPr>
              <w:t>明确所用的水参考标准</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全国有色金属标准化技术委员会</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采纳</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sz w:val="24"/>
                <w:szCs w:val="24"/>
              </w:rPr>
              <w:t>2</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sz w:val="24"/>
                <w:szCs w:val="24"/>
                <w:lang w:val="en-US" w:eastAsia="zh-CN"/>
              </w:rPr>
            </w:pPr>
            <w:r>
              <w:rPr>
                <w:rFonts w:hint="eastAsia"/>
                <w:sz w:val="24"/>
                <w:szCs w:val="24"/>
                <w:lang w:val="en-US" w:eastAsia="zh-CN"/>
              </w:rPr>
              <w:t>6.4</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sz w:val="24"/>
                <w:szCs w:val="24"/>
                <w:lang w:val="en-US"/>
              </w:rPr>
            </w:pPr>
            <w:r>
              <w:rPr>
                <w:rFonts w:hint="eastAsia"/>
                <w:sz w:val="24"/>
                <w:szCs w:val="24"/>
                <w:lang w:val="en-US" w:eastAsia="zh-CN"/>
              </w:rPr>
              <w:t>取样和制样明确具体保存期限为30天</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全国有色金属标准化技术委员会</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采纳</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p>
        </w:tc>
      </w:tr>
    </w:tbl>
    <w:p>
      <w:pPr>
        <w:keepNext w:val="0"/>
        <w:keepLines w:val="0"/>
        <w:pageBreakBefore w:val="0"/>
        <w:kinsoku/>
        <w:wordWrap/>
        <w:overflowPunct/>
        <w:topLinePunct w:val="0"/>
        <w:bidi w:val="0"/>
        <w:snapToGrid/>
        <w:spacing w:line="360" w:lineRule="auto"/>
        <w:ind w:firstLine="480" w:firstLineChars="200"/>
        <w:rPr>
          <w:rFonts w:hint="default"/>
          <w:sz w:val="24"/>
          <w:szCs w:val="24"/>
          <w:lang w:val="en-US" w:eastAsia="zh-CN"/>
        </w:rPr>
      </w:pPr>
    </w:p>
    <w:p>
      <w:pPr>
        <w:spacing w:line="360" w:lineRule="auto"/>
        <w:ind w:firstLine="470" w:firstLineChars="196"/>
        <w:rPr>
          <w:rFonts w:hint="eastAsia"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2</w:t>
      </w:r>
      <w:r>
        <w:rPr>
          <w:rFonts w:hint="eastAsia" w:ascii="Times New Roman" w:hAnsi="Times New Roman" w:eastAsia="黑体" w:cs="Times New Roman"/>
          <w:sz w:val="24"/>
          <w:szCs w:val="24"/>
        </w:rPr>
        <w:t>、行业标准预审会（20</w:t>
      </w:r>
      <w:r>
        <w:rPr>
          <w:rFonts w:hint="eastAsia" w:ascii="Times New Roman" w:hAnsi="Times New Roman" w:eastAsia="黑体" w:cs="Times New Roman"/>
          <w:sz w:val="24"/>
          <w:szCs w:val="24"/>
          <w:lang w:val="en-US" w:eastAsia="zh-CN"/>
        </w:rPr>
        <w:t>21</w:t>
      </w:r>
      <w:r>
        <w:rPr>
          <w:rFonts w:hint="eastAsia" w:ascii="Times New Roman" w:hAnsi="Times New Roman" w:eastAsia="黑体" w:cs="Times New Roman"/>
          <w:sz w:val="24"/>
          <w:szCs w:val="24"/>
        </w:rPr>
        <w:t>年</w:t>
      </w:r>
      <w:r>
        <w:rPr>
          <w:rFonts w:hint="eastAsia" w:ascii="Times New Roman" w:hAnsi="Times New Roman" w:eastAsia="黑体" w:cs="Times New Roman"/>
          <w:sz w:val="24"/>
          <w:szCs w:val="24"/>
          <w:lang w:val="en-US" w:eastAsia="zh-CN"/>
        </w:rPr>
        <w:t>9</w:t>
      </w:r>
      <w:r>
        <w:rPr>
          <w:rFonts w:hint="eastAsia" w:ascii="Times New Roman" w:hAnsi="Times New Roman" w:eastAsia="黑体" w:cs="Times New Roman"/>
          <w:sz w:val="24"/>
          <w:szCs w:val="24"/>
        </w:rPr>
        <w:t>月2</w:t>
      </w:r>
      <w:r>
        <w:rPr>
          <w:rFonts w:hint="eastAsia" w:ascii="Times New Roman" w:hAnsi="Times New Roman" w:eastAsia="黑体" w:cs="Times New Roman"/>
          <w:sz w:val="24"/>
          <w:szCs w:val="24"/>
          <w:lang w:val="en-US" w:eastAsia="zh-CN"/>
        </w:rPr>
        <w:t>7</w:t>
      </w:r>
      <w:r>
        <w:rPr>
          <w:rFonts w:hint="eastAsia" w:ascii="Times New Roman" w:hAnsi="Times New Roman" w:eastAsia="黑体" w:cs="Times New Roman"/>
          <w:sz w:val="24"/>
          <w:szCs w:val="24"/>
        </w:rPr>
        <w:t>日）修改意见汇总</w:t>
      </w:r>
    </w:p>
    <w:p>
      <w:pPr>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5</w:t>
      </w:r>
      <w:r>
        <w:rPr>
          <w:rFonts w:hint="eastAsia" w:ascii="Times New Roman" w:hAnsi="Times New Roman" w:eastAsia="黑体" w:cs="Times New Roman"/>
          <w:sz w:val="24"/>
          <w:szCs w:val="24"/>
        </w:rPr>
        <w:t>行业标准预审会修改意见汇总及处理情况</w:t>
      </w:r>
    </w:p>
    <w:tbl>
      <w:tblPr>
        <w:tblStyle w:val="8"/>
        <w:tblpPr w:leftFromText="180" w:rightFromText="180" w:vertAnchor="text" w:horzAnchor="page" w:tblpX="1798"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34"/>
        <w:gridCol w:w="3493"/>
        <w:gridCol w:w="1970"/>
        <w:gridCol w:w="1035"/>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标准章条编号</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意见内容</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提出单位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处理意见</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备</w:t>
            </w:r>
            <w:r>
              <w:rPr>
                <w:rFonts w:ascii="Times New Roman" w:hAnsi="Times New Roman" w:cs="Times New Roman"/>
                <w:sz w:val="24"/>
                <w:szCs w:val="24"/>
              </w:rPr>
              <w:t xml:space="preserve"> </w:t>
            </w:r>
            <w:r>
              <w:rPr>
                <w:rFonts w:hint="eastAsia" w:ascii="Times New Roman" w:hAnsi="Times New Roman" w:cs="Times New Roman"/>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1</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前言</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Times New Roman" w:cs="Times New Roman"/>
                <w:sz w:val="24"/>
                <w:szCs w:val="24"/>
              </w:rPr>
            </w:pPr>
            <w:r>
              <w:rPr>
                <w:rFonts w:hint="eastAsia" w:ascii="宋体" w:hAnsi="Times New Roman" w:cs="Times New Roman"/>
                <w:sz w:val="24"/>
                <w:szCs w:val="24"/>
                <w:lang w:val="en-US" w:eastAsia="zh-CN"/>
              </w:rPr>
              <w:t>前言中加入“请注意本文件的某些内容可能涉及专利。本文件的发布机构不承担识别专利的责任”</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全国有色金属标准化技术委员会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4.1</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4.1中将选矿药剂牌号应列入到表格中</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全国有色金属标准化技术委员会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4.2</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4.2中将“≧”应改为“不小于”</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全国有色金属标准化技术委员会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4.3</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4.3中应删除“可溶于碱溶液，性质稳定，带有水杨酸气味</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全国有色金属标准化技术委员会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8</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8订货单内容应加入“产品成分（产品合同）”</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全国有色金属标准化技术委员会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范围中应列入产品的用途</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中国瑞林工程技术有限公司</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7.4</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7.4产品使用说明中将“正确搬运”应改为“搬运”</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中国瑞林工程技术有限公司</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A2.3.5</w:t>
            </w:r>
          </w:p>
        </w:tc>
        <w:tc>
          <w:tcPr>
            <w:tcW w:w="34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浓硫酸应列出具体浓度标准</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中国恩菲工程技术有限公司</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采纳</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Times New Roman"/>
                <w:sz w:val="24"/>
                <w:szCs w:val="24"/>
              </w:rPr>
            </w:pPr>
          </w:p>
        </w:tc>
      </w:tr>
    </w:tbl>
    <w:p>
      <w:pPr>
        <w:spacing w:line="360" w:lineRule="auto"/>
        <w:rPr>
          <w:rFonts w:hint="eastAsia" w:ascii="黑体" w:hAnsi="黑体" w:eastAsia="黑体"/>
          <w:sz w:val="24"/>
          <w:szCs w:val="24"/>
          <w:lang w:val="en-US" w:eastAsia="zh-CN"/>
        </w:rPr>
      </w:pPr>
      <w:bookmarkStart w:id="10" w:name="_Toc15894_WPSOffice_Level1"/>
    </w:p>
    <w:p>
      <w:pPr>
        <w:spacing w:line="360" w:lineRule="auto"/>
        <w:ind w:firstLine="480" w:firstLineChars="200"/>
        <w:rPr>
          <w:rFonts w:hint="eastAsia" w:ascii="黑体" w:hAnsi="黑体" w:eastAsia="黑体"/>
          <w:sz w:val="24"/>
          <w:szCs w:val="24"/>
        </w:rPr>
      </w:pPr>
      <w:r>
        <w:rPr>
          <w:rFonts w:hint="eastAsia" w:ascii="黑体" w:hAnsi="黑体" w:eastAsia="黑体"/>
          <w:sz w:val="24"/>
          <w:szCs w:val="24"/>
          <w:lang w:val="en-US" w:eastAsia="zh-CN"/>
        </w:rPr>
        <w:t>七、</w:t>
      </w:r>
      <w:r>
        <w:rPr>
          <w:rFonts w:hint="eastAsia" w:ascii="黑体" w:hAnsi="黑体" w:eastAsia="黑体"/>
          <w:sz w:val="24"/>
          <w:szCs w:val="24"/>
        </w:rPr>
        <w:t>标准水平</w:t>
      </w:r>
      <w:bookmarkEnd w:id="10"/>
    </w:p>
    <w:p>
      <w:pPr>
        <w:spacing w:line="360" w:lineRule="auto"/>
        <w:ind w:firstLine="480" w:firstLineChars="200"/>
        <w:rPr>
          <w:rFonts w:hint="eastAsia"/>
          <w:sz w:val="24"/>
          <w:szCs w:val="24"/>
        </w:rPr>
      </w:pPr>
      <w:r>
        <w:rPr>
          <w:rFonts w:hint="eastAsia"/>
          <w:sz w:val="24"/>
          <w:szCs w:val="24"/>
        </w:rPr>
        <w:t>（1）采用国际标准和国外先进标准的程度</w:t>
      </w:r>
    </w:p>
    <w:p>
      <w:pPr>
        <w:spacing w:line="360" w:lineRule="auto"/>
        <w:ind w:firstLine="480" w:firstLineChars="200"/>
        <w:rPr>
          <w:rFonts w:hint="eastAsia"/>
          <w:sz w:val="24"/>
          <w:szCs w:val="24"/>
        </w:rPr>
      </w:pPr>
      <w:r>
        <w:rPr>
          <w:rFonts w:hint="eastAsia"/>
          <w:sz w:val="24"/>
          <w:szCs w:val="24"/>
        </w:rPr>
        <w:t>未查到</w:t>
      </w:r>
      <w:r>
        <w:rPr>
          <w:rFonts w:hint="eastAsia"/>
          <w:sz w:val="24"/>
          <w:szCs w:val="24"/>
          <w:lang w:eastAsia="zh-CN"/>
        </w:rPr>
        <w:t>水杨羟肟酸</w:t>
      </w:r>
      <w:r>
        <w:rPr>
          <w:rFonts w:hint="eastAsia"/>
          <w:sz w:val="24"/>
          <w:szCs w:val="24"/>
        </w:rPr>
        <w:t>的国际标准或国外先进标准，所以本标准没有采用其他国际或国外标准。</w:t>
      </w:r>
    </w:p>
    <w:p>
      <w:pPr>
        <w:spacing w:line="360" w:lineRule="auto"/>
        <w:ind w:firstLine="480" w:firstLineChars="200"/>
        <w:rPr>
          <w:rFonts w:hint="eastAsia"/>
          <w:sz w:val="24"/>
          <w:szCs w:val="24"/>
        </w:rPr>
      </w:pPr>
      <w:r>
        <w:rPr>
          <w:rFonts w:hint="eastAsia"/>
          <w:sz w:val="24"/>
          <w:szCs w:val="24"/>
        </w:rPr>
        <w:t>（2）该标准与国内相关标准间的关系</w:t>
      </w:r>
    </w:p>
    <w:p>
      <w:pPr>
        <w:spacing w:line="360" w:lineRule="auto"/>
        <w:ind w:firstLine="480" w:firstLineChars="200"/>
        <w:rPr>
          <w:rFonts w:ascii="宋体" w:eastAsia="黑体"/>
          <w:sz w:val="24"/>
          <w:szCs w:val="24"/>
        </w:rPr>
      </w:pPr>
      <w:r>
        <w:rPr>
          <w:rFonts w:hint="eastAsia"/>
          <w:sz w:val="24"/>
          <w:szCs w:val="24"/>
        </w:rPr>
        <w:t>未查到相关的国家或行业标准，该标准具有主导地位。</w:t>
      </w:r>
      <w:bookmarkStart w:id="11" w:name="_Toc951_WPSOffice_Level1"/>
    </w:p>
    <w:p>
      <w:pPr>
        <w:spacing w:line="360" w:lineRule="auto"/>
        <w:ind w:firstLine="480" w:firstLineChars="200"/>
        <w:rPr>
          <w:rFonts w:ascii="黑体" w:hAnsi="黑体" w:eastAsia="黑体"/>
          <w:sz w:val="24"/>
          <w:szCs w:val="24"/>
        </w:rPr>
      </w:pPr>
      <w:r>
        <w:rPr>
          <w:rFonts w:hint="eastAsia" w:ascii="黑体" w:hAnsi="黑体" w:eastAsia="黑体"/>
          <w:sz w:val="24"/>
          <w:szCs w:val="24"/>
          <w:lang w:val="en-US" w:eastAsia="zh-CN"/>
        </w:rPr>
        <w:t>八、</w:t>
      </w:r>
      <w:r>
        <w:rPr>
          <w:rFonts w:hint="eastAsia" w:ascii="黑体" w:hAnsi="黑体" w:eastAsia="黑体"/>
          <w:sz w:val="24"/>
          <w:szCs w:val="24"/>
        </w:rPr>
        <w:t>与现行相关法律、法规、规章及相关标准，特别是强制性标准的协调性</w:t>
      </w:r>
    </w:p>
    <w:p>
      <w:pPr>
        <w:pStyle w:val="25"/>
        <w:spacing w:line="360" w:lineRule="auto"/>
        <w:ind w:firstLine="480"/>
        <w:contextualSpacing/>
        <w:rPr>
          <w:sz w:val="24"/>
          <w:szCs w:val="24"/>
        </w:rPr>
      </w:pPr>
      <w:r>
        <w:rPr>
          <w:rFonts w:hint="eastAsia"/>
          <w:sz w:val="24"/>
          <w:szCs w:val="24"/>
        </w:rPr>
        <w:t>本标准的制定过程、技术指标的选定、检验项目的设置符合现行法律、法规和强制性国家标准的规定。</w:t>
      </w:r>
    </w:p>
    <w:p>
      <w:pPr>
        <w:pStyle w:val="25"/>
        <w:spacing w:line="360" w:lineRule="auto"/>
        <w:ind w:firstLine="480"/>
        <w:contextualSpacing/>
        <w:rPr>
          <w:rFonts w:hAnsi="宋体"/>
          <w:sz w:val="24"/>
          <w:szCs w:val="24"/>
        </w:rPr>
      </w:pPr>
      <w:r>
        <w:rPr>
          <w:rFonts w:hint="eastAsia" w:ascii="黑体" w:hAnsi="黑体" w:eastAsia="黑体"/>
          <w:sz w:val="24"/>
          <w:szCs w:val="24"/>
          <w:lang w:val="en-US" w:eastAsia="zh-CN"/>
        </w:rPr>
        <w:t>九、</w:t>
      </w:r>
      <w:r>
        <w:rPr>
          <w:rFonts w:hint="eastAsia" w:ascii="黑体" w:hAnsi="黑体" w:eastAsia="黑体"/>
          <w:sz w:val="24"/>
          <w:szCs w:val="24"/>
        </w:rPr>
        <w:t>重大分歧意见的处理经过和依据</w:t>
      </w:r>
    </w:p>
    <w:p>
      <w:pPr>
        <w:pStyle w:val="25"/>
        <w:spacing w:line="360" w:lineRule="auto"/>
        <w:ind w:firstLine="480"/>
        <w:rPr>
          <w:rFonts w:ascii="等线" w:hAnsi="等线"/>
          <w:sz w:val="24"/>
          <w:szCs w:val="24"/>
        </w:rPr>
      </w:pPr>
      <w:r>
        <w:rPr>
          <w:rFonts w:hint="eastAsia"/>
          <w:sz w:val="24"/>
          <w:szCs w:val="24"/>
        </w:rPr>
        <w:t>无</w:t>
      </w:r>
      <w:r>
        <w:rPr>
          <w:rFonts w:hint="eastAsia" w:ascii="等线" w:hAnsi="等线"/>
          <w:sz w:val="24"/>
          <w:szCs w:val="24"/>
        </w:rPr>
        <w:t>。</w:t>
      </w:r>
    </w:p>
    <w:p>
      <w:pPr>
        <w:pStyle w:val="25"/>
        <w:spacing w:line="360" w:lineRule="auto"/>
        <w:ind w:firstLine="480"/>
        <w:rPr>
          <w:rFonts w:ascii="等线" w:hAnsi="等线"/>
          <w:sz w:val="24"/>
          <w:szCs w:val="24"/>
        </w:rPr>
      </w:pPr>
      <w:r>
        <w:rPr>
          <w:rFonts w:hint="eastAsia" w:ascii="黑体" w:hAnsi="黑体" w:eastAsia="黑体"/>
          <w:sz w:val="24"/>
          <w:szCs w:val="24"/>
          <w:lang w:val="en-US" w:eastAsia="zh-CN"/>
        </w:rPr>
        <w:t>十、</w:t>
      </w:r>
      <w:r>
        <w:rPr>
          <w:rFonts w:hint="eastAsia" w:ascii="黑体" w:hAnsi="黑体" w:eastAsia="黑体"/>
          <w:sz w:val="24"/>
          <w:szCs w:val="24"/>
        </w:rPr>
        <w:t>标准作为强制性或推荐性标准的建议</w:t>
      </w:r>
    </w:p>
    <w:p>
      <w:pPr>
        <w:pStyle w:val="25"/>
        <w:spacing w:line="360" w:lineRule="auto"/>
        <w:ind w:firstLine="480"/>
        <w:rPr>
          <w:sz w:val="24"/>
          <w:szCs w:val="24"/>
        </w:rPr>
      </w:pPr>
      <w:r>
        <w:rPr>
          <w:rFonts w:hint="eastAsia"/>
          <w:sz w:val="24"/>
          <w:szCs w:val="24"/>
        </w:rPr>
        <w:t>本标准建议作为推荐性行业标准。</w:t>
      </w:r>
    </w:p>
    <w:p>
      <w:pPr>
        <w:pStyle w:val="25"/>
        <w:spacing w:line="360" w:lineRule="auto"/>
        <w:ind w:firstLine="480"/>
        <w:rPr>
          <w:rFonts w:ascii="等线" w:hAnsi="等线"/>
          <w:sz w:val="24"/>
          <w:szCs w:val="24"/>
        </w:rPr>
      </w:pPr>
      <w:r>
        <w:rPr>
          <w:rFonts w:hint="eastAsia" w:ascii="黑体" w:hAnsi="黑体" w:eastAsia="黑体"/>
          <w:sz w:val="24"/>
          <w:szCs w:val="24"/>
          <w:lang w:val="en-US" w:eastAsia="zh-CN"/>
        </w:rPr>
        <w:t>十一、</w:t>
      </w:r>
      <w:r>
        <w:rPr>
          <w:rFonts w:hint="eastAsia" w:ascii="黑体" w:hAnsi="黑体" w:eastAsia="黑体"/>
          <w:sz w:val="24"/>
          <w:szCs w:val="24"/>
        </w:rPr>
        <w:t>贯彻标准的要求和措施建议</w:t>
      </w:r>
    </w:p>
    <w:p>
      <w:pPr>
        <w:pStyle w:val="25"/>
        <w:spacing w:line="360" w:lineRule="auto"/>
        <w:ind w:firstLine="480"/>
        <w:rPr>
          <w:rFonts w:hint="eastAsia"/>
          <w:sz w:val="24"/>
          <w:szCs w:val="24"/>
        </w:rPr>
      </w:pPr>
      <w:r>
        <w:rPr>
          <w:rFonts w:hint="eastAsia"/>
          <w:sz w:val="24"/>
          <w:szCs w:val="24"/>
        </w:rPr>
        <w:t>建议相关生产及使用单位组织专项标准宣贯会进行系统学习。本标准发布后，各企业应积极宣传和贯彻，并按照新标准进行组织生产，以保证产品质量，满足国内、外市场及用户的需要。</w:t>
      </w:r>
    </w:p>
    <w:bookmarkEnd w:id="11"/>
    <w:p>
      <w:pPr>
        <w:spacing w:line="360" w:lineRule="auto"/>
        <w:ind w:firstLine="480" w:firstLineChars="200"/>
        <w:rPr>
          <w:rFonts w:hint="eastAsia" w:ascii="宋体" w:eastAsia="黑体"/>
          <w:sz w:val="24"/>
          <w:szCs w:val="24"/>
        </w:rPr>
      </w:pPr>
      <w:r>
        <w:rPr>
          <w:rFonts w:hint="eastAsia" w:ascii="黑体" w:hAnsi="黑体" w:eastAsia="黑体"/>
          <w:sz w:val="24"/>
          <w:szCs w:val="24"/>
          <w:lang w:val="en-US" w:eastAsia="zh-CN"/>
        </w:rPr>
        <w:t>十二、</w:t>
      </w:r>
      <w:r>
        <w:rPr>
          <w:rFonts w:hint="eastAsia" w:ascii="黑体" w:hAnsi="黑体" w:eastAsia="黑体"/>
          <w:sz w:val="24"/>
          <w:szCs w:val="24"/>
        </w:rPr>
        <w:t>废止现行有关标准的建议</w:t>
      </w:r>
    </w:p>
    <w:p>
      <w:pPr>
        <w:spacing w:line="360" w:lineRule="auto"/>
        <w:ind w:firstLine="555"/>
        <w:rPr>
          <w:rFonts w:ascii="宋体"/>
          <w:sz w:val="24"/>
          <w:szCs w:val="24"/>
        </w:rPr>
      </w:pPr>
      <w:r>
        <w:rPr>
          <w:rFonts w:hint="eastAsia" w:ascii="宋体"/>
          <w:sz w:val="24"/>
          <w:szCs w:val="24"/>
        </w:rPr>
        <w:t>本标准为新制定标准，不涉及其他标准废止。</w:t>
      </w:r>
    </w:p>
    <w:p>
      <w:pPr>
        <w:pStyle w:val="25"/>
        <w:spacing w:line="360" w:lineRule="auto"/>
        <w:ind w:firstLine="480"/>
        <w:rPr>
          <w:rFonts w:ascii="黑体" w:hAnsi="黑体" w:eastAsia="黑体"/>
          <w:sz w:val="24"/>
          <w:szCs w:val="24"/>
        </w:rPr>
      </w:pPr>
      <w:r>
        <w:rPr>
          <w:rFonts w:hint="eastAsia" w:ascii="黑体" w:hAnsi="黑体" w:eastAsia="黑体"/>
          <w:sz w:val="24"/>
          <w:szCs w:val="24"/>
          <w:lang w:val="en-US" w:eastAsia="zh-CN"/>
        </w:rPr>
        <w:t>十三、</w:t>
      </w:r>
      <w:r>
        <w:rPr>
          <w:rFonts w:hint="eastAsia" w:ascii="黑体" w:hAnsi="黑体" w:eastAsia="黑体"/>
          <w:sz w:val="24"/>
          <w:szCs w:val="24"/>
        </w:rPr>
        <w:t>预期效果</w:t>
      </w:r>
    </w:p>
    <w:p>
      <w:pPr>
        <w:pStyle w:val="25"/>
        <w:spacing w:line="360" w:lineRule="auto"/>
        <w:ind w:firstLineChars="0"/>
        <w:rPr>
          <w:rFonts w:hint="eastAsia"/>
          <w:sz w:val="24"/>
          <w:szCs w:val="24"/>
        </w:rPr>
      </w:pPr>
      <w:r>
        <w:rPr>
          <w:rFonts w:hint="eastAsia"/>
          <w:sz w:val="24"/>
          <w:szCs w:val="24"/>
        </w:rPr>
        <w:t>本标准是在国内生产企业及国内外用户需求的基础上制定，技术指标先进，具有普遍性、广泛性、适用性、科学性和先进性。本标准发布后，将更好的规范</w:t>
      </w:r>
      <w:r>
        <w:rPr>
          <w:rFonts w:hint="eastAsia"/>
          <w:sz w:val="24"/>
          <w:szCs w:val="24"/>
          <w:lang w:eastAsia="zh-CN"/>
        </w:rPr>
        <w:t>水杨羟肟酸</w:t>
      </w:r>
      <w:r>
        <w:rPr>
          <w:rFonts w:hint="eastAsia"/>
          <w:sz w:val="24"/>
          <w:szCs w:val="24"/>
        </w:rPr>
        <w:t>的技术要求，提高选矿药剂在国内、外市场上的竞争力，为生产企业带来较大的效益。</w:t>
      </w:r>
    </w:p>
    <w:p>
      <w:pPr>
        <w:pStyle w:val="15"/>
        <w:spacing w:line="360" w:lineRule="auto"/>
        <w:ind w:left="420" w:firstLineChars="0"/>
        <w:rPr>
          <w:rFonts w:ascii="宋体" w:hAnsi="宋体"/>
          <w:sz w:val="24"/>
          <w:szCs w:val="24"/>
        </w:rPr>
      </w:pPr>
    </w:p>
    <w:p>
      <w:pPr>
        <w:pStyle w:val="15"/>
        <w:spacing w:line="360" w:lineRule="auto"/>
        <w:ind w:left="420" w:firstLineChars="0"/>
        <w:rPr>
          <w:rFonts w:ascii="宋体" w:hAnsi="宋体"/>
          <w:sz w:val="24"/>
          <w:szCs w:val="24"/>
        </w:rPr>
      </w:pPr>
    </w:p>
    <w:p>
      <w:pPr>
        <w:pStyle w:val="15"/>
        <w:spacing w:line="360" w:lineRule="auto"/>
        <w:ind w:left="420" w:firstLineChars="0"/>
        <w:jc w:val="right"/>
        <w:rPr>
          <w:rFonts w:hint="default" w:ascii="宋体" w:hAnsi="宋体"/>
          <w:sz w:val="24"/>
          <w:szCs w:val="24"/>
          <w:lang w:val="en-US"/>
        </w:rPr>
      </w:pPr>
      <w:r>
        <w:rPr>
          <w:rFonts w:hint="eastAsia" w:ascii="宋体" w:hAnsi="宋体"/>
          <w:sz w:val="24"/>
          <w:szCs w:val="24"/>
          <w:lang w:val="en-US" w:eastAsia="zh-CN"/>
        </w:rPr>
        <w:t>铁岭选矿药剂有限公司</w:t>
      </w:r>
      <w:r>
        <w:rPr>
          <w:rFonts w:hint="eastAsia" w:ascii="宋体" w:hAnsi="宋体"/>
          <w:sz w:val="24"/>
          <w:szCs w:val="24"/>
        </w:rPr>
        <w:t xml:space="preserve">                                                   </w:t>
      </w:r>
      <w:r>
        <w:rPr>
          <w:rFonts w:hint="eastAsia" w:ascii="宋体" w:hAnsi="宋体"/>
          <w:sz w:val="24"/>
          <w:szCs w:val="24"/>
          <w:lang w:val="en-US" w:eastAsia="zh-CN"/>
        </w:rPr>
        <w:t xml:space="preserve">             2021.12.08</w:t>
      </w:r>
    </w:p>
    <w:p>
      <w:pPr>
        <w:pStyle w:val="15"/>
        <w:spacing w:line="360" w:lineRule="auto"/>
        <w:ind w:firstLine="0" w:firstLineChars="0"/>
        <w:jc w:val="left"/>
        <w:rPr>
          <w:rFonts w:ascii="宋体" w:hAnsi="宋体"/>
          <w:sz w:val="24"/>
          <w:szCs w:val="24"/>
        </w:rPr>
      </w:pP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AWFRmuhAQAATAMAAA4AAAAAAAAAAQAg&#10;AAAAHgEAAGRycy9lMm9Eb2MueG1sUEsFBgAAAAAGAAYAWQEAADE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F20D"/>
    <w:multiLevelType w:val="singleLevel"/>
    <w:tmpl w:val="5A03F20D"/>
    <w:lvl w:ilvl="0" w:tentative="0">
      <w:start w:val="1"/>
      <w:numFmt w:val="decimal"/>
      <w:suff w:val="nothing"/>
      <w:lvlText w:val="%1"/>
      <w:lvlJc w:val="left"/>
      <w:pPr>
        <w:ind w:left="-397" w:firstLine="397"/>
      </w:pPr>
      <w:rPr>
        <w:rFonts w:hint="default"/>
      </w:rPr>
    </w:lvl>
  </w:abstractNum>
  <w:abstractNum w:abstractNumId="1">
    <w:nsid w:val="5A03FC6E"/>
    <w:multiLevelType w:val="singleLevel"/>
    <w:tmpl w:val="5A03FC6E"/>
    <w:lvl w:ilvl="0" w:tentative="0">
      <w:start w:val="16"/>
      <w:numFmt w:val="decimal"/>
      <w:lvlText w:val="%1"/>
      <w:lvlJc w:val="center"/>
      <w:pPr>
        <w:tabs>
          <w:tab w:val="left" w:pos="397"/>
        </w:tabs>
        <w:ind w:left="664" w:hanging="454"/>
      </w:pPr>
      <w:rPr>
        <w:rFonts w:hint="default"/>
      </w:rPr>
    </w:lvl>
  </w:abstractNum>
  <w:abstractNum w:abstractNumId="2">
    <w:nsid w:val="76933334"/>
    <w:multiLevelType w:val="multilevel"/>
    <w:tmpl w:val="76933334"/>
    <w:lvl w:ilvl="0" w:tentative="0">
      <w:start w:val="1"/>
      <w:numFmt w:val="none"/>
      <w:pStyle w:val="17"/>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D64BD40"/>
    <w:multiLevelType w:val="singleLevel"/>
    <w:tmpl w:val="7D64BD40"/>
    <w:lvl w:ilvl="0" w:tentative="0">
      <w:start w:val="1"/>
      <w:numFmt w:val="lowerLetter"/>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2EB2FA7"/>
    <w:rsid w:val="03480AC4"/>
    <w:rsid w:val="0363441D"/>
    <w:rsid w:val="052C6A31"/>
    <w:rsid w:val="054439D9"/>
    <w:rsid w:val="06E52216"/>
    <w:rsid w:val="07234A73"/>
    <w:rsid w:val="07586BC1"/>
    <w:rsid w:val="098F2CB8"/>
    <w:rsid w:val="0CB63E5B"/>
    <w:rsid w:val="0CD45DC2"/>
    <w:rsid w:val="0D183875"/>
    <w:rsid w:val="0D4C55B3"/>
    <w:rsid w:val="0DC34C5F"/>
    <w:rsid w:val="0E7C7905"/>
    <w:rsid w:val="0EC95D13"/>
    <w:rsid w:val="10DB43B2"/>
    <w:rsid w:val="11EE0F06"/>
    <w:rsid w:val="15356120"/>
    <w:rsid w:val="159427DB"/>
    <w:rsid w:val="16592FC9"/>
    <w:rsid w:val="18F37030"/>
    <w:rsid w:val="1A6062F6"/>
    <w:rsid w:val="1AA9322D"/>
    <w:rsid w:val="1BA63977"/>
    <w:rsid w:val="1D030015"/>
    <w:rsid w:val="1E33198B"/>
    <w:rsid w:val="1F0E3557"/>
    <w:rsid w:val="209C1734"/>
    <w:rsid w:val="20E5528C"/>
    <w:rsid w:val="22462E17"/>
    <w:rsid w:val="23144E74"/>
    <w:rsid w:val="284F34BF"/>
    <w:rsid w:val="29363E8F"/>
    <w:rsid w:val="29B502CD"/>
    <w:rsid w:val="2B64244D"/>
    <w:rsid w:val="2BC91EE4"/>
    <w:rsid w:val="2BF11293"/>
    <w:rsid w:val="2C994160"/>
    <w:rsid w:val="2EDA5401"/>
    <w:rsid w:val="2F410DCB"/>
    <w:rsid w:val="32CD1101"/>
    <w:rsid w:val="342207D0"/>
    <w:rsid w:val="343A1C33"/>
    <w:rsid w:val="380E42AA"/>
    <w:rsid w:val="38583409"/>
    <w:rsid w:val="385951F8"/>
    <w:rsid w:val="3B3C6F8E"/>
    <w:rsid w:val="3B442DD7"/>
    <w:rsid w:val="3DE249BB"/>
    <w:rsid w:val="3E34648A"/>
    <w:rsid w:val="3E3E7964"/>
    <w:rsid w:val="422139D0"/>
    <w:rsid w:val="44F25765"/>
    <w:rsid w:val="466A4464"/>
    <w:rsid w:val="490273BF"/>
    <w:rsid w:val="4A473611"/>
    <w:rsid w:val="4AAC36F0"/>
    <w:rsid w:val="4BB23711"/>
    <w:rsid w:val="4C7465FD"/>
    <w:rsid w:val="4CAB17AD"/>
    <w:rsid w:val="4CD27A3D"/>
    <w:rsid w:val="4D5E3A85"/>
    <w:rsid w:val="4DBA2221"/>
    <w:rsid w:val="4ED951E9"/>
    <w:rsid w:val="54CC4920"/>
    <w:rsid w:val="57F11B84"/>
    <w:rsid w:val="58592FF4"/>
    <w:rsid w:val="599455CA"/>
    <w:rsid w:val="5A0001FC"/>
    <w:rsid w:val="5A41590F"/>
    <w:rsid w:val="5D5944CD"/>
    <w:rsid w:val="60A10AE2"/>
    <w:rsid w:val="642063EB"/>
    <w:rsid w:val="64666728"/>
    <w:rsid w:val="68483E8E"/>
    <w:rsid w:val="688B7DDA"/>
    <w:rsid w:val="69B33527"/>
    <w:rsid w:val="6A347606"/>
    <w:rsid w:val="6A4A1C5F"/>
    <w:rsid w:val="6C420750"/>
    <w:rsid w:val="6EF23F0A"/>
    <w:rsid w:val="70891029"/>
    <w:rsid w:val="71432142"/>
    <w:rsid w:val="736067A0"/>
    <w:rsid w:val="74807969"/>
    <w:rsid w:val="76EC0A63"/>
    <w:rsid w:val="78DA7914"/>
    <w:rsid w:val="7BE01972"/>
    <w:rsid w:val="7CE05FF6"/>
    <w:rsid w:val="7CF76FF7"/>
    <w:rsid w:val="7DB64DC9"/>
    <w:rsid w:val="7E3E7776"/>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2">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Balloon Text"/>
    <w:basedOn w:val="1"/>
    <w:link w:val="27"/>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paragraph" w:customStyle="1" w:styleId="12">
    <w:name w:val="List Paragraph1"/>
    <w:basedOn w:val="1"/>
    <w:qFormat/>
    <w:uiPriority w:val="99"/>
    <w:pPr>
      <w:ind w:firstLine="420" w:firstLineChars="200"/>
    </w:pPr>
  </w:style>
  <w:style w:type="paragraph" w:customStyle="1" w:styleId="13">
    <w:name w:val="章标题"/>
    <w:next w:val="1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List Paragraph"/>
    <w:basedOn w:val="1"/>
    <w:qFormat/>
    <w:uiPriority w:val="34"/>
    <w:pPr>
      <w:ind w:firstLine="420" w:firstLineChars="200"/>
    </w:pPr>
  </w:style>
  <w:style w:type="paragraph" w:customStyle="1" w:styleId="16">
    <w:name w:val="一级条标题"/>
    <w:basedOn w:val="13"/>
    <w:next w:val="14"/>
    <w:qFormat/>
    <w:uiPriority w:val="0"/>
    <w:pPr>
      <w:spacing w:beforeLines="0" w:afterLines="0"/>
      <w:outlineLvl w:val="2"/>
    </w:pPr>
  </w:style>
  <w:style w:type="paragraph" w:customStyle="1" w:styleId="17">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8">
    <w:name w:val="二级条标题"/>
    <w:basedOn w:val="16"/>
    <w:next w:val="14"/>
    <w:qFormat/>
    <w:uiPriority w:val="0"/>
    <w:pPr>
      <w:outlineLvl w:val="3"/>
    </w:pPr>
  </w:style>
  <w:style w:type="paragraph" w:customStyle="1" w:styleId="19">
    <w:name w:val="三级条标题"/>
    <w:basedOn w:val="18"/>
    <w:next w:val="14"/>
    <w:qFormat/>
    <w:uiPriority w:val="0"/>
    <w:pPr>
      <w:outlineLvl w:val="4"/>
    </w:p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英文名称"/>
    <w:basedOn w:val="22"/>
    <w:qFormat/>
    <w:uiPriority w:val="0"/>
    <w:pPr>
      <w:framePr w:wrap="around" w:vAnchor="margin" w:hAnchor="text" w:y="2"/>
      <w:spacing w:before="370" w:line="400" w:lineRule="exact"/>
    </w:pPr>
    <w:rPr>
      <w:rFonts w:ascii="Times New Roman"/>
      <w:sz w:val="28"/>
      <w:szCs w:val="28"/>
    </w:rPr>
  </w:style>
  <w:style w:type="paragraph" w:customStyle="1" w:styleId="24">
    <w:name w:val="封面一致性程度标识"/>
    <w:basedOn w:val="23"/>
    <w:qFormat/>
    <w:uiPriority w:val="0"/>
    <w:pPr>
      <w:spacing w:before="440"/>
    </w:pPr>
    <w:rPr>
      <w:rFonts w:ascii="宋体" w:eastAsia="宋体"/>
    </w:rPr>
  </w:style>
  <w:style w:type="paragraph" w:customStyle="1" w:styleId="25">
    <w:name w:val="_Style 21"/>
    <w:basedOn w:val="1"/>
    <w:qFormat/>
    <w:uiPriority w:val="34"/>
    <w:pPr>
      <w:ind w:firstLine="420" w:firstLineChars="200"/>
    </w:pPr>
    <w:rPr>
      <w:szCs w:val="24"/>
    </w:rPr>
  </w:style>
  <w:style w:type="character" w:customStyle="1" w:styleId="26">
    <w:name w:val="页眉 Char"/>
    <w:basedOn w:val="10"/>
    <w:link w:val="7"/>
    <w:qFormat/>
    <w:uiPriority w:val="99"/>
    <w:rPr>
      <w:sz w:val="18"/>
      <w:szCs w:val="18"/>
    </w:rPr>
  </w:style>
  <w:style w:type="character" w:customStyle="1" w:styleId="27">
    <w:name w:val="批注框文本 Char"/>
    <w:basedOn w:val="10"/>
    <w:link w:val="5"/>
    <w:semiHidden/>
    <w:qFormat/>
    <w:uiPriority w:val="99"/>
    <w:rPr>
      <w:sz w:val="18"/>
      <w:szCs w:val="18"/>
    </w:rPr>
  </w:style>
  <w:style w:type="character" w:customStyle="1" w:styleId="28">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8030</Words>
  <Characters>8889</Characters>
  <Lines>67</Lines>
  <Paragraphs>18</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张迪</cp:lastModifiedBy>
  <cp:lastPrinted>2021-09-24T08:52:00Z</cp:lastPrinted>
  <dcterms:modified xsi:type="dcterms:W3CDTF">2021-12-10T00:49:06Z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