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77.160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16</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YS</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粗氢氧化镍钴化学分析方法</w:t>
      </w:r>
    </w:p>
    <w:p>
      <w:pPr>
        <w:pStyle w:val="197"/>
        <w:framePr w:h="6974" w:hRule="exact" w:wrap="around" w:x="1419" w:anchorLock="1"/>
      </w:pPr>
      <w:r>
        <w:t>第</w:t>
      </w:r>
      <w:r>
        <w:rPr>
          <w:rFonts w:hint="eastAsia"/>
          <w:lang w:val="en-US" w:eastAsia="zh-CN"/>
        </w:rPr>
        <w:t>3</w:t>
      </w:r>
      <w:r>
        <w:t>部分：</w:t>
      </w:r>
      <w:r>
        <w:rPr>
          <w:rFonts w:hint="eastAsia"/>
          <w:lang w:val="en-US" w:eastAsia="zh-CN"/>
        </w:rPr>
        <w:t>氟离子</w:t>
      </w:r>
      <w:r>
        <w:t>含量的测定</w:t>
      </w:r>
    </w:p>
    <w:p>
      <w:pPr>
        <w:pStyle w:val="197"/>
        <w:framePr w:h="6974" w:hRule="exact" w:wrap="around" w:x="1419" w:anchorLock="1"/>
      </w:pPr>
      <w:r>
        <w:rPr>
          <w:rFonts w:hint="eastAsia"/>
          <w:lang w:val="en-US" w:eastAsia="zh-CN"/>
        </w:rPr>
        <w:t>离子选择电极</w:t>
      </w:r>
      <w:r>
        <w:t>法</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Methods for chemical analysis of crude nickel and cobalt hydroxide</w:t>
      </w:r>
      <w:r>
        <w:rPr>
          <w:rFonts w:hint="eastAsia" w:eastAsia="黑体"/>
          <w:szCs w:val="28"/>
        </w:rPr>
        <w:t xml:space="preserve">— </w:t>
      </w:r>
      <w:r>
        <w:rPr>
          <w:rFonts w:eastAsia="黑体"/>
          <w:szCs w:val="28"/>
        </w:rPr>
        <w:t xml:space="preserve">               Part </w:t>
      </w:r>
      <w:r>
        <w:rPr>
          <w:rFonts w:hint="eastAsia" w:eastAsia="黑体"/>
          <w:szCs w:val="28"/>
          <w:lang w:val="en-US" w:eastAsia="zh-CN"/>
        </w:rPr>
        <w:t>3</w:t>
      </w:r>
      <w:r>
        <w:rPr>
          <w:rFonts w:eastAsia="黑体"/>
          <w:szCs w:val="28"/>
        </w:rPr>
        <w:t xml:space="preserve">：Determination of </w:t>
      </w:r>
      <w:r>
        <w:rPr>
          <w:rFonts w:ascii="Times New Roman"/>
          <w:sz w:val="32"/>
          <w:szCs w:val="32"/>
        </w:rPr>
        <w:t>fluorine</w:t>
      </w:r>
      <w:r>
        <w:rPr>
          <w:rFonts w:eastAsia="黑体"/>
          <w:szCs w:val="28"/>
        </w:rPr>
        <w:t xml:space="preserve"> content</w:t>
      </w:r>
      <w:r>
        <w:rPr>
          <w:rFonts w:hint="eastAsia" w:eastAsia="黑体"/>
          <w:szCs w:val="28"/>
        </w:rPr>
        <w:t xml:space="preserve">— </w:t>
      </w:r>
      <w:r>
        <w:rPr>
          <w:rFonts w:eastAsia="黑体"/>
          <w:szCs w:val="28"/>
        </w:rPr>
        <w:t xml:space="preserve">                    </w:t>
      </w:r>
    </w:p>
    <w:p>
      <w:pPr>
        <w:pStyle w:val="125"/>
        <w:framePr w:w="9639" w:h="6974" w:hRule="exact" w:wrap="around" w:vAnchor="page" w:hAnchor="page" w:x="1419" w:y="6408" w:anchorLock="1"/>
        <w:textAlignment w:val="bottom"/>
        <w:rPr>
          <w:rFonts w:eastAsia="黑体"/>
          <w:szCs w:val="28"/>
        </w:rPr>
      </w:pPr>
      <w:r>
        <w:rPr>
          <w:rFonts w:hint="eastAsia" w:eastAsia="黑体"/>
          <w:szCs w:val="28"/>
        </w:rPr>
        <w:t xml:space="preserve">Ion selective electrode </w:t>
      </w:r>
      <w:r>
        <w:rPr>
          <w:rFonts w:eastAsia="黑体"/>
          <w:szCs w:val="28"/>
        </w:rPr>
        <w:t>method</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021.10.</w:t>
      </w:r>
      <w:r>
        <w:rPr>
          <w:rFonts w:hint="eastAsia"/>
          <w:sz w:val="21"/>
          <w:szCs w:val="28"/>
          <w:lang w:val="en-US" w:eastAsia="zh-CN"/>
        </w:rPr>
        <w:t>10</w:t>
      </w:r>
      <w:r>
        <w:rPr>
          <w:rFonts w:hint="eastAsia"/>
          <w:sz w:val="21"/>
          <w:szCs w:val="28"/>
        </w:rPr>
        <w:t>）</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w:t>
      </w:r>
      <w:r>
        <w:rPr>
          <w:rFonts w:hAnsi="黑体"/>
          <w:w w:val="100"/>
          <w:sz w:val="28"/>
        </w:rPr>
        <w:t xml:space="preserve"> 华 人 民 共 和 国 工 业 和 信 息 化 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2" w:name="BookMark2"/>
      <w:r>
        <w:rPr>
          <w:spacing w:val="320"/>
        </w:rPr>
        <w:t>前</w:t>
      </w:r>
      <w:r>
        <w:t>言</w:t>
      </w:r>
    </w:p>
    <w:p>
      <w:pPr>
        <w:pStyle w:val="56"/>
        <w:ind w:firstLine="420"/>
        <w:rPr>
          <w:rFonts w:ascii="Times New Roman"/>
        </w:rPr>
      </w:pPr>
      <w:r>
        <w:rPr>
          <w:rFonts w:hint="eastAsia" w:ascii="Times New Roman"/>
        </w:rPr>
        <w:t>本文件按照GB/T 1.1—2020《标准化工作导则 第1部分：标准化文件的结构和起草规则》的规定起草。</w:t>
      </w:r>
    </w:p>
    <w:p>
      <w:pPr>
        <w:pStyle w:val="56"/>
        <w:ind w:firstLine="420"/>
        <w:rPr>
          <w:rFonts w:ascii="Times New Roman"/>
        </w:rPr>
      </w:pPr>
      <w:r>
        <w:rPr>
          <w:rFonts w:hint="eastAsia" w:ascii="Times New Roman"/>
        </w:rPr>
        <w:t>本文件是YS/T XXXX《粗氢氧化镍钴化学分析方法》的第</w:t>
      </w:r>
      <w:r>
        <w:rPr>
          <w:rFonts w:ascii="Times New Roman"/>
        </w:rPr>
        <w:t>1</w:t>
      </w:r>
      <w:r>
        <w:rPr>
          <w:rFonts w:hint="eastAsia" w:ascii="Times New Roman"/>
        </w:rPr>
        <w:t>部分。YS/T XXXX分为以下9个部分：</w:t>
      </w:r>
    </w:p>
    <w:p>
      <w:pPr>
        <w:pStyle w:val="56"/>
        <w:ind w:firstLine="420"/>
        <w:rPr>
          <w:rFonts w:ascii="Times New Roman"/>
        </w:rPr>
      </w:pPr>
      <w:r>
        <w:rPr>
          <w:rFonts w:ascii="Times New Roman"/>
        </w:rPr>
        <w:t>——第1部分：镍含量的测定 丁二酮肟重量法；</w:t>
      </w:r>
    </w:p>
    <w:p>
      <w:pPr>
        <w:pStyle w:val="56"/>
        <w:ind w:firstLine="420"/>
        <w:rPr>
          <w:rFonts w:ascii="Times New Roman"/>
        </w:rPr>
      </w:pPr>
      <w:r>
        <w:rPr>
          <w:rFonts w:ascii="Times New Roman"/>
        </w:rPr>
        <w:t>——第2部分：铬、磷含量的测定 电感耦合等离子体原子发射光谱法；</w:t>
      </w:r>
    </w:p>
    <w:p>
      <w:pPr>
        <w:pStyle w:val="56"/>
        <w:ind w:firstLine="420"/>
        <w:rPr>
          <w:rFonts w:ascii="Times New Roman"/>
        </w:rPr>
      </w:pPr>
      <w:r>
        <w:rPr>
          <w:rFonts w:ascii="Times New Roman"/>
        </w:rPr>
        <w:t>——第3部分：氟离子含量的测定 离子选择性电极法；</w:t>
      </w:r>
    </w:p>
    <w:p>
      <w:pPr>
        <w:pStyle w:val="56"/>
        <w:ind w:firstLine="420"/>
        <w:rPr>
          <w:rFonts w:ascii="Times New Roman"/>
        </w:rPr>
      </w:pPr>
      <w:r>
        <w:rPr>
          <w:rFonts w:ascii="Times New Roman"/>
        </w:rPr>
        <w:t>——第6部分：盐酸不溶物含量的测定 重量法；</w:t>
      </w:r>
    </w:p>
    <w:p>
      <w:pPr>
        <w:pStyle w:val="56"/>
        <w:ind w:firstLine="420"/>
        <w:rPr>
          <w:rFonts w:ascii="Times New Roman"/>
        </w:rPr>
      </w:pPr>
      <w:r>
        <w:rPr>
          <w:rFonts w:ascii="Times New Roman"/>
        </w:rPr>
        <w:t>——第7部分：锰含量的测定 电位滴定法；</w:t>
      </w:r>
    </w:p>
    <w:p>
      <w:pPr>
        <w:pStyle w:val="56"/>
        <w:ind w:firstLine="420"/>
        <w:rPr>
          <w:rFonts w:ascii="Times New Roman"/>
        </w:rPr>
      </w:pPr>
      <w:r>
        <w:rPr>
          <w:rFonts w:ascii="Times New Roman"/>
        </w:rPr>
        <w:t>——第8部分：铜、铝、锂、锌、镉、铅、砷含量的测定 电感耦合等离子体原子发射光谱法；</w:t>
      </w:r>
    </w:p>
    <w:p>
      <w:pPr>
        <w:pStyle w:val="56"/>
        <w:ind w:firstLine="420"/>
        <w:rPr>
          <w:rFonts w:ascii="Times New Roman"/>
        </w:rPr>
      </w:pPr>
      <w:r>
        <w:rPr>
          <w:rFonts w:ascii="Times New Roman"/>
        </w:rPr>
        <w:t>——第9部分：水分含量的测定 烘箱干燥法。</w:t>
      </w:r>
    </w:p>
    <w:p>
      <w:pPr>
        <w:pStyle w:val="56"/>
        <w:ind w:firstLine="420"/>
        <w:rPr>
          <w:rFonts w:ascii="Times New Roman"/>
        </w:rPr>
      </w:pPr>
      <w:r>
        <w:rPr>
          <w:rFonts w:hint="eastAsia" w:ascii="Times New Roman"/>
        </w:rPr>
        <w:t>请注意本文件的某些内容可能涉及专利。本文件的发布机构不承担识别专利的责任。</w:t>
      </w:r>
    </w:p>
    <w:p>
      <w:pPr>
        <w:pStyle w:val="56"/>
        <w:ind w:firstLine="420"/>
        <w:rPr>
          <w:rFonts w:ascii="Times New Roman"/>
        </w:rPr>
      </w:pPr>
      <w:r>
        <w:rPr>
          <w:rFonts w:hint="eastAsia" w:ascii="Times New Roman"/>
        </w:rPr>
        <w:t>本文件由全国有色金属标准化技术委员会（SAC/TC 243）提出并归口。</w:t>
      </w:r>
    </w:p>
    <w:p>
      <w:pPr>
        <w:pStyle w:val="56"/>
        <w:ind w:firstLine="420"/>
        <w:rPr>
          <w:rFonts w:ascii="Times New Roman"/>
        </w:rPr>
      </w:pPr>
      <w:r>
        <w:rPr>
          <w:rFonts w:hint="eastAsia" w:ascii="Times New Roman"/>
        </w:rPr>
        <w:t>本标准起草单位：</w:t>
      </w:r>
    </w:p>
    <w:p>
      <w:pPr>
        <w:pStyle w:val="56"/>
        <w:ind w:firstLine="420"/>
        <w:rPr>
          <w:rFonts w:ascii="Times New Roman"/>
        </w:rPr>
      </w:pPr>
      <w:r>
        <w:rPr>
          <w:rFonts w:hint="eastAsia" w:ascii="Times New Roman"/>
        </w:rPr>
        <w:t>本标准主要起草人：</w:t>
      </w:r>
    </w:p>
    <w:p>
      <w:pPr>
        <w:pStyle w:val="56"/>
        <w:ind w:firstLine="420"/>
      </w:pPr>
    </w:p>
    <w:p>
      <w:pPr>
        <w:pStyle w:val="56"/>
        <w:ind w:firstLine="420"/>
      </w:pPr>
    </w:p>
    <w:p>
      <w:pPr>
        <w:pStyle w:val="56"/>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22"/>
    <w:p>
      <w:pPr>
        <w:pStyle w:val="89"/>
        <w:spacing w:after="360"/>
      </w:pPr>
      <w:bookmarkStart w:id="23" w:name="BookMark3"/>
      <w:r>
        <w:rPr>
          <w:spacing w:val="320"/>
        </w:rPr>
        <w:t>引</w:t>
      </w:r>
      <w:r>
        <w:t>言</w:t>
      </w:r>
    </w:p>
    <w:p>
      <w:pPr>
        <w:pStyle w:val="56"/>
        <w:ind w:firstLine="420"/>
        <w:rPr>
          <w:rFonts w:ascii="Times New Roman"/>
        </w:rPr>
      </w:pPr>
      <w:r>
        <w:rPr>
          <w:rFonts w:hint="eastAsia" w:ascii="Times New Roman"/>
        </w:rPr>
        <w:t>生产粗氢氧化镍钴的原料主要是废锂离子电池废料，通过预处理、酸溶、除杂、碱沉生产得到粗制氢氧化物产品。粗氢氧化镍钴产品的化学成分直接影响到产品质量的好坏，目前产品标准《粗氢氧化镍钴》已报批，预计2021年可发布，建立一套针对粗氢氧化镍钴化学成分的分析方法标准是十分必要的。</w:t>
      </w:r>
    </w:p>
    <w:p>
      <w:pPr>
        <w:pStyle w:val="56"/>
        <w:ind w:firstLine="420"/>
        <w:rPr>
          <w:rFonts w:ascii="Times New Roman"/>
        </w:rPr>
      </w:pPr>
      <w:r>
        <w:rPr>
          <w:rFonts w:hint="eastAsia" w:ascii="Times New Roman"/>
        </w:rPr>
        <w:t>YS/T XXXX《粗氢氧化镍钴化学分析方法》由7个部分构成。</w:t>
      </w:r>
    </w:p>
    <w:p>
      <w:pPr>
        <w:pStyle w:val="56"/>
        <w:ind w:firstLine="420"/>
        <w:rPr>
          <w:rFonts w:ascii="Times New Roman"/>
        </w:rPr>
      </w:pPr>
      <w:r>
        <w:rPr>
          <w:rFonts w:ascii="Times New Roman"/>
        </w:rPr>
        <w:t>——第1部分：镍含量的测定 丁二酮肟重量法；</w:t>
      </w:r>
    </w:p>
    <w:p>
      <w:pPr>
        <w:pStyle w:val="56"/>
        <w:ind w:firstLine="420"/>
        <w:rPr>
          <w:rFonts w:ascii="Times New Roman"/>
        </w:rPr>
      </w:pPr>
      <w:r>
        <w:rPr>
          <w:rFonts w:ascii="Times New Roman"/>
        </w:rPr>
        <w:t>——第2部分：铬、磷含量的测定 电感耦合等离子体原子发射光谱法；</w:t>
      </w:r>
    </w:p>
    <w:p>
      <w:pPr>
        <w:pStyle w:val="56"/>
        <w:ind w:firstLine="420"/>
        <w:rPr>
          <w:rFonts w:ascii="Times New Roman"/>
        </w:rPr>
      </w:pPr>
      <w:r>
        <w:rPr>
          <w:rFonts w:ascii="Times New Roman"/>
        </w:rPr>
        <w:t>——第3部分：氟离子含量的测定 离子选择性电极法；</w:t>
      </w:r>
    </w:p>
    <w:p>
      <w:pPr>
        <w:pStyle w:val="56"/>
        <w:ind w:firstLine="420"/>
        <w:rPr>
          <w:rFonts w:ascii="Times New Roman"/>
        </w:rPr>
      </w:pPr>
      <w:r>
        <w:rPr>
          <w:rFonts w:ascii="Times New Roman"/>
        </w:rPr>
        <w:t>——第6部分：盐酸不溶物含量的测定 重量法；</w:t>
      </w:r>
    </w:p>
    <w:p>
      <w:pPr>
        <w:pStyle w:val="56"/>
        <w:ind w:firstLine="420"/>
        <w:rPr>
          <w:rFonts w:ascii="Times New Roman"/>
        </w:rPr>
      </w:pPr>
      <w:r>
        <w:rPr>
          <w:rFonts w:ascii="Times New Roman"/>
        </w:rPr>
        <w:t>——第7部分：锰含量的测定 电位滴定法；</w:t>
      </w:r>
    </w:p>
    <w:p>
      <w:pPr>
        <w:pStyle w:val="56"/>
        <w:ind w:firstLine="420"/>
        <w:rPr>
          <w:rFonts w:ascii="Times New Roman"/>
        </w:rPr>
      </w:pPr>
      <w:r>
        <w:rPr>
          <w:rFonts w:ascii="Times New Roman"/>
        </w:rPr>
        <w:t>——第8部分：铜、铝、锂、锌、镉、铅、砷含量的测定 电感耦合等离子体原子发射光谱法；</w:t>
      </w:r>
    </w:p>
    <w:p>
      <w:pPr>
        <w:pStyle w:val="56"/>
        <w:ind w:firstLine="420"/>
        <w:rPr>
          <w:rFonts w:ascii="Times New Roman"/>
        </w:rPr>
      </w:pPr>
      <w:r>
        <w:rPr>
          <w:rFonts w:ascii="Times New Roman"/>
        </w:rPr>
        <w:t>——第9部分：水分含量的测定 烘箱干燥法。</w:t>
      </w:r>
    </w:p>
    <w:p>
      <w:pPr>
        <w:pStyle w:val="56"/>
        <w:ind w:firstLine="420"/>
      </w:pPr>
      <w:r>
        <w:rPr>
          <w:rFonts w:hint="eastAsia" w:ascii="Times New Roman"/>
        </w:rPr>
        <w:t>本文件的制定为科学、准确的测定粗氢氧化镍钴的化学成分提供了依据，对于提高粗氢氧化镍钴产品质量及减少供应商和客户之间因检测误差造成的商业纠纷具有重要作用，有力的促进了粗氢氧化镍钴产业化发展。</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B0B000BB033B41B8AE03038E95CDABB9"/>
        </w:placeholder>
      </w:sdtPr>
      <w:sdtContent>
        <w:p>
          <w:pPr>
            <w:pStyle w:val="177"/>
            <w:spacing w:before="240" w:beforeLines="100" w:after="2" w:afterLines="1"/>
          </w:pPr>
          <w:bookmarkStart w:id="25" w:name="NEW_STAND_NAME"/>
          <w:r>
            <w:rPr>
              <w:rFonts w:hint="eastAsia"/>
            </w:rPr>
            <w:t>粗氢氧化镍钴化学分析方法</w:t>
          </w:r>
        </w:p>
        <w:p>
          <w:pPr>
            <w:pStyle w:val="177"/>
            <w:spacing w:before="2" w:beforeLines="1" w:after="2" w:afterLines="1"/>
          </w:pPr>
          <w:r>
            <w:rPr>
              <w:rFonts w:hint="eastAsia"/>
            </w:rPr>
            <w:t>第</w:t>
          </w:r>
          <w:r>
            <w:rPr>
              <w:rFonts w:hint="eastAsia"/>
              <w:lang w:val="en-US" w:eastAsia="zh-CN"/>
            </w:rPr>
            <w:t>3</w:t>
          </w:r>
          <w:r>
            <w:t>部分：</w:t>
          </w:r>
          <w:r>
            <w:rPr>
              <w:rFonts w:hint="eastAsia"/>
              <w:lang w:val="en-US" w:eastAsia="zh-CN"/>
            </w:rPr>
            <w:t>氟离子</w:t>
          </w:r>
          <w:r>
            <w:t>含量的测定</w:t>
          </w:r>
        </w:p>
        <w:p>
          <w:pPr>
            <w:pStyle w:val="177"/>
            <w:spacing w:before="2" w:beforeLines="1" w:after="680"/>
          </w:pPr>
          <w:r>
            <w:rPr>
              <w:rFonts w:hint="eastAsia"/>
              <w:lang w:val="en-US" w:eastAsia="zh-CN"/>
            </w:rPr>
            <w:t>离子选择电极</w:t>
          </w:r>
          <w:r>
            <w:rPr>
              <w:rFonts w:hint="eastAsia"/>
            </w:rPr>
            <w:t>法</w:t>
          </w:r>
        </w:p>
      </w:sdtContent>
    </w:sdt>
    <w:bookmarkEnd w:id="25"/>
    <w:p>
      <w:pPr>
        <w:pStyle w:val="104"/>
        <w:spacing w:before="240" w:after="240"/>
      </w:pPr>
      <w:bookmarkStart w:id="26" w:name="_Toc17233333"/>
      <w:bookmarkStart w:id="27" w:name="_Toc26718930"/>
      <w:bookmarkStart w:id="28" w:name="_Toc26648465"/>
      <w:bookmarkStart w:id="29" w:name="_Toc17233325"/>
      <w:bookmarkStart w:id="30" w:name="_Toc24884218"/>
      <w:bookmarkStart w:id="31" w:name="_Toc24884211"/>
      <w:bookmarkStart w:id="32" w:name="_Toc26986530"/>
      <w:bookmarkStart w:id="33" w:name="_Toc26986771"/>
      <w:r>
        <w:rPr>
          <w:rFonts w:hint="eastAsia"/>
        </w:rPr>
        <w:t>范围</w:t>
      </w:r>
      <w:bookmarkEnd w:id="26"/>
      <w:bookmarkEnd w:id="27"/>
      <w:bookmarkEnd w:id="28"/>
      <w:bookmarkEnd w:id="29"/>
      <w:bookmarkEnd w:id="30"/>
      <w:bookmarkEnd w:id="31"/>
      <w:bookmarkEnd w:id="32"/>
      <w:bookmarkEnd w:id="33"/>
    </w:p>
    <w:p>
      <w:pPr>
        <w:pStyle w:val="56"/>
        <w:ind w:firstLine="420"/>
      </w:pPr>
      <w:bookmarkStart w:id="34" w:name="_Toc24884219"/>
      <w:bookmarkStart w:id="35" w:name="_Toc17233334"/>
      <w:bookmarkStart w:id="36" w:name="_Toc26648466"/>
      <w:bookmarkStart w:id="37" w:name="_Toc24884212"/>
      <w:bookmarkStart w:id="38" w:name="_Toc17233326"/>
      <w:r>
        <w:rPr>
          <w:rFonts w:hint="eastAsia"/>
        </w:rPr>
        <w:t>本文件规定了粗氢氧化镍钴中</w:t>
      </w:r>
      <w:r>
        <w:rPr>
          <w:rFonts w:hint="eastAsia"/>
          <w:lang w:val="en-US" w:eastAsia="zh-CN"/>
        </w:rPr>
        <w:t>氟离子</w:t>
      </w:r>
      <w:r>
        <w:rPr>
          <w:rFonts w:hint="eastAsia"/>
        </w:rPr>
        <w:t>含量的测定方法。</w:t>
      </w:r>
    </w:p>
    <w:p>
      <w:pPr>
        <w:pStyle w:val="56"/>
        <w:ind w:firstLine="420"/>
      </w:pPr>
      <w:r>
        <w:rPr>
          <w:rFonts w:hint="eastAsia"/>
        </w:rPr>
        <w:t>本文件适用于粗氢氧化镍钴中</w:t>
      </w:r>
      <w:r>
        <w:rPr>
          <w:rFonts w:hint="eastAsia"/>
          <w:lang w:val="en-US" w:eastAsia="zh-CN"/>
        </w:rPr>
        <w:t>氟离子</w:t>
      </w:r>
      <w:r>
        <w:rPr>
          <w:rFonts w:hint="eastAsia"/>
        </w:rPr>
        <w:t>含量的测定。测定范围：</w:t>
      </w:r>
      <w:r>
        <w:rPr>
          <w:rFonts w:hint="eastAsia" w:ascii="Times New Roman"/>
          <w:lang w:val="en-US" w:eastAsia="zh-CN"/>
        </w:rPr>
        <w:t>0.05</w:t>
      </w:r>
      <w:r>
        <w:rPr>
          <w:rFonts w:ascii="Times New Roman"/>
        </w:rPr>
        <w:t>%～</w:t>
      </w:r>
      <w:r>
        <w:rPr>
          <w:rFonts w:hint="eastAsia" w:ascii="Times New Roman"/>
          <w:lang w:val="en-US" w:eastAsia="zh-CN"/>
        </w:rPr>
        <w:t>1</w:t>
      </w:r>
      <w:r>
        <w:rPr>
          <w:rFonts w:ascii="Times New Roman"/>
        </w:rPr>
        <w:t>.00%</w:t>
      </w:r>
      <w:r>
        <w:rPr>
          <w:rFonts w:hint="eastAsia"/>
        </w:rPr>
        <w:t>。</w:t>
      </w:r>
    </w:p>
    <w:p>
      <w:pPr>
        <w:pStyle w:val="104"/>
        <w:spacing w:before="240" w:after="240"/>
      </w:pPr>
      <w:bookmarkStart w:id="39" w:name="_Toc26718931"/>
      <w:bookmarkStart w:id="40" w:name="_Toc26986772"/>
      <w:bookmarkStart w:id="41" w:name="_Toc26986531"/>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34967355CBF64DDEA6A359FCB4C7FD7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GB/T 6682  分析实验室用水规格和试验方法</w:t>
      </w:r>
    </w:p>
    <w:p>
      <w:pPr>
        <w:widowControl/>
        <w:tabs>
          <w:tab w:val="center" w:pos="4201"/>
          <w:tab w:val="right" w:leader="dot" w:pos="9298"/>
        </w:tabs>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GB/T 8170  数值修约规则与极限数值的表示和判定</w:t>
      </w:r>
    </w:p>
    <w:p>
      <w:pPr>
        <w:pStyle w:val="104"/>
        <w:spacing w:before="240" w:after="240"/>
      </w:pPr>
      <w:r>
        <w:rPr>
          <w:rFonts w:hint="eastAsia"/>
          <w:szCs w:val="21"/>
        </w:rPr>
        <w:t>术语和定义</w:t>
      </w:r>
    </w:p>
    <w:sdt>
      <w:sdtPr>
        <w:id w:val="-1909835108"/>
        <w:placeholder>
          <w:docPart w:val="EF1E6DBFFBAC417988D3726FB08FCA7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2" w:name="_Toc26986532"/>
          <w:bookmarkEnd w:id="42"/>
          <w:r>
            <w:t>本文件没有需要界定的术语和定义。</w:t>
          </w:r>
        </w:p>
      </w:sdtContent>
    </w:sdt>
    <w:p>
      <w:pPr>
        <w:pStyle w:val="104"/>
        <w:spacing w:before="240" w:after="240"/>
      </w:pPr>
      <w:bookmarkStart w:id="43" w:name="_Hlk83808708"/>
      <w:r>
        <w:rPr>
          <w:rFonts w:hint="eastAsia"/>
        </w:rPr>
        <w:t>原理</w:t>
      </w:r>
    </w:p>
    <w:p>
      <w:pPr>
        <w:pStyle w:val="56"/>
        <w:ind w:firstLine="420"/>
        <w:rPr>
          <w:rFonts w:hint="default" w:ascii="Times New Roman" w:hAnsi="Times New Roman" w:cs="Times New Roman"/>
        </w:rPr>
      </w:pPr>
      <w:r>
        <w:rPr>
          <w:rFonts w:hint="default" w:ascii="Times New Roman" w:hAnsi="Times New Roman" w:cs="Times New Roman"/>
        </w:rPr>
        <w:t>试料以氢氧化钠和过氧化钠熔融分解，用水浸出熔融物后过滤（或静置后移取上层清液），使氟与铁、铜、铅等分离。然后在pH6.5～7.0的柠檬酸钠--硝酸钾-</w:t>
      </w:r>
      <w:bookmarkStart w:id="48" w:name="_GoBack"/>
      <w:bookmarkEnd w:id="48"/>
      <w:r>
        <w:rPr>
          <w:rFonts w:hint="default" w:ascii="Times New Roman" w:hAnsi="Times New Roman" w:cs="Times New Roman"/>
        </w:rPr>
        <w:t>三乙醇胺介质中，以饱和甘汞电极为参比电极，氟离子选择电极为指示电极，用电极电位仪测定</w:t>
      </w:r>
      <w:r>
        <w:rPr>
          <w:rFonts w:hint="default" w:ascii="Times New Roman" w:hAnsi="Times New Roman" w:cs="Times New Roman"/>
          <w:lang w:val="en-US" w:eastAsia="zh-CN"/>
        </w:rPr>
        <w:t>试液中</w:t>
      </w:r>
      <w:r>
        <w:rPr>
          <w:rFonts w:hint="default" w:ascii="Times New Roman" w:hAnsi="Times New Roman" w:cs="Times New Roman"/>
        </w:rPr>
        <w:t>氟离子浓度。</w:t>
      </w:r>
    </w:p>
    <w:p>
      <w:pPr>
        <w:pStyle w:val="104"/>
        <w:spacing w:before="240" w:after="240"/>
        <w:rPr>
          <w:rFonts w:hint="default" w:ascii="Times New Roman" w:hAnsi="Times New Roman" w:cs="Times New Roman"/>
        </w:rPr>
      </w:pPr>
      <w:r>
        <w:rPr>
          <w:rFonts w:hint="default" w:ascii="Times New Roman" w:hAnsi="Times New Roman" w:cs="Times New Roman"/>
        </w:rPr>
        <w:t>试剂和材料</w:t>
      </w:r>
    </w:p>
    <w:p>
      <w:pPr>
        <w:pStyle w:val="56"/>
        <w:ind w:firstLine="420"/>
        <w:rPr>
          <w:rFonts w:hint="default" w:ascii="Times New Roman" w:hAnsi="Times New Roman" w:cs="Times New Roman"/>
        </w:rPr>
      </w:pPr>
      <w:r>
        <w:rPr>
          <w:rFonts w:hint="default" w:ascii="Times New Roman" w:hAnsi="Times New Roman" w:cs="Times New Roman"/>
        </w:rPr>
        <w:t>除非另有说明，本文件所用试剂均为分析纯及以上纯度的试剂，所用水符合GB/T 6682规定的</w:t>
      </w:r>
      <w:r>
        <w:rPr>
          <w:rFonts w:hint="default" w:ascii="Times New Roman" w:hAnsi="Times New Roman" w:cs="Times New Roman"/>
          <w:lang w:val="en-US" w:eastAsia="zh-CN"/>
        </w:rPr>
        <w:t>二</w:t>
      </w:r>
      <w:r>
        <w:rPr>
          <w:rFonts w:hint="default" w:ascii="Times New Roman" w:hAnsi="Times New Roman" w:cs="Times New Roman"/>
        </w:rPr>
        <w:t>级及以上纯度的水。</w:t>
      </w:r>
    </w:p>
    <w:p>
      <w:pPr>
        <w:pStyle w:val="162"/>
        <w:ind w:left="0"/>
        <w:rPr>
          <w:rFonts w:hint="default" w:ascii="Times New Roman" w:hAnsi="Times New Roman" w:cs="Times New Roman"/>
        </w:rPr>
      </w:pPr>
      <w:r>
        <w:rPr>
          <w:rFonts w:hint="default" w:ascii="Times New Roman" w:hAnsi="Times New Roman" w:cs="Times New Roman"/>
        </w:rPr>
        <w:t>氢氧化钠。</w:t>
      </w:r>
    </w:p>
    <w:p>
      <w:pPr>
        <w:pStyle w:val="162"/>
        <w:ind w:left="0"/>
        <w:rPr>
          <w:rFonts w:hint="default" w:ascii="Times New Roman" w:hAnsi="Times New Roman" w:cs="Times New Roman"/>
        </w:rPr>
      </w:pPr>
      <w:r>
        <w:rPr>
          <w:rFonts w:hint="default" w:ascii="Times New Roman" w:hAnsi="Times New Roman" w:cs="Times New Roman"/>
        </w:rPr>
        <w:t>过氧化钠。</w:t>
      </w:r>
    </w:p>
    <w:p>
      <w:pPr>
        <w:pStyle w:val="162"/>
        <w:ind w:left="0"/>
        <w:rPr>
          <w:rFonts w:hint="default" w:ascii="Times New Roman" w:hAnsi="Times New Roman" w:cs="Times New Roman"/>
        </w:rPr>
      </w:pPr>
      <w:r>
        <w:rPr>
          <w:rFonts w:hint="default" w:ascii="Times New Roman" w:hAnsi="Times New Roman" w:cs="Times New Roman"/>
        </w:rPr>
        <w:t>硝酸（1+4）</w:t>
      </w:r>
      <w:r>
        <w:rPr>
          <w:rFonts w:hint="default" w:ascii="Times New Roman" w:hAnsi="Times New Roman" w:cs="Times New Roman"/>
          <w:lang w:eastAsia="zh-CN"/>
        </w:rPr>
        <w:t>。</w:t>
      </w:r>
    </w:p>
    <w:p>
      <w:pPr>
        <w:pStyle w:val="162"/>
        <w:ind w:left="0"/>
        <w:rPr>
          <w:rFonts w:hint="default" w:ascii="Times New Roman" w:hAnsi="Times New Roman" w:cs="Times New Roman"/>
        </w:rPr>
      </w:pPr>
      <w:r>
        <w:rPr>
          <w:rFonts w:hint="default" w:ascii="Times New Roman" w:hAnsi="Times New Roman" w:cs="Times New Roman"/>
        </w:rPr>
        <w:t>柠檬酸钠-硝酸钾溶液：称取294g水二合柠檬酸三钠、20g硝酸钾溶于1000mL水中，混匀。</w:t>
      </w:r>
    </w:p>
    <w:p>
      <w:pPr>
        <w:pStyle w:val="162"/>
        <w:ind w:left="0"/>
        <w:rPr>
          <w:rFonts w:hint="default" w:ascii="Times New Roman" w:hAnsi="Times New Roman" w:cs="Times New Roman"/>
        </w:rPr>
      </w:pPr>
      <w:r>
        <w:rPr>
          <w:rFonts w:hint="default" w:ascii="Times New Roman" w:hAnsi="Times New Roman" w:cs="Times New Roman"/>
        </w:rPr>
        <w:t>三乙醇胺缓冲溶液：100mL三乙醇胺中加64mL盐酸，用盐酸（1+1）和氨水（1+1）调至pH6.5~7.0（精密pH试纸5.5~9.0测定），用水稀释至500mL，混匀。</w:t>
      </w:r>
    </w:p>
    <w:p>
      <w:pPr>
        <w:pStyle w:val="162"/>
        <w:ind w:left="0"/>
        <w:rPr>
          <w:rFonts w:hint="default" w:ascii="Times New Roman" w:hAnsi="Times New Roman" w:cs="Times New Roman"/>
        </w:rPr>
      </w:pPr>
      <w:r>
        <w:rPr>
          <w:rFonts w:hint="default" w:ascii="Times New Roman" w:hAnsi="Times New Roman" w:cs="Times New Roman"/>
        </w:rPr>
        <w:t>酚红溶液：称取0.1g酚红，加6mL 2g/LNaOH溶液，用水定容至50mL，混匀。</w:t>
      </w:r>
    </w:p>
    <w:p>
      <w:pPr>
        <w:pStyle w:val="162"/>
        <w:ind w:left="0"/>
        <w:rPr>
          <w:rFonts w:hint="default" w:ascii="Times New Roman" w:hAnsi="Times New Roman" w:cs="Times New Roman"/>
        </w:rPr>
      </w:pPr>
      <w:r>
        <w:rPr>
          <w:rFonts w:hint="default" w:ascii="Times New Roman" w:hAnsi="Times New Roman" w:cs="Times New Roman"/>
        </w:rPr>
        <w:t>氟标准贮存溶液：称取2.2110g预先在120℃干燥2h的氟化钠（GR），溶于水并稀释至1000mL容量瓶中，混匀，移入干燥塑料瓶中保存，此溶液1mL含1mg氟。</w:t>
      </w:r>
    </w:p>
    <w:p>
      <w:pPr>
        <w:pStyle w:val="162"/>
        <w:ind w:left="0"/>
        <w:rPr>
          <w:rFonts w:hint="default" w:ascii="Times New Roman" w:hAnsi="Times New Roman" w:cs="Times New Roman"/>
        </w:rPr>
      </w:pPr>
      <w:r>
        <w:rPr>
          <w:rFonts w:hint="default" w:ascii="Times New Roman" w:hAnsi="Times New Roman" w:cs="Times New Roman"/>
        </w:rPr>
        <w:t>氟离子标准溶液：移取10.00mL氟标准贮存溶液于100mL容量瓶中，用水稀释至刻度，混匀，移入干燥的塑料瓶中，此溶液1mL含100μg氟。</w:t>
      </w:r>
    </w:p>
    <w:p>
      <w:pPr>
        <w:pStyle w:val="162"/>
        <w:ind w:left="0"/>
        <w:rPr>
          <w:rFonts w:hint="default"/>
        </w:rPr>
      </w:pPr>
      <w:r>
        <w:rPr>
          <w:rFonts w:hint="default" w:ascii="Times New Roman" w:hAnsi="Times New Roman" w:cs="Times New Roman"/>
        </w:rPr>
        <w:t>氟离子标准溶液：移取10.00mL氟离子标准溶液(</w:t>
      </w:r>
      <w:r>
        <w:rPr>
          <w:rFonts w:hint="eastAsia" w:ascii="Times New Roman" w:cs="Times New Roman"/>
          <w:lang w:val="en-US" w:eastAsia="zh-CN"/>
        </w:rPr>
        <w:t>5</w:t>
      </w:r>
      <w:r>
        <w:rPr>
          <w:rFonts w:hint="default" w:ascii="Times New Roman" w:hAnsi="Times New Roman" w:cs="Times New Roman"/>
        </w:rPr>
        <w:t>.8)于100mL容量瓶中，用水稀释至刻度，混匀，移入干燥的塑料瓶中，此溶液1mL含10μg氟。</w:t>
      </w:r>
    </w:p>
    <w:p>
      <w:pPr>
        <w:pStyle w:val="104"/>
        <w:spacing w:before="240" w:after="240"/>
      </w:pPr>
      <w:r>
        <w:rPr>
          <w:rFonts w:hint="eastAsia"/>
        </w:rPr>
        <w:t>仪器设备</w:t>
      </w:r>
    </w:p>
    <w:p>
      <w:pPr>
        <w:pStyle w:val="162"/>
        <w:ind w:left="0"/>
        <w:rPr>
          <w:rFonts w:ascii="Times New Roman"/>
        </w:rPr>
      </w:pPr>
      <w:r>
        <w:rPr>
          <w:rFonts w:ascii="Times New Roman"/>
        </w:rPr>
        <w:t>氟离子选择电极：要求氟含量在10</w:t>
      </w:r>
      <w:r>
        <w:rPr>
          <w:rFonts w:ascii="Times New Roman"/>
          <w:vertAlign w:val="superscript"/>
        </w:rPr>
        <w:t>-1</w:t>
      </w:r>
      <w:r>
        <w:rPr>
          <w:rFonts w:ascii="Times New Roman"/>
        </w:rPr>
        <w:t>mol/L～10</w:t>
      </w:r>
      <w:r>
        <w:rPr>
          <w:rFonts w:ascii="Times New Roman"/>
          <w:vertAlign w:val="superscript"/>
        </w:rPr>
        <w:t>-</w:t>
      </w:r>
      <w:r>
        <w:rPr>
          <w:rFonts w:hint="eastAsia" w:ascii="Times New Roman"/>
          <w:vertAlign w:val="superscript"/>
          <w:lang w:val="en-US" w:eastAsia="zh-CN"/>
        </w:rPr>
        <w:t>6</w:t>
      </w:r>
      <w:r>
        <w:rPr>
          <w:rFonts w:ascii="Times New Roman"/>
        </w:rPr>
        <w:t>mol/L内，电极电位与浓度的</w:t>
      </w:r>
      <w:r>
        <w:rPr>
          <w:rFonts w:hint="eastAsia" w:ascii="Times New Roman"/>
        </w:rPr>
        <w:t>负</w:t>
      </w:r>
      <w:r>
        <w:rPr>
          <w:rFonts w:ascii="Times New Roman"/>
        </w:rPr>
        <w:t>对数呈线性关系。电极在使用前应在10</w:t>
      </w:r>
      <w:r>
        <w:rPr>
          <w:rFonts w:ascii="Times New Roman"/>
          <w:vertAlign w:val="superscript"/>
        </w:rPr>
        <w:t>-3</w:t>
      </w:r>
      <w:r>
        <w:rPr>
          <w:rFonts w:ascii="Times New Roman"/>
        </w:rPr>
        <w:t>mol/L的氟化钠溶液中浸泡1h，使之活化，然后用水洗涤至洗涤液电位值不大于氟离子浓度为10</w:t>
      </w:r>
      <w:r>
        <w:rPr>
          <w:rFonts w:ascii="Times New Roman"/>
          <w:vertAlign w:val="superscript"/>
        </w:rPr>
        <w:t>-6</w:t>
      </w:r>
      <w:r>
        <w:rPr>
          <w:rFonts w:ascii="Times New Roman"/>
        </w:rPr>
        <w:t>mol/L的电位值后进行测定。</w:t>
      </w:r>
    </w:p>
    <w:p>
      <w:pPr>
        <w:pStyle w:val="162"/>
        <w:ind w:left="0"/>
        <w:rPr>
          <w:rFonts w:ascii="Times New Roman"/>
        </w:rPr>
      </w:pPr>
      <w:r>
        <w:rPr>
          <w:rFonts w:ascii="Times New Roman"/>
        </w:rPr>
        <w:t>饱和甘汞电极。</w:t>
      </w:r>
    </w:p>
    <w:p>
      <w:pPr>
        <w:pStyle w:val="162"/>
        <w:ind w:left="0"/>
        <w:rPr>
          <w:rFonts w:ascii="Times New Roman"/>
        </w:rPr>
      </w:pPr>
      <w:r>
        <w:rPr>
          <w:rFonts w:ascii="Times New Roman"/>
        </w:rPr>
        <w:t>电位测定仪：精度0.1mV。</w:t>
      </w:r>
    </w:p>
    <w:p>
      <w:pPr>
        <w:pStyle w:val="162"/>
        <w:ind w:left="0"/>
        <w:rPr>
          <w:rFonts w:ascii="Times New Roman"/>
        </w:rPr>
      </w:pPr>
      <w:r>
        <w:rPr>
          <w:rFonts w:ascii="Times New Roman"/>
        </w:rPr>
        <w:t>电磁搅拌器。</w:t>
      </w:r>
    </w:p>
    <w:p>
      <w:pPr>
        <w:pStyle w:val="104"/>
        <w:spacing w:before="240" w:after="240"/>
      </w:pPr>
      <w:r>
        <w:rPr>
          <w:rFonts w:hint="eastAsia"/>
        </w:rPr>
        <w:t>样品</w:t>
      </w:r>
    </w:p>
    <w:p>
      <w:pPr>
        <w:pStyle w:val="56"/>
        <w:ind w:firstLine="420"/>
        <w:rPr>
          <w:color w:val="0000FF"/>
        </w:rPr>
      </w:pPr>
      <w:r>
        <w:rPr>
          <w:rFonts w:ascii="Times New Roman"/>
        </w:rPr>
        <w:t>按YS/T 1460—2021中</w:t>
      </w:r>
      <w:r>
        <w:rPr>
          <w:rFonts w:hint="eastAsia" w:ascii="Times New Roman"/>
        </w:rPr>
        <w:t>7</w:t>
      </w:r>
      <w:r>
        <w:rPr>
          <w:rFonts w:ascii="Times New Roman"/>
        </w:rPr>
        <w:t>.4</w:t>
      </w:r>
      <w:r>
        <w:rPr>
          <w:rFonts w:hint="eastAsia" w:ascii="Times New Roman"/>
        </w:rPr>
        <w:t>的</w:t>
      </w:r>
      <w:r>
        <w:rPr>
          <w:rFonts w:ascii="Times New Roman"/>
        </w:rPr>
        <w:t>要求进行取样与制样。</w:t>
      </w:r>
    </w:p>
    <w:p>
      <w:pPr>
        <w:pStyle w:val="104"/>
        <w:spacing w:before="240" w:after="240"/>
      </w:pPr>
      <w:r>
        <w:rPr>
          <w:rFonts w:hint="eastAsia"/>
        </w:rPr>
        <w:t>试验步骤</w:t>
      </w:r>
    </w:p>
    <w:p>
      <w:pPr>
        <w:pStyle w:val="105"/>
        <w:spacing w:before="120" w:after="120"/>
        <w:ind w:left="0"/>
      </w:pPr>
      <w:r>
        <w:rPr>
          <w:rFonts w:hint="eastAsia"/>
        </w:rPr>
        <w:t>试料</w:t>
      </w:r>
    </w:p>
    <w:p>
      <w:pPr>
        <w:pStyle w:val="56"/>
        <w:ind w:firstLine="420"/>
      </w:pPr>
      <w:r>
        <w:rPr>
          <w:rFonts w:hint="eastAsia"/>
        </w:rPr>
        <w:t>称取</w:t>
      </w:r>
      <w:r>
        <w:rPr>
          <w:rFonts w:hint="eastAsia" w:ascii="Times New Roman"/>
          <w:lang w:val="en-US" w:eastAsia="zh-CN"/>
        </w:rPr>
        <w:t>0.50</w:t>
      </w:r>
      <w:r>
        <w:rPr>
          <w:rFonts w:ascii="Times New Roman"/>
        </w:rPr>
        <w:t xml:space="preserve"> </w:t>
      </w:r>
      <w:r>
        <w:rPr>
          <w:rFonts w:hint="eastAsia" w:ascii="Times New Roman"/>
        </w:rPr>
        <w:t>g（</w:t>
      </w:r>
      <w:r>
        <w:rPr>
          <w:rFonts w:hint="eastAsia" w:ascii="Times New Roman"/>
          <w:i/>
          <w:iCs/>
        </w:rPr>
        <w:t>m</w:t>
      </w:r>
      <w:r>
        <w:rPr>
          <w:rFonts w:hint="eastAsia" w:ascii="Times New Roman"/>
          <w:vertAlign w:val="subscript"/>
          <w:lang w:val="en-US" w:eastAsia="zh-CN"/>
        </w:rPr>
        <w:t>0</w:t>
      </w:r>
      <w:r>
        <w:rPr>
          <w:rFonts w:hint="eastAsia" w:ascii="Times New Roman"/>
        </w:rPr>
        <w:t>）</w:t>
      </w:r>
      <w:r>
        <w:rPr>
          <w:rFonts w:hint="eastAsia"/>
        </w:rPr>
        <w:t>样品（</w:t>
      </w:r>
      <w:r>
        <w:rPr>
          <w:rFonts w:ascii="Times New Roman"/>
        </w:rPr>
        <w:t>7</w:t>
      </w:r>
      <w:r>
        <w:rPr>
          <w:rFonts w:hint="eastAsia"/>
        </w:rPr>
        <w:t>），精确至</w:t>
      </w:r>
      <w:r>
        <w:rPr>
          <w:rFonts w:ascii="Times New Roman"/>
        </w:rPr>
        <w:t>0.000 1 g</w:t>
      </w:r>
      <w:r>
        <w:rPr>
          <w:rFonts w:hint="eastAsia"/>
        </w:rPr>
        <w:t>。</w:t>
      </w:r>
    </w:p>
    <w:p>
      <w:pPr>
        <w:pStyle w:val="105"/>
        <w:spacing w:before="120" w:after="120"/>
        <w:ind w:left="0"/>
      </w:pPr>
      <w:r>
        <w:rPr>
          <w:rFonts w:hint="eastAsia"/>
        </w:rPr>
        <w:t>平行试验</w:t>
      </w:r>
    </w:p>
    <w:p>
      <w:pPr>
        <w:pStyle w:val="56"/>
        <w:ind w:firstLine="420"/>
      </w:pPr>
      <w:r>
        <w:rPr>
          <w:rFonts w:hint="eastAsia"/>
        </w:rPr>
        <w:t>平行做两份试验，取其平均值。</w:t>
      </w:r>
    </w:p>
    <w:p>
      <w:pPr>
        <w:pStyle w:val="105"/>
        <w:spacing w:before="120" w:after="120"/>
        <w:ind w:left="0"/>
      </w:pPr>
      <w:r>
        <w:rPr>
          <w:rFonts w:hint="eastAsia"/>
        </w:rPr>
        <w:t>空白试验</w:t>
      </w:r>
    </w:p>
    <w:p>
      <w:pPr>
        <w:pStyle w:val="235"/>
        <w:rPr>
          <w:rFonts w:hint="eastAsia" w:ascii="Times New Roman" w:eastAsia="宋体"/>
          <w:lang w:eastAsia="zh-CN"/>
        </w:rPr>
      </w:pPr>
      <w:r>
        <w:rPr>
          <w:rFonts w:hint="eastAsia"/>
        </w:rPr>
        <w:t>随同试料做空白试验</w:t>
      </w:r>
      <w:r>
        <w:rPr>
          <w:rFonts w:hint="eastAsia"/>
          <w:lang w:eastAsia="zh-CN"/>
        </w:rPr>
        <w:t>。</w:t>
      </w:r>
    </w:p>
    <w:p>
      <w:pPr>
        <w:pStyle w:val="105"/>
        <w:spacing w:before="120" w:after="120"/>
        <w:ind w:left="0"/>
      </w:pPr>
      <w:r>
        <w:rPr>
          <w:rFonts w:hint="eastAsia"/>
        </w:rPr>
        <w:t>测定</w:t>
      </w:r>
    </w:p>
    <w:p>
      <w:pPr>
        <w:pStyle w:val="56"/>
        <w:ind w:left="0" w:leftChars="0" w:firstLine="0" w:firstLineChars="0"/>
        <w:rPr>
          <w:rFonts w:hint="eastAsia" w:ascii="Times New Roman"/>
        </w:rPr>
      </w:pPr>
      <w:r>
        <w:rPr>
          <w:rFonts w:hint="eastAsia" w:ascii="黑体" w:hAnsi="黑体" w:eastAsia="黑体" w:cs="黑体"/>
          <w:sz w:val="21"/>
          <w:lang w:val="en-US" w:eastAsia="zh-CN" w:bidi="ar-SA"/>
        </w:rPr>
        <w:t>8.4.1</w:t>
      </w:r>
      <w:r>
        <w:rPr>
          <w:rFonts w:hint="eastAsia" w:asci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将试料（8.1）置于</w:t>
      </w:r>
      <w:r>
        <w:rPr>
          <w:rFonts w:hint="eastAsia" w:ascii="Times New Roman"/>
        </w:rPr>
        <w:t>30mL镍坩埚中，加入2g氢氧化钠</w:t>
      </w:r>
      <w:r>
        <w:rPr>
          <w:rFonts w:hint="default" w:ascii="Times New Roman" w:hAnsi="Times New Roman" w:eastAsia="宋体" w:cs="Times New Roman"/>
          <w:sz w:val="21"/>
          <w:lang w:val="en-US" w:eastAsia="zh-CN" w:bidi="ar-SA"/>
        </w:rPr>
        <w:t>（</w:t>
      </w:r>
      <w:r>
        <w:rPr>
          <w:rFonts w:hint="eastAsia" w:ascii="Times New Roman" w:cs="Times New Roman"/>
          <w:sz w:val="21"/>
          <w:lang w:val="en-US" w:eastAsia="zh-CN" w:bidi="ar-SA"/>
        </w:rPr>
        <w:t>5.</w:t>
      </w:r>
      <w:r>
        <w:rPr>
          <w:rFonts w:hint="default" w:ascii="Times New Roman" w:hAnsi="Times New Roman" w:eastAsia="宋体" w:cs="Times New Roman"/>
          <w:sz w:val="21"/>
          <w:lang w:val="en-US" w:eastAsia="zh-CN" w:bidi="ar-SA"/>
        </w:rPr>
        <w:t>1）</w:t>
      </w:r>
      <w:r>
        <w:rPr>
          <w:rFonts w:hint="eastAsia" w:ascii="Times New Roman"/>
        </w:rPr>
        <w:t>，混匀，于电炉板上低温加热至流动，取下，稍冷后加入</w:t>
      </w:r>
      <w:r>
        <w:rPr>
          <w:rFonts w:hint="eastAsia" w:ascii="Times New Roman"/>
          <w:lang w:val="en-US" w:eastAsia="zh-CN"/>
        </w:rPr>
        <w:t>2</w:t>
      </w:r>
      <w:r>
        <w:rPr>
          <w:rFonts w:hint="eastAsia" w:ascii="Times New Roman"/>
        </w:rPr>
        <w:t>g过氧化钠</w:t>
      </w:r>
      <w:r>
        <w:rPr>
          <w:rFonts w:hint="default" w:ascii="Times New Roman" w:hAnsi="Times New Roman" w:eastAsia="宋体" w:cs="Times New Roman"/>
          <w:sz w:val="21"/>
          <w:lang w:val="en-US" w:eastAsia="zh-CN" w:bidi="ar-SA"/>
        </w:rPr>
        <w:t>（</w:t>
      </w:r>
      <w:r>
        <w:rPr>
          <w:rFonts w:hint="eastAsia" w:ascii="Times New Roman" w:cs="Times New Roman"/>
          <w:sz w:val="21"/>
          <w:lang w:val="en-US" w:eastAsia="zh-CN" w:bidi="ar-SA"/>
        </w:rPr>
        <w:t>5.2</w:t>
      </w:r>
      <w:r>
        <w:rPr>
          <w:rFonts w:hint="default" w:ascii="Times New Roman" w:hAnsi="Times New Roman" w:eastAsia="宋体" w:cs="Times New Roman"/>
          <w:sz w:val="21"/>
          <w:lang w:val="en-US" w:eastAsia="zh-CN" w:bidi="ar-SA"/>
        </w:rPr>
        <w:t>）</w:t>
      </w:r>
      <w:r>
        <w:rPr>
          <w:rFonts w:hint="eastAsia" w:ascii="Times New Roman"/>
        </w:rPr>
        <w:t>，于电炉板上逐渐升温加热至过氧化钠显棕色，再将其置于650℃马弗炉中熔融10min，</w:t>
      </w:r>
      <w:r>
        <w:rPr>
          <w:szCs w:val="21"/>
        </w:rPr>
        <w:t>至样品熔融完全，取出，冷却。</w:t>
      </w:r>
    </w:p>
    <w:p>
      <w:pPr>
        <w:pStyle w:val="56"/>
        <w:ind w:left="0" w:leftChars="0" w:firstLine="0" w:firstLineChars="0"/>
        <w:rPr>
          <w:rFonts w:hint="eastAsia" w:ascii="Times New Roman"/>
        </w:rPr>
      </w:pPr>
      <w:r>
        <w:rPr>
          <w:rFonts w:hint="eastAsia" w:ascii="黑体" w:hAnsi="黑体" w:eastAsia="黑体" w:cs="黑体"/>
          <w:sz w:val="21"/>
          <w:lang w:val="en-US" w:eastAsia="zh-CN" w:bidi="ar-SA"/>
        </w:rPr>
        <w:t xml:space="preserve">8.4.2 </w:t>
      </w:r>
      <w:r>
        <w:rPr>
          <w:rFonts w:hint="eastAsia" w:ascii="Times New Roman"/>
        </w:rPr>
        <w:t>将坩埚及熔融物置于250 mL烧杯中，盖上表皿，加入约50 mL的温水浸取熔融物。并于电炉板上低温加热浸取熔融物至完全。用水洗净表皿、坩埚及玻璃棒后冷却至室温。</w:t>
      </w:r>
    </w:p>
    <w:p>
      <w:pPr>
        <w:pStyle w:val="56"/>
        <w:ind w:left="0" w:leftChars="0" w:firstLine="0" w:firstLineChars="0"/>
        <w:rPr>
          <w:rFonts w:hint="eastAsia" w:ascii="Times New Roman"/>
        </w:rPr>
      </w:pPr>
      <w:r>
        <w:rPr>
          <w:rFonts w:hint="eastAsia" w:ascii="黑体" w:hAnsi="黑体" w:eastAsia="黑体" w:cs="黑体"/>
          <w:sz w:val="21"/>
          <w:lang w:val="en-US" w:eastAsia="zh-CN" w:bidi="ar-SA"/>
        </w:rPr>
        <w:t xml:space="preserve">8.4.3 </w:t>
      </w:r>
      <w:r>
        <w:rPr>
          <w:rFonts w:hint="eastAsia" w:ascii="Times New Roman"/>
        </w:rPr>
        <w:t>将溶液连同沉淀一起移入100mL容量瓶中，定容，混匀，</w:t>
      </w:r>
      <w:r>
        <w:rPr>
          <w:rFonts w:hint="eastAsia" w:ascii="Times New Roman"/>
          <w:lang w:val="en-US" w:eastAsia="zh-CN"/>
        </w:rPr>
        <w:t>记为</w:t>
      </w:r>
      <w:r>
        <w:rPr>
          <w:rFonts w:hint="eastAsia"/>
          <w:i/>
        </w:rPr>
        <w:t>V</w:t>
      </w:r>
      <w:r>
        <w:rPr>
          <w:rFonts w:hint="eastAsia"/>
          <w:i/>
          <w:vertAlign w:val="subscript"/>
          <w:lang w:val="en-US" w:eastAsia="zh-CN"/>
        </w:rPr>
        <w:t>0</w:t>
      </w:r>
      <w:r>
        <w:rPr>
          <w:rFonts w:hint="eastAsia" w:ascii="Times New Roman"/>
        </w:rPr>
        <w:t>，干过滤（或静置，移取上层清液）。</w:t>
      </w:r>
    </w:p>
    <w:p>
      <w:pPr>
        <w:pStyle w:val="56"/>
        <w:ind w:left="0" w:leftChars="0" w:firstLine="0" w:firstLineChars="0"/>
        <w:rPr>
          <w:rFonts w:hint="eastAsia" w:ascii="Times New Roman"/>
        </w:rPr>
      </w:pPr>
      <w:r>
        <w:rPr>
          <w:rFonts w:hint="eastAsia" w:ascii="黑体" w:hAnsi="黑体" w:eastAsia="黑体" w:cs="黑体"/>
          <w:sz w:val="21"/>
          <w:lang w:val="en-US" w:eastAsia="zh-CN" w:bidi="ar-SA"/>
        </w:rPr>
        <w:t xml:space="preserve">8.4.4 </w:t>
      </w:r>
      <w:r>
        <w:rPr>
          <w:rFonts w:hint="eastAsia" w:ascii="Times New Roman"/>
        </w:rPr>
        <w:t>移取10.00mL滤液，</w:t>
      </w:r>
      <w:r>
        <w:rPr>
          <w:rFonts w:hint="eastAsia" w:ascii="Times New Roman"/>
          <w:lang w:val="en-US" w:eastAsia="zh-CN"/>
        </w:rPr>
        <w:t>记为</w:t>
      </w:r>
      <w:r>
        <w:rPr>
          <w:rFonts w:hint="eastAsia"/>
          <w:i/>
        </w:rPr>
        <w:t>V</w:t>
      </w:r>
      <w:r>
        <w:rPr>
          <w:rFonts w:hint="eastAsia"/>
          <w:i/>
          <w:vertAlign w:val="subscript"/>
        </w:rPr>
        <w:t>1</w:t>
      </w:r>
      <w:r>
        <w:rPr>
          <w:rFonts w:hint="eastAsia" w:ascii="Times New Roman"/>
          <w:lang w:val="en-US" w:eastAsia="zh-CN"/>
        </w:rPr>
        <w:t>，</w:t>
      </w:r>
      <w:r>
        <w:rPr>
          <w:rFonts w:hint="eastAsia" w:ascii="Times New Roman"/>
        </w:rPr>
        <w:t>置于50mL容量瓶中，加15mL柠檬酸钠--硝酸钾溶液（</w:t>
      </w:r>
      <w:r>
        <w:rPr>
          <w:rFonts w:hint="eastAsia" w:ascii="Times New Roman"/>
          <w:lang w:val="en-US" w:eastAsia="zh-CN"/>
        </w:rPr>
        <w:t>5</w:t>
      </w:r>
      <w:r>
        <w:rPr>
          <w:rFonts w:hint="eastAsia" w:ascii="Times New Roman"/>
        </w:rPr>
        <w:t>.4），混匀，加入1滴酚红溶液（</w:t>
      </w:r>
      <w:r>
        <w:rPr>
          <w:rFonts w:hint="eastAsia" w:ascii="Times New Roman"/>
          <w:lang w:val="en-US" w:eastAsia="zh-CN"/>
        </w:rPr>
        <w:t>5</w:t>
      </w:r>
      <w:r>
        <w:rPr>
          <w:rFonts w:hint="eastAsia" w:ascii="Times New Roman"/>
        </w:rPr>
        <w:t>.6），用硝酸（</w:t>
      </w:r>
      <w:r>
        <w:rPr>
          <w:rFonts w:hint="eastAsia" w:ascii="Times New Roman"/>
          <w:lang w:val="en-US" w:eastAsia="zh-CN"/>
        </w:rPr>
        <w:t>5</w:t>
      </w:r>
      <w:r>
        <w:rPr>
          <w:rFonts w:hint="eastAsia" w:ascii="Times New Roman"/>
        </w:rPr>
        <w:t>.</w:t>
      </w:r>
      <w:r>
        <w:rPr>
          <w:rFonts w:hint="eastAsia" w:ascii="Times New Roman"/>
          <w:lang w:val="en-US" w:eastAsia="zh-CN"/>
        </w:rPr>
        <w:t>3</w:t>
      </w:r>
      <w:r>
        <w:rPr>
          <w:rFonts w:hint="eastAsia" w:ascii="Times New Roman"/>
        </w:rPr>
        <w:t>）调至溶液刚变黄色。加入5mL三乙醇胺缓冲溶液（</w:t>
      </w:r>
      <w:r>
        <w:rPr>
          <w:rFonts w:hint="eastAsia" w:ascii="Times New Roman"/>
          <w:lang w:val="en-US" w:eastAsia="zh-CN"/>
        </w:rPr>
        <w:t>5.</w:t>
      </w:r>
      <w:r>
        <w:rPr>
          <w:rFonts w:hint="eastAsia" w:ascii="Times New Roman"/>
        </w:rPr>
        <w:t>5），用水稀释至刻度，混匀</w:t>
      </w:r>
      <w:r>
        <w:rPr>
          <w:rFonts w:hint="eastAsia" w:ascii="Times New Roman"/>
          <w:lang w:eastAsia="zh-CN"/>
        </w:rPr>
        <w:t>，</w:t>
      </w:r>
      <w:r>
        <w:rPr>
          <w:rFonts w:hint="eastAsia" w:ascii="Times New Roman"/>
          <w:lang w:val="en-US" w:eastAsia="zh-CN"/>
        </w:rPr>
        <w:t>记为</w:t>
      </w:r>
      <w:r>
        <w:rPr>
          <w:rFonts w:hint="eastAsia"/>
          <w:i/>
        </w:rPr>
        <w:t>V</w:t>
      </w:r>
      <w:r>
        <w:rPr>
          <w:rFonts w:hint="eastAsia"/>
          <w:i/>
          <w:vertAlign w:val="subscript"/>
          <w:lang w:val="en-US" w:eastAsia="zh-CN"/>
        </w:rPr>
        <w:t>2</w:t>
      </w:r>
      <w:r>
        <w:rPr>
          <w:rFonts w:hint="eastAsia" w:ascii="Times New Roman"/>
        </w:rPr>
        <w:t>。</w:t>
      </w:r>
    </w:p>
    <w:p>
      <w:pPr>
        <w:pStyle w:val="56"/>
        <w:ind w:firstLine="420"/>
        <w:rPr>
          <w:rFonts w:hint="eastAsia" w:ascii="Times New Roman"/>
        </w:rPr>
      </w:pPr>
      <w:r>
        <w:rPr>
          <w:rFonts w:hint="eastAsia" w:ascii="Times New Roman"/>
          <w:sz w:val="18"/>
          <w:szCs w:val="18"/>
        </w:rPr>
        <w:t>注：</w:t>
      </w:r>
      <w:r>
        <w:rPr>
          <w:rFonts w:hint="eastAsia" w:ascii="Times New Roman"/>
          <w:sz w:val="18"/>
          <w:szCs w:val="18"/>
          <w:lang w:val="en-US" w:eastAsia="zh-CN"/>
        </w:rPr>
        <w:t>若溶液有颜色，酚红的颜色突变不明显，可用pH计调节至pH6.5～7.0</w:t>
      </w:r>
      <w:r>
        <w:rPr>
          <w:rFonts w:hint="eastAsia" w:ascii="Times New Roman"/>
          <w:sz w:val="18"/>
          <w:szCs w:val="18"/>
        </w:rPr>
        <w:t>。</w:t>
      </w:r>
    </w:p>
    <w:p>
      <w:pPr>
        <w:pStyle w:val="56"/>
        <w:ind w:left="0" w:leftChars="0" w:firstLine="0" w:firstLineChars="0"/>
        <w:rPr>
          <w:rFonts w:hint="eastAsia" w:ascii="Times New Roman"/>
        </w:rPr>
      </w:pPr>
      <w:r>
        <w:rPr>
          <w:rFonts w:hint="eastAsia" w:ascii="黑体" w:hAnsi="黑体" w:eastAsia="黑体" w:cs="黑体"/>
          <w:sz w:val="21"/>
          <w:lang w:val="en-US" w:eastAsia="zh-CN" w:bidi="ar-SA"/>
        </w:rPr>
        <w:t>8.4.5</w:t>
      </w:r>
      <w:r>
        <w:rPr>
          <w:rFonts w:hint="eastAsia" w:ascii="Times New Roman"/>
        </w:rPr>
        <w:t xml:space="preserve"> 将（</w:t>
      </w:r>
      <w:r>
        <w:rPr>
          <w:rFonts w:hint="eastAsia" w:ascii="Times New Roman"/>
          <w:lang w:val="en-US" w:eastAsia="zh-CN"/>
        </w:rPr>
        <w:t>8</w:t>
      </w:r>
      <w:r>
        <w:rPr>
          <w:rFonts w:hint="eastAsia" w:ascii="Times New Roman"/>
        </w:rPr>
        <w:t>.4.4）倒入干燥的预先放入搅拌子的100mL烧杯中，插入氟离子选择电极和饱和甘汞电极，在电磁搅拌下，于电位测量仪上测量平衡电位值。</w:t>
      </w:r>
    </w:p>
    <w:p>
      <w:pPr>
        <w:pStyle w:val="56"/>
        <w:ind w:firstLine="420"/>
        <w:rPr>
          <w:rFonts w:hint="eastAsia" w:ascii="Times New Roman"/>
          <w:sz w:val="18"/>
          <w:szCs w:val="18"/>
        </w:rPr>
      </w:pPr>
      <w:r>
        <w:rPr>
          <w:rFonts w:hint="eastAsia" w:ascii="Times New Roman"/>
          <w:sz w:val="18"/>
          <w:szCs w:val="18"/>
        </w:rPr>
        <w:t>注：平衡电位系指搅拌状态下，电极电位每分钟的变化不大于0.2mV。</w:t>
      </w:r>
    </w:p>
    <w:p>
      <w:pPr>
        <w:pStyle w:val="105"/>
        <w:spacing w:before="120" w:after="120"/>
        <w:ind w:left="0"/>
        <w:rPr>
          <w:rFonts w:hint="eastAsia"/>
        </w:rPr>
      </w:pPr>
      <w:r>
        <w:rPr>
          <w:rFonts w:hint="eastAsia"/>
        </w:rPr>
        <w:t>工作曲线绘制</w:t>
      </w:r>
    </w:p>
    <w:p>
      <w:pPr>
        <w:pStyle w:val="56"/>
        <w:ind w:left="0" w:leftChars="0" w:firstLine="0" w:firstLineChars="0"/>
        <w:rPr>
          <w:rFonts w:hint="eastAsia" w:ascii="Times New Roman"/>
          <w:sz w:val="21"/>
          <w:szCs w:val="21"/>
        </w:rPr>
      </w:pPr>
      <w:r>
        <w:rPr>
          <w:rFonts w:hint="eastAsia" w:ascii="黑体" w:hAnsi="黑体" w:eastAsia="黑体" w:cs="黑体"/>
          <w:sz w:val="21"/>
          <w:szCs w:val="21"/>
          <w:lang w:val="en-US" w:eastAsia="zh-CN"/>
        </w:rPr>
        <w:t>8</w:t>
      </w:r>
      <w:r>
        <w:rPr>
          <w:rFonts w:hint="eastAsia" w:ascii="黑体" w:hAnsi="黑体" w:eastAsia="黑体" w:cs="黑体"/>
          <w:sz w:val="21"/>
          <w:szCs w:val="21"/>
        </w:rPr>
        <w:t>.5.1</w:t>
      </w:r>
      <w:r>
        <w:rPr>
          <w:rFonts w:hint="eastAsia" w:ascii="Times New Roman"/>
          <w:sz w:val="21"/>
          <w:szCs w:val="21"/>
        </w:rPr>
        <w:t xml:space="preserve"> 移取1.00mL，3.00mL，5.00mL氟标准溶液（</w:t>
      </w:r>
      <w:r>
        <w:rPr>
          <w:rFonts w:hint="eastAsia" w:ascii="Times New Roman"/>
          <w:sz w:val="21"/>
          <w:szCs w:val="21"/>
          <w:lang w:val="en-US" w:eastAsia="zh-CN"/>
        </w:rPr>
        <w:t>5</w:t>
      </w:r>
      <w:r>
        <w:rPr>
          <w:rFonts w:hint="eastAsia" w:ascii="Times New Roman"/>
          <w:sz w:val="21"/>
          <w:szCs w:val="21"/>
        </w:rPr>
        <w:t>.9）和1.00mL，2.00mL，3.00mL，4.00mL，5.00mL氟标准溶液（</w:t>
      </w:r>
      <w:r>
        <w:rPr>
          <w:rFonts w:hint="eastAsia" w:ascii="Times New Roman"/>
          <w:sz w:val="21"/>
          <w:szCs w:val="21"/>
          <w:lang w:val="en-US" w:eastAsia="zh-CN"/>
        </w:rPr>
        <w:t>5</w:t>
      </w:r>
      <w:r>
        <w:rPr>
          <w:rFonts w:hint="eastAsia" w:ascii="Times New Roman"/>
          <w:sz w:val="21"/>
          <w:szCs w:val="21"/>
        </w:rPr>
        <w:t>.8），分别置于50mL容量瓶中，各加入10.00mL试料空白（</w:t>
      </w:r>
      <w:r>
        <w:rPr>
          <w:rFonts w:hint="eastAsia" w:ascii="Times New Roman"/>
          <w:sz w:val="21"/>
          <w:szCs w:val="21"/>
          <w:lang w:val="en-US" w:eastAsia="zh-CN"/>
        </w:rPr>
        <w:t>8</w:t>
      </w:r>
      <w:r>
        <w:rPr>
          <w:rFonts w:hint="eastAsia" w:ascii="Times New Roman"/>
          <w:sz w:val="21"/>
          <w:szCs w:val="21"/>
        </w:rPr>
        <w:t>.3）。以下按</w:t>
      </w:r>
      <w:r>
        <w:rPr>
          <w:rFonts w:hint="eastAsia" w:ascii="Times New Roman"/>
          <w:sz w:val="21"/>
          <w:szCs w:val="21"/>
          <w:lang w:val="en-US" w:eastAsia="zh-CN"/>
        </w:rPr>
        <w:t>8</w:t>
      </w:r>
      <w:r>
        <w:rPr>
          <w:rFonts w:hint="eastAsia" w:ascii="Times New Roman"/>
          <w:sz w:val="21"/>
          <w:szCs w:val="21"/>
        </w:rPr>
        <w:t>.4.4~</w:t>
      </w:r>
      <w:r>
        <w:rPr>
          <w:rFonts w:hint="eastAsia" w:ascii="Times New Roman"/>
          <w:sz w:val="21"/>
          <w:szCs w:val="21"/>
          <w:lang w:val="en-US" w:eastAsia="zh-CN"/>
        </w:rPr>
        <w:t>8</w:t>
      </w:r>
      <w:r>
        <w:rPr>
          <w:rFonts w:hint="eastAsia" w:ascii="Times New Roman"/>
          <w:sz w:val="21"/>
          <w:szCs w:val="21"/>
        </w:rPr>
        <w:t>.4.5操作。</w:t>
      </w:r>
    </w:p>
    <w:p>
      <w:pPr>
        <w:pStyle w:val="56"/>
        <w:ind w:left="0" w:leftChars="0" w:firstLine="0" w:firstLineChars="0"/>
        <w:rPr>
          <w:rFonts w:hint="eastAsia" w:ascii="Times New Roman"/>
        </w:rPr>
      </w:pPr>
      <w:r>
        <w:rPr>
          <w:rFonts w:hint="eastAsia" w:ascii="黑体" w:hAnsi="黑体" w:eastAsia="黑体" w:cs="黑体"/>
          <w:sz w:val="21"/>
          <w:szCs w:val="21"/>
          <w:lang w:val="en-US" w:eastAsia="zh-CN"/>
        </w:rPr>
        <w:t>8</w:t>
      </w:r>
      <w:r>
        <w:rPr>
          <w:rFonts w:hint="eastAsia" w:ascii="黑体" w:hAnsi="黑体" w:eastAsia="黑体" w:cs="黑体"/>
          <w:sz w:val="21"/>
          <w:szCs w:val="21"/>
        </w:rPr>
        <w:t>.5.2</w:t>
      </w:r>
      <w:r>
        <w:rPr>
          <w:rFonts w:hint="eastAsia" w:ascii="Times New Roman"/>
          <w:sz w:val="21"/>
          <w:szCs w:val="21"/>
        </w:rPr>
        <w:t xml:space="preserve"> 按氟离子浓度由低到高的顺序与试液同时进行测定。在半对数坐标纸上，以氟离子浓度的对数为横坐标，电位值为纵坐标绘制工作曲线。</w:t>
      </w:r>
    </w:p>
    <w:p>
      <w:pPr>
        <w:pStyle w:val="104"/>
        <w:spacing w:before="240" w:after="240"/>
      </w:pPr>
      <w:r>
        <w:rPr>
          <w:rFonts w:hint="eastAsia"/>
        </w:rPr>
        <w:t>试验数据处理</w:t>
      </w:r>
    </w:p>
    <w:p>
      <w:pPr>
        <w:widowControl/>
        <w:adjustRightInd/>
        <w:spacing w:before="120" w:beforeLines="50" w:after="120" w:afterLines="50" w:line="240" w:lineRule="auto"/>
        <w:ind w:left="567"/>
        <w:jc w:val="left"/>
        <w:outlineLvl w:val="3"/>
        <w:rPr>
          <w:rFonts w:ascii="Times New Roman" w:hAnsi="Times New Roman"/>
          <w:kern w:val="0"/>
        </w:rPr>
      </w:pPr>
      <w:r>
        <w:rPr>
          <w:rFonts w:hint="eastAsia" w:ascii="Times New Roman" w:hAnsi="Times New Roman"/>
          <w:kern w:val="0"/>
          <w:lang w:val="en-US" w:eastAsia="zh-CN"/>
        </w:rPr>
        <w:t>氟离子</w:t>
      </w:r>
      <w:r>
        <w:rPr>
          <w:rFonts w:hint="eastAsia" w:ascii="Times New Roman" w:hAnsi="Times New Roman"/>
          <w:kern w:val="0"/>
        </w:rPr>
        <w:t>含量以</w:t>
      </w:r>
      <w:r>
        <w:rPr>
          <w:rFonts w:hint="eastAsia" w:ascii="Times New Roman" w:hAnsi="Times New Roman"/>
          <w:kern w:val="0"/>
          <w:lang w:val="en-US" w:eastAsia="zh-CN"/>
        </w:rPr>
        <w:t>氟</w:t>
      </w:r>
      <w:r>
        <w:rPr>
          <w:rFonts w:hint="eastAsia" w:ascii="Times New Roman" w:hAnsi="Times New Roman"/>
          <w:kern w:val="0"/>
        </w:rPr>
        <w:t>的质量分数</w:t>
      </w:r>
      <w:r>
        <w:rPr>
          <w:rFonts w:ascii="Times New Roman" w:hAnsi="Times New Roman" w:eastAsia="黑体"/>
          <w:i/>
          <w:color w:val="333333"/>
          <w:kern w:val="0"/>
          <w:shd w:val="clear" w:color="auto" w:fill="FFFFFF"/>
        </w:rPr>
        <w:t>w</w:t>
      </w:r>
      <w:r>
        <w:rPr>
          <w:rFonts w:hint="eastAsia" w:ascii="Times New Roman" w:hAnsi="Times New Roman"/>
          <w:kern w:val="0"/>
          <w:sz w:val="18"/>
          <w:szCs w:val="18"/>
          <w:vertAlign w:val="subscript"/>
          <w:lang w:val="en-US" w:eastAsia="zh-CN"/>
        </w:rPr>
        <w:t>F</w:t>
      </w:r>
      <w:r>
        <w:rPr>
          <w:rFonts w:hint="eastAsia" w:ascii="Times New Roman" w:hAnsi="Times New Roman"/>
          <w:kern w:val="0"/>
          <w:szCs w:val="18"/>
        </w:rPr>
        <w:t>计</w:t>
      </w:r>
      <w:r>
        <w:rPr>
          <w:rFonts w:hint="eastAsia" w:ascii="Times New Roman" w:hAnsi="Times New Roman"/>
          <w:kern w:val="0"/>
        </w:rPr>
        <w:t>，按公式（1）计算：</w:t>
      </w:r>
    </w:p>
    <w:p>
      <w:pPr>
        <w:widowControl/>
        <w:adjustRightInd/>
        <w:spacing w:before="120" w:beforeLines="50" w:after="120" w:afterLines="50" w:line="240" w:lineRule="auto"/>
        <w:jc w:val="center"/>
        <w:outlineLvl w:val="3"/>
        <w:rPr>
          <w:rFonts w:ascii="Times New Roman" w:hAnsi="Times New Roman"/>
          <w:kern w:val="0"/>
        </w:rPr>
      </w:pPr>
      <m:oMath>
        <m:sSub>
          <w:bookmarkStart w:id="44" w:name="_Hlk86047902"/>
          <m:sSubPr>
            <m:ctrlPr>
              <w:rPr>
                <w:rFonts w:ascii="Cambria Math" w:hAnsi="Times New Roman"/>
                <w:i/>
                <w:kern w:val="0"/>
                <w:sz w:val="21"/>
                <w:szCs w:val="21"/>
              </w:rPr>
            </m:ctrlPr>
          </m:sSubPr>
          <m:e>
            <m:r>
              <m:rPr/>
              <w:rPr>
                <w:rFonts w:ascii="Cambria Math" w:hAnsi="Times New Roman"/>
                <w:kern w:val="0"/>
                <w:sz w:val="21"/>
                <w:szCs w:val="21"/>
              </w:rPr>
              <m:t>w</m:t>
            </m:r>
            <m:ctrlPr>
              <w:rPr>
                <w:rFonts w:ascii="Cambria Math" w:hAnsi="Times New Roman"/>
                <w:i/>
                <w:kern w:val="0"/>
                <w:sz w:val="21"/>
                <w:szCs w:val="21"/>
              </w:rPr>
            </m:ctrlPr>
          </m:e>
          <m:sub>
            <m:r>
              <m:rPr>
                <m:nor/>
                <m:sty m:val="p"/>
              </m:rPr>
              <w:rPr>
                <w:rFonts w:hint="default" w:ascii="Cambria Math" w:hAnsi="Times New Roman"/>
                <w:b w:val="0"/>
                <w:i w:val="0"/>
                <w:kern w:val="0"/>
                <w:sz w:val="21"/>
                <w:szCs w:val="21"/>
                <w:lang w:val="en-US" w:eastAsia="zh-CN"/>
              </w:rPr>
              <m:t>F</m:t>
            </m:r>
            <m:ctrlPr>
              <w:rPr>
                <w:rFonts w:ascii="Cambria Math" w:hAnsi="Times New Roman"/>
                <w:kern w:val="0"/>
                <w:sz w:val="21"/>
                <w:szCs w:val="21"/>
              </w:rPr>
            </m:ctrlPr>
          </m:sub>
        </m:sSub>
        <m:r>
          <m:rPr/>
          <w:rPr>
            <w:rFonts w:ascii="Cambria Math" w:hAnsi="Times New Roman"/>
            <w:kern w:val="0"/>
            <w:sz w:val="21"/>
            <w:szCs w:val="21"/>
          </w:rPr>
          <m:t>=</m:t>
        </m:r>
        <m:f>
          <m:fPr>
            <m:ctrlPr>
              <w:rPr>
                <w:rFonts w:ascii="Cambria Math" w:hAnsi="Times New Roman"/>
                <w:i/>
                <w:kern w:val="0"/>
                <w:sz w:val="21"/>
                <w:szCs w:val="21"/>
              </w:rPr>
            </m:ctrlPr>
          </m:fPr>
          <m:num>
            <m:sSub>
              <m:sSubPr>
                <m:ctrlPr>
                  <w:rPr>
                    <w:rFonts w:ascii="Cambria Math" w:hAnsi="Cambria Math"/>
                    <w:i/>
                    <w:kern w:val="0"/>
                    <w:sz w:val="21"/>
                    <w:szCs w:val="21"/>
                  </w:rPr>
                </m:ctrlPr>
              </m:sSubPr>
              <m:e>
                <m:r>
                  <m:rPr/>
                  <w:rPr>
                    <w:rFonts w:hint="default" w:ascii="Cambria Math" w:hAnsi="Cambria Math"/>
                    <w:kern w:val="0"/>
                    <w:sz w:val="21"/>
                    <w:szCs w:val="21"/>
                    <w:lang w:val="en-US" w:eastAsia="zh-CN"/>
                  </w:rPr>
                  <m:t>c</m:t>
                </m:r>
                <m:r>
                  <m:rPr/>
                  <w:rPr>
                    <w:rFonts w:ascii="Cambria Math" w:hAnsi="Times New Roman"/>
                    <w:kern w:val="0"/>
                    <w:sz w:val="21"/>
                    <w:szCs w:val="21"/>
                  </w:rPr>
                  <m:t>×</m:t>
                </m:r>
                <m:r>
                  <m:rPr/>
                  <w:rPr>
                    <w:rFonts w:ascii="Cambria Math" w:hAnsi="Cambria Math"/>
                    <w:kern w:val="0"/>
                    <w:sz w:val="21"/>
                    <w:szCs w:val="21"/>
                  </w:rPr>
                  <m:t>V</m:t>
                </m:r>
                <m:ctrlPr>
                  <w:rPr>
                    <w:rFonts w:ascii="Cambria Math" w:hAnsi="Cambria Math"/>
                    <w:i/>
                    <w:kern w:val="0"/>
                    <w:sz w:val="21"/>
                    <w:szCs w:val="21"/>
                  </w:rPr>
                </m:ctrlPr>
              </m:e>
              <m:sub>
                <m:r>
                  <m:rPr/>
                  <w:rPr>
                    <w:rFonts w:ascii="Cambria Math" w:hAnsi="Cambria Math"/>
                    <w:kern w:val="0"/>
                    <w:sz w:val="21"/>
                    <w:szCs w:val="21"/>
                  </w:rPr>
                  <m:t>0</m:t>
                </m:r>
                <m:ctrlPr>
                  <w:rPr>
                    <w:rFonts w:ascii="Cambria Math" w:hAnsi="Cambria Math"/>
                    <w:i/>
                    <w:kern w:val="0"/>
                    <w:sz w:val="21"/>
                    <w:szCs w:val="21"/>
                  </w:rPr>
                </m:ctrlPr>
              </m:sub>
            </m:sSub>
            <m:r>
              <m:rPr/>
              <w:rPr>
                <w:rFonts w:ascii="Cambria Math" w:hAnsi="Times New Roman"/>
                <w:kern w:val="0"/>
                <w:sz w:val="21"/>
                <w:szCs w:val="21"/>
              </w:rPr>
              <m:t>×</m:t>
            </m:r>
            <m:sSub>
              <m:sSubPr>
                <m:ctrlPr>
                  <w:rPr>
                    <w:rFonts w:ascii="Cambria Math" w:hAnsi="Cambria Math"/>
                    <w:i/>
                    <w:kern w:val="0"/>
                    <w:sz w:val="21"/>
                    <w:szCs w:val="21"/>
                  </w:rPr>
                </m:ctrlPr>
              </m:sSubPr>
              <m:e>
                <m:r>
                  <m:rPr/>
                  <w:rPr>
                    <w:rFonts w:ascii="Cambria Math" w:hAnsi="Cambria Math"/>
                    <w:kern w:val="0"/>
                    <w:sz w:val="21"/>
                    <w:szCs w:val="21"/>
                  </w:rPr>
                  <m:t>V</m:t>
                </m:r>
                <m:ctrlPr>
                  <w:rPr>
                    <w:rFonts w:ascii="Cambria Math" w:hAnsi="Cambria Math"/>
                    <w:i/>
                    <w:kern w:val="0"/>
                    <w:sz w:val="21"/>
                    <w:szCs w:val="21"/>
                  </w:rPr>
                </m:ctrlPr>
              </m:e>
              <m:sub>
                <m:r>
                  <m:rPr/>
                  <w:rPr>
                    <w:rFonts w:hint="default" w:ascii="Cambria Math" w:hAnsi="Cambria Math"/>
                    <w:kern w:val="0"/>
                    <w:sz w:val="21"/>
                    <w:szCs w:val="21"/>
                    <w:lang w:val="en-US" w:eastAsia="zh-CN"/>
                  </w:rPr>
                  <m:t>2</m:t>
                </m:r>
                <m:ctrlPr>
                  <w:rPr>
                    <w:rFonts w:ascii="Cambria Math" w:hAnsi="Cambria Math"/>
                    <w:i/>
                    <w:kern w:val="0"/>
                    <w:sz w:val="21"/>
                    <w:szCs w:val="21"/>
                  </w:rPr>
                </m:ctrlPr>
              </m:sub>
            </m:sSub>
            <m:r>
              <m:rPr/>
              <w:rPr>
                <w:rFonts w:ascii="Cambria Math" w:hAnsi="Times New Roman"/>
                <w:kern w:val="0"/>
                <w:sz w:val="21"/>
                <w:szCs w:val="21"/>
              </w:rPr>
              <m:t>×</m:t>
            </m:r>
            <m:sSup>
              <m:sSupPr>
                <m:ctrlPr>
                  <w:rPr>
                    <w:rFonts w:ascii="Cambria Math" w:hAnsi="Times New Roman"/>
                    <w:i/>
                    <w:kern w:val="0"/>
                    <w:sz w:val="21"/>
                    <w:szCs w:val="21"/>
                  </w:rPr>
                </m:ctrlPr>
              </m:sSupPr>
              <m:e>
                <m:r>
                  <m:rPr/>
                  <w:rPr>
                    <w:rFonts w:hint="default" w:ascii="Cambria Math" w:hAnsi="Times New Roman"/>
                    <w:kern w:val="0"/>
                    <w:sz w:val="21"/>
                    <w:szCs w:val="21"/>
                    <w:lang w:val="en-US" w:eastAsia="zh-CN"/>
                  </w:rPr>
                  <m:t>10</m:t>
                </m:r>
                <m:ctrlPr>
                  <w:rPr>
                    <w:rFonts w:ascii="Cambria Math" w:hAnsi="Times New Roman"/>
                    <w:i/>
                    <w:kern w:val="0"/>
                    <w:sz w:val="21"/>
                    <w:szCs w:val="21"/>
                  </w:rPr>
                </m:ctrlPr>
              </m:e>
              <m:sup>
                <m:r>
                  <m:rPr/>
                  <w:rPr>
                    <w:rFonts w:hint="default" w:ascii="Cambria Math" w:hAnsi="Times New Roman"/>
                    <w:kern w:val="0"/>
                    <w:sz w:val="21"/>
                    <w:szCs w:val="21"/>
                    <w:lang w:val="en-US" w:eastAsia="zh-CN"/>
                  </w:rPr>
                  <m:t>−3</m:t>
                </m:r>
                <m:ctrlPr>
                  <w:rPr>
                    <w:rFonts w:ascii="Cambria Math" w:hAnsi="Times New Roman"/>
                    <w:i/>
                    <w:kern w:val="0"/>
                    <w:sz w:val="21"/>
                    <w:szCs w:val="21"/>
                  </w:rPr>
                </m:ctrlPr>
              </m:sup>
            </m:sSup>
            <m:ctrlPr>
              <w:rPr>
                <w:rFonts w:ascii="Cambria Math" w:hAnsi="Times New Roman"/>
                <w:i/>
                <w:kern w:val="0"/>
                <w:sz w:val="21"/>
                <w:szCs w:val="21"/>
              </w:rPr>
            </m:ctrlPr>
          </m:num>
          <m:den>
            <m:sSub>
              <m:sSubPr>
                <m:ctrlPr>
                  <w:rPr>
                    <w:rFonts w:ascii="Cambria Math" w:hAnsi="Times New Roman"/>
                    <w:i/>
                    <w:kern w:val="0"/>
                    <w:sz w:val="21"/>
                    <w:szCs w:val="21"/>
                  </w:rPr>
                </m:ctrlPr>
              </m:sSubPr>
              <m:e>
                <m:r>
                  <m:rPr/>
                  <w:rPr>
                    <w:rFonts w:ascii="Cambria Math" w:hAnsi="Times New Roman"/>
                    <w:kern w:val="0"/>
                    <w:sz w:val="21"/>
                    <w:szCs w:val="21"/>
                  </w:rPr>
                  <m:t>m</m:t>
                </m:r>
                <m:ctrlPr>
                  <w:rPr>
                    <w:rFonts w:ascii="Cambria Math" w:hAnsi="Times New Roman"/>
                    <w:i/>
                    <w:kern w:val="0"/>
                    <w:sz w:val="21"/>
                    <w:szCs w:val="21"/>
                  </w:rPr>
                </m:ctrlPr>
              </m:e>
              <m:sub>
                <m:r>
                  <m:rPr/>
                  <w:rPr>
                    <w:rFonts w:hint="default" w:ascii="Cambria Math" w:hAnsi="Times New Roman"/>
                    <w:kern w:val="0"/>
                    <w:sz w:val="21"/>
                    <w:szCs w:val="21"/>
                    <w:lang w:val="en-US" w:eastAsia="zh-CN"/>
                  </w:rPr>
                  <m:t>0</m:t>
                </m:r>
                <m:ctrlPr>
                  <w:rPr>
                    <w:rFonts w:ascii="Cambria Math" w:hAnsi="Times New Roman"/>
                    <w:i/>
                    <w:kern w:val="0"/>
                    <w:sz w:val="21"/>
                    <w:szCs w:val="21"/>
                  </w:rPr>
                </m:ctrlPr>
              </m:sub>
            </m:sSub>
            <m:sSub>
              <m:sSubPr>
                <m:ctrlPr>
                  <w:rPr>
                    <w:rFonts w:ascii="Cambria Math" w:hAnsi="Times New Roman"/>
                    <w:i/>
                    <w:kern w:val="0"/>
                    <w:sz w:val="21"/>
                    <w:szCs w:val="21"/>
                  </w:rPr>
                </m:ctrlPr>
              </m:sSubPr>
              <m:e>
                <m:r>
                  <m:rPr/>
                  <w:rPr>
                    <w:rFonts w:ascii="Cambria Math" w:hAnsi="Times New Roman"/>
                    <w:kern w:val="0"/>
                    <w:sz w:val="21"/>
                    <w:szCs w:val="21"/>
                  </w:rPr>
                  <m:t>×V</m:t>
                </m:r>
                <m:ctrlPr>
                  <w:rPr>
                    <w:rFonts w:ascii="Cambria Math" w:hAnsi="Times New Roman"/>
                    <w:i/>
                    <w:kern w:val="0"/>
                    <w:sz w:val="21"/>
                    <w:szCs w:val="21"/>
                  </w:rPr>
                </m:ctrlPr>
              </m:e>
              <m:sub>
                <m:r>
                  <m:rPr/>
                  <w:rPr>
                    <w:rFonts w:ascii="Cambria Math" w:hAnsi="Times New Roman"/>
                    <w:kern w:val="0"/>
                    <w:sz w:val="21"/>
                    <w:szCs w:val="21"/>
                  </w:rPr>
                  <m:t>1</m:t>
                </m:r>
                <m:ctrlPr>
                  <w:rPr>
                    <w:rFonts w:ascii="Cambria Math" w:hAnsi="Times New Roman"/>
                    <w:i/>
                    <w:kern w:val="0"/>
                    <w:sz w:val="21"/>
                    <w:szCs w:val="21"/>
                  </w:rPr>
                </m:ctrlPr>
              </m:sub>
            </m:sSub>
            <m:ctrlPr>
              <w:rPr>
                <w:rFonts w:ascii="Cambria Math" w:hAnsi="Cambria Math"/>
                <w:i/>
                <w:kern w:val="0"/>
                <w:sz w:val="21"/>
                <w:szCs w:val="21"/>
              </w:rPr>
            </m:ctrlPr>
          </m:den>
        </m:f>
        <m:r>
          <m:rPr/>
          <w:rPr>
            <w:rFonts w:ascii="Cambria Math" w:hAnsi="Times New Roman"/>
            <w:kern w:val="0"/>
            <w:sz w:val="21"/>
            <w:szCs w:val="21"/>
          </w:rPr>
          <m:t>×100%</m:t>
        </m:r>
      </m:oMath>
      <w:r>
        <w:rPr>
          <w:rFonts w:ascii="Cambria Math" w:hAnsi="Times New Roman"/>
          <w:i/>
          <w:kern w:val="0"/>
          <w:szCs w:val="20"/>
        </w:rPr>
        <w:t xml:space="preserve"> </w:t>
      </w:r>
      <w:r>
        <w:rPr>
          <w:rFonts w:ascii="Times New Roman" w:hAnsi="Times New Roman"/>
          <w:kern w:val="0"/>
          <w:szCs w:val="20"/>
          <w:lang w:val="pl-PL"/>
        </w:rPr>
        <w:t>...................</w:t>
      </w:r>
      <w:r>
        <w:rPr>
          <w:rFonts w:hint="eastAsia" w:ascii="Times New Roman" w:hAnsi="Times New Roman"/>
          <w:kern w:val="0"/>
          <w:szCs w:val="20"/>
          <w:lang w:val="pl-PL"/>
        </w:rPr>
        <w:t>（1）</w:t>
      </w:r>
    </w:p>
    <w:bookmarkEnd w:id="44"/>
    <w:p>
      <w:pPr>
        <w:tabs>
          <w:tab w:val="center" w:pos="4201"/>
          <w:tab w:val="right" w:leader="dot" w:pos="9298"/>
        </w:tabs>
        <w:autoSpaceDE w:val="0"/>
        <w:autoSpaceDN w:val="0"/>
        <w:adjustRightInd/>
        <w:spacing w:line="240" w:lineRule="auto"/>
        <w:ind w:firstLine="420" w:firstLineChars="200"/>
        <w:rPr>
          <w:rFonts w:ascii="Times New Roman" w:hAnsi="Times New Roman"/>
          <w:szCs w:val="20"/>
        </w:rPr>
      </w:pPr>
      <w:r>
        <w:rPr>
          <w:rFonts w:ascii="Times New Roman" w:hAnsi="Times New Roman"/>
          <w:szCs w:val="20"/>
        </w:rPr>
        <w:t>式中：</w:t>
      </w:r>
    </w:p>
    <w:p>
      <w:pPr>
        <w:adjustRightInd/>
        <w:spacing w:line="240" w:lineRule="auto"/>
        <w:ind w:firstLine="420" w:firstLineChars="200"/>
        <w:rPr>
          <w:rFonts w:ascii="Times New Roman" w:hAnsi="Times New Roman"/>
        </w:rPr>
      </w:pPr>
      <w:r>
        <w:rPr>
          <w:rFonts w:hint="eastAsia"/>
          <w:i/>
        </w:rPr>
        <w:t>c</w:t>
      </w:r>
      <w:r>
        <w:rPr>
          <w:rFonts w:hint="eastAsia"/>
          <w:i/>
          <w:lang w:val="en-US" w:eastAsia="zh-CN"/>
        </w:rPr>
        <w:t xml:space="preserve"> </w:t>
      </w:r>
      <w:r>
        <w:rPr>
          <w:rFonts w:ascii="Times New Roman" w:hAnsi="Times New Roman"/>
          <w:vertAlign w:val="subscript"/>
        </w:rPr>
        <w:t xml:space="preserve">   </w:t>
      </w:r>
      <w:r>
        <w:rPr>
          <w:rFonts w:ascii="Times New Roman" w:hAnsi="Times New Roman"/>
          <w:sz w:val="22"/>
          <w:szCs w:val="22"/>
          <w:vertAlign w:val="subscript"/>
        </w:rPr>
        <w:t xml:space="preserve">  </w:t>
      </w:r>
      <w:r>
        <w:rPr>
          <w:rFonts w:ascii="Times New Roman" w:hAnsi="Times New Roman"/>
        </w:rPr>
        <w:t>——</w:t>
      </w:r>
      <w:r>
        <w:rPr>
          <w:rFonts w:hint="eastAsia"/>
        </w:rPr>
        <w:t>自工作曲线上查得的氟离子浓度，单位为毫克每毫升（mg/mL）</w:t>
      </w:r>
      <w:r>
        <w:rPr>
          <w:rFonts w:ascii="Times New Roman" w:hAnsi="Times New Roman"/>
        </w:rPr>
        <w:t>；</w:t>
      </w:r>
    </w:p>
    <w:p>
      <w:pPr>
        <w:adjustRightInd/>
        <w:spacing w:line="240" w:lineRule="auto"/>
        <w:ind w:firstLine="420" w:firstLineChars="200"/>
        <w:rPr>
          <w:rFonts w:ascii="Times New Roman" w:hAnsi="Times New Roman"/>
        </w:rPr>
      </w:pPr>
      <w:r>
        <w:rPr>
          <w:rFonts w:hint="eastAsia"/>
          <w:i/>
        </w:rPr>
        <w:t>V</w:t>
      </w:r>
      <w:r>
        <w:rPr>
          <w:rFonts w:hint="eastAsia"/>
          <w:i/>
          <w:vertAlign w:val="subscript"/>
        </w:rPr>
        <w:t>0</w:t>
      </w:r>
      <w:r>
        <w:rPr>
          <w:rFonts w:ascii="Times New Roman" w:hAnsi="Times New Roman"/>
          <w:vertAlign w:val="subscript"/>
        </w:rPr>
        <w:t xml:space="preserve">   </w:t>
      </w:r>
      <w:r>
        <w:rPr>
          <w:rFonts w:ascii="Times New Roman" w:hAnsi="Times New Roman"/>
          <w:sz w:val="22"/>
          <w:szCs w:val="22"/>
          <w:vertAlign w:val="subscript"/>
        </w:rPr>
        <w:t xml:space="preserve">  </w:t>
      </w:r>
      <w:r>
        <w:rPr>
          <w:rFonts w:ascii="Times New Roman" w:hAnsi="Times New Roman"/>
        </w:rPr>
        <w:t>——</w:t>
      </w:r>
      <w:r>
        <w:rPr>
          <w:rFonts w:hint="eastAsia"/>
        </w:rPr>
        <w:t>试液总体积，单位为毫升（mL）</w:t>
      </w:r>
      <w:r>
        <w:rPr>
          <w:rFonts w:ascii="Times New Roman" w:hAnsi="Times New Roman"/>
        </w:rPr>
        <w:t>；</w:t>
      </w:r>
    </w:p>
    <w:p>
      <w:pPr>
        <w:tabs>
          <w:tab w:val="left" w:pos="840"/>
          <w:tab w:val="left" w:pos="1155"/>
          <w:tab w:val="left" w:pos="1260"/>
        </w:tabs>
        <w:adjustRightInd/>
        <w:spacing w:line="240" w:lineRule="auto"/>
        <w:ind w:firstLine="420" w:firstLineChars="200"/>
        <w:rPr>
          <w:rFonts w:ascii="Times New Roman" w:hAnsi="Times New Roman"/>
          <w:i/>
          <w:szCs w:val="24"/>
        </w:rPr>
      </w:pPr>
      <w:r>
        <w:rPr>
          <w:rFonts w:hint="eastAsia"/>
          <w:i/>
        </w:rPr>
        <w:t>V</w:t>
      </w:r>
      <w:r>
        <w:rPr>
          <w:rFonts w:hint="eastAsia"/>
          <w:i/>
          <w:vertAlign w:val="subscript"/>
        </w:rPr>
        <w:t>1</w:t>
      </w:r>
      <w:r>
        <w:rPr>
          <w:rFonts w:ascii="Times New Roman" w:hAnsi="Times New Roman"/>
          <w:vertAlign w:val="subscript"/>
        </w:rPr>
        <w:t xml:space="preserve">   </w:t>
      </w:r>
      <w:r>
        <w:rPr>
          <w:rFonts w:ascii="Times New Roman" w:hAnsi="Times New Roman"/>
          <w:sz w:val="28"/>
          <w:szCs w:val="28"/>
          <w:vertAlign w:val="subscript"/>
        </w:rPr>
        <w:t xml:space="preserve">  </w:t>
      </w:r>
      <w:r>
        <w:rPr>
          <w:rFonts w:ascii="Times New Roman" w:hAnsi="Times New Roman"/>
          <w:i/>
          <w:szCs w:val="24"/>
        </w:rPr>
        <w:t>——</w:t>
      </w:r>
      <w:r>
        <w:rPr>
          <w:rFonts w:hint="eastAsia"/>
        </w:rPr>
        <w:t>分取试液体积，单位为毫升（mL）</w:t>
      </w:r>
      <w:r>
        <w:rPr>
          <w:rFonts w:ascii="Times New Roman" w:hAnsi="Times New Roman"/>
          <w:szCs w:val="24"/>
        </w:rPr>
        <w:t>；</w:t>
      </w:r>
    </w:p>
    <w:p>
      <w:pPr>
        <w:tabs>
          <w:tab w:val="left" w:pos="840"/>
          <w:tab w:val="left" w:pos="1155"/>
          <w:tab w:val="left" w:pos="1260"/>
        </w:tabs>
        <w:adjustRightInd/>
        <w:spacing w:line="240" w:lineRule="auto"/>
        <w:ind w:firstLine="420" w:firstLineChars="200"/>
        <w:rPr>
          <w:rFonts w:ascii="Times New Roman" w:hAnsi="Times New Roman"/>
        </w:rPr>
      </w:pPr>
      <w:r>
        <w:rPr>
          <w:rFonts w:hint="eastAsia"/>
          <w:i/>
        </w:rPr>
        <w:t>V</w:t>
      </w:r>
      <w:r>
        <w:rPr>
          <w:rFonts w:hint="eastAsia"/>
          <w:i/>
          <w:vertAlign w:val="subscript"/>
        </w:rPr>
        <w:t>2</w:t>
      </w:r>
      <w:r>
        <w:rPr>
          <w:rFonts w:ascii="Times New Roman" w:hAnsi="Times New Roman"/>
          <w:vertAlign w:val="subscript"/>
        </w:rPr>
        <w:t xml:space="preserve">   </w:t>
      </w:r>
      <w:r>
        <w:rPr>
          <w:rFonts w:ascii="Times New Roman" w:hAnsi="Times New Roman"/>
          <w:sz w:val="24"/>
          <w:szCs w:val="24"/>
          <w:vertAlign w:val="subscript"/>
        </w:rPr>
        <w:t xml:space="preserve">  </w:t>
      </w:r>
      <w:r>
        <w:rPr>
          <w:rFonts w:ascii="Times New Roman" w:hAnsi="Times New Roman"/>
        </w:rPr>
        <w:t>——</w:t>
      </w:r>
      <w:r>
        <w:rPr>
          <w:rFonts w:hint="eastAsia"/>
        </w:rPr>
        <w:t>测量时试液体积，单位为毫升（mL）</w:t>
      </w:r>
      <w:r>
        <w:rPr>
          <w:rFonts w:ascii="Times New Roman" w:hAnsi="Times New Roman"/>
        </w:rPr>
        <w:t>；</w:t>
      </w:r>
    </w:p>
    <w:p>
      <w:pPr>
        <w:tabs>
          <w:tab w:val="left" w:pos="840"/>
          <w:tab w:val="left" w:pos="1050"/>
          <w:tab w:val="left" w:pos="1260"/>
        </w:tabs>
        <w:adjustRightInd/>
        <w:spacing w:line="240" w:lineRule="auto"/>
        <w:ind w:firstLine="420" w:firstLineChars="200"/>
        <w:rPr>
          <w:rFonts w:ascii="Times New Roman" w:hAnsi="Times New Roman"/>
        </w:rPr>
      </w:pPr>
      <w:r>
        <w:rPr>
          <w:rFonts w:hint="eastAsia"/>
          <w:i/>
        </w:rPr>
        <w:t>m</w:t>
      </w:r>
      <w:r>
        <w:rPr>
          <w:rFonts w:hint="eastAsia"/>
          <w:i/>
          <w:vertAlign w:val="subscript"/>
        </w:rPr>
        <w:t>0</w:t>
      </w:r>
      <w:r>
        <w:rPr>
          <w:rFonts w:hint="eastAsia"/>
          <w:i/>
          <w:vertAlign w:val="subscript"/>
          <w:lang w:val="en-US" w:eastAsia="zh-CN"/>
        </w:rPr>
        <w:t xml:space="preserve">     </w:t>
      </w:r>
      <w:r>
        <w:rPr>
          <w:rFonts w:ascii="Times New Roman" w:hAnsi="Times New Roman"/>
        </w:rPr>
        <w:t>——</w:t>
      </w:r>
      <w:r>
        <w:rPr>
          <w:rFonts w:hint="eastAsia"/>
        </w:rPr>
        <w:t>试料的质量，单位为克（g）。</w:t>
      </w:r>
    </w:p>
    <w:p>
      <w:pPr>
        <w:pStyle w:val="56"/>
        <w:ind w:firstLine="420"/>
        <w:rPr>
          <w:rFonts w:hint="eastAsia"/>
        </w:rPr>
      </w:pPr>
      <w:r>
        <w:rPr>
          <w:rFonts w:hint="eastAsia" w:ascii="Times New Roman" w:hAnsi="Times New Roman" w:eastAsia="宋体" w:cs="Times New Roman"/>
          <w:sz w:val="21"/>
          <w:szCs w:val="20"/>
        </w:rPr>
        <w:t>计算结果表示到小数点后两位有效数字</w:t>
      </w:r>
      <w:r>
        <w:rPr>
          <w:rFonts w:hint="eastAsia"/>
        </w:rPr>
        <w:t>，按</w:t>
      </w:r>
      <w:r>
        <w:rPr>
          <w:rFonts w:ascii="Times New Roman"/>
        </w:rPr>
        <w:t>GB/T 8170</w:t>
      </w:r>
      <w:r>
        <w:rPr>
          <w:rFonts w:hint="eastAsia"/>
        </w:rPr>
        <w:t>的规定进行修约。</w:t>
      </w:r>
    </w:p>
    <w:bookmarkEnd w:id="43"/>
    <w:p>
      <w:pPr>
        <w:pStyle w:val="104"/>
        <w:spacing w:before="240" w:after="240"/>
      </w:pPr>
      <w:r>
        <w:rPr>
          <w:rFonts w:hint="eastAsia"/>
        </w:rPr>
        <w:t>精密度</w:t>
      </w:r>
    </w:p>
    <w:p>
      <w:pPr>
        <w:pStyle w:val="105"/>
        <w:spacing w:before="120" w:after="120"/>
        <w:ind w:left="0"/>
      </w:pPr>
      <w:r>
        <w:rPr>
          <w:rFonts w:hint="eastAsia"/>
        </w:rPr>
        <w:t>重复性</w:t>
      </w:r>
    </w:p>
    <w:p>
      <w:pPr>
        <w:autoSpaceDE w:val="0"/>
        <w:autoSpaceDN w:val="0"/>
        <w:adjustRightInd/>
        <w:spacing w:after="120" w:afterLines="50" w:line="240" w:lineRule="auto"/>
        <w:ind w:firstLine="420"/>
        <w:jc w:val="left"/>
        <w:rPr>
          <w:rFonts w:ascii="Times New Roman" w:hAnsi="Times New Roman" w:cs="宋体"/>
          <w:color w:val="000000"/>
          <w:szCs w:val="24"/>
        </w:rPr>
      </w:pPr>
      <w:r>
        <w:rPr>
          <w:rFonts w:ascii="Times New Roman" w:hAnsi="Times New Roman" w:cs="宋体"/>
          <w:color w:val="000000"/>
          <w:szCs w:val="24"/>
        </w:rPr>
        <w:t>在重复性条件下获得的两次独立测试结果的测定值，</w:t>
      </w:r>
      <w:r>
        <w:rPr>
          <w:rFonts w:hint="eastAsia" w:ascii="Times New Roman" w:hAnsi="Times New Roman" w:cs="宋体"/>
          <w:color w:val="000000"/>
          <w:szCs w:val="24"/>
        </w:rPr>
        <w:t>精密度</w:t>
      </w:r>
      <w:r>
        <w:rPr>
          <w:rFonts w:ascii="Times New Roman" w:hAnsi="Times New Roman" w:cs="宋体"/>
          <w:color w:val="000000"/>
          <w:szCs w:val="24"/>
        </w:rPr>
        <w:t>实验原始数据参见</w:t>
      </w:r>
      <w:r>
        <w:rPr>
          <w:rFonts w:hint="eastAsia" w:ascii="Times New Roman" w:hAnsi="Times New Roman" w:cs="宋体"/>
          <w:color w:val="000000"/>
          <w:szCs w:val="24"/>
        </w:rPr>
        <w:t>附录A。在表</w:t>
      </w:r>
      <w:r>
        <w:rPr>
          <w:rFonts w:ascii="Times New Roman" w:hAnsi="Times New Roman" w:cs="宋体"/>
          <w:color w:val="000000"/>
          <w:szCs w:val="24"/>
        </w:rPr>
        <w:t>2</w:t>
      </w:r>
      <w:r>
        <w:rPr>
          <w:rFonts w:hint="eastAsia" w:ascii="Times New Roman" w:hAnsi="Times New Roman" w:cs="宋体"/>
          <w:color w:val="000000"/>
          <w:szCs w:val="24"/>
        </w:rPr>
        <w:t>给</w:t>
      </w:r>
      <w:r>
        <w:rPr>
          <w:rFonts w:ascii="Times New Roman" w:hAnsi="Times New Roman" w:cs="宋体"/>
          <w:color w:val="000000"/>
          <w:szCs w:val="24"/>
        </w:rPr>
        <w:t>出的平均值范围内，两个测试结果的绝对差值不超过重复性限（</w:t>
      </w:r>
      <w:r>
        <w:rPr>
          <w:rFonts w:ascii="Times New Roman" w:hAnsi="Times New Roman" w:cs="宋体"/>
          <w:i/>
          <w:color w:val="000000"/>
          <w:szCs w:val="24"/>
        </w:rPr>
        <w:t>r</w:t>
      </w:r>
      <w:r>
        <w:rPr>
          <w:rFonts w:ascii="Times New Roman" w:hAnsi="Times New Roman" w:cs="宋体"/>
          <w:color w:val="000000"/>
          <w:szCs w:val="24"/>
        </w:rPr>
        <w:t>），超过重复性限（</w:t>
      </w:r>
      <w:r>
        <w:rPr>
          <w:rFonts w:ascii="Times New Roman" w:hAnsi="Times New Roman" w:cs="宋体"/>
          <w:i/>
          <w:color w:val="000000"/>
          <w:szCs w:val="24"/>
        </w:rPr>
        <w:t>r</w:t>
      </w:r>
      <w:r>
        <w:rPr>
          <w:rFonts w:ascii="Times New Roman" w:hAnsi="Times New Roman" w:cs="宋体"/>
          <w:color w:val="000000"/>
          <w:szCs w:val="24"/>
        </w:rPr>
        <w:t>）的情况不超过5%</w:t>
      </w:r>
      <w:r>
        <w:rPr>
          <w:rFonts w:hint="eastAsia" w:ascii="Times New Roman" w:hAnsi="Times New Roman" w:cs="宋体"/>
          <w:color w:val="000000"/>
          <w:szCs w:val="24"/>
        </w:rPr>
        <w:t>，</w:t>
      </w:r>
      <w:r>
        <w:rPr>
          <w:rFonts w:ascii="Times New Roman" w:hAnsi="Times New Roman" w:cs="宋体"/>
          <w:color w:val="000000"/>
          <w:szCs w:val="24"/>
        </w:rPr>
        <w:t>重复性限（</w:t>
      </w:r>
      <w:r>
        <w:rPr>
          <w:rFonts w:hint="eastAsia" w:ascii="Times New Roman" w:hAnsi="Times New Roman" w:cs="宋体"/>
          <w:i/>
          <w:color w:val="000000"/>
          <w:szCs w:val="24"/>
        </w:rPr>
        <w:t>r</w:t>
      </w:r>
      <w:r>
        <w:rPr>
          <w:rFonts w:ascii="Times New Roman" w:hAnsi="Times New Roman" w:cs="宋体"/>
          <w:color w:val="000000"/>
          <w:szCs w:val="24"/>
        </w:rPr>
        <w:t>）</w:t>
      </w:r>
      <w:r>
        <w:rPr>
          <w:rFonts w:hint="eastAsia" w:ascii="Times New Roman" w:hAnsi="Times New Roman" w:cs="宋体"/>
          <w:color w:val="000000"/>
          <w:szCs w:val="24"/>
        </w:rPr>
        <w:t>按</w:t>
      </w:r>
      <w:r>
        <w:rPr>
          <w:rFonts w:ascii="Times New Roman" w:hAnsi="Times New Roman" w:cs="宋体"/>
          <w:color w:val="000000"/>
          <w:szCs w:val="24"/>
        </w:rPr>
        <w:t>表2</w:t>
      </w:r>
      <w:r>
        <w:rPr>
          <w:rFonts w:hint="eastAsia" w:ascii="Times New Roman" w:hAnsi="Times New Roman" w:cs="宋体"/>
          <w:color w:val="000000"/>
          <w:szCs w:val="24"/>
        </w:rPr>
        <w:t>数据</w:t>
      </w:r>
      <w:r>
        <w:rPr>
          <w:rFonts w:ascii="Times New Roman" w:hAnsi="Times New Roman" w:cs="宋体"/>
          <w:color w:val="000000"/>
          <w:szCs w:val="24"/>
        </w:rPr>
        <w:t>采用线性内插法</w:t>
      </w:r>
      <w:r>
        <w:rPr>
          <w:rFonts w:hint="eastAsia" w:ascii="Times New Roman" w:hAnsi="Times New Roman" w:cs="宋体"/>
          <w:color w:val="000000"/>
          <w:szCs w:val="24"/>
        </w:rPr>
        <w:t>或</w:t>
      </w:r>
      <w:r>
        <w:rPr>
          <w:rFonts w:ascii="Times New Roman" w:hAnsi="Times New Roman" w:cs="宋体"/>
          <w:color w:val="000000"/>
          <w:szCs w:val="24"/>
        </w:rPr>
        <w:t>外延法求得</w:t>
      </w:r>
      <w:r>
        <w:rPr>
          <w:rFonts w:hint="eastAsia" w:ascii="Times New Roman" w:hAnsi="Times New Roman" w:cs="宋体"/>
          <w:color w:val="000000"/>
          <w:szCs w:val="24"/>
        </w:rPr>
        <w:t>：</w:t>
      </w:r>
    </w:p>
    <w:p>
      <w:pPr>
        <w:pStyle w:val="112"/>
        <w:spacing w:before="120" w:after="120"/>
      </w:pPr>
      <w:r>
        <w:rPr>
          <w:rFonts w:hint="eastAsia"/>
        </w:rPr>
        <w:t>重复性限</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899"/>
        <w:gridCol w:w="1899"/>
        <w:gridCol w:w="1897"/>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1" w:type="pct"/>
            <w:tcBorders>
              <w:top w:val="single" w:color="auto" w:sz="12" w:space="0"/>
              <w:bottom w:val="single" w:color="auto" w:sz="4" w:space="0"/>
              <w:right w:val="single" w:color="auto" w:sz="12" w:space="0"/>
            </w:tcBorders>
            <w:vAlign w:val="center"/>
          </w:tcPr>
          <w:p>
            <w:pPr>
              <w:adjustRightInd/>
              <w:spacing w:line="240" w:lineRule="auto"/>
              <w:jc w:val="center"/>
              <w:rPr>
                <w:rFonts w:ascii="Times New Roman" w:hAnsi="Times New Roman"/>
                <w:sz w:val="18"/>
                <w:szCs w:val="18"/>
              </w:rPr>
            </w:pPr>
            <w:bookmarkStart w:id="45" w:name="_Hlk82185428"/>
            <w:r>
              <w:rPr>
                <w:rFonts w:ascii="Times New Roman" w:hAnsi="Times New Roman" w:eastAsia="黑体"/>
                <w:i/>
                <w:color w:val="333333"/>
                <w:kern w:val="0"/>
                <w:shd w:val="clear" w:color="auto" w:fill="FFFFFF"/>
              </w:rPr>
              <w:t>w</w:t>
            </w:r>
            <w:r>
              <w:rPr>
                <w:rFonts w:ascii="Times New Roman" w:hAnsi="Times New Roman"/>
                <w:kern w:val="0"/>
                <w:sz w:val="18"/>
                <w:szCs w:val="18"/>
                <w:vertAlign w:val="subscript"/>
              </w:rPr>
              <w:t>Ni</w:t>
            </w:r>
            <w:r>
              <w:rPr>
                <w:rFonts w:ascii="Times New Roman" w:hAnsi="Times New Roman"/>
                <w:sz w:val="18"/>
                <w:szCs w:val="18"/>
              </w:rPr>
              <w:t>/%</w:t>
            </w:r>
          </w:p>
        </w:tc>
        <w:tc>
          <w:tcPr>
            <w:tcW w:w="992" w:type="pct"/>
            <w:tcBorders>
              <w:left w:val="single" w:color="auto" w:sz="12" w:space="0"/>
            </w:tcBorders>
            <w:vAlign w:val="center"/>
          </w:tcPr>
          <w:p>
            <w:pPr>
              <w:adjustRightInd/>
              <w:spacing w:line="240" w:lineRule="auto"/>
              <w:jc w:val="center"/>
              <w:rPr>
                <w:rFonts w:ascii="Times New Roman" w:hAnsi="Times New Roman"/>
                <w:sz w:val="18"/>
                <w:szCs w:val="18"/>
              </w:rPr>
            </w:pPr>
          </w:p>
        </w:tc>
        <w:tc>
          <w:tcPr>
            <w:tcW w:w="992" w:type="pct"/>
            <w:vAlign w:val="center"/>
          </w:tcPr>
          <w:p>
            <w:pPr>
              <w:adjustRightInd/>
              <w:spacing w:line="240" w:lineRule="auto"/>
              <w:jc w:val="center"/>
              <w:rPr>
                <w:rFonts w:ascii="Times New Roman" w:hAnsi="Times New Roman"/>
                <w:sz w:val="18"/>
                <w:szCs w:val="18"/>
              </w:rPr>
            </w:pPr>
          </w:p>
        </w:tc>
        <w:tc>
          <w:tcPr>
            <w:tcW w:w="991" w:type="pct"/>
            <w:vAlign w:val="center"/>
          </w:tcPr>
          <w:p>
            <w:pPr>
              <w:adjustRightInd/>
              <w:spacing w:line="240" w:lineRule="auto"/>
              <w:jc w:val="center"/>
              <w:rPr>
                <w:rFonts w:ascii="Times New Roman" w:hAnsi="Times New Roman"/>
                <w:sz w:val="18"/>
                <w:szCs w:val="18"/>
              </w:rPr>
            </w:pPr>
          </w:p>
        </w:tc>
        <w:tc>
          <w:tcPr>
            <w:tcW w:w="991" w:type="pct"/>
            <w:vAlign w:val="center"/>
          </w:tcPr>
          <w:p>
            <w:pPr>
              <w:adjustRightInd/>
              <w:spacing w:line="240" w:lineRule="auto"/>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1" w:type="pct"/>
            <w:tcBorders>
              <w:top w:val="single" w:color="auto" w:sz="4" w:space="0"/>
              <w:bottom w:val="single" w:color="auto" w:sz="12" w:space="0"/>
              <w:right w:val="single" w:color="auto" w:sz="12"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i/>
                <w:sz w:val="18"/>
                <w:szCs w:val="18"/>
              </w:rPr>
              <w:t>r</w:t>
            </w:r>
            <w:r>
              <w:rPr>
                <w:rFonts w:ascii="Times New Roman" w:hAnsi="Times New Roman"/>
                <w:sz w:val="18"/>
                <w:szCs w:val="18"/>
              </w:rPr>
              <w:t>/%</w:t>
            </w:r>
          </w:p>
        </w:tc>
        <w:tc>
          <w:tcPr>
            <w:tcW w:w="992" w:type="pct"/>
            <w:tcBorders>
              <w:left w:val="single" w:color="auto" w:sz="12" w:space="0"/>
            </w:tcBorders>
            <w:vAlign w:val="center"/>
          </w:tcPr>
          <w:p>
            <w:pPr>
              <w:adjustRightInd/>
              <w:spacing w:line="240" w:lineRule="auto"/>
              <w:jc w:val="center"/>
              <w:rPr>
                <w:rFonts w:ascii="Times New Roman" w:hAnsi="Times New Roman"/>
                <w:sz w:val="18"/>
                <w:szCs w:val="18"/>
              </w:rPr>
            </w:pPr>
          </w:p>
        </w:tc>
        <w:tc>
          <w:tcPr>
            <w:tcW w:w="992" w:type="pct"/>
            <w:vAlign w:val="center"/>
          </w:tcPr>
          <w:p>
            <w:pPr>
              <w:adjustRightInd/>
              <w:spacing w:line="240" w:lineRule="auto"/>
              <w:jc w:val="center"/>
              <w:rPr>
                <w:rFonts w:ascii="Times New Roman" w:hAnsi="Times New Roman"/>
                <w:sz w:val="18"/>
                <w:szCs w:val="18"/>
              </w:rPr>
            </w:pPr>
          </w:p>
        </w:tc>
        <w:tc>
          <w:tcPr>
            <w:tcW w:w="991" w:type="pct"/>
            <w:vAlign w:val="center"/>
          </w:tcPr>
          <w:p>
            <w:pPr>
              <w:adjustRightInd/>
              <w:spacing w:line="240" w:lineRule="auto"/>
              <w:jc w:val="center"/>
              <w:rPr>
                <w:rFonts w:ascii="Times New Roman" w:hAnsi="Times New Roman"/>
                <w:sz w:val="18"/>
                <w:szCs w:val="18"/>
              </w:rPr>
            </w:pPr>
          </w:p>
        </w:tc>
        <w:tc>
          <w:tcPr>
            <w:tcW w:w="991" w:type="pct"/>
            <w:vAlign w:val="center"/>
          </w:tcPr>
          <w:p>
            <w:pPr>
              <w:adjustRightInd/>
              <w:spacing w:line="240" w:lineRule="auto"/>
              <w:jc w:val="center"/>
              <w:rPr>
                <w:rFonts w:ascii="Times New Roman" w:hAnsi="Times New Roman"/>
                <w:sz w:val="18"/>
                <w:szCs w:val="18"/>
              </w:rPr>
            </w:pPr>
          </w:p>
        </w:tc>
      </w:tr>
      <w:bookmarkEnd w:id="45"/>
    </w:tbl>
    <w:p>
      <w:pPr>
        <w:pStyle w:val="105"/>
        <w:spacing w:before="120" w:after="120"/>
        <w:ind w:left="0"/>
      </w:pPr>
      <w:r>
        <w:rPr>
          <w:rFonts w:hint="eastAsia"/>
        </w:rPr>
        <w:t>再现性</w:t>
      </w:r>
    </w:p>
    <w:p>
      <w:pPr>
        <w:pStyle w:val="56"/>
        <w:ind w:firstLine="420"/>
        <w:rPr>
          <w:rFonts w:ascii="Times New Roman"/>
        </w:rPr>
      </w:pPr>
      <w:r>
        <w:rPr>
          <w:rFonts w:ascii="Times New Roman"/>
        </w:rPr>
        <w:t>在</w:t>
      </w:r>
      <w:r>
        <w:rPr>
          <w:rFonts w:hint="eastAsia" w:ascii="Times New Roman"/>
        </w:rPr>
        <w:t>再现</w:t>
      </w:r>
      <w:r>
        <w:rPr>
          <w:rFonts w:ascii="Times New Roman"/>
        </w:rPr>
        <w:t>性条件下获得的两次独立测试结果的测定值，</w:t>
      </w:r>
      <w:r>
        <w:rPr>
          <w:rFonts w:hint="eastAsia" w:ascii="Times New Roman"/>
        </w:rPr>
        <w:t>精密度实验原始数据参见附录A。在表</w:t>
      </w:r>
      <w:r>
        <w:rPr>
          <w:rFonts w:ascii="Times New Roman"/>
        </w:rPr>
        <w:t>3给出的平均值范围内，两个测试结果的绝对差值不超过</w:t>
      </w:r>
      <w:r>
        <w:rPr>
          <w:rFonts w:hint="eastAsia" w:ascii="Times New Roman"/>
        </w:rPr>
        <w:t>再现</w:t>
      </w:r>
      <w:r>
        <w:rPr>
          <w:rFonts w:ascii="Times New Roman"/>
        </w:rPr>
        <w:t>性限（</w:t>
      </w:r>
      <w:r>
        <w:rPr>
          <w:rFonts w:ascii="Times New Roman"/>
          <w:i/>
        </w:rPr>
        <w:t>R</w:t>
      </w:r>
      <w:r>
        <w:rPr>
          <w:rFonts w:ascii="Times New Roman"/>
        </w:rPr>
        <w:t>），超过</w:t>
      </w:r>
      <w:r>
        <w:rPr>
          <w:rFonts w:hint="eastAsia" w:ascii="Times New Roman"/>
        </w:rPr>
        <w:t>再现</w:t>
      </w:r>
      <w:r>
        <w:rPr>
          <w:rFonts w:ascii="Times New Roman"/>
        </w:rPr>
        <w:t>性限（</w:t>
      </w:r>
      <w:r>
        <w:rPr>
          <w:rFonts w:ascii="Times New Roman"/>
          <w:i/>
        </w:rPr>
        <w:t>R</w:t>
      </w:r>
      <w:r>
        <w:rPr>
          <w:rFonts w:ascii="Times New Roman"/>
        </w:rPr>
        <w:t>）的情况不超过5%</w:t>
      </w:r>
      <w:r>
        <w:rPr>
          <w:rFonts w:hint="eastAsia" w:ascii="Times New Roman"/>
        </w:rPr>
        <w:t>，再现</w:t>
      </w:r>
      <w:r>
        <w:rPr>
          <w:rFonts w:ascii="Times New Roman"/>
        </w:rPr>
        <w:t>性限（</w:t>
      </w:r>
      <w:r>
        <w:rPr>
          <w:rFonts w:ascii="Times New Roman"/>
          <w:i/>
        </w:rPr>
        <w:t>R</w:t>
      </w:r>
      <w:r>
        <w:rPr>
          <w:rFonts w:ascii="Times New Roman"/>
        </w:rPr>
        <w:t>）</w:t>
      </w:r>
      <w:r>
        <w:rPr>
          <w:rFonts w:hint="eastAsia" w:ascii="Times New Roman"/>
        </w:rPr>
        <w:t>按</w:t>
      </w:r>
      <w:r>
        <w:rPr>
          <w:rFonts w:ascii="Times New Roman"/>
        </w:rPr>
        <w:t>表3</w:t>
      </w:r>
      <w:r>
        <w:rPr>
          <w:rFonts w:hint="eastAsia" w:ascii="Times New Roman"/>
        </w:rPr>
        <w:t>数据</w:t>
      </w:r>
      <w:r>
        <w:rPr>
          <w:rFonts w:ascii="Times New Roman"/>
        </w:rPr>
        <w:t>采用线性内插法</w:t>
      </w:r>
      <w:r>
        <w:rPr>
          <w:rFonts w:hint="eastAsia" w:ascii="Times New Roman"/>
        </w:rPr>
        <w:t>或</w:t>
      </w:r>
      <w:r>
        <w:rPr>
          <w:rFonts w:ascii="Times New Roman"/>
        </w:rPr>
        <w:t>外延法求得</w:t>
      </w:r>
      <w:r>
        <w:rPr>
          <w:rFonts w:hint="eastAsia" w:ascii="Times New Roman"/>
        </w:rPr>
        <w:t>：</w:t>
      </w:r>
    </w:p>
    <w:p>
      <w:pPr>
        <w:pStyle w:val="112"/>
        <w:spacing w:before="120" w:after="120"/>
      </w:pPr>
      <w:r>
        <w:rPr>
          <w:rFonts w:hint="eastAsia"/>
        </w:rPr>
        <w:t>再现</w:t>
      </w:r>
      <w:r>
        <w:t>性限</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1899"/>
        <w:gridCol w:w="1899"/>
        <w:gridCol w:w="1897"/>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1" w:type="pct"/>
            <w:tcBorders>
              <w:top w:val="single" w:color="auto" w:sz="12" w:space="0"/>
              <w:bottom w:val="single" w:color="auto" w:sz="4" w:space="0"/>
              <w:right w:val="single" w:color="auto" w:sz="12" w:space="0"/>
            </w:tcBorders>
            <w:vAlign w:val="center"/>
          </w:tcPr>
          <w:p>
            <w:pPr>
              <w:adjustRightInd/>
              <w:spacing w:line="240" w:lineRule="auto"/>
              <w:jc w:val="center"/>
              <w:rPr>
                <w:rFonts w:ascii="Times New Roman" w:hAnsi="Times New Roman"/>
                <w:sz w:val="18"/>
                <w:szCs w:val="18"/>
              </w:rPr>
            </w:pPr>
            <w:r>
              <w:rPr>
                <w:rFonts w:ascii="Times New Roman" w:hAnsi="Times New Roman" w:eastAsia="黑体"/>
                <w:i/>
                <w:color w:val="333333"/>
                <w:kern w:val="0"/>
                <w:shd w:val="clear" w:color="auto" w:fill="FFFFFF"/>
              </w:rPr>
              <w:t>w</w:t>
            </w:r>
            <w:r>
              <w:rPr>
                <w:rFonts w:ascii="Times New Roman" w:hAnsi="Times New Roman"/>
                <w:kern w:val="0"/>
                <w:sz w:val="18"/>
                <w:szCs w:val="18"/>
                <w:vertAlign w:val="subscript"/>
              </w:rPr>
              <w:t>Ni</w:t>
            </w:r>
            <w:r>
              <w:rPr>
                <w:rFonts w:ascii="Times New Roman" w:hAnsi="Times New Roman"/>
                <w:sz w:val="18"/>
                <w:szCs w:val="18"/>
              </w:rPr>
              <w:t>/%</w:t>
            </w:r>
          </w:p>
        </w:tc>
        <w:tc>
          <w:tcPr>
            <w:tcW w:w="992" w:type="pct"/>
            <w:tcBorders>
              <w:left w:val="single" w:color="auto" w:sz="12" w:space="0"/>
            </w:tcBorders>
            <w:vAlign w:val="center"/>
          </w:tcPr>
          <w:p>
            <w:pPr>
              <w:adjustRightInd/>
              <w:spacing w:line="240" w:lineRule="auto"/>
              <w:jc w:val="center"/>
              <w:rPr>
                <w:rFonts w:ascii="Times New Roman" w:hAnsi="Times New Roman"/>
                <w:sz w:val="18"/>
                <w:szCs w:val="18"/>
              </w:rPr>
            </w:pPr>
          </w:p>
        </w:tc>
        <w:tc>
          <w:tcPr>
            <w:tcW w:w="992" w:type="pct"/>
            <w:vAlign w:val="center"/>
          </w:tcPr>
          <w:p>
            <w:pPr>
              <w:adjustRightInd/>
              <w:spacing w:line="240" w:lineRule="auto"/>
              <w:jc w:val="center"/>
              <w:rPr>
                <w:rFonts w:ascii="Times New Roman" w:hAnsi="Times New Roman"/>
                <w:sz w:val="18"/>
                <w:szCs w:val="18"/>
              </w:rPr>
            </w:pPr>
          </w:p>
        </w:tc>
        <w:tc>
          <w:tcPr>
            <w:tcW w:w="991" w:type="pct"/>
            <w:vAlign w:val="center"/>
          </w:tcPr>
          <w:p>
            <w:pPr>
              <w:adjustRightInd/>
              <w:spacing w:line="240" w:lineRule="auto"/>
              <w:jc w:val="center"/>
              <w:rPr>
                <w:rFonts w:ascii="Times New Roman" w:hAnsi="Times New Roman"/>
                <w:sz w:val="18"/>
                <w:szCs w:val="18"/>
              </w:rPr>
            </w:pPr>
          </w:p>
        </w:tc>
        <w:tc>
          <w:tcPr>
            <w:tcW w:w="991" w:type="pct"/>
            <w:vAlign w:val="center"/>
          </w:tcPr>
          <w:p>
            <w:pPr>
              <w:adjustRightInd/>
              <w:spacing w:line="240" w:lineRule="auto"/>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1" w:type="pct"/>
            <w:tcBorders>
              <w:top w:val="single" w:color="auto" w:sz="4" w:space="0"/>
              <w:bottom w:val="single" w:color="auto" w:sz="12" w:space="0"/>
              <w:right w:val="single" w:color="auto" w:sz="12" w:space="0"/>
            </w:tcBorders>
            <w:vAlign w:val="center"/>
          </w:tcPr>
          <w:p>
            <w:pPr>
              <w:adjustRightInd/>
              <w:spacing w:line="240" w:lineRule="auto"/>
              <w:jc w:val="center"/>
              <w:rPr>
                <w:rFonts w:ascii="Times New Roman" w:hAnsi="Times New Roman"/>
                <w:sz w:val="18"/>
                <w:szCs w:val="18"/>
              </w:rPr>
            </w:pPr>
            <w:r>
              <w:rPr>
                <w:rFonts w:hint="eastAsia" w:ascii="Times New Roman" w:hAnsi="Times New Roman"/>
                <w:i/>
                <w:sz w:val="18"/>
                <w:szCs w:val="18"/>
              </w:rPr>
              <w:t>r</w:t>
            </w:r>
            <w:r>
              <w:rPr>
                <w:rFonts w:ascii="Times New Roman" w:hAnsi="Times New Roman"/>
                <w:sz w:val="18"/>
                <w:szCs w:val="18"/>
              </w:rPr>
              <w:t>/%</w:t>
            </w:r>
          </w:p>
        </w:tc>
        <w:tc>
          <w:tcPr>
            <w:tcW w:w="992" w:type="pct"/>
            <w:tcBorders>
              <w:left w:val="single" w:color="auto" w:sz="12" w:space="0"/>
            </w:tcBorders>
            <w:vAlign w:val="center"/>
          </w:tcPr>
          <w:p>
            <w:pPr>
              <w:adjustRightInd/>
              <w:spacing w:line="240" w:lineRule="auto"/>
              <w:jc w:val="center"/>
              <w:rPr>
                <w:rFonts w:ascii="Times New Roman" w:hAnsi="Times New Roman"/>
                <w:sz w:val="18"/>
                <w:szCs w:val="18"/>
              </w:rPr>
            </w:pPr>
          </w:p>
        </w:tc>
        <w:tc>
          <w:tcPr>
            <w:tcW w:w="992" w:type="pct"/>
            <w:vAlign w:val="center"/>
          </w:tcPr>
          <w:p>
            <w:pPr>
              <w:adjustRightInd/>
              <w:spacing w:line="240" w:lineRule="auto"/>
              <w:jc w:val="center"/>
              <w:rPr>
                <w:rFonts w:ascii="Times New Roman" w:hAnsi="Times New Roman"/>
                <w:sz w:val="18"/>
                <w:szCs w:val="18"/>
              </w:rPr>
            </w:pPr>
          </w:p>
        </w:tc>
        <w:tc>
          <w:tcPr>
            <w:tcW w:w="991" w:type="pct"/>
            <w:vAlign w:val="center"/>
          </w:tcPr>
          <w:p>
            <w:pPr>
              <w:adjustRightInd/>
              <w:spacing w:line="240" w:lineRule="auto"/>
              <w:jc w:val="center"/>
              <w:rPr>
                <w:rFonts w:ascii="Times New Roman" w:hAnsi="Times New Roman"/>
                <w:sz w:val="18"/>
                <w:szCs w:val="18"/>
              </w:rPr>
            </w:pPr>
          </w:p>
        </w:tc>
        <w:tc>
          <w:tcPr>
            <w:tcW w:w="991" w:type="pct"/>
            <w:vAlign w:val="center"/>
          </w:tcPr>
          <w:p>
            <w:pPr>
              <w:adjustRightInd/>
              <w:spacing w:line="240" w:lineRule="auto"/>
              <w:jc w:val="center"/>
              <w:rPr>
                <w:rFonts w:ascii="Times New Roman" w:hAnsi="Times New Roman"/>
                <w:sz w:val="18"/>
                <w:szCs w:val="18"/>
              </w:rPr>
            </w:pPr>
          </w:p>
        </w:tc>
      </w:tr>
    </w:tbl>
    <w:p>
      <w:pPr>
        <w:pStyle w:val="104"/>
        <w:spacing w:before="240" w:after="240"/>
      </w:pPr>
      <w:r>
        <w:rPr>
          <w:rFonts w:hint="eastAsia"/>
        </w:rPr>
        <w:t>试验报告</w:t>
      </w:r>
    </w:p>
    <w:p>
      <w:pPr>
        <w:widowControl/>
        <w:autoSpaceDE w:val="0"/>
        <w:autoSpaceDN w:val="0"/>
        <w:adjustRightInd/>
        <w:spacing w:line="240" w:lineRule="auto"/>
        <w:ind w:firstLine="420" w:firstLineChars="200"/>
        <w:rPr>
          <w:rFonts w:ascii="Times New Roman" w:hAnsi="Times New Roman"/>
          <w:color w:val="000000"/>
          <w:kern w:val="0"/>
          <w:szCs w:val="20"/>
        </w:rPr>
      </w:pPr>
      <w:r>
        <w:rPr>
          <w:rFonts w:hint="eastAsia" w:ascii="Times New Roman" w:hAnsi="Times New Roman"/>
          <w:color w:val="000000"/>
          <w:kern w:val="0"/>
          <w:szCs w:val="20"/>
        </w:rPr>
        <w:t>本章规定试验</w:t>
      </w:r>
      <w:r>
        <w:rPr>
          <w:rFonts w:ascii="Times New Roman" w:hAnsi="Times New Roman"/>
          <w:color w:val="000000"/>
          <w:kern w:val="0"/>
          <w:szCs w:val="20"/>
        </w:rPr>
        <w:t>报告</w:t>
      </w:r>
      <w:r>
        <w:rPr>
          <w:rFonts w:hint="eastAsia" w:ascii="Times New Roman" w:hAnsi="Times New Roman"/>
          <w:color w:val="000000"/>
          <w:kern w:val="0"/>
          <w:szCs w:val="20"/>
        </w:rPr>
        <w:t>所</w:t>
      </w:r>
      <w:r>
        <w:rPr>
          <w:rFonts w:ascii="Times New Roman" w:hAnsi="Times New Roman"/>
          <w:color w:val="000000"/>
          <w:kern w:val="0"/>
          <w:szCs w:val="20"/>
        </w:rPr>
        <w:t>包括的内容</w:t>
      </w:r>
      <w:r>
        <w:rPr>
          <w:rFonts w:hint="eastAsia" w:ascii="Times New Roman" w:hAnsi="Times New Roman"/>
          <w:color w:val="000000"/>
          <w:kern w:val="0"/>
          <w:szCs w:val="20"/>
        </w:rPr>
        <w:t>。</w:t>
      </w:r>
      <w:r>
        <w:rPr>
          <w:rFonts w:ascii="Times New Roman" w:hAnsi="Times New Roman"/>
          <w:color w:val="000000"/>
          <w:kern w:val="0"/>
          <w:szCs w:val="20"/>
        </w:rPr>
        <w:t>至少</w:t>
      </w:r>
      <w:r>
        <w:rPr>
          <w:rFonts w:hint="eastAsia" w:ascii="Times New Roman" w:hAnsi="Times New Roman"/>
          <w:color w:val="000000"/>
          <w:kern w:val="0"/>
          <w:szCs w:val="20"/>
        </w:rPr>
        <w:t>应</w:t>
      </w:r>
      <w:r>
        <w:rPr>
          <w:rFonts w:ascii="Times New Roman" w:hAnsi="Times New Roman"/>
          <w:color w:val="000000"/>
          <w:kern w:val="0"/>
          <w:szCs w:val="20"/>
        </w:rPr>
        <w:t>给出以下几个</w:t>
      </w:r>
      <w:r>
        <w:rPr>
          <w:rFonts w:hint="eastAsia" w:ascii="Times New Roman" w:hAnsi="Times New Roman"/>
          <w:color w:val="000000"/>
          <w:kern w:val="0"/>
          <w:szCs w:val="20"/>
        </w:rPr>
        <w:t>方面的内容：</w:t>
      </w:r>
    </w:p>
    <w:p>
      <w:pPr>
        <w:widowControl/>
        <w:autoSpaceDE w:val="0"/>
        <w:autoSpaceDN w:val="0"/>
        <w:adjustRightInd/>
        <w:spacing w:line="240" w:lineRule="auto"/>
        <w:ind w:firstLine="420" w:firstLineChars="200"/>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试验对象；</w:t>
      </w:r>
    </w:p>
    <w:p>
      <w:pPr>
        <w:widowControl/>
        <w:autoSpaceDE w:val="0"/>
        <w:autoSpaceDN w:val="0"/>
        <w:adjustRightInd/>
        <w:spacing w:line="240" w:lineRule="auto"/>
        <w:ind w:firstLine="420" w:firstLineChars="200"/>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本文件</w:t>
      </w:r>
      <w:r>
        <w:rPr>
          <w:rFonts w:ascii="Times New Roman" w:hAnsi="Times New Roman"/>
          <w:color w:val="000000"/>
          <w:kern w:val="0"/>
          <w:szCs w:val="20"/>
        </w:rPr>
        <w:t>编号</w:t>
      </w:r>
      <w:r>
        <w:rPr>
          <w:rFonts w:hint="eastAsia" w:ascii="Times New Roman" w:hAnsi="Times New Roman"/>
          <w:color w:val="000000"/>
          <w:kern w:val="0"/>
          <w:szCs w:val="20"/>
        </w:rPr>
        <w:t>；</w:t>
      </w:r>
    </w:p>
    <w:p>
      <w:pPr>
        <w:widowControl/>
        <w:autoSpaceDE w:val="0"/>
        <w:autoSpaceDN w:val="0"/>
        <w:adjustRightInd/>
        <w:spacing w:line="240" w:lineRule="auto"/>
        <w:ind w:firstLine="420" w:firstLineChars="200"/>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分析结果及其表示；</w:t>
      </w:r>
    </w:p>
    <w:p>
      <w:pPr>
        <w:widowControl/>
        <w:autoSpaceDE w:val="0"/>
        <w:autoSpaceDN w:val="0"/>
        <w:adjustRightInd/>
        <w:spacing w:line="240" w:lineRule="auto"/>
        <w:ind w:firstLine="420" w:firstLineChars="200"/>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与基本分析步骤的差异；</w:t>
      </w:r>
    </w:p>
    <w:p>
      <w:pPr>
        <w:widowControl/>
        <w:autoSpaceDE w:val="0"/>
        <w:autoSpaceDN w:val="0"/>
        <w:adjustRightInd/>
        <w:spacing w:line="240" w:lineRule="auto"/>
        <w:ind w:firstLine="420" w:firstLineChars="200"/>
        <w:rPr>
          <w:rFonts w:ascii="Times New Roman" w:hAnsi="Times New Roman"/>
          <w:color w:val="000000"/>
          <w:kern w:val="0"/>
          <w:szCs w:val="20"/>
        </w:rPr>
      </w:pPr>
      <w:r>
        <w:rPr>
          <w:rFonts w:ascii="Times New Roman" w:hAnsi="Times New Roman"/>
          <w:color w:val="000000"/>
          <w:kern w:val="0"/>
          <w:szCs w:val="20"/>
        </w:rPr>
        <w:t>——</w:t>
      </w:r>
      <w:r>
        <w:rPr>
          <w:rFonts w:hint="eastAsia" w:ascii="Times New Roman" w:hAnsi="Times New Roman"/>
          <w:color w:val="000000"/>
          <w:kern w:val="0"/>
          <w:szCs w:val="20"/>
        </w:rPr>
        <w:t>观察到的异常现象；</w:t>
      </w:r>
    </w:p>
    <w:p>
      <w:pPr>
        <w:widowControl/>
        <w:tabs>
          <w:tab w:val="center" w:pos="4201"/>
          <w:tab w:val="right" w:leader="dot" w:pos="9298"/>
        </w:tabs>
        <w:autoSpaceDE w:val="0"/>
        <w:autoSpaceDN w:val="0"/>
        <w:adjustRightInd/>
        <w:spacing w:line="240" w:lineRule="auto"/>
        <w:ind w:left="420"/>
        <w:rPr>
          <w:rFonts w:ascii="宋体" w:hAnsi="Times New Roman"/>
          <w:color w:val="000000"/>
          <w:kern w:val="0"/>
          <w:szCs w:val="20"/>
        </w:rPr>
      </w:pPr>
      <w:r>
        <w:rPr>
          <w:rFonts w:ascii="宋体" w:hAnsi="Times New Roman"/>
          <w:color w:val="000000"/>
          <w:kern w:val="0"/>
          <w:szCs w:val="20"/>
        </w:rPr>
        <w:t>——</w:t>
      </w:r>
      <w:r>
        <w:rPr>
          <w:rFonts w:hint="eastAsia" w:ascii="宋体" w:hAnsi="Times New Roman"/>
          <w:color w:val="000000"/>
          <w:kern w:val="0"/>
          <w:szCs w:val="20"/>
        </w:rPr>
        <w:t>试验日期。</w:t>
      </w:r>
    </w:p>
    <w:p>
      <w:pPr>
        <w:pStyle w:val="56"/>
        <w:ind w:firstLine="420"/>
      </w:pPr>
    </w:p>
    <w:p>
      <w:pPr>
        <w:pStyle w:val="56"/>
        <w:ind w:firstLine="0" w:firstLineChars="0"/>
      </w:pPr>
    </w:p>
    <w:p>
      <w:pPr>
        <w:pStyle w:val="56"/>
        <w:ind w:firstLine="0" w:firstLineChars="0"/>
      </w:pPr>
    </w:p>
    <w:p>
      <w:pPr>
        <w:pStyle w:val="56"/>
        <w:ind w:firstLine="0" w:firstLineChars="0"/>
      </w:pPr>
    </w:p>
    <w:bookmarkEnd w:id="24"/>
    <w:p>
      <w:pPr>
        <w:pStyle w:val="56"/>
        <w:ind w:firstLine="420"/>
        <w:rPr>
          <w:rFonts w:ascii="Times New Roman"/>
        </w:rPr>
      </w:pPr>
      <w:bookmarkStart w:id="46" w:name="BookMark5"/>
    </w:p>
    <w:p>
      <w:pPr>
        <w:pStyle w:val="56"/>
        <w:ind w:firstLine="420"/>
        <w:rPr>
          <w:rFonts w:ascii="Times New Roman"/>
        </w:rPr>
      </w:pPr>
    </w:p>
    <w:p>
      <w:pPr>
        <w:pStyle w:val="76"/>
        <w:spacing w:before="60" w:after="120"/>
      </w:pPr>
      <w:r>
        <w:rPr>
          <w:rFonts w:hint="eastAsia"/>
        </w:rPr>
        <w:t>（资料性）</w:t>
      </w:r>
      <w:r>
        <w:br w:type="textWrapping"/>
      </w:r>
      <w:r>
        <w:rPr>
          <w:rFonts w:hint="eastAsia"/>
        </w:rPr>
        <w:t>精密度试验原始数据</w:t>
      </w:r>
    </w:p>
    <w:p>
      <w:pPr>
        <w:pStyle w:val="56"/>
        <w:ind w:firstLine="420"/>
        <w:rPr>
          <w:rFonts w:ascii="Times New Roman"/>
          <w:szCs w:val="24"/>
        </w:rPr>
      </w:pPr>
      <w:r>
        <w:rPr>
          <w:rFonts w:ascii="Times New Roman"/>
          <w:szCs w:val="24"/>
        </w:rPr>
        <w:t>精密度数据是在2021年由XX家实验室对</w:t>
      </w:r>
      <w:r>
        <w:rPr>
          <w:rFonts w:ascii="Times New Roman"/>
        </w:rPr>
        <w:t>X个不同</w:t>
      </w:r>
      <w:r>
        <w:rPr>
          <w:rFonts w:hint="eastAsia" w:ascii="Times New Roman"/>
        </w:rPr>
        <w:t>水平的</w:t>
      </w:r>
      <w:r>
        <w:rPr>
          <w:rFonts w:ascii="Times New Roman"/>
        </w:rPr>
        <w:t>样品进行共同试验确定的。每个实验室对</w:t>
      </w:r>
      <w:r>
        <w:rPr>
          <w:rFonts w:hint="eastAsia" w:ascii="Times New Roman"/>
        </w:rPr>
        <w:t>每</w:t>
      </w:r>
      <w:r>
        <w:rPr>
          <w:rFonts w:ascii="Times New Roman"/>
        </w:rPr>
        <w:t>个水平的</w:t>
      </w:r>
      <w:r>
        <w:rPr>
          <w:rFonts w:hint="eastAsia" w:ascii="Times New Roman"/>
        </w:rPr>
        <w:t>样品</w:t>
      </w:r>
      <w:r>
        <w:rPr>
          <w:rFonts w:ascii="Times New Roman"/>
        </w:rPr>
        <w:t>在重复性条件下独立测定7</w:t>
      </w:r>
      <w:r>
        <w:rPr>
          <w:rFonts w:hint="eastAsia" w:ascii="Times New Roman"/>
        </w:rPr>
        <w:t>次～</w:t>
      </w:r>
      <w:r>
        <w:rPr>
          <w:rFonts w:ascii="Times New Roman"/>
        </w:rPr>
        <w:t>11次。测定的原始数据见表</w:t>
      </w:r>
      <w:r>
        <w:rPr>
          <w:rFonts w:hint="eastAsia" w:ascii="Times New Roman"/>
          <w:lang w:val="en-US" w:eastAsia="zh-CN"/>
        </w:rPr>
        <w:t>A</w:t>
      </w:r>
      <w:r>
        <w:rPr>
          <w:rFonts w:ascii="Times New Roman"/>
        </w:rPr>
        <w:t>.1。</w:t>
      </w:r>
    </w:p>
    <w:p>
      <w:pPr>
        <w:pStyle w:val="77"/>
        <w:spacing w:before="120" w:after="120"/>
      </w:pPr>
      <w:r>
        <w:rPr>
          <w:rFonts w:hint="eastAsia"/>
        </w:rPr>
        <w:t>精密度试验原始数据</w:t>
      </w:r>
    </w:p>
    <w:tbl>
      <w:tblPr>
        <w:tblStyle w:val="2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68"/>
        <w:gridCol w:w="735"/>
        <w:gridCol w:w="734"/>
        <w:gridCol w:w="734"/>
        <w:gridCol w:w="734"/>
        <w:gridCol w:w="734"/>
        <w:gridCol w:w="734"/>
        <w:gridCol w:w="734"/>
        <w:gridCol w:w="734"/>
        <w:gridCol w:w="724"/>
        <w:gridCol w:w="72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restart"/>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实验室</w:t>
            </w:r>
          </w:p>
        </w:tc>
        <w:tc>
          <w:tcPr>
            <w:tcW w:w="768" w:type="dxa"/>
            <w:vMerge w:val="restart"/>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水平数</w:t>
            </w:r>
          </w:p>
        </w:tc>
        <w:tc>
          <w:tcPr>
            <w:tcW w:w="8034" w:type="dxa"/>
            <w:gridSpan w:val="11"/>
            <w:shd w:val="clear" w:color="auto" w:fill="auto"/>
            <w:vAlign w:val="center"/>
          </w:tcPr>
          <w:p>
            <w:pPr>
              <w:adjustRightInd/>
              <w:spacing w:line="240" w:lineRule="auto"/>
              <w:jc w:val="center"/>
              <w:rPr>
                <w:rFonts w:ascii="Times New Roman" w:hAnsi="Times New Roman"/>
                <w:i/>
                <w:color w:val="000000"/>
                <w:sz w:val="18"/>
                <w:szCs w:val="18"/>
              </w:rPr>
            </w:pPr>
            <w:r>
              <w:rPr>
                <w:rFonts w:hint="eastAsia" w:ascii="Times New Roman" w:hAnsi="Times New Roman"/>
                <w:i/>
                <w:color w:val="000000"/>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continue"/>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vMerge w:val="continue"/>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1</w:t>
            </w:r>
          </w:p>
        </w:tc>
        <w:tc>
          <w:tcPr>
            <w:tcW w:w="734"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2</w:t>
            </w:r>
          </w:p>
        </w:tc>
        <w:tc>
          <w:tcPr>
            <w:tcW w:w="734"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3</w:t>
            </w:r>
          </w:p>
        </w:tc>
        <w:tc>
          <w:tcPr>
            <w:tcW w:w="734"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4</w:t>
            </w:r>
          </w:p>
        </w:tc>
        <w:tc>
          <w:tcPr>
            <w:tcW w:w="734"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5</w:t>
            </w:r>
          </w:p>
        </w:tc>
        <w:tc>
          <w:tcPr>
            <w:tcW w:w="734"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6</w:t>
            </w:r>
          </w:p>
        </w:tc>
        <w:tc>
          <w:tcPr>
            <w:tcW w:w="734"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7</w:t>
            </w:r>
          </w:p>
        </w:tc>
        <w:tc>
          <w:tcPr>
            <w:tcW w:w="734"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8</w:t>
            </w:r>
          </w:p>
        </w:tc>
        <w:tc>
          <w:tcPr>
            <w:tcW w:w="724"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9</w:t>
            </w:r>
          </w:p>
        </w:tc>
        <w:tc>
          <w:tcPr>
            <w:tcW w:w="726"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10</w:t>
            </w:r>
          </w:p>
        </w:tc>
        <w:tc>
          <w:tcPr>
            <w:tcW w:w="711" w:type="dxa"/>
            <w:tcBorders>
              <w:bottom w:val="single" w:color="auto" w:sz="4" w:space="0"/>
            </w:tcBorders>
            <w:shd w:val="clear" w:color="auto" w:fill="auto"/>
            <w:vAlign w:val="center"/>
          </w:tcPr>
          <w:p>
            <w:pPr>
              <w:adjustRightInd/>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restart"/>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tcBorders>
              <w:top w:val="single" w:color="auto" w:sz="4" w:space="0"/>
            </w:tcBorders>
          </w:tcPr>
          <w:p>
            <w:pPr>
              <w:adjustRightInd/>
              <w:spacing w:line="240" w:lineRule="auto"/>
              <w:rPr>
                <w:rFonts w:ascii="Times New Roman" w:hAnsi="Times New Roman"/>
                <w:sz w:val="18"/>
                <w:szCs w:val="18"/>
              </w:rPr>
            </w:pPr>
          </w:p>
        </w:tc>
        <w:tc>
          <w:tcPr>
            <w:tcW w:w="734" w:type="dxa"/>
            <w:tcBorders>
              <w:top w:val="single" w:color="auto" w:sz="4" w:space="0"/>
            </w:tcBorders>
          </w:tcPr>
          <w:p>
            <w:pPr>
              <w:adjustRightInd/>
              <w:spacing w:line="240" w:lineRule="auto"/>
              <w:rPr>
                <w:rFonts w:ascii="Times New Roman" w:hAnsi="Times New Roman"/>
                <w:sz w:val="18"/>
                <w:szCs w:val="18"/>
              </w:rPr>
            </w:pPr>
          </w:p>
        </w:tc>
        <w:tc>
          <w:tcPr>
            <w:tcW w:w="734" w:type="dxa"/>
            <w:tcBorders>
              <w:top w:val="single" w:color="auto" w:sz="4" w:space="0"/>
            </w:tcBorders>
          </w:tcPr>
          <w:p>
            <w:pPr>
              <w:adjustRightInd/>
              <w:spacing w:line="240" w:lineRule="auto"/>
              <w:rPr>
                <w:rFonts w:ascii="Times New Roman" w:hAnsi="Times New Roman"/>
                <w:sz w:val="18"/>
                <w:szCs w:val="18"/>
              </w:rPr>
            </w:pPr>
          </w:p>
        </w:tc>
        <w:tc>
          <w:tcPr>
            <w:tcW w:w="734" w:type="dxa"/>
            <w:tcBorders>
              <w:top w:val="single" w:color="auto" w:sz="4" w:space="0"/>
            </w:tcBorders>
          </w:tcPr>
          <w:p>
            <w:pPr>
              <w:adjustRightInd/>
              <w:spacing w:line="240" w:lineRule="auto"/>
              <w:rPr>
                <w:rFonts w:ascii="Times New Roman" w:hAnsi="Times New Roman"/>
                <w:sz w:val="18"/>
                <w:szCs w:val="18"/>
              </w:rPr>
            </w:pPr>
          </w:p>
        </w:tc>
        <w:tc>
          <w:tcPr>
            <w:tcW w:w="734" w:type="dxa"/>
            <w:tcBorders>
              <w:top w:val="single" w:color="auto" w:sz="4" w:space="0"/>
            </w:tcBorders>
          </w:tcPr>
          <w:p>
            <w:pPr>
              <w:adjustRightInd/>
              <w:spacing w:line="240" w:lineRule="auto"/>
              <w:rPr>
                <w:rFonts w:ascii="Times New Roman" w:hAnsi="Times New Roman"/>
                <w:sz w:val="18"/>
                <w:szCs w:val="18"/>
              </w:rPr>
            </w:pPr>
          </w:p>
        </w:tc>
        <w:tc>
          <w:tcPr>
            <w:tcW w:w="734" w:type="dxa"/>
            <w:tcBorders>
              <w:top w:val="single" w:color="auto" w:sz="4" w:space="0"/>
            </w:tcBorders>
          </w:tcPr>
          <w:p>
            <w:pPr>
              <w:adjustRightInd/>
              <w:spacing w:line="240" w:lineRule="auto"/>
              <w:rPr>
                <w:rFonts w:ascii="Times New Roman" w:hAnsi="Times New Roman"/>
                <w:sz w:val="18"/>
                <w:szCs w:val="18"/>
              </w:rPr>
            </w:pPr>
          </w:p>
        </w:tc>
        <w:tc>
          <w:tcPr>
            <w:tcW w:w="734" w:type="dxa"/>
            <w:tcBorders>
              <w:top w:val="single" w:color="auto" w:sz="4" w:space="0"/>
            </w:tcBorders>
          </w:tcPr>
          <w:p>
            <w:pPr>
              <w:adjustRightInd/>
              <w:spacing w:line="240" w:lineRule="auto"/>
              <w:rPr>
                <w:rFonts w:ascii="Times New Roman" w:hAnsi="Times New Roman"/>
                <w:sz w:val="18"/>
                <w:szCs w:val="18"/>
              </w:rPr>
            </w:pPr>
          </w:p>
        </w:tc>
        <w:tc>
          <w:tcPr>
            <w:tcW w:w="734" w:type="dxa"/>
            <w:tcBorders>
              <w:top w:val="single" w:color="auto" w:sz="4" w:space="0"/>
            </w:tcBorders>
          </w:tcPr>
          <w:p>
            <w:pPr>
              <w:adjustRightInd/>
              <w:spacing w:line="240" w:lineRule="auto"/>
              <w:rPr>
                <w:rFonts w:ascii="Times New Roman" w:hAnsi="Times New Roman"/>
                <w:sz w:val="18"/>
                <w:szCs w:val="18"/>
              </w:rPr>
            </w:pPr>
          </w:p>
        </w:tc>
        <w:tc>
          <w:tcPr>
            <w:tcW w:w="724" w:type="dxa"/>
            <w:tcBorders>
              <w:top w:val="single" w:color="auto" w:sz="4" w:space="0"/>
            </w:tcBorders>
          </w:tcPr>
          <w:p>
            <w:pPr>
              <w:adjustRightInd/>
              <w:spacing w:line="240" w:lineRule="auto"/>
              <w:rPr>
                <w:rFonts w:ascii="Times New Roman" w:hAnsi="Times New Roman"/>
                <w:sz w:val="18"/>
                <w:szCs w:val="18"/>
              </w:rPr>
            </w:pPr>
          </w:p>
        </w:tc>
        <w:tc>
          <w:tcPr>
            <w:tcW w:w="726" w:type="dxa"/>
            <w:tcBorders>
              <w:top w:val="single" w:color="auto" w:sz="4" w:space="0"/>
            </w:tcBorders>
          </w:tcPr>
          <w:p>
            <w:pPr>
              <w:adjustRightInd/>
              <w:spacing w:line="240" w:lineRule="auto"/>
              <w:rPr>
                <w:rFonts w:ascii="Times New Roman" w:hAnsi="Times New Roman"/>
                <w:sz w:val="18"/>
                <w:szCs w:val="18"/>
              </w:rPr>
            </w:pPr>
          </w:p>
        </w:tc>
        <w:tc>
          <w:tcPr>
            <w:tcW w:w="711" w:type="dxa"/>
            <w:tcBorders>
              <w:top w:val="single" w:color="auto" w:sz="4" w:space="0"/>
            </w:tcBorders>
          </w:tcPr>
          <w:p>
            <w:pPr>
              <w:adjustRightInd/>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continue"/>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24" w:type="dxa"/>
          </w:tcPr>
          <w:p>
            <w:pPr>
              <w:adjustRightInd/>
              <w:spacing w:line="240" w:lineRule="auto"/>
              <w:rPr>
                <w:rFonts w:ascii="Times New Roman" w:hAnsi="Times New Roman"/>
                <w:sz w:val="18"/>
                <w:szCs w:val="18"/>
              </w:rPr>
            </w:pPr>
          </w:p>
        </w:tc>
        <w:tc>
          <w:tcPr>
            <w:tcW w:w="726" w:type="dxa"/>
          </w:tcPr>
          <w:p>
            <w:pPr>
              <w:adjustRightInd/>
              <w:spacing w:line="240" w:lineRule="auto"/>
              <w:rPr>
                <w:rFonts w:ascii="Times New Roman" w:hAnsi="Times New Roman"/>
                <w:sz w:val="18"/>
                <w:szCs w:val="18"/>
              </w:rPr>
            </w:pPr>
          </w:p>
        </w:tc>
        <w:tc>
          <w:tcPr>
            <w:tcW w:w="711" w:type="dxa"/>
          </w:tcPr>
          <w:p>
            <w:pPr>
              <w:adjustRightInd/>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continue"/>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34" w:type="dxa"/>
          </w:tcPr>
          <w:p>
            <w:pPr>
              <w:adjustRightInd/>
              <w:spacing w:line="240" w:lineRule="auto"/>
              <w:rPr>
                <w:rFonts w:ascii="Times New Roman" w:hAnsi="Times New Roman"/>
                <w:sz w:val="18"/>
                <w:szCs w:val="18"/>
              </w:rPr>
            </w:pPr>
          </w:p>
        </w:tc>
        <w:tc>
          <w:tcPr>
            <w:tcW w:w="724" w:type="dxa"/>
          </w:tcPr>
          <w:p>
            <w:pPr>
              <w:adjustRightInd/>
              <w:spacing w:line="240" w:lineRule="auto"/>
              <w:rPr>
                <w:rFonts w:ascii="Times New Roman" w:hAnsi="Times New Roman"/>
                <w:sz w:val="18"/>
                <w:szCs w:val="18"/>
              </w:rPr>
            </w:pPr>
          </w:p>
        </w:tc>
        <w:tc>
          <w:tcPr>
            <w:tcW w:w="726" w:type="dxa"/>
          </w:tcPr>
          <w:p>
            <w:pPr>
              <w:adjustRightInd/>
              <w:spacing w:line="240" w:lineRule="auto"/>
              <w:rPr>
                <w:rFonts w:ascii="Times New Roman" w:hAnsi="Times New Roman"/>
                <w:sz w:val="18"/>
                <w:szCs w:val="18"/>
              </w:rPr>
            </w:pPr>
          </w:p>
        </w:tc>
        <w:tc>
          <w:tcPr>
            <w:tcW w:w="711" w:type="dxa"/>
          </w:tcPr>
          <w:p>
            <w:pPr>
              <w:adjustRightInd/>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restart"/>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2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26"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11"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continue"/>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24" w:type="dxa"/>
            <w:vAlign w:val="center"/>
          </w:tcPr>
          <w:p>
            <w:pPr>
              <w:adjustRightInd/>
              <w:spacing w:line="240" w:lineRule="auto"/>
              <w:jc w:val="center"/>
              <w:rPr>
                <w:rFonts w:ascii="Times New Roman" w:hAnsi="Times New Roman" w:eastAsia="等线"/>
                <w:color w:val="000000"/>
                <w:sz w:val="18"/>
                <w:szCs w:val="18"/>
              </w:rPr>
            </w:pPr>
          </w:p>
        </w:tc>
        <w:tc>
          <w:tcPr>
            <w:tcW w:w="726" w:type="dxa"/>
            <w:vAlign w:val="center"/>
          </w:tcPr>
          <w:p>
            <w:pPr>
              <w:adjustRightInd/>
              <w:spacing w:line="240" w:lineRule="auto"/>
              <w:jc w:val="center"/>
              <w:rPr>
                <w:rFonts w:ascii="Times New Roman" w:hAnsi="Times New Roman" w:eastAsia="等线"/>
                <w:color w:val="000000"/>
                <w:sz w:val="18"/>
                <w:szCs w:val="18"/>
              </w:rPr>
            </w:pPr>
          </w:p>
        </w:tc>
        <w:tc>
          <w:tcPr>
            <w:tcW w:w="711" w:type="dxa"/>
            <w:vAlign w:val="center"/>
          </w:tcPr>
          <w:p>
            <w:pPr>
              <w:adjustRightInd/>
              <w:spacing w:line="240" w:lineRule="auto"/>
              <w:jc w:val="center"/>
              <w:rPr>
                <w:rFonts w:ascii="Times New Roman" w:hAnsi="Times New Roman" w:eastAsia="等线"/>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continue"/>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24" w:type="dxa"/>
            <w:vAlign w:val="center"/>
          </w:tcPr>
          <w:p>
            <w:pPr>
              <w:adjustRightInd/>
              <w:spacing w:line="240" w:lineRule="auto"/>
              <w:jc w:val="center"/>
              <w:rPr>
                <w:rFonts w:ascii="Times New Roman" w:hAnsi="Times New Roman" w:eastAsia="等线"/>
                <w:color w:val="000000"/>
                <w:sz w:val="18"/>
                <w:szCs w:val="18"/>
              </w:rPr>
            </w:pPr>
          </w:p>
        </w:tc>
        <w:tc>
          <w:tcPr>
            <w:tcW w:w="726" w:type="dxa"/>
            <w:vAlign w:val="center"/>
          </w:tcPr>
          <w:p>
            <w:pPr>
              <w:adjustRightInd/>
              <w:spacing w:line="240" w:lineRule="auto"/>
              <w:jc w:val="center"/>
              <w:rPr>
                <w:rFonts w:ascii="Times New Roman" w:hAnsi="Times New Roman" w:eastAsia="等线"/>
                <w:color w:val="000000"/>
                <w:sz w:val="18"/>
                <w:szCs w:val="18"/>
              </w:rPr>
            </w:pPr>
          </w:p>
        </w:tc>
        <w:tc>
          <w:tcPr>
            <w:tcW w:w="711" w:type="dxa"/>
            <w:vAlign w:val="center"/>
          </w:tcPr>
          <w:p>
            <w:pPr>
              <w:adjustRightInd/>
              <w:spacing w:line="240" w:lineRule="auto"/>
              <w:jc w:val="center"/>
              <w:rPr>
                <w:rFonts w:ascii="Times New Roman" w:hAnsi="Times New Roman" w:eastAsia="等线"/>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restart"/>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3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24"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26"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c>
          <w:tcPr>
            <w:tcW w:w="711" w:type="dxa"/>
            <w:tcBorders>
              <w:top w:val="single" w:color="auto" w:sz="4" w:space="0"/>
            </w:tcBorders>
            <w:vAlign w:val="center"/>
          </w:tcPr>
          <w:p>
            <w:pPr>
              <w:adjustRightInd/>
              <w:spacing w:line="240" w:lineRule="auto"/>
              <w:jc w:val="center"/>
              <w:rPr>
                <w:rFonts w:ascii="Times New Roman" w:hAnsi="Times New Roman" w:eastAsia="等线"/>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continue"/>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24" w:type="dxa"/>
            <w:vAlign w:val="center"/>
          </w:tcPr>
          <w:p>
            <w:pPr>
              <w:adjustRightInd/>
              <w:spacing w:line="240" w:lineRule="auto"/>
              <w:jc w:val="center"/>
              <w:rPr>
                <w:rFonts w:ascii="Times New Roman" w:hAnsi="Times New Roman" w:eastAsia="等线"/>
                <w:color w:val="000000"/>
                <w:sz w:val="18"/>
                <w:szCs w:val="18"/>
              </w:rPr>
            </w:pPr>
          </w:p>
        </w:tc>
        <w:tc>
          <w:tcPr>
            <w:tcW w:w="726" w:type="dxa"/>
            <w:vAlign w:val="center"/>
          </w:tcPr>
          <w:p>
            <w:pPr>
              <w:adjustRightInd/>
              <w:spacing w:line="240" w:lineRule="auto"/>
              <w:jc w:val="center"/>
              <w:rPr>
                <w:rFonts w:ascii="Times New Roman" w:hAnsi="Times New Roman" w:eastAsia="等线"/>
                <w:color w:val="000000"/>
                <w:sz w:val="18"/>
                <w:szCs w:val="18"/>
              </w:rPr>
            </w:pPr>
          </w:p>
        </w:tc>
        <w:tc>
          <w:tcPr>
            <w:tcW w:w="711" w:type="dxa"/>
            <w:vAlign w:val="center"/>
          </w:tcPr>
          <w:p>
            <w:pPr>
              <w:adjustRightInd/>
              <w:spacing w:line="240" w:lineRule="auto"/>
              <w:jc w:val="center"/>
              <w:rPr>
                <w:rFonts w:ascii="Times New Roman" w:hAnsi="Times New Roman" w:eastAsia="等线"/>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68" w:type="dxa"/>
            <w:vMerge w:val="continue"/>
            <w:shd w:val="clear" w:color="auto" w:fill="auto"/>
            <w:vAlign w:val="center"/>
          </w:tcPr>
          <w:p>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pPr>
              <w:adjustRightInd/>
              <w:spacing w:line="240" w:lineRule="auto"/>
              <w:jc w:val="center"/>
              <w:rPr>
                <w:rFonts w:ascii="Times New Roman" w:hAnsi="Times New Roman"/>
                <w:color w:val="000000"/>
                <w:sz w:val="18"/>
                <w:szCs w:val="18"/>
              </w:rPr>
            </w:pPr>
          </w:p>
        </w:tc>
        <w:tc>
          <w:tcPr>
            <w:tcW w:w="735"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34" w:type="dxa"/>
            <w:vAlign w:val="center"/>
          </w:tcPr>
          <w:p>
            <w:pPr>
              <w:adjustRightInd/>
              <w:spacing w:line="240" w:lineRule="auto"/>
              <w:jc w:val="center"/>
              <w:rPr>
                <w:rFonts w:ascii="Times New Roman" w:hAnsi="Times New Roman" w:eastAsia="等线"/>
                <w:color w:val="000000"/>
                <w:sz w:val="18"/>
                <w:szCs w:val="18"/>
              </w:rPr>
            </w:pPr>
          </w:p>
        </w:tc>
        <w:tc>
          <w:tcPr>
            <w:tcW w:w="724" w:type="dxa"/>
            <w:vAlign w:val="center"/>
          </w:tcPr>
          <w:p>
            <w:pPr>
              <w:adjustRightInd/>
              <w:spacing w:line="240" w:lineRule="auto"/>
              <w:jc w:val="center"/>
              <w:rPr>
                <w:rFonts w:ascii="Times New Roman" w:hAnsi="Times New Roman" w:eastAsia="等线"/>
                <w:color w:val="000000"/>
                <w:sz w:val="18"/>
                <w:szCs w:val="18"/>
              </w:rPr>
            </w:pPr>
          </w:p>
        </w:tc>
        <w:tc>
          <w:tcPr>
            <w:tcW w:w="726" w:type="dxa"/>
            <w:vAlign w:val="center"/>
          </w:tcPr>
          <w:p>
            <w:pPr>
              <w:adjustRightInd/>
              <w:spacing w:line="240" w:lineRule="auto"/>
              <w:jc w:val="center"/>
              <w:rPr>
                <w:rFonts w:ascii="Times New Roman" w:hAnsi="Times New Roman" w:eastAsia="等线"/>
                <w:color w:val="000000"/>
                <w:sz w:val="18"/>
                <w:szCs w:val="18"/>
              </w:rPr>
            </w:pPr>
          </w:p>
        </w:tc>
        <w:tc>
          <w:tcPr>
            <w:tcW w:w="711" w:type="dxa"/>
            <w:vAlign w:val="center"/>
          </w:tcPr>
          <w:p>
            <w:pPr>
              <w:adjustRightInd/>
              <w:spacing w:line="240" w:lineRule="auto"/>
              <w:jc w:val="center"/>
              <w:rPr>
                <w:rFonts w:ascii="Times New Roman" w:hAnsi="Times New Roman" w:eastAsia="等线"/>
                <w:color w:val="000000"/>
                <w:sz w:val="18"/>
                <w:szCs w:val="18"/>
              </w:rPr>
            </w:pPr>
          </w:p>
        </w:tc>
      </w:tr>
    </w:tbl>
    <w:p>
      <w:pPr>
        <w:pStyle w:val="56"/>
        <w:ind w:firstLine="0" w:firstLineChars="0"/>
        <w:jc w:val="center"/>
      </w:pPr>
      <w:bookmarkStart w:id="47"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bookmarkEnd w:id="47"/>
    </w:p>
    <w:p>
      <w:pPr>
        <w:pStyle w:val="56"/>
        <w:ind w:firstLine="0" w:firstLineChars="0"/>
        <w:jc w:val="center"/>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fldChar w:fldCharType="begin"/>
    </w:r>
    <w:r>
      <w:instrText xml:space="preserve">PAGE   \* MERGEFORMAT</w:instrText>
    </w:r>
    <w:r>
      <w:fldChar w:fldCharType="separate"/>
    </w:r>
    <w:r>
      <w:rPr>
        <w:lang w:val="zh-CN"/>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YS/T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YS/T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0"/>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2"/>
      <w:suff w:val="nothing"/>
      <w:lvlText w:val="%1.%2.%3　"/>
      <w:lvlJc w:val="left"/>
      <w:pPr>
        <w:ind w:left="113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3"/>
      <w:suff w:val="nothing"/>
      <w:lvlText w:val="%1.%2.%3.%4.%5　"/>
      <w:lvlJc w:val="left"/>
      <w:pPr>
        <w:ind w:left="0" w:firstLine="0"/>
      </w:pPr>
      <w:rPr>
        <w:rFonts w:hint="eastAsia" w:ascii="黑体" w:hAnsi="Times New Roman" w:eastAsia="黑体"/>
        <w:b w:val="0"/>
        <w:i w:val="0"/>
        <w:sz w:val="21"/>
      </w:rPr>
    </w:lvl>
    <w:lvl w:ilvl="5" w:tentative="0">
      <w:start w:val="1"/>
      <w:numFmt w:val="decimal"/>
      <w:pStyle w:val="23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1418"/>
        </w:tabs>
        <w:ind w:left="1418" w:hanging="426"/>
      </w:pPr>
      <w:rPr>
        <w:rFonts w:hint="default" w:ascii="Times New Roman" w:hAnsi="Times New Roman" w:eastAsia="宋体" w:cs="Times New Roman"/>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F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51C9"/>
    <w:rsid w:val="00047F28"/>
    <w:rsid w:val="00047F8C"/>
    <w:rsid w:val="000503AA"/>
    <w:rsid w:val="000506A1"/>
    <w:rsid w:val="000515DD"/>
    <w:rsid w:val="000523B7"/>
    <w:rsid w:val="0005265A"/>
    <w:rsid w:val="000539DD"/>
    <w:rsid w:val="00053BD3"/>
    <w:rsid w:val="000556ED"/>
    <w:rsid w:val="00055FE2"/>
    <w:rsid w:val="0005616F"/>
    <w:rsid w:val="00060C2E"/>
    <w:rsid w:val="00061033"/>
    <w:rsid w:val="000619E9"/>
    <w:rsid w:val="000622D4"/>
    <w:rsid w:val="0006357D"/>
    <w:rsid w:val="00067F1E"/>
    <w:rsid w:val="00071CC0"/>
    <w:rsid w:val="000736EF"/>
    <w:rsid w:val="00073C8C"/>
    <w:rsid w:val="00077B64"/>
    <w:rsid w:val="00080A1C"/>
    <w:rsid w:val="00082317"/>
    <w:rsid w:val="00083D2C"/>
    <w:rsid w:val="00086AA1"/>
    <w:rsid w:val="00087A77"/>
    <w:rsid w:val="00090CA6"/>
    <w:rsid w:val="00092B8A"/>
    <w:rsid w:val="00092FB0"/>
    <w:rsid w:val="000934C5"/>
    <w:rsid w:val="00093D25"/>
    <w:rsid w:val="00093DAB"/>
    <w:rsid w:val="000942C2"/>
    <w:rsid w:val="00094D73"/>
    <w:rsid w:val="00096D63"/>
    <w:rsid w:val="000A0B60"/>
    <w:rsid w:val="000A0EB8"/>
    <w:rsid w:val="000A19FC"/>
    <w:rsid w:val="000A296B"/>
    <w:rsid w:val="000A3DBD"/>
    <w:rsid w:val="000A7311"/>
    <w:rsid w:val="000B060F"/>
    <w:rsid w:val="000B1592"/>
    <w:rsid w:val="000B1D4D"/>
    <w:rsid w:val="000B1FF2"/>
    <w:rsid w:val="000B3CDA"/>
    <w:rsid w:val="000B59A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E78EA"/>
    <w:rsid w:val="000F06E1"/>
    <w:rsid w:val="000F0E3C"/>
    <w:rsid w:val="000F19D5"/>
    <w:rsid w:val="000F4AEA"/>
    <w:rsid w:val="000F67E9"/>
    <w:rsid w:val="00101198"/>
    <w:rsid w:val="00104926"/>
    <w:rsid w:val="00113B1E"/>
    <w:rsid w:val="00114C7A"/>
    <w:rsid w:val="0011711C"/>
    <w:rsid w:val="001208FE"/>
    <w:rsid w:val="00120F20"/>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2CBB"/>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5BE"/>
    <w:rsid w:val="00170804"/>
    <w:rsid w:val="001708E9"/>
    <w:rsid w:val="0017340B"/>
    <w:rsid w:val="00173FB1"/>
    <w:rsid w:val="00176DFD"/>
    <w:rsid w:val="001777FC"/>
    <w:rsid w:val="001852C9"/>
    <w:rsid w:val="00187F0F"/>
    <w:rsid w:val="00190087"/>
    <w:rsid w:val="00191190"/>
    <w:rsid w:val="001913C4"/>
    <w:rsid w:val="0019348F"/>
    <w:rsid w:val="00193A07"/>
    <w:rsid w:val="00194C95"/>
    <w:rsid w:val="00195C34"/>
    <w:rsid w:val="001970EE"/>
    <w:rsid w:val="001978D0"/>
    <w:rsid w:val="001A1A53"/>
    <w:rsid w:val="001A234A"/>
    <w:rsid w:val="001B06E8"/>
    <w:rsid w:val="001B193E"/>
    <w:rsid w:val="001B2E25"/>
    <w:rsid w:val="001B466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F0C"/>
    <w:rsid w:val="001F77C7"/>
    <w:rsid w:val="00200183"/>
    <w:rsid w:val="0020107D"/>
    <w:rsid w:val="0020200C"/>
    <w:rsid w:val="00202AA4"/>
    <w:rsid w:val="002031F7"/>
    <w:rsid w:val="002040E6"/>
    <w:rsid w:val="00204894"/>
    <w:rsid w:val="0020527B"/>
    <w:rsid w:val="00205F2C"/>
    <w:rsid w:val="002062A5"/>
    <w:rsid w:val="002073AC"/>
    <w:rsid w:val="00210B15"/>
    <w:rsid w:val="002115CB"/>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5351"/>
    <w:rsid w:val="0026148A"/>
    <w:rsid w:val="00262696"/>
    <w:rsid w:val="002634BC"/>
    <w:rsid w:val="002643C3"/>
    <w:rsid w:val="00264A0C"/>
    <w:rsid w:val="00266AF1"/>
    <w:rsid w:val="00267EF4"/>
    <w:rsid w:val="0027045B"/>
    <w:rsid w:val="00270CB8"/>
    <w:rsid w:val="0027143D"/>
    <w:rsid w:val="00272B08"/>
    <w:rsid w:val="00281BB8"/>
    <w:rsid w:val="00281E9E"/>
    <w:rsid w:val="00282B8F"/>
    <w:rsid w:val="00285170"/>
    <w:rsid w:val="00285361"/>
    <w:rsid w:val="0029293A"/>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E49"/>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4CC"/>
    <w:rsid w:val="00322E62"/>
    <w:rsid w:val="00324EDD"/>
    <w:rsid w:val="003331E4"/>
    <w:rsid w:val="00336C64"/>
    <w:rsid w:val="00337162"/>
    <w:rsid w:val="0034194F"/>
    <w:rsid w:val="00342DB8"/>
    <w:rsid w:val="003443D6"/>
    <w:rsid w:val="00344605"/>
    <w:rsid w:val="003474AA"/>
    <w:rsid w:val="00350D1D"/>
    <w:rsid w:val="00351901"/>
    <w:rsid w:val="00352C83"/>
    <w:rsid w:val="00357A23"/>
    <w:rsid w:val="003615D2"/>
    <w:rsid w:val="0036429C"/>
    <w:rsid w:val="00364A53"/>
    <w:rsid w:val="003654CB"/>
    <w:rsid w:val="00365F86"/>
    <w:rsid w:val="00365F87"/>
    <w:rsid w:val="003705F4"/>
    <w:rsid w:val="00370D58"/>
    <w:rsid w:val="00371316"/>
    <w:rsid w:val="00376713"/>
    <w:rsid w:val="00377C7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4AFA"/>
    <w:rsid w:val="003C5A43"/>
    <w:rsid w:val="003D0519"/>
    <w:rsid w:val="003D0FF6"/>
    <w:rsid w:val="003D262C"/>
    <w:rsid w:val="003D6D61"/>
    <w:rsid w:val="003E091D"/>
    <w:rsid w:val="003E1C53"/>
    <w:rsid w:val="003E2A69"/>
    <w:rsid w:val="003E2D49"/>
    <w:rsid w:val="003E2FD4"/>
    <w:rsid w:val="003E47CB"/>
    <w:rsid w:val="003E49F6"/>
    <w:rsid w:val="003F0841"/>
    <w:rsid w:val="003F23D3"/>
    <w:rsid w:val="003F3F08"/>
    <w:rsid w:val="003F49F1"/>
    <w:rsid w:val="003F6272"/>
    <w:rsid w:val="003F72A3"/>
    <w:rsid w:val="00400E72"/>
    <w:rsid w:val="00400E76"/>
    <w:rsid w:val="00401400"/>
    <w:rsid w:val="00404869"/>
    <w:rsid w:val="00405884"/>
    <w:rsid w:val="00407D39"/>
    <w:rsid w:val="0041477A"/>
    <w:rsid w:val="004167A3"/>
    <w:rsid w:val="004315DF"/>
    <w:rsid w:val="00432DAA"/>
    <w:rsid w:val="00434305"/>
    <w:rsid w:val="00435DF7"/>
    <w:rsid w:val="0044083F"/>
    <w:rsid w:val="00441AE7"/>
    <w:rsid w:val="00445574"/>
    <w:rsid w:val="004467FB"/>
    <w:rsid w:val="00452D6B"/>
    <w:rsid w:val="0045323B"/>
    <w:rsid w:val="00454484"/>
    <w:rsid w:val="0045517B"/>
    <w:rsid w:val="004563CD"/>
    <w:rsid w:val="00463B77"/>
    <w:rsid w:val="00463C7B"/>
    <w:rsid w:val="00463F02"/>
    <w:rsid w:val="004644A6"/>
    <w:rsid w:val="004659BD"/>
    <w:rsid w:val="00470775"/>
    <w:rsid w:val="004715BD"/>
    <w:rsid w:val="00473494"/>
    <w:rsid w:val="004746B1"/>
    <w:rsid w:val="0047528C"/>
    <w:rsid w:val="0047583F"/>
    <w:rsid w:val="004777B5"/>
    <w:rsid w:val="00484936"/>
    <w:rsid w:val="00485C89"/>
    <w:rsid w:val="00486BE3"/>
    <w:rsid w:val="004905E4"/>
    <w:rsid w:val="00490A89"/>
    <w:rsid w:val="00490AB4"/>
    <w:rsid w:val="004920D8"/>
    <w:rsid w:val="00492F02"/>
    <w:rsid w:val="004939AE"/>
    <w:rsid w:val="00496255"/>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4F7A2E"/>
    <w:rsid w:val="00501139"/>
    <w:rsid w:val="005016CC"/>
    <w:rsid w:val="00502991"/>
    <w:rsid w:val="0050363E"/>
    <w:rsid w:val="005039BC"/>
    <w:rsid w:val="005043BB"/>
    <w:rsid w:val="00504A3D"/>
    <w:rsid w:val="00505767"/>
    <w:rsid w:val="00506EBF"/>
    <w:rsid w:val="005073F0"/>
    <w:rsid w:val="00510A7B"/>
    <w:rsid w:val="00512F6E"/>
    <w:rsid w:val="00513038"/>
    <w:rsid w:val="00513DB3"/>
    <w:rsid w:val="00514174"/>
    <w:rsid w:val="00516088"/>
    <w:rsid w:val="00516B0B"/>
    <w:rsid w:val="005207F4"/>
    <w:rsid w:val="005220EC"/>
    <w:rsid w:val="00523F95"/>
    <w:rsid w:val="00524D65"/>
    <w:rsid w:val="00525B16"/>
    <w:rsid w:val="00527C1C"/>
    <w:rsid w:val="00533D04"/>
    <w:rsid w:val="00534804"/>
    <w:rsid w:val="00534BDF"/>
    <w:rsid w:val="005354EA"/>
    <w:rsid w:val="00535EC4"/>
    <w:rsid w:val="00535ED9"/>
    <w:rsid w:val="0053692B"/>
    <w:rsid w:val="00541853"/>
    <w:rsid w:val="00542021"/>
    <w:rsid w:val="00543BDA"/>
    <w:rsid w:val="005441CC"/>
    <w:rsid w:val="005479DA"/>
    <w:rsid w:val="00547BCC"/>
    <w:rsid w:val="0055013B"/>
    <w:rsid w:val="00551F6F"/>
    <w:rsid w:val="00555044"/>
    <w:rsid w:val="00561475"/>
    <w:rsid w:val="0056487B"/>
    <w:rsid w:val="00564FB9"/>
    <w:rsid w:val="00573D9E"/>
    <w:rsid w:val="00574823"/>
    <w:rsid w:val="005801E3"/>
    <w:rsid w:val="00581802"/>
    <w:rsid w:val="005836A8"/>
    <w:rsid w:val="0058409C"/>
    <w:rsid w:val="00584262"/>
    <w:rsid w:val="00586630"/>
    <w:rsid w:val="00587ADD"/>
    <w:rsid w:val="005911A8"/>
    <w:rsid w:val="005911B0"/>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369C"/>
    <w:rsid w:val="005D4171"/>
    <w:rsid w:val="005D483E"/>
    <w:rsid w:val="005D6A95"/>
    <w:rsid w:val="005D6B2C"/>
    <w:rsid w:val="005D6D9C"/>
    <w:rsid w:val="005E2335"/>
    <w:rsid w:val="005E34CA"/>
    <w:rsid w:val="005E3C18"/>
    <w:rsid w:val="005E6318"/>
    <w:rsid w:val="005E6812"/>
    <w:rsid w:val="005E7829"/>
    <w:rsid w:val="005E7881"/>
    <w:rsid w:val="005E78E0"/>
    <w:rsid w:val="005F0D9C"/>
    <w:rsid w:val="005F1B29"/>
    <w:rsid w:val="005F284E"/>
    <w:rsid w:val="006015CE"/>
    <w:rsid w:val="00604784"/>
    <w:rsid w:val="00606419"/>
    <w:rsid w:val="00607D29"/>
    <w:rsid w:val="00612952"/>
    <w:rsid w:val="006141DC"/>
    <w:rsid w:val="00614CC1"/>
    <w:rsid w:val="00615A9D"/>
    <w:rsid w:val="00617387"/>
    <w:rsid w:val="006252D8"/>
    <w:rsid w:val="006259BC"/>
    <w:rsid w:val="0062636B"/>
    <w:rsid w:val="00632182"/>
    <w:rsid w:val="00632AE0"/>
    <w:rsid w:val="00633C17"/>
    <w:rsid w:val="00635D0B"/>
    <w:rsid w:val="00636073"/>
    <w:rsid w:val="00636E3E"/>
    <w:rsid w:val="006379F7"/>
    <w:rsid w:val="00637E4D"/>
    <w:rsid w:val="00640620"/>
    <w:rsid w:val="006411ED"/>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0509"/>
    <w:rsid w:val="00672023"/>
    <w:rsid w:val="00672060"/>
    <w:rsid w:val="00672BFD"/>
    <w:rsid w:val="006770F4"/>
    <w:rsid w:val="00677A84"/>
    <w:rsid w:val="0068026D"/>
    <w:rsid w:val="00680A27"/>
    <w:rsid w:val="006816A4"/>
    <w:rsid w:val="006819B8"/>
    <w:rsid w:val="006840A6"/>
    <w:rsid w:val="00684805"/>
    <w:rsid w:val="006850CD"/>
    <w:rsid w:val="00685AAB"/>
    <w:rsid w:val="00695135"/>
    <w:rsid w:val="006A07AA"/>
    <w:rsid w:val="006A25E5"/>
    <w:rsid w:val="006A2B46"/>
    <w:rsid w:val="006A336D"/>
    <w:rsid w:val="006A37B9"/>
    <w:rsid w:val="006A5213"/>
    <w:rsid w:val="006B2672"/>
    <w:rsid w:val="006B2B00"/>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1BDB"/>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69DA"/>
    <w:rsid w:val="00707669"/>
    <w:rsid w:val="00711CBA"/>
    <w:rsid w:val="00711FB5"/>
    <w:rsid w:val="00712A01"/>
    <w:rsid w:val="00714F58"/>
    <w:rsid w:val="00722FBF"/>
    <w:rsid w:val="00722FC2"/>
    <w:rsid w:val="00725949"/>
    <w:rsid w:val="00727FA2"/>
    <w:rsid w:val="007300AE"/>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67FCA"/>
    <w:rsid w:val="0077008A"/>
    <w:rsid w:val="00773C1F"/>
    <w:rsid w:val="00774DA4"/>
    <w:rsid w:val="00776599"/>
    <w:rsid w:val="0078114B"/>
    <w:rsid w:val="007818E6"/>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06EF"/>
    <w:rsid w:val="007C1AB6"/>
    <w:rsid w:val="007C2D89"/>
    <w:rsid w:val="007C4593"/>
    <w:rsid w:val="007C5309"/>
    <w:rsid w:val="007C6069"/>
    <w:rsid w:val="007D06C4"/>
    <w:rsid w:val="007D1352"/>
    <w:rsid w:val="007D2508"/>
    <w:rsid w:val="007D346A"/>
    <w:rsid w:val="007D5F44"/>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6CD7"/>
    <w:rsid w:val="00810257"/>
    <w:rsid w:val="008104F5"/>
    <w:rsid w:val="00811072"/>
    <w:rsid w:val="00811369"/>
    <w:rsid w:val="00815419"/>
    <w:rsid w:val="00815E7E"/>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623E"/>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1C04"/>
    <w:rsid w:val="00882011"/>
    <w:rsid w:val="00883F93"/>
    <w:rsid w:val="00884DB3"/>
    <w:rsid w:val="00885A9D"/>
    <w:rsid w:val="008864F6"/>
    <w:rsid w:val="0089049D"/>
    <w:rsid w:val="008928C9"/>
    <w:rsid w:val="008938DC"/>
    <w:rsid w:val="00893FD1"/>
    <w:rsid w:val="00894836"/>
    <w:rsid w:val="00895172"/>
    <w:rsid w:val="00895680"/>
    <w:rsid w:val="00896DFF"/>
    <w:rsid w:val="0089762C"/>
    <w:rsid w:val="00897C51"/>
    <w:rsid w:val="008A1893"/>
    <w:rsid w:val="008A4D96"/>
    <w:rsid w:val="008A769A"/>
    <w:rsid w:val="008B0C9C"/>
    <w:rsid w:val="008B166D"/>
    <w:rsid w:val="008B17F4"/>
    <w:rsid w:val="008B3615"/>
    <w:rsid w:val="008B4AC4"/>
    <w:rsid w:val="008B50C8"/>
    <w:rsid w:val="008B5281"/>
    <w:rsid w:val="008B7E05"/>
    <w:rsid w:val="008C1797"/>
    <w:rsid w:val="008C219C"/>
    <w:rsid w:val="008C475E"/>
    <w:rsid w:val="008C4767"/>
    <w:rsid w:val="008C59D3"/>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2E"/>
    <w:rsid w:val="008F17A3"/>
    <w:rsid w:val="008F1ED3"/>
    <w:rsid w:val="008F4C29"/>
    <w:rsid w:val="008F58DC"/>
    <w:rsid w:val="008F70BD"/>
    <w:rsid w:val="008F788F"/>
    <w:rsid w:val="008F7D94"/>
    <w:rsid w:val="008F7EA2"/>
    <w:rsid w:val="00902722"/>
    <w:rsid w:val="009027BC"/>
    <w:rsid w:val="00904845"/>
    <w:rsid w:val="009062E6"/>
    <w:rsid w:val="00911BE5"/>
    <w:rsid w:val="00913CA9"/>
    <w:rsid w:val="009145AE"/>
    <w:rsid w:val="009146CE"/>
    <w:rsid w:val="00914BF9"/>
    <w:rsid w:val="00914CA7"/>
    <w:rsid w:val="00915C3E"/>
    <w:rsid w:val="009161A8"/>
    <w:rsid w:val="009245F5"/>
    <w:rsid w:val="009249EC"/>
    <w:rsid w:val="009273B3"/>
    <w:rsid w:val="009305B5"/>
    <w:rsid w:val="009369F7"/>
    <w:rsid w:val="009429D5"/>
    <w:rsid w:val="00942BF1"/>
    <w:rsid w:val="00944CFA"/>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238B"/>
    <w:rsid w:val="009B2E81"/>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7DF8"/>
    <w:rsid w:val="00A4006C"/>
    <w:rsid w:val="00A40091"/>
    <w:rsid w:val="00A4030F"/>
    <w:rsid w:val="00A41C79"/>
    <w:rsid w:val="00A41CB5"/>
    <w:rsid w:val="00A42CDF"/>
    <w:rsid w:val="00A4307B"/>
    <w:rsid w:val="00A4452E"/>
    <w:rsid w:val="00A4472C"/>
    <w:rsid w:val="00A44E69"/>
    <w:rsid w:val="00A4661E"/>
    <w:rsid w:val="00A52465"/>
    <w:rsid w:val="00A55BD6"/>
    <w:rsid w:val="00A55D50"/>
    <w:rsid w:val="00A57142"/>
    <w:rsid w:val="00A61D48"/>
    <w:rsid w:val="00A648CD"/>
    <w:rsid w:val="00A6537A"/>
    <w:rsid w:val="00A67866"/>
    <w:rsid w:val="00A70921"/>
    <w:rsid w:val="00A70B07"/>
    <w:rsid w:val="00A723F8"/>
    <w:rsid w:val="00A72529"/>
    <w:rsid w:val="00A77CCB"/>
    <w:rsid w:val="00A820B3"/>
    <w:rsid w:val="00A82727"/>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471F"/>
    <w:rsid w:val="00AA57F5"/>
    <w:rsid w:val="00AA672E"/>
    <w:rsid w:val="00AA6C84"/>
    <w:rsid w:val="00AA6EC9"/>
    <w:rsid w:val="00AB399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3F4"/>
    <w:rsid w:val="00B32774"/>
    <w:rsid w:val="00B33952"/>
    <w:rsid w:val="00B33C5E"/>
    <w:rsid w:val="00B342F4"/>
    <w:rsid w:val="00B34369"/>
    <w:rsid w:val="00B34DC2"/>
    <w:rsid w:val="00B378E5"/>
    <w:rsid w:val="00B4346D"/>
    <w:rsid w:val="00B440F4"/>
    <w:rsid w:val="00B447A5"/>
    <w:rsid w:val="00B4654C"/>
    <w:rsid w:val="00B47293"/>
    <w:rsid w:val="00B50E50"/>
    <w:rsid w:val="00B52120"/>
    <w:rsid w:val="00B53331"/>
    <w:rsid w:val="00B54ABC"/>
    <w:rsid w:val="00B56FBE"/>
    <w:rsid w:val="00B62605"/>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0E6C"/>
    <w:rsid w:val="00BC1A4E"/>
    <w:rsid w:val="00BC34D1"/>
    <w:rsid w:val="00BC4743"/>
    <w:rsid w:val="00BC5DC7"/>
    <w:rsid w:val="00BC6B8B"/>
    <w:rsid w:val="00BC73D8"/>
    <w:rsid w:val="00BC79DA"/>
    <w:rsid w:val="00BD52D7"/>
    <w:rsid w:val="00BD5AD2"/>
    <w:rsid w:val="00BE22F3"/>
    <w:rsid w:val="00BE5B52"/>
    <w:rsid w:val="00BE7B8D"/>
    <w:rsid w:val="00BF0993"/>
    <w:rsid w:val="00BF10A9"/>
    <w:rsid w:val="00BF1703"/>
    <w:rsid w:val="00BF19E1"/>
    <w:rsid w:val="00BF231C"/>
    <w:rsid w:val="00BF51E5"/>
    <w:rsid w:val="00BF74A6"/>
    <w:rsid w:val="00BF7718"/>
    <w:rsid w:val="00C013AD"/>
    <w:rsid w:val="00C020FB"/>
    <w:rsid w:val="00C04904"/>
    <w:rsid w:val="00C056B3"/>
    <w:rsid w:val="00C0667A"/>
    <w:rsid w:val="00C103E5"/>
    <w:rsid w:val="00C10DE8"/>
    <w:rsid w:val="00C13319"/>
    <w:rsid w:val="00C13EE9"/>
    <w:rsid w:val="00C144CF"/>
    <w:rsid w:val="00C17101"/>
    <w:rsid w:val="00C20917"/>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45594"/>
    <w:rsid w:val="00C50A09"/>
    <w:rsid w:val="00C521D6"/>
    <w:rsid w:val="00C55232"/>
    <w:rsid w:val="00C553A4"/>
    <w:rsid w:val="00C55A06"/>
    <w:rsid w:val="00C55D03"/>
    <w:rsid w:val="00C601BC"/>
    <w:rsid w:val="00C6329F"/>
    <w:rsid w:val="00C63340"/>
    <w:rsid w:val="00C63C07"/>
    <w:rsid w:val="00C643F9"/>
    <w:rsid w:val="00C64E95"/>
    <w:rsid w:val="00C71372"/>
    <w:rsid w:val="00C72410"/>
    <w:rsid w:val="00C7287F"/>
    <w:rsid w:val="00C74DC4"/>
    <w:rsid w:val="00C80CB8"/>
    <w:rsid w:val="00C8185D"/>
    <w:rsid w:val="00C819F8"/>
    <w:rsid w:val="00C81CBE"/>
    <w:rsid w:val="00C8248C"/>
    <w:rsid w:val="00C83FC2"/>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482"/>
    <w:rsid w:val="00CB2C0B"/>
    <w:rsid w:val="00CB517D"/>
    <w:rsid w:val="00CC038D"/>
    <w:rsid w:val="00CC39FF"/>
    <w:rsid w:val="00CC3C2F"/>
    <w:rsid w:val="00CC41AC"/>
    <w:rsid w:val="00CC4AC8"/>
    <w:rsid w:val="00CC5233"/>
    <w:rsid w:val="00CC5DE6"/>
    <w:rsid w:val="00CC6E4E"/>
    <w:rsid w:val="00CC6FE8"/>
    <w:rsid w:val="00CC7202"/>
    <w:rsid w:val="00CD2808"/>
    <w:rsid w:val="00CD28BF"/>
    <w:rsid w:val="00CD4092"/>
    <w:rsid w:val="00CD4A20"/>
    <w:rsid w:val="00CD50A1"/>
    <w:rsid w:val="00CD5183"/>
    <w:rsid w:val="00CD519E"/>
    <w:rsid w:val="00CE0C4F"/>
    <w:rsid w:val="00CE30EA"/>
    <w:rsid w:val="00CE5CEE"/>
    <w:rsid w:val="00CF048A"/>
    <w:rsid w:val="00CF155A"/>
    <w:rsid w:val="00CF2947"/>
    <w:rsid w:val="00CF4E76"/>
    <w:rsid w:val="00CF686F"/>
    <w:rsid w:val="00CF6E60"/>
    <w:rsid w:val="00CF7BCA"/>
    <w:rsid w:val="00D00531"/>
    <w:rsid w:val="00D008FD"/>
    <w:rsid w:val="00D0321C"/>
    <w:rsid w:val="00D035EC"/>
    <w:rsid w:val="00D06AB1"/>
    <w:rsid w:val="00D072ED"/>
    <w:rsid w:val="00D07A16"/>
    <w:rsid w:val="00D1067E"/>
    <w:rsid w:val="00D10F50"/>
    <w:rsid w:val="00D11272"/>
    <w:rsid w:val="00D126F5"/>
    <w:rsid w:val="00D1489E"/>
    <w:rsid w:val="00D173E4"/>
    <w:rsid w:val="00D20737"/>
    <w:rsid w:val="00D21E81"/>
    <w:rsid w:val="00D223DE"/>
    <w:rsid w:val="00D25E37"/>
    <w:rsid w:val="00D2661A"/>
    <w:rsid w:val="00D27582"/>
    <w:rsid w:val="00D32719"/>
    <w:rsid w:val="00D33333"/>
    <w:rsid w:val="00D34CB7"/>
    <w:rsid w:val="00D352A2"/>
    <w:rsid w:val="00D4162B"/>
    <w:rsid w:val="00D42C6D"/>
    <w:rsid w:val="00D4514F"/>
    <w:rsid w:val="00D451E2"/>
    <w:rsid w:val="00D45E89"/>
    <w:rsid w:val="00D45E8D"/>
    <w:rsid w:val="00D466AE"/>
    <w:rsid w:val="00D4734F"/>
    <w:rsid w:val="00D51BF3"/>
    <w:rsid w:val="00D54B98"/>
    <w:rsid w:val="00D5544C"/>
    <w:rsid w:val="00D56D85"/>
    <w:rsid w:val="00D66846"/>
    <w:rsid w:val="00D675FB"/>
    <w:rsid w:val="00D71F25"/>
    <w:rsid w:val="00D77031"/>
    <w:rsid w:val="00D81136"/>
    <w:rsid w:val="00D84941"/>
    <w:rsid w:val="00D84FA1"/>
    <w:rsid w:val="00D851F0"/>
    <w:rsid w:val="00D86DB7"/>
    <w:rsid w:val="00D9060C"/>
    <w:rsid w:val="00D926D0"/>
    <w:rsid w:val="00D93030"/>
    <w:rsid w:val="00D945F2"/>
    <w:rsid w:val="00D950E1"/>
    <w:rsid w:val="00D952A6"/>
    <w:rsid w:val="00D97F99"/>
    <w:rsid w:val="00DA1E08"/>
    <w:rsid w:val="00DA24F8"/>
    <w:rsid w:val="00DA28E8"/>
    <w:rsid w:val="00DA38D3"/>
    <w:rsid w:val="00DA3932"/>
    <w:rsid w:val="00DA3AFC"/>
    <w:rsid w:val="00DA64F8"/>
    <w:rsid w:val="00DA6C15"/>
    <w:rsid w:val="00DA74A5"/>
    <w:rsid w:val="00DA7E48"/>
    <w:rsid w:val="00DB38EE"/>
    <w:rsid w:val="00DB498B"/>
    <w:rsid w:val="00DB66CA"/>
    <w:rsid w:val="00DB6BCA"/>
    <w:rsid w:val="00DB7113"/>
    <w:rsid w:val="00DC0321"/>
    <w:rsid w:val="00DC3067"/>
    <w:rsid w:val="00DC370B"/>
    <w:rsid w:val="00DC5B90"/>
    <w:rsid w:val="00DD00FF"/>
    <w:rsid w:val="00DD0619"/>
    <w:rsid w:val="00DD07FB"/>
    <w:rsid w:val="00DD1F24"/>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171E0"/>
    <w:rsid w:val="00E202EF"/>
    <w:rsid w:val="00E210B5"/>
    <w:rsid w:val="00E2552F"/>
    <w:rsid w:val="00E30605"/>
    <w:rsid w:val="00E3137A"/>
    <w:rsid w:val="00E32213"/>
    <w:rsid w:val="00E32CCF"/>
    <w:rsid w:val="00E33542"/>
    <w:rsid w:val="00E33E96"/>
    <w:rsid w:val="00E34A98"/>
    <w:rsid w:val="00E35D1E"/>
    <w:rsid w:val="00E360CE"/>
    <w:rsid w:val="00E364F9"/>
    <w:rsid w:val="00E365FA"/>
    <w:rsid w:val="00E36789"/>
    <w:rsid w:val="00E406B7"/>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87953"/>
    <w:rsid w:val="00E90391"/>
    <w:rsid w:val="00E906C2"/>
    <w:rsid w:val="00E9070B"/>
    <w:rsid w:val="00E9166B"/>
    <w:rsid w:val="00E9311F"/>
    <w:rsid w:val="00E934D1"/>
    <w:rsid w:val="00E94438"/>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46F"/>
    <w:rsid w:val="00EC562A"/>
    <w:rsid w:val="00EC6A1B"/>
    <w:rsid w:val="00EC7E11"/>
    <w:rsid w:val="00ED067A"/>
    <w:rsid w:val="00ED2B1A"/>
    <w:rsid w:val="00ED2B50"/>
    <w:rsid w:val="00ED4277"/>
    <w:rsid w:val="00EE0350"/>
    <w:rsid w:val="00EE0719"/>
    <w:rsid w:val="00EE0E80"/>
    <w:rsid w:val="00EE1C05"/>
    <w:rsid w:val="00EE4741"/>
    <w:rsid w:val="00EE613F"/>
    <w:rsid w:val="00EE7295"/>
    <w:rsid w:val="00EE7869"/>
    <w:rsid w:val="00EF054A"/>
    <w:rsid w:val="00EF2BD9"/>
    <w:rsid w:val="00EF3235"/>
    <w:rsid w:val="00EF48FC"/>
    <w:rsid w:val="00EF7E72"/>
    <w:rsid w:val="00F010E6"/>
    <w:rsid w:val="00F01542"/>
    <w:rsid w:val="00F06D37"/>
    <w:rsid w:val="00F07B9D"/>
    <w:rsid w:val="00F10926"/>
    <w:rsid w:val="00F11586"/>
    <w:rsid w:val="00F1183B"/>
    <w:rsid w:val="00F11C9F"/>
    <w:rsid w:val="00F12263"/>
    <w:rsid w:val="00F1409D"/>
    <w:rsid w:val="00F14214"/>
    <w:rsid w:val="00F157A9"/>
    <w:rsid w:val="00F17272"/>
    <w:rsid w:val="00F20A8A"/>
    <w:rsid w:val="00F25BB6"/>
    <w:rsid w:val="00F26B7E"/>
    <w:rsid w:val="00F27A3B"/>
    <w:rsid w:val="00F33817"/>
    <w:rsid w:val="00F3447F"/>
    <w:rsid w:val="00F34D9D"/>
    <w:rsid w:val="00F420D5"/>
    <w:rsid w:val="00F451EA"/>
    <w:rsid w:val="00F45447"/>
    <w:rsid w:val="00F456C6"/>
    <w:rsid w:val="00F4577B"/>
    <w:rsid w:val="00F46496"/>
    <w:rsid w:val="00F474D0"/>
    <w:rsid w:val="00F50179"/>
    <w:rsid w:val="00F50FDD"/>
    <w:rsid w:val="00F56511"/>
    <w:rsid w:val="00F6194E"/>
    <w:rsid w:val="00F623AC"/>
    <w:rsid w:val="00F6412A"/>
    <w:rsid w:val="00F65893"/>
    <w:rsid w:val="00F66A4A"/>
    <w:rsid w:val="00F7123E"/>
    <w:rsid w:val="00F71E22"/>
    <w:rsid w:val="00F72142"/>
    <w:rsid w:val="00F72AE7"/>
    <w:rsid w:val="00F77D98"/>
    <w:rsid w:val="00F833BA"/>
    <w:rsid w:val="00F84FD0"/>
    <w:rsid w:val="00F859A8"/>
    <w:rsid w:val="00F90371"/>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EBB"/>
    <w:rsid w:val="00FF2728"/>
    <w:rsid w:val="00FF3E7D"/>
    <w:rsid w:val="00FF5B99"/>
    <w:rsid w:val="00FF730C"/>
    <w:rsid w:val="00FF73F4"/>
    <w:rsid w:val="00FF7CE4"/>
    <w:rsid w:val="00FF7E39"/>
    <w:rsid w:val="04B36E5D"/>
    <w:rsid w:val="131861AD"/>
    <w:rsid w:val="182B6AB7"/>
    <w:rsid w:val="22BF7558"/>
    <w:rsid w:val="27CB0514"/>
    <w:rsid w:val="3491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rFonts w:ascii="Times New Roman" w:hAnsi="Times New Roman" w:eastAsia="宋体" w:cs="Times New Roman"/>
      <w:szCs w:val="20"/>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hAnsi="Times New Roman" w:eastAsia="宋体" w:cs="Times New Roman"/>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142"/>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tabs>
        <w:tab w:val="left" w:pos="851"/>
        <w:tab w:val="clear" w:pos="1418"/>
      </w:tabs>
      <w:ind w:left="851"/>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一级条标题"/>
    <w:next w:val="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1">
    <w:name w:val="章标题"/>
    <w:next w:val="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2">
    <w:name w:val="二级条标题"/>
    <w:basedOn w:val="230"/>
    <w:next w:val="1"/>
    <w:uiPriority w:val="0"/>
    <w:pPr>
      <w:numPr>
        <w:ilvl w:val="2"/>
      </w:numPr>
      <w:spacing w:before="50" w:after="50"/>
      <w:outlineLvl w:val="3"/>
    </w:pPr>
  </w:style>
  <w:style w:type="paragraph" w:customStyle="1" w:styleId="233">
    <w:name w:val="四级条标题"/>
    <w:basedOn w:val="1"/>
    <w:next w:val="1"/>
    <w:uiPriority w:val="0"/>
    <w:pPr>
      <w:widowControl/>
      <w:numPr>
        <w:ilvl w:val="4"/>
        <w:numId w:val="32"/>
      </w:numPr>
      <w:adjustRightInd/>
      <w:spacing w:before="50" w:beforeLines="50" w:after="50" w:afterLines="50" w:line="240" w:lineRule="auto"/>
      <w:jc w:val="left"/>
      <w:outlineLvl w:val="5"/>
    </w:pPr>
    <w:rPr>
      <w:rFonts w:ascii="黑体" w:hAnsi="Times New Roman" w:eastAsia="黑体"/>
      <w:kern w:val="0"/>
    </w:rPr>
  </w:style>
  <w:style w:type="paragraph" w:customStyle="1" w:styleId="234">
    <w:name w:val="五级条标题"/>
    <w:basedOn w:val="233"/>
    <w:next w:val="1"/>
    <w:qFormat/>
    <w:uiPriority w:val="0"/>
    <w:pPr>
      <w:numPr>
        <w:ilvl w:val="5"/>
      </w:numPr>
      <w:outlineLvl w:val="6"/>
    </w:pPr>
  </w:style>
  <w:style w:type="paragraph" w:customStyle="1" w:styleId="235">
    <w:name w:val="段"/>
    <w:link w:val="236"/>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hAnsi="Times New Roman"/>
      <w:sz w:val="21"/>
    </w:rPr>
  </w:style>
  <w:style w:type="paragraph" w:customStyle="1" w:styleId="237">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B000BB033B41B8AE03038E95CDABB9"/>
        <w:style w:val=""/>
        <w:category>
          <w:name w:val="常规"/>
          <w:gallery w:val="placeholder"/>
        </w:category>
        <w:types>
          <w:type w:val="bbPlcHdr"/>
        </w:types>
        <w:behaviors>
          <w:behavior w:val="content"/>
        </w:behaviors>
        <w:description w:val=""/>
        <w:guid w:val="{A6FEC238-E4E5-44B0-A7C5-FD070BC48808}"/>
      </w:docPartPr>
      <w:docPartBody>
        <w:p>
          <w:pPr>
            <w:pStyle w:val="5"/>
          </w:pPr>
          <w:r>
            <w:rPr>
              <w:rStyle w:val="4"/>
              <w:rFonts w:hint="eastAsia"/>
            </w:rPr>
            <w:t>单击或点击此处输入文字。</w:t>
          </w:r>
        </w:p>
      </w:docPartBody>
    </w:docPart>
    <w:docPart>
      <w:docPartPr>
        <w:name w:val="34967355CBF64DDEA6A359FCB4C7FD71"/>
        <w:style w:val=""/>
        <w:category>
          <w:name w:val="常规"/>
          <w:gallery w:val="placeholder"/>
        </w:category>
        <w:types>
          <w:type w:val="bbPlcHdr"/>
        </w:types>
        <w:behaviors>
          <w:behavior w:val="content"/>
        </w:behaviors>
        <w:description w:val=""/>
        <w:guid w:val="{EC85AFA1-765F-471E-B391-8C8D74AB9EAD}"/>
      </w:docPartPr>
      <w:docPartBody>
        <w:p>
          <w:pPr>
            <w:pStyle w:val="6"/>
          </w:pPr>
          <w:r>
            <w:rPr>
              <w:rStyle w:val="4"/>
              <w:rFonts w:hint="eastAsia"/>
            </w:rPr>
            <w:t>选择一项。</w:t>
          </w:r>
        </w:p>
      </w:docPartBody>
    </w:docPart>
    <w:docPart>
      <w:docPartPr>
        <w:name w:val="EF1E6DBFFBAC417988D3726FB08FCA7B"/>
        <w:style w:val=""/>
        <w:category>
          <w:name w:val="常规"/>
          <w:gallery w:val="placeholder"/>
        </w:category>
        <w:types>
          <w:type w:val="bbPlcHdr"/>
        </w:types>
        <w:behaviors>
          <w:behavior w:val="content"/>
        </w:behaviors>
        <w:description w:val=""/>
        <w:guid w:val="{D4E17F76-A451-4A33-9420-8C0DC2B6628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84"/>
    <w:rsid w:val="00032A19"/>
    <w:rsid w:val="00280029"/>
    <w:rsid w:val="004610CF"/>
    <w:rsid w:val="004D52FF"/>
    <w:rsid w:val="005C10EE"/>
    <w:rsid w:val="006069AC"/>
    <w:rsid w:val="00637073"/>
    <w:rsid w:val="00645295"/>
    <w:rsid w:val="00653A75"/>
    <w:rsid w:val="00667F62"/>
    <w:rsid w:val="008406E1"/>
    <w:rsid w:val="00884765"/>
    <w:rsid w:val="00946EB1"/>
    <w:rsid w:val="009C3384"/>
    <w:rsid w:val="009D0335"/>
    <w:rsid w:val="00BB1650"/>
    <w:rsid w:val="00C8657C"/>
    <w:rsid w:val="00D341EE"/>
    <w:rsid w:val="00E719C9"/>
    <w:rsid w:val="00EA34E1"/>
    <w:rsid w:val="00F50963"/>
    <w:rsid w:val="00FD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0B000BB033B41B8AE03038E95CDAB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4967355CBF64DDEA6A359FCB4C7FD7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F1E6DBFFBAC417988D3726FB08FCA7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BFC3E-9704-4F4C-AFB4-7875C2DA52A2}">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11</Pages>
  <Words>973</Words>
  <Characters>5549</Characters>
  <Lines>46</Lines>
  <Paragraphs>13</Paragraphs>
  <TotalTime>2</TotalTime>
  <ScaleCrop>false</ScaleCrop>
  <LinksUpToDate>false</LinksUpToDate>
  <CharactersWithSpaces>6509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2021-09-29T01:12:00Z</dcterms:created>
  <dc:creator>Administrator</dc:creator>
  <dc:description>&lt;config cover="true" show_menu="true" version="1.0.0" doctype="SDKXY"&gt;_x000d_
&lt;/config&gt;</dc:description>
  <cp:lastModifiedBy>Hang</cp:lastModifiedBy>
  <cp:lastPrinted>2021-10-11T02:52:00Z</cp:lastPrinted>
  <dcterms:modified xsi:type="dcterms:W3CDTF">2021-10-27T13:41:02Z</dcterms:modified>
  <dc:title>行业标准</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2052-11.1.0.11045</vt:lpwstr>
  </property>
  <property fmtid="{D5CDD505-2E9C-101B-9397-08002B2CF9AE}" pid="15" name="ICV">
    <vt:lpwstr>FED17B01C9434789A9B735F94D5D53C6</vt:lpwstr>
  </property>
</Properties>
</file>