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numPr>
          <w:ilvl w:val="0"/>
          <w:numId w:val="0"/>
        </w:numPr>
        <w:jc w:val="both"/>
        <w:rPr>
          <w:rFonts w:ascii="Times New Roman"/>
        </w:rPr>
        <w:sectPr>
          <w:headerReference r:id="rId5" w:type="first"/>
          <w:footerReference r:id="rId8" w:type="first"/>
          <w:headerReference r:id="rId3" w:type="default"/>
          <w:footerReference r:id="rId6" w:type="default"/>
          <w:headerReference r:id="rId4" w:type="even"/>
          <w:footerReference r:id="rId7" w:type="even"/>
          <w:pgSz w:w="11907" w:h="16839"/>
          <w:pgMar w:top="567" w:right="851" w:bottom="1361" w:left="1418" w:header="0" w:footer="0" w:gutter="0"/>
          <w:pgNumType w:fmt="upperRoman" w:start="1"/>
          <w:cols w:space="720" w:num="1"/>
          <w:titlePg/>
          <w:docGrid w:type="lines" w:linePitch="312" w:charSpace="0"/>
        </w:sectPr>
      </w:pPr>
      <w:bookmarkStart w:id="4" w:name="_GoBack"/>
      <w:bookmarkEnd w:id="4"/>
      <w:bookmarkStart w:id="0" w:name="SectionMark0"/>
      <w:bookmarkStart w:id="1" w:name="SectionMark2"/>
      <w:r>
        <w:rPr>
          <w:lang w:val="en-US" w:eastAsia="zh-CN"/>
        </w:rPr>
        <mc:AlternateContent>
          <mc:Choice Requires="wps">
            <w:drawing>
              <wp:anchor distT="0" distB="0" distL="114300" distR="114300" simplePos="0" relativeHeight="251673600" behindDoc="0" locked="0" layoutInCell="0" allowOverlap="1">
                <wp:simplePos x="0" y="0"/>
                <wp:positionH relativeFrom="column">
                  <wp:posOffset>-9525</wp:posOffset>
                </wp:positionH>
                <wp:positionV relativeFrom="paragraph">
                  <wp:posOffset>8863965</wp:posOffset>
                </wp:positionV>
                <wp:extent cx="6121400" cy="0"/>
                <wp:effectExtent l="14605" t="9525" r="7620" b="9525"/>
                <wp:wrapNone/>
                <wp:docPr id="84" name="直接连接符 8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0.75pt;margin-top:697.95pt;height:0pt;width:482pt;z-index:251673600;mso-width-relative:page;mso-height-relative:page;" filled="f" stroked="t" coordsize="21600,21600" o:allowincell="f" o:gfxdata="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2&#10;KvEV1gAAAAwBAAAPAAAAAAAAAAEAIAAAACIAAABkcnMvZG93bnJldi54bWxQSwECFAAUAAAACACH&#10;TuJAVxfnmO0BAAC4AwAADgAAAAAAAAABACAAAAAlAQAAZHJzL2Uyb0RvYy54bWxQSwUGAAAAAAYA&#10;BgBZAQAAhAUAAAAA&#10;">
                <v:fill on="f" focussize="0,0"/>
                <v:stroke weight="1pt" color="#800008" joinstyle="round"/>
                <v:imagedata o:title=""/>
                <o:lock v:ext="edit" aspectratio="f"/>
              </v:line>
            </w:pict>
          </mc:Fallback>
        </mc:AlternateContent>
      </w:r>
      <w:r>
        <w:rPr>
          <w:lang w:val="en-US" w:eastAsia="zh-CN"/>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2416175</wp:posOffset>
                </wp:positionV>
                <wp:extent cx="6121400" cy="0"/>
                <wp:effectExtent l="14605" t="10160" r="7620" b="889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0pt;margin-top:190.25pt;height:0pt;width:482pt;z-index:251672576;mso-width-relative:page;mso-height-relative:page;" filled="f" stroked="t" coordsize="21600,21600" o:allowincell="f" o:gfxdata="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d7n&#10;WtQAAAAIAQAADwAAAAAAAAABACAAAAAiAAAAZHJzL2Rvd25yZXYueG1sUEsBAhQAFAAAAAgAh07i&#10;QM8XZWrtAQAAuAMAAA4AAAAAAAAAAQAgAAAAIwEAAGRycy9lMm9Eb2MueG1sUEsFBgAAAAAGAAYA&#10;WQEAAIIFAAAAAA==&#10;">
                <v:fill on="f" focussize="0,0"/>
                <v:stroke weight="1pt" color="#800008" joinstyle="round"/>
                <v:imagedata o:title=""/>
                <o:lock v:ext="edit" aspectratio="f"/>
              </v:line>
            </w:pict>
          </mc:Fallback>
        </mc:AlternateContent>
      </w:r>
      <w:r>
        <w:rPr>
          <w:lang w:val="en-US" w:eastAsia="zh-CN"/>
        </w:rPr>
        <mc:AlternateContent>
          <mc:Choice Requires="wps">
            <w:drawing>
              <wp:anchor distT="0" distB="0" distL="114300" distR="114300" simplePos="0" relativeHeight="251671552" behindDoc="0" locked="0" layoutInCell="1" allowOverlap="1">
                <wp:simplePos x="0" y="0"/>
                <wp:positionH relativeFrom="column">
                  <wp:posOffset>4843145</wp:posOffset>
                </wp:positionH>
                <wp:positionV relativeFrom="paragraph">
                  <wp:posOffset>9121140</wp:posOffset>
                </wp:positionV>
                <wp:extent cx="457200" cy="323850"/>
                <wp:effectExtent l="9525" t="9525" r="9525" b="9525"/>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457200" cy="323850"/>
                        </a:xfrm>
                        <a:prstGeom prst="rect">
                          <a:avLst/>
                        </a:prstGeom>
                        <a:solidFill>
                          <a:srgbClr val="FFFFFF"/>
                        </a:solidFill>
                        <a:ln w="9525" cmpd="sng">
                          <a:solidFill>
                            <a:srgbClr val="FFFFFF"/>
                          </a:solidFill>
                          <a:miter lim="800000"/>
                        </a:ln>
                      </wps:spPr>
                      <wps:txbx>
                        <w:txbxContent>
                          <w:p>
                            <w:pPr>
                              <w:rPr>
                                <w:rFonts w:ascii="黑体" w:eastAsia="黑体"/>
                                <w:sz w:val="28"/>
                                <w:szCs w:val="28"/>
                              </w:rPr>
                            </w:pPr>
                            <w:r>
                              <w:rPr>
                                <w:rFonts w:hint="eastAsia" w:ascii="黑体" w:eastAsia="黑体"/>
                                <w:sz w:val="28"/>
                                <w:szCs w:val="28"/>
                              </w:rPr>
                              <w:t>发 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81.35pt;margin-top:718.2pt;height:25.5pt;width:36pt;z-index:251671552;mso-width-relative:page;mso-height-relative:page;" fillcolor="#FFFFFF" filled="t" stroked="t" coordsize="21600,21600" o:gfxdata="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5YnTY2gAAAA0BAAAPAAAAAAAAAAEAIAAAACIAAABkcnMv&#10;ZG93bnJldi54bWxQSwECFAAUAAAACACHTuJAna2sdToCAACDBAAADgAAAAAAAAABACAAAAApAQAA&#10;ZHJzL2Uyb0RvYy54bWxQSwUGAAAAAAYABgBZAQAA1QUAAAAA&#10;">
                <v:fill on="t" focussize="0,0"/>
                <v:stroke color="#FFFFFF" miterlimit="8" joinstyle="miter"/>
                <v:imagedata o:title=""/>
                <o:lock v:ext="edit" aspectratio="f"/>
                <v:textbox inset="0mm,0mm,0mm,0mm">
                  <w:txbxContent>
                    <w:p>
                      <w:pPr>
                        <w:rPr>
                          <w:rFonts w:ascii="黑体" w:eastAsia="黑体"/>
                          <w:sz w:val="28"/>
                          <w:szCs w:val="28"/>
                        </w:rPr>
                      </w:pPr>
                      <w:r>
                        <w:rPr>
                          <w:rFonts w:hint="eastAsia" w:ascii="黑体" w:eastAsia="黑体"/>
                          <w:sz w:val="28"/>
                          <w:szCs w:val="28"/>
                        </w:rPr>
                        <w:t>发 布</w:t>
                      </w:r>
                    </w:p>
                  </w:txbxContent>
                </v:textbox>
              </v:shape>
            </w:pict>
          </mc:Fallback>
        </mc:AlternateContent>
      </w:r>
      <w:r>
        <w:rPr>
          <w:lang w:val="en-US" w:eastAsia="zh-CN"/>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8856345</wp:posOffset>
                </wp:positionV>
                <wp:extent cx="6121400" cy="0"/>
                <wp:effectExtent l="14605" t="11430" r="7620" b="7620"/>
                <wp:wrapNone/>
                <wp:docPr id="81" name="直接连接符 8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_x0000_s1026" o:spid="_x0000_s1026" o:spt="20" style="position:absolute;left:0pt;margin-left:-0.75pt;margin-top:697.35pt;height:0pt;width:482pt;z-index:251668480;mso-width-relative:page;mso-height-relative:page;" filled="f" stroked="t" coordsize="21600,21600" o:gfxdata="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lXg&#10;4tcAAAAMAQAADwAAAAAAAAABACAAAAAiAAAAZHJzL2Rvd25yZXYueG1sUEsBAhQAFAAAAAgAh07i&#10;QGCPrdjqAQAAuAMAAA4AAAAAAAAAAQAgAAAAJgEAAGRycy9lMm9Eb2MueG1sUEsFBgAAAAAGAAYA&#10;WQEAAIIFAAAAAA==&#10;">
                <v:fill on="f" focussize="0,0"/>
                <v:stroke weight="1pt" color="#FFFFFF" joinstyle="round"/>
                <v:imagedata o:title=""/>
                <o:lock v:ext="edit" aspectratio="f"/>
              </v:line>
            </w:pict>
          </mc:Fallback>
        </mc:AlternateContent>
      </w:r>
      <w:r>
        <w:rPr>
          <w:lang w:val="en-US" w:eastAsia="zh-CN"/>
        </w:rPr>
        <mc:AlternateContent>
          <mc:Choice Requires="wps">
            <w:drawing>
              <wp:anchor distT="0" distB="0" distL="114300" distR="114300" simplePos="0" relativeHeight="251670528" behindDoc="0" locked="1" layoutInCell="1" allowOverlap="1">
                <wp:simplePos x="0" y="0"/>
                <wp:positionH relativeFrom="margin">
                  <wp:posOffset>857250</wp:posOffset>
                </wp:positionH>
                <wp:positionV relativeFrom="margin">
                  <wp:posOffset>9181465</wp:posOffset>
                </wp:positionV>
                <wp:extent cx="3815715" cy="406400"/>
                <wp:effectExtent l="0" t="3175"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3815715" cy="406400"/>
                        </a:xfrm>
                        <a:prstGeom prst="rect">
                          <a:avLst/>
                        </a:prstGeom>
                        <a:solidFill>
                          <a:srgbClr val="FFFFFF"/>
                        </a:solidFill>
                        <a:ln>
                          <a:noFill/>
                        </a:ln>
                      </wps:spPr>
                      <wps:txbx>
                        <w:txbxContent>
                          <w:p>
                            <w:pPr>
                              <w:pStyle w:val="63"/>
                              <w:spacing w:line="0" w:lineRule="atLeast"/>
                              <w:jc w:val="distribute"/>
                              <w:rPr>
                                <w:rFonts w:hAnsi="宋体"/>
                                <w:spacing w:val="-40"/>
                                <w:w w:val="100"/>
                                <w:szCs w:val="36"/>
                              </w:rPr>
                            </w:pPr>
                            <w:r>
                              <w:rPr>
                                <w:rFonts w:hint="eastAsia" w:hAnsi="宋体"/>
                                <w:spacing w:val="-40"/>
                                <w:w w:val="100"/>
                                <w:szCs w:val="36"/>
                              </w:rPr>
                              <w:t>中华人民共和国工业和信息化部</w:t>
                            </w:r>
                          </w:p>
                        </w:txbxContent>
                      </wps:txbx>
                      <wps:bodyPr rot="0" vert="horz" wrap="square" lIns="0" tIns="0" rIns="36000" bIns="0" anchor="t" anchorCtr="0" upright="1">
                        <a:noAutofit/>
                      </wps:bodyPr>
                    </wps:wsp>
                  </a:graphicData>
                </a:graphic>
              </wp:anchor>
            </w:drawing>
          </mc:Choice>
          <mc:Fallback>
            <w:pict>
              <v:shape id="_x0000_s1026" o:spid="_x0000_s1026" o:spt="202" type="#_x0000_t202" style="position:absolute;left:0pt;margin-left:67.5pt;margin-top:722.95pt;height:32pt;width:300.45pt;mso-position-horizontal-relative:margin;mso-position-vertical-relative:margin;z-index:251670528;mso-width-relative:page;mso-height-relative:page;" fillcolor="#FFFFFF" filled="t" stroked="f" coordsize="21600,21600" o:gfxdata="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nY77bXAAAADQEAAA8AAAAAAAAAAQAgAAAAIgAAAGRycy9kb3ducmV2LnhtbFBLAQIUABQAAAAI&#10;AIdO4kAdARL8JwIAADQEAAAOAAAAAAAAAAEAIAAAACYBAABkcnMvZTJvRG9jLnhtbFBLBQYAAAAA&#10;BgAGAFkBAAC/BQAAAAA=&#10;">
                <v:fill on="t" focussize="0,0"/>
                <v:stroke on="f"/>
                <v:imagedata o:title=""/>
                <o:lock v:ext="edit" aspectratio="f"/>
                <v:textbox inset="0mm,0mm,1mm,0mm">
                  <w:txbxContent>
                    <w:p>
                      <w:pPr>
                        <w:pStyle w:val="63"/>
                        <w:spacing w:line="0" w:lineRule="atLeast"/>
                        <w:jc w:val="distribute"/>
                        <w:rPr>
                          <w:rFonts w:hAnsi="宋体"/>
                          <w:spacing w:val="-40"/>
                          <w:w w:val="100"/>
                          <w:szCs w:val="36"/>
                        </w:rPr>
                      </w:pPr>
                      <w:r>
                        <w:rPr>
                          <w:rFonts w:hint="eastAsia" w:hAnsi="宋体"/>
                          <w:spacing w:val="-40"/>
                          <w:w w:val="100"/>
                          <w:szCs w:val="36"/>
                        </w:rPr>
                        <w:t>中华人民共和国工业和信息化部</w:t>
                      </w:r>
                    </w:p>
                  </w:txbxContent>
                </v:textbox>
                <w10:anchorlock/>
              </v:shape>
            </w:pict>
          </mc:Fallback>
        </mc:AlternateContent>
      </w:r>
      <w:r>
        <w:rPr>
          <w:lang w:val="en-US" w:eastAsia="zh-CN"/>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2406650</wp:posOffset>
                </wp:positionV>
                <wp:extent cx="6121400" cy="0"/>
                <wp:effectExtent l="14605" t="10160" r="7620" b="8890"/>
                <wp:wrapNone/>
                <wp:docPr id="79" name="直接连接符 79"/>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FFFFFF"/>
                          </a:solidFill>
                          <a:round/>
                        </a:ln>
                      </wps:spPr>
                      <wps:bodyPr/>
                    </wps:wsp>
                  </a:graphicData>
                </a:graphic>
              </wp:anchor>
            </w:drawing>
          </mc:Choice>
          <mc:Fallback>
            <w:pict>
              <v:line id="_x0000_s1026" o:spid="_x0000_s1026" o:spt="20" style="position:absolute;left:0pt;margin-left:0pt;margin-top:189.5pt;height:0pt;width:482pt;z-index:251667456;mso-width-relative:page;mso-height-relative:page;" filled="f" stroked="t" coordsize="21600,21600" o:allowincell="f" o:gfxdata="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W42U&#10;1QAAAAgBAAAPAAAAAAAAAAEAIAAAACIAAABkcnMvZG93bnJldi54bWxQSwECFAAUAAAACACHTuJA&#10;HVWXdOsBAAC4AwAADgAAAAAAAAABACAAAAAkAQAAZHJzL2Uyb0RvYy54bWxQSwUGAAAAAAYABgBZ&#10;AQAAgQUAAAAA&#10;">
                <v:fill on="f" focussize="0,0"/>
                <v:stroke weight="1pt" color="#FFFFFF" joinstyle="round"/>
                <v:imagedata o:title=""/>
                <o:lock v:ext="edit" aspectratio="f"/>
              </v:line>
            </w:pict>
          </mc:Fallback>
        </mc:AlternateContent>
      </w:r>
      <w:r>
        <w:rPr>
          <w:lang w:val="en-US" w:eastAsia="zh-CN"/>
        </w:rPr>
        <mc:AlternateContent>
          <mc:Choice Requires="wps">
            <w:drawing>
              <wp:anchor distT="0" distB="0" distL="114300" distR="114300" simplePos="0" relativeHeight="251669504" behindDoc="0" locked="1" layoutInCell="0" allowOverlap="1">
                <wp:simplePos x="0" y="0"/>
                <wp:positionH relativeFrom="margin">
                  <wp:posOffset>0</wp:posOffset>
                </wp:positionH>
                <wp:positionV relativeFrom="margin">
                  <wp:posOffset>0</wp:posOffset>
                </wp:positionV>
                <wp:extent cx="2540000" cy="657860"/>
                <wp:effectExtent l="0" t="381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pPr>
                              <w:pStyle w:val="100"/>
                              <w:rPr>
                                <w:rFonts w:ascii="黑体" w:hAnsi="黑体"/>
                              </w:rPr>
                            </w:pPr>
                            <w:r>
                              <w:rPr>
                                <w:rFonts w:ascii="黑体" w:hAnsi="黑体"/>
                                <w:b/>
                                <w:bCs/>
                              </w:rPr>
                              <w:t>ICS</w:t>
                            </w:r>
                            <w:r>
                              <w:rPr>
                                <w:rFonts w:hint="eastAsia" w:ascii="黑体" w:hAnsi="黑体"/>
                              </w:rPr>
                              <w:t xml:space="preserve"> </w:t>
                            </w:r>
                            <w:r>
                              <w:rPr>
                                <w:rFonts w:ascii="黑体" w:hAnsi="黑体"/>
                              </w:rPr>
                              <w:t>77</w:t>
                            </w:r>
                            <w:r>
                              <w:rPr>
                                <w:rFonts w:hint="eastAsia" w:ascii="黑体" w:hAnsi="黑体"/>
                              </w:rPr>
                              <w:t>.1</w:t>
                            </w:r>
                            <w:r>
                              <w:rPr>
                                <w:rFonts w:ascii="黑体" w:hAnsi="黑体"/>
                              </w:rPr>
                              <w:t>2</w:t>
                            </w:r>
                            <w:r>
                              <w:rPr>
                                <w:rFonts w:hint="eastAsia" w:ascii="黑体" w:hAnsi="黑体"/>
                              </w:rPr>
                              <w:t>0</w:t>
                            </w:r>
                            <w:r>
                              <w:rPr>
                                <w:rFonts w:ascii="黑体" w:hAnsi="黑体"/>
                              </w:rPr>
                              <w:t>.40</w:t>
                            </w:r>
                          </w:p>
                          <w:p>
                            <w:pPr>
                              <w:pStyle w:val="100"/>
                              <w:rPr>
                                <w:rFonts w:hint="eastAsia" w:ascii="黑体" w:hAnsi="黑体"/>
                              </w:rPr>
                            </w:pPr>
                            <w:r>
                              <w:rPr>
                                <w:rFonts w:hint="eastAsia" w:ascii="黑体" w:hAnsi="黑体"/>
                              </w:rPr>
                              <w:t xml:space="preserve">H </w:t>
                            </w:r>
                            <w:r>
                              <w:rPr>
                                <w:rFonts w:ascii="黑体" w:hAnsi="黑体"/>
                              </w:rPr>
                              <w:t>62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69504;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zL4NMAAAAF&#10;AQAADwAAAAAAAAABACAAAAAiAAAAZHJzL2Rvd25yZXYueG1sUEsBAhQAFAAAAAgAh07iQCO71e4h&#10;AgAAMAQAAA4AAAAAAAAAAQAgAAAAIgEAAGRycy9lMm9Eb2MueG1sUEsFBgAAAAAGAAYAWQEAALUF&#10;AAAAAA==&#10;">
                <v:fill on="t" focussize="0,0"/>
                <v:stroke on="f"/>
                <v:imagedata o:title=""/>
                <o:lock v:ext="edit" aspectratio="f"/>
                <v:textbox inset="0mm,0mm,0mm,0mm">
                  <w:txbxContent>
                    <w:p>
                      <w:pPr>
                        <w:pStyle w:val="100"/>
                        <w:rPr>
                          <w:rFonts w:ascii="黑体" w:hAnsi="黑体"/>
                        </w:rPr>
                      </w:pPr>
                      <w:r>
                        <w:rPr>
                          <w:rFonts w:ascii="黑体" w:hAnsi="黑体"/>
                          <w:b/>
                          <w:bCs/>
                        </w:rPr>
                        <w:t>ICS</w:t>
                      </w:r>
                      <w:r>
                        <w:rPr>
                          <w:rFonts w:hint="eastAsia" w:ascii="黑体" w:hAnsi="黑体"/>
                        </w:rPr>
                        <w:t xml:space="preserve"> </w:t>
                      </w:r>
                      <w:r>
                        <w:rPr>
                          <w:rFonts w:ascii="黑体" w:hAnsi="黑体"/>
                        </w:rPr>
                        <w:t>77</w:t>
                      </w:r>
                      <w:r>
                        <w:rPr>
                          <w:rFonts w:hint="eastAsia" w:ascii="黑体" w:hAnsi="黑体"/>
                        </w:rPr>
                        <w:t>.1</w:t>
                      </w:r>
                      <w:r>
                        <w:rPr>
                          <w:rFonts w:ascii="黑体" w:hAnsi="黑体"/>
                        </w:rPr>
                        <w:t>2</w:t>
                      </w:r>
                      <w:r>
                        <w:rPr>
                          <w:rFonts w:hint="eastAsia" w:ascii="黑体" w:hAnsi="黑体"/>
                        </w:rPr>
                        <w:t>0</w:t>
                      </w:r>
                      <w:r>
                        <w:rPr>
                          <w:rFonts w:ascii="黑体" w:hAnsi="黑体"/>
                        </w:rPr>
                        <w:t>.40</w:t>
                      </w:r>
                    </w:p>
                    <w:p>
                      <w:pPr>
                        <w:pStyle w:val="100"/>
                        <w:rPr>
                          <w:rFonts w:hint="eastAsia" w:ascii="黑体" w:hAnsi="黑体"/>
                        </w:rPr>
                      </w:pPr>
                      <w:r>
                        <w:rPr>
                          <w:rFonts w:hint="eastAsia" w:ascii="黑体" w:hAnsi="黑体"/>
                        </w:rPr>
                        <w:t xml:space="preserve">H </w:t>
                      </w:r>
                      <w:r>
                        <w:rPr>
                          <w:rFonts w:ascii="黑体" w:hAnsi="黑体"/>
                        </w:rPr>
                        <w:t>62</w:t>
                      </w:r>
                    </w:p>
                  </w:txbxContent>
                </v:textbox>
                <w10:anchorlock/>
              </v:shape>
            </w:pict>
          </mc:Fallback>
        </mc:AlternateContent>
      </w:r>
      <w:r>
        <w:rPr>
          <w:lang w:val="en-US" w:eastAsia="zh-CN"/>
        </w:rPr>
        <mc:AlternateContent>
          <mc:Choice Requires="wps">
            <w:drawing>
              <wp:anchor distT="0" distB="0" distL="114300" distR="114300" simplePos="0" relativeHeight="251666432" behindDoc="0" locked="1" layoutInCell="1" allowOverlap="1">
                <wp:simplePos x="0" y="0"/>
                <wp:positionH relativeFrom="margin">
                  <wp:posOffset>4095750</wp:posOffset>
                </wp:positionH>
                <wp:positionV relativeFrom="margin">
                  <wp:posOffset>8536305</wp:posOffset>
                </wp:positionV>
                <wp:extent cx="2019300" cy="312420"/>
                <wp:effectExtent l="0" t="0" r="4445"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3"/>
                              <w:ind w:firstLine="420"/>
                              <w:rPr>
                                <w:rFonts w:ascii="黑体" w:hAnsi="黑体"/>
                              </w:rPr>
                            </w:pPr>
                            <w:r>
                              <w:rPr>
                                <w:rFonts w:hint="eastAsia" w:ascii="黑体" w:hAnsi="黑体"/>
                              </w:rPr>
                              <w:t>202X-XX-XX实施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5pt;margin-top:672.15pt;height:24.6pt;width:159pt;mso-position-horizontal-relative:margin;mso-position-vertical-relative:margin;z-index:251666432;mso-width-relative:page;mso-height-relative:page;" fillcolor="#FFFFFF" filled="t" stroked="f" coordsize="21600,21600" o:gfxdata="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Bc&#10;+BjaAAAADQEAAA8AAAAAAAAAAQAgAAAAIgAAAGRycy9kb3ducmV2LnhtbFBLAQIUABQAAAAIAIdO&#10;4kBaQGC9IQIAADAEAAAOAAAAAAAAAAEAIAAAACkBAABkcnMvZTJvRG9jLnhtbFBLBQYAAAAABgAG&#10;AFkBAAC8BQAAAAA=&#10;">
                <v:fill on="t" focussize="0,0"/>
                <v:stroke on="f"/>
                <v:imagedata o:title=""/>
                <o:lock v:ext="edit" aspectratio="f"/>
                <v:textbox inset="0mm,0mm,0mm,0mm">
                  <w:txbxContent>
                    <w:p>
                      <w:pPr>
                        <w:pStyle w:val="93"/>
                        <w:ind w:firstLine="420"/>
                        <w:rPr>
                          <w:rFonts w:ascii="黑体" w:hAnsi="黑体"/>
                        </w:rPr>
                      </w:pPr>
                      <w:r>
                        <w:rPr>
                          <w:rFonts w:hint="eastAsia" w:ascii="黑体" w:hAnsi="黑体"/>
                        </w:rPr>
                        <w:t>202X-XX-XX实施</w:t>
                      </w:r>
                    </w:p>
                  </w:txbxContent>
                </v:textbox>
                <w10:anchorlock/>
              </v:shape>
            </w:pict>
          </mc:Fallback>
        </mc:AlternateContent>
      </w:r>
      <w:r>
        <w:rPr>
          <w:lang w:val="en-US" w:eastAsia="zh-CN"/>
        </w:rPr>
        <mc:AlternateContent>
          <mc:Choice Requires="wps">
            <w:drawing>
              <wp:anchor distT="0" distB="0" distL="114300" distR="114300" simplePos="0" relativeHeight="251665408" behindDoc="0" locked="1" layoutInCell="1" allowOverlap="1">
                <wp:simplePos x="0" y="0"/>
                <wp:positionH relativeFrom="margin">
                  <wp:posOffset>-9525</wp:posOffset>
                </wp:positionH>
                <wp:positionV relativeFrom="margin">
                  <wp:posOffset>8536305</wp:posOffset>
                </wp:positionV>
                <wp:extent cx="2019300" cy="312420"/>
                <wp:effectExtent l="0" t="0" r="4445"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64"/>
                              <w:rPr>
                                <w:rFonts w:ascii="黑体" w:hAnsi="黑体"/>
                              </w:rPr>
                            </w:pPr>
                            <w:r>
                              <w:rPr>
                                <w:rFonts w:hint="eastAsia" w:ascii="黑体" w:hAnsi="黑体"/>
                              </w:rPr>
                              <w:t>202X-XX-XX发布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75pt;margin-top:672.15pt;height:24.6pt;width:159pt;mso-position-horizontal-relative:margin;mso-position-vertical-relative:margin;z-index:251665408;mso-width-relative:page;mso-height-relative:page;" fillcolor="#FFFFFF" filled="t" stroked="f" coordsize="21600,21600" o:gfxdata="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dVN&#10;t9kAAAAMAQAADwAAAAAAAAABACAAAAAiAAAAZHJzL2Rvd25yZXYueG1sUEsBAhQAFAAAAAgAh07i&#10;QIge9AUhAgAAMAQAAA4AAAAAAAAAAQAgAAAAKAEAAGRycy9lMm9Eb2MueG1sUEsFBgAAAAAGAAYA&#10;WQEAALsFAAAAAA==&#10;">
                <v:fill on="t" focussize="0,0"/>
                <v:stroke on="f"/>
                <v:imagedata o:title=""/>
                <o:lock v:ext="edit" aspectratio="f"/>
                <v:textbox inset="0mm,0mm,0mm,0mm">
                  <w:txbxContent>
                    <w:p>
                      <w:pPr>
                        <w:pStyle w:val="64"/>
                        <w:rPr>
                          <w:rFonts w:ascii="黑体" w:hAnsi="黑体"/>
                        </w:rPr>
                      </w:pPr>
                      <w:r>
                        <w:rPr>
                          <w:rFonts w:hint="eastAsia" w:ascii="黑体" w:hAnsi="黑体"/>
                        </w:rPr>
                        <w:t>202X-XX-XX发布</w:t>
                      </w:r>
                    </w:p>
                  </w:txbxContent>
                </v:textbox>
                <w10:anchorlock/>
              </v:shape>
            </w:pict>
          </mc:Fallback>
        </mc:AlternateContent>
      </w:r>
      <w:r>
        <w:rPr>
          <w:lang w:val="en-US" w:eastAsia="zh-CN"/>
        </w:rP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3778250</wp:posOffset>
                </wp:positionV>
                <wp:extent cx="5969000" cy="4290695"/>
                <wp:effectExtent l="0" t="635" r="0" b="444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5969000" cy="4290695"/>
                        </a:xfrm>
                        <a:prstGeom prst="rect">
                          <a:avLst/>
                        </a:prstGeom>
                        <a:solidFill>
                          <a:srgbClr val="FFFFFF"/>
                        </a:solidFill>
                        <a:ln>
                          <a:noFill/>
                        </a:ln>
                      </wps:spPr>
                      <wps:txbx>
                        <w:txbxContent>
                          <w:p>
                            <w:pPr>
                              <w:pStyle w:val="68"/>
                              <w:rPr>
                                <w:rFonts w:hint="eastAsia"/>
                              </w:rPr>
                            </w:pPr>
                            <w:r>
                              <w:rPr>
                                <w:rFonts w:hint="eastAsia"/>
                              </w:rPr>
                              <w:t>集成电路封装用镍阳极</w:t>
                            </w:r>
                          </w:p>
                          <w:p>
                            <w:pPr>
                              <w:pStyle w:val="72"/>
                              <w:spacing w:before="360"/>
                              <w:rPr>
                                <w:rFonts w:ascii="Times New Roman" w:eastAsia="黑体"/>
                              </w:rPr>
                            </w:pPr>
                            <w:r>
                              <w:rPr>
                                <w:rFonts w:ascii="Times New Roman" w:eastAsia="黑体"/>
                              </w:rPr>
                              <w:t>Nickel anode used for integrated circuit packaging</w:t>
                            </w:r>
                          </w:p>
                          <w:p>
                            <w:pPr>
                              <w:pStyle w:val="72"/>
                              <w:rPr>
                                <w:sz w:val="44"/>
                              </w:rPr>
                            </w:pPr>
                            <w:r>
                              <w:rPr>
                                <w:rFonts w:hint="eastAsia"/>
                                <w:sz w:val="44"/>
                              </w:rPr>
                              <w:t>（草案）</w:t>
                            </w:r>
                          </w:p>
                          <w:p>
                            <w:pPr>
                              <w:pStyle w:val="70"/>
                            </w:pPr>
                          </w:p>
                          <w:p>
                            <w:pPr>
                              <w:pStyle w:val="69"/>
                            </w:pP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97.5pt;height:337.85pt;width:470pt;mso-position-horizontal-relative:margin;mso-position-vertical-relative:margin;z-index:251664384;mso-width-relative:page;mso-height-relative:page;" fillcolor="#FFFFFF" filled="t" stroked="f" coordsize="21600,21600" o:allowincell="f" o:gfxdata="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CM&#10;EDzYAAAACQEAAA8AAAAAAAAAAQAgAAAAIgAAAGRycy9kb3ducmV2LnhtbFBLAQIUABQAAAAIAIdO&#10;4kAVz9suIwIAADEEAAAOAAAAAAAAAAEAIAAAACcBAABkcnMvZTJvRG9jLnhtbFBLBQYAAAAABgAG&#10;AFkBAAC8BQAAAAA=&#10;">
                <v:fill on="t" focussize="0,0"/>
                <v:stroke on="f"/>
                <v:imagedata o:title=""/>
                <o:lock v:ext="edit" aspectratio="f"/>
                <v:textbox inset="0mm,0mm,0mm,0mm">
                  <w:txbxContent>
                    <w:p>
                      <w:pPr>
                        <w:pStyle w:val="68"/>
                        <w:rPr>
                          <w:rFonts w:hint="eastAsia"/>
                        </w:rPr>
                      </w:pPr>
                      <w:r>
                        <w:rPr>
                          <w:rFonts w:hint="eastAsia"/>
                        </w:rPr>
                        <w:t>集成电路封装用镍阳极</w:t>
                      </w:r>
                    </w:p>
                    <w:p>
                      <w:pPr>
                        <w:pStyle w:val="72"/>
                        <w:spacing w:before="360"/>
                        <w:rPr>
                          <w:rFonts w:ascii="Times New Roman" w:eastAsia="黑体"/>
                        </w:rPr>
                      </w:pPr>
                      <w:r>
                        <w:rPr>
                          <w:rFonts w:ascii="Times New Roman" w:eastAsia="黑体"/>
                        </w:rPr>
                        <w:t>Nickel anode used for integrated circuit packaging</w:t>
                      </w:r>
                    </w:p>
                    <w:p>
                      <w:pPr>
                        <w:pStyle w:val="72"/>
                        <w:rPr>
                          <w:sz w:val="44"/>
                        </w:rPr>
                      </w:pPr>
                      <w:r>
                        <w:rPr>
                          <w:rFonts w:hint="eastAsia"/>
                          <w:sz w:val="44"/>
                        </w:rPr>
                        <w:t>（草案）</w:t>
                      </w:r>
                    </w:p>
                    <w:p>
                      <w:pPr>
                        <w:pStyle w:val="70"/>
                      </w:pPr>
                    </w:p>
                    <w:p>
                      <w:pPr>
                        <w:pStyle w:val="69"/>
                      </w:pPr>
                    </w:p>
                    <w:p/>
                  </w:txbxContent>
                </v:textbox>
                <w10:anchorlock/>
              </v:shape>
            </w:pict>
          </mc:Fallback>
        </mc:AlternateContent>
      </w:r>
      <w:r>
        <w:rPr>
          <w:lang w:val="en-US" w:eastAsia="zh-CN"/>
        </w:rPr>
        <mc:AlternateContent>
          <mc:Choice Requires="wps">
            <w:drawing>
              <wp:anchor distT="0" distB="0" distL="114300" distR="114300" simplePos="0" relativeHeight="251660288" behindDoc="0" locked="1" layoutInCell="1" allowOverlap="1">
                <wp:simplePos x="0" y="0"/>
                <wp:positionH relativeFrom="margin">
                  <wp:posOffset>-209550</wp:posOffset>
                </wp:positionH>
                <wp:positionV relativeFrom="margin">
                  <wp:posOffset>1809750</wp:posOffset>
                </wp:positionV>
                <wp:extent cx="6057900" cy="860425"/>
                <wp:effectExtent l="0" t="3810" r="4445" b="254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6057900" cy="860425"/>
                        </a:xfrm>
                        <a:prstGeom prst="rect">
                          <a:avLst/>
                        </a:prstGeom>
                        <a:solidFill>
                          <a:srgbClr val="FFFFFF"/>
                        </a:solidFill>
                        <a:ln>
                          <a:noFill/>
                        </a:ln>
                      </wps:spPr>
                      <wps:txbx>
                        <w:txbxContent>
                          <w:p>
                            <w:pPr>
                              <w:pStyle w:val="65"/>
                              <w:spacing w:before="0" w:line="280" w:lineRule="exact"/>
                              <w:rPr>
                                <w:rFonts w:eastAsia="黑体"/>
                                <w:b/>
                              </w:rPr>
                            </w:pPr>
                            <w:r>
                              <w:rPr>
                                <w:rFonts w:hint="eastAsia" w:eastAsia="黑体"/>
                                <w:b/>
                              </w:rPr>
                              <w:t>YS</w:t>
                            </w:r>
                            <w:r>
                              <w:rPr>
                                <w:rFonts w:eastAsia="黑体"/>
                                <w:b/>
                              </w:rPr>
                              <w:t>/T</w:t>
                            </w:r>
                            <w:r>
                              <w:rPr>
                                <w:rFonts w:ascii="黑体" w:hAnsi="黑体" w:eastAsia="黑体"/>
                                <w:b/>
                              </w:rPr>
                              <w:t xml:space="preserve"> </w:t>
                            </w:r>
                            <w:r>
                              <w:rPr>
                                <w:rFonts w:hint="eastAsia" w:ascii="黑体" w:hAnsi="黑体" w:eastAsia="黑体"/>
                              </w:rPr>
                              <w:t>XXXXX</w:t>
                            </w:r>
                            <w:r>
                              <w:rPr>
                                <w:rFonts w:ascii="黑体" w:hAnsi="黑体" w:eastAsia="黑体"/>
                              </w:rPr>
                              <w:t>-XXXX</w:t>
                            </w:r>
                          </w:p>
                          <w:p>
                            <w:pPr>
                              <w:pStyle w:val="65"/>
                            </w:pPr>
                          </w:p>
                          <w:p>
                            <w:pPr>
                              <w:pStyle w:val="65"/>
                            </w:pPr>
                          </w:p>
                          <w:p>
                            <w:pPr>
                              <w:pStyle w:val="65"/>
                            </w:pPr>
                          </w:p>
                          <w:p>
                            <w:pPr>
                              <w:pStyle w:val="65"/>
                            </w:pPr>
                          </w:p>
                          <w:p>
                            <w:pPr>
                              <w:pStyle w:val="65"/>
                            </w:pPr>
                          </w:p>
                          <w:p>
                            <w:pPr>
                              <w:pStyle w:val="65"/>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5pt;margin-top:142.5pt;height:67.75pt;width:477pt;mso-position-horizontal-relative:margin;mso-position-vertical-relative:margin;z-index:251660288;mso-width-relative:page;mso-height-relative:page;" fillcolor="#FFFFFF" filled="t" stroked="f" coordsize="21600,21600" o:gfxdata="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0O2e9oAAAALAQAADwAAAAAAAAABACAAAAAiAAAAZHJzL2Rvd25yZXYueG1sUEsBAhQAFAAAAAgA&#10;h07iQIAK1aojAgAAMAQAAA4AAAAAAAAAAQAgAAAAKQEAAGRycy9lMm9Eb2MueG1sUEsFBgAAAAAG&#10;AAYAWQEAAL4FAAAAAA==&#10;">
                <v:fill on="t" focussize="0,0"/>
                <v:stroke on="f"/>
                <v:imagedata o:title=""/>
                <o:lock v:ext="edit" aspectratio="f"/>
                <v:textbox inset="0mm,0mm,0mm,0mm">
                  <w:txbxContent>
                    <w:p>
                      <w:pPr>
                        <w:pStyle w:val="65"/>
                        <w:spacing w:before="0" w:line="280" w:lineRule="exact"/>
                        <w:rPr>
                          <w:rFonts w:eastAsia="黑体"/>
                          <w:b/>
                        </w:rPr>
                      </w:pPr>
                      <w:r>
                        <w:rPr>
                          <w:rFonts w:hint="eastAsia" w:eastAsia="黑体"/>
                          <w:b/>
                        </w:rPr>
                        <w:t>YS</w:t>
                      </w:r>
                      <w:r>
                        <w:rPr>
                          <w:rFonts w:eastAsia="黑体"/>
                          <w:b/>
                        </w:rPr>
                        <w:t>/T</w:t>
                      </w:r>
                      <w:r>
                        <w:rPr>
                          <w:rFonts w:ascii="黑体" w:hAnsi="黑体" w:eastAsia="黑体"/>
                          <w:b/>
                        </w:rPr>
                        <w:t xml:space="preserve"> </w:t>
                      </w:r>
                      <w:r>
                        <w:rPr>
                          <w:rFonts w:hint="eastAsia" w:ascii="黑体" w:hAnsi="黑体" w:eastAsia="黑体"/>
                        </w:rPr>
                        <w:t>XXXXX</w:t>
                      </w:r>
                      <w:r>
                        <w:rPr>
                          <w:rFonts w:ascii="黑体" w:hAnsi="黑体" w:eastAsia="黑体"/>
                        </w:rPr>
                        <w:t>-XXXX</w:t>
                      </w:r>
                    </w:p>
                    <w:p>
                      <w:pPr>
                        <w:pStyle w:val="65"/>
                      </w:pPr>
                    </w:p>
                    <w:p>
                      <w:pPr>
                        <w:pStyle w:val="65"/>
                      </w:pPr>
                    </w:p>
                    <w:p>
                      <w:pPr>
                        <w:pStyle w:val="65"/>
                      </w:pPr>
                    </w:p>
                    <w:p>
                      <w:pPr>
                        <w:pStyle w:val="65"/>
                      </w:pPr>
                    </w:p>
                    <w:p>
                      <w:pPr>
                        <w:pStyle w:val="65"/>
                      </w:pPr>
                    </w:p>
                    <w:p>
                      <w:pPr>
                        <w:pStyle w:val="65"/>
                      </w:pPr>
                    </w:p>
                  </w:txbxContent>
                </v:textbox>
                <w10:anchorlock/>
              </v:shape>
            </w:pict>
          </mc:Fallback>
        </mc:AlternateContent>
      </w:r>
      <w:r>
        <w:rPr>
          <w:lang w:val="en-US" w:eastAsia="zh-CN"/>
        </w:rPr>
        <mc:AlternateContent>
          <mc:Choice Requires="wps">
            <w:drawing>
              <wp:anchor distT="0" distB="0" distL="114300" distR="114300" simplePos="0" relativeHeight="251662336" behindDoc="0" locked="1" layoutInCell="0" allowOverlap="1">
                <wp:simplePos x="0" y="0"/>
                <wp:positionH relativeFrom="margin">
                  <wp:posOffset>-76200</wp:posOffset>
                </wp:positionH>
                <wp:positionV relativeFrom="margin">
                  <wp:posOffset>1134745</wp:posOffset>
                </wp:positionV>
                <wp:extent cx="6120130" cy="391160"/>
                <wp:effectExtent l="0" t="0" r="0" b="381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49"/>
                            </w:pPr>
                            <w:r>
                              <w:rPr>
                                <w:rFonts w:hint="eastAsia"/>
                              </w:rPr>
                              <w:t>中华人民共和国行业标准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pt;margin-top:89.35pt;height:30.8pt;width:481.9pt;mso-position-horizontal-relative:margin;mso-position-vertical-relative:margin;z-index:251662336;mso-width-relative:page;mso-height-relative:page;" fillcolor="#FFFFFF" filled="t" stroked="f" coordsize="21600,21600" o:allowincell="f" o:gfxdata="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sTz&#10;nNoAAAALAQAADwAAAAAAAAABACAAAAAiAAAAZHJzL2Rvd25yZXYueG1sUEsBAhQAFAAAAAgAh07i&#10;QAnSuisgAgAAMAQAAA4AAAAAAAAAAQAgAAAAKQEAAGRycy9lMm9Eb2MueG1sUEsFBgAAAAAGAAYA&#10;WQEAALsFAAAAAA==&#10;">
                <v:fill on="t" focussize="0,0"/>
                <v:stroke on="f"/>
                <v:imagedata o:title=""/>
                <o:lock v:ext="edit" aspectratio="f"/>
                <v:textbox inset="0mm,0mm,0mm,0mm">
                  <w:txbxContent>
                    <w:p>
                      <w:pPr>
                        <w:pStyle w:val="49"/>
                      </w:pPr>
                      <w:r>
                        <w:rPr>
                          <w:rFonts w:hint="eastAsia"/>
                        </w:rPr>
                        <w:t>中华人民共和国行业标准</w:t>
                      </w:r>
                    </w:p>
                  </w:txbxContent>
                </v:textbox>
                <w10:anchorlock/>
              </v:shape>
            </w:pict>
          </mc:Fallback>
        </mc:AlternateContent>
      </w:r>
    </w:p>
    <w:bookmarkEnd w:id="0"/>
    <w:p>
      <w:pPr>
        <w:pStyle w:val="55"/>
        <w:numPr>
          <w:ilvl w:val="0"/>
          <w:numId w:val="0"/>
        </w:numPr>
      </w:pPr>
      <w:r>
        <w:rPr>
          <w:rFonts w:hint="eastAsia"/>
        </w:rPr>
        <w:t>前    言</w:t>
      </w:r>
    </w:p>
    <w:p>
      <w:pPr>
        <w:pStyle w:val="57"/>
        <w:ind w:firstLine="420"/>
      </w:pPr>
      <w:r>
        <w:rPr>
          <w:rFonts w:hint="eastAsia"/>
        </w:rPr>
        <w:t>本文件按照GB/T 1.1-2020《标准化工作导则 第1部分：标准化文件的结构和起草规则》的规定起草。</w:t>
      </w:r>
    </w:p>
    <w:p>
      <w:pPr>
        <w:pStyle w:val="57"/>
        <w:ind w:firstLine="420"/>
      </w:pPr>
      <w:r>
        <w:rPr>
          <w:rFonts w:ascii="Times New Roman"/>
          <w:szCs w:val="21"/>
        </w:rPr>
        <w:t>请注意本文件的某些内容可能涉及专利</w:t>
      </w:r>
      <w:r>
        <w:rPr>
          <w:rFonts w:hint="eastAsia" w:ascii="Times New Roman"/>
          <w:szCs w:val="21"/>
        </w:rPr>
        <w:t>，</w:t>
      </w:r>
      <w:r>
        <w:rPr>
          <w:rFonts w:ascii="Times New Roman"/>
          <w:szCs w:val="21"/>
        </w:rPr>
        <w:t>本文件的发布机构不承担识别专利的责任。</w:t>
      </w:r>
    </w:p>
    <w:p>
      <w:pPr>
        <w:pStyle w:val="57"/>
        <w:ind w:firstLine="420"/>
      </w:pPr>
      <w:r>
        <w:rPr>
          <w:rFonts w:hint="eastAsia"/>
        </w:rPr>
        <w:t>本文件由全国有色金属标准化技术委员会（SAC/TC</w:t>
      </w:r>
      <w:r>
        <w:t xml:space="preserve"> </w:t>
      </w:r>
      <w:r>
        <w:rPr>
          <w:rFonts w:hint="eastAsia"/>
        </w:rPr>
        <w:t>243）归口。</w:t>
      </w:r>
    </w:p>
    <w:p>
      <w:pPr>
        <w:pStyle w:val="57"/>
        <w:ind w:firstLine="420"/>
      </w:pPr>
      <w:r>
        <w:rPr>
          <w:rFonts w:hint="eastAsia"/>
        </w:rPr>
        <w:t>本文件起草单位：有研亿金新材料有限公司、宁波江丰电子材料股份有限公司。</w:t>
      </w:r>
    </w:p>
    <w:p>
      <w:pPr>
        <w:ind w:firstLine="420" w:firstLineChars="200"/>
      </w:pPr>
      <w:r>
        <w:rPr>
          <w:rFonts w:hint="eastAsia" w:ascii="宋体"/>
          <w:kern w:val="0"/>
        </w:rPr>
        <w:t>本</w:t>
      </w:r>
      <w:r>
        <w:rPr>
          <w:rFonts w:hint="eastAsia" w:ascii="宋体"/>
        </w:rPr>
        <w:t>文件</w:t>
      </w:r>
      <w:r>
        <w:rPr>
          <w:rFonts w:hint="eastAsia" w:ascii="宋体"/>
          <w:kern w:val="0"/>
        </w:rPr>
        <w:t>主要起草人：</w:t>
      </w:r>
      <w:r>
        <w:rPr>
          <w:color w:val="FF0000"/>
        </w:rPr>
        <w:t xml:space="preserve"> </w:t>
      </w:r>
    </w:p>
    <w:p>
      <w:pPr>
        <w:pStyle w:val="57"/>
        <w:ind w:firstLine="420"/>
      </w:pPr>
    </w:p>
    <w:p>
      <w:pPr>
        <w:pStyle w:val="57"/>
        <w:ind w:firstLine="420"/>
        <w:sectPr>
          <w:headerReference r:id="rId9" w:type="default"/>
          <w:footerReference r:id="rId11" w:type="default"/>
          <w:headerReference r:id="rId10" w:type="even"/>
          <w:footerReference r:id="rId12" w:type="even"/>
          <w:pgSz w:w="11907" w:h="16839"/>
          <w:pgMar w:top="1418" w:right="1134" w:bottom="1134" w:left="1418" w:header="1418" w:footer="851" w:gutter="0"/>
          <w:pgNumType w:fmt="upperRoman" w:start="1"/>
          <w:cols w:space="425" w:num="1"/>
          <w:docGrid w:type="lines" w:linePitch="312" w:charSpace="0"/>
        </w:sectPr>
      </w:pPr>
    </w:p>
    <w:bookmarkEnd w:id="1"/>
    <w:p>
      <w:pPr>
        <w:pStyle w:val="87"/>
      </w:pPr>
      <w:bookmarkStart w:id="2" w:name="SectionMark4"/>
      <w:r>
        <w:rPr>
          <w:rFonts w:hint="eastAsia"/>
        </w:rPr>
        <w:t>集成电路封装用镍阳极</w:t>
      </w:r>
    </w:p>
    <w:bookmarkEnd w:id="2"/>
    <w:p>
      <w:pPr>
        <w:pStyle w:val="58"/>
        <w:spacing w:before="312" w:beforeLines="100" w:after="312" w:afterLines="100"/>
      </w:pPr>
      <w:r>
        <w:rPr>
          <w:rFonts w:hint="eastAsia"/>
        </w:rPr>
        <w:t>范围</w:t>
      </w:r>
    </w:p>
    <w:p>
      <w:pPr>
        <w:ind w:firstLine="420" w:firstLineChars="200"/>
        <w:rPr>
          <w:rFonts w:ascii="宋体" w:hAnsi="宋体"/>
        </w:rPr>
      </w:pPr>
      <w:r>
        <w:rPr>
          <w:rFonts w:hint="eastAsia" w:ascii="宋体" w:hAnsi="宋体"/>
        </w:rPr>
        <w:t>本文件规定了集成电路封装用镍阳极（以下简称：镍阳极）的要求、试验方法、检验规则及标志、包装、运输、贮存、质量证明书和订货单（或合同）内容。</w:t>
      </w:r>
    </w:p>
    <w:p>
      <w:pPr>
        <w:ind w:firstLine="420" w:firstLineChars="200"/>
      </w:pPr>
      <w:r>
        <w:rPr>
          <w:rFonts w:hint="eastAsia"/>
        </w:rPr>
        <w:t>本文件适用于用</w:t>
      </w:r>
      <w:r>
        <w:rPr>
          <w:rFonts w:hint="eastAsia" w:ascii="宋体" w:hAnsi="宋体"/>
        </w:rPr>
        <w:t>集成电路封装用的各类镍阳极产品</w:t>
      </w:r>
      <w:r>
        <w:rPr>
          <w:rFonts w:hint="eastAsia"/>
        </w:rPr>
        <w:t xml:space="preserve">。 </w:t>
      </w:r>
    </w:p>
    <w:p>
      <w:pPr>
        <w:pStyle w:val="58"/>
        <w:spacing w:before="312" w:beforeLines="100" w:after="312" w:afterLines="100"/>
      </w:pPr>
      <w:r>
        <w:rPr>
          <w:rFonts w:hint="eastAsia"/>
        </w:rPr>
        <w:t>规范性引用文件</w:t>
      </w:r>
    </w:p>
    <w:p>
      <w:pPr>
        <w:ind w:firstLine="420" w:firstLineChars="200"/>
        <w:rPr>
          <w:rFonts w:ascii="宋体" w:hAnsi="宋体"/>
        </w:rPr>
      </w:pPr>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7"/>
        <w:ind w:firstLine="420"/>
        <w:rPr>
          <w:rFonts w:hAnsi="宋体"/>
        </w:rPr>
      </w:pPr>
      <w:r>
        <w:rPr>
          <w:rFonts w:hAnsi="宋体"/>
        </w:rPr>
        <w:t xml:space="preserve">GB/T 1804  </w:t>
      </w:r>
      <w:r>
        <w:rPr>
          <w:rFonts w:hint="eastAsia" w:hAnsi="宋体"/>
        </w:rPr>
        <w:t>一般公差</w:t>
      </w:r>
      <w:r>
        <w:rPr>
          <w:rFonts w:hAnsi="宋体"/>
        </w:rPr>
        <w:t xml:space="preserve"> </w:t>
      </w:r>
      <w:r>
        <w:rPr>
          <w:rFonts w:hint="eastAsia" w:hAnsi="宋体"/>
        </w:rPr>
        <w:t>未注公差的线性和角度尺寸的公差</w:t>
      </w:r>
    </w:p>
    <w:p>
      <w:pPr>
        <w:pStyle w:val="57"/>
        <w:ind w:firstLine="420"/>
        <w:rPr>
          <w:rFonts w:hAnsi="宋体"/>
        </w:rPr>
      </w:pPr>
      <w:r>
        <w:rPr>
          <w:rFonts w:hAnsi="宋体"/>
        </w:rPr>
        <w:t xml:space="preserve">GB/T 14265  </w:t>
      </w:r>
      <w:r>
        <w:rPr>
          <w:rFonts w:hint="eastAsia" w:hAnsi="宋体"/>
        </w:rPr>
        <w:t>金属材料中氢、氧、氮、碳和硫分析方法通则</w:t>
      </w:r>
    </w:p>
    <w:p>
      <w:pPr>
        <w:pStyle w:val="57"/>
        <w:ind w:firstLine="420"/>
        <w:rPr>
          <w:rFonts w:hAnsi="宋体"/>
        </w:rPr>
      </w:pPr>
      <w:r>
        <w:fldChar w:fldCharType="begin"/>
      </w:r>
      <w:r>
        <w:instrText xml:space="preserve"> HYPERLINK "https://www.baidu.com/link?url=xojoBz3ai9ds4Su1_GgF-niMAoKb6dfbc3xFmq3nHRu5leWoXkzLF8OBY1ap7gHxeNLtEFxDG_-kF3bUjnl97q&amp;wd=&amp;eqid=dc57a7bf0010eca3000000035e933f22" \t "_blank" </w:instrText>
      </w:r>
      <w:r>
        <w:fldChar w:fldCharType="separate"/>
      </w:r>
      <w:r>
        <w:rPr>
          <w:rFonts w:hAnsi="宋体"/>
        </w:rPr>
        <w:t xml:space="preserve">GB/T 6394-2017 </w:t>
      </w:r>
      <w:r>
        <w:rPr>
          <w:rFonts w:hint="eastAsia" w:hAnsi="宋体"/>
        </w:rPr>
        <w:t>金属平均晶粒度测定方法</w:t>
      </w:r>
      <w:r>
        <w:rPr>
          <w:rFonts w:hint="eastAsia" w:hAnsi="宋体"/>
        </w:rPr>
        <w:fldChar w:fldCharType="end"/>
      </w:r>
    </w:p>
    <w:p>
      <w:pPr>
        <w:pStyle w:val="57"/>
        <w:ind w:firstLine="420"/>
        <w:rPr>
          <w:rFonts w:hAnsi="宋体"/>
        </w:rPr>
      </w:pPr>
      <w:r>
        <w:rPr>
          <w:rFonts w:hAnsi="宋体"/>
        </w:rPr>
        <w:t xml:space="preserve">GB/T 6516-2010 </w:t>
      </w:r>
      <w:r>
        <w:rPr>
          <w:rFonts w:hint="eastAsia" w:hAnsi="宋体"/>
        </w:rPr>
        <w:t>电解镍</w:t>
      </w:r>
      <w:bookmarkStart w:id="3" w:name="_Hlk19573436"/>
    </w:p>
    <w:p>
      <w:pPr>
        <w:pStyle w:val="57"/>
        <w:ind w:firstLine="420"/>
        <w:rPr>
          <w:rFonts w:hAnsi="宋体"/>
        </w:rPr>
      </w:pPr>
      <w:r>
        <w:rPr>
          <w:rFonts w:hAnsi="宋体"/>
        </w:rPr>
        <w:t xml:space="preserve">GB/T 26016-2010 </w:t>
      </w:r>
      <w:r>
        <w:rPr>
          <w:rFonts w:hint="eastAsia" w:hAnsi="宋体"/>
        </w:rPr>
        <w:t>高纯</w:t>
      </w:r>
    </w:p>
    <w:p>
      <w:pPr>
        <w:pStyle w:val="57"/>
        <w:ind w:firstLine="420"/>
        <w:rPr>
          <w:rFonts w:hAnsi="宋体"/>
        </w:rPr>
      </w:pPr>
      <w:r>
        <w:rPr>
          <w:rFonts w:hAnsi="宋体"/>
        </w:rPr>
        <w:t xml:space="preserve">GB/T 2056-2005 </w:t>
      </w:r>
      <w:r>
        <w:rPr>
          <w:rFonts w:hint="eastAsia" w:hAnsi="宋体"/>
        </w:rPr>
        <w:t>电镀用铜、锌、镐、镍、锡阳极板</w:t>
      </w:r>
    </w:p>
    <w:p>
      <w:pPr>
        <w:pStyle w:val="57"/>
        <w:ind w:firstLine="420"/>
        <w:rPr>
          <w:rFonts w:hAnsi="宋体"/>
        </w:rPr>
      </w:pPr>
      <w:r>
        <w:rPr>
          <w:rFonts w:hAnsi="宋体"/>
        </w:rPr>
        <w:t xml:space="preserve">GB/T 2054-2013 </w:t>
      </w:r>
      <w:r>
        <w:rPr>
          <w:rFonts w:hint="eastAsia" w:hAnsi="宋体"/>
        </w:rPr>
        <w:t>镍及镍合金板</w:t>
      </w:r>
      <w:bookmarkEnd w:id="3"/>
    </w:p>
    <w:p>
      <w:pPr>
        <w:pStyle w:val="58"/>
        <w:spacing w:before="312" w:beforeLines="100" w:after="312" w:afterLines="100"/>
      </w:pPr>
      <w:r>
        <w:rPr>
          <w:rFonts w:hint="eastAsia"/>
        </w:rPr>
        <w:t>术语和定义</w:t>
      </w:r>
    </w:p>
    <w:p>
      <w:pPr>
        <w:pStyle w:val="57"/>
        <w:ind w:firstLine="420"/>
      </w:pPr>
      <w:r>
        <w:rPr>
          <w:rFonts w:hint="eastAsia"/>
        </w:rPr>
        <w:t>下列术语和定义适用于本文件。</w:t>
      </w:r>
    </w:p>
    <w:p>
      <w:pPr>
        <w:pStyle w:val="57"/>
        <w:ind w:firstLine="420"/>
        <w:rPr>
          <w:rFonts w:hAnsi="宋体"/>
        </w:rPr>
      </w:pPr>
      <w:r>
        <w:rPr>
          <w:rFonts w:hint="eastAsia" w:hAnsi="宋体"/>
        </w:rPr>
        <w:t xml:space="preserve">镍阳极 </w:t>
      </w:r>
      <w:r>
        <w:rPr>
          <w:rFonts w:hAnsi="宋体"/>
        </w:rPr>
        <w:t>Nickel anode</w:t>
      </w:r>
    </w:p>
    <w:p>
      <w:pPr>
        <w:pStyle w:val="57"/>
        <w:ind w:firstLine="420"/>
        <w:rPr>
          <w:rFonts w:hAnsi="宋体"/>
        </w:rPr>
      </w:pPr>
      <w:r>
        <w:rPr>
          <w:rFonts w:hAnsi="宋体"/>
        </w:rPr>
        <w:t>阳极是化学电池中，能使电解质发生氧化反应的电极，是电镀制程中供应镀层金属的来源,与阴极（Cathode）相对应。</w:t>
      </w:r>
      <w:r>
        <w:rPr>
          <w:rFonts w:hint="eastAsia" w:hAnsi="宋体"/>
        </w:rPr>
        <w:t>镍</w:t>
      </w:r>
      <w:r>
        <w:rPr>
          <w:rFonts w:hAnsi="宋体"/>
        </w:rPr>
        <w:t>阳极特指在集成电路</w:t>
      </w:r>
      <w:r>
        <w:rPr>
          <w:rFonts w:hint="eastAsia" w:hAnsi="宋体"/>
        </w:rPr>
        <w:t>封装</w:t>
      </w:r>
      <w:r>
        <w:rPr>
          <w:rFonts w:hAnsi="宋体"/>
        </w:rPr>
        <w:t>中采用电化学电镀（Electro-Chemical Plating）工艺制备高纯</w:t>
      </w:r>
      <w:r>
        <w:rPr>
          <w:rFonts w:hint="eastAsia" w:hAnsi="宋体"/>
        </w:rPr>
        <w:t>镍</w:t>
      </w:r>
      <w:r>
        <w:rPr>
          <w:rFonts w:hAnsi="宋体"/>
        </w:rPr>
        <w:t>金属镀层的阳极。</w:t>
      </w:r>
    </w:p>
    <w:p>
      <w:pPr>
        <w:pStyle w:val="58"/>
        <w:spacing w:before="312" w:beforeLines="100" w:after="312" w:afterLines="100"/>
      </w:pPr>
      <w:r>
        <w:rPr>
          <w:rFonts w:hint="eastAsia"/>
        </w:rPr>
        <w:t>要求</w:t>
      </w:r>
    </w:p>
    <w:p>
      <w:pPr>
        <w:pStyle w:val="59"/>
        <w:tabs>
          <w:tab w:val="left" w:pos="420"/>
        </w:tabs>
        <w:spacing w:before="156" w:beforeLines="50" w:after="156" w:afterLines="50"/>
      </w:pPr>
      <w:r>
        <w:rPr>
          <w:rFonts w:hint="eastAsia"/>
        </w:rPr>
        <w:t>产品分类</w:t>
      </w:r>
    </w:p>
    <w:p>
      <w:pPr>
        <w:pStyle w:val="60"/>
        <w:tabs>
          <w:tab w:val="left" w:pos="420"/>
        </w:tabs>
        <w:spacing w:before="156" w:beforeLines="50" w:after="156" w:afterLines="50"/>
        <w:rPr>
          <w:rFonts w:ascii="宋体" w:hAnsi="宋体" w:eastAsia="宋体"/>
        </w:rPr>
      </w:pPr>
      <w:r>
        <w:rPr>
          <w:rFonts w:hint="eastAsia" w:ascii="宋体" w:hAnsi="宋体" w:eastAsia="宋体"/>
          <w:szCs w:val="21"/>
        </w:rPr>
        <w:t>镍阳极按</w:t>
      </w:r>
      <w:r>
        <w:rPr>
          <w:rFonts w:hint="eastAsia" w:ascii="宋体" w:hAnsi="宋体" w:eastAsia="宋体"/>
        </w:rPr>
        <w:t>规格分为盘形和粒状（圆片、圆柱、圆球等）。</w:t>
      </w:r>
    </w:p>
    <w:p>
      <w:pPr>
        <w:pStyle w:val="57"/>
        <w:ind w:firstLine="420"/>
      </w:pPr>
      <w:r>
        <mc:AlternateContent>
          <mc:Choice Requires="wpg">
            <w:drawing>
              <wp:anchor distT="0" distB="0" distL="114300" distR="114300" simplePos="0" relativeHeight="251663360" behindDoc="0" locked="0" layoutInCell="1" allowOverlap="1">
                <wp:simplePos x="0" y="0"/>
                <wp:positionH relativeFrom="column">
                  <wp:posOffset>1541780</wp:posOffset>
                </wp:positionH>
                <wp:positionV relativeFrom="paragraph">
                  <wp:posOffset>52705</wp:posOffset>
                </wp:positionV>
                <wp:extent cx="862330" cy="859155"/>
                <wp:effectExtent l="4445" t="4445" r="17145" b="5080"/>
                <wp:wrapNone/>
                <wp:docPr id="23" name="组合 105"/>
                <wp:cNvGraphicFramePr/>
                <a:graphic xmlns:a="http://schemas.openxmlformats.org/drawingml/2006/main">
                  <a:graphicData uri="http://schemas.microsoft.com/office/word/2010/wordprocessingGroup">
                    <wpg:wgp>
                      <wpg:cNvGrpSpPr/>
                      <wpg:grpSpPr>
                        <a:xfrm>
                          <a:off x="0" y="0"/>
                          <a:ext cx="862330" cy="859155"/>
                          <a:chOff x="2890" y="13800"/>
                          <a:chExt cx="1358" cy="1353"/>
                        </a:xfrm>
                      </wpg:grpSpPr>
                      <wps:wsp>
                        <wps:cNvPr id="21" name="椭圆 100"/>
                        <wps:cNvSpPr/>
                        <wps:spPr>
                          <a:xfrm>
                            <a:off x="2890" y="13800"/>
                            <a:ext cx="1358" cy="1353"/>
                          </a:xfrm>
                          <a:prstGeom prst="ellipse">
                            <a:avLst/>
                          </a:prstGeom>
                          <a:solidFill>
                            <a:srgbClr val="FFFFFF"/>
                          </a:solidFill>
                          <a:ln w="3175" cap="flat" cmpd="sng">
                            <a:solidFill>
                              <a:srgbClr val="000000"/>
                            </a:solidFill>
                            <a:prstDash val="solid"/>
                            <a:headEnd type="none" w="med" len="med"/>
                            <a:tailEnd type="none" w="med" len="med"/>
                          </a:ln>
                        </wps:spPr>
                        <wps:bodyPr anchor="ctr" anchorCtr="0" upright="1"/>
                      </wps:wsp>
                      <wps:wsp>
                        <wps:cNvPr id="22" name="椭圆 6"/>
                        <wps:cNvSpPr/>
                        <wps:spPr>
                          <a:xfrm>
                            <a:off x="3023" y="13944"/>
                            <a:ext cx="1086" cy="1071"/>
                          </a:xfrm>
                          <a:prstGeom prst="ellipse">
                            <a:avLst/>
                          </a:prstGeom>
                          <a:solidFill>
                            <a:srgbClr val="FFFFFF"/>
                          </a:solidFill>
                          <a:ln w="3175" cap="flat" cmpd="sng">
                            <a:solidFill>
                              <a:srgbClr val="000000"/>
                            </a:solidFill>
                            <a:prstDash val="solid"/>
                            <a:headEnd type="none" w="med" len="med"/>
                            <a:tailEnd type="none" w="med" len="med"/>
                          </a:ln>
                        </wps:spPr>
                        <wps:bodyPr anchor="ctr" anchorCtr="0" upright="1"/>
                      </wps:wsp>
                    </wpg:wgp>
                  </a:graphicData>
                </a:graphic>
              </wp:anchor>
            </w:drawing>
          </mc:Choice>
          <mc:Fallback>
            <w:pict>
              <v:group id="组合 105" o:spid="_x0000_s1026" o:spt="203" style="position:absolute;left:0pt;margin-left:121.4pt;margin-top:4.15pt;height:67.65pt;width:67.9pt;z-index:251663360;mso-width-relative:page;mso-height-relative:page;" coordorigin="2890,13800" coordsize="1358,1353" o:gfxdata="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sB0MnZAAAACQEAAA8AAAAAAAAAAQAgAAAAIgAAAGRycy9kb3du&#10;cmV2LnhtbFBLAQIUABQAAAAIAIdO4kDdoskkqQIAAMEHAAAOAAAAAAAAAAEAIAAAACgBAABkcnMv&#10;ZTJvRG9jLnhtbFBLBQYAAAAABgAGAFkBAABDBgAAAAA=&#10;">
                <o:lock v:ext="edit" aspectratio="f"/>
                <v:shape id="椭圆 100" o:spid="_x0000_s1026" o:spt="3" type="#_x0000_t3" style="position:absolute;left:2890;top:13800;height:1353;width:1358;v-text-anchor:middle;" fillcolor="#FFFFFF" filled="t" stroked="t" coordsize="21600,21600" o:gfxdata="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RuiC8AAAA&#10;2w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shape>
                <v:shape id="椭圆 6" o:spid="_x0000_s1026" o:spt="3" type="#_x0000_t3" style="position:absolute;left:3023;top:13944;height:1071;width:1086;v-text-anchor:middle;" fillcolor="#FFFFFF" filled="t" stroked="t" coordsize="21600,21600" o:gfxdata="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DJFe8AAAA&#10;2wAAAA8AAAAAAAAAAQAgAAAAIgAAAGRycy9kb3ducmV2LnhtbFBLAQIUABQAAAAIAIdO4kAzLwWe&#10;OwAAADkAAAAQAAAAAAAAAAEAIAAAAAsBAABkcnMvc2hhcGV4bWwueG1sUEsFBgAAAAAGAAYAWwEA&#10;ALUDAAAAAA==&#10;">
                  <v:fill on="t" focussize="0,0"/>
                  <v:stroke weight="0.25pt" color="#000000" joinstyle="round"/>
                  <v:imagedata o:title=""/>
                  <o:lock v:ext="edit" aspectratio="f"/>
                </v:shape>
              </v:group>
            </w:pict>
          </mc:Fallback>
        </mc:AlternateContent>
      </w:r>
    </w:p>
    <w:p>
      <w:pPr>
        <w:pStyle w:val="57"/>
        <w:ind w:firstLine="420"/>
      </w:pPr>
    </w:p>
    <w:p>
      <w:pPr>
        <w:pStyle w:val="57"/>
        <w:ind w:firstLine="420"/>
        <w:jc w:val="center"/>
      </w:pPr>
      <w:r>
        <mc:AlternateContent>
          <mc:Choice Requires="wps">
            <w:drawing>
              <wp:anchor distT="0" distB="0" distL="114300" distR="114300" simplePos="0" relativeHeight="251659264" behindDoc="0" locked="0" layoutInCell="1" allowOverlap="1">
                <wp:simplePos x="0" y="0"/>
                <wp:positionH relativeFrom="column">
                  <wp:posOffset>3405505</wp:posOffset>
                </wp:positionH>
                <wp:positionV relativeFrom="paragraph">
                  <wp:posOffset>22225</wp:posOffset>
                </wp:positionV>
                <wp:extent cx="184150" cy="180340"/>
                <wp:effectExtent l="0" t="0" r="25400" b="10160"/>
                <wp:wrapNone/>
                <wp:docPr id="27" name="椭圆 27"/>
                <wp:cNvGraphicFramePr/>
                <a:graphic xmlns:a="http://schemas.openxmlformats.org/drawingml/2006/main">
                  <a:graphicData uri="http://schemas.microsoft.com/office/word/2010/wordprocessingShape">
                    <wps:wsp>
                      <wps:cNvSpPr/>
                      <wps:spPr>
                        <a:xfrm>
                          <a:off x="0" y="0"/>
                          <a:ext cx="184150" cy="18034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68.15pt;margin-top:1.75pt;height:14.2pt;width:14.5pt;z-index:251659264;v-text-anchor:middle;mso-width-relative:page;mso-height-relative:page;" filled="f" stroked="t" coordsize="21600,21600" o:gfxdata="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Vk&#10;6W3WAAAACAEAAA8AAAAAAAAAAQAgAAAAIgAAAGRycy9kb3ducmV2LnhtbFBLAQIUABQAAAAIAIdO&#10;4kA07bfxXgIAALcEAAAOAAAAAAAAAAEAIAAAACUBAABkcnMvZTJvRG9jLnhtbFBLBQYAAAAABgAG&#10;AFkBAAD1BQAAAAA=&#10;">
                <v:fill on="f" focussize="0,0"/>
                <v:stroke color="#000000 [3213]" joinstyle="round"/>
                <v:imagedata o:title=""/>
                <o:lock v:ext="edit" aspectratio="f"/>
              </v:shape>
            </w:pict>
          </mc:Fallback>
        </mc:AlternateContent>
      </w:r>
    </w:p>
    <w:p>
      <w:pPr>
        <w:pStyle w:val="57"/>
        <w:ind w:firstLine="420"/>
      </w:pPr>
      <w:r>
        <w:rPr>
          <w:rFonts w:hint="eastAsia"/>
        </w:rPr>
        <w:t xml:space="preserve">                   </w:t>
      </w:r>
      <w:r>
        <w:rPr>
          <w:rFonts w:hint="eastAsia"/>
          <w:b/>
          <w:bCs/>
        </w:rPr>
        <w:t xml:space="preserve">                              </w:t>
      </w:r>
    </w:p>
    <w:p>
      <w:pPr>
        <w:pStyle w:val="57"/>
        <w:ind w:firstLine="420"/>
      </w:pPr>
    </w:p>
    <w:p>
      <w:pPr>
        <w:pStyle w:val="57"/>
        <w:ind w:firstLine="420"/>
        <w:rPr>
          <w:rFonts w:ascii="黑体" w:eastAsia="黑体"/>
          <w:sz w:val="18"/>
          <w:szCs w:val="18"/>
        </w:rPr>
      </w:pPr>
      <w:r>
        <w:rPr>
          <w:rFonts w:hint="eastAsia"/>
        </w:rPr>
        <w:t xml:space="preserve"> </w:t>
      </w:r>
      <w:r>
        <w:t xml:space="preserve">                      </w:t>
      </w:r>
      <w:r>
        <w:rPr>
          <w:rFonts w:ascii="黑体" w:eastAsia="黑体"/>
          <w:sz w:val="18"/>
          <w:szCs w:val="18"/>
        </w:rPr>
        <w:t xml:space="preserve"> </w:t>
      </w:r>
      <w:r>
        <w:rPr>
          <w:rFonts w:hint="eastAsia" w:ascii="黑体" w:eastAsia="黑体"/>
          <w:sz w:val="18"/>
          <w:szCs w:val="18"/>
        </w:rPr>
        <w:t>盘形</w:t>
      </w:r>
      <w:r>
        <w:rPr>
          <w:rFonts w:ascii="黑体" w:eastAsia="黑体"/>
          <w:sz w:val="18"/>
          <w:szCs w:val="18"/>
        </w:rPr>
        <w:t xml:space="preserve">                      </w:t>
      </w:r>
      <w:r>
        <w:rPr>
          <w:rFonts w:hint="eastAsia" w:ascii="黑体" w:eastAsia="黑体"/>
          <w:sz w:val="18"/>
          <w:szCs w:val="18"/>
        </w:rPr>
        <w:t>粒状</w:t>
      </w:r>
    </w:p>
    <w:p>
      <w:pPr>
        <w:pStyle w:val="57"/>
        <w:ind w:firstLine="0" w:firstLineChars="0"/>
        <w:jc w:val="center"/>
        <w:rPr>
          <w:rFonts w:ascii="黑体" w:eastAsia="黑体"/>
          <w:sz w:val="18"/>
          <w:szCs w:val="18"/>
        </w:rPr>
      </w:pPr>
      <w:r>
        <w:rPr>
          <w:rFonts w:hint="eastAsia" w:ascii="黑体" w:eastAsia="黑体"/>
          <w:sz w:val="18"/>
          <w:szCs w:val="18"/>
        </w:rPr>
        <w:t>图</w:t>
      </w:r>
      <w:r>
        <w:rPr>
          <w:rFonts w:ascii="黑体" w:eastAsia="黑体"/>
          <w:sz w:val="18"/>
          <w:szCs w:val="18"/>
        </w:rPr>
        <w:t>1</w:t>
      </w:r>
      <w:r>
        <w:rPr>
          <w:rFonts w:hint="eastAsia" w:ascii="黑体" w:eastAsia="黑体"/>
          <w:sz w:val="18"/>
          <w:szCs w:val="18"/>
        </w:rPr>
        <w:t>.镍阳极规格示意图</w:t>
      </w:r>
    </w:p>
    <w:p>
      <w:pPr>
        <w:pStyle w:val="57"/>
        <w:ind w:firstLine="420"/>
        <w:rPr>
          <w:sz w:val="18"/>
          <w:szCs w:val="18"/>
        </w:rPr>
      </w:pPr>
      <w:r>
        <w:rPr>
          <w:rFonts w:hint="eastAsia"/>
        </w:rPr>
        <w:t xml:space="preserve">                       </w:t>
      </w:r>
    </w:p>
    <w:p>
      <w:pPr>
        <w:pStyle w:val="57"/>
        <w:spacing w:line="360" w:lineRule="auto"/>
        <w:ind w:right="113" w:rightChars="54" w:firstLine="360"/>
        <w:rPr>
          <w:rFonts w:hAnsi="宋体"/>
          <w:sz w:val="18"/>
          <w:szCs w:val="18"/>
        </w:rPr>
      </w:pPr>
      <w:r>
        <w:rPr>
          <w:rFonts w:hint="eastAsia" w:ascii="黑体" w:eastAsia="黑体"/>
          <w:sz w:val="18"/>
          <w:szCs w:val="18"/>
        </w:rPr>
        <w:t>注：</w:t>
      </w:r>
      <w:r>
        <w:rPr>
          <w:rFonts w:hint="eastAsia"/>
          <w:sz w:val="18"/>
          <w:szCs w:val="18"/>
        </w:rPr>
        <w:t>需方有特殊要求时，由供需双方商定</w:t>
      </w:r>
      <w:r>
        <w:rPr>
          <w:rFonts w:hint="eastAsia" w:hAnsi="宋体"/>
          <w:sz w:val="18"/>
          <w:szCs w:val="18"/>
        </w:rPr>
        <w:t>。</w:t>
      </w:r>
    </w:p>
    <w:p>
      <w:pPr>
        <w:pStyle w:val="59"/>
        <w:tabs>
          <w:tab w:val="left" w:pos="420"/>
        </w:tabs>
        <w:spacing w:before="156" w:beforeLines="50" w:after="156" w:afterLines="50"/>
      </w:pPr>
      <w:r>
        <w:rPr>
          <w:rFonts w:hint="eastAsia"/>
        </w:rPr>
        <w:t>牌号表示方法</w:t>
      </w:r>
    </w:p>
    <w:p>
      <w:pPr>
        <w:pStyle w:val="57"/>
        <w:ind w:firstLine="420"/>
      </w:pPr>
      <w:r>
        <w:rPr>
          <w:rFonts w:hint="eastAsia"/>
        </w:rPr>
        <w:t xml:space="preserve">     </w:t>
      </w:r>
      <w:r>
        <w:rPr>
          <w:rFonts w:hint="eastAsia"/>
          <w:szCs w:val="21"/>
        </w:rPr>
        <w:t xml:space="preserve">   </w:t>
      </w:r>
      <w:r>
        <w:rPr>
          <w:szCs w:val="21"/>
        </w:rPr>
        <w:t>N</w:t>
      </w:r>
      <w:r>
        <w:rPr>
          <w:rFonts w:hint="eastAsia"/>
          <w:szCs w:val="21"/>
        </w:rPr>
        <w:t>i</w:t>
      </w:r>
      <w:r>
        <w:rPr>
          <w:szCs w:val="21"/>
        </w:rPr>
        <w:t>S10</w:t>
      </w:r>
      <w:r>
        <w:rPr>
          <w:rFonts w:hint="eastAsia"/>
          <w:szCs w:val="21"/>
        </w:rPr>
        <w:t>-99.99</w:t>
      </w:r>
    </w:p>
    <w:p>
      <w:pPr>
        <w:pStyle w:val="57"/>
        <w:ind w:firstLine="360"/>
      </w:pPr>
      <w:r>
        <w:rPr>
          <w:rFonts w:hint="eastAsia" w:ascii="黑体" w:eastAsia="黑体"/>
          <w:sz w:val="18"/>
          <w:szCs w:val="18"/>
        </w:rPr>
        <w:t>示例：表示为纯度为99.99%，S含量规格为</w:t>
      </w:r>
      <w:r>
        <w:rPr>
          <w:rFonts w:ascii="黑体" w:eastAsia="黑体"/>
          <w:sz w:val="18"/>
          <w:szCs w:val="18"/>
        </w:rPr>
        <w:t>10</w:t>
      </w:r>
      <w:r>
        <w:rPr>
          <w:rFonts w:hint="eastAsia" w:ascii="黑体" w:eastAsia="黑体"/>
          <w:sz w:val="18"/>
          <w:szCs w:val="18"/>
        </w:rPr>
        <w:t>ppm的镍阳极</w:t>
      </w:r>
      <w:r>
        <w:rPr>
          <w:rFonts w:hint="eastAsia" w:hAnsi="宋体"/>
          <w:sz w:val="18"/>
          <w:szCs w:val="18"/>
        </w:rPr>
        <w:t>。</w:t>
      </w:r>
    </w:p>
    <w:p>
      <w:pPr>
        <w:pStyle w:val="59"/>
        <w:tabs>
          <w:tab w:val="left" w:pos="420"/>
        </w:tabs>
        <w:spacing w:before="156" w:beforeLines="50" w:after="156" w:afterLines="50"/>
      </w:pPr>
      <w:r>
        <w:rPr>
          <w:rFonts w:hint="eastAsia"/>
        </w:rPr>
        <w:t>化学成份</w:t>
      </w:r>
    </w:p>
    <w:p>
      <w:pPr>
        <w:pStyle w:val="59"/>
        <w:numPr>
          <w:ilvl w:val="0"/>
          <w:numId w:val="0"/>
        </w:numPr>
        <w:tabs>
          <w:tab w:val="left" w:pos="420"/>
        </w:tabs>
        <w:ind w:firstLine="420" w:firstLineChars="200"/>
        <w:jc w:val="left"/>
        <w:rPr>
          <w:rFonts w:ascii="宋体" w:eastAsia="宋体"/>
          <w:szCs w:val="21"/>
        </w:rPr>
      </w:pPr>
      <w:r>
        <w:rPr>
          <w:rFonts w:hint="eastAsia" w:ascii="宋体" w:eastAsia="宋体"/>
          <w:szCs w:val="21"/>
        </w:rPr>
        <w:t>镍阳极</w:t>
      </w:r>
      <w:r>
        <w:rPr>
          <w:rFonts w:ascii="宋体" w:eastAsia="宋体"/>
          <w:szCs w:val="21"/>
        </w:rPr>
        <w:t>S</w:t>
      </w:r>
      <w:r>
        <w:rPr>
          <w:rFonts w:hint="eastAsia" w:ascii="宋体" w:eastAsia="宋体"/>
          <w:szCs w:val="21"/>
        </w:rPr>
        <w:t>和杂质含量应符合表1的规定。</w:t>
      </w:r>
    </w:p>
    <w:p>
      <w:pPr>
        <w:pStyle w:val="57"/>
        <w:spacing w:before="156" w:beforeLines="50" w:after="156" w:afterLines="50"/>
        <w:ind w:firstLine="0" w:firstLineChars="0"/>
        <w:jc w:val="center"/>
        <w:rPr>
          <w:rFonts w:ascii="黑体" w:eastAsia="黑体"/>
          <w:sz w:val="18"/>
          <w:szCs w:val="18"/>
        </w:rPr>
      </w:pPr>
      <w:r>
        <w:rPr>
          <w:rFonts w:hint="eastAsia" w:ascii="黑体" w:eastAsia="黑体"/>
          <w:sz w:val="18"/>
          <w:szCs w:val="18"/>
        </w:rPr>
        <w:t>表1  镍阳极</w:t>
      </w:r>
      <w:r>
        <w:rPr>
          <w:rFonts w:ascii="黑体" w:eastAsia="黑体"/>
          <w:sz w:val="18"/>
          <w:szCs w:val="18"/>
        </w:rPr>
        <w:t>S</w:t>
      </w:r>
      <w:r>
        <w:rPr>
          <w:rFonts w:hint="eastAsia" w:ascii="黑体" w:eastAsia="黑体"/>
          <w:sz w:val="18"/>
          <w:szCs w:val="18"/>
        </w:rPr>
        <w:t>和杂质含量</w:t>
      </w:r>
    </w:p>
    <w:tbl>
      <w:tblPr>
        <w:tblStyle w:val="31"/>
        <w:tblW w:w="6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530"/>
        <w:gridCol w:w="1734"/>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191" w:type="dxa"/>
            <w:gridSpan w:val="2"/>
            <w:vAlign w:val="center"/>
          </w:tcPr>
          <w:p>
            <w:pPr>
              <w:widowControl/>
              <w:jc w:val="center"/>
              <w:rPr>
                <w:kern w:val="0"/>
                <w:sz w:val="18"/>
                <w:szCs w:val="18"/>
              </w:rPr>
            </w:pPr>
            <w:r>
              <w:rPr>
                <w:kern w:val="0"/>
                <w:sz w:val="18"/>
                <w:szCs w:val="18"/>
              </w:rPr>
              <w:t>牌号</w:t>
            </w:r>
          </w:p>
        </w:tc>
        <w:tc>
          <w:tcPr>
            <w:tcW w:w="1734" w:type="dxa"/>
            <w:vAlign w:val="center"/>
          </w:tcPr>
          <w:p>
            <w:pPr>
              <w:widowControl/>
              <w:jc w:val="center"/>
              <w:rPr>
                <w:kern w:val="0"/>
                <w:sz w:val="18"/>
                <w:szCs w:val="18"/>
              </w:rPr>
            </w:pPr>
            <w:r>
              <w:rPr>
                <w:kern w:val="0"/>
                <w:sz w:val="18"/>
                <w:szCs w:val="18"/>
              </w:rPr>
              <w:t>NiS10-99.99</w:t>
            </w:r>
          </w:p>
        </w:tc>
        <w:tc>
          <w:tcPr>
            <w:tcW w:w="1734" w:type="dxa"/>
            <w:vAlign w:val="center"/>
          </w:tcPr>
          <w:p>
            <w:pPr>
              <w:widowControl/>
              <w:jc w:val="center"/>
              <w:rPr>
                <w:kern w:val="0"/>
                <w:sz w:val="18"/>
                <w:szCs w:val="18"/>
              </w:rPr>
            </w:pPr>
            <w:r>
              <w:rPr>
                <w:rFonts w:hint="eastAsia"/>
                <w:kern w:val="0"/>
                <w:sz w:val="18"/>
                <w:szCs w:val="18"/>
              </w:rPr>
              <w:t>NiS</w:t>
            </w:r>
            <w:r>
              <w:rPr>
                <w:kern w:val="0"/>
                <w:sz w:val="18"/>
                <w:szCs w:val="18"/>
              </w:rPr>
              <w:t>250</w:t>
            </w:r>
            <w:r>
              <w:rPr>
                <w:rFonts w:hint="eastAsia"/>
                <w:kern w:val="0"/>
                <w:sz w:val="18"/>
                <w:szCs w:val="18"/>
              </w:rPr>
              <w:t>-99.9</w:t>
            </w:r>
            <w:r>
              <w:rPr>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191" w:type="dxa"/>
            <w:gridSpan w:val="2"/>
            <w:vAlign w:val="center"/>
          </w:tcPr>
          <w:p>
            <w:pPr>
              <w:widowControl/>
              <w:jc w:val="center"/>
              <w:rPr>
                <w:rFonts w:eastAsia="MS PMincho"/>
                <w:kern w:val="0"/>
                <w:sz w:val="18"/>
                <w:szCs w:val="18"/>
              </w:rPr>
            </w:pPr>
            <w:r>
              <w:rPr>
                <w:kern w:val="0"/>
                <w:sz w:val="18"/>
                <w:szCs w:val="18"/>
              </w:rPr>
              <w:t>S质量分数（10</w:t>
            </w:r>
            <w:r>
              <w:rPr>
                <w:kern w:val="0"/>
                <w:sz w:val="18"/>
                <w:szCs w:val="18"/>
                <w:vertAlign w:val="superscript"/>
              </w:rPr>
              <w:t>-4</w:t>
            </w:r>
            <w:r>
              <w:rPr>
                <w:kern w:val="0"/>
                <w:sz w:val="18"/>
                <w:szCs w:val="18"/>
              </w:rPr>
              <w:t>）/%</w:t>
            </w:r>
          </w:p>
        </w:tc>
        <w:tc>
          <w:tcPr>
            <w:tcW w:w="1734" w:type="dxa"/>
            <w:vAlign w:val="center"/>
          </w:tcPr>
          <w:p>
            <w:pPr>
              <w:jc w:val="center"/>
              <w:rPr>
                <w:sz w:val="18"/>
                <w:szCs w:val="18"/>
              </w:rPr>
            </w:pPr>
            <w:r>
              <w:rPr>
                <w:sz w:val="18"/>
                <w:szCs w:val="18"/>
              </w:rPr>
              <w:t>10</w:t>
            </w:r>
            <w:r>
              <w:rPr>
                <w:rFonts w:hint="eastAsia"/>
                <w:sz w:val="18"/>
                <w:szCs w:val="18"/>
              </w:rPr>
              <w:t>±</w:t>
            </w:r>
            <w:r>
              <w:rPr>
                <w:sz w:val="18"/>
                <w:szCs w:val="18"/>
              </w:rPr>
              <w:t>5</w:t>
            </w:r>
          </w:p>
        </w:tc>
        <w:tc>
          <w:tcPr>
            <w:tcW w:w="1734" w:type="dxa"/>
            <w:vAlign w:val="center"/>
          </w:tcPr>
          <w:p>
            <w:pPr>
              <w:jc w:val="center"/>
              <w:rPr>
                <w:sz w:val="18"/>
                <w:szCs w:val="18"/>
              </w:rPr>
            </w:pPr>
            <w:r>
              <w:rPr>
                <w:sz w:val="18"/>
                <w:szCs w:val="18"/>
              </w:rPr>
              <w:t>250</w:t>
            </w:r>
            <w:r>
              <w:rPr>
                <w:rFonts w:hint="eastAsia"/>
                <w:sz w:val="18"/>
                <w:szCs w:val="18"/>
              </w:rPr>
              <w:t>±</w:t>
            </w:r>
            <w:r>
              <w:rPr>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661" w:type="dxa"/>
            <w:vMerge w:val="restart"/>
            <w:shd w:val="clear" w:color="auto" w:fill="auto"/>
            <w:vAlign w:val="center"/>
          </w:tcPr>
          <w:p>
            <w:pPr>
              <w:jc w:val="center"/>
              <w:rPr>
                <w:sz w:val="18"/>
                <w:szCs w:val="18"/>
              </w:rPr>
            </w:pPr>
            <w:r>
              <w:rPr>
                <w:sz w:val="18"/>
                <w:szCs w:val="18"/>
              </w:rPr>
              <w:t>杂质元素含量（质量分数）（×10</w:t>
            </w:r>
            <w:r>
              <w:rPr>
                <w:sz w:val="18"/>
                <w:szCs w:val="18"/>
                <w:vertAlign w:val="superscript"/>
              </w:rPr>
              <w:t>-4</w:t>
            </w:r>
            <w:r>
              <w:rPr>
                <w:sz w:val="18"/>
                <w:szCs w:val="18"/>
              </w:rPr>
              <w:t>）/%，不大于</w:t>
            </w:r>
          </w:p>
        </w:tc>
        <w:tc>
          <w:tcPr>
            <w:tcW w:w="1530" w:type="dxa"/>
            <w:vAlign w:val="center"/>
          </w:tcPr>
          <w:p>
            <w:pPr>
              <w:widowControl/>
              <w:jc w:val="center"/>
              <w:rPr>
                <w:kern w:val="0"/>
                <w:sz w:val="18"/>
                <w:szCs w:val="18"/>
              </w:rPr>
            </w:pPr>
            <w:r>
              <w:rPr>
                <w:kern w:val="0"/>
                <w:sz w:val="18"/>
                <w:szCs w:val="18"/>
              </w:rPr>
              <w:t>Al</w:t>
            </w:r>
          </w:p>
        </w:tc>
        <w:tc>
          <w:tcPr>
            <w:tcW w:w="1734" w:type="dxa"/>
            <w:shd w:val="clear" w:color="auto" w:fill="auto"/>
            <w:vAlign w:val="center"/>
          </w:tcPr>
          <w:p>
            <w:pPr>
              <w:jc w:val="center"/>
              <w:rPr>
                <w:sz w:val="18"/>
                <w:szCs w:val="18"/>
              </w:rPr>
            </w:pPr>
            <w:r>
              <w:rPr>
                <w:sz w:val="18"/>
                <w:szCs w:val="18"/>
              </w:rPr>
              <w:t>10</w:t>
            </w:r>
          </w:p>
        </w:tc>
        <w:tc>
          <w:tcPr>
            <w:tcW w:w="1734" w:type="dxa"/>
            <w:shd w:val="clear" w:color="auto" w:fill="auto"/>
            <w:vAlign w:val="center"/>
          </w:tcPr>
          <w:p>
            <w:pPr>
              <w:jc w:val="center"/>
              <w:rPr>
                <w:sz w:val="18"/>
                <w:szCs w:val="18"/>
              </w:rPr>
            </w:pP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shd w:val="clear" w:color="auto" w:fill="auto"/>
            <w:vAlign w:val="center"/>
          </w:tcPr>
          <w:p>
            <w:pPr>
              <w:jc w:val="center"/>
              <w:rPr>
                <w:sz w:val="18"/>
                <w:szCs w:val="18"/>
              </w:rPr>
            </w:pPr>
          </w:p>
        </w:tc>
        <w:tc>
          <w:tcPr>
            <w:tcW w:w="1530" w:type="dxa"/>
            <w:vAlign w:val="center"/>
          </w:tcPr>
          <w:p>
            <w:pPr>
              <w:widowControl/>
              <w:jc w:val="center"/>
              <w:rPr>
                <w:kern w:val="0"/>
                <w:sz w:val="18"/>
                <w:szCs w:val="18"/>
              </w:rPr>
            </w:pPr>
            <w:r>
              <w:rPr>
                <w:kern w:val="0"/>
                <w:sz w:val="18"/>
                <w:szCs w:val="18"/>
              </w:rPr>
              <w:t>As</w:t>
            </w:r>
          </w:p>
        </w:tc>
        <w:tc>
          <w:tcPr>
            <w:tcW w:w="1734" w:type="dxa"/>
            <w:shd w:val="clear" w:color="auto" w:fill="auto"/>
            <w:vAlign w:val="center"/>
          </w:tcPr>
          <w:p>
            <w:pPr>
              <w:jc w:val="center"/>
              <w:rPr>
                <w:sz w:val="18"/>
                <w:szCs w:val="18"/>
              </w:rPr>
            </w:pPr>
            <w:r>
              <w:rPr>
                <w:rFonts w:hint="eastAsia"/>
                <w:sz w:val="18"/>
                <w:szCs w:val="18"/>
              </w:rPr>
              <w:t>5</w:t>
            </w:r>
          </w:p>
        </w:tc>
        <w:tc>
          <w:tcPr>
            <w:tcW w:w="1734" w:type="dxa"/>
            <w:shd w:val="clear" w:color="auto" w:fill="auto"/>
            <w:vAlign w:val="center"/>
          </w:tcPr>
          <w:p>
            <w:pPr>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61" w:type="dxa"/>
            <w:vMerge w:val="continue"/>
            <w:shd w:val="clear" w:color="auto" w:fill="auto"/>
            <w:vAlign w:val="center"/>
          </w:tcPr>
          <w:p>
            <w:pPr>
              <w:jc w:val="center"/>
              <w:rPr>
                <w:sz w:val="18"/>
                <w:szCs w:val="18"/>
              </w:rPr>
            </w:pPr>
          </w:p>
        </w:tc>
        <w:tc>
          <w:tcPr>
            <w:tcW w:w="1530" w:type="dxa"/>
            <w:vAlign w:val="center"/>
          </w:tcPr>
          <w:p>
            <w:pPr>
              <w:widowControl/>
              <w:jc w:val="center"/>
              <w:rPr>
                <w:kern w:val="0"/>
                <w:sz w:val="18"/>
                <w:szCs w:val="18"/>
              </w:rPr>
            </w:pPr>
            <w:r>
              <w:rPr>
                <w:kern w:val="0"/>
                <w:sz w:val="18"/>
                <w:szCs w:val="18"/>
              </w:rPr>
              <w:t>Cr</w:t>
            </w:r>
          </w:p>
        </w:tc>
        <w:tc>
          <w:tcPr>
            <w:tcW w:w="1734" w:type="dxa"/>
            <w:shd w:val="clear" w:color="auto" w:fill="auto"/>
          </w:tcPr>
          <w:p>
            <w:pPr>
              <w:jc w:val="center"/>
              <w:rPr>
                <w:sz w:val="18"/>
                <w:szCs w:val="18"/>
              </w:rPr>
            </w:pPr>
            <w:r>
              <w:rPr>
                <w:rFonts w:hint="eastAsia"/>
                <w:sz w:val="18"/>
                <w:szCs w:val="18"/>
              </w:rPr>
              <w:t>2</w:t>
            </w:r>
            <w:r>
              <w:rPr>
                <w:sz w:val="18"/>
                <w:szCs w:val="18"/>
              </w:rPr>
              <w:t>0</w:t>
            </w:r>
          </w:p>
        </w:tc>
        <w:tc>
          <w:tcPr>
            <w:tcW w:w="1734" w:type="dxa"/>
            <w:shd w:val="clear" w:color="auto" w:fill="auto"/>
          </w:tcPr>
          <w:p>
            <w:pPr>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shd w:val="clear" w:color="auto" w:fill="auto"/>
            <w:vAlign w:val="center"/>
          </w:tcPr>
          <w:p>
            <w:pPr>
              <w:jc w:val="center"/>
              <w:rPr>
                <w:sz w:val="18"/>
                <w:szCs w:val="18"/>
              </w:rPr>
            </w:pPr>
          </w:p>
        </w:tc>
        <w:tc>
          <w:tcPr>
            <w:tcW w:w="1530" w:type="dxa"/>
            <w:vAlign w:val="center"/>
          </w:tcPr>
          <w:p>
            <w:pPr>
              <w:widowControl/>
              <w:jc w:val="center"/>
              <w:rPr>
                <w:kern w:val="0"/>
                <w:sz w:val="18"/>
                <w:szCs w:val="18"/>
              </w:rPr>
            </w:pPr>
            <w:r>
              <w:rPr>
                <w:kern w:val="0"/>
                <w:sz w:val="18"/>
                <w:szCs w:val="18"/>
              </w:rPr>
              <w:t>Cu</w:t>
            </w:r>
          </w:p>
        </w:tc>
        <w:tc>
          <w:tcPr>
            <w:tcW w:w="1734" w:type="dxa"/>
          </w:tcPr>
          <w:p>
            <w:pPr>
              <w:jc w:val="center"/>
              <w:rPr>
                <w:sz w:val="18"/>
                <w:szCs w:val="18"/>
              </w:rPr>
            </w:pPr>
            <w:r>
              <w:rPr>
                <w:rFonts w:hint="eastAsia"/>
                <w:sz w:val="18"/>
                <w:szCs w:val="18"/>
              </w:rPr>
              <w:t>2</w:t>
            </w:r>
            <w:r>
              <w:rPr>
                <w:sz w:val="18"/>
                <w:szCs w:val="18"/>
              </w:rPr>
              <w:t>0</w:t>
            </w:r>
          </w:p>
        </w:tc>
        <w:tc>
          <w:tcPr>
            <w:tcW w:w="1734" w:type="dxa"/>
          </w:tcPr>
          <w:p>
            <w:pPr>
              <w:jc w:val="center"/>
              <w:rPr>
                <w:sz w:val="18"/>
                <w:szCs w:val="18"/>
              </w:rPr>
            </w:pPr>
            <w:r>
              <w:rPr>
                <w:sz w:val="18"/>
                <w:szCs w:val="18"/>
              </w:rPr>
              <w:t>2</w:t>
            </w: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shd w:val="clear" w:color="auto" w:fill="auto"/>
            <w:vAlign w:val="center"/>
          </w:tcPr>
          <w:p>
            <w:pPr>
              <w:jc w:val="center"/>
              <w:rPr>
                <w:sz w:val="18"/>
                <w:szCs w:val="18"/>
              </w:rPr>
            </w:pPr>
          </w:p>
        </w:tc>
        <w:tc>
          <w:tcPr>
            <w:tcW w:w="1530" w:type="dxa"/>
            <w:vAlign w:val="center"/>
          </w:tcPr>
          <w:p>
            <w:pPr>
              <w:widowControl/>
              <w:jc w:val="center"/>
              <w:rPr>
                <w:kern w:val="0"/>
                <w:sz w:val="18"/>
                <w:szCs w:val="18"/>
              </w:rPr>
            </w:pPr>
            <w:r>
              <w:rPr>
                <w:kern w:val="0"/>
                <w:sz w:val="18"/>
                <w:szCs w:val="18"/>
              </w:rPr>
              <w:t>Co</w:t>
            </w:r>
          </w:p>
        </w:tc>
        <w:tc>
          <w:tcPr>
            <w:tcW w:w="1734" w:type="dxa"/>
            <w:vAlign w:val="center"/>
          </w:tcPr>
          <w:p>
            <w:pPr>
              <w:jc w:val="center"/>
              <w:rPr>
                <w:sz w:val="18"/>
                <w:szCs w:val="18"/>
              </w:rPr>
            </w:pPr>
            <w:r>
              <w:rPr>
                <w:rFonts w:hint="eastAsia"/>
                <w:sz w:val="18"/>
                <w:szCs w:val="18"/>
              </w:rPr>
              <w:t>2</w:t>
            </w:r>
            <w:r>
              <w:rPr>
                <w:sz w:val="18"/>
                <w:szCs w:val="18"/>
              </w:rPr>
              <w:t>0</w:t>
            </w:r>
          </w:p>
        </w:tc>
        <w:tc>
          <w:tcPr>
            <w:tcW w:w="1734" w:type="dxa"/>
            <w:vAlign w:val="center"/>
          </w:tcPr>
          <w:p>
            <w:pPr>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shd w:val="clear" w:color="auto" w:fill="auto"/>
            <w:vAlign w:val="center"/>
          </w:tcPr>
          <w:p>
            <w:pPr>
              <w:jc w:val="center"/>
              <w:rPr>
                <w:sz w:val="18"/>
                <w:szCs w:val="18"/>
              </w:rPr>
            </w:pPr>
          </w:p>
        </w:tc>
        <w:tc>
          <w:tcPr>
            <w:tcW w:w="1530" w:type="dxa"/>
            <w:vAlign w:val="center"/>
          </w:tcPr>
          <w:p>
            <w:pPr>
              <w:widowControl/>
              <w:jc w:val="center"/>
              <w:rPr>
                <w:kern w:val="0"/>
                <w:sz w:val="18"/>
                <w:szCs w:val="18"/>
              </w:rPr>
            </w:pPr>
            <w:r>
              <w:rPr>
                <w:kern w:val="0"/>
                <w:sz w:val="18"/>
                <w:szCs w:val="18"/>
              </w:rPr>
              <w:t>Fe</w:t>
            </w:r>
          </w:p>
        </w:tc>
        <w:tc>
          <w:tcPr>
            <w:tcW w:w="1734" w:type="dxa"/>
            <w:vAlign w:val="center"/>
          </w:tcPr>
          <w:p>
            <w:pPr>
              <w:jc w:val="center"/>
              <w:rPr>
                <w:sz w:val="18"/>
                <w:szCs w:val="18"/>
              </w:rPr>
            </w:pPr>
            <w:r>
              <w:rPr>
                <w:rFonts w:hint="eastAsia"/>
                <w:sz w:val="18"/>
                <w:szCs w:val="18"/>
              </w:rPr>
              <w:t>2</w:t>
            </w:r>
            <w:r>
              <w:rPr>
                <w:sz w:val="18"/>
                <w:szCs w:val="18"/>
              </w:rPr>
              <w:t>0</w:t>
            </w:r>
          </w:p>
        </w:tc>
        <w:tc>
          <w:tcPr>
            <w:tcW w:w="1734" w:type="dxa"/>
            <w:vAlign w:val="center"/>
          </w:tcPr>
          <w:p>
            <w:pPr>
              <w:jc w:val="center"/>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shd w:val="clear" w:color="auto" w:fill="auto"/>
            <w:vAlign w:val="center"/>
          </w:tcPr>
          <w:p>
            <w:pPr>
              <w:jc w:val="center"/>
              <w:rPr>
                <w:sz w:val="18"/>
                <w:szCs w:val="18"/>
              </w:rPr>
            </w:pPr>
          </w:p>
        </w:tc>
        <w:tc>
          <w:tcPr>
            <w:tcW w:w="1530" w:type="dxa"/>
            <w:vAlign w:val="center"/>
          </w:tcPr>
          <w:p>
            <w:pPr>
              <w:widowControl/>
              <w:jc w:val="center"/>
              <w:rPr>
                <w:kern w:val="0"/>
                <w:sz w:val="18"/>
                <w:szCs w:val="18"/>
              </w:rPr>
            </w:pPr>
            <w:r>
              <w:rPr>
                <w:kern w:val="0"/>
                <w:sz w:val="18"/>
                <w:szCs w:val="18"/>
              </w:rPr>
              <w:t>Pb</w:t>
            </w:r>
          </w:p>
        </w:tc>
        <w:tc>
          <w:tcPr>
            <w:tcW w:w="1734" w:type="dxa"/>
          </w:tcPr>
          <w:p>
            <w:pPr>
              <w:jc w:val="center"/>
              <w:rPr>
                <w:sz w:val="18"/>
                <w:szCs w:val="18"/>
              </w:rPr>
            </w:pPr>
            <w:r>
              <w:rPr>
                <w:sz w:val="18"/>
                <w:szCs w:val="18"/>
              </w:rPr>
              <w:t>5</w:t>
            </w:r>
          </w:p>
        </w:tc>
        <w:tc>
          <w:tcPr>
            <w:tcW w:w="1734" w:type="dxa"/>
          </w:tcPr>
          <w:p>
            <w:pPr>
              <w:jc w:val="center"/>
              <w:rPr>
                <w:sz w:val="18"/>
                <w:szCs w:val="18"/>
              </w:rPr>
            </w:pPr>
            <w:r>
              <w:rPr>
                <w:rFonts w:hint="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shd w:val="clear" w:color="auto" w:fill="auto"/>
            <w:vAlign w:val="center"/>
          </w:tcPr>
          <w:p>
            <w:pPr>
              <w:jc w:val="center"/>
              <w:rPr>
                <w:sz w:val="18"/>
                <w:szCs w:val="18"/>
              </w:rPr>
            </w:pPr>
          </w:p>
        </w:tc>
        <w:tc>
          <w:tcPr>
            <w:tcW w:w="1530" w:type="dxa"/>
            <w:vAlign w:val="center"/>
          </w:tcPr>
          <w:p>
            <w:pPr>
              <w:widowControl/>
              <w:jc w:val="center"/>
              <w:rPr>
                <w:kern w:val="0"/>
                <w:sz w:val="18"/>
                <w:szCs w:val="18"/>
              </w:rPr>
            </w:pPr>
            <w:r>
              <w:rPr>
                <w:kern w:val="0"/>
                <w:sz w:val="18"/>
                <w:szCs w:val="18"/>
              </w:rPr>
              <w:t>Zn</w:t>
            </w:r>
          </w:p>
        </w:tc>
        <w:tc>
          <w:tcPr>
            <w:tcW w:w="1734" w:type="dxa"/>
          </w:tcPr>
          <w:p>
            <w:pPr>
              <w:jc w:val="center"/>
              <w:rPr>
                <w:sz w:val="18"/>
                <w:szCs w:val="18"/>
              </w:rPr>
            </w:pPr>
            <w:r>
              <w:rPr>
                <w:sz w:val="18"/>
                <w:szCs w:val="18"/>
              </w:rPr>
              <w:t>5</w:t>
            </w:r>
          </w:p>
        </w:tc>
        <w:tc>
          <w:tcPr>
            <w:tcW w:w="1734" w:type="dxa"/>
          </w:tcPr>
          <w:p>
            <w:pPr>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61" w:type="dxa"/>
            <w:vMerge w:val="continue"/>
            <w:shd w:val="clear" w:color="auto" w:fill="auto"/>
            <w:vAlign w:val="center"/>
          </w:tcPr>
          <w:p>
            <w:pPr>
              <w:jc w:val="center"/>
              <w:rPr>
                <w:sz w:val="18"/>
                <w:szCs w:val="18"/>
              </w:rPr>
            </w:pPr>
          </w:p>
        </w:tc>
        <w:tc>
          <w:tcPr>
            <w:tcW w:w="1530" w:type="dxa"/>
            <w:vAlign w:val="center"/>
          </w:tcPr>
          <w:p>
            <w:pPr>
              <w:widowControl/>
              <w:jc w:val="center"/>
              <w:rPr>
                <w:kern w:val="0"/>
                <w:sz w:val="18"/>
                <w:szCs w:val="18"/>
              </w:rPr>
            </w:pPr>
            <w:r>
              <w:rPr>
                <w:kern w:val="0"/>
                <w:sz w:val="18"/>
                <w:szCs w:val="18"/>
              </w:rPr>
              <w:t>V</w:t>
            </w:r>
          </w:p>
        </w:tc>
        <w:tc>
          <w:tcPr>
            <w:tcW w:w="1734" w:type="dxa"/>
          </w:tcPr>
          <w:p>
            <w:pPr>
              <w:jc w:val="center"/>
              <w:rPr>
                <w:sz w:val="18"/>
                <w:szCs w:val="18"/>
              </w:rPr>
            </w:pPr>
            <w:r>
              <w:rPr>
                <w:rFonts w:hint="eastAsia"/>
                <w:sz w:val="18"/>
                <w:szCs w:val="18"/>
              </w:rPr>
              <w:t>2</w:t>
            </w:r>
            <w:r>
              <w:rPr>
                <w:sz w:val="18"/>
                <w:szCs w:val="18"/>
              </w:rPr>
              <w:t>0</w:t>
            </w:r>
          </w:p>
        </w:tc>
        <w:tc>
          <w:tcPr>
            <w:tcW w:w="1734" w:type="dxa"/>
          </w:tcPr>
          <w:p>
            <w:pPr>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1" w:type="dxa"/>
            <w:gridSpan w:val="2"/>
            <w:shd w:val="clear" w:color="auto" w:fill="auto"/>
            <w:vAlign w:val="center"/>
          </w:tcPr>
          <w:p>
            <w:pPr>
              <w:jc w:val="center"/>
              <w:rPr>
                <w:sz w:val="18"/>
                <w:szCs w:val="18"/>
              </w:rPr>
            </w:pPr>
            <w:r>
              <w:rPr>
                <w:sz w:val="18"/>
                <w:szCs w:val="18"/>
              </w:rPr>
              <w:t>杂质总含量（质量分数）（10</w:t>
            </w:r>
            <w:r>
              <w:rPr>
                <w:sz w:val="18"/>
                <w:szCs w:val="18"/>
                <w:vertAlign w:val="superscript"/>
              </w:rPr>
              <w:t>-4</w:t>
            </w:r>
            <w:r>
              <w:rPr>
                <w:sz w:val="18"/>
                <w:szCs w:val="18"/>
              </w:rPr>
              <w:t>）/%不大于</w:t>
            </w:r>
          </w:p>
        </w:tc>
        <w:tc>
          <w:tcPr>
            <w:tcW w:w="1734" w:type="dxa"/>
            <w:vAlign w:val="center"/>
          </w:tcPr>
          <w:p>
            <w:pPr>
              <w:jc w:val="center"/>
              <w:rPr>
                <w:sz w:val="18"/>
                <w:szCs w:val="18"/>
              </w:rPr>
            </w:pPr>
            <w:r>
              <w:rPr>
                <w:sz w:val="18"/>
                <w:szCs w:val="18"/>
              </w:rPr>
              <w:t>100</w:t>
            </w:r>
          </w:p>
        </w:tc>
        <w:tc>
          <w:tcPr>
            <w:tcW w:w="1734" w:type="dxa"/>
            <w:vAlign w:val="center"/>
          </w:tcPr>
          <w:p>
            <w:pPr>
              <w:jc w:val="center"/>
              <w:rPr>
                <w:sz w:val="18"/>
                <w:szCs w:val="18"/>
              </w:rPr>
            </w:pPr>
            <w:r>
              <w:rPr>
                <w:sz w:val="18"/>
                <w:szCs w:val="18"/>
              </w:rPr>
              <w:t>1</w:t>
            </w:r>
            <w:r>
              <w:rPr>
                <w:rFonts w:hint="eastAsia"/>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659" w:type="dxa"/>
            <w:gridSpan w:val="4"/>
            <w:shd w:val="clear" w:color="auto" w:fill="auto"/>
            <w:vAlign w:val="center"/>
          </w:tcPr>
          <w:p>
            <w:pPr>
              <w:pStyle w:val="57"/>
              <w:ind w:right="113" w:rightChars="54" w:firstLine="0" w:firstLineChars="0"/>
              <w:jc w:val="left"/>
              <w:rPr>
                <w:rFonts w:ascii="Times New Roman"/>
                <w:sz w:val="18"/>
                <w:szCs w:val="18"/>
              </w:rPr>
            </w:pPr>
            <w:r>
              <w:rPr>
                <w:rFonts w:ascii="Times New Roman" w:eastAsia="黑体"/>
                <w:b/>
                <w:sz w:val="18"/>
                <w:szCs w:val="18"/>
              </w:rPr>
              <w:t>注1:</w:t>
            </w:r>
            <w:r>
              <w:rPr>
                <w:rFonts w:ascii="Times New Roman"/>
                <w:sz w:val="18"/>
                <w:szCs w:val="18"/>
              </w:rPr>
              <w:t>需方对合金元素和杂质元素有特殊要求的，由供需双方协商。</w:t>
            </w:r>
          </w:p>
          <w:p>
            <w:pPr>
              <w:pStyle w:val="57"/>
              <w:ind w:right="113" w:rightChars="54" w:firstLine="0" w:firstLineChars="0"/>
              <w:jc w:val="left"/>
              <w:rPr>
                <w:rFonts w:ascii="Times New Roman"/>
                <w:sz w:val="18"/>
                <w:szCs w:val="18"/>
              </w:rPr>
            </w:pPr>
            <w:r>
              <w:rPr>
                <w:rFonts w:ascii="Times New Roman" w:eastAsia="黑体"/>
                <w:b/>
                <w:sz w:val="18"/>
                <w:szCs w:val="18"/>
              </w:rPr>
              <w:t>注2:</w:t>
            </w:r>
            <w:r>
              <w:rPr>
                <w:rFonts w:hint="eastAsia" w:ascii="Times New Roman" w:eastAsia="黑体"/>
                <w:bCs/>
                <w:sz w:val="18"/>
                <w:szCs w:val="18"/>
              </w:rPr>
              <w:t>镍</w:t>
            </w:r>
            <w:r>
              <w:rPr>
                <w:rFonts w:ascii="Times New Roman"/>
                <w:sz w:val="18"/>
                <w:szCs w:val="18"/>
              </w:rPr>
              <w:t>阳极纯度为100%减去表中杂质实测总和的余量。</w:t>
            </w:r>
          </w:p>
          <w:p>
            <w:pPr>
              <w:jc w:val="left"/>
              <w:rPr>
                <w:sz w:val="18"/>
                <w:szCs w:val="18"/>
              </w:rPr>
            </w:pPr>
            <w:r>
              <w:rPr>
                <w:rFonts w:eastAsia="黑体"/>
                <w:b/>
                <w:sz w:val="18"/>
                <w:szCs w:val="18"/>
              </w:rPr>
              <w:t>注3：</w:t>
            </w:r>
            <w:r>
              <w:rPr>
                <w:sz w:val="18"/>
                <w:szCs w:val="18"/>
              </w:rPr>
              <w:t>“—”表示不作要求。</w:t>
            </w:r>
          </w:p>
        </w:tc>
      </w:tr>
    </w:tbl>
    <w:p>
      <w:pPr>
        <w:pStyle w:val="57"/>
        <w:ind w:firstLine="420"/>
      </w:pPr>
    </w:p>
    <w:p>
      <w:pPr>
        <w:pStyle w:val="59"/>
        <w:tabs>
          <w:tab w:val="left" w:pos="420"/>
        </w:tabs>
        <w:spacing w:before="156" w:beforeLines="50" w:after="156" w:afterLines="50"/>
      </w:pPr>
      <w:r>
        <w:rPr>
          <w:rFonts w:hint="eastAsia"/>
        </w:rPr>
        <w:t>几何尺寸</w:t>
      </w:r>
    </w:p>
    <w:p>
      <w:pPr>
        <w:pStyle w:val="57"/>
        <w:ind w:firstLine="407" w:firstLineChars="194"/>
      </w:pPr>
      <w:r>
        <w:rPr>
          <w:rFonts w:hint="eastAsia"/>
        </w:rPr>
        <w:t xml:space="preserve">镍阳极尺寸、规格及结构方式与用户使用的机台类型有关，一般由客户提供图纸，经双方确认后，方可生产。 </w:t>
      </w:r>
    </w:p>
    <w:p>
      <w:pPr>
        <w:pStyle w:val="59"/>
        <w:tabs>
          <w:tab w:val="left" w:pos="420"/>
        </w:tabs>
        <w:spacing w:before="156" w:beforeLines="50" w:after="156" w:afterLines="50"/>
      </w:pPr>
      <w:r>
        <w:rPr>
          <w:rFonts w:hint="eastAsia"/>
        </w:rPr>
        <w:t>平均晶粒尺寸</w:t>
      </w:r>
    </w:p>
    <w:p>
      <w:pPr>
        <w:pStyle w:val="57"/>
        <w:ind w:right="113" w:rightChars="54" w:firstLine="420"/>
        <w:rPr>
          <w:rFonts w:hAnsi="宋体"/>
        </w:rPr>
      </w:pPr>
      <w:r>
        <w:rPr>
          <w:rFonts w:hint="eastAsia" w:hAnsi="宋体"/>
          <w:szCs w:val="21"/>
        </w:rPr>
        <w:t>镍阳极平均</w:t>
      </w:r>
      <w:r>
        <w:rPr>
          <w:rFonts w:hint="eastAsia" w:hAnsi="宋体"/>
        </w:rPr>
        <w:t>晶粒尺寸在</w:t>
      </w:r>
      <w:r>
        <w:rPr>
          <w:rFonts w:hint="eastAsia"/>
        </w:rPr>
        <w:t>1</w:t>
      </w:r>
      <w:r>
        <w:t>0</w:t>
      </w:r>
      <w:r>
        <w:rPr>
          <w:rFonts w:hint="eastAsia"/>
        </w:rPr>
        <w:t>0</w:t>
      </w:r>
      <w:r>
        <w:t>～</w:t>
      </w:r>
      <w:r>
        <w:rPr>
          <w:rFonts w:hint="eastAsia"/>
        </w:rPr>
        <w:t>4</w:t>
      </w:r>
      <w:r>
        <w:t>00μm</w:t>
      </w:r>
      <w:r>
        <w:rPr>
          <w:rFonts w:hint="eastAsia"/>
        </w:rPr>
        <w:t>之间。</w:t>
      </w:r>
    </w:p>
    <w:p>
      <w:pPr>
        <w:pStyle w:val="57"/>
        <w:ind w:right="113" w:rightChars="54" w:firstLine="450" w:firstLineChars="250"/>
        <w:rPr>
          <w:rFonts w:ascii="黑体" w:eastAsia="黑体"/>
          <w:sz w:val="18"/>
          <w:szCs w:val="18"/>
        </w:rPr>
      </w:pPr>
      <w:r>
        <w:rPr>
          <w:rFonts w:hint="eastAsia" w:ascii="黑体" w:eastAsia="黑体"/>
          <w:sz w:val="18"/>
          <w:szCs w:val="18"/>
        </w:rPr>
        <w:t>注1：需方有特殊要求时，由供需双方协定。</w:t>
      </w:r>
    </w:p>
    <w:p>
      <w:pPr>
        <w:pStyle w:val="57"/>
        <w:ind w:right="113" w:rightChars="54" w:firstLine="450" w:firstLineChars="250"/>
        <w:rPr>
          <w:rFonts w:ascii="黑体"/>
          <w:sz w:val="18"/>
          <w:szCs w:val="18"/>
        </w:rPr>
      </w:pPr>
      <w:r>
        <w:rPr>
          <w:rFonts w:hint="eastAsia" w:ascii="黑体" w:eastAsia="黑体"/>
          <w:sz w:val="18"/>
          <w:szCs w:val="18"/>
        </w:rPr>
        <w:t>注2：粒状镍阳极无平均晶粒尺寸要求。</w:t>
      </w:r>
    </w:p>
    <w:p>
      <w:pPr>
        <w:pStyle w:val="59"/>
        <w:tabs>
          <w:tab w:val="left" w:pos="420"/>
        </w:tabs>
        <w:spacing w:before="156" w:beforeLines="50" w:after="156" w:afterLines="50"/>
      </w:pPr>
      <w:r>
        <w:rPr>
          <w:rFonts w:hint="eastAsia"/>
        </w:rPr>
        <w:t>外观质量</w:t>
      </w:r>
    </w:p>
    <w:p>
      <w:pPr>
        <w:ind w:firstLine="420" w:firstLineChars="200"/>
        <w:rPr>
          <w:szCs w:val="21"/>
        </w:rPr>
      </w:pPr>
      <w:r>
        <w:rPr>
          <w:rFonts w:hint="eastAsia"/>
        </w:rPr>
        <w:t>镍阳极表面应清洁、光滑，无指痕、油污、锈蚀、颗粒附着物和其他沾污。</w:t>
      </w:r>
    </w:p>
    <w:p>
      <w:pPr>
        <w:pStyle w:val="58"/>
        <w:spacing w:before="312" w:beforeLines="100" w:after="312" w:afterLines="100"/>
      </w:pPr>
      <w:r>
        <w:rPr>
          <w:rFonts w:hint="eastAsia"/>
        </w:rPr>
        <w:t>试验方法</w:t>
      </w:r>
    </w:p>
    <w:p>
      <w:pPr>
        <w:pStyle w:val="59"/>
        <w:tabs>
          <w:tab w:val="left" w:pos="0"/>
        </w:tabs>
        <w:spacing w:before="156" w:beforeLines="50" w:after="156" w:afterLines="50"/>
      </w:pPr>
      <w:r>
        <w:rPr>
          <w:rFonts w:hint="eastAsia"/>
        </w:rPr>
        <w:t>化学成份的分析方法</w:t>
      </w:r>
    </w:p>
    <w:p>
      <w:pPr>
        <w:spacing w:line="360" w:lineRule="auto"/>
        <w:ind w:firstLine="420" w:firstLineChars="200"/>
        <w:rPr>
          <w:szCs w:val="21"/>
          <w:lang w:val="zh-CN"/>
        </w:rPr>
      </w:pPr>
      <w:r>
        <w:rPr>
          <w:rFonts w:hint="eastAsia" w:ascii="宋体"/>
        </w:rPr>
        <w:t>硫的分析:按照</w:t>
      </w:r>
      <w:r>
        <w:rPr>
          <w:szCs w:val="21"/>
          <w:lang w:val="zh-CN"/>
        </w:rPr>
        <w:t>GB/T 14265</w:t>
      </w:r>
      <w:r>
        <w:rPr>
          <w:rFonts w:hint="eastAsia"/>
          <w:szCs w:val="21"/>
          <w:lang w:val="zh-CN"/>
        </w:rPr>
        <w:t>金属材料中氢、氧、氮、碳和硫分析方法通则；</w:t>
      </w:r>
    </w:p>
    <w:p>
      <w:pPr>
        <w:pStyle w:val="60"/>
        <w:tabs>
          <w:tab w:val="left" w:pos="420"/>
        </w:tabs>
        <w:spacing w:before="156" w:beforeLines="50" w:after="156" w:afterLines="50"/>
        <w:rPr>
          <w:rFonts w:ascii="Times New Roman" w:eastAsia="宋体"/>
          <w:kern w:val="2"/>
        </w:rPr>
      </w:pPr>
      <w:r>
        <w:rPr>
          <w:rFonts w:hint="eastAsia" w:ascii="Times New Roman" w:eastAsia="宋体"/>
          <w:kern w:val="2"/>
        </w:rPr>
        <w:t>标准执行。</w:t>
      </w:r>
    </w:p>
    <w:p>
      <w:pPr>
        <w:pStyle w:val="60"/>
        <w:tabs>
          <w:tab w:val="left" w:pos="420"/>
        </w:tabs>
        <w:spacing w:before="156" w:beforeLines="50" w:after="156" w:afterLines="50"/>
        <w:rPr>
          <w:rFonts w:ascii="Times New Roman" w:eastAsia="宋体"/>
          <w:kern w:val="2"/>
        </w:rPr>
      </w:pPr>
      <w:r>
        <w:rPr>
          <w:rFonts w:hint="eastAsia" w:ascii="Times New Roman" w:eastAsia="宋体"/>
          <w:kern w:val="2"/>
        </w:rPr>
        <w:t>杂质元素分析：</w:t>
      </w:r>
    </w:p>
    <w:p>
      <w:pPr>
        <w:spacing w:line="360" w:lineRule="auto"/>
        <w:ind w:firstLine="420" w:firstLineChars="200"/>
      </w:pPr>
      <w:r>
        <w:rPr>
          <w:rFonts w:hint="eastAsia"/>
        </w:rPr>
        <w:t>金属元素分析按照</w:t>
      </w:r>
      <w:r>
        <w:t>GB/T 26016-2010</w:t>
      </w:r>
      <w:r>
        <w:rPr>
          <w:rFonts w:hint="eastAsia"/>
        </w:rPr>
        <w:t>中规定的检测方法执行；</w:t>
      </w:r>
      <w:r>
        <w:t xml:space="preserve"> </w:t>
      </w:r>
    </w:p>
    <w:p>
      <w:pPr>
        <w:pStyle w:val="57"/>
        <w:ind w:firstLine="420"/>
        <w:rPr>
          <w:rFonts w:ascii="Times New Roman"/>
          <w:kern w:val="2"/>
        </w:rPr>
      </w:pPr>
      <w:r>
        <w:rPr>
          <w:rFonts w:hint="eastAsia" w:ascii="Times New Roman"/>
          <w:kern w:val="2"/>
        </w:rPr>
        <w:t>非金属杂质元素S的分析按照</w:t>
      </w:r>
      <w:r>
        <w:rPr>
          <w:rFonts w:ascii="Times New Roman"/>
          <w:kern w:val="2"/>
        </w:rPr>
        <w:t>GB/T 14265</w:t>
      </w:r>
      <w:r>
        <w:rPr>
          <w:rFonts w:hint="eastAsia" w:ascii="Times New Roman"/>
          <w:kern w:val="2"/>
        </w:rPr>
        <w:t>标准的规定执行。</w:t>
      </w:r>
    </w:p>
    <w:p>
      <w:pPr>
        <w:pStyle w:val="59"/>
        <w:tabs>
          <w:tab w:val="left" w:pos="420"/>
        </w:tabs>
        <w:spacing w:before="156" w:beforeLines="50" w:after="156" w:afterLines="50"/>
      </w:pPr>
      <w:r>
        <w:rPr>
          <w:rFonts w:hint="eastAsia"/>
        </w:rPr>
        <w:t>尺寸检验方法</w:t>
      </w:r>
    </w:p>
    <w:p>
      <w:pPr>
        <w:pStyle w:val="57"/>
        <w:ind w:firstLine="420"/>
      </w:pPr>
      <w:r>
        <w:rPr>
          <w:rFonts w:hint="eastAsia"/>
        </w:rPr>
        <w:t>镍阳极外形尺寸的测量按照</w:t>
      </w:r>
      <w:r>
        <w:rPr>
          <w:rFonts w:hint="eastAsia" w:hAnsi="宋体"/>
          <w:bCs/>
        </w:rPr>
        <w:t>GB/T 3177-2009或</w:t>
      </w:r>
      <w:r>
        <w:rPr>
          <w:rFonts w:hint="eastAsia" w:hAnsi="宋体"/>
        </w:rPr>
        <w:t>GB/T 16857.2-2006</w:t>
      </w:r>
      <w:r>
        <w:rPr>
          <w:rFonts w:hint="eastAsia"/>
        </w:rPr>
        <w:t>的规定进行。</w:t>
      </w:r>
    </w:p>
    <w:p>
      <w:pPr>
        <w:pStyle w:val="59"/>
        <w:tabs>
          <w:tab w:val="left" w:pos="420"/>
        </w:tabs>
        <w:spacing w:before="156" w:beforeLines="50" w:after="156" w:afterLines="50"/>
      </w:pPr>
      <w:r>
        <w:rPr>
          <w:rFonts w:hint="eastAsia"/>
        </w:rPr>
        <w:t>平均晶粒尺寸检验</w:t>
      </w:r>
    </w:p>
    <w:p>
      <w:pPr>
        <w:pStyle w:val="57"/>
        <w:ind w:firstLine="420"/>
      </w:pPr>
      <w:r>
        <w:rPr>
          <w:rFonts w:hint="eastAsia" w:hAnsi="宋体"/>
        </w:rPr>
        <w:t>按照</w:t>
      </w:r>
      <w:r>
        <w:t>GB/T 6394-2017</w:t>
      </w:r>
      <w:r>
        <w:rPr>
          <w:rFonts w:hint="eastAsia" w:hAnsi="宋体"/>
        </w:rPr>
        <w:t>的规定进行观察、评定和确认。</w:t>
      </w:r>
    </w:p>
    <w:p>
      <w:pPr>
        <w:pStyle w:val="59"/>
        <w:tabs>
          <w:tab w:val="left" w:pos="420"/>
        </w:tabs>
        <w:spacing w:before="156" w:beforeLines="50" w:after="156" w:afterLines="50"/>
      </w:pPr>
      <w:r>
        <w:rPr>
          <w:rFonts w:hint="eastAsia"/>
        </w:rPr>
        <w:t>外观质量检验</w:t>
      </w:r>
    </w:p>
    <w:p>
      <w:pPr>
        <w:pStyle w:val="59"/>
        <w:numPr>
          <w:ilvl w:val="0"/>
          <w:numId w:val="0"/>
        </w:numPr>
        <w:tabs>
          <w:tab w:val="left" w:pos="420"/>
        </w:tabs>
        <w:spacing w:before="156" w:beforeLines="50" w:after="156" w:afterLines="50"/>
      </w:pPr>
      <w:r>
        <w:rPr>
          <w:rFonts w:hint="eastAsia" w:ascii="宋体" w:hAnsi="宋体" w:eastAsia="宋体"/>
        </w:rPr>
        <w:tab/>
      </w:r>
      <w:r>
        <w:rPr>
          <w:rFonts w:hint="eastAsia" w:ascii="宋体" w:hAnsi="宋体" w:eastAsia="宋体"/>
        </w:rPr>
        <w:t xml:space="preserve">用目视检查，如发现异常现象，在10倍放大镜条件下进行检查。 </w:t>
      </w:r>
    </w:p>
    <w:p>
      <w:pPr>
        <w:pStyle w:val="58"/>
        <w:spacing w:before="312" w:beforeLines="100" w:after="312" w:afterLines="100"/>
      </w:pPr>
      <w:r>
        <w:rPr>
          <w:rFonts w:hint="eastAsia"/>
        </w:rPr>
        <w:t>检验规则</w:t>
      </w:r>
    </w:p>
    <w:p>
      <w:pPr>
        <w:pStyle w:val="59"/>
        <w:tabs>
          <w:tab w:val="left" w:pos="420"/>
        </w:tabs>
        <w:spacing w:before="156" w:beforeLines="50" w:after="156" w:afterLines="50"/>
      </w:pPr>
      <w:r>
        <w:rPr>
          <w:rFonts w:hint="eastAsia"/>
        </w:rPr>
        <w:t>检验和验收</w:t>
      </w:r>
    </w:p>
    <w:p>
      <w:pPr>
        <w:pStyle w:val="60"/>
        <w:tabs>
          <w:tab w:val="left" w:pos="420"/>
        </w:tabs>
        <w:spacing w:before="156" w:beforeLines="50" w:after="156" w:afterLines="50"/>
        <w:rPr>
          <w:rFonts w:ascii="宋体" w:eastAsia="宋体"/>
        </w:rPr>
      </w:pPr>
      <w:r>
        <w:rPr>
          <w:rFonts w:hint="eastAsia" w:ascii="宋体" w:eastAsia="宋体"/>
        </w:rPr>
        <w:t>产品应由供方检验部门进行检验，保证产品质量符合本标准（或订货合同）的规定，并填写质量证明书。</w:t>
      </w:r>
    </w:p>
    <w:p>
      <w:pPr>
        <w:pStyle w:val="60"/>
        <w:tabs>
          <w:tab w:val="left" w:pos="420"/>
        </w:tabs>
        <w:spacing w:before="156" w:beforeLines="50" w:after="156" w:afterLines="50"/>
        <w:rPr>
          <w:rFonts w:ascii="宋体" w:eastAsia="宋体"/>
        </w:rPr>
      </w:pPr>
      <w:r>
        <w:rPr>
          <w:rFonts w:hint="eastAsia" w:ascii="宋体" w:eastAsia="宋体"/>
        </w:rPr>
        <w:t>需方应对收到的产品按本标准的规定进行检验。如检验结果与本标准（或订货合同）的规定不符，应在收到产品之日起1个月内向供方提出，由供需双方协商解决。如需仲裁，仲裁取样应在需方由供需双方共同进行。</w:t>
      </w:r>
    </w:p>
    <w:p>
      <w:pPr>
        <w:pStyle w:val="59"/>
        <w:tabs>
          <w:tab w:val="left" w:pos="420"/>
        </w:tabs>
        <w:spacing w:before="156" w:beforeLines="50" w:after="156" w:afterLines="50"/>
      </w:pPr>
      <w:r>
        <w:rPr>
          <w:rFonts w:hint="eastAsia"/>
        </w:rPr>
        <w:t>组批</w:t>
      </w:r>
    </w:p>
    <w:p>
      <w:pPr>
        <w:pStyle w:val="57"/>
        <w:ind w:firstLine="420"/>
        <w:rPr>
          <w:rFonts w:hAnsi="宋体"/>
        </w:rPr>
      </w:pPr>
      <w:r>
        <w:rPr>
          <w:rFonts w:hint="eastAsia" w:hAnsi="宋体"/>
        </w:rPr>
        <w:t>产品应成批提交验收。每批应由同一炉号、同一牌号和规格的产品组成。</w:t>
      </w:r>
    </w:p>
    <w:p>
      <w:pPr>
        <w:pStyle w:val="59"/>
        <w:tabs>
          <w:tab w:val="left" w:pos="420"/>
        </w:tabs>
        <w:spacing w:before="156" w:beforeLines="50" w:after="156" w:afterLines="50"/>
      </w:pPr>
      <w:r>
        <w:rPr>
          <w:rFonts w:hint="eastAsia"/>
        </w:rPr>
        <w:t>检验项目及取样规定</w:t>
      </w:r>
    </w:p>
    <w:p>
      <w:pPr>
        <w:pStyle w:val="60"/>
        <w:tabs>
          <w:tab w:val="left" w:pos="420"/>
        </w:tabs>
        <w:spacing w:before="156" w:beforeLines="50" w:after="156" w:afterLines="50"/>
        <w:rPr>
          <w:rFonts w:ascii="宋体" w:hAnsi="宋体" w:eastAsia="宋体"/>
        </w:rPr>
      </w:pPr>
      <w:r>
        <w:rPr>
          <w:rFonts w:hint="eastAsia" w:ascii="宋体" w:hAnsi="宋体" w:eastAsia="宋体"/>
        </w:rPr>
        <w:t>产品应进行化学成份、几何尺寸、平均晶粒尺寸、外观质量、包装质量检验。检验项目、取样位置及数量见表2。</w:t>
      </w:r>
    </w:p>
    <w:p>
      <w:pPr>
        <w:pStyle w:val="57"/>
        <w:spacing w:before="156" w:beforeLines="50" w:after="156" w:afterLines="50"/>
        <w:ind w:firstLine="0" w:firstLineChars="0"/>
        <w:jc w:val="center"/>
        <w:rPr>
          <w:rFonts w:ascii="黑体" w:hAnsi="宋体" w:eastAsia="黑体"/>
          <w:sz w:val="18"/>
          <w:szCs w:val="18"/>
        </w:rPr>
      </w:pPr>
      <w:r>
        <w:rPr>
          <w:rFonts w:hint="eastAsia" w:ascii="黑体" w:hAnsi="宋体" w:eastAsia="黑体"/>
          <w:sz w:val="18"/>
          <w:szCs w:val="18"/>
        </w:rPr>
        <w:t>表2 检验项目、取样位置及数量</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autofit"/>
        <w:tblCellMar>
          <w:top w:w="0" w:type="dxa"/>
          <w:left w:w="108" w:type="dxa"/>
          <w:bottom w:w="0" w:type="dxa"/>
          <w:right w:w="108" w:type="dxa"/>
        </w:tblCellMar>
      </w:tblPr>
      <w:tblGrid>
        <w:gridCol w:w="1706"/>
        <w:gridCol w:w="1706"/>
        <w:gridCol w:w="1941"/>
        <w:gridCol w:w="1470"/>
        <w:gridCol w:w="17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19" w:hRule="atLeast"/>
          <w:tblHeader/>
        </w:trPr>
        <w:tc>
          <w:tcPr>
            <w:tcW w:w="1000" w:type="pct"/>
            <w:tcBorders>
              <w:bottom w:val="single" w:color="auto" w:sz="12" w:space="0"/>
            </w:tcBorders>
            <w:vAlign w:val="center"/>
          </w:tcPr>
          <w:p>
            <w:pPr>
              <w:ind w:left="-50"/>
              <w:jc w:val="center"/>
              <w:rPr>
                <w:rFonts w:ascii="宋体" w:hAnsi="宋体"/>
                <w:sz w:val="18"/>
                <w:szCs w:val="18"/>
              </w:rPr>
            </w:pPr>
            <w:r>
              <w:rPr>
                <w:rFonts w:hint="eastAsia" w:ascii="宋体" w:hAnsi="宋体"/>
                <w:sz w:val="18"/>
                <w:szCs w:val="18"/>
              </w:rPr>
              <w:t>检验项目</w:t>
            </w:r>
          </w:p>
        </w:tc>
        <w:tc>
          <w:tcPr>
            <w:tcW w:w="1000" w:type="pct"/>
            <w:tcBorders>
              <w:bottom w:val="single" w:color="auto" w:sz="12" w:space="0"/>
            </w:tcBorders>
            <w:vAlign w:val="center"/>
          </w:tcPr>
          <w:p>
            <w:pPr>
              <w:ind w:left="-50"/>
              <w:jc w:val="center"/>
              <w:rPr>
                <w:rFonts w:ascii="宋体" w:hAnsi="宋体"/>
                <w:sz w:val="18"/>
                <w:szCs w:val="18"/>
              </w:rPr>
            </w:pPr>
            <w:r>
              <w:rPr>
                <w:rFonts w:hint="eastAsia" w:ascii="宋体" w:hAnsi="宋体"/>
                <w:sz w:val="18"/>
                <w:szCs w:val="18"/>
              </w:rPr>
              <w:t>取样位置</w:t>
            </w:r>
          </w:p>
        </w:tc>
        <w:tc>
          <w:tcPr>
            <w:tcW w:w="1138" w:type="pct"/>
            <w:tcBorders>
              <w:bottom w:val="single" w:color="auto" w:sz="12" w:space="0"/>
            </w:tcBorders>
            <w:vAlign w:val="center"/>
          </w:tcPr>
          <w:p>
            <w:pPr>
              <w:ind w:left="-50"/>
              <w:jc w:val="center"/>
              <w:rPr>
                <w:rFonts w:ascii="宋体" w:hAnsi="宋体"/>
                <w:sz w:val="18"/>
                <w:szCs w:val="18"/>
              </w:rPr>
            </w:pPr>
            <w:r>
              <w:rPr>
                <w:rFonts w:hint="eastAsia" w:ascii="宋体" w:hAnsi="宋体"/>
                <w:sz w:val="18"/>
                <w:szCs w:val="18"/>
              </w:rPr>
              <w:t>取样数量</w:t>
            </w:r>
          </w:p>
        </w:tc>
        <w:tc>
          <w:tcPr>
            <w:tcW w:w="862" w:type="pct"/>
            <w:tcBorders>
              <w:bottom w:val="single" w:color="auto" w:sz="12" w:space="0"/>
            </w:tcBorders>
            <w:vAlign w:val="center"/>
          </w:tcPr>
          <w:p>
            <w:pPr>
              <w:ind w:left="-50"/>
              <w:jc w:val="center"/>
              <w:rPr>
                <w:rFonts w:ascii="宋体" w:hAnsi="宋体"/>
                <w:sz w:val="18"/>
                <w:szCs w:val="18"/>
              </w:rPr>
            </w:pPr>
            <w:r>
              <w:rPr>
                <w:rFonts w:hint="eastAsia" w:ascii="宋体" w:hAnsi="宋体"/>
                <w:sz w:val="18"/>
                <w:szCs w:val="18"/>
              </w:rPr>
              <w:t>要求的章条号</w:t>
            </w:r>
          </w:p>
        </w:tc>
        <w:tc>
          <w:tcPr>
            <w:tcW w:w="1000" w:type="pct"/>
            <w:tcBorders>
              <w:bottom w:val="single" w:color="auto" w:sz="12" w:space="0"/>
            </w:tcBorders>
            <w:vAlign w:val="center"/>
          </w:tcPr>
          <w:p>
            <w:pPr>
              <w:ind w:left="-50"/>
              <w:jc w:val="center"/>
              <w:rPr>
                <w:rFonts w:ascii="宋体" w:hAnsi="宋体"/>
                <w:sz w:val="18"/>
                <w:szCs w:val="18"/>
              </w:rPr>
            </w:pPr>
            <w:r>
              <w:rPr>
                <w:rFonts w:hint="eastAsia" w:ascii="宋体" w:hAnsi="宋体"/>
                <w:sz w:val="18"/>
                <w:szCs w:val="18"/>
              </w:rPr>
              <w:t>检验的章条号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09" w:hRule="atLeast"/>
          <w:tblHeader/>
        </w:trPr>
        <w:tc>
          <w:tcPr>
            <w:tcW w:w="1000" w:type="pct"/>
            <w:tcBorders>
              <w:bottom w:val="single" w:color="auto" w:sz="4" w:space="0"/>
            </w:tcBorders>
            <w:vAlign w:val="center"/>
          </w:tcPr>
          <w:p>
            <w:pPr>
              <w:ind w:left="-50"/>
              <w:jc w:val="center"/>
              <w:rPr>
                <w:rFonts w:ascii="宋体" w:hAnsi="宋体"/>
                <w:sz w:val="18"/>
                <w:szCs w:val="18"/>
              </w:rPr>
            </w:pPr>
            <w:r>
              <w:rPr>
                <w:rFonts w:hint="eastAsia" w:ascii="宋体" w:hAnsi="宋体"/>
                <w:sz w:val="18"/>
                <w:szCs w:val="18"/>
              </w:rPr>
              <w:t>化学成份</w:t>
            </w:r>
          </w:p>
        </w:tc>
        <w:tc>
          <w:tcPr>
            <w:tcW w:w="1000" w:type="pct"/>
            <w:tcBorders>
              <w:bottom w:val="single" w:color="auto" w:sz="4" w:space="0"/>
            </w:tcBorders>
            <w:vAlign w:val="center"/>
          </w:tcPr>
          <w:p>
            <w:pPr>
              <w:ind w:left="-50"/>
              <w:jc w:val="center"/>
              <w:rPr>
                <w:rFonts w:ascii="宋体" w:hAnsi="宋体"/>
                <w:sz w:val="18"/>
                <w:szCs w:val="18"/>
              </w:rPr>
            </w:pPr>
            <w:r>
              <w:rPr>
                <w:rFonts w:hint="eastAsia" w:ascii="宋体" w:hAnsi="宋体"/>
                <w:sz w:val="18"/>
                <w:szCs w:val="18"/>
              </w:rPr>
              <w:t>随机</w:t>
            </w:r>
          </w:p>
        </w:tc>
        <w:tc>
          <w:tcPr>
            <w:tcW w:w="1138" w:type="pct"/>
            <w:tcBorders>
              <w:bottom w:val="single" w:color="auto" w:sz="4" w:space="0"/>
            </w:tcBorders>
            <w:vAlign w:val="center"/>
          </w:tcPr>
          <w:p>
            <w:pPr>
              <w:ind w:left="-50"/>
              <w:jc w:val="center"/>
              <w:rPr>
                <w:rFonts w:ascii="宋体" w:hAnsi="宋体"/>
                <w:sz w:val="18"/>
                <w:szCs w:val="18"/>
              </w:rPr>
            </w:pPr>
            <w:r>
              <w:rPr>
                <w:rFonts w:ascii="宋体" w:hAnsi="宋体"/>
                <w:sz w:val="18"/>
                <w:szCs w:val="18"/>
              </w:rPr>
              <w:t>1</w:t>
            </w:r>
            <w:r>
              <w:rPr>
                <w:rFonts w:hint="eastAsia" w:ascii="宋体" w:hAnsi="宋体"/>
                <w:sz w:val="18"/>
                <w:szCs w:val="18"/>
              </w:rPr>
              <w:t>个样品/锭</w:t>
            </w:r>
          </w:p>
        </w:tc>
        <w:tc>
          <w:tcPr>
            <w:tcW w:w="862" w:type="pct"/>
            <w:tcBorders>
              <w:bottom w:val="single" w:color="auto" w:sz="4" w:space="0"/>
            </w:tcBorders>
            <w:vAlign w:val="center"/>
          </w:tcPr>
          <w:p>
            <w:pPr>
              <w:ind w:left="-50"/>
              <w:jc w:val="center"/>
              <w:rPr>
                <w:rFonts w:ascii="宋体" w:hAnsi="宋体"/>
                <w:sz w:val="18"/>
                <w:szCs w:val="18"/>
              </w:rPr>
            </w:pPr>
            <w:r>
              <w:rPr>
                <w:rFonts w:hint="eastAsia" w:ascii="宋体" w:hAnsi="宋体"/>
                <w:sz w:val="18"/>
                <w:szCs w:val="18"/>
              </w:rPr>
              <w:t>4.3</w:t>
            </w:r>
          </w:p>
        </w:tc>
        <w:tc>
          <w:tcPr>
            <w:tcW w:w="1000" w:type="pct"/>
            <w:tcBorders>
              <w:bottom w:val="single" w:color="auto" w:sz="4" w:space="0"/>
            </w:tcBorders>
            <w:vAlign w:val="center"/>
          </w:tcPr>
          <w:p>
            <w:pPr>
              <w:ind w:left="-50"/>
              <w:jc w:val="center"/>
              <w:rPr>
                <w:rFonts w:ascii="宋体" w:hAnsi="宋体"/>
                <w:sz w:val="18"/>
                <w:szCs w:val="18"/>
              </w:rPr>
            </w:pPr>
            <w:r>
              <w:rPr>
                <w:rFonts w:hint="eastAsia" w:ascii="宋体" w:hAnsi="宋体"/>
                <w:sz w:val="18"/>
                <w:szCs w:val="18"/>
              </w:rPr>
              <w:t>5.1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309" w:hRule="atLeast"/>
          <w:tblHeader/>
        </w:trPr>
        <w:tc>
          <w:tcPr>
            <w:tcW w:w="1000"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几何尺寸</w:t>
            </w:r>
          </w:p>
        </w:tc>
        <w:tc>
          <w:tcPr>
            <w:tcW w:w="1000"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整体</w:t>
            </w:r>
          </w:p>
        </w:tc>
        <w:tc>
          <w:tcPr>
            <w:tcW w:w="1138"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逐件</w:t>
            </w:r>
          </w:p>
        </w:tc>
        <w:tc>
          <w:tcPr>
            <w:tcW w:w="862"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4.4</w:t>
            </w:r>
          </w:p>
        </w:tc>
        <w:tc>
          <w:tcPr>
            <w:tcW w:w="1000"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5.2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99" w:hRule="atLeast"/>
          <w:tblHeader/>
        </w:trPr>
        <w:tc>
          <w:tcPr>
            <w:tcW w:w="1000"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平均晶粒尺寸</w:t>
            </w:r>
          </w:p>
        </w:tc>
        <w:tc>
          <w:tcPr>
            <w:tcW w:w="1000"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见6.3.2</w:t>
            </w:r>
          </w:p>
        </w:tc>
        <w:tc>
          <w:tcPr>
            <w:tcW w:w="1138"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2个样品/1个坯料/批</w:t>
            </w:r>
          </w:p>
        </w:tc>
        <w:tc>
          <w:tcPr>
            <w:tcW w:w="862"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4.5</w:t>
            </w:r>
          </w:p>
        </w:tc>
        <w:tc>
          <w:tcPr>
            <w:tcW w:w="1000"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5.3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98" w:hRule="atLeast"/>
          <w:tblHeader/>
        </w:trPr>
        <w:tc>
          <w:tcPr>
            <w:tcW w:w="1000"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外观质量</w:t>
            </w:r>
          </w:p>
        </w:tc>
        <w:tc>
          <w:tcPr>
            <w:tcW w:w="1000"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整体</w:t>
            </w:r>
          </w:p>
        </w:tc>
        <w:tc>
          <w:tcPr>
            <w:tcW w:w="1138" w:type="pct"/>
            <w:tcBorders>
              <w:top w:val="single" w:color="auto" w:sz="4" w:space="0"/>
              <w:bottom w:val="single" w:color="auto" w:sz="4" w:space="0"/>
            </w:tcBorders>
            <w:vAlign w:val="center"/>
          </w:tcPr>
          <w:p>
            <w:pPr>
              <w:pStyle w:val="101"/>
              <w:jc w:val="center"/>
              <w:rPr>
                <w:sz w:val="18"/>
                <w:szCs w:val="18"/>
              </w:rPr>
            </w:pPr>
            <w:r>
              <w:rPr>
                <w:rFonts w:hint="eastAsia" w:ascii="宋体" w:hAnsi="宋体"/>
                <w:sz w:val="18"/>
                <w:szCs w:val="18"/>
              </w:rPr>
              <w:t>逐件</w:t>
            </w:r>
          </w:p>
        </w:tc>
        <w:tc>
          <w:tcPr>
            <w:tcW w:w="862"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4.6</w:t>
            </w:r>
          </w:p>
        </w:tc>
        <w:tc>
          <w:tcPr>
            <w:tcW w:w="1000" w:type="pct"/>
            <w:tcBorders>
              <w:top w:val="single" w:color="auto" w:sz="4" w:space="0"/>
              <w:bottom w:val="single" w:color="auto" w:sz="4" w:space="0"/>
            </w:tcBorders>
            <w:vAlign w:val="center"/>
          </w:tcPr>
          <w:p>
            <w:pPr>
              <w:ind w:left="-50"/>
              <w:jc w:val="center"/>
              <w:rPr>
                <w:rFonts w:ascii="宋体" w:hAnsi="宋体"/>
                <w:sz w:val="18"/>
                <w:szCs w:val="18"/>
              </w:rPr>
            </w:pPr>
            <w:r>
              <w:rPr>
                <w:rFonts w:hint="eastAsia" w:ascii="宋体" w:hAnsi="宋体"/>
                <w:sz w:val="18"/>
                <w:szCs w:val="18"/>
              </w:rPr>
              <w:t>5.4</w:t>
            </w:r>
          </w:p>
        </w:tc>
      </w:tr>
    </w:tbl>
    <w:p>
      <w:pPr>
        <w:pStyle w:val="57"/>
        <w:ind w:right="113" w:rightChars="54" w:firstLine="360"/>
        <w:rPr>
          <w:rFonts w:ascii="黑体" w:eastAsia="黑体"/>
          <w:sz w:val="18"/>
          <w:szCs w:val="18"/>
        </w:rPr>
      </w:pPr>
      <w:r>
        <w:rPr>
          <w:rFonts w:hint="eastAsia" w:ascii="黑体" w:eastAsia="黑体"/>
          <w:sz w:val="18"/>
          <w:szCs w:val="18"/>
        </w:rPr>
        <w:t>注：需方有特殊要求时，由供需双方协定。</w:t>
      </w:r>
    </w:p>
    <w:p>
      <w:pPr>
        <w:pStyle w:val="60"/>
        <w:tabs>
          <w:tab w:val="left" w:pos="420"/>
        </w:tabs>
        <w:spacing w:before="156" w:beforeLines="50" w:after="156" w:afterLines="50"/>
        <w:rPr>
          <w:rFonts w:ascii="宋体" w:hAnsi="宋体" w:eastAsia="宋体"/>
        </w:rPr>
      </w:pPr>
      <w:r>
        <w:rPr>
          <w:rFonts w:hint="eastAsia" w:ascii="宋体" w:hAnsi="宋体" w:eastAsia="宋体"/>
        </w:rPr>
        <w:t>平均晶粒度测定取样:平均晶粒尺寸的检测在镍阳极坯料半成品尺寸加工前进行，取样尺寸为</w:t>
      </w:r>
      <w:r>
        <w:rPr>
          <w:rFonts w:ascii="宋体" w:hAnsi="宋体" w:eastAsia="宋体"/>
        </w:rPr>
        <w:t>10</w:t>
      </w:r>
      <w:r>
        <w:rPr>
          <w:rFonts w:hint="eastAsia" w:ascii="宋体" w:hAnsi="宋体" w:eastAsia="宋体"/>
        </w:rPr>
        <w:t>mm×</w:t>
      </w:r>
      <w:r>
        <w:rPr>
          <w:rFonts w:ascii="宋体" w:hAnsi="宋体" w:eastAsia="宋体"/>
        </w:rPr>
        <w:t>10</w:t>
      </w:r>
      <w:r>
        <w:rPr>
          <w:rFonts w:hint="eastAsia" w:ascii="宋体" w:hAnsi="宋体" w:eastAsia="宋体"/>
        </w:rPr>
        <w:t>mm。取样示意图如图3所示。</w:t>
      </w:r>
    </w:p>
    <w:p>
      <w:pPr>
        <w:pStyle w:val="57"/>
        <w:ind w:firstLine="420"/>
      </w:pPr>
    </w:p>
    <w:p>
      <w:pPr>
        <w:pStyle w:val="57"/>
        <w:ind w:firstLine="420"/>
      </w:pPr>
      <w:r>
        <mc:AlternateContent>
          <mc:Choice Requires="wpg">
            <w:drawing>
              <wp:anchor distT="0" distB="0" distL="114300" distR="114300" simplePos="0" relativeHeight="251661312" behindDoc="0" locked="0" layoutInCell="1" allowOverlap="1">
                <wp:simplePos x="0" y="0"/>
                <wp:positionH relativeFrom="column">
                  <wp:posOffset>1719580</wp:posOffset>
                </wp:positionH>
                <wp:positionV relativeFrom="paragraph">
                  <wp:posOffset>102235</wp:posOffset>
                </wp:positionV>
                <wp:extent cx="1849120" cy="1440180"/>
                <wp:effectExtent l="4445" t="4445" r="0" b="18415"/>
                <wp:wrapNone/>
                <wp:docPr id="9" name="组合 69"/>
                <wp:cNvGraphicFramePr/>
                <a:graphic xmlns:a="http://schemas.openxmlformats.org/drawingml/2006/main">
                  <a:graphicData uri="http://schemas.microsoft.com/office/word/2010/wordprocessingGroup">
                    <wpg:wgp>
                      <wpg:cNvGrpSpPr/>
                      <wpg:grpSpPr>
                        <a:xfrm>
                          <a:off x="0" y="0"/>
                          <a:ext cx="1849120" cy="1440180"/>
                          <a:chOff x="2441" y="7261"/>
                          <a:chExt cx="2912" cy="2268"/>
                        </a:xfrm>
                      </wpg:grpSpPr>
                      <wpg:grpSp>
                        <wpg:cNvPr id="6" name="组合 59"/>
                        <wpg:cNvGrpSpPr/>
                        <wpg:grpSpPr>
                          <a:xfrm>
                            <a:off x="2441" y="7261"/>
                            <a:ext cx="2912" cy="2268"/>
                            <a:chOff x="2998" y="7048"/>
                            <a:chExt cx="2912" cy="2268"/>
                          </a:xfrm>
                        </wpg:grpSpPr>
                        <wps:wsp>
                          <wps:cNvPr id="2" name="文本框 53"/>
                          <wps:cNvSpPr txBox="1"/>
                          <wps:spPr>
                            <a:xfrm>
                              <a:off x="4948" y="7048"/>
                              <a:ext cx="662" cy="330"/>
                            </a:xfrm>
                            <a:prstGeom prst="rect">
                              <a:avLst/>
                            </a:prstGeom>
                            <a:noFill/>
                            <a:ln>
                              <a:noFill/>
                            </a:ln>
                          </wps:spPr>
                          <wps:txbx>
                            <w:txbxContent>
                              <w:p>
                                <w:pPr>
                                  <w:rPr>
                                    <w:sz w:val="18"/>
                                    <w:szCs w:val="18"/>
                                  </w:rPr>
                                </w:pPr>
                                <w:r>
                                  <w:rPr>
                                    <w:rFonts w:hint="eastAsia"/>
                                    <w:sz w:val="18"/>
                                    <w:szCs w:val="18"/>
                                  </w:rPr>
                                  <w:t>样品2</w:t>
                                </w:r>
                              </w:p>
                            </w:txbxContent>
                          </wps:txbx>
                          <wps:bodyPr lIns="0" tIns="0" rIns="0" bIns="0" upright="1"/>
                        </wps:wsp>
                        <wpg:grpSp>
                          <wpg:cNvPr id="5" name="组合 58"/>
                          <wpg:cNvGrpSpPr/>
                          <wpg:grpSpPr>
                            <a:xfrm>
                              <a:off x="2998" y="7048"/>
                              <a:ext cx="2912" cy="2268"/>
                              <a:chOff x="2998" y="7048"/>
                              <a:chExt cx="2912" cy="2268"/>
                            </a:xfrm>
                          </wpg:grpSpPr>
                          <wps:wsp>
                            <wps:cNvPr id="3" name="文本框 52"/>
                            <wps:cNvSpPr txBox="1"/>
                            <wps:spPr>
                              <a:xfrm>
                                <a:off x="5353" y="7984"/>
                                <a:ext cx="557" cy="320"/>
                              </a:xfrm>
                              <a:prstGeom prst="rect">
                                <a:avLst/>
                              </a:prstGeom>
                              <a:noFill/>
                              <a:ln>
                                <a:noFill/>
                              </a:ln>
                            </wps:spPr>
                            <wps:txbx>
                              <w:txbxContent>
                                <w:p>
                                  <w:pPr>
                                    <w:rPr>
                                      <w:sz w:val="18"/>
                                      <w:szCs w:val="18"/>
                                    </w:rPr>
                                  </w:pPr>
                                  <w:r>
                                    <w:rPr>
                                      <w:rFonts w:hint="eastAsia"/>
                                      <w:sz w:val="18"/>
                                      <w:szCs w:val="18"/>
                                    </w:rPr>
                                    <w:t>样品1</w:t>
                                  </w:r>
                                </w:p>
                              </w:txbxContent>
                            </wps:txbx>
                            <wps:bodyPr lIns="0" tIns="0" rIns="0" bIns="0" upright="1"/>
                          </wps:wsp>
                          <wps:wsp>
                            <wps:cNvPr id="4" name="椭圆 54"/>
                            <wps:cNvSpPr/>
                            <wps:spPr>
                              <a:xfrm>
                                <a:off x="2998" y="7048"/>
                                <a:ext cx="2268" cy="2268"/>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grpSp>
                      <wps:wsp>
                        <wps:cNvPr id="7" name="自选图形 55"/>
                        <wps:cNvSpPr/>
                        <wps:spPr>
                          <a:xfrm>
                            <a:off x="3388" y="7291"/>
                            <a:ext cx="369" cy="198"/>
                          </a:xfrm>
                          <a:prstGeom prst="can">
                            <a:avLst>
                              <a:gd name="adj" fmla="val 0"/>
                            </a:avLst>
                          </a:prstGeom>
                          <a:noFill/>
                          <a:ln w="9525" cap="flat" cmpd="sng">
                            <a:solidFill>
                              <a:srgbClr val="000000"/>
                            </a:solidFill>
                            <a:prstDash val="solid"/>
                            <a:headEnd type="none" w="med" len="med"/>
                            <a:tailEnd type="none" w="med" len="med"/>
                          </a:ln>
                        </wps:spPr>
                        <wps:bodyPr lIns="74295" tIns="8890" rIns="74295" bIns="8890" upright="1"/>
                      </wps:wsp>
                      <wps:wsp>
                        <wps:cNvPr id="8" name="自选图形 56"/>
                        <wps:cNvSpPr/>
                        <wps:spPr>
                          <a:xfrm>
                            <a:off x="4479" y="8212"/>
                            <a:ext cx="200" cy="320"/>
                          </a:xfrm>
                          <a:prstGeom prst="can">
                            <a:avLst>
                              <a:gd name="adj" fmla="val 0"/>
                            </a:avLst>
                          </a:prstGeom>
                          <a:noFill/>
                          <a:ln w="9525" cap="flat" cmpd="sng">
                            <a:solidFill>
                              <a:srgbClr val="000000"/>
                            </a:solidFill>
                            <a:prstDash val="solid"/>
                            <a:headEnd type="none" w="med" len="med"/>
                            <a:tailEnd type="none" w="med" len="med"/>
                          </a:ln>
                        </wps:spPr>
                        <wps:bodyPr lIns="74295" tIns="8890" rIns="74295" bIns="8890" upright="1"/>
                      </wps:wsp>
                    </wpg:wgp>
                  </a:graphicData>
                </a:graphic>
              </wp:anchor>
            </w:drawing>
          </mc:Choice>
          <mc:Fallback>
            <w:pict>
              <v:group id="组合 69" o:spid="_x0000_s1026" o:spt="203" style="position:absolute;left:0pt;margin-left:135.4pt;margin-top:8.05pt;height:113.4pt;width:145.6pt;z-index:251661312;mso-width-relative:page;mso-height-relative:page;" coordorigin="2441,7261" coordsize="2912,2268" o:gfxdata="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">
                <o:lock v:ext="edit" aspectratio="f"/>
                <v:group id="组合 59" o:spid="_x0000_s1026" o:spt="203" style="position:absolute;left:2441;top:7261;height:2268;width:2912;" coordorigin="2998,7048" coordsize="2912,226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53" o:spid="_x0000_s1026" o:spt="202" type="#_x0000_t202" style="position:absolute;left:4948;top:7048;height:330;width:662;"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8"/>
                              <w:szCs w:val="18"/>
                            </w:rPr>
                          </w:pPr>
                          <w:r>
                            <w:rPr>
                              <w:rFonts w:hint="eastAsia"/>
                              <w:sz w:val="18"/>
                              <w:szCs w:val="18"/>
                            </w:rPr>
                            <w:t>样品2</w:t>
                          </w:r>
                        </w:p>
                      </w:txbxContent>
                    </v:textbox>
                  </v:shape>
                  <v:group id="组合 58" o:spid="_x0000_s1026" o:spt="203" style="position:absolute;left:2998;top:7048;height:2268;width:2912;" coordorigin="2998,7048" coordsize="2912,226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文本框 52" o:spid="_x0000_s1026" o:spt="202" type="#_x0000_t202" style="position:absolute;left:5353;top:7984;height:320;width:557;"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8"/>
                                <w:szCs w:val="18"/>
                              </w:rPr>
                            </w:pPr>
                            <w:r>
                              <w:rPr>
                                <w:rFonts w:hint="eastAsia"/>
                                <w:sz w:val="18"/>
                                <w:szCs w:val="18"/>
                              </w:rPr>
                              <w:t>样品1</w:t>
                            </w:r>
                          </w:p>
                        </w:txbxContent>
                      </v:textbox>
                    </v:shape>
                    <v:shape id="椭圆 54" o:spid="_x0000_s1026" o:spt="3" type="#_x0000_t3" style="position:absolute;left:2998;top:7048;height:2268;width:2268;" fillcolor="#FFFFFF" filled="t" stroked="t" coordsize="21600,21600" o:gfxdata="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T7Y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v:group>
                <v:shape id="自选图形 55" o:spid="_x0000_s1026" o:spt="22" type="#_x0000_t22" style="position:absolute;left:3388;top:7291;height:198;width:369;" filled="f" stroked="t" coordsize="21600,21600" o:gfxdata="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tLzwvQAA&#10;ANoAAAAPAAAAAAAAAAEAIAAAACIAAABkcnMvZG93bnJldi54bWxQSwECFAAUAAAACACHTuJAMy8F&#10;njsAAAA5AAAAEAAAAAAAAAABACAAAAAMAQAAZHJzL3NoYXBleG1sLnhtbFBLBQYAAAAABgAGAFsB&#10;AAC2AwAAAAA=&#10;" adj="0">
                  <v:fill on="f" focussize="0,0"/>
                  <v:stroke color="#000000" joinstyle="round"/>
                  <v:imagedata o:title=""/>
                  <o:lock v:ext="edit" aspectratio="f"/>
                  <v:textbox inset="2.06375mm,0.7pt,2.06375mm,0.7pt"/>
                </v:shape>
                <v:shape id="自选图形 56" o:spid="_x0000_s1026" o:spt="22" type="#_x0000_t22" style="position:absolute;left:4479;top:8212;height:320;width:200;" filled="f" stroked="t" coordsize="21600,21600" o:gfxdata="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KyiCugAAANoA&#10;AAAPAAAAAAAAAAEAIAAAACIAAABkcnMvZG93bnJldi54bWxQSwECFAAUAAAACACHTuJAMy8FnjsA&#10;AAA5AAAAEAAAAAAAAAABACAAAAAJAQAAZHJzL3NoYXBleG1sLnhtbFBLBQYAAAAABgAGAFsBAACz&#10;AwAAAAA=&#10;" adj="0">
                  <v:fill on="f" focussize="0,0"/>
                  <v:stroke color="#000000" joinstyle="round"/>
                  <v:imagedata o:title=""/>
                  <o:lock v:ext="edit" aspectratio="f"/>
                  <v:textbox inset="2.06375mm,0.7pt,2.06375mm,0.7pt"/>
                </v:shape>
              </v:group>
            </w:pict>
          </mc:Fallback>
        </mc:AlternateContent>
      </w: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rPr>
          <w:sz w:val="18"/>
          <w:szCs w:val="18"/>
        </w:rPr>
      </w:pPr>
      <w:r>
        <w:rPr>
          <w:rFonts w:hint="eastAsia"/>
        </w:rPr>
        <w:t xml:space="preserve">        </w:t>
      </w:r>
      <w:r>
        <w:rPr>
          <w:rFonts w:hint="eastAsia"/>
          <w:sz w:val="18"/>
          <w:szCs w:val="18"/>
        </w:rPr>
        <w:t xml:space="preserve">                                          </w:t>
      </w:r>
    </w:p>
    <w:p>
      <w:pPr>
        <w:pStyle w:val="57"/>
        <w:ind w:firstLine="0" w:firstLineChars="0"/>
        <w:jc w:val="center"/>
        <w:rPr>
          <w:sz w:val="18"/>
          <w:szCs w:val="18"/>
        </w:rPr>
      </w:pPr>
      <w:r>
        <w:rPr>
          <w:rFonts w:hint="eastAsia"/>
          <w:sz w:val="18"/>
          <w:szCs w:val="18"/>
        </w:rPr>
        <w:t xml:space="preserve">图3 镍阳极分析取样示意图 </w:t>
      </w:r>
    </w:p>
    <w:p>
      <w:pPr>
        <w:pStyle w:val="59"/>
        <w:tabs>
          <w:tab w:val="left" w:pos="420"/>
        </w:tabs>
        <w:spacing w:before="156" w:beforeLines="50" w:after="156" w:afterLines="50"/>
      </w:pPr>
      <w:r>
        <w:rPr>
          <w:rFonts w:hint="eastAsia"/>
        </w:rPr>
        <w:t>检验结果的判定</w:t>
      </w:r>
    </w:p>
    <w:p>
      <w:pPr>
        <w:pStyle w:val="60"/>
        <w:tabs>
          <w:tab w:val="left" w:pos="420"/>
        </w:tabs>
        <w:rPr>
          <w:rFonts w:ascii="宋体" w:hAnsi="宋体" w:eastAsia="宋体"/>
        </w:rPr>
      </w:pPr>
      <w:r>
        <w:rPr>
          <w:rFonts w:hint="eastAsia" w:ascii="宋体" w:hAnsi="宋体" w:eastAsia="宋体"/>
        </w:rPr>
        <w:t>化学成份检测不合格时，则判该批生产的产品不合格。</w:t>
      </w:r>
    </w:p>
    <w:p>
      <w:pPr>
        <w:pStyle w:val="60"/>
        <w:tabs>
          <w:tab w:val="left" w:pos="420"/>
        </w:tabs>
        <w:rPr>
          <w:rFonts w:ascii="宋体" w:eastAsia="宋体"/>
        </w:rPr>
      </w:pPr>
      <w:r>
        <w:rPr>
          <w:rFonts w:hint="eastAsia" w:ascii="宋体" w:hAnsi="宋体" w:eastAsia="宋体"/>
        </w:rPr>
        <w:t>尺寸检测有一项不合格时，判该件</w:t>
      </w:r>
      <w:r>
        <w:rPr>
          <w:rFonts w:hint="eastAsia" w:ascii="宋体" w:eastAsia="宋体"/>
        </w:rPr>
        <w:t>不合格。</w:t>
      </w:r>
    </w:p>
    <w:p>
      <w:pPr>
        <w:pStyle w:val="60"/>
        <w:tabs>
          <w:tab w:val="left" w:pos="420"/>
        </w:tabs>
        <w:rPr>
          <w:rFonts w:ascii="宋体" w:eastAsia="宋体"/>
        </w:rPr>
      </w:pPr>
      <w:r>
        <w:rPr>
          <w:rFonts w:hint="eastAsia" w:ascii="宋体" w:eastAsia="宋体"/>
        </w:rPr>
        <w:t>平均晶粒尺寸抽检不合格时，判该件不合格；剩余产品取双倍试样进行重复试验，重复试验若有一项不合格时，则判整批产品不合格。</w:t>
      </w:r>
    </w:p>
    <w:p>
      <w:pPr>
        <w:pStyle w:val="60"/>
        <w:tabs>
          <w:tab w:val="left" w:pos="420"/>
        </w:tabs>
        <w:rPr>
          <w:rFonts w:ascii="宋体" w:eastAsia="宋体"/>
        </w:rPr>
      </w:pPr>
      <w:r>
        <w:rPr>
          <w:rFonts w:hint="eastAsia" w:ascii="宋体" w:eastAsia="宋体"/>
        </w:rPr>
        <w:t>外观质量不合格时，判该件产品不合格。</w:t>
      </w:r>
    </w:p>
    <w:p>
      <w:pPr>
        <w:pStyle w:val="60"/>
        <w:tabs>
          <w:tab w:val="left" w:pos="420"/>
        </w:tabs>
        <w:rPr>
          <w:rFonts w:ascii="宋体" w:hAnsi="宋体" w:eastAsia="宋体"/>
        </w:rPr>
      </w:pPr>
      <w:r>
        <w:rPr>
          <w:rFonts w:hint="eastAsia" w:ascii="宋体" w:hAnsi="宋体" w:eastAsia="宋体"/>
        </w:rPr>
        <w:t>包装质量不合格时，判该件产品不合格，可进行再次包装，合格后重新组批交货。</w:t>
      </w:r>
    </w:p>
    <w:p>
      <w:pPr>
        <w:pStyle w:val="58"/>
        <w:spacing w:before="312" w:beforeLines="100" w:after="312" w:afterLines="100"/>
      </w:pPr>
      <w:r>
        <w:rPr>
          <w:rFonts w:hint="eastAsia"/>
        </w:rPr>
        <w:t>标志、包装、运输、贮存和质量证明书</w:t>
      </w:r>
    </w:p>
    <w:p>
      <w:pPr>
        <w:pStyle w:val="59"/>
        <w:tabs>
          <w:tab w:val="left" w:pos="420"/>
        </w:tabs>
        <w:spacing w:before="156" w:beforeLines="50" w:after="156" w:afterLines="50"/>
      </w:pPr>
      <w:r>
        <w:rPr>
          <w:rFonts w:hint="eastAsia"/>
        </w:rPr>
        <w:t>标志</w:t>
      </w:r>
    </w:p>
    <w:p>
      <w:pPr>
        <w:pStyle w:val="60"/>
        <w:tabs>
          <w:tab w:val="left" w:pos="420"/>
        </w:tabs>
        <w:rPr>
          <w:rFonts w:ascii="宋体" w:hAnsi="宋体" w:eastAsia="宋体"/>
        </w:rPr>
      </w:pPr>
      <w:r>
        <w:rPr>
          <w:rFonts w:hint="eastAsia" w:ascii="宋体" w:hAnsi="宋体" w:eastAsia="宋体"/>
        </w:rPr>
        <w:t>每块检验合格的镍阳极上应进行如下标记：</w:t>
      </w:r>
    </w:p>
    <w:p>
      <w:pPr>
        <w:numPr>
          <w:ilvl w:val="1"/>
          <w:numId w:val="11"/>
        </w:numPr>
      </w:pPr>
      <w:r>
        <w:rPr>
          <w:rFonts w:hint="eastAsia"/>
        </w:rPr>
        <w:t>供应商名称；</w:t>
      </w:r>
    </w:p>
    <w:p>
      <w:pPr>
        <w:numPr>
          <w:ilvl w:val="1"/>
          <w:numId w:val="11"/>
        </w:numPr>
      </w:pPr>
      <w:r>
        <w:rPr>
          <w:rFonts w:hint="eastAsia"/>
        </w:rPr>
        <w:t xml:space="preserve">产品名称和牌号； </w:t>
      </w:r>
    </w:p>
    <w:p>
      <w:pPr>
        <w:numPr>
          <w:ilvl w:val="1"/>
          <w:numId w:val="11"/>
        </w:numPr>
      </w:pPr>
      <w:r>
        <w:rPr>
          <w:rFonts w:hint="eastAsia"/>
        </w:rPr>
        <w:t>产品类型、规格；</w:t>
      </w:r>
    </w:p>
    <w:p>
      <w:pPr>
        <w:numPr>
          <w:ilvl w:val="1"/>
          <w:numId w:val="11"/>
        </w:numPr>
        <w:jc w:val="left"/>
      </w:pPr>
      <w:r>
        <w:rPr>
          <w:rFonts w:hint="eastAsia"/>
        </w:rPr>
        <w:t>批号。</w:t>
      </w:r>
    </w:p>
    <w:p>
      <w:pPr>
        <w:pStyle w:val="60"/>
        <w:tabs>
          <w:tab w:val="left" w:pos="420"/>
        </w:tabs>
        <w:rPr>
          <w:rFonts w:ascii="宋体" w:hAnsi="宋体" w:eastAsia="宋体"/>
        </w:rPr>
      </w:pPr>
      <w:r>
        <w:rPr>
          <w:rFonts w:hint="eastAsia" w:ascii="宋体" w:hAnsi="宋体" w:eastAsia="宋体"/>
        </w:rPr>
        <w:t>产品外包装上应贴标签，内容包括：</w:t>
      </w:r>
    </w:p>
    <w:p>
      <w:pPr>
        <w:numPr>
          <w:ilvl w:val="1"/>
          <w:numId w:val="12"/>
        </w:numPr>
      </w:pPr>
      <w:r>
        <w:rPr>
          <w:rFonts w:hint="eastAsia"/>
        </w:rPr>
        <w:t>供应商名称；</w:t>
      </w:r>
    </w:p>
    <w:p>
      <w:pPr>
        <w:numPr>
          <w:ilvl w:val="1"/>
          <w:numId w:val="12"/>
        </w:numPr>
      </w:pPr>
      <w:r>
        <w:rPr>
          <w:rFonts w:hint="eastAsia"/>
        </w:rPr>
        <w:t>产品名称和牌号；</w:t>
      </w:r>
    </w:p>
    <w:p>
      <w:pPr>
        <w:numPr>
          <w:ilvl w:val="1"/>
          <w:numId w:val="12"/>
        </w:numPr>
      </w:pPr>
      <w:r>
        <w:rPr>
          <w:rFonts w:hint="eastAsia"/>
        </w:rPr>
        <w:t>批号；</w:t>
      </w:r>
    </w:p>
    <w:p>
      <w:pPr>
        <w:numPr>
          <w:ilvl w:val="1"/>
          <w:numId w:val="12"/>
        </w:numPr>
      </w:pPr>
      <w:r>
        <w:rPr>
          <w:rFonts w:hint="eastAsia"/>
        </w:rPr>
        <w:t>生产日期；</w:t>
      </w:r>
    </w:p>
    <w:p>
      <w:pPr>
        <w:numPr>
          <w:ilvl w:val="1"/>
          <w:numId w:val="12"/>
        </w:numPr>
      </w:pPr>
      <w:r>
        <w:rPr>
          <w:rFonts w:hint="eastAsia"/>
        </w:rPr>
        <w:t>生产企业地址</w:t>
      </w:r>
    </w:p>
    <w:p>
      <w:pPr>
        <w:numPr>
          <w:ilvl w:val="1"/>
          <w:numId w:val="12"/>
        </w:numPr>
      </w:pPr>
      <w:r>
        <w:rPr>
          <w:rFonts w:hint="eastAsia"/>
        </w:rPr>
        <w:t xml:space="preserve">产品标准 </w:t>
      </w:r>
    </w:p>
    <w:p>
      <w:pPr>
        <w:pStyle w:val="59"/>
        <w:tabs>
          <w:tab w:val="left" w:pos="420"/>
        </w:tabs>
        <w:spacing w:before="156" w:beforeLines="50" w:after="156" w:afterLines="50"/>
      </w:pPr>
      <w:r>
        <w:rPr>
          <w:rFonts w:hint="eastAsia"/>
        </w:rPr>
        <w:t xml:space="preserve">包装 </w:t>
      </w:r>
    </w:p>
    <w:p>
      <w:pPr>
        <w:pStyle w:val="60"/>
        <w:tabs>
          <w:tab w:val="left" w:pos="420"/>
        </w:tabs>
        <w:spacing w:before="156" w:beforeLines="50" w:after="156" w:afterLines="50"/>
        <w:rPr>
          <w:rFonts w:ascii="宋体" w:hAnsi="宋体" w:eastAsia="宋体"/>
        </w:rPr>
      </w:pPr>
      <w:r>
        <w:rPr>
          <w:rFonts w:hint="eastAsia" w:ascii="宋体" w:hAnsi="宋体" w:eastAsia="宋体"/>
        </w:rPr>
        <w:t>产品包装应至少在万级洁净间内进行，每块镍阳极独立真空包装。</w:t>
      </w:r>
    </w:p>
    <w:p>
      <w:pPr>
        <w:pStyle w:val="60"/>
        <w:tabs>
          <w:tab w:val="left" w:pos="420"/>
        </w:tabs>
        <w:spacing w:before="156" w:beforeLines="50" w:after="156" w:afterLines="50"/>
        <w:rPr>
          <w:rFonts w:ascii="宋体" w:hAnsi="宋体" w:eastAsia="宋体"/>
        </w:rPr>
      </w:pPr>
      <w:r>
        <w:rPr>
          <w:rFonts w:hint="eastAsia" w:ascii="宋体" w:hAnsi="宋体" w:eastAsia="宋体"/>
        </w:rPr>
        <w:t>外包装采用纸盒或中空盒包装。包装盒内应有软质填充。将质量证明书用塑封袋装好后放于包装盒内。</w:t>
      </w:r>
    </w:p>
    <w:p>
      <w:pPr>
        <w:pStyle w:val="59"/>
        <w:tabs>
          <w:tab w:val="left" w:pos="420"/>
        </w:tabs>
        <w:spacing w:before="156" w:beforeLines="50" w:after="156" w:afterLines="50"/>
      </w:pPr>
      <w:r>
        <w:rPr>
          <w:rFonts w:hint="eastAsia"/>
        </w:rPr>
        <w:t xml:space="preserve">运输和贮存 </w:t>
      </w:r>
    </w:p>
    <w:p>
      <w:pPr>
        <w:pStyle w:val="60"/>
        <w:numPr>
          <w:ilvl w:val="0"/>
          <w:numId w:val="0"/>
        </w:numPr>
        <w:tabs>
          <w:tab w:val="left" w:pos="420"/>
        </w:tabs>
        <w:spacing w:before="156" w:beforeLines="50" w:after="156" w:afterLines="50"/>
      </w:pPr>
      <w:r>
        <w:rPr>
          <w:rFonts w:hint="eastAsia" w:ascii="宋体" w:hAnsi="宋体" w:eastAsia="宋体"/>
        </w:rPr>
        <w:tab/>
      </w:r>
      <w:r>
        <w:rPr>
          <w:rFonts w:hint="eastAsia" w:ascii="宋体" w:hAnsi="宋体" w:eastAsia="宋体"/>
        </w:rPr>
        <w:t>运输和贮运过程中，应注意防震、防潮、防压、防止二次污染。</w:t>
      </w:r>
    </w:p>
    <w:p>
      <w:pPr>
        <w:pStyle w:val="59"/>
        <w:tabs>
          <w:tab w:val="left" w:pos="420"/>
        </w:tabs>
        <w:spacing w:before="156" w:beforeLines="50" w:after="156" w:afterLines="50"/>
      </w:pPr>
      <w:r>
        <w:rPr>
          <w:rFonts w:hint="eastAsia"/>
        </w:rPr>
        <w:t>质量证明书</w:t>
      </w:r>
    </w:p>
    <w:p>
      <w:pPr>
        <w:pStyle w:val="112"/>
        <w:ind w:left="-105" w:right="-105" w:firstLine="428" w:firstLineChars="200"/>
        <w:rPr>
          <w:rFonts w:ascii="宋体" w:hAnsi="宋体" w:eastAsia="宋体"/>
        </w:rPr>
      </w:pPr>
      <w:r>
        <w:rPr>
          <w:rFonts w:hint="eastAsia" w:ascii="宋体" w:hAnsi="宋体" w:eastAsia="宋体"/>
        </w:rPr>
        <w:t>每批产品应附有质量证明书，其上注明：</w:t>
      </w:r>
    </w:p>
    <w:p>
      <w:pPr>
        <w:numPr>
          <w:ilvl w:val="0"/>
          <w:numId w:val="13"/>
        </w:numPr>
      </w:pPr>
      <w:r>
        <w:rPr>
          <w:rFonts w:hint="eastAsia"/>
        </w:rPr>
        <w:t>供方名称；</w:t>
      </w:r>
    </w:p>
    <w:p>
      <w:pPr>
        <w:numPr>
          <w:ilvl w:val="0"/>
          <w:numId w:val="13"/>
        </w:numPr>
      </w:pPr>
      <w:r>
        <w:rPr>
          <w:rFonts w:hint="eastAsia"/>
        </w:rPr>
        <w:t>产品名称；</w:t>
      </w:r>
    </w:p>
    <w:p>
      <w:pPr>
        <w:numPr>
          <w:ilvl w:val="0"/>
          <w:numId w:val="13"/>
        </w:numPr>
      </w:pPr>
      <w:r>
        <w:rPr>
          <w:rFonts w:hint="eastAsia"/>
        </w:rPr>
        <w:t>牌号；</w:t>
      </w:r>
    </w:p>
    <w:p>
      <w:pPr>
        <w:numPr>
          <w:ilvl w:val="0"/>
          <w:numId w:val="13"/>
        </w:numPr>
      </w:pPr>
      <w:r>
        <w:rPr>
          <w:rFonts w:hint="eastAsia"/>
        </w:rPr>
        <w:t>规格；</w:t>
      </w:r>
    </w:p>
    <w:p>
      <w:pPr>
        <w:numPr>
          <w:ilvl w:val="0"/>
          <w:numId w:val="13"/>
        </w:numPr>
      </w:pPr>
      <w:r>
        <w:rPr>
          <w:rFonts w:hint="eastAsia"/>
        </w:rPr>
        <w:t>数量；</w:t>
      </w:r>
    </w:p>
    <w:p>
      <w:pPr>
        <w:numPr>
          <w:ilvl w:val="0"/>
          <w:numId w:val="13"/>
        </w:numPr>
      </w:pPr>
      <w:r>
        <w:rPr>
          <w:rFonts w:hint="eastAsia"/>
        </w:rPr>
        <w:t>净重；</w:t>
      </w:r>
    </w:p>
    <w:p>
      <w:pPr>
        <w:numPr>
          <w:ilvl w:val="0"/>
          <w:numId w:val="13"/>
        </w:numPr>
        <w:jc w:val="left"/>
      </w:pPr>
      <w:r>
        <w:rPr>
          <w:rFonts w:hint="eastAsia"/>
        </w:rPr>
        <w:t>批号；</w:t>
      </w:r>
    </w:p>
    <w:p>
      <w:pPr>
        <w:numPr>
          <w:ilvl w:val="0"/>
          <w:numId w:val="13"/>
        </w:numPr>
        <w:jc w:val="left"/>
      </w:pPr>
      <w:r>
        <w:rPr>
          <w:rFonts w:hint="eastAsia"/>
        </w:rPr>
        <w:t>检测报告；</w:t>
      </w:r>
    </w:p>
    <w:p>
      <w:pPr>
        <w:numPr>
          <w:ilvl w:val="0"/>
          <w:numId w:val="13"/>
        </w:numPr>
      </w:pPr>
      <w:r>
        <w:rPr>
          <w:rFonts w:hint="eastAsia" w:ascii="宋体" w:hAnsi="宋体"/>
        </w:rPr>
        <w:t>生产日期（或包装日期）；</w:t>
      </w:r>
    </w:p>
    <w:p>
      <w:pPr>
        <w:numPr>
          <w:ilvl w:val="0"/>
          <w:numId w:val="13"/>
        </w:numPr>
      </w:pPr>
      <w:r>
        <w:rPr>
          <w:rFonts w:hint="eastAsia"/>
        </w:rPr>
        <w:t>本标准编号。</w:t>
      </w:r>
    </w:p>
    <w:p>
      <w:pPr>
        <w:pStyle w:val="58"/>
        <w:spacing w:before="312" w:beforeLines="100" w:after="312" w:afterLines="100"/>
      </w:pPr>
      <w:r>
        <w:rPr>
          <w:rFonts w:hint="eastAsia"/>
        </w:rPr>
        <w:t>订货合同内容</w:t>
      </w:r>
    </w:p>
    <w:p>
      <w:pPr>
        <w:ind w:firstLine="420" w:firstLineChars="200"/>
        <w:rPr>
          <w:rFonts w:ascii="宋体" w:hAnsi="宋体"/>
        </w:rPr>
      </w:pPr>
      <w:r>
        <w:rPr>
          <w:rFonts w:hint="eastAsia" w:ascii="宋体" w:hAnsi="宋体"/>
        </w:rPr>
        <w:t>订购本标准所列产品的订货单（或合同）内应包括下列内容：：</w:t>
      </w:r>
    </w:p>
    <w:p>
      <w:pPr>
        <w:ind w:firstLine="420" w:firstLineChars="200"/>
        <w:rPr>
          <w:rFonts w:ascii="宋体" w:hAnsi="宋体"/>
        </w:rPr>
      </w:pPr>
      <w:r>
        <w:rPr>
          <w:rFonts w:hint="eastAsia" w:ascii="宋体" w:hAnsi="宋体"/>
        </w:rPr>
        <w:t>a） 产品名称；</w:t>
      </w:r>
    </w:p>
    <w:p>
      <w:pPr>
        <w:ind w:firstLine="420" w:firstLineChars="200"/>
        <w:rPr>
          <w:rFonts w:ascii="宋体" w:hAnsi="宋体"/>
        </w:rPr>
      </w:pPr>
      <w:r>
        <w:rPr>
          <w:rFonts w:hint="eastAsia" w:ascii="宋体" w:hAnsi="宋体"/>
        </w:rPr>
        <w:t>b） 牌号；</w:t>
      </w:r>
    </w:p>
    <w:p>
      <w:pPr>
        <w:ind w:left="420"/>
      </w:pPr>
      <w:r>
        <w:rPr>
          <w:rFonts w:hint="eastAsia" w:ascii="宋体" w:hAnsi="宋体"/>
        </w:rPr>
        <w:t xml:space="preserve">c） </w:t>
      </w:r>
      <w:r>
        <w:rPr>
          <w:rFonts w:hint="eastAsia"/>
        </w:rPr>
        <w:t>规格；</w:t>
      </w:r>
    </w:p>
    <w:p>
      <w:pPr>
        <w:ind w:firstLine="420" w:firstLineChars="200"/>
        <w:rPr>
          <w:rFonts w:ascii="宋体" w:hAnsi="宋体"/>
        </w:rPr>
      </w:pPr>
      <w:r>
        <w:rPr>
          <w:rFonts w:hint="eastAsia" w:ascii="宋体" w:hAnsi="宋体"/>
        </w:rPr>
        <w:t>d） 数量；</w:t>
      </w:r>
    </w:p>
    <w:p>
      <w:pPr>
        <w:ind w:firstLine="420" w:firstLineChars="200"/>
      </w:pPr>
      <w:r>
        <w:rPr>
          <w:rFonts w:hint="eastAsia"/>
        </w:rPr>
        <w:t>e）</w:t>
      </w:r>
      <w:r>
        <w:t xml:space="preserve"> </w:t>
      </w:r>
      <w:r>
        <w:rPr>
          <w:rFonts w:hint="eastAsia"/>
        </w:rPr>
        <w:t>本标准编号；</w:t>
      </w:r>
    </w:p>
    <w:p>
      <w:pPr>
        <w:ind w:firstLine="420" w:firstLineChars="200"/>
      </w:pPr>
      <w:r>
        <mc:AlternateContent>
          <mc:Choice Requires="wps">
            <w:drawing>
              <wp:anchor distT="0" distB="0" distL="114300" distR="114300" simplePos="0" relativeHeight="251660288" behindDoc="0" locked="0" layoutInCell="1" allowOverlap="1">
                <wp:simplePos x="0" y="0"/>
                <wp:positionH relativeFrom="column">
                  <wp:posOffset>1584960</wp:posOffset>
                </wp:positionH>
                <wp:positionV relativeFrom="paragraph">
                  <wp:posOffset>547370</wp:posOffset>
                </wp:positionV>
                <wp:extent cx="2185035" cy="635"/>
                <wp:effectExtent l="0" t="0" r="0" b="0"/>
                <wp:wrapNone/>
                <wp:docPr id="1" name="直线 27"/>
                <wp:cNvGraphicFramePr/>
                <a:graphic xmlns:a="http://schemas.openxmlformats.org/drawingml/2006/main">
                  <a:graphicData uri="http://schemas.microsoft.com/office/word/2010/wordprocessingShape">
                    <wps:wsp>
                      <wps:cNvCnPr/>
                      <wps:spPr>
                        <a:xfrm flipV="1">
                          <a:off x="0" y="0"/>
                          <a:ext cx="21850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7" o:spid="_x0000_s1026" o:spt="20" style="position:absolute;left:0pt;flip:y;margin-left:124.8pt;margin-top:43.1pt;height:0.05pt;width:172.05pt;z-index:251660288;mso-width-relative:page;mso-height-relative:page;" filled="f" stroked="t" coordsize="21600,21600" o:gfxdata="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b9LA9gA&#10;AAAJAQAADwAAAAAAAAABACAAAAAiAAAAZHJzL2Rvd25yZXYueG1sUEsBAhQAFAAAAAgAh07iQPFk&#10;S8rmAQAA3AMAAA4AAAAAAAAAAQAgAAAAJwEAAGRycy9lMm9Eb2MueG1sUEsFBgAAAAAGAAYAWQEA&#10;AH8FAAAAAA==&#10;">
                <v:fill on="f" focussize="0,0"/>
                <v:stroke color="#000000" joinstyle="round"/>
                <v:imagedata o:title=""/>
                <o:lock v:ext="edit" aspectratio="f"/>
              </v:line>
            </w:pict>
          </mc:Fallback>
        </mc:AlternateContent>
      </w:r>
      <w:r>
        <w:rPr>
          <w:rFonts w:hint="eastAsia"/>
        </w:rPr>
        <w:t>f）</w:t>
      </w:r>
      <w:r>
        <w:t xml:space="preserve"> </w:t>
      </w:r>
      <w:r>
        <w:rPr>
          <w:rFonts w:hint="eastAsia"/>
        </w:rPr>
        <w:t>其他。</w:t>
      </w:r>
    </w:p>
    <w:sectPr>
      <w:footerReference r:id="rId13" w:type="default"/>
      <w:footerReference r:id="rId14" w:type="even"/>
      <w:pgSz w:w="11907" w:h="16839"/>
      <w:pgMar w:top="1440" w:right="1797" w:bottom="1440" w:left="1797"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PMincho">
    <w:altName w:val="Kozuka Mincho Pr6N R"/>
    <w:panose1 w:val="00000000000000000000"/>
    <w:charset w:val="80"/>
    <w:family w:val="roman"/>
    <w:pitch w:val="default"/>
    <w:sig w:usb0="00000000" w:usb1="00000000" w:usb2="08000012" w:usb3="00000000" w:csb0="0002009F" w:csb1="00000000"/>
  </w:font>
  <w:font w:name="Kozuka Mincho Pr6N R">
    <w:panose1 w:val="02020400000000000000"/>
    <w:charset w:val="80"/>
    <w:family w:val="auto"/>
    <w:pitch w:val="default"/>
    <w:sig w:usb0="000002D7" w:usb1="2AC71C11"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5"/>
      </w:rPr>
    </w:pPr>
    <w:r>
      <w:fldChar w:fldCharType="begin"/>
    </w:r>
    <w:r>
      <w:rPr>
        <w:rStyle w:val="35"/>
      </w:rPr>
      <w:instrText xml:space="preserve">PAGE  </w:instrText>
    </w:r>
    <w:r>
      <w:fldChar w:fldCharType="separate"/>
    </w:r>
    <w:r>
      <w:rPr>
        <w:rStyle w:val="35"/>
        <w:lang w:val="en-US" w:eastAsia="zh-CN"/>
      </w:rPr>
      <w:t>I</w:t>
    </w:r>
    <w:r>
      <w:fldChar w:fldCharType="end"/>
    </w:r>
  </w:p>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35"/>
      </w:rPr>
    </w:pPr>
    <w:r>
      <w:fldChar w:fldCharType="begin"/>
    </w:r>
    <w:r>
      <w:rPr>
        <w:rStyle w:val="35"/>
      </w:rPr>
      <w:instrText xml:space="preserve">PAGE  </w:instrText>
    </w:r>
    <w:r>
      <w:fldChar w:fldCharType="separate"/>
    </w:r>
    <w:r>
      <w:rPr>
        <w:rStyle w:val="35"/>
        <w:lang w:val="en-US" w:eastAsia="zh-CN"/>
      </w:rPr>
      <w:t>6</w:t>
    </w:r>
    <w:r>
      <w:fldChar w:fldCharType="end"/>
    </w:r>
  </w:p>
  <w:p>
    <w:pPr>
      <w:pStyle w:val="50"/>
      <w:ind w:right="360" w:firstLine="360"/>
      <w:rPr>
        <w:rStyle w:val="3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35"/>
      </w:rPr>
    </w:pPr>
    <w:r>
      <w:rPr>
        <w:rStyle w:val="35"/>
      </w:rPr>
      <w:fldChar w:fldCharType="begin"/>
    </w:r>
    <w:r>
      <w:rPr>
        <w:rStyle w:val="35"/>
      </w:rPr>
      <w:instrText xml:space="preserve">PAGE  </w:instrText>
    </w:r>
    <w:r>
      <w:rPr>
        <w:rStyle w:val="35"/>
      </w:rPr>
      <w:fldChar w:fldCharType="separate"/>
    </w:r>
    <w:r>
      <w:rPr>
        <w:rStyle w:val="35"/>
      </w:rPr>
      <w:t>I</w:t>
    </w:r>
    <w:r>
      <w:rPr>
        <w:rStyle w:val="3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5"/>
      </w:rPr>
    </w:pPr>
    <w:r>
      <w:rPr>
        <w:rStyle w:val="35"/>
      </w:rPr>
      <w:fldChar w:fldCharType="begin"/>
    </w:r>
    <w:r>
      <w:rPr>
        <w:rStyle w:val="35"/>
      </w:rPr>
      <w:instrText xml:space="preserve">PAGE  </w:instrText>
    </w:r>
    <w:r>
      <w:rPr>
        <w:rStyle w:val="35"/>
      </w:rPr>
      <w:fldChar w:fldCharType="separate"/>
    </w:r>
    <w:r>
      <w:rPr>
        <w:rStyle w:val="35"/>
      </w:rPr>
      <w:t>II</w:t>
    </w:r>
    <w:r>
      <w:rPr>
        <w:rStyle w:val="35"/>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rStyle w:val="35"/>
      </w:rPr>
    </w:pPr>
    <w:r>
      <w:rPr>
        <w:rStyle w:val="35"/>
      </w:rPr>
      <w:fldChar w:fldCharType="begin"/>
    </w:r>
    <w:r>
      <w:rPr>
        <w:rStyle w:val="35"/>
      </w:rPr>
      <w:instrText xml:space="preserve">PAGE  </w:instrText>
    </w:r>
    <w:r>
      <w:rPr>
        <w:rStyle w:val="35"/>
      </w:rPr>
      <w:fldChar w:fldCharType="separate"/>
    </w:r>
    <w:r>
      <w:rPr>
        <w:rStyle w:val="35"/>
      </w:rPr>
      <w:t>3</w:t>
    </w:r>
    <w:r>
      <w:rPr>
        <w:rStyle w:val="35"/>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640" w:after="0"/>
    </w:pPr>
    <w:r>
      <w:t>GB/T</w:t>
    </w:r>
    <w:r>
      <w:rPr>
        <w:rFonts w:hint="eastAsia"/>
      </w:rPr>
      <w:t>7160</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spacing w:before="640" w:after="0"/>
    </w:pPr>
    <w:r>
      <w:rPr>
        <w:b/>
      </w:rPr>
      <w:t>GB/T</w:t>
    </w:r>
    <w:r>
      <w:rPr>
        <w:rFonts w:hint="eastAsia" w:ascii="黑体" w:hAnsi="黑体" w:eastAsia="黑体"/>
      </w:rPr>
      <w:t xml:space="preserve"> 7160</w:t>
    </w:r>
    <w:r>
      <w:rPr>
        <w:rFonts w:ascii="黑体" w:hAnsi="黑体" w:eastAsia="黑体"/>
      </w:rPr>
      <w:t>—</w:t>
    </w:r>
    <w:r>
      <w:rPr>
        <w:rFonts w:hint="eastAsia" w:ascii="黑体" w:hAnsi="黑体" w:eastAsia="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p>
    <w:pPr>
      <w:pStyle w:val="54"/>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YS</w:t>
    </w:r>
    <w:r>
      <w:rPr>
        <w:rFonts w:hint="eastAsia"/>
      </w:rPr>
      <w:t>/</w:t>
    </w:r>
    <w:r>
      <w:t>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jc w:val="right"/>
    </w:pPr>
    <w:r>
      <w:t>YS</w:t>
    </w:r>
    <w:r>
      <w:rPr>
        <w:rFonts w:hint="eastAsia"/>
      </w:rPr>
      <w:t>/</w:t>
    </w:r>
    <w:r>
      <w: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low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E"/>
    <w:multiLevelType w:val="multilevel"/>
    <w:tmpl w:val="0000000E"/>
    <w:lvl w:ilvl="0" w:tentative="0">
      <w:start w:val="7"/>
      <w:numFmt w:val="decimal"/>
      <w:lvlText w:val="%1．"/>
      <w:lvlJc w:val="left"/>
      <w:pPr>
        <w:tabs>
          <w:tab w:val="left" w:pos="540"/>
        </w:tabs>
        <w:ind w:left="540" w:hanging="540"/>
      </w:pPr>
      <w:rPr>
        <w:rFonts w:hint="default"/>
      </w:r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07E65F9"/>
    <w:multiLevelType w:val="multilevel"/>
    <w:tmpl w:val="407E65F9"/>
    <w:lvl w:ilvl="0" w:tentative="0">
      <w:start w:val="1"/>
      <w:numFmt w:val="none"/>
      <w:pStyle w:val="8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96E4D7B"/>
    <w:multiLevelType w:val="multilevel"/>
    <w:tmpl w:val="496E4D7B"/>
    <w:lvl w:ilvl="0" w:tentative="0">
      <w:start w:val="1"/>
      <w:numFmt w:val="none"/>
      <w:pStyle w:val="108"/>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2E53086"/>
    <w:multiLevelType w:val="multilevel"/>
    <w:tmpl w:val="62E53086"/>
    <w:lvl w:ilvl="0" w:tentative="0">
      <w:start w:val="7"/>
      <w:numFmt w:val="decimal"/>
      <w:lvlText w:val="%1．"/>
      <w:lvlJc w:val="left"/>
      <w:pPr>
        <w:tabs>
          <w:tab w:val="left" w:pos="540"/>
        </w:tabs>
        <w:ind w:left="540" w:hanging="540"/>
      </w:pPr>
      <w:rPr>
        <w:rFonts w:hint="default"/>
      </w:rPr>
    </w:lvl>
    <w:lvl w:ilvl="1" w:tentative="0">
      <w:start w:val="1"/>
      <w:numFmt w:val="low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646260FA"/>
    <w:multiLevelType w:val="multilevel"/>
    <w:tmpl w:val="646260FA"/>
    <w:lvl w:ilvl="0" w:tentative="0">
      <w:start w:val="1"/>
      <w:numFmt w:val="decimal"/>
      <w:pStyle w:val="10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7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55"/>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2"/>
  </w:num>
  <w:num w:numId="3">
    <w:abstractNumId w:val="9"/>
  </w:num>
  <w:num w:numId="4">
    <w:abstractNumId w:val="12"/>
  </w:num>
  <w:num w:numId="5">
    <w:abstractNumId w:val="4"/>
  </w:num>
  <w:num w:numId="6">
    <w:abstractNumId w:val="3"/>
  </w:num>
  <w:num w:numId="7">
    <w:abstractNumId w:val="8"/>
  </w:num>
  <w:num w:numId="8">
    <w:abstractNumId w:val="6"/>
  </w:num>
  <w:num w:numId="9">
    <w:abstractNumId w:val="11"/>
  </w:num>
  <w:num w:numId="10">
    <w:abstractNumId w:val="5"/>
  </w:num>
  <w:num w:numId="1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EC"/>
    <w:rsid w:val="000054E0"/>
    <w:rsid w:val="00025E5B"/>
    <w:rsid w:val="00033431"/>
    <w:rsid w:val="00037ABC"/>
    <w:rsid w:val="00050086"/>
    <w:rsid w:val="00050231"/>
    <w:rsid w:val="0006441E"/>
    <w:rsid w:val="00064641"/>
    <w:rsid w:val="00065F6D"/>
    <w:rsid w:val="00076B2E"/>
    <w:rsid w:val="00081CA1"/>
    <w:rsid w:val="00090D83"/>
    <w:rsid w:val="000A14EB"/>
    <w:rsid w:val="000A2293"/>
    <w:rsid w:val="000A2352"/>
    <w:rsid w:val="000B04A8"/>
    <w:rsid w:val="000B6602"/>
    <w:rsid w:val="000B69A2"/>
    <w:rsid w:val="000C02AD"/>
    <w:rsid w:val="000C0AE7"/>
    <w:rsid w:val="000C31C8"/>
    <w:rsid w:val="000C45A0"/>
    <w:rsid w:val="000D1FF0"/>
    <w:rsid w:val="000D5390"/>
    <w:rsid w:val="000D7E2F"/>
    <w:rsid w:val="000E12E8"/>
    <w:rsid w:val="000F0A85"/>
    <w:rsid w:val="000F6CE1"/>
    <w:rsid w:val="00103621"/>
    <w:rsid w:val="00106167"/>
    <w:rsid w:val="00114921"/>
    <w:rsid w:val="001151A7"/>
    <w:rsid w:val="0012157F"/>
    <w:rsid w:val="001303A8"/>
    <w:rsid w:val="00131A02"/>
    <w:rsid w:val="00132A28"/>
    <w:rsid w:val="00135D08"/>
    <w:rsid w:val="001445E4"/>
    <w:rsid w:val="00147B1E"/>
    <w:rsid w:val="00151075"/>
    <w:rsid w:val="001535B0"/>
    <w:rsid w:val="00163042"/>
    <w:rsid w:val="00163B2B"/>
    <w:rsid w:val="00173A6A"/>
    <w:rsid w:val="00176FD0"/>
    <w:rsid w:val="001850D0"/>
    <w:rsid w:val="001878CB"/>
    <w:rsid w:val="00192827"/>
    <w:rsid w:val="00194F97"/>
    <w:rsid w:val="001B63FB"/>
    <w:rsid w:val="001C3F70"/>
    <w:rsid w:val="001C671B"/>
    <w:rsid w:val="001C7916"/>
    <w:rsid w:val="001D0500"/>
    <w:rsid w:val="001D4943"/>
    <w:rsid w:val="001D5273"/>
    <w:rsid w:val="001D613D"/>
    <w:rsid w:val="001D7DBE"/>
    <w:rsid w:val="001E6316"/>
    <w:rsid w:val="001F7810"/>
    <w:rsid w:val="00201137"/>
    <w:rsid w:val="0020361C"/>
    <w:rsid w:val="00206BD7"/>
    <w:rsid w:val="002071F9"/>
    <w:rsid w:val="00207972"/>
    <w:rsid w:val="00207EBE"/>
    <w:rsid w:val="0021033F"/>
    <w:rsid w:val="00212625"/>
    <w:rsid w:val="002129B7"/>
    <w:rsid w:val="002176F0"/>
    <w:rsid w:val="002253D7"/>
    <w:rsid w:val="00227480"/>
    <w:rsid w:val="00230592"/>
    <w:rsid w:val="002306CE"/>
    <w:rsid w:val="0023231C"/>
    <w:rsid w:val="00237698"/>
    <w:rsid w:val="00254CFA"/>
    <w:rsid w:val="002550F4"/>
    <w:rsid w:val="0025550B"/>
    <w:rsid w:val="00256D2E"/>
    <w:rsid w:val="00263425"/>
    <w:rsid w:val="002650B2"/>
    <w:rsid w:val="002654AE"/>
    <w:rsid w:val="00273FDD"/>
    <w:rsid w:val="00276929"/>
    <w:rsid w:val="002832A8"/>
    <w:rsid w:val="002868E1"/>
    <w:rsid w:val="002911DD"/>
    <w:rsid w:val="00291844"/>
    <w:rsid w:val="002934D5"/>
    <w:rsid w:val="002975A4"/>
    <w:rsid w:val="00297EDD"/>
    <w:rsid w:val="002A320B"/>
    <w:rsid w:val="002A3564"/>
    <w:rsid w:val="002A6C46"/>
    <w:rsid w:val="002A784F"/>
    <w:rsid w:val="002B42CE"/>
    <w:rsid w:val="002C3795"/>
    <w:rsid w:val="002C5FA7"/>
    <w:rsid w:val="002D1F3E"/>
    <w:rsid w:val="002F42C1"/>
    <w:rsid w:val="002F56B3"/>
    <w:rsid w:val="00303478"/>
    <w:rsid w:val="00306918"/>
    <w:rsid w:val="00313B4D"/>
    <w:rsid w:val="00315DB8"/>
    <w:rsid w:val="00322790"/>
    <w:rsid w:val="003233D7"/>
    <w:rsid w:val="00326493"/>
    <w:rsid w:val="00331D10"/>
    <w:rsid w:val="003472E9"/>
    <w:rsid w:val="00354EDC"/>
    <w:rsid w:val="00355D8E"/>
    <w:rsid w:val="00357E8B"/>
    <w:rsid w:val="003644E9"/>
    <w:rsid w:val="00365A23"/>
    <w:rsid w:val="00366B3E"/>
    <w:rsid w:val="00367693"/>
    <w:rsid w:val="00367931"/>
    <w:rsid w:val="003875FA"/>
    <w:rsid w:val="003943F6"/>
    <w:rsid w:val="003949DC"/>
    <w:rsid w:val="003A1771"/>
    <w:rsid w:val="003A6400"/>
    <w:rsid w:val="003A71DB"/>
    <w:rsid w:val="003B4B22"/>
    <w:rsid w:val="003C1855"/>
    <w:rsid w:val="003C4240"/>
    <w:rsid w:val="003D0791"/>
    <w:rsid w:val="003D2903"/>
    <w:rsid w:val="003D3582"/>
    <w:rsid w:val="003D436F"/>
    <w:rsid w:val="003E1126"/>
    <w:rsid w:val="003F06E2"/>
    <w:rsid w:val="003F4F29"/>
    <w:rsid w:val="0040090C"/>
    <w:rsid w:val="004012E6"/>
    <w:rsid w:val="00401E7E"/>
    <w:rsid w:val="0040288E"/>
    <w:rsid w:val="0041446D"/>
    <w:rsid w:val="00414927"/>
    <w:rsid w:val="004159B2"/>
    <w:rsid w:val="00416E91"/>
    <w:rsid w:val="00416F1F"/>
    <w:rsid w:val="00422C8C"/>
    <w:rsid w:val="004252BE"/>
    <w:rsid w:val="00432D6B"/>
    <w:rsid w:val="00441DF2"/>
    <w:rsid w:val="00445C5A"/>
    <w:rsid w:val="00446D44"/>
    <w:rsid w:val="004529F6"/>
    <w:rsid w:val="00456A54"/>
    <w:rsid w:val="00465111"/>
    <w:rsid w:val="0048290A"/>
    <w:rsid w:val="00491EB5"/>
    <w:rsid w:val="004A119C"/>
    <w:rsid w:val="004A18F8"/>
    <w:rsid w:val="004A746D"/>
    <w:rsid w:val="004B2D72"/>
    <w:rsid w:val="004B39E1"/>
    <w:rsid w:val="004B46E9"/>
    <w:rsid w:val="004C1405"/>
    <w:rsid w:val="004C5F10"/>
    <w:rsid w:val="004C71D1"/>
    <w:rsid w:val="004D1DB4"/>
    <w:rsid w:val="004D67E3"/>
    <w:rsid w:val="004E275C"/>
    <w:rsid w:val="004E3C16"/>
    <w:rsid w:val="004E51A8"/>
    <w:rsid w:val="004F3116"/>
    <w:rsid w:val="0050391C"/>
    <w:rsid w:val="00503FF3"/>
    <w:rsid w:val="0050642C"/>
    <w:rsid w:val="0050784A"/>
    <w:rsid w:val="00511ABF"/>
    <w:rsid w:val="00515244"/>
    <w:rsid w:val="00522046"/>
    <w:rsid w:val="005307C3"/>
    <w:rsid w:val="00537161"/>
    <w:rsid w:val="005376CD"/>
    <w:rsid w:val="005429C5"/>
    <w:rsid w:val="00544DC1"/>
    <w:rsid w:val="00547115"/>
    <w:rsid w:val="0056142E"/>
    <w:rsid w:val="00573DBD"/>
    <w:rsid w:val="005938D1"/>
    <w:rsid w:val="005A0B54"/>
    <w:rsid w:val="005A100D"/>
    <w:rsid w:val="005A2C70"/>
    <w:rsid w:val="005A3EB0"/>
    <w:rsid w:val="005A62E4"/>
    <w:rsid w:val="005A79E3"/>
    <w:rsid w:val="005B1117"/>
    <w:rsid w:val="005B14D0"/>
    <w:rsid w:val="005B17E5"/>
    <w:rsid w:val="005C0332"/>
    <w:rsid w:val="005C2B84"/>
    <w:rsid w:val="005C305E"/>
    <w:rsid w:val="005C3504"/>
    <w:rsid w:val="005C6554"/>
    <w:rsid w:val="005D08AC"/>
    <w:rsid w:val="005D5E5B"/>
    <w:rsid w:val="005D6EDC"/>
    <w:rsid w:val="005E1468"/>
    <w:rsid w:val="005F0861"/>
    <w:rsid w:val="00612415"/>
    <w:rsid w:val="006141DE"/>
    <w:rsid w:val="00615D88"/>
    <w:rsid w:val="00617FBD"/>
    <w:rsid w:val="0062153C"/>
    <w:rsid w:val="006217AF"/>
    <w:rsid w:val="00624374"/>
    <w:rsid w:val="006314C8"/>
    <w:rsid w:val="00635E67"/>
    <w:rsid w:val="00640161"/>
    <w:rsid w:val="00640DB9"/>
    <w:rsid w:val="006422D8"/>
    <w:rsid w:val="006542B7"/>
    <w:rsid w:val="00654C32"/>
    <w:rsid w:val="00663F27"/>
    <w:rsid w:val="00664650"/>
    <w:rsid w:val="00672F3E"/>
    <w:rsid w:val="0069568A"/>
    <w:rsid w:val="006A33C4"/>
    <w:rsid w:val="006A5128"/>
    <w:rsid w:val="006A6240"/>
    <w:rsid w:val="006B6EA7"/>
    <w:rsid w:val="006C0951"/>
    <w:rsid w:val="006C3548"/>
    <w:rsid w:val="006C560B"/>
    <w:rsid w:val="006C5895"/>
    <w:rsid w:val="006D587C"/>
    <w:rsid w:val="006D7433"/>
    <w:rsid w:val="006E0302"/>
    <w:rsid w:val="006E39B6"/>
    <w:rsid w:val="006E41A0"/>
    <w:rsid w:val="006E4222"/>
    <w:rsid w:val="006F6F04"/>
    <w:rsid w:val="007005B7"/>
    <w:rsid w:val="007009C8"/>
    <w:rsid w:val="00707A87"/>
    <w:rsid w:val="00710176"/>
    <w:rsid w:val="007119D1"/>
    <w:rsid w:val="007121C0"/>
    <w:rsid w:val="00714BDA"/>
    <w:rsid w:val="00731EA4"/>
    <w:rsid w:val="00732FA9"/>
    <w:rsid w:val="00734830"/>
    <w:rsid w:val="00734920"/>
    <w:rsid w:val="007364E2"/>
    <w:rsid w:val="00750B8B"/>
    <w:rsid w:val="007549D0"/>
    <w:rsid w:val="00754A45"/>
    <w:rsid w:val="007576F2"/>
    <w:rsid w:val="0075788A"/>
    <w:rsid w:val="00764465"/>
    <w:rsid w:val="00777A00"/>
    <w:rsid w:val="0078216E"/>
    <w:rsid w:val="007906D0"/>
    <w:rsid w:val="007A2BA4"/>
    <w:rsid w:val="007A4F94"/>
    <w:rsid w:val="007A7F55"/>
    <w:rsid w:val="007B15D8"/>
    <w:rsid w:val="007B55EB"/>
    <w:rsid w:val="007B5BD8"/>
    <w:rsid w:val="007B7B6F"/>
    <w:rsid w:val="007C2704"/>
    <w:rsid w:val="007C2CDD"/>
    <w:rsid w:val="007C3E07"/>
    <w:rsid w:val="007C6EE5"/>
    <w:rsid w:val="007E3E4A"/>
    <w:rsid w:val="007E4583"/>
    <w:rsid w:val="007E6B4D"/>
    <w:rsid w:val="007F6C8F"/>
    <w:rsid w:val="00801A11"/>
    <w:rsid w:val="00802CAB"/>
    <w:rsid w:val="00803318"/>
    <w:rsid w:val="00811706"/>
    <w:rsid w:val="00812575"/>
    <w:rsid w:val="00812804"/>
    <w:rsid w:val="0081298B"/>
    <w:rsid w:val="00813C77"/>
    <w:rsid w:val="00816557"/>
    <w:rsid w:val="0082040A"/>
    <w:rsid w:val="00827167"/>
    <w:rsid w:val="00831779"/>
    <w:rsid w:val="00831CEF"/>
    <w:rsid w:val="00833FDA"/>
    <w:rsid w:val="008351D9"/>
    <w:rsid w:val="0083688B"/>
    <w:rsid w:val="0084494A"/>
    <w:rsid w:val="008473AC"/>
    <w:rsid w:val="00850738"/>
    <w:rsid w:val="00864BEB"/>
    <w:rsid w:val="00867E46"/>
    <w:rsid w:val="00877801"/>
    <w:rsid w:val="0088533D"/>
    <w:rsid w:val="00891BE7"/>
    <w:rsid w:val="0089517D"/>
    <w:rsid w:val="008A2CCE"/>
    <w:rsid w:val="008A7B75"/>
    <w:rsid w:val="008B1C79"/>
    <w:rsid w:val="008C1259"/>
    <w:rsid w:val="008C7907"/>
    <w:rsid w:val="008E1262"/>
    <w:rsid w:val="008E2B3F"/>
    <w:rsid w:val="008F6646"/>
    <w:rsid w:val="009022BE"/>
    <w:rsid w:val="009136F7"/>
    <w:rsid w:val="0092483D"/>
    <w:rsid w:val="009340AB"/>
    <w:rsid w:val="00935107"/>
    <w:rsid w:val="0093714A"/>
    <w:rsid w:val="00946797"/>
    <w:rsid w:val="0095003F"/>
    <w:rsid w:val="00953661"/>
    <w:rsid w:val="009574FD"/>
    <w:rsid w:val="00961D02"/>
    <w:rsid w:val="00965731"/>
    <w:rsid w:val="0097436E"/>
    <w:rsid w:val="0097516A"/>
    <w:rsid w:val="00981F12"/>
    <w:rsid w:val="0099466F"/>
    <w:rsid w:val="0099779F"/>
    <w:rsid w:val="009A237D"/>
    <w:rsid w:val="009B4D37"/>
    <w:rsid w:val="009B4DEF"/>
    <w:rsid w:val="009B5BC4"/>
    <w:rsid w:val="009B5C10"/>
    <w:rsid w:val="009C00DF"/>
    <w:rsid w:val="009C3D8E"/>
    <w:rsid w:val="009C53F4"/>
    <w:rsid w:val="009C6875"/>
    <w:rsid w:val="009D0CAD"/>
    <w:rsid w:val="009D36CB"/>
    <w:rsid w:val="009E3035"/>
    <w:rsid w:val="009E45FC"/>
    <w:rsid w:val="009E5424"/>
    <w:rsid w:val="009F0507"/>
    <w:rsid w:val="009F49CF"/>
    <w:rsid w:val="009F5CEC"/>
    <w:rsid w:val="009F7F85"/>
    <w:rsid w:val="00A06E7C"/>
    <w:rsid w:val="00A129F4"/>
    <w:rsid w:val="00A1373D"/>
    <w:rsid w:val="00A14078"/>
    <w:rsid w:val="00A31C92"/>
    <w:rsid w:val="00A34DFD"/>
    <w:rsid w:val="00A3777C"/>
    <w:rsid w:val="00A4692A"/>
    <w:rsid w:val="00A535E9"/>
    <w:rsid w:val="00A57CCB"/>
    <w:rsid w:val="00A61E0C"/>
    <w:rsid w:val="00A64D18"/>
    <w:rsid w:val="00A6763D"/>
    <w:rsid w:val="00A755B7"/>
    <w:rsid w:val="00A8579B"/>
    <w:rsid w:val="00A85ACD"/>
    <w:rsid w:val="00A90115"/>
    <w:rsid w:val="00A9669D"/>
    <w:rsid w:val="00AA0648"/>
    <w:rsid w:val="00AB1772"/>
    <w:rsid w:val="00AB6C71"/>
    <w:rsid w:val="00AD1A52"/>
    <w:rsid w:val="00AE0858"/>
    <w:rsid w:val="00AE377A"/>
    <w:rsid w:val="00AE785A"/>
    <w:rsid w:val="00AE7FDF"/>
    <w:rsid w:val="00B01ED2"/>
    <w:rsid w:val="00B06EE2"/>
    <w:rsid w:val="00B11175"/>
    <w:rsid w:val="00B12453"/>
    <w:rsid w:val="00B21373"/>
    <w:rsid w:val="00B23F53"/>
    <w:rsid w:val="00B244D8"/>
    <w:rsid w:val="00B24E93"/>
    <w:rsid w:val="00B30862"/>
    <w:rsid w:val="00B33D1E"/>
    <w:rsid w:val="00B3547C"/>
    <w:rsid w:val="00B37E20"/>
    <w:rsid w:val="00B46FAF"/>
    <w:rsid w:val="00B630F4"/>
    <w:rsid w:val="00B63C64"/>
    <w:rsid w:val="00B64347"/>
    <w:rsid w:val="00B74C74"/>
    <w:rsid w:val="00B7724E"/>
    <w:rsid w:val="00B812D5"/>
    <w:rsid w:val="00B86E0E"/>
    <w:rsid w:val="00B94E34"/>
    <w:rsid w:val="00BA668E"/>
    <w:rsid w:val="00BA686B"/>
    <w:rsid w:val="00BB00B9"/>
    <w:rsid w:val="00BB5EF8"/>
    <w:rsid w:val="00BB6E6E"/>
    <w:rsid w:val="00BC3B0B"/>
    <w:rsid w:val="00BC3CA9"/>
    <w:rsid w:val="00BE4555"/>
    <w:rsid w:val="00BE6123"/>
    <w:rsid w:val="00BF0260"/>
    <w:rsid w:val="00BF56F6"/>
    <w:rsid w:val="00BF5C95"/>
    <w:rsid w:val="00C05CC5"/>
    <w:rsid w:val="00C13ACB"/>
    <w:rsid w:val="00C2250B"/>
    <w:rsid w:val="00C24E84"/>
    <w:rsid w:val="00C313D6"/>
    <w:rsid w:val="00C31C87"/>
    <w:rsid w:val="00C34DC7"/>
    <w:rsid w:val="00C35F12"/>
    <w:rsid w:val="00C50456"/>
    <w:rsid w:val="00C5053C"/>
    <w:rsid w:val="00C51885"/>
    <w:rsid w:val="00C53830"/>
    <w:rsid w:val="00C612C3"/>
    <w:rsid w:val="00C6354A"/>
    <w:rsid w:val="00C63AAF"/>
    <w:rsid w:val="00C6464E"/>
    <w:rsid w:val="00C66CB4"/>
    <w:rsid w:val="00C701DD"/>
    <w:rsid w:val="00C7601C"/>
    <w:rsid w:val="00C7674B"/>
    <w:rsid w:val="00C77CB4"/>
    <w:rsid w:val="00C83528"/>
    <w:rsid w:val="00C86944"/>
    <w:rsid w:val="00CB1834"/>
    <w:rsid w:val="00CB4EE0"/>
    <w:rsid w:val="00CB6214"/>
    <w:rsid w:val="00CC5FD3"/>
    <w:rsid w:val="00CC6B6D"/>
    <w:rsid w:val="00CD74EC"/>
    <w:rsid w:val="00CE0CD8"/>
    <w:rsid w:val="00CE175E"/>
    <w:rsid w:val="00CE57B1"/>
    <w:rsid w:val="00CF2F61"/>
    <w:rsid w:val="00CF3C0E"/>
    <w:rsid w:val="00D05304"/>
    <w:rsid w:val="00D10B5A"/>
    <w:rsid w:val="00D12B87"/>
    <w:rsid w:val="00D1744E"/>
    <w:rsid w:val="00D17D91"/>
    <w:rsid w:val="00D20DF5"/>
    <w:rsid w:val="00D21013"/>
    <w:rsid w:val="00D21079"/>
    <w:rsid w:val="00D21D3C"/>
    <w:rsid w:val="00D22F01"/>
    <w:rsid w:val="00D24101"/>
    <w:rsid w:val="00D3094A"/>
    <w:rsid w:val="00D3247E"/>
    <w:rsid w:val="00D37F4E"/>
    <w:rsid w:val="00D41648"/>
    <w:rsid w:val="00D47827"/>
    <w:rsid w:val="00D547DE"/>
    <w:rsid w:val="00D56103"/>
    <w:rsid w:val="00D569CE"/>
    <w:rsid w:val="00D5730D"/>
    <w:rsid w:val="00D62BCB"/>
    <w:rsid w:val="00D66464"/>
    <w:rsid w:val="00D8447A"/>
    <w:rsid w:val="00D86C21"/>
    <w:rsid w:val="00D94529"/>
    <w:rsid w:val="00D94CBF"/>
    <w:rsid w:val="00DA529A"/>
    <w:rsid w:val="00DB6DC2"/>
    <w:rsid w:val="00DC1ABA"/>
    <w:rsid w:val="00DC787A"/>
    <w:rsid w:val="00DC795B"/>
    <w:rsid w:val="00DD2FFE"/>
    <w:rsid w:val="00DD65AB"/>
    <w:rsid w:val="00DE2C78"/>
    <w:rsid w:val="00E01E55"/>
    <w:rsid w:val="00E028BD"/>
    <w:rsid w:val="00E032B9"/>
    <w:rsid w:val="00E05464"/>
    <w:rsid w:val="00E1525C"/>
    <w:rsid w:val="00E27E91"/>
    <w:rsid w:val="00E301A3"/>
    <w:rsid w:val="00E30F5D"/>
    <w:rsid w:val="00E33B07"/>
    <w:rsid w:val="00E42C56"/>
    <w:rsid w:val="00E47D82"/>
    <w:rsid w:val="00E51748"/>
    <w:rsid w:val="00E52391"/>
    <w:rsid w:val="00E554D8"/>
    <w:rsid w:val="00E55653"/>
    <w:rsid w:val="00E55A50"/>
    <w:rsid w:val="00E57C96"/>
    <w:rsid w:val="00E60E05"/>
    <w:rsid w:val="00E627B4"/>
    <w:rsid w:val="00E64B30"/>
    <w:rsid w:val="00E65A09"/>
    <w:rsid w:val="00E71346"/>
    <w:rsid w:val="00E754BD"/>
    <w:rsid w:val="00E807EF"/>
    <w:rsid w:val="00E80E69"/>
    <w:rsid w:val="00E93D57"/>
    <w:rsid w:val="00EA032E"/>
    <w:rsid w:val="00EA1706"/>
    <w:rsid w:val="00EA7EA0"/>
    <w:rsid w:val="00EB5A5B"/>
    <w:rsid w:val="00EB6E14"/>
    <w:rsid w:val="00ED3E96"/>
    <w:rsid w:val="00EE1CED"/>
    <w:rsid w:val="00EE2A4B"/>
    <w:rsid w:val="00EE5029"/>
    <w:rsid w:val="00EF0E97"/>
    <w:rsid w:val="00EF19B7"/>
    <w:rsid w:val="00EF7B14"/>
    <w:rsid w:val="00F021DD"/>
    <w:rsid w:val="00F02F6C"/>
    <w:rsid w:val="00F03C5C"/>
    <w:rsid w:val="00F046D9"/>
    <w:rsid w:val="00F04AB1"/>
    <w:rsid w:val="00F05C5E"/>
    <w:rsid w:val="00F11B1B"/>
    <w:rsid w:val="00F128B3"/>
    <w:rsid w:val="00F1769C"/>
    <w:rsid w:val="00F31DFA"/>
    <w:rsid w:val="00F35284"/>
    <w:rsid w:val="00F5534F"/>
    <w:rsid w:val="00F558BC"/>
    <w:rsid w:val="00F66C65"/>
    <w:rsid w:val="00F71E72"/>
    <w:rsid w:val="00F75929"/>
    <w:rsid w:val="00F82313"/>
    <w:rsid w:val="00F9096A"/>
    <w:rsid w:val="00F95040"/>
    <w:rsid w:val="00FB33F2"/>
    <w:rsid w:val="00FB3589"/>
    <w:rsid w:val="00FC442D"/>
    <w:rsid w:val="00FC717F"/>
    <w:rsid w:val="00FD4164"/>
    <w:rsid w:val="00FD64A5"/>
    <w:rsid w:val="00FD7F29"/>
    <w:rsid w:val="00FE0957"/>
    <w:rsid w:val="00FE3DE7"/>
    <w:rsid w:val="00FF20D7"/>
    <w:rsid w:val="00FF366E"/>
    <w:rsid w:val="00FF5C3D"/>
    <w:rsid w:val="0EBC0E2F"/>
    <w:rsid w:val="1BE67105"/>
    <w:rsid w:val="39B841E7"/>
    <w:rsid w:val="504A4535"/>
    <w:rsid w:val="68B40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uiPriority w:val="0"/>
  </w:style>
  <w:style w:type="paragraph" w:styleId="12">
    <w:name w:val="toc 6"/>
    <w:basedOn w:val="13"/>
    <w:next w:val="1"/>
    <w:semiHidden/>
    <w:qFormat/>
    <w:uiPriority w:val="0"/>
  </w:style>
  <w:style w:type="paragraph" w:styleId="13">
    <w:name w:val="toc 5"/>
    <w:basedOn w:val="14"/>
    <w:next w:val="1"/>
    <w:semiHidden/>
    <w:qFormat/>
    <w:uiPriority w:val="0"/>
  </w:style>
  <w:style w:type="paragraph" w:styleId="14">
    <w:name w:val="toc 4"/>
    <w:basedOn w:val="15"/>
    <w:next w:val="1"/>
    <w:semiHidden/>
    <w:qFormat/>
    <w:uiPriority w:val="0"/>
  </w:style>
  <w:style w:type="paragraph" w:styleId="15">
    <w:name w:val="toc 3"/>
    <w:basedOn w:val="16"/>
    <w:next w:val="1"/>
    <w:semiHidden/>
    <w:qFormat/>
    <w:uiPriority w:val="0"/>
  </w:style>
  <w:style w:type="paragraph" w:styleId="16">
    <w:name w:val="toc 2"/>
    <w:basedOn w:val="17"/>
    <w:next w:val="1"/>
    <w:semiHidden/>
    <w:qFormat/>
    <w:uiPriority w:val="0"/>
  </w:style>
  <w:style w:type="paragraph" w:styleId="17">
    <w:name w:val="toc 1"/>
    <w:next w:val="1"/>
    <w:semiHidden/>
    <w:qFormat/>
    <w:uiPriority w:val="0"/>
    <w:pPr>
      <w:jc w:val="both"/>
    </w:pPr>
    <w:rPr>
      <w:rFonts w:ascii="宋体" w:hAnsi="Times New Roman" w:eastAsia="宋体" w:cs="Times New Roman"/>
      <w:sz w:val="21"/>
      <w:lang w:val="en-US" w:eastAsia="zh-CN" w:bidi="ar-SA"/>
    </w:rPr>
  </w:style>
  <w:style w:type="paragraph" w:styleId="18">
    <w:name w:val="annotation text"/>
    <w:basedOn w:val="1"/>
    <w:link w:val="120"/>
    <w:qFormat/>
    <w:uiPriority w:val="0"/>
    <w:pPr>
      <w:jc w:val="left"/>
    </w:pPr>
  </w:style>
  <w:style w:type="paragraph" w:styleId="19">
    <w:name w:val="Body Text Indent"/>
    <w:basedOn w:val="1"/>
    <w:qFormat/>
    <w:uiPriority w:val="0"/>
    <w:pPr>
      <w:ind w:left="1040"/>
    </w:pPr>
    <w:rPr>
      <w:sz w:val="24"/>
    </w:rPr>
  </w:style>
  <w:style w:type="paragraph" w:styleId="20">
    <w:name w:val="HTML Address"/>
    <w:basedOn w:val="1"/>
    <w:qFormat/>
    <w:uiPriority w:val="0"/>
    <w:rPr>
      <w:i/>
      <w:iCs/>
    </w:rPr>
  </w:style>
  <w:style w:type="paragraph" w:styleId="21">
    <w:name w:val="toc 8"/>
    <w:basedOn w:val="11"/>
    <w:next w:val="1"/>
    <w:semiHidden/>
    <w:qFormat/>
    <w:uiPriority w:val="0"/>
  </w:style>
  <w:style w:type="paragraph" w:styleId="22">
    <w:name w:val="Date"/>
    <w:basedOn w:val="1"/>
    <w:next w:val="1"/>
    <w:link w:val="118"/>
    <w:qFormat/>
    <w:uiPriority w:val="0"/>
    <w:pPr>
      <w:ind w:left="100" w:leftChars="2500"/>
    </w:pPr>
  </w:style>
  <w:style w:type="paragraph" w:styleId="23">
    <w:name w:val="Balloon Text"/>
    <w:basedOn w:val="1"/>
    <w:link w:val="122"/>
    <w:qFormat/>
    <w:uiPriority w:val="0"/>
    <w:rPr>
      <w:sz w:val="18"/>
      <w:szCs w:val="18"/>
    </w:rPr>
  </w:style>
  <w:style w:type="paragraph" w:styleId="24">
    <w:name w:val="footer"/>
    <w:basedOn w:val="1"/>
    <w:qFormat/>
    <w:uiPriority w:val="0"/>
    <w:pPr>
      <w:tabs>
        <w:tab w:val="center" w:pos="4153"/>
        <w:tab w:val="right" w:pos="8306"/>
      </w:tabs>
      <w:snapToGrid w:val="0"/>
      <w:ind w:right="210" w:rightChars="100"/>
      <w:jc w:val="righ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footnote text"/>
    <w:basedOn w:val="1"/>
    <w:semiHidden/>
    <w:qFormat/>
    <w:uiPriority w:val="0"/>
    <w:pPr>
      <w:snapToGrid w:val="0"/>
      <w:jc w:val="left"/>
    </w:pPr>
    <w:rPr>
      <w:sz w:val="18"/>
      <w:szCs w:val="18"/>
    </w:rPr>
  </w:style>
  <w:style w:type="paragraph" w:styleId="27">
    <w:name w:val="toc 9"/>
    <w:basedOn w:val="21"/>
    <w:next w:val="1"/>
    <w:semiHidden/>
    <w:qFormat/>
    <w:uiPriority w:val="0"/>
  </w:style>
  <w:style w:type="paragraph" w:styleId="28">
    <w:name w:val="HTML Preformatted"/>
    <w:basedOn w:val="1"/>
    <w:qFormat/>
    <w:uiPriority w:val="0"/>
    <w:rPr>
      <w:rFonts w:ascii="Courier New" w:hAnsi="Courier New" w:cs="Courier New"/>
      <w:sz w:val="20"/>
    </w:rPr>
  </w:style>
  <w:style w:type="paragraph" w:styleId="29">
    <w:name w:val="Title"/>
    <w:basedOn w:val="1"/>
    <w:qFormat/>
    <w:uiPriority w:val="0"/>
    <w:pPr>
      <w:spacing w:before="240" w:after="60"/>
      <w:jc w:val="center"/>
      <w:outlineLvl w:val="0"/>
    </w:pPr>
    <w:rPr>
      <w:rFonts w:ascii="Arial" w:hAnsi="Arial" w:cs="Arial"/>
      <w:b/>
      <w:bCs/>
      <w:sz w:val="32"/>
      <w:szCs w:val="32"/>
    </w:rPr>
  </w:style>
  <w:style w:type="paragraph" w:styleId="30">
    <w:name w:val="annotation subject"/>
    <w:basedOn w:val="18"/>
    <w:next w:val="18"/>
    <w:link w:val="121"/>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rFonts w:cs="Times New Roman"/>
      <w:b/>
      <w:bCs/>
    </w:rPr>
  </w:style>
  <w:style w:type="character" w:styleId="35">
    <w:name w:val="page number"/>
    <w:qFormat/>
    <w:uiPriority w:val="0"/>
    <w:rPr>
      <w:rFonts w:ascii="Times New Roman" w:hAnsi="Times New Roman" w:eastAsia="宋体"/>
      <w:sz w:val="18"/>
    </w:rPr>
  </w:style>
  <w:style w:type="character" w:styleId="36">
    <w:name w:val="Emphasis"/>
    <w:qFormat/>
    <w:uiPriority w:val="20"/>
    <w:rPr>
      <w:color w:val="CC0000"/>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3"/>
    <w:qFormat/>
    <w:uiPriority w:val="0"/>
  </w:style>
  <w:style w:type="character" w:styleId="40">
    <w:name w:val="HTML Variable"/>
    <w:qFormat/>
    <w:uiPriority w:val="0"/>
    <w:rPr>
      <w:i/>
      <w:iCs/>
    </w:rPr>
  </w:style>
  <w:style w:type="character" w:styleId="41">
    <w:name w:val="Hyperlink"/>
    <w:qFormat/>
    <w:uiPriority w:val="0"/>
    <w:rPr>
      <w:rFonts w:ascii="Times New Roman" w:hAnsi="Times New Roman" w:eastAsia="宋体"/>
      <w:color w:val="auto"/>
      <w:spacing w:val="0"/>
      <w:w w:val="100"/>
      <w:position w:val="0"/>
      <w:sz w:val="21"/>
      <w:u w:val="none"/>
      <w:vertAlign w:val="baseline"/>
    </w:rPr>
  </w:style>
  <w:style w:type="character" w:styleId="42">
    <w:name w:val="HTML Code"/>
    <w:qFormat/>
    <w:uiPriority w:val="0"/>
    <w:rPr>
      <w:rFonts w:ascii="Courier New" w:hAnsi="Courier New"/>
      <w:sz w:val="20"/>
      <w:szCs w:val="20"/>
    </w:rPr>
  </w:style>
  <w:style w:type="character" w:styleId="43">
    <w:name w:val="annotation reference"/>
    <w:basedOn w:val="33"/>
    <w:qFormat/>
    <w:uiPriority w:val="0"/>
    <w:rPr>
      <w:sz w:val="21"/>
      <w:szCs w:val="21"/>
    </w:rPr>
  </w:style>
  <w:style w:type="character" w:styleId="44">
    <w:name w:val="HTML Cite"/>
    <w:qFormat/>
    <w:uiPriority w:val="0"/>
    <w:rPr>
      <w:i/>
      <w:iCs/>
    </w:rPr>
  </w:style>
  <w:style w:type="character" w:styleId="45">
    <w:name w:val="footnote reference"/>
    <w:semiHidden/>
    <w:qFormat/>
    <w:uiPriority w:val="0"/>
    <w:rPr>
      <w:vertAlign w:val="superscript"/>
    </w:rPr>
  </w:style>
  <w:style w:type="character" w:styleId="46">
    <w:name w:val="HTML Keyboard"/>
    <w:qFormat/>
    <w:uiPriority w:val="0"/>
    <w:rPr>
      <w:rFonts w:ascii="Courier New" w:hAnsi="Courier New"/>
      <w:sz w:val="20"/>
      <w:szCs w:val="20"/>
    </w:rPr>
  </w:style>
  <w:style w:type="character" w:styleId="47">
    <w:name w:val="HTML Sample"/>
    <w:qFormat/>
    <w:uiPriority w:val="0"/>
    <w:rPr>
      <w:rFonts w:ascii="Courier New" w:hAnsi="Courier New"/>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
    <w:name w:val="标准书眉_偶数页"/>
    <w:basedOn w:val="52"/>
    <w:next w:val="1"/>
    <w:qFormat/>
    <w:uiPriority w:val="0"/>
    <w:pPr>
      <w:jc w:val="lef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6">
    <w:name w:val="参考文献、索引标题"/>
    <w:basedOn w:val="55"/>
    <w:next w:val="1"/>
    <w:qFormat/>
    <w:uiPriority w:val="0"/>
    <w:pPr>
      <w:numPr>
        <w:numId w:val="0"/>
      </w:numPr>
      <w:spacing w:after="200"/>
    </w:pPr>
    <w:rPr>
      <w:sz w:val="21"/>
    </w:rPr>
  </w:style>
  <w:style w:type="paragraph" w:customStyle="1" w:styleId="57">
    <w:name w:val="段"/>
    <w:link w:val="1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章标题"/>
    <w:next w:val="57"/>
    <w:link w:val="11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59">
    <w:name w:val="一级条标题"/>
    <w:basedOn w:val="58"/>
    <w:next w:val="57"/>
    <w:link w:val="116"/>
    <w:qFormat/>
    <w:uiPriority w:val="0"/>
    <w:pPr>
      <w:numPr>
        <w:ilvl w:val="2"/>
      </w:numPr>
      <w:spacing w:beforeLines="0" w:afterLines="0"/>
      <w:outlineLvl w:val="2"/>
    </w:pPr>
  </w:style>
  <w:style w:type="paragraph" w:customStyle="1" w:styleId="60">
    <w:name w:val="二级条标题"/>
    <w:basedOn w:val="59"/>
    <w:next w:val="57"/>
    <w:link w:val="117"/>
    <w:qFormat/>
    <w:uiPriority w:val="0"/>
    <w:pPr>
      <w:numPr>
        <w:ilvl w:val="3"/>
      </w:numPr>
      <w:outlineLvl w:val="3"/>
    </w:pPr>
  </w:style>
  <w:style w:type="paragraph" w:customStyle="1" w:styleId="61">
    <w:name w:val="二级无标题条"/>
    <w:basedOn w:val="1"/>
    <w:qFormat/>
    <w:uiPriority w:val="0"/>
    <w:pPr>
      <w:numPr>
        <w:ilvl w:val="3"/>
        <w:numId w:val="2"/>
      </w:numPr>
    </w:pPr>
  </w:style>
  <w:style w:type="character" w:customStyle="1" w:styleId="62">
    <w:name w:val="发布"/>
    <w:qFormat/>
    <w:uiPriority w:val="0"/>
    <w:rPr>
      <w:rFonts w:ascii="黑体" w:eastAsia="黑体"/>
      <w:spacing w:val="22"/>
      <w:w w:val="100"/>
      <w:position w:val="3"/>
      <w:sz w:val="28"/>
    </w:rPr>
  </w:style>
  <w:style w:type="paragraph" w:customStyle="1" w:styleId="63">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号2"/>
    <w:basedOn w:val="65"/>
    <w:qFormat/>
    <w:uiPriority w:val="0"/>
    <w:pPr>
      <w:framePr w:w="9138" w:h="1244" w:hRule="exact" w:wrap="auto" w:vAnchor="page" w:hAnchor="margin" w:y="2908"/>
      <w:adjustRightInd w:val="0"/>
      <w:spacing w:before="357" w:line="280" w:lineRule="exact"/>
    </w:pPr>
  </w:style>
  <w:style w:type="paragraph" w:customStyle="1" w:styleId="67">
    <w:name w:val="封面标准代替信息"/>
    <w:basedOn w:val="66"/>
    <w:qFormat/>
    <w:uiPriority w:val="0"/>
    <w:pPr>
      <w:framePr/>
      <w:spacing w:before="57"/>
    </w:pPr>
    <w:rPr>
      <w:rFonts w:ascii="宋体"/>
      <w:sz w:val="21"/>
    </w:rPr>
  </w:style>
  <w:style w:type="paragraph" w:customStyle="1" w:styleId="6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55"/>
    <w:qFormat/>
    <w:uiPriority w:val="0"/>
    <w:pPr>
      <w:numPr>
        <w:ilvl w:val="0"/>
        <w:numId w:val="3"/>
      </w:numPr>
      <w:tabs>
        <w:tab w:val="left" w:pos="6405"/>
      </w:tabs>
      <w:spacing w:after="200"/>
    </w:pPr>
    <w:rPr>
      <w:sz w:val="21"/>
    </w:rPr>
  </w:style>
  <w:style w:type="paragraph" w:customStyle="1" w:styleId="75">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6">
    <w:name w:val="附录章标题"/>
    <w:next w:val="57"/>
    <w:qFormat/>
    <w:uiPriority w:val="0"/>
    <w:pPr>
      <w:numPr>
        <w:ilvl w:val="1"/>
        <w:numId w:val="3"/>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一级条标题"/>
    <w:basedOn w:val="76"/>
    <w:next w:val="57"/>
    <w:qFormat/>
    <w:uiPriority w:val="0"/>
    <w:pPr>
      <w:numPr>
        <w:ilvl w:val="2"/>
      </w:numPr>
      <w:autoSpaceDN w:val="0"/>
      <w:spacing w:beforeLines="0" w:afterLines="0"/>
      <w:outlineLvl w:val="2"/>
    </w:pPr>
  </w:style>
  <w:style w:type="paragraph" w:customStyle="1" w:styleId="78">
    <w:name w:val="附录二级条标题"/>
    <w:basedOn w:val="77"/>
    <w:next w:val="57"/>
    <w:qFormat/>
    <w:uiPriority w:val="0"/>
    <w:pPr>
      <w:numPr>
        <w:ilvl w:val="3"/>
      </w:numPr>
      <w:outlineLvl w:val="3"/>
    </w:pPr>
  </w:style>
  <w:style w:type="paragraph" w:customStyle="1" w:styleId="79">
    <w:name w:val="附录三级条标题"/>
    <w:basedOn w:val="78"/>
    <w:next w:val="57"/>
    <w:qFormat/>
    <w:uiPriority w:val="0"/>
    <w:pPr>
      <w:numPr>
        <w:ilvl w:val="4"/>
      </w:numPr>
      <w:outlineLvl w:val="4"/>
    </w:pPr>
  </w:style>
  <w:style w:type="paragraph" w:customStyle="1" w:styleId="80">
    <w:name w:val="附录四级条标题"/>
    <w:basedOn w:val="79"/>
    <w:next w:val="57"/>
    <w:qFormat/>
    <w:uiPriority w:val="0"/>
    <w:pPr>
      <w:numPr>
        <w:ilvl w:val="5"/>
      </w:numPr>
      <w:outlineLvl w:val="5"/>
    </w:pPr>
  </w:style>
  <w:style w:type="paragraph" w:customStyle="1" w:styleId="81">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82">
    <w:name w:val="附录五级条标题"/>
    <w:basedOn w:val="80"/>
    <w:next w:val="57"/>
    <w:qFormat/>
    <w:uiPriority w:val="0"/>
    <w:pPr>
      <w:numPr>
        <w:ilvl w:val="6"/>
      </w:numPr>
      <w:outlineLvl w:val="6"/>
    </w:pPr>
  </w:style>
  <w:style w:type="character" w:customStyle="1" w:styleId="83">
    <w:name w:val="个人答复风格"/>
    <w:qFormat/>
    <w:uiPriority w:val="0"/>
    <w:rPr>
      <w:rFonts w:ascii="Arial" w:hAnsi="Arial" w:eastAsia="宋体" w:cs="Arial"/>
      <w:color w:val="auto"/>
      <w:sz w:val="20"/>
    </w:rPr>
  </w:style>
  <w:style w:type="character" w:customStyle="1" w:styleId="84">
    <w:name w:val="个人撰写风格"/>
    <w:qFormat/>
    <w:uiPriority w:val="0"/>
    <w:rPr>
      <w:rFonts w:ascii="Arial" w:hAnsi="Arial" w:eastAsia="宋体" w:cs="Arial"/>
      <w:color w:val="auto"/>
      <w:sz w:val="20"/>
    </w:rPr>
  </w:style>
  <w:style w:type="paragraph" w:customStyle="1" w:styleId="85">
    <w:name w:val="列项——"/>
    <w:qFormat/>
    <w:uiPriority w:val="0"/>
    <w:pPr>
      <w:widowControl w:val="0"/>
      <w:numPr>
        <w:ilvl w:val="0"/>
        <w:numId w:val="4"/>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6">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87">
    <w:name w:val="目次、标准名称标题"/>
    <w:basedOn w:val="55"/>
    <w:next w:val="57"/>
    <w:uiPriority w:val="0"/>
    <w:pPr>
      <w:numPr>
        <w:numId w:val="0"/>
      </w:numPr>
      <w:spacing w:line="460" w:lineRule="exact"/>
    </w:pPr>
  </w:style>
  <w:style w:type="paragraph" w:customStyle="1" w:styleId="8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9">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90">
    <w:name w:val="其他发布部门"/>
    <w:basedOn w:val="63"/>
    <w:qFormat/>
    <w:uiPriority w:val="0"/>
    <w:pPr>
      <w:framePr w:wrap="around"/>
      <w:spacing w:line="0" w:lineRule="atLeast"/>
    </w:pPr>
    <w:rPr>
      <w:rFonts w:ascii="黑体" w:eastAsia="黑体"/>
      <w:b w:val="0"/>
    </w:rPr>
  </w:style>
  <w:style w:type="paragraph" w:customStyle="1" w:styleId="91">
    <w:name w:val="三级条标题"/>
    <w:basedOn w:val="60"/>
    <w:next w:val="57"/>
    <w:uiPriority w:val="0"/>
    <w:pPr>
      <w:numPr>
        <w:ilvl w:val="4"/>
      </w:numPr>
      <w:outlineLvl w:val="4"/>
    </w:pPr>
  </w:style>
  <w:style w:type="paragraph" w:customStyle="1" w:styleId="92">
    <w:name w:val="三级无标题条"/>
    <w:basedOn w:val="1"/>
    <w:uiPriority w:val="0"/>
    <w:pPr>
      <w:numPr>
        <w:ilvl w:val="4"/>
        <w:numId w:val="2"/>
      </w:numPr>
    </w:pPr>
  </w:style>
  <w:style w:type="paragraph" w:customStyle="1" w:styleId="93">
    <w:name w:val="实施日期"/>
    <w:basedOn w:val="64"/>
    <w:qFormat/>
    <w:uiPriority w:val="0"/>
    <w:pPr>
      <w:framePr w:hSpace="0" w:wrap="around" w:xAlign="right"/>
      <w:jc w:val="right"/>
    </w:pPr>
  </w:style>
  <w:style w:type="paragraph" w:customStyle="1" w:styleId="94">
    <w:name w:val="示例"/>
    <w:next w:val="57"/>
    <w:qFormat/>
    <w:uiPriority w:val="0"/>
    <w:pPr>
      <w:numPr>
        <w:ilvl w:val="0"/>
        <w:numId w:val="6"/>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6">
    <w:name w:val="四级条标题"/>
    <w:basedOn w:val="91"/>
    <w:next w:val="57"/>
    <w:qFormat/>
    <w:uiPriority w:val="0"/>
    <w:pPr>
      <w:numPr>
        <w:ilvl w:val="5"/>
      </w:numPr>
      <w:outlineLvl w:val="5"/>
    </w:pPr>
  </w:style>
  <w:style w:type="paragraph" w:customStyle="1" w:styleId="97">
    <w:name w:val="四级无标题条"/>
    <w:basedOn w:val="1"/>
    <w:qFormat/>
    <w:uiPriority w:val="0"/>
    <w:pPr>
      <w:numPr>
        <w:ilvl w:val="5"/>
        <w:numId w:val="2"/>
      </w:numPr>
    </w:pPr>
  </w:style>
  <w:style w:type="paragraph" w:customStyle="1" w:styleId="98">
    <w:name w:val="条文脚注"/>
    <w:basedOn w:val="26"/>
    <w:uiPriority w:val="0"/>
    <w:pPr>
      <w:ind w:left="780" w:leftChars="200" w:hanging="360" w:hangingChars="200"/>
      <w:jc w:val="both"/>
    </w:pPr>
    <w:rPr>
      <w:rFonts w:ascii="宋体"/>
    </w:rPr>
  </w:style>
  <w:style w:type="paragraph" w:customStyle="1" w:styleId="99">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0">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1">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102">
    <w:name w:val="五级条标题"/>
    <w:basedOn w:val="96"/>
    <w:next w:val="57"/>
    <w:uiPriority w:val="0"/>
    <w:pPr>
      <w:numPr>
        <w:ilvl w:val="6"/>
      </w:numPr>
      <w:outlineLvl w:val="6"/>
    </w:pPr>
  </w:style>
  <w:style w:type="paragraph" w:customStyle="1" w:styleId="103">
    <w:name w:val="五级无标题条"/>
    <w:basedOn w:val="1"/>
    <w:uiPriority w:val="0"/>
    <w:pPr>
      <w:numPr>
        <w:ilvl w:val="6"/>
        <w:numId w:val="2"/>
      </w:numPr>
    </w:pPr>
  </w:style>
  <w:style w:type="paragraph" w:customStyle="1" w:styleId="104">
    <w:name w:val="一级无标题条"/>
    <w:basedOn w:val="1"/>
    <w:uiPriority w:val="0"/>
    <w:pPr>
      <w:numPr>
        <w:ilvl w:val="2"/>
        <w:numId w:val="2"/>
      </w:numPr>
    </w:pPr>
  </w:style>
  <w:style w:type="paragraph" w:customStyle="1" w:styleId="105">
    <w:name w:val="正文表标题"/>
    <w:next w:val="57"/>
    <w:uiPriority w:val="0"/>
    <w:pPr>
      <w:numPr>
        <w:ilvl w:val="0"/>
        <w:numId w:val="7"/>
      </w:numPr>
      <w:jc w:val="center"/>
    </w:pPr>
    <w:rPr>
      <w:rFonts w:ascii="黑体" w:hAnsi="Times New Roman" w:eastAsia="黑体" w:cs="Times New Roman"/>
      <w:sz w:val="21"/>
      <w:lang w:val="en-US" w:eastAsia="zh-CN" w:bidi="ar-SA"/>
    </w:rPr>
  </w:style>
  <w:style w:type="paragraph" w:customStyle="1" w:styleId="106">
    <w:name w:val="正文图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注："/>
    <w:next w:val="57"/>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8">
    <w:name w:val="注×："/>
    <w:qFormat/>
    <w:uiPriority w:val="0"/>
    <w:pPr>
      <w:widowControl w:val="0"/>
      <w:numPr>
        <w:ilvl w:val="0"/>
        <w:numId w:val="10"/>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09">
    <w:name w:val="字母编号列项（一级）"/>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0">
    <w:name w:val="标准文件_一级条标题"/>
    <w:basedOn w:val="1"/>
    <w:next w:val="1"/>
    <w:uiPriority w:val="0"/>
    <w:pPr>
      <w:widowControl/>
      <w:ind w:left="-50" w:leftChars="-50" w:right="-50" w:rightChars="-50"/>
      <w:outlineLvl w:val="2"/>
    </w:pPr>
    <w:rPr>
      <w:rFonts w:ascii="黑体" w:eastAsia="黑体"/>
      <w:spacing w:val="2"/>
      <w:kern w:val="0"/>
    </w:rPr>
  </w:style>
  <w:style w:type="paragraph" w:customStyle="1" w:styleId="111">
    <w:name w:val="标准文件_正文表标题"/>
    <w:next w:val="1"/>
    <w:uiPriority w:val="0"/>
    <w:pPr>
      <w:tabs>
        <w:tab w:val="left" w:pos="0"/>
      </w:tabs>
      <w:ind w:left="1575"/>
      <w:jc w:val="center"/>
    </w:pPr>
    <w:rPr>
      <w:rFonts w:ascii="黑体" w:hAnsi="Times New Roman" w:eastAsia="黑体" w:cs="Times New Roman"/>
      <w:sz w:val="21"/>
      <w:lang w:val="en-US" w:eastAsia="zh-CN" w:bidi="ar-SA"/>
    </w:rPr>
  </w:style>
  <w:style w:type="paragraph" w:customStyle="1" w:styleId="112">
    <w:name w:val="标准文件_二级条标题"/>
    <w:basedOn w:val="110"/>
    <w:next w:val="1"/>
    <w:uiPriority w:val="0"/>
    <w:pPr>
      <w:ind w:left="0"/>
      <w:outlineLvl w:val="3"/>
    </w:pPr>
  </w:style>
  <w:style w:type="character" w:customStyle="1" w:styleId="113">
    <w:name w:val="访问过的超链接1"/>
    <w:qFormat/>
    <w:uiPriority w:val="0"/>
    <w:rPr>
      <w:color w:val="800080"/>
      <w:u w:val="single"/>
    </w:rPr>
  </w:style>
  <w:style w:type="paragraph" w:customStyle="1" w:styleId="114">
    <w:name w:val="标准文件_段"/>
    <w:qFormat/>
    <w:uiPriority w:val="0"/>
    <w:pPr>
      <w:widowControl w:val="0"/>
      <w:autoSpaceDE w:val="0"/>
      <w:autoSpaceDN w:val="0"/>
      <w:adjustRightInd w:val="0"/>
      <w:snapToGrid w:val="0"/>
      <w:spacing w:line="310" w:lineRule="exact"/>
      <w:ind w:right="-105" w:rightChars="-50"/>
      <w:jc w:val="both"/>
    </w:pPr>
    <w:rPr>
      <w:rFonts w:ascii="宋体" w:hAnsi="宋体" w:eastAsia="宋体" w:cs="Times New Roman"/>
      <w:kern w:val="2"/>
      <w:sz w:val="21"/>
      <w:szCs w:val="24"/>
      <w:lang w:val="en-US" w:eastAsia="zh-CN" w:bidi="ar-SA"/>
    </w:rPr>
  </w:style>
  <w:style w:type="character" w:customStyle="1" w:styleId="115">
    <w:name w:val="章标题 Char"/>
    <w:link w:val="58"/>
    <w:uiPriority w:val="0"/>
    <w:rPr>
      <w:rFonts w:ascii="黑体" w:eastAsia="黑体"/>
      <w:sz w:val="21"/>
      <w:lang w:val="en-US" w:eastAsia="zh-CN" w:bidi="ar-SA"/>
    </w:rPr>
  </w:style>
  <w:style w:type="character" w:customStyle="1" w:styleId="116">
    <w:name w:val="一级条标题 Char"/>
    <w:basedOn w:val="115"/>
    <w:link w:val="59"/>
    <w:uiPriority w:val="0"/>
    <w:rPr>
      <w:rFonts w:ascii="黑体" w:eastAsia="黑体"/>
      <w:sz w:val="21"/>
      <w:lang w:val="en-US" w:eastAsia="zh-CN" w:bidi="ar-SA"/>
    </w:rPr>
  </w:style>
  <w:style w:type="character" w:customStyle="1" w:styleId="117">
    <w:name w:val="二级条标题 Char"/>
    <w:basedOn w:val="116"/>
    <w:link w:val="60"/>
    <w:qFormat/>
    <w:uiPriority w:val="0"/>
    <w:rPr>
      <w:rFonts w:ascii="黑体" w:eastAsia="黑体"/>
      <w:sz w:val="21"/>
      <w:lang w:val="en-US" w:eastAsia="zh-CN" w:bidi="ar-SA"/>
    </w:rPr>
  </w:style>
  <w:style w:type="character" w:customStyle="1" w:styleId="118">
    <w:name w:val="日期 字符"/>
    <w:link w:val="22"/>
    <w:uiPriority w:val="0"/>
    <w:rPr>
      <w:kern w:val="2"/>
      <w:sz w:val="21"/>
    </w:rPr>
  </w:style>
  <w:style w:type="character" w:customStyle="1" w:styleId="119">
    <w:name w:val="段 Char"/>
    <w:link w:val="57"/>
    <w:uiPriority w:val="0"/>
    <w:rPr>
      <w:rFonts w:ascii="宋体"/>
      <w:sz w:val="21"/>
      <w:lang w:bidi="ar-SA"/>
    </w:rPr>
  </w:style>
  <w:style w:type="character" w:customStyle="1" w:styleId="120">
    <w:name w:val="批注文字 字符"/>
    <w:basedOn w:val="33"/>
    <w:link w:val="18"/>
    <w:qFormat/>
    <w:uiPriority w:val="0"/>
    <w:rPr>
      <w:kern w:val="2"/>
      <w:sz w:val="21"/>
    </w:rPr>
  </w:style>
  <w:style w:type="character" w:customStyle="1" w:styleId="121">
    <w:name w:val="批注主题 字符"/>
    <w:basedOn w:val="120"/>
    <w:link w:val="30"/>
    <w:uiPriority w:val="0"/>
    <w:rPr>
      <w:b/>
      <w:bCs/>
      <w:kern w:val="2"/>
      <w:sz w:val="21"/>
    </w:rPr>
  </w:style>
  <w:style w:type="character" w:customStyle="1" w:styleId="122">
    <w:name w:val="批注框文本 字符"/>
    <w:basedOn w:val="33"/>
    <w:link w:val="2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167E9-9553-4AD2-8D68-7D72CD353323}">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9</Pages>
  <Words>459</Words>
  <Characters>2620</Characters>
  <Lines>21</Lines>
  <Paragraphs>6</Paragraphs>
  <TotalTime>347</TotalTime>
  <ScaleCrop>false</ScaleCrop>
  <LinksUpToDate>false</LinksUpToDate>
  <CharactersWithSpaces>3073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2015-09-10T08:56:00Z</dcterms:created>
  <dc:creator>G</dc:creator>
  <cp:lastModifiedBy>CathayMok</cp:lastModifiedBy>
  <cp:lastPrinted>2015-09-11T01:47:00Z</cp:lastPrinted>
  <dcterms:modified xsi:type="dcterms:W3CDTF">2021-12-09T07:50:31Z</dcterms:modified>
  <dc:title>集成电路用磷铜阳极</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3F551D08B9F5485EB44D559DDE68EAE6</vt:lpwstr>
  </property>
</Properties>
</file>